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C7627" w14:textId="333C47AD" w:rsidR="00F8557D" w:rsidRPr="004E04DB" w:rsidRDefault="00646B44">
      <w:pPr>
        <w:spacing w:after="0" w:line="360" w:lineRule="auto"/>
        <w:ind w:right="49"/>
        <w:jc w:val="both"/>
        <w:rPr>
          <w:rFonts w:ascii="Palatino Linotype" w:eastAsia="Palatino Linotype" w:hAnsi="Palatino Linotype" w:cs="Palatino Linotype"/>
          <w:sz w:val="24"/>
          <w:szCs w:val="24"/>
        </w:rPr>
      </w:pPr>
      <w:bookmarkStart w:id="0" w:name="_GoBack"/>
      <w:bookmarkEnd w:id="0"/>
      <w:r w:rsidRPr="004E04DB">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6B4A8B" w:rsidRPr="004E04DB">
        <w:rPr>
          <w:rFonts w:ascii="Palatino Linotype" w:eastAsia="Palatino Linotype" w:hAnsi="Palatino Linotype" w:cs="Palatino Linotype"/>
          <w:sz w:val="24"/>
          <w:szCs w:val="24"/>
        </w:rPr>
        <w:t>quince</w:t>
      </w:r>
      <w:r w:rsidR="00D7458B" w:rsidRPr="004E04DB">
        <w:rPr>
          <w:rFonts w:ascii="Palatino Linotype" w:eastAsia="Palatino Linotype" w:hAnsi="Palatino Linotype" w:cs="Palatino Linotype"/>
          <w:sz w:val="24"/>
          <w:szCs w:val="24"/>
        </w:rPr>
        <w:t xml:space="preserve"> de noviembre</w:t>
      </w:r>
      <w:r w:rsidR="00B30C44" w:rsidRPr="004E04DB">
        <w:rPr>
          <w:rFonts w:ascii="Palatino Linotype" w:eastAsia="Palatino Linotype" w:hAnsi="Palatino Linotype" w:cs="Palatino Linotype"/>
          <w:sz w:val="24"/>
          <w:szCs w:val="24"/>
        </w:rPr>
        <w:t xml:space="preserve"> de dos mil veintitrés</w:t>
      </w:r>
      <w:r w:rsidRPr="004E04DB">
        <w:rPr>
          <w:rFonts w:ascii="Palatino Linotype" w:eastAsia="Palatino Linotype" w:hAnsi="Palatino Linotype" w:cs="Palatino Linotype"/>
          <w:sz w:val="24"/>
          <w:szCs w:val="24"/>
        </w:rPr>
        <w:t xml:space="preserve">. </w:t>
      </w:r>
    </w:p>
    <w:p w14:paraId="74ED697E" w14:textId="77777777" w:rsidR="00F8557D" w:rsidRPr="004E04DB" w:rsidRDefault="00F8557D">
      <w:pPr>
        <w:spacing w:after="0" w:line="360" w:lineRule="auto"/>
        <w:ind w:right="49"/>
        <w:jc w:val="center"/>
        <w:rPr>
          <w:rFonts w:ascii="Palatino Linotype" w:eastAsia="Palatino Linotype" w:hAnsi="Palatino Linotype" w:cs="Palatino Linotype"/>
          <w:sz w:val="24"/>
          <w:szCs w:val="24"/>
        </w:rPr>
      </w:pPr>
    </w:p>
    <w:p w14:paraId="52F4F0DF" w14:textId="7D7CEAFE"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Visto el expediente relativo al recurso de revisión </w:t>
      </w:r>
      <w:r w:rsidR="006B4A8B" w:rsidRPr="004E04DB">
        <w:rPr>
          <w:rFonts w:ascii="Palatino Linotype" w:eastAsia="Palatino Linotype" w:hAnsi="Palatino Linotype" w:cs="Palatino Linotype"/>
          <w:b/>
          <w:sz w:val="24"/>
          <w:szCs w:val="24"/>
        </w:rPr>
        <w:t>0</w:t>
      </w:r>
      <w:r w:rsidR="00C1478B" w:rsidRPr="004E04DB">
        <w:rPr>
          <w:rFonts w:ascii="Palatino Linotype" w:eastAsia="Palatino Linotype" w:hAnsi="Palatino Linotype" w:cs="Palatino Linotype"/>
          <w:b/>
          <w:sz w:val="24"/>
          <w:szCs w:val="24"/>
        </w:rPr>
        <w:t>5444</w:t>
      </w:r>
      <w:r w:rsidR="00D7458B" w:rsidRPr="004E04DB">
        <w:rPr>
          <w:rFonts w:ascii="Palatino Linotype" w:eastAsia="Palatino Linotype" w:hAnsi="Palatino Linotype" w:cs="Palatino Linotype"/>
          <w:b/>
          <w:sz w:val="24"/>
          <w:szCs w:val="24"/>
        </w:rPr>
        <w:t>/INFOEM/IP/RR/2023</w:t>
      </w:r>
      <w:r w:rsidRPr="004E04DB">
        <w:rPr>
          <w:rFonts w:ascii="Palatino Linotype" w:eastAsia="Palatino Linotype" w:hAnsi="Palatino Linotype" w:cs="Palatino Linotype"/>
          <w:sz w:val="24"/>
          <w:szCs w:val="24"/>
        </w:rPr>
        <w:t xml:space="preserve">, interpuesto por </w:t>
      </w:r>
      <w:r w:rsidR="00C1478B" w:rsidRPr="004E04DB">
        <w:rPr>
          <w:rFonts w:ascii="Palatino Linotype" w:eastAsia="Palatino Linotype" w:hAnsi="Palatino Linotype" w:cs="Palatino Linotype"/>
          <w:b/>
          <w:sz w:val="24"/>
          <w:szCs w:val="24"/>
        </w:rPr>
        <w:t>una persona usuaria del Sistema de Acceso a la Información Mexiquense</w:t>
      </w:r>
      <w:r w:rsidRPr="004E04DB">
        <w:rPr>
          <w:rFonts w:ascii="Palatino Linotype" w:eastAsia="Palatino Linotype" w:hAnsi="Palatino Linotype" w:cs="Palatino Linotype"/>
          <w:sz w:val="24"/>
          <w:szCs w:val="24"/>
        </w:rPr>
        <w:t xml:space="preserve">, al cual en lo sucesivo se le denominará el </w:t>
      </w:r>
      <w:r w:rsidRPr="004E04DB">
        <w:rPr>
          <w:rFonts w:ascii="Palatino Linotype" w:eastAsia="Palatino Linotype" w:hAnsi="Palatino Linotype" w:cs="Palatino Linotype"/>
          <w:b/>
          <w:sz w:val="24"/>
          <w:szCs w:val="24"/>
        </w:rPr>
        <w:t>RECURRENTE</w:t>
      </w:r>
      <w:r w:rsidRPr="004E04DB">
        <w:rPr>
          <w:rFonts w:ascii="Palatino Linotype" w:eastAsia="Palatino Linotype" w:hAnsi="Palatino Linotype" w:cs="Palatino Linotype"/>
          <w:sz w:val="24"/>
          <w:szCs w:val="24"/>
        </w:rPr>
        <w:t xml:space="preserve">, en contra de la respuesta a su solicitud de información identificada con número de folio </w:t>
      </w:r>
      <w:r w:rsidR="002D6A54" w:rsidRPr="004E04DB">
        <w:rPr>
          <w:rFonts w:ascii="Palatino Linotype" w:eastAsia="Palatino Linotype" w:hAnsi="Palatino Linotype" w:cs="Palatino Linotype"/>
          <w:b/>
          <w:sz w:val="24"/>
          <w:szCs w:val="24"/>
        </w:rPr>
        <w:t>0</w:t>
      </w:r>
      <w:r w:rsidR="00C1478B" w:rsidRPr="004E04DB">
        <w:rPr>
          <w:rFonts w:ascii="Palatino Linotype" w:eastAsia="Palatino Linotype" w:hAnsi="Palatino Linotype" w:cs="Palatino Linotype"/>
          <w:b/>
          <w:sz w:val="24"/>
          <w:szCs w:val="24"/>
        </w:rPr>
        <w:t>1134</w:t>
      </w:r>
      <w:r w:rsidRPr="004E04DB">
        <w:rPr>
          <w:rFonts w:ascii="Palatino Linotype" w:eastAsia="Palatino Linotype" w:hAnsi="Palatino Linotype" w:cs="Palatino Linotype"/>
          <w:b/>
          <w:sz w:val="24"/>
          <w:szCs w:val="24"/>
        </w:rPr>
        <w:t>/</w:t>
      </w:r>
      <w:r w:rsidR="00C1478B" w:rsidRPr="004E04DB">
        <w:rPr>
          <w:rFonts w:ascii="Palatino Linotype" w:eastAsia="Palatino Linotype" w:hAnsi="Palatino Linotype" w:cs="Palatino Linotype"/>
          <w:b/>
          <w:sz w:val="24"/>
          <w:szCs w:val="24"/>
        </w:rPr>
        <w:t>ZINACANT</w:t>
      </w:r>
      <w:r w:rsidRPr="004E04DB">
        <w:rPr>
          <w:rFonts w:ascii="Palatino Linotype" w:eastAsia="Palatino Linotype" w:hAnsi="Palatino Linotype" w:cs="Palatino Linotype"/>
          <w:b/>
          <w:sz w:val="24"/>
          <w:szCs w:val="24"/>
        </w:rPr>
        <w:t>/IP/202</w:t>
      </w:r>
      <w:r w:rsidR="006B4A8B" w:rsidRPr="004E04DB">
        <w:rPr>
          <w:rFonts w:ascii="Palatino Linotype" w:eastAsia="Palatino Linotype" w:hAnsi="Palatino Linotype" w:cs="Palatino Linotype"/>
          <w:b/>
          <w:sz w:val="24"/>
          <w:szCs w:val="24"/>
        </w:rPr>
        <w:t>3</w:t>
      </w:r>
      <w:r w:rsidRPr="004E04DB">
        <w:rPr>
          <w:rFonts w:ascii="Palatino Linotype" w:eastAsia="Palatino Linotype" w:hAnsi="Palatino Linotype" w:cs="Palatino Linotype"/>
          <w:sz w:val="24"/>
          <w:szCs w:val="24"/>
        </w:rPr>
        <w:t xml:space="preserve"> proporcionada por parte del Ayuntamiento de </w:t>
      </w:r>
      <w:r w:rsidR="00C1478B" w:rsidRPr="004E04DB">
        <w:rPr>
          <w:rFonts w:ascii="Palatino Linotype" w:eastAsia="Palatino Linotype" w:hAnsi="Palatino Linotype" w:cs="Palatino Linotype"/>
          <w:sz w:val="24"/>
          <w:szCs w:val="24"/>
        </w:rPr>
        <w:t>Zinacantepec</w:t>
      </w:r>
      <w:r w:rsidR="002D6A54" w:rsidRPr="004E04DB">
        <w:rPr>
          <w:rFonts w:ascii="Palatino Linotype" w:eastAsia="Palatino Linotype" w:hAnsi="Palatino Linotype" w:cs="Palatino Linotype"/>
          <w:sz w:val="24"/>
          <w:szCs w:val="24"/>
        </w:rPr>
        <w:t xml:space="preserve">, </w:t>
      </w:r>
      <w:r w:rsidRPr="004E04DB">
        <w:rPr>
          <w:rFonts w:ascii="Palatino Linotype" w:eastAsia="Palatino Linotype" w:hAnsi="Palatino Linotype" w:cs="Palatino Linotype"/>
          <w:sz w:val="24"/>
          <w:szCs w:val="24"/>
        </w:rPr>
        <w:t xml:space="preserve">en lo sucesivo el </w:t>
      </w:r>
      <w:r w:rsidRPr="004E04DB">
        <w:rPr>
          <w:rFonts w:ascii="Palatino Linotype" w:eastAsia="Palatino Linotype" w:hAnsi="Palatino Linotype" w:cs="Palatino Linotype"/>
          <w:b/>
          <w:sz w:val="24"/>
          <w:szCs w:val="24"/>
        </w:rPr>
        <w:t>SUJETO OBLIGADO</w:t>
      </w:r>
      <w:r w:rsidRPr="004E04DB">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4E04DB" w:rsidRDefault="00646B44">
      <w:pPr>
        <w:spacing w:after="0" w:line="360" w:lineRule="auto"/>
        <w:ind w:right="49"/>
        <w:jc w:val="center"/>
        <w:rPr>
          <w:rFonts w:ascii="Palatino Linotype" w:eastAsia="Palatino Linotype" w:hAnsi="Palatino Linotype" w:cs="Palatino Linotype"/>
          <w:b/>
          <w:sz w:val="24"/>
          <w:szCs w:val="24"/>
        </w:rPr>
      </w:pPr>
      <w:r w:rsidRPr="004E04DB">
        <w:rPr>
          <w:rFonts w:ascii="Palatino Linotype" w:eastAsia="Palatino Linotype" w:hAnsi="Palatino Linotype" w:cs="Palatino Linotype"/>
          <w:b/>
          <w:sz w:val="24"/>
          <w:szCs w:val="24"/>
        </w:rPr>
        <w:t>I.</w:t>
      </w:r>
      <w:r w:rsidRPr="004E04DB">
        <w:rPr>
          <w:rFonts w:ascii="Palatino Linotype" w:eastAsia="Palatino Linotype" w:hAnsi="Palatino Linotype" w:cs="Palatino Linotype"/>
          <w:b/>
          <w:sz w:val="24"/>
          <w:szCs w:val="24"/>
        </w:rPr>
        <w:tab/>
        <w:t>A N T E C E D E N T E S</w:t>
      </w:r>
    </w:p>
    <w:p w14:paraId="0D8742AC"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191568F3" w14:textId="0466ABFC" w:rsidR="00F8557D" w:rsidRPr="004E04DB"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Solicitud de acceso a la información.</w:t>
      </w:r>
      <w:r w:rsidRPr="004E04DB">
        <w:rPr>
          <w:rFonts w:ascii="Palatino Linotype" w:eastAsia="Palatino Linotype" w:hAnsi="Palatino Linotype" w:cs="Palatino Linotype"/>
          <w:sz w:val="24"/>
          <w:szCs w:val="24"/>
        </w:rPr>
        <w:t xml:space="preserve"> Con fecha </w:t>
      </w:r>
      <w:r w:rsidR="00C1478B" w:rsidRPr="004E04DB">
        <w:rPr>
          <w:rFonts w:ascii="Palatino Linotype" w:eastAsia="Palatino Linotype" w:hAnsi="Palatino Linotype" w:cs="Palatino Linotype"/>
          <w:b/>
          <w:sz w:val="24"/>
          <w:szCs w:val="24"/>
        </w:rPr>
        <w:t>cuatro de agosto</w:t>
      </w:r>
      <w:r w:rsidR="004E4ADA" w:rsidRPr="004E04DB">
        <w:rPr>
          <w:rFonts w:ascii="Palatino Linotype" w:eastAsia="Palatino Linotype" w:hAnsi="Palatino Linotype" w:cs="Palatino Linotype"/>
          <w:b/>
          <w:sz w:val="24"/>
          <w:szCs w:val="24"/>
        </w:rPr>
        <w:t xml:space="preserve"> </w:t>
      </w:r>
      <w:r w:rsidR="006B4A8B" w:rsidRPr="004E04DB">
        <w:rPr>
          <w:rFonts w:ascii="Palatino Linotype" w:eastAsia="Palatino Linotype" w:hAnsi="Palatino Linotype" w:cs="Palatino Linotype"/>
          <w:b/>
          <w:sz w:val="24"/>
          <w:szCs w:val="24"/>
        </w:rPr>
        <w:t>de dos mil veintitrés</w:t>
      </w:r>
      <w:r w:rsidRPr="004E04DB">
        <w:rPr>
          <w:rFonts w:ascii="Palatino Linotype" w:eastAsia="Palatino Linotype" w:hAnsi="Palatino Linotype" w:cs="Palatino Linotype"/>
          <w:sz w:val="24"/>
          <w:szCs w:val="24"/>
        </w:rPr>
        <w:t xml:space="preserve">, la parte </w:t>
      </w:r>
      <w:r w:rsidRPr="004E04DB">
        <w:rPr>
          <w:rFonts w:ascii="Palatino Linotype" w:eastAsia="Palatino Linotype" w:hAnsi="Palatino Linotype" w:cs="Palatino Linotype"/>
          <w:b/>
          <w:sz w:val="24"/>
          <w:szCs w:val="24"/>
        </w:rPr>
        <w:t>RECURRENTE</w:t>
      </w:r>
      <w:r w:rsidRPr="004E04DB">
        <w:rPr>
          <w:rFonts w:ascii="Palatino Linotype" w:eastAsia="Palatino Linotype" w:hAnsi="Palatino Linotype" w:cs="Palatino Linotype"/>
          <w:sz w:val="24"/>
          <w:szCs w:val="24"/>
        </w:rPr>
        <w:t xml:space="preserve"> formuló solicitud de acceso a información pública al</w:t>
      </w:r>
      <w:r w:rsidRPr="004E04DB">
        <w:rPr>
          <w:rFonts w:ascii="Palatino Linotype" w:eastAsia="Palatino Linotype" w:hAnsi="Palatino Linotype" w:cs="Palatino Linotype"/>
          <w:b/>
          <w:sz w:val="24"/>
          <w:szCs w:val="24"/>
        </w:rPr>
        <w:t xml:space="preserve"> SUJETO OBLIGADO</w:t>
      </w:r>
      <w:r w:rsidRPr="004E04DB">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567E90C"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5E646918" w14:textId="1D1DA3F9" w:rsidR="00F8557D" w:rsidRPr="004E04DB" w:rsidRDefault="00646B44">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4E04DB">
        <w:rPr>
          <w:rFonts w:ascii="Palatino Linotype" w:eastAsia="Palatino Linotype" w:hAnsi="Palatino Linotype" w:cs="Palatino Linotype"/>
          <w:i/>
        </w:rPr>
        <w:t>“</w:t>
      </w:r>
      <w:r w:rsidR="00C1478B" w:rsidRPr="004E04DB">
        <w:rPr>
          <w:rFonts w:ascii="Palatino Linotype" w:eastAsia="Palatino Linotype" w:hAnsi="Palatino Linotype" w:cs="Palatino Linotype"/>
          <w:i/>
        </w:rPr>
        <w:t xml:space="preserve">solicito el inventario general de los bienes muebles e inmuebles propiedad del municipio </w:t>
      </w:r>
      <w:proofErr w:type="gramStart"/>
      <w:r w:rsidR="00C1478B" w:rsidRPr="004E04DB">
        <w:rPr>
          <w:rFonts w:ascii="Palatino Linotype" w:eastAsia="Palatino Linotype" w:hAnsi="Palatino Linotype" w:cs="Palatino Linotype"/>
          <w:i/>
        </w:rPr>
        <w:t>de</w:t>
      </w:r>
      <w:proofErr w:type="gramEnd"/>
      <w:r w:rsidR="00C1478B" w:rsidRPr="004E04DB">
        <w:rPr>
          <w:rFonts w:ascii="Palatino Linotype" w:eastAsia="Palatino Linotype" w:hAnsi="Palatino Linotype" w:cs="Palatino Linotype"/>
          <w:i/>
        </w:rPr>
        <w:t xml:space="preserve"> Zinacantepec, haciendo que se inscriban en el libro especial, con expresión de sus valores y de todas las características de identificación, así como el uso y destino de los mismos</w:t>
      </w:r>
      <w:r w:rsidR="00B30C44" w:rsidRPr="004E04DB">
        <w:rPr>
          <w:rFonts w:ascii="Palatino Linotype" w:eastAsia="Palatino Linotype" w:hAnsi="Palatino Linotype" w:cs="Palatino Linotype"/>
          <w:i/>
        </w:rPr>
        <w:t xml:space="preserve">”. </w:t>
      </w:r>
    </w:p>
    <w:p w14:paraId="4D20A199" w14:textId="77777777" w:rsidR="00F8557D" w:rsidRPr="004E04DB" w:rsidRDefault="00F8557D">
      <w:pPr>
        <w:spacing w:after="0" w:line="360" w:lineRule="auto"/>
        <w:ind w:left="567" w:right="560"/>
        <w:jc w:val="both"/>
        <w:rPr>
          <w:rFonts w:ascii="Palatino Linotype" w:eastAsia="Palatino Linotype" w:hAnsi="Palatino Linotype" w:cs="Palatino Linotype"/>
          <w:i/>
        </w:rPr>
      </w:pPr>
    </w:p>
    <w:p w14:paraId="39E3254B" w14:textId="10999AA9" w:rsidR="00D7458B" w:rsidRPr="004E04DB" w:rsidRDefault="00646B44" w:rsidP="006B4A8B">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lastRenderedPageBreak/>
        <w:t>Modalidad elegida para la entrega de la información:</w:t>
      </w:r>
      <w:r w:rsidRPr="004E04DB">
        <w:rPr>
          <w:rFonts w:ascii="Palatino Linotype" w:eastAsia="Palatino Linotype" w:hAnsi="Palatino Linotype" w:cs="Palatino Linotype"/>
          <w:sz w:val="24"/>
          <w:szCs w:val="24"/>
        </w:rPr>
        <w:t xml:space="preserve"> a través del Sistema de Acceso a la Información Mexiquense (SAIMEX). </w:t>
      </w:r>
    </w:p>
    <w:p w14:paraId="73EF560A" w14:textId="77777777" w:rsidR="00D7458B" w:rsidRPr="004E04DB" w:rsidRDefault="00D7458B" w:rsidP="00D7458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16A2B9C" w14:textId="4017D10A" w:rsidR="005E3DD3" w:rsidRPr="004E04DB" w:rsidRDefault="00C1478B" w:rsidP="00C1478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 xml:space="preserve">Ampliación de Plazo para proporcionar Respuesta. </w:t>
      </w:r>
      <w:r w:rsidRPr="004E04DB">
        <w:rPr>
          <w:rFonts w:ascii="Palatino Linotype" w:eastAsia="Palatino Linotype" w:hAnsi="Palatino Linotype" w:cs="Palatino Linotype"/>
          <w:bCs/>
          <w:sz w:val="24"/>
          <w:szCs w:val="24"/>
        </w:rPr>
        <w:t xml:space="preserve">En fecha </w:t>
      </w:r>
      <w:r w:rsidRPr="004E04DB">
        <w:rPr>
          <w:rFonts w:ascii="Palatino Linotype" w:eastAsia="Palatino Linotype" w:hAnsi="Palatino Linotype" w:cs="Palatino Linotype"/>
          <w:b/>
          <w:sz w:val="24"/>
          <w:szCs w:val="24"/>
        </w:rPr>
        <w:t xml:space="preserve">veinticinco de agosto de dos mil veintitrés </w:t>
      </w:r>
      <w:r w:rsidRPr="004E04DB">
        <w:rPr>
          <w:rFonts w:ascii="Palatino Linotype" w:eastAsia="Palatino Linotype" w:hAnsi="Palatino Linotype" w:cs="Palatino Linotype"/>
          <w:bCs/>
          <w:sz w:val="24"/>
          <w:szCs w:val="24"/>
        </w:rPr>
        <w:t xml:space="preserve">el </w:t>
      </w:r>
      <w:r w:rsidRPr="004E04DB">
        <w:rPr>
          <w:rFonts w:ascii="Palatino Linotype" w:eastAsia="Palatino Linotype" w:hAnsi="Palatino Linotype" w:cs="Palatino Linotype"/>
          <w:b/>
          <w:sz w:val="24"/>
          <w:szCs w:val="24"/>
        </w:rPr>
        <w:t>SUJ</w:t>
      </w:r>
      <w:r w:rsidR="005E3DD3" w:rsidRPr="004E04DB">
        <w:rPr>
          <w:rFonts w:ascii="Palatino Linotype" w:eastAsia="Palatino Linotype" w:hAnsi="Palatino Linotype" w:cs="Palatino Linotype"/>
          <w:b/>
          <w:sz w:val="24"/>
          <w:szCs w:val="24"/>
        </w:rPr>
        <w:t>E</w:t>
      </w:r>
      <w:r w:rsidRPr="004E04DB">
        <w:rPr>
          <w:rFonts w:ascii="Palatino Linotype" w:eastAsia="Palatino Linotype" w:hAnsi="Palatino Linotype" w:cs="Palatino Linotype"/>
          <w:b/>
          <w:sz w:val="24"/>
          <w:szCs w:val="24"/>
        </w:rPr>
        <w:t xml:space="preserve">TO OBLIGADO </w:t>
      </w:r>
      <w:r w:rsidRPr="004E04DB">
        <w:rPr>
          <w:rFonts w:ascii="Palatino Linotype" w:eastAsia="Palatino Linotype" w:hAnsi="Palatino Linotype" w:cs="Palatino Linotype"/>
          <w:bCs/>
          <w:sz w:val="24"/>
          <w:szCs w:val="24"/>
        </w:rPr>
        <w:t xml:space="preserve">amplió el plazo para proporcionar respuesta por un periodo de siete días. </w:t>
      </w:r>
    </w:p>
    <w:p w14:paraId="02FC6371" w14:textId="6551404B" w:rsidR="005E3DD3" w:rsidRPr="004E04DB" w:rsidRDefault="005E3DD3" w:rsidP="005E3DD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91C66AB" w14:textId="34A52F64" w:rsidR="005E3DD3" w:rsidRPr="004E04DB" w:rsidRDefault="005E3DD3" w:rsidP="005E3DD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El </w:t>
      </w:r>
      <w:r w:rsidRPr="004E04DB">
        <w:rPr>
          <w:rFonts w:ascii="Palatino Linotype" w:eastAsia="Palatino Linotype" w:hAnsi="Palatino Linotype" w:cs="Palatino Linotype"/>
          <w:b/>
          <w:sz w:val="24"/>
          <w:szCs w:val="24"/>
        </w:rPr>
        <w:t xml:space="preserve">SUJETO OBLIGADO </w:t>
      </w:r>
      <w:r w:rsidRPr="004E04DB">
        <w:rPr>
          <w:rFonts w:ascii="Palatino Linotype" w:eastAsia="Palatino Linotype" w:hAnsi="Palatino Linotype" w:cs="Palatino Linotype"/>
          <w:sz w:val="24"/>
          <w:szCs w:val="24"/>
        </w:rPr>
        <w:t xml:space="preserve">no adjuntó el acuerdo correspondiente. </w:t>
      </w:r>
    </w:p>
    <w:p w14:paraId="26AC221B" w14:textId="77777777" w:rsidR="005E3DD3" w:rsidRPr="004E04DB" w:rsidRDefault="005E3DD3" w:rsidP="005E3DD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68C055B" w14:textId="74F77667" w:rsidR="00F8557D" w:rsidRPr="004E04DB"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Respuesta.</w:t>
      </w:r>
      <w:r w:rsidRPr="004E04DB">
        <w:rPr>
          <w:rFonts w:ascii="Palatino Linotype" w:eastAsia="Palatino Linotype" w:hAnsi="Palatino Linotype" w:cs="Palatino Linotype"/>
          <w:sz w:val="24"/>
          <w:szCs w:val="24"/>
        </w:rPr>
        <w:t xml:space="preserve"> Con fecha </w:t>
      </w:r>
      <w:r w:rsidR="00C1478B" w:rsidRPr="004E04DB">
        <w:rPr>
          <w:rFonts w:ascii="Palatino Linotype" w:eastAsia="Palatino Linotype" w:hAnsi="Palatino Linotype" w:cs="Palatino Linotype"/>
          <w:b/>
          <w:sz w:val="24"/>
          <w:szCs w:val="24"/>
        </w:rPr>
        <w:t>cinco de septiembre</w:t>
      </w:r>
      <w:r w:rsidR="00D7458B" w:rsidRPr="004E04DB">
        <w:rPr>
          <w:rFonts w:ascii="Palatino Linotype" w:eastAsia="Palatino Linotype" w:hAnsi="Palatino Linotype" w:cs="Palatino Linotype"/>
          <w:b/>
          <w:sz w:val="24"/>
          <w:szCs w:val="24"/>
        </w:rPr>
        <w:t xml:space="preserve"> de dos mil veintitrés</w:t>
      </w:r>
      <w:r w:rsidRPr="004E04DB">
        <w:rPr>
          <w:rFonts w:ascii="Palatino Linotype" w:eastAsia="Palatino Linotype" w:hAnsi="Palatino Linotype" w:cs="Palatino Linotype"/>
          <w:sz w:val="24"/>
          <w:szCs w:val="24"/>
        </w:rPr>
        <w:t xml:space="preserve">, el </w:t>
      </w:r>
      <w:r w:rsidRPr="004E04DB">
        <w:rPr>
          <w:rFonts w:ascii="Palatino Linotype" w:eastAsia="Palatino Linotype" w:hAnsi="Palatino Linotype" w:cs="Palatino Linotype"/>
          <w:b/>
          <w:sz w:val="24"/>
          <w:szCs w:val="24"/>
        </w:rPr>
        <w:t>SUJETO OBLIGADO</w:t>
      </w:r>
      <w:r w:rsidRPr="004E04DB">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5C9C0EFB" w14:textId="77777777" w:rsidR="00CE6234" w:rsidRPr="004E04DB" w:rsidRDefault="00CE6234" w:rsidP="00D7458B">
      <w:pPr>
        <w:spacing w:after="0" w:line="360" w:lineRule="auto"/>
        <w:ind w:left="567" w:right="560"/>
        <w:jc w:val="both"/>
        <w:rPr>
          <w:rFonts w:ascii="Verdana" w:hAnsi="Verdana"/>
          <w:sz w:val="24"/>
          <w:szCs w:val="18"/>
        </w:rPr>
      </w:pPr>
    </w:p>
    <w:p w14:paraId="5AEB914E" w14:textId="77777777" w:rsidR="00C1478B" w:rsidRPr="004E04DB" w:rsidRDefault="00CE6234" w:rsidP="00C1478B">
      <w:pPr>
        <w:spacing w:after="0" w:line="276" w:lineRule="auto"/>
        <w:ind w:left="567" w:right="560"/>
        <w:jc w:val="both"/>
        <w:rPr>
          <w:rFonts w:ascii="Palatino Linotype" w:hAnsi="Palatino Linotype"/>
          <w:i/>
        </w:rPr>
      </w:pPr>
      <w:r w:rsidRPr="004E04DB">
        <w:rPr>
          <w:rFonts w:ascii="Palatino Linotype" w:hAnsi="Palatino Linotype"/>
          <w:i/>
        </w:rPr>
        <w:t>“</w:t>
      </w:r>
      <w:r w:rsidR="00C1478B" w:rsidRPr="004E04D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BDD037" w14:textId="155E754C" w:rsidR="00F22AE1" w:rsidRPr="004E04DB" w:rsidRDefault="00C1478B" w:rsidP="00C1478B">
      <w:pPr>
        <w:spacing w:after="0" w:line="276" w:lineRule="auto"/>
        <w:ind w:left="567" w:right="560"/>
        <w:jc w:val="both"/>
        <w:rPr>
          <w:rFonts w:ascii="Palatino Linotype" w:eastAsia="Palatino Linotype" w:hAnsi="Palatino Linotype" w:cs="Palatino Linotype"/>
          <w:i/>
        </w:rPr>
      </w:pPr>
      <w:r w:rsidRPr="004E04DB">
        <w:rPr>
          <w:rFonts w:ascii="Palatino Linotype" w:hAnsi="Palatino Linotype"/>
          <w:i/>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01134/ZINACANT/IP/2023, recibida a través del Sistema SAIMEX, en donde se solicita textualmente lo siguiente: “solicito el inventario general de los bienes muebles e inmuebles propiedad del municipio de Zinacantepec, haciendo que se inscriban en el libro especial, con expresión de sus valores y de todas las características de identificación, así como el uso y destino de los mismos;.” (</w:t>
      </w:r>
      <w:proofErr w:type="gramStart"/>
      <w:r w:rsidRPr="004E04DB">
        <w:rPr>
          <w:rFonts w:ascii="Palatino Linotype" w:hAnsi="Palatino Linotype"/>
          <w:i/>
        </w:rPr>
        <w:t>sic</w:t>
      </w:r>
      <w:proofErr w:type="gramEnd"/>
      <w:r w:rsidRPr="004E04DB">
        <w:rPr>
          <w:rFonts w:ascii="Palatino Linotype" w:hAnsi="Palatino Linotype"/>
          <w:i/>
        </w:rPr>
        <w:t xml:space="preserve">). En apego a lo establecido su solicitud fue analizada y turnada al área poseedora de la información, en este caso a la Secretaría del Ayuntamiento, por lo que con fundamento en el artículo 12 de la Ley de Transparencia y Acceso a la Información Pública del Estado de México y Municipios, donde se establece que, “Los sujetos obligados </w:t>
      </w:r>
      <w:r w:rsidRPr="004E04DB">
        <w:rPr>
          <w:rFonts w:ascii="Palatino Linotype" w:hAnsi="Palatino Linotype"/>
          <w:i/>
        </w:rPr>
        <w:lastRenderedPageBreak/>
        <w:t xml:space="preserve">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4E04DB">
        <w:rPr>
          <w:rFonts w:ascii="Palatino Linotype" w:hAnsi="Palatino Linotype"/>
          <w:b/>
          <w:bCs/>
          <w:i/>
          <w:u w:val="single"/>
        </w:rPr>
        <w:t>remito anexa al presente, la respuesta proporcionada por el área competente.</w:t>
      </w:r>
      <w:r w:rsidRPr="004E04DB">
        <w:rPr>
          <w:rFonts w:ascii="Palatino Linotype" w:hAnsi="Palatino Linotype"/>
          <w:i/>
        </w:rPr>
        <w:t xml:space="preserv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CE6234" w:rsidRPr="004E04DB">
        <w:rPr>
          <w:rFonts w:ascii="Palatino Linotype" w:eastAsia="Palatino Linotype" w:hAnsi="Palatino Linotype" w:cs="Palatino Linotype"/>
          <w:i/>
        </w:rPr>
        <w:t xml:space="preserve">”. </w:t>
      </w:r>
    </w:p>
    <w:p w14:paraId="0CFF0350" w14:textId="77777777" w:rsidR="002D6A54" w:rsidRPr="004E04DB" w:rsidRDefault="002D6A54" w:rsidP="002D6A54">
      <w:pPr>
        <w:spacing w:after="0" w:line="360" w:lineRule="auto"/>
        <w:ind w:left="567" w:right="560"/>
        <w:jc w:val="both"/>
        <w:rPr>
          <w:rFonts w:ascii="Palatino Linotype" w:eastAsia="Palatino Linotype" w:hAnsi="Palatino Linotype" w:cs="Palatino Linotype"/>
          <w:sz w:val="24"/>
          <w:szCs w:val="24"/>
        </w:rPr>
      </w:pPr>
    </w:p>
    <w:p w14:paraId="3C408582" w14:textId="6BF692AF" w:rsidR="00F8557D" w:rsidRPr="004E04DB" w:rsidRDefault="00646B44" w:rsidP="00B30C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El Sujeto Obligado a su respuesta adjuntó </w:t>
      </w:r>
      <w:r w:rsidR="006B4A8B" w:rsidRPr="004E04DB">
        <w:rPr>
          <w:rFonts w:ascii="Palatino Linotype" w:eastAsia="Palatino Linotype" w:hAnsi="Palatino Linotype" w:cs="Palatino Linotype"/>
          <w:sz w:val="24"/>
          <w:szCs w:val="24"/>
        </w:rPr>
        <w:t xml:space="preserve">los </w:t>
      </w:r>
      <w:r w:rsidR="00B30C44" w:rsidRPr="004E04DB">
        <w:rPr>
          <w:rFonts w:ascii="Palatino Linotype" w:eastAsia="Palatino Linotype" w:hAnsi="Palatino Linotype" w:cs="Palatino Linotype"/>
          <w:sz w:val="24"/>
          <w:szCs w:val="24"/>
        </w:rPr>
        <w:t>documento</w:t>
      </w:r>
      <w:r w:rsidR="006B4A8B" w:rsidRPr="004E04DB">
        <w:rPr>
          <w:rFonts w:ascii="Palatino Linotype" w:eastAsia="Palatino Linotype" w:hAnsi="Palatino Linotype" w:cs="Palatino Linotype"/>
          <w:sz w:val="24"/>
          <w:szCs w:val="24"/>
        </w:rPr>
        <w:t>s</w:t>
      </w:r>
      <w:r w:rsidR="00B30C44" w:rsidRPr="004E04DB">
        <w:rPr>
          <w:rFonts w:ascii="Palatino Linotype" w:eastAsia="Palatino Linotype" w:hAnsi="Palatino Linotype" w:cs="Palatino Linotype"/>
          <w:sz w:val="24"/>
          <w:szCs w:val="24"/>
        </w:rPr>
        <w:t xml:space="preserve"> que se describe</w:t>
      </w:r>
      <w:r w:rsidR="006B4A8B" w:rsidRPr="004E04DB">
        <w:rPr>
          <w:rFonts w:ascii="Palatino Linotype" w:eastAsia="Palatino Linotype" w:hAnsi="Palatino Linotype" w:cs="Palatino Linotype"/>
          <w:sz w:val="24"/>
          <w:szCs w:val="24"/>
        </w:rPr>
        <w:t>n</w:t>
      </w:r>
      <w:r w:rsidR="00B30C44" w:rsidRPr="004E04DB">
        <w:rPr>
          <w:rFonts w:ascii="Palatino Linotype" w:eastAsia="Palatino Linotype" w:hAnsi="Palatino Linotype" w:cs="Palatino Linotype"/>
          <w:sz w:val="24"/>
          <w:szCs w:val="24"/>
        </w:rPr>
        <w:t xml:space="preserve"> a continuación: </w:t>
      </w:r>
      <w:r w:rsidRPr="004E04DB">
        <w:rPr>
          <w:rFonts w:ascii="Palatino Linotype" w:eastAsia="Palatino Linotype" w:hAnsi="Palatino Linotype" w:cs="Palatino Linotype"/>
          <w:sz w:val="24"/>
          <w:szCs w:val="24"/>
        </w:rPr>
        <w:t xml:space="preserve"> </w:t>
      </w:r>
    </w:p>
    <w:p w14:paraId="79497947" w14:textId="77777777" w:rsidR="006B4A8B" w:rsidRPr="004E04DB" w:rsidRDefault="006B4A8B" w:rsidP="00B30C44">
      <w:pPr>
        <w:spacing w:after="0" w:line="360" w:lineRule="auto"/>
        <w:ind w:right="49"/>
        <w:jc w:val="both"/>
        <w:rPr>
          <w:rFonts w:ascii="Palatino Linotype" w:eastAsia="Palatino Linotype" w:hAnsi="Palatino Linotype" w:cs="Palatino Linotype"/>
          <w:sz w:val="24"/>
          <w:szCs w:val="24"/>
        </w:rPr>
      </w:pPr>
    </w:p>
    <w:p w14:paraId="0F0FE336" w14:textId="4CEF45E5" w:rsidR="00C1478B" w:rsidRPr="004E04DB" w:rsidRDefault="006B4A8B" w:rsidP="00F67DE4">
      <w:pPr>
        <w:pStyle w:val="Prrafodelista"/>
        <w:numPr>
          <w:ilvl w:val="0"/>
          <w:numId w:val="16"/>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4E04DB">
        <w:rPr>
          <w:rFonts w:ascii="Palatino Linotype" w:eastAsia="Palatino Linotype" w:hAnsi="Palatino Linotype" w:cs="Palatino Linotype"/>
        </w:rPr>
        <w:t xml:space="preserve">Oficio de fecha </w:t>
      </w:r>
      <w:r w:rsidR="00C1478B" w:rsidRPr="004E04DB">
        <w:rPr>
          <w:rFonts w:ascii="Palatino Linotype" w:eastAsia="Palatino Linotype" w:hAnsi="Palatino Linotype" w:cs="Palatino Linotype"/>
        </w:rPr>
        <w:t xml:space="preserve">catorce de agosto de dos mil veintitrés, signado por el Secretario del Ayuntamiento, mediante el cual informa que, </w:t>
      </w:r>
      <w:r w:rsidR="00C1478B" w:rsidRPr="004E04DB">
        <w:rPr>
          <w:rFonts w:ascii="Palatino Linotype" w:eastAsia="Palatino Linotype" w:hAnsi="Palatino Linotype" w:cs="Palatino Linotype"/>
          <w:b/>
          <w:bCs/>
        </w:rPr>
        <w:t>el inventario general de bienes muebles e inmuebles del Ayuntamiento, se encuentra publicado en el Portal de Información Pública de Oficio Mexiquense, el cual puede ser consultado en la</w:t>
      </w:r>
      <w:r w:rsidR="00022F7B" w:rsidRPr="004E04DB">
        <w:rPr>
          <w:rFonts w:ascii="Palatino Linotype" w:eastAsia="Palatino Linotype" w:hAnsi="Palatino Linotype" w:cs="Palatino Linotype"/>
          <w:b/>
          <w:bCs/>
        </w:rPr>
        <w:t>s</w:t>
      </w:r>
      <w:r w:rsidR="00C1478B" w:rsidRPr="004E04DB">
        <w:rPr>
          <w:rFonts w:ascii="Palatino Linotype" w:eastAsia="Palatino Linotype" w:hAnsi="Palatino Linotype" w:cs="Palatino Linotype"/>
          <w:b/>
          <w:bCs/>
        </w:rPr>
        <w:t xml:space="preserve"> siguiente</w:t>
      </w:r>
      <w:r w:rsidR="00022F7B" w:rsidRPr="004E04DB">
        <w:rPr>
          <w:rFonts w:ascii="Palatino Linotype" w:eastAsia="Palatino Linotype" w:hAnsi="Palatino Linotype" w:cs="Palatino Linotype"/>
          <w:b/>
          <w:bCs/>
        </w:rPr>
        <w:t>s</w:t>
      </w:r>
      <w:r w:rsidR="00C1478B" w:rsidRPr="004E04DB">
        <w:rPr>
          <w:rFonts w:ascii="Palatino Linotype" w:eastAsia="Palatino Linotype" w:hAnsi="Palatino Linotype" w:cs="Palatino Linotype"/>
          <w:b/>
          <w:bCs/>
        </w:rPr>
        <w:t xml:space="preserve"> liga</w:t>
      </w:r>
      <w:r w:rsidR="00022F7B" w:rsidRPr="004E04DB">
        <w:rPr>
          <w:rFonts w:ascii="Palatino Linotype" w:eastAsia="Palatino Linotype" w:hAnsi="Palatino Linotype" w:cs="Palatino Linotype"/>
          <w:b/>
          <w:bCs/>
        </w:rPr>
        <w:t>s</w:t>
      </w:r>
      <w:r w:rsidR="00C1478B" w:rsidRPr="004E04DB">
        <w:rPr>
          <w:rFonts w:ascii="Palatino Linotype" w:eastAsia="Palatino Linotype" w:hAnsi="Palatino Linotype" w:cs="Palatino Linotype"/>
          <w:b/>
          <w:bCs/>
        </w:rPr>
        <w:t xml:space="preserve"> electrónica</w:t>
      </w:r>
      <w:r w:rsidR="00022F7B" w:rsidRPr="004E04DB">
        <w:rPr>
          <w:rFonts w:ascii="Palatino Linotype" w:eastAsia="Palatino Linotype" w:hAnsi="Palatino Linotype" w:cs="Palatino Linotype"/>
          <w:b/>
          <w:bCs/>
        </w:rPr>
        <w:t>s</w:t>
      </w:r>
      <w:r w:rsidR="00C1478B" w:rsidRPr="004E04DB">
        <w:rPr>
          <w:rFonts w:ascii="Palatino Linotype" w:eastAsia="Palatino Linotype" w:hAnsi="Palatino Linotype" w:cs="Palatino Linotype"/>
          <w:b/>
          <w:bCs/>
        </w:rPr>
        <w:t xml:space="preserve">: </w:t>
      </w:r>
    </w:p>
    <w:p w14:paraId="48B11918" w14:textId="6DB04B4C" w:rsidR="00022F7B" w:rsidRPr="004E04DB" w:rsidRDefault="00AE4905" w:rsidP="00022F7B">
      <w:pPr>
        <w:pStyle w:val="Prrafodelista"/>
        <w:pBdr>
          <w:top w:val="nil"/>
          <w:left w:val="nil"/>
          <w:bottom w:val="nil"/>
          <w:right w:val="nil"/>
          <w:between w:val="nil"/>
        </w:pBdr>
        <w:tabs>
          <w:tab w:val="left" w:pos="993"/>
        </w:tabs>
        <w:spacing w:after="0" w:line="360" w:lineRule="auto"/>
        <w:ind w:left="567" w:right="560"/>
        <w:jc w:val="both"/>
        <w:rPr>
          <w:rFonts w:ascii="Arial" w:hAnsi="Arial" w:cs="Arial"/>
          <w:u w:val="single"/>
        </w:rPr>
      </w:pPr>
      <w:hyperlink r:id="rId9" w:tgtFrame="_blank" w:history="1">
        <w:r w:rsidR="00C1478B" w:rsidRPr="004E04DB">
          <w:rPr>
            <w:rStyle w:val="Hipervnculo"/>
            <w:rFonts w:ascii="Arial" w:hAnsi="Arial" w:cs="Arial"/>
            <w:color w:val="auto"/>
          </w:rPr>
          <w:t>https://www.ipomex.org.mx/ipo3/lgt/indice/ZINACANTEPEC/art</w:t>
        </w:r>
      </w:hyperlink>
      <w:r w:rsidR="00BE550A" w:rsidRPr="004E04DB">
        <w:rPr>
          <w:rFonts w:ascii="Arial" w:hAnsi="Arial" w:cs="Arial"/>
          <w:u w:val="single"/>
        </w:rPr>
        <w:t>_</w:t>
      </w:r>
      <w:r w:rsidR="00C1478B" w:rsidRPr="004E04DB">
        <w:rPr>
          <w:rFonts w:ascii="Arial" w:hAnsi="Arial" w:cs="Arial"/>
          <w:u w:val="single"/>
        </w:rPr>
        <w:t>92</w:t>
      </w:r>
      <w:r w:rsidR="00BE550A" w:rsidRPr="004E04DB">
        <w:rPr>
          <w:rFonts w:ascii="Arial" w:hAnsi="Arial" w:cs="Arial"/>
          <w:u w:val="single"/>
        </w:rPr>
        <w:t>_</w:t>
      </w:r>
      <w:r w:rsidR="00C1478B" w:rsidRPr="004E04DB">
        <w:rPr>
          <w:rFonts w:ascii="Arial" w:hAnsi="Arial" w:cs="Arial"/>
          <w:u w:val="single"/>
        </w:rPr>
        <w:t>xxxviii</w:t>
      </w:r>
      <w:r w:rsidR="00BE550A" w:rsidRPr="004E04DB">
        <w:rPr>
          <w:rFonts w:ascii="Arial" w:hAnsi="Arial" w:cs="Arial"/>
          <w:u w:val="single"/>
        </w:rPr>
        <w:t>_</w:t>
      </w:r>
      <w:r w:rsidR="00C1478B" w:rsidRPr="004E04DB">
        <w:rPr>
          <w:rFonts w:ascii="Arial" w:hAnsi="Arial" w:cs="Arial"/>
          <w:u w:val="single"/>
        </w:rPr>
        <w:t>a.</w:t>
      </w:r>
      <w:r w:rsidR="00BE550A" w:rsidRPr="004E04DB">
        <w:rPr>
          <w:rFonts w:ascii="Arial" w:hAnsi="Arial" w:cs="Arial"/>
          <w:u w:val="single"/>
        </w:rPr>
        <w:t>w</w:t>
      </w:r>
      <w:r w:rsidR="00C1478B" w:rsidRPr="004E04DB">
        <w:rPr>
          <w:rFonts w:ascii="Arial" w:hAnsi="Arial" w:cs="Arial"/>
          <w:u w:val="single"/>
        </w:rPr>
        <w:t>eb?token=03ADUVZw</w:t>
      </w:r>
      <w:r w:rsidR="00BE550A" w:rsidRPr="004E04DB">
        <w:rPr>
          <w:rFonts w:ascii="Arial" w:hAnsi="Arial" w:cs="Arial"/>
          <w:u w:val="single"/>
        </w:rPr>
        <w:t>D</w:t>
      </w:r>
      <w:r w:rsidR="00C1478B" w:rsidRPr="004E04DB">
        <w:rPr>
          <w:rFonts w:ascii="Arial" w:hAnsi="Arial" w:cs="Arial"/>
          <w:u w:val="single"/>
        </w:rPr>
        <w:t>b5Dofq0-vH2</w:t>
      </w:r>
      <w:r w:rsidR="00BE550A" w:rsidRPr="004E04DB">
        <w:rPr>
          <w:rFonts w:ascii="Arial" w:hAnsi="Arial" w:cs="Arial"/>
          <w:u w:val="single"/>
        </w:rPr>
        <w:t>FI_rt</w:t>
      </w:r>
      <w:r w:rsidR="00C1478B" w:rsidRPr="004E04DB">
        <w:rPr>
          <w:rFonts w:ascii="Arial" w:hAnsi="Arial" w:cs="Arial"/>
          <w:u w:val="single"/>
        </w:rPr>
        <w:t>14</w:t>
      </w:r>
      <w:r w:rsidR="00BE550A" w:rsidRPr="004E04DB">
        <w:rPr>
          <w:rFonts w:ascii="Arial" w:hAnsi="Arial" w:cs="Arial"/>
          <w:u w:val="single"/>
        </w:rPr>
        <w:t>O</w:t>
      </w:r>
      <w:r w:rsidR="00C1478B" w:rsidRPr="004E04DB">
        <w:rPr>
          <w:rFonts w:ascii="Arial" w:hAnsi="Arial" w:cs="Arial"/>
          <w:u w:val="single"/>
        </w:rPr>
        <w:t>3</w:t>
      </w:r>
      <w:r w:rsidR="00BE550A" w:rsidRPr="004E04DB">
        <w:rPr>
          <w:rFonts w:ascii="Arial" w:hAnsi="Arial" w:cs="Arial"/>
          <w:u w:val="single"/>
        </w:rPr>
        <w:t>fj</w:t>
      </w:r>
      <w:r w:rsidR="00C1478B" w:rsidRPr="004E04DB">
        <w:rPr>
          <w:rFonts w:ascii="Arial" w:hAnsi="Arial" w:cs="Arial"/>
          <w:u w:val="single"/>
        </w:rPr>
        <w:t>NXHR</w:t>
      </w:r>
      <w:r w:rsidR="00BE550A" w:rsidRPr="004E04DB">
        <w:rPr>
          <w:rFonts w:ascii="Arial" w:hAnsi="Arial" w:cs="Arial"/>
          <w:u w:val="single"/>
        </w:rPr>
        <w:t>j</w:t>
      </w:r>
      <w:r w:rsidR="00C1478B" w:rsidRPr="004E04DB">
        <w:rPr>
          <w:rFonts w:ascii="Arial" w:hAnsi="Arial" w:cs="Arial"/>
          <w:u w:val="single"/>
        </w:rPr>
        <w:t>U</w:t>
      </w:r>
      <w:r w:rsidR="00BE550A" w:rsidRPr="004E04DB">
        <w:rPr>
          <w:rFonts w:ascii="Arial" w:hAnsi="Arial" w:cs="Arial"/>
          <w:u w:val="single"/>
        </w:rPr>
        <w:t>-</w:t>
      </w:r>
      <w:r w:rsidR="00C1478B" w:rsidRPr="004E04DB">
        <w:rPr>
          <w:rFonts w:ascii="Arial" w:hAnsi="Arial" w:cs="Arial"/>
          <w:u w:val="single"/>
        </w:rPr>
        <w:t>30FI3Ps</w:t>
      </w:r>
      <w:r w:rsidR="00BE550A" w:rsidRPr="004E04DB">
        <w:rPr>
          <w:rFonts w:ascii="Arial" w:hAnsi="Arial" w:cs="Arial"/>
          <w:u w:val="single"/>
        </w:rPr>
        <w:t>5</w:t>
      </w:r>
      <w:r w:rsidR="00C1478B" w:rsidRPr="004E04DB">
        <w:rPr>
          <w:rFonts w:ascii="Arial" w:hAnsi="Arial" w:cs="Arial"/>
          <w:u w:val="single"/>
        </w:rPr>
        <w:t>vwhE1CNzoGHJbG4</w:t>
      </w:r>
      <w:r w:rsidR="00BE550A" w:rsidRPr="004E04DB">
        <w:rPr>
          <w:rFonts w:ascii="Arial" w:hAnsi="Arial" w:cs="Arial"/>
          <w:u w:val="single"/>
        </w:rPr>
        <w:t>i</w:t>
      </w:r>
      <w:r w:rsidR="00C1478B" w:rsidRPr="004E04DB">
        <w:rPr>
          <w:rFonts w:ascii="Arial" w:hAnsi="Arial" w:cs="Arial"/>
          <w:u w:val="single"/>
        </w:rPr>
        <w:t>2LiAsr</w:t>
      </w:r>
      <w:r w:rsidR="00BE550A" w:rsidRPr="004E04DB">
        <w:rPr>
          <w:rFonts w:ascii="Arial" w:hAnsi="Arial" w:cs="Arial"/>
          <w:u w:val="single"/>
        </w:rPr>
        <w:t>q</w:t>
      </w:r>
      <w:r w:rsidR="00C1478B" w:rsidRPr="004E04DB">
        <w:rPr>
          <w:rFonts w:ascii="Arial" w:hAnsi="Arial" w:cs="Arial"/>
          <w:u w:val="single"/>
        </w:rPr>
        <w:t>iO</w:t>
      </w:r>
      <w:r w:rsidR="00BE550A" w:rsidRPr="004E04DB">
        <w:rPr>
          <w:rFonts w:ascii="Arial" w:hAnsi="Arial" w:cs="Arial"/>
          <w:u w:val="single"/>
        </w:rPr>
        <w:t>p_</w:t>
      </w:r>
      <w:r w:rsidR="00C1478B" w:rsidRPr="004E04DB">
        <w:rPr>
          <w:rFonts w:ascii="Arial" w:hAnsi="Arial" w:cs="Arial"/>
          <w:u w:val="single"/>
        </w:rPr>
        <w:t>QG</w:t>
      </w:r>
      <w:r w:rsidR="00BE550A" w:rsidRPr="004E04DB">
        <w:rPr>
          <w:rFonts w:ascii="Arial" w:hAnsi="Arial" w:cs="Arial"/>
          <w:u w:val="single"/>
        </w:rPr>
        <w:t>z</w:t>
      </w:r>
      <w:r w:rsidR="00C1478B" w:rsidRPr="004E04DB">
        <w:rPr>
          <w:rFonts w:ascii="Arial" w:hAnsi="Arial" w:cs="Arial"/>
          <w:u w:val="single"/>
        </w:rPr>
        <w:t>8PNI</w:t>
      </w:r>
      <w:r w:rsidR="00BE550A" w:rsidRPr="004E04DB">
        <w:rPr>
          <w:rFonts w:ascii="Arial" w:hAnsi="Arial" w:cs="Arial"/>
          <w:u w:val="single"/>
        </w:rPr>
        <w:t>Q</w:t>
      </w:r>
      <w:r w:rsidR="00C1478B" w:rsidRPr="004E04DB">
        <w:rPr>
          <w:rFonts w:ascii="Arial" w:hAnsi="Arial" w:cs="Arial"/>
          <w:u w:val="single"/>
        </w:rPr>
        <w:t>F2UtR</w:t>
      </w:r>
      <w:r w:rsidR="00BE550A" w:rsidRPr="004E04DB">
        <w:rPr>
          <w:rFonts w:ascii="Arial" w:hAnsi="Arial" w:cs="Arial"/>
          <w:u w:val="single"/>
        </w:rPr>
        <w:t>j</w:t>
      </w:r>
      <w:r w:rsidR="00C1478B" w:rsidRPr="004E04DB">
        <w:rPr>
          <w:rFonts w:ascii="Arial" w:hAnsi="Arial" w:cs="Arial"/>
          <w:u w:val="single"/>
        </w:rPr>
        <w:t>tiSnmIZ6wOV2QhV9xFtPB2zBpOilEA</w:t>
      </w:r>
      <w:r w:rsidR="00BE550A" w:rsidRPr="004E04DB">
        <w:rPr>
          <w:rFonts w:ascii="Arial" w:hAnsi="Arial" w:cs="Arial"/>
          <w:u w:val="single"/>
        </w:rPr>
        <w:t>q</w:t>
      </w:r>
      <w:r w:rsidR="00C1478B" w:rsidRPr="004E04DB">
        <w:rPr>
          <w:rFonts w:ascii="Arial" w:hAnsi="Arial" w:cs="Arial"/>
          <w:u w:val="single"/>
        </w:rPr>
        <w:t>c</w:t>
      </w:r>
      <w:r w:rsidR="00BE550A" w:rsidRPr="004E04DB">
        <w:rPr>
          <w:rFonts w:ascii="Arial" w:hAnsi="Arial" w:cs="Arial"/>
          <w:u w:val="single"/>
        </w:rPr>
        <w:t>0</w:t>
      </w:r>
      <w:r w:rsidR="00C1478B" w:rsidRPr="004E04DB">
        <w:rPr>
          <w:rFonts w:ascii="Arial" w:hAnsi="Arial" w:cs="Arial"/>
          <w:u w:val="single"/>
        </w:rPr>
        <w:t>tB</w:t>
      </w:r>
      <w:r w:rsidR="00BE550A" w:rsidRPr="004E04DB">
        <w:rPr>
          <w:rFonts w:ascii="Arial" w:hAnsi="Arial" w:cs="Arial"/>
          <w:u w:val="single"/>
        </w:rPr>
        <w:t>f</w:t>
      </w:r>
      <w:r w:rsidR="00C1478B" w:rsidRPr="004E04DB">
        <w:rPr>
          <w:rFonts w:ascii="Arial" w:hAnsi="Arial" w:cs="Arial"/>
          <w:u w:val="single"/>
        </w:rPr>
        <w:t>7mNoo2ENVe5xThdVCDNukHGH2</w:t>
      </w:r>
      <w:r w:rsidR="00BE550A" w:rsidRPr="004E04DB">
        <w:rPr>
          <w:rFonts w:ascii="Arial" w:hAnsi="Arial" w:cs="Arial"/>
          <w:u w:val="single"/>
        </w:rPr>
        <w:t>rx</w:t>
      </w:r>
      <w:r w:rsidR="00C1478B" w:rsidRPr="004E04DB">
        <w:rPr>
          <w:rFonts w:ascii="Arial" w:hAnsi="Arial" w:cs="Arial"/>
          <w:u w:val="single"/>
        </w:rPr>
        <w:t>273D</w:t>
      </w:r>
      <w:r w:rsidR="00BE550A" w:rsidRPr="004E04DB">
        <w:rPr>
          <w:rFonts w:ascii="Arial" w:hAnsi="Arial" w:cs="Arial"/>
          <w:u w:val="single"/>
        </w:rPr>
        <w:t>t</w:t>
      </w:r>
      <w:r w:rsidR="00C1478B" w:rsidRPr="004E04DB">
        <w:rPr>
          <w:rFonts w:ascii="Arial" w:hAnsi="Arial" w:cs="Arial"/>
          <w:u w:val="single"/>
        </w:rPr>
        <w:t>mB9BKCkUm</w:t>
      </w:r>
      <w:r w:rsidR="00BE550A" w:rsidRPr="004E04DB">
        <w:rPr>
          <w:rFonts w:ascii="Arial" w:hAnsi="Arial" w:cs="Arial"/>
          <w:u w:val="single"/>
        </w:rPr>
        <w:t>_</w:t>
      </w:r>
      <w:r w:rsidR="00C1478B" w:rsidRPr="004E04DB">
        <w:rPr>
          <w:rFonts w:ascii="Arial" w:hAnsi="Arial" w:cs="Arial"/>
          <w:u w:val="single"/>
        </w:rPr>
        <w:t>AJBr</w:t>
      </w:r>
      <w:r w:rsidR="00BE550A" w:rsidRPr="004E04DB">
        <w:rPr>
          <w:rFonts w:ascii="Arial" w:hAnsi="Arial" w:cs="Arial"/>
          <w:u w:val="single"/>
        </w:rPr>
        <w:t>8</w:t>
      </w:r>
      <w:r w:rsidR="00C1478B" w:rsidRPr="004E04DB">
        <w:rPr>
          <w:rFonts w:ascii="Arial" w:hAnsi="Arial" w:cs="Arial"/>
          <w:u w:val="single"/>
        </w:rPr>
        <w:t>gZDSvsx5YQXmN1aw</w:t>
      </w:r>
      <w:r w:rsidR="00BE550A" w:rsidRPr="004E04DB">
        <w:rPr>
          <w:rFonts w:ascii="Arial" w:hAnsi="Arial" w:cs="Arial"/>
          <w:u w:val="single"/>
        </w:rPr>
        <w:t>80</w:t>
      </w:r>
      <w:r w:rsidR="00C1478B" w:rsidRPr="004E04DB">
        <w:rPr>
          <w:rFonts w:ascii="Arial" w:hAnsi="Arial" w:cs="Arial"/>
          <w:u w:val="single"/>
        </w:rPr>
        <w:t>h</w:t>
      </w:r>
      <w:r w:rsidR="00BE550A" w:rsidRPr="004E04DB">
        <w:rPr>
          <w:rFonts w:ascii="Arial" w:hAnsi="Arial" w:cs="Arial"/>
          <w:u w:val="single"/>
        </w:rPr>
        <w:t>l</w:t>
      </w:r>
      <w:r w:rsidR="00C1478B" w:rsidRPr="004E04DB">
        <w:rPr>
          <w:rFonts w:ascii="Arial" w:hAnsi="Arial" w:cs="Arial"/>
          <w:u w:val="single"/>
        </w:rPr>
        <w:t>nPEKirH</w:t>
      </w:r>
      <w:r w:rsidR="00BE550A" w:rsidRPr="004E04DB">
        <w:rPr>
          <w:rFonts w:ascii="Arial" w:hAnsi="Arial" w:cs="Arial"/>
          <w:u w:val="single"/>
        </w:rPr>
        <w:t>0</w:t>
      </w:r>
      <w:r w:rsidR="00C1478B" w:rsidRPr="004E04DB">
        <w:rPr>
          <w:rFonts w:ascii="Arial" w:hAnsi="Arial" w:cs="Arial"/>
          <w:u w:val="single"/>
        </w:rPr>
        <w:t>AtSDyd1BxfjoWedvv5Y</w:t>
      </w:r>
      <w:r w:rsidR="00BE550A" w:rsidRPr="004E04DB">
        <w:rPr>
          <w:rFonts w:ascii="Arial" w:hAnsi="Arial" w:cs="Arial"/>
          <w:u w:val="single"/>
        </w:rPr>
        <w:t>9</w:t>
      </w:r>
      <w:r w:rsidR="00C1478B" w:rsidRPr="004E04DB">
        <w:rPr>
          <w:rFonts w:ascii="Arial" w:hAnsi="Arial" w:cs="Arial"/>
          <w:u w:val="single"/>
        </w:rPr>
        <w:t>A2QIMNmPF5X</w:t>
      </w:r>
      <w:r w:rsidR="00BE550A" w:rsidRPr="004E04DB">
        <w:rPr>
          <w:rFonts w:ascii="Arial" w:hAnsi="Arial" w:cs="Arial"/>
          <w:u w:val="single"/>
        </w:rPr>
        <w:t>v</w:t>
      </w:r>
      <w:r w:rsidR="00C1478B" w:rsidRPr="004E04DB">
        <w:rPr>
          <w:rFonts w:ascii="Arial" w:hAnsi="Arial" w:cs="Arial"/>
          <w:u w:val="single"/>
        </w:rPr>
        <w:t>EoBk</w:t>
      </w:r>
      <w:r w:rsidR="00BE550A" w:rsidRPr="004E04DB">
        <w:rPr>
          <w:rFonts w:ascii="Arial" w:hAnsi="Arial" w:cs="Arial"/>
          <w:u w:val="single"/>
        </w:rPr>
        <w:t>p</w:t>
      </w:r>
      <w:r w:rsidR="00C1478B" w:rsidRPr="004E04DB">
        <w:rPr>
          <w:rFonts w:ascii="Arial" w:hAnsi="Arial" w:cs="Arial"/>
          <w:u w:val="single"/>
        </w:rPr>
        <w:t>suK7isOeaHm</w:t>
      </w:r>
      <w:r w:rsidR="00BE550A" w:rsidRPr="004E04DB">
        <w:rPr>
          <w:rFonts w:ascii="Arial" w:hAnsi="Arial" w:cs="Arial"/>
          <w:u w:val="single"/>
        </w:rPr>
        <w:t>c</w:t>
      </w:r>
      <w:r w:rsidR="00C1478B" w:rsidRPr="004E04DB">
        <w:rPr>
          <w:rFonts w:ascii="Arial" w:hAnsi="Arial" w:cs="Arial"/>
          <w:u w:val="single"/>
        </w:rPr>
        <w:t>D</w:t>
      </w:r>
      <w:r w:rsidR="00BE550A" w:rsidRPr="004E04DB">
        <w:rPr>
          <w:rFonts w:ascii="Arial" w:hAnsi="Arial" w:cs="Arial"/>
          <w:u w:val="single"/>
        </w:rPr>
        <w:t>J</w:t>
      </w:r>
      <w:r w:rsidR="00C1478B" w:rsidRPr="004E04DB">
        <w:rPr>
          <w:rFonts w:ascii="Arial" w:hAnsi="Arial" w:cs="Arial"/>
          <w:u w:val="single"/>
        </w:rPr>
        <w:t>UDa84W</w:t>
      </w:r>
      <w:r w:rsidR="00BE550A" w:rsidRPr="004E04DB">
        <w:rPr>
          <w:rFonts w:ascii="Arial" w:hAnsi="Arial" w:cs="Arial"/>
          <w:u w:val="single"/>
        </w:rPr>
        <w:t>8c</w:t>
      </w:r>
      <w:r w:rsidR="00C1478B" w:rsidRPr="004E04DB">
        <w:rPr>
          <w:rFonts w:ascii="Arial" w:hAnsi="Arial" w:cs="Arial"/>
          <w:u w:val="single"/>
        </w:rPr>
        <w:t>XT</w:t>
      </w:r>
      <w:r w:rsidR="00BE550A" w:rsidRPr="004E04DB">
        <w:rPr>
          <w:rFonts w:ascii="Arial" w:hAnsi="Arial" w:cs="Arial"/>
          <w:u w:val="single"/>
        </w:rPr>
        <w:t>fz</w:t>
      </w:r>
      <w:r w:rsidR="00C1478B" w:rsidRPr="004E04DB">
        <w:rPr>
          <w:rFonts w:ascii="Arial" w:hAnsi="Arial" w:cs="Arial"/>
          <w:u w:val="single"/>
        </w:rPr>
        <w:t>JMJ7</w:t>
      </w:r>
      <w:r w:rsidR="00BE550A" w:rsidRPr="004E04DB">
        <w:rPr>
          <w:rFonts w:ascii="Arial" w:hAnsi="Arial" w:cs="Arial"/>
          <w:u w:val="single"/>
        </w:rPr>
        <w:t>y</w:t>
      </w:r>
      <w:r w:rsidR="00C1478B" w:rsidRPr="004E04DB">
        <w:rPr>
          <w:rFonts w:ascii="Arial" w:hAnsi="Arial" w:cs="Arial"/>
          <w:u w:val="single"/>
        </w:rPr>
        <w:t>2uwU</w:t>
      </w:r>
      <w:r w:rsidR="00BE550A" w:rsidRPr="004E04DB">
        <w:rPr>
          <w:rFonts w:ascii="Arial" w:hAnsi="Arial" w:cs="Arial"/>
          <w:u w:val="single"/>
        </w:rPr>
        <w:t>f</w:t>
      </w:r>
      <w:r w:rsidR="00C1478B" w:rsidRPr="004E04DB">
        <w:rPr>
          <w:rFonts w:ascii="Arial" w:hAnsi="Arial" w:cs="Arial"/>
          <w:u w:val="single"/>
        </w:rPr>
        <w:t>cA</w:t>
      </w:r>
      <w:r w:rsidR="00BE550A" w:rsidRPr="004E04DB">
        <w:rPr>
          <w:rFonts w:ascii="Arial" w:hAnsi="Arial" w:cs="Arial"/>
          <w:u w:val="single"/>
        </w:rPr>
        <w:t>2q</w:t>
      </w:r>
      <w:r w:rsidR="00C1478B" w:rsidRPr="004E04DB">
        <w:rPr>
          <w:rFonts w:ascii="Arial" w:hAnsi="Arial" w:cs="Arial"/>
          <w:u w:val="single"/>
        </w:rPr>
        <w:t>NEaV</w:t>
      </w:r>
      <w:r w:rsidR="00BE550A" w:rsidRPr="004E04DB">
        <w:rPr>
          <w:rFonts w:ascii="Arial" w:hAnsi="Arial" w:cs="Arial"/>
          <w:u w:val="single"/>
        </w:rPr>
        <w:t>Ip</w:t>
      </w:r>
      <w:r w:rsidR="00C1478B" w:rsidRPr="004E04DB">
        <w:rPr>
          <w:rFonts w:ascii="Arial" w:hAnsi="Arial" w:cs="Arial"/>
          <w:u w:val="single"/>
        </w:rPr>
        <w:t>PIGSJDS3FZiGHXIBA4KPAVUD15mcYinhbOsLoMGM3WLESRO3DwiX4X82 KIEMZ.KOlzFyn8Fk7 k52w1uDretZit FKvF2KTUlSydJm0dvha60JPB3UeLWGEsKiuxQVweQBDw4z8Y-SZX584xOPnTSWUkuHioFSWILAQYUXCAJOWN9VWXWZXiBxISRTEcsNiGyc</w:t>
      </w:r>
      <w:r w:rsidR="00C1478B" w:rsidRPr="004E04DB">
        <w:rPr>
          <w:rFonts w:ascii="Arial" w:hAnsi="Arial" w:cs="Arial"/>
          <w:u w:val="single"/>
        </w:rPr>
        <w:lastRenderedPageBreak/>
        <w:t>pEiOc7 h81z5pM TV/wQIUobxTIKD8tsHIVnO va30vAP3SqOrigREe 25x0FD8G2JASRDEBbahSCyscC43aEXPhUrdJ</w:t>
      </w:r>
      <w:r w:rsidR="00713594" w:rsidRPr="004E04DB">
        <w:rPr>
          <w:rFonts w:ascii="Arial" w:hAnsi="Arial" w:cs="Arial"/>
          <w:u w:val="single"/>
        </w:rPr>
        <w:t>5-</w:t>
      </w:r>
      <w:r w:rsidR="00C1478B" w:rsidRPr="004E04DB">
        <w:rPr>
          <w:rFonts w:ascii="Arial" w:hAnsi="Arial" w:cs="Arial"/>
          <w:u w:val="single"/>
        </w:rPr>
        <w:t>IZS</w:t>
      </w:r>
      <w:r w:rsidR="00713594" w:rsidRPr="004E04DB">
        <w:rPr>
          <w:rFonts w:ascii="Arial" w:hAnsi="Arial" w:cs="Arial"/>
          <w:u w:val="single"/>
        </w:rPr>
        <w:t>g</w:t>
      </w:r>
      <w:r w:rsidR="00C1478B" w:rsidRPr="004E04DB">
        <w:rPr>
          <w:rFonts w:ascii="Arial" w:hAnsi="Arial" w:cs="Arial"/>
          <w:u w:val="single"/>
        </w:rPr>
        <w:t>TZISPNhvAu0277</w:t>
      </w:r>
      <w:r w:rsidR="00713594" w:rsidRPr="004E04DB">
        <w:rPr>
          <w:rFonts w:ascii="Arial" w:hAnsi="Arial" w:cs="Arial"/>
          <w:u w:val="single"/>
        </w:rPr>
        <w:t>Y</w:t>
      </w:r>
      <w:r w:rsidR="00C1478B" w:rsidRPr="004E04DB">
        <w:rPr>
          <w:rFonts w:ascii="Arial" w:hAnsi="Arial" w:cs="Arial"/>
          <w:u w:val="single"/>
        </w:rPr>
        <w:t>feg</w:t>
      </w:r>
      <w:r w:rsidR="00713594" w:rsidRPr="004E04DB">
        <w:rPr>
          <w:rFonts w:ascii="Arial" w:hAnsi="Arial" w:cs="Arial"/>
          <w:u w:val="single"/>
        </w:rPr>
        <w:t>yd</w:t>
      </w:r>
      <w:r w:rsidR="00C1478B" w:rsidRPr="004E04DB">
        <w:rPr>
          <w:rFonts w:ascii="Arial" w:hAnsi="Arial" w:cs="Arial"/>
          <w:u w:val="single"/>
        </w:rPr>
        <w:t>5</w:t>
      </w:r>
      <w:r w:rsidR="00713594" w:rsidRPr="004E04DB">
        <w:rPr>
          <w:rFonts w:ascii="Arial" w:hAnsi="Arial" w:cs="Arial"/>
          <w:u w:val="single"/>
        </w:rPr>
        <w:t>Q</w:t>
      </w:r>
      <w:r w:rsidR="00C1478B" w:rsidRPr="004E04DB">
        <w:rPr>
          <w:rFonts w:ascii="Arial" w:hAnsi="Arial" w:cs="Arial"/>
          <w:u w:val="single"/>
        </w:rPr>
        <w:t>BE</w:t>
      </w:r>
      <w:r w:rsidR="00713594" w:rsidRPr="004E04DB">
        <w:rPr>
          <w:rFonts w:ascii="Arial" w:hAnsi="Arial" w:cs="Arial"/>
          <w:u w:val="single"/>
        </w:rPr>
        <w:t>8</w:t>
      </w:r>
      <w:r w:rsidR="00C1478B" w:rsidRPr="004E04DB">
        <w:rPr>
          <w:rFonts w:ascii="Arial" w:hAnsi="Arial" w:cs="Arial"/>
          <w:u w:val="single"/>
        </w:rPr>
        <w:t>hcU</w:t>
      </w:r>
      <w:r w:rsidR="00713594" w:rsidRPr="004E04DB">
        <w:rPr>
          <w:rFonts w:ascii="Arial" w:hAnsi="Arial" w:cs="Arial"/>
          <w:u w:val="single"/>
        </w:rPr>
        <w:t>-</w:t>
      </w:r>
      <w:r w:rsidR="00C1478B" w:rsidRPr="004E04DB">
        <w:rPr>
          <w:rFonts w:ascii="Arial" w:hAnsi="Arial" w:cs="Arial"/>
          <w:u w:val="single"/>
        </w:rPr>
        <w:t>m</w:t>
      </w:r>
      <w:r w:rsidR="00713594" w:rsidRPr="004E04DB">
        <w:rPr>
          <w:rFonts w:ascii="Arial" w:hAnsi="Arial" w:cs="Arial"/>
          <w:u w:val="single"/>
        </w:rPr>
        <w:t>H</w:t>
      </w:r>
      <w:r w:rsidR="00C1478B" w:rsidRPr="004E04DB">
        <w:rPr>
          <w:rFonts w:ascii="Arial" w:hAnsi="Arial" w:cs="Arial"/>
          <w:u w:val="single"/>
        </w:rPr>
        <w:t>inuneJ5I</w:t>
      </w:r>
      <w:r w:rsidR="00713594" w:rsidRPr="004E04DB">
        <w:rPr>
          <w:rFonts w:ascii="Arial" w:hAnsi="Arial" w:cs="Arial"/>
          <w:u w:val="single"/>
        </w:rPr>
        <w:t>r</w:t>
      </w:r>
      <w:r w:rsidR="00C1478B" w:rsidRPr="004E04DB">
        <w:rPr>
          <w:rFonts w:ascii="Arial" w:hAnsi="Arial" w:cs="Arial"/>
          <w:u w:val="single"/>
        </w:rPr>
        <w:t>tGVBOF</w:t>
      </w:r>
      <w:r w:rsidR="00713594" w:rsidRPr="004E04DB">
        <w:rPr>
          <w:rFonts w:ascii="Arial" w:hAnsi="Arial" w:cs="Arial"/>
          <w:u w:val="single"/>
        </w:rPr>
        <w:t>J</w:t>
      </w:r>
      <w:r w:rsidR="00C1478B" w:rsidRPr="004E04DB">
        <w:rPr>
          <w:rFonts w:ascii="Arial" w:hAnsi="Arial" w:cs="Arial"/>
          <w:u w:val="single"/>
        </w:rPr>
        <w:t>xQw</w:t>
      </w:r>
      <w:r w:rsidR="00713594" w:rsidRPr="004E04DB">
        <w:rPr>
          <w:rFonts w:ascii="Arial" w:hAnsi="Arial" w:cs="Arial"/>
          <w:u w:val="single"/>
        </w:rPr>
        <w:t>9</w:t>
      </w:r>
      <w:r w:rsidR="00C1478B" w:rsidRPr="004E04DB">
        <w:rPr>
          <w:rFonts w:ascii="Arial" w:hAnsi="Arial" w:cs="Arial"/>
          <w:u w:val="single"/>
        </w:rPr>
        <w:t>NizdkA</w:t>
      </w:r>
      <w:r w:rsidR="00713594" w:rsidRPr="004E04DB">
        <w:rPr>
          <w:rFonts w:ascii="Arial" w:hAnsi="Arial" w:cs="Arial"/>
          <w:u w:val="single"/>
        </w:rPr>
        <w:t xml:space="preserve">Bw </w:t>
      </w:r>
    </w:p>
    <w:p w14:paraId="49E08136" w14:textId="1D410CCF" w:rsidR="00022F7B" w:rsidRPr="004E04DB" w:rsidRDefault="00022F7B" w:rsidP="00022F7B">
      <w:pPr>
        <w:shd w:val="clear" w:color="auto" w:fill="FFFFFF"/>
        <w:ind w:left="567" w:right="560"/>
        <w:rPr>
          <w:rFonts w:ascii="Arial" w:hAnsi="Arial" w:cs="Arial"/>
        </w:rPr>
      </w:pPr>
      <w:proofErr w:type="gramStart"/>
      <w:r w:rsidRPr="004E04DB">
        <w:rPr>
          <w:rFonts w:ascii="Arial" w:hAnsi="Arial" w:cs="Arial"/>
        </w:rPr>
        <w:t>y</w:t>
      </w:r>
      <w:proofErr w:type="gramEnd"/>
      <w:r w:rsidRPr="004E04DB">
        <w:rPr>
          <w:rFonts w:ascii="Arial" w:hAnsi="Arial" w:cs="Arial"/>
        </w:rPr>
        <w:t>;</w:t>
      </w:r>
    </w:p>
    <w:p w14:paraId="67C3E79C" w14:textId="767F8E54" w:rsidR="00C1478B" w:rsidRPr="004E04DB" w:rsidRDefault="00AE4905" w:rsidP="00022F7B">
      <w:pPr>
        <w:shd w:val="clear" w:color="auto" w:fill="FFFFFF"/>
        <w:ind w:left="567" w:right="560"/>
        <w:rPr>
          <w:rFonts w:ascii="Arial" w:hAnsi="Arial" w:cs="Arial"/>
        </w:rPr>
      </w:pPr>
      <w:hyperlink r:id="rId10" w:history="1">
        <w:r w:rsidR="00022F7B" w:rsidRPr="004E04DB">
          <w:rPr>
            <w:rStyle w:val="Hipervnculo"/>
            <w:rFonts w:ascii="Arial" w:hAnsi="Arial" w:cs="Arial"/>
            <w:color w:val="auto"/>
          </w:rPr>
          <w:t>https://www.ipomex.org.mx/ipo3/lgt/indice/ZINACANTEPEC/art_92_xxxviii_d.web?token=03ADUVZwBHIBi3duP4tGOso0QNfVuc56AIFWggVsoPm7M2YM78qAE5HJAv48afs0IOpupVoYM1MDcIVdMcZ9JMwEI6iZRZonawDATspluBDkcSnYN97bvjAdSeEZkdGbXpgk8aa4PDAvYsos5kjVfQfgF3JgDNVea0QZ36id-RKFINNzjkixNG-Msgo3JXzPU7UazibiyaAg3lq2KyQyMCKMphngHbn5cC28x0GYWYF5Mw089gYXPMulzXMXGILGdCr-EmEZ5cHNGhRbTVrtdVz47LpOu3AKuC2nL2t02Vv5BsXIBfq_6XQ2rJIAe1H6IFVIfdQIgS7SB5ypQFaeqJLImscYYsopVwR2QPSeywD-FGNSfYjsIAZANOMJQbhWwYs.OEiCOx57PnfGUgiVEy-3NAifZqWkbQ4x2|giEdoyLweLNJvclid9HDNhwloMXKbiiHWCZMPZO5sWIWT7.TirK8pT854SA05pnzd4Fg599KDeRWJa6iWz54K0GJGyq0P6FJb2xuBeJ5BBdgsB7fGgfwGL7rTRNoluFCiki_Z3ymweN4LV7z9I24CROfcRxardgYAFQ0XFxQR4s8iBLx5gDyPgx-SZ0RWIn0syA1o-9drYEh8</w:t>
        </w:r>
      </w:hyperlink>
      <w:r w:rsidR="00713594" w:rsidRPr="004E04DB">
        <w:rPr>
          <w:rFonts w:ascii="Arial" w:hAnsi="Arial" w:cs="Arial"/>
        </w:rPr>
        <w:t xml:space="preserve"> </w:t>
      </w:r>
    </w:p>
    <w:p w14:paraId="5156D9D5" w14:textId="77777777" w:rsidR="006B4A8B" w:rsidRPr="004E04DB" w:rsidRDefault="006B4A8B" w:rsidP="006B4A8B">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759EDBF5" w14:textId="399BBCC6" w:rsidR="00F8557D" w:rsidRPr="004E04DB" w:rsidRDefault="00D7458B"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 xml:space="preserve">Recurso de Revisión. </w:t>
      </w:r>
      <w:r w:rsidRPr="004E04DB">
        <w:rPr>
          <w:rFonts w:ascii="Palatino Linotype" w:eastAsia="Palatino Linotype" w:hAnsi="Palatino Linotype" w:cs="Palatino Linotype"/>
          <w:sz w:val="24"/>
          <w:szCs w:val="24"/>
        </w:rPr>
        <w:t xml:space="preserve">En fecha </w:t>
      </w:r>
      <w:r w:rsidR="00022F7B" w:rsidRPr="004E04DB">
        <w:rPr>
          <w:rFonts w:ascii="Palatino Linotype" w:eastAsia="Palatino Linotype" w:hAnsi="Palatino Linotype" w:cs="Palatino Linotype"/>
          <w:b/>
          <w:sz w:val="24"/>
          <w:szCs w:val="24"/>
        </w:rPr>
        <w:t>cinco de septiembre</w:t>
      </w:r>
      <w:r w:rsidRPr="004E04DB">
        <w:rPr>
          <w:rFonts w:ascii="Palatino Linotype" w:eastAsia="Palatino Linotype" w:hAnsi="Palatino Linotype" w:cs="Palatino Linotype"/>
          <w:b/>
          <w:sz w:val="24"/>
          <w:szCs w:val="24"/>
        </w:rPr>
        <w:t xml:space="preserve"> de dos mil veintitrés</w:t>
      </w:r>
      <w:r w:rsidRPr="004E04DB">
        <w:rPr>
          <w:rFonts w:ascii="Palatino Linotype" w:eastAsia="Palatino Linotype" w:hAnsi="Palatino Linotype" w:cs="Palatino Linotype"/>
          <w:sz w:val="24"/>
          <w:szCs w:val="24"/>
        </w:rPr>
        <w:t xml:space="preserve"> la persona Solicitante</w:t>
      </w:r>
      <w:r w:rsidR="00646B44" w:rsidRPr="004E04DB">
        <w:rPr>
          <w:rFonts w:ascii="Palatino Linotype" w:eastAsia="Palatino Linotype" w:hAnsi="Palatino Linotype" w:cs="Palatino Linotype"/>
          <w:sz w:val="24"/>
          <w:szCs w:val="24"/>
        </w:rPr>
        <w:t xml:space="preserve"> interpuso Recurso de Revisión a través del </w:t>
      </w:r>
      <w:r w:rsidR="00646B44" w:rsidRPr="004E04DB">
        <w:rPr>
          <w:rFonts w:ascii="Palatino Linotype" w:eastAsia="Palatino Linotype" w:hAnsi="Palatino Linotype" w:cs="Palatino Linotype"/>
          <w:b/>
          <w:sz w:val="24"/>
          <w:szCs w:val="24"/>
        </w:rPr>
        <w:t>SAIMEX</w:t>
      </w:r>
      <w:r w:rsidR="00646B44" w:rsidRPr="004E04DB">
        <w:rPr>
          <w:rFonts w:ascii="Palatino Linotype" w:eastAsia="Palatino Linotype" w:hAnsi="Palatino Linotype" w:cs="Palatino Linotype"/>
          <w:sz w:val="24"/>
          <w:szCs w:val="24"/>
        </w:rPr>
        <w:t>, a través del cual expresó lo siguiente:</w:t>
      </w:r>
    </w:p>
    <w:p w14:paraId="6A6948AD" w14:textId="77777777" w:rsidR="00F8557D" w:rsidRPr="004E04DB"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6587CB13" w:rsidR="00F8557D" w:rsidRPr="004E04DB"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4E04DB">
        <w:rPr>
          <w:rFonts w:ascii="Palatino Linotype" w:eastAsia="Palatino Linotype" w:hAnsi="Palatino Linotype" w:cs="Palatino Linotype"/>
          <w:b/>
          <w:sz w:val="24"/>
          <w:szCs w:val="24"/>
        </w:rPr>
        <w:t xml:space="preserve">Acto impugnado. </w:t>
      </w:r>
      <w:r w:rsidRPr="004E04DB">
        <w:rPr>
          <w:rFonts w:ascii="Palatino Linotype" w:eastAsia="Palatino Linotype" w:hAnsi="Palatino Linotype" w:cs="Palatino Linotype"/>
        </w:rPr>
        <w:t>“</w:t>
      </w:r>
      <w:r w:rsidR="00022F7B" w:rsidRPr="004E04DB">
        <w:rPr>
          <w:rFonts w:ascii="Palatino Linotype" w:eastAsia="Palatino Linotype" w:hAnsi="Palatino Linotype" w:cs="Palatino Linotype"/>
          <w:i/>
        </w:rPr>
        <w:t>NO ENTREGA INFORMACIÓN</w:t>
      </w:r>
      <w:r w:rsidRPr="004E04DB">
        <w:rPr>
          <w:rFonts w:ascii="Palatino Linotype" w:eastAsia="Palatino Linotype" w:hAnsi="Palatino Linotype" w:cs="Palatino Linotype"/>
          <w:i/>
        </w:rPr>
        <w:t>”.</w:t>
      </w:r>
    </w:p>
    <w:p w14:paraId="3CF073E1" w14:textId="77777777" w:rsidR="00F8557D" w:rsidRPr="004E04DB"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0F61B626" w14:textId="3069F148" w:rsidR="00F8557D" w:rsidRPr="004E04DB" w:rsidRDefault="00646B44" w:rsidP="00022F7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rPr>
      </w:pPr>
      <w:r w:rsidRPr="004E04DB">
        <w:rPr>
          <w:rFonts w:ascii="Palatino Linotype" w:eastAsia="Palatino Linotype" w:hAnsi="Palatino Linotype" w:cs="Palatino Linotype"/>
          <w:b/>
          <w:sz w:val="24"/>
          <w:szCs w:val="24"/>
        </w:rPr>
        <w:t xml:space="preserve">Razones o motivos de la inconformidad: </w:t>
      </w:r>
      <w:r w:rsidRPr="004E04DB">
        <w:rPr>
          <w:rFonts w:ascii="Palatino Linotype" w:eastAsia="Palatino Linotype" w:hAnsi="Palatino Linotype" w:cs="Palatino Linotype"/>
        </w:rPr>
        <w:t>“</w:t>
      </w:r>
      <w:r w:rsidR="00022F7B" w:rsidRPr="004E04DB">
        <w:rPr>
          <w:rFonts w:ascii="Palatino Linotype" w:eastAsia="Palatino Linotype" w:hAnsi="Palatino Linotype" w:cs="Palatino Linotype"/>
        </w:rPr>
        <w:t>NO ABRE NADA LA LIGA MANDEN LAS COSAS BIEN</w:t>
      </w:r>
      <w:r w:rsidR="00F22AE1" w:rsidRPr="004E04DB">
        <w:rPr>
          <w:rFonts w:ascii="Palatino Linotype" w:eastAsia="Palatino Linotype" w:hAnsi="Palatino Linotype" w:cs="Palatino Linotype"/>
          <w:i/>
        </w:rPr>
        <w:t>”.</w:t>
      </w:r>
    </w:p>
    <w:p w14:paraId="6B5A29BA" w14:textId="7CFFA4DA" w:rsidR="00022F7B" w:rsidRPr="004E04DB" w:rsidRDefault="00022F7B" w:rsidP="00022F7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rPr>
      </w:pPr>
    </w:p>
    <w:p w14:paraId="766428C4" w14:textId="77777777" w:rsidR="00022F7B" w:rsidRPr="004E04DB" w:rsidRDefault="00022F7B" w:rsidP="00022F7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rPr>
      </w:pPr>
    </w:p>
    <w:p w14:paraId="32957FFC" w14:textId="0DAA0294" w:rsidR="00F8557D" w:rsidRPr="004E04DB"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Turno.</w:t>
      </w:r>
      <w:r w:rsidRPr="004E04DB">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FF17F3" w:rsidRPr="004E04DB">
        <w:rPr>
          <w:rFonts w:ascii="Palatino Linotype" w:eastAsia="Palatino Linotype" w:hAnsi="Palatino Linotype" w:cs="Palatino Linotype"/>
          <w:b/>
          <w:sz w:val="24"/>
          <w:szCs w:val="24"/>
        </w:rPr>
        <w:t>0</w:t>
      </w:r>
      <w:r w:rsidR="00022F7B" w:rsidRPr="004E04DB">
        <w:rPr>
          <w:rFonts w:ascii="Palatino Linotype" w:eastAsia="Palatino Linotype" w:hAnsi="Palatino Linotype" w:cs="Palatino Linotype"/>
          <w:b/>
          <w:sz w:val="24"/>
          <w:szCs w:val="24"/>
        </w:rPr>
        <w:t>5444</w:t>
      </w:r>
      <w:r w:rsidR="00D7458B" w:rsidRPr="004E04DB">
        <w:rPr>
          <w:rFonts w:ascii="Palatino Linotype" w:eastAsia="Palatino Linotype" w:hAnsi="Palatino Linotype" w:cs="Palatino Linotype"/>
          <w:b/>
          <w:sz w:val="24"/>
          <w:szCs w:val="24"/>
        </w:rPr>
        <w:t>/INFOEM/IP/RR/2023</w:t>
      </w:r>
      <w:r w:rsidRPr="004E04DB">
        <w:rPr>
          <w:rFonts w:ascii="Palatino Linotype" w:eastAsia="Palatino Linotype" w:hAnsi="Palatino Linotype" w:cs="Palatino Linotype"/>
          <w:sz w:val="24"/>
          <w:szCs w:val="24"/>
        </w:rPr>
        <w:t xml:space="preserve">, se turnó por el sistema </w:t>
      </w:r>
      <w:r w:rsidRPr="004E04DB">
        <w:rPr>
          <w:rFonts w:ascii="Palatino Linotype" w:eastAsia="Palatino Linotype" w:hAnsi="Palatino Linotype" w:cs="Palatino Linotype"/>
          <w:sz w:val="24"/>
          <w:szCs w:val="24"/>
        </w:rPr>
        <w:lastRenderedPageBreak/>
        <w:t>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4E04DB"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70C030E2" w:rsidR="00F8557D" w:rsidRPr="004E04DB"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Admisión del recurso de revisión</w:t>
      </w:r>
      <w:r w:rsidRPr="004E04DB">
        <w:rPr>
          <w:rFonts w:ascii="Palatino Linotype" w:eastAsia="Palatino Linotype" w:hAnsi="Palatino Linotype" w:cs="Palatino Linotype"/>
          <w:sz w:val="24"/>
          <w:szCs w:val="24"/>
        </w:rPr>
        <w:t xml:space="preserve">: En fecha </w:t>
      </w:r>
      <w:r w:rsidR="00022F7B" w:rsidRPr="004E04DB">
        <w:rPr>
          <w:rFonts w:ascii="Palatino Linotype" w:eastAsia="Palatino Linotype" w:hAnsi="Palatino Linotype" w:cs="Palatino Linotype"/>
          <w:b/>
          <w:sz w:val="24"/>
          <w:szCs w:val="24"/>
        </w:rPr>
        <w:t>ocho de septiembre</w:t>
      </w:r>
      <w:r w:rsidR="00F22AE1" w:rsidRPr="004E04DB">
        <w:rPr>
          <w:rFonts w:ascii="Palatino Linotype" w:eastAsia="Palatino Linotype" w:hAnsi="Palatino Linotype" w:cs="Palatino Linotype"/>
          <w:b/>
          <w:sz w:val="24"/>
          <w:szCs w:val="24"/>
        </w:rPr>
        <w:t xml:space="preserve"> </w:t>
      </w:r>
      <w:r w:rsidR="00D7458B" w:rsidRPr="004E04DB">
        <w:rPr>
          <w:rFonts w:ascii="Palatino Linotype" w:eastAsia="Palatino Linotype" w:hAnsi="Palatino Linotype" w:cs="Palatino Linotype"/>
          <w:b/>
          <w:sz w:val="24"/>
          <w:szCs w:val="24"/>
        </w:rPr>
        <w:t>de dos mil veintitrés</w:t>
      </w:r>
      <w:r w:rsidRPr="004E04DB">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4E04DB"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43F64630" w14:textId="42397130" w:rsidR="00022F7B" w:rsidRPr="004E04DB" w:rsidRDefault="00646B44" w:rsidP="00022F7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Informe Justificado.</w:t>
      </w:r>
      <w:r w:rsidR="00022F7B" w:rsidRPr="004E04DB">
        <w:rPr>
          <w:rFonts w:ascii="Palatino Linotype" w:eastAsia="Palatino Linotype" w:hAnsi="Palatino Linotype" w:cs="Palatino Linotype"/>
          <w:b/>
          <w:sz w:val="24"/>
          <w:szCs w:val="24"/>
        </w:rPr>
        <w:t xml:space="preserve"> </w:t>
      </w:r>
      <w:r w:rsidR="00022F7B" w:rsidRPr="004E04DB">
        <w:rPr>
          <w:rFonts w:ascii="Palatino Linotype" w:eastAsia="Palatino Linotype" w:hAnsi="Palatino Linotype" w:cs="Palatino Linotype"/>
          <w:bCs/>
          <w:sz w:val="24"/>
          <w:szCs w:val="24"/>
        </w:rPr>
        <w:t xml:space="preserve">Las partes fueron omisas en rendir informe justificado. </w:t>
      </w:r>
    </w:p>
    <w:p w14:paraId="30B8119C" w14:textId="77777777" w:rsidR="00022F7B" w:rsidRPr="004E04DB" w:rsidRDefault="00022F7B" w:rsidP="00022F7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59ECBB9" w14:textId="16F6B43A" w:rsidR="00022F7B" w:rsidRPr="004E04DB" w:rsidRDefault="00022F7B" w:rsidP="00022F7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noProof/>
          <w:sz w:val="24"/>
          <w:szCs w:val="24"/>
        </w:rPr>
        <w:drawing>
          <wp:inline distT="0" distB="0" distL="0" distR="0" wp14:anchorId="40A0C6DA" wp14:editId="2587E9EE">
            <wp:extent cx="5756275" cy="15138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1513840"/>
                    </a:xfrm>
                    <a:prstGeom prst="rect">
                      <a:avLst/>
                    </a:prstGeom>
                  </pic:spPr>
                </pic:pic>
              </a:graphicData>
            </a:graphic>
          </wp:inline>
        </w:drawing>
      </w:r>
    </w:p>
    <w:p w14:paraId="116CC627" w14:textId="77777777" w:rsidR="00022F7B" w:rsidRPr="004E04DB" w:rsidRDefault="00022F7B" w:rsidP="00022F7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06E515F" w14:textId="5DD22907" w:rsidR="00933869" w:rsidRPr="004E04DB" w:rsidRDefault="00646B44" w:rsidP="00933869">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Ampliación de plazo:</w:t>
      </w:r>
      <w:r w:rsidRPr="004E04DB">
        <w:rPr>
          <w:rFonts w:ascii="Palatino Linotype" w:eastAsia="Palatino Linotype" w:hAnsi="Palatino Linotype" w:cs="Palatino Linotype"/>
          <w:sz w:val="24"/>
          <w:szCs w:val="24"/>
        </w:rPr>
        <w:t xml:space="preserve"> </w:t>
      </w:r>
      <w:r w:rsidR="00933869" w:rsidRPr="004E04DB">
        <w:rPr>
          <w:rFonts w:ascii="Palatino Linotype" w:eastAsia="Palatino Linotype" w:hAnsi="Palatino Linotype" w:cs="Palatino Linotype"/>
          <w:sz w:val="24"/>
          <w:szCs w:val="24"/>
        </w:rPr>
        <w:t>En fec</w:t>
      </w:r>
      <w:r w:rsidR="00022F7B" w:rsidRPr="004E04DB">
        <w:rPr>
          <w:rFonts w:ascii="Palatino Linotype" w:eastAsia="Palatino Linotype" w:hAnsi="Palatino Linotype" w:cs="Palatino Linotype"/>
          <w:sz w:val="24"/>
          <w:szCs w:val="24"/>
        </w:rPr>
        <w:t>ha</w:t>
      </w:r>
      <w:r w:rsidR="00933869" w:rsidRPr="004E04DB">
        <w:rPr>
          <w:rFonts w:ascii="Palatino Linotype" w:eastAsia="Palatino Linotype" w:hAnsi="Palatino Linotype" w:cs="Palatino Linotype"/>
          <w:sz w:val="24"/>
          <w:szCs w:val="24"/>
        </w:rPr>
        <w:t xml:space="preserve"> </w:t>
      </w:r>
      <w:r w:rsidR="00022F7B" w:rsidRPr="004E04DB">
        <w:rPr>
          <w:rFonts w:ascii="Palatino Linotype" w:eastAsia="Palatino Linotype" w:hAnsi="Palatino Linotype" w:cs="Palatino Linotype"/>
          <w:b/>
          <w:sz w:val="24"/>
          <w:szCs w:val="24"/>
        </w:rPr>
        <w:t>nueve</w:t>
      </w:r>
      <w:r w:rsidR="00933869" w:rsidRPr="004E04DB">
        <w:rPr>
          <w:rFonts w:ascii="Palatino Linotype" w:eastAsia="Palatino Linotype" w:hAnsi="Palatino Linotype" w:cs="Palatino Linotype"/>
          <w:b/>
          <w:sz w:val="24"/>
          <w:szCs w:val="24"/>
        </w:rPr>
        <w:t xml:space="preserve"> de noviembre de dos mil veintitrés</w:t>
      </w:r>
      <w:r w:rsidR="00933869" w:rsidRPr="004E04DB">
        <w:rPr>
          <w:rFonts w:ascii="Palatino Linotype" w:eastAsia="Palatino Linotype" w:hAnsi="Palatino Linotype" w:cs="Palatino Linotype"/>
          <w:sz w:val="24"/>
          <w:szCs w:val="24"/>
        </w:rPr>
        <w:t>, con fundamento en el artículo 181, párrafo tercero de la Ley de Transparencia y Acceso a la Información Pública del Estado de México y Municipios, se acordó la ampliación del plazo para su resolución.</w:t>
      </w:r>
    </w:p>
    <w:p w14:paraId="53348BE4" w14:textId="77777777" w:rsidR="00933869" w:rsidRPr="004E04DB" w:rsidRDefault="00933869" w:rsidP="00933869">
      <w:pPr>
        <w:widowControl w:val="0"/>
        <w:spacing w:after="0" w:line="360" w:lineRule="auto"/>
        <w:jc w:val="both"/>
        <w:rPr>
          <w:rFonts w:ascii="Palatino Linotype" w:eastAsia="Palatino Linotype" w:hAnsi="Palatino Linotype" w:cs="Palatino Linotype"/>
          <w:sz w:val="24"/>
        </w:rPr>
      </w:pPr>
    </w:p>
    <w:p w14:paraId="21E796B3" w14:textId="77777777" w:rsidR="00933869" w:rsidRPr="004E04DB" w:rsidRDefault="00933869" w:rsidP="00933869">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C8D27F2" w14:textId="77777777" w:rsidR="00933869" w:rsidRPr="004E04DB" w:rsidRDefault="00933869" w:rsidP="00933869">
      <w:pPr>
        <w:spacing w:after="0" w:line="360" w:lineRule="auto"/>
        <w:jc w:val="both"/>
        <w:rPr>
          <w:rFonts w:ascii="Palatino Linotype" w:eastAsia="Palatino Linotype" w:hAnsi="Palatino Linotype" w:cs="Palatino Linotype"/>
          <w:sz w:val="24"/>
        </w:rPr>
      </w:pPr>
    </w:p>
    <w:p w14:paraId="5E423D5D" w14:textId="77777777" w:rsidR="00933869" w:rsidRPr="004E04DB" w:rsidRDefault="00933869" w:rsidP="00933869">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E38F972" w14:textId="77777777" w:rsidR="00933869" w:rsidRPr="004E04DB" w:rsidRDefault="00933869" w:rsidP="00933869">
      <w:pPr>
        <w:spacing w:after="0" w:line="360" w:lineRule="auto"/>
        <w:jc w:val="both"/>
        <w:rPr>
          <w:rFonts w:ascii="Palatino Linotype" w:eastAsia="Palatino Linotype" w:hAnsi="Palatino Linotype" w:cs="Palatino Linotype"/>
          <w:sz w:val="24"/>
        </w:rPr>
      </w:pPr>
    </w:p>
    <w:p w14:paraId="5AC64A07" w14:textId="77777777" w:rsidR="00933869" w:rsidRPr="004E04DB" w:rsidRDefault="00933869" w:rsidP="00933869">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12D08E" w14:textId="77777777" w:rsidR="00933869" w:rsidRPr="004E04DB" w:rsidRDefault="00933869" w:rsidP="00933869">
      <w:pPr>
        <w:spacing w:after="0" w:line="360" w:lineRule="auto"/>
        <w:jc w:val="both"/>
        <w:rPr>
          <w:rFonts w:ascii="Palatino Linotype" w:eastAsia="Palatino Linotype" w:hAnsi="Palatino Linotype" w:cs="Palatino Linotype"/>
          <w:sz w:val="24"/>
        </w:rPr>
      </w:pPr>
    </w:p>
    <w:p w14:paraId="459D51E7" w14:textId="6CBB51EF" w:rsidR="00933869" w:rsidRPr="004E04DB" w:rsidRDefault="00933869" w:rsidP="00933869">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5BDB9E" w14:textId="77777777" w:rsidR="00933869" w:rsidRPr="004E04DB" w:rsidRDefault="00933869" w:rsidP="00933869">
      <w:pPr>
        <w:spacing w:after="0" w:line="360" w:lineRule="auto"/>
        <w:jc w:val="both"/>
        <w:rPr>
          <w:rFonts w:ascii="Palatino Linotype" w:eastAsia="Palatino Linotype" w:hAnsi="Palatino Linotype" w:cs="Palatino Linotype"/>
          <w:strike/>
          <w:sz w:val="24"/>
        </w:rPr>
      </w:pPr>
      <w:r w:rsidRPr="004E04DB">
        <w:rPr>
          <w:rFonts w:ascii="Palatino Linotype" w:eastAsia="Palatino Linotype" w:hAnsi="Palatino Linotype" w:cs="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20507ED" w14:textId="77777777" w:rsidR="00933869" w:rsidRPr="004E04DB" w:rsidRDefault="00933869" w:rsidP="00933869">
      <w:pPr>
        <w:spacing w:after="0" w:line="360" w:lineRule="auto"/>
        <w:jc w:val="both"/>
        <w:rPr>
          <w:rFonts w:ascii="Palatino Linotype" w:eastAsia="Palatino Linotype" w:hAnsi="Palatino Linotype" w:cs="Palatino Linotype"/>
          <w:sz w:val="24"/>
        </w:rPr>
      </w:pPr>
    </w:p>
    <w:p w14:paraId="560DEC88" w14:textId="77777777" w:rsidR="00933869" w:rsidRPr="004E04DB" w:rsidRDefault="00933869" w:rsidP="00933869">
      <w:pPr>
        <w:numPr>
          <w:ilvl w:val="0"/>
          <w:numId w:val="18"/>
        </w:numPr>
        <w:spacing w:after="0" w:line="360" w:lineRule="auto"/>
        <w:jc w:val="both"/>
        <w:rPr>
          <w:rFonts w:ascii="Palatino Linotype" w:eastAsia="Palatino Linotype" w:hAnsi="Palatino Linotype" w:cs="Palatino Linotype"/>
        </w:rPr>
      </w:pPr>
      <w:r w:rsidRPr="004E04DB">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6F380AA6" w14:textId="77777777" w:rsidR="00933869" w:rsidRPr="004E04DB" w:rsidRDefault="00933869" w:rsidP="00933869">
      <w:pPr>
        <w:numPr>
          <w:ilvl w:val="0"/>
          <w:numId w:val="18"/>
        </w:numPr>
        <w:spacing w:after="0" w:line="360" w:lineRule="auto"/>
        <w:jc w:val="both"/>
        <w:rPr>
          <w:rFonts w:ascii="Palatino Linotype" w:eastAsia="Palatino Linotype" w:hAnsi="Palatino Linotype" w:cs="Palatino Linotype"/>
        </w:rPr>
      </w:pPr>
      <w:r w:rsidRPr="004E04DB">
        <w:rPr>
          <w:rFonts w:ascii="Palatino Linotype" w:eastAsia="Palatino Linotype" w:hAnsi="Palatino Linotype" w:cs="Palatino Linotype"/>
        </w:rPr>
        <w:t>Actividad Procesal del interesado. Acciones u omisiones del interesado.</w:t>
      </w:r>
    </w:p>
    <w:p w14:paraId="53FD7C10" w14:textId="77777777" w:rsidR="00933869" w:rsidRPr="004E04DB" w:rsidRDefault="00933869" w:rsidP="00933869">
      <w:pPr>
        <w:numPr>
          <w:ilvl w:val="0"/>
          <w:numId w:val="18"/>
        </w:numPr>
        <w:spacing w:after="0" w:line="360" w:lineRule="auto"/>
        <w:jc w:val="both"/>
        <w:rPr>
          <w:rFonts w:ascii="Palatino Linotype" w:eastAsia="Palatino Linotype" w:hAnsi="Palatino Linotype" w:cs="Palatino Linotype"/>
        </w:rPr>
      </w:pPr>
      <w:r w:rsidRPr="004E04DB">
        <w:rPr>
          <w:rFonts w:ascii="Palatino Linotype" w:eastAsia="Palatino Linotype" w:hAnsi="Palatino Linotype" w:cs="Palatino Linotype"/>
        </w:rPr>
        <w:t>Conducta de la Autoridad: Las Acciones u omisiones realizadas en el procedimiento. Así como si la autoridad actuó con la debida diligencia.</w:t>
      </w:r>
    </w:p>
    <w:p w14:paraId="3E8D5219" w14:textId="77777777" w:rsidR="00933869" w:rsidRPr="004E04DB" w:rsidRDefault="00933869" w:rsidP="00933869">
      <w:pPr>
        <w:numPr>
          <w:ilvl w:val="0"/>
          <w:numId w:val="18"/>
        </w:numPr>
        <w:spacing w:after="0" w:line="360" w:lineRule="auto"/>
        <w:jc w:val="both"/>
        <w:rPr>
          <w:rFonts w:ascii="Palatino Linotype" w:eastAsia="Palatino Linotype" w:hAnsi="Palatino Linotype" w:cs="Palatino Linotype"/>
        </w:rPr>
      </w:pPr>
      <w:r w:rsidRPr="004E04DB">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E934C38" w14:textId="77777777" w:rsidR="00933869" w:rsidRPr="004E04DB" w:rsidRDefault="00933869" w:rsidP="00933869">
      <w:pPr>
        <w:spacing w:after="0" w:line="360" w:lineRule="auto"/>
        <w:jc w:val="both"/>
        <w:rPr>
          <w:rFonts w:ascii="Palatino Linotype" w:eastAsia="Palatino Linotype" w:hAnsi="Palatino Linotype" w:cs="Palatino Linotype"/>
          <w:sz w:val="24"/>
        </w:rPr>
      </w:pPr>
    </w:p>
    <w:p w14:paraId="03DFD099" w14:textId="77777777" w:rsidR="00933869" w:rsidRPr="004E04DB" w:rsidRDefault="00933869" w:rsidP="00933869">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521F4D" w14:textId="77777777" w:rsidR="00933869" w:rsidRPr="004E04DB" w:rsidRDefault="00933869" w:rsidP="00933869">
      <w:pPr>
        <w:spacing w:after="0" w:line="360" w:lineRule="auto"/>
        <w:jc w:val="both"/>
        <w:rPr>
          <w:rFonts w:ascii="Palatino Linotype" w:eastAsia="Palatino Linotype" w:hAnsi="Palatino Linotype" w:cs="Palatino Linotype"/>
          <w:sz w:val="24"/>
        </w:rPr>
      </w:pPr>
    </w:p>
    <w:p w14:paraId="2E961C91" w14:textId="627CE23C" w:rsidR="00933869" w:rsidRPr="004E04DB" w:rsidRDefault="00933869" w:rsidP="00933869">
      <w:pPr>
        <w:spacing w:after="0" w:line="360" w:lineRule="auto"/>
        <w:jc w:val="both"/>
        <w:rPr>
          <w:rFonts w:ascii="Palatino Linotype" w:eastAsia="Palatino Linotype" w:hAnsi="Palatino Linotype" w:cs="Palatino Linotype"/>
          <w:b/>
          <w:sz w:val="24"/>
        </w:rPr>
      </w:pPr>
      <w:r w:rsidRPr="004E04DB">
        <w:rPr>
          <w:rFonts w:ascii="Palatino Linotype" w:eastAsia="Palatino Linotype" w:hAnsi="Palatino Linotype" w:cs="Palatino Linotype"/>
          <w:sz w:val="24"/>
        </w:rPr>
        <w:t>Argumento que encuentra sustento en la jurisprudencia P</w:t>
      </w:r>
      <w:proofErr w:type="gramStart"/>
      <w:r w:rsidRPr="004E04DB">
        <w:rPr>
          <w:rFonts w:ascii="Palatino Linotype" w:eastAsia="Palatino Linotype" w:hAnsi="Palatino Linotype" w:cs="Palatino Linotype"/>
          <w:sz w:val="24"/>
        </w:rPr>
        <w:t>./</w:t>
      </w:r>
      <w:proofErr w:type="gramEnd"/>
      <w:r w:rsidRPr="004E04DB">
        <w:rPr>
          <w:rFonts w:ascii="Palatino Linotype" w:eastAsia="Palatino Linotype" w:hAnsi="Palatino Linotype" w:cs="Palatino Linotype"/>
          <w:sz w:val="24"/>
        </w:rPr>
        <w:t xml:space="preserve">J. 32/92 emitida por el Pleno de la Suprema Corte de Justicia de la Nación de rubro </w:t>
      </w:r>
      <w:r w:rsidRPr="004E04DB">
        <w:rPr>
          <w:rFonts w:ascii="Palatino Linotype" w:eastAsia="Palatino Linotype" w:hAnsi="Palatino Linotype" w:cs="Palatino Linotype"/>
          <w:i/>
          <w:sz w:val="24"/>
        </w:rPr>
        <w:t>“TÉRMINOS PROCESALES. PARA DETERMINAR SI UN FUNCIONARIO JUDICIAL ACTUÓ INDEBIDAMENTE POR NO RESPETARLOS SE DEBE ATENDER AL PRESUPUESTO QUE CONSIDERÓ EL LEGISLADOR AL FIJARLOS Y LAS CARACTERÍSTICAS DEL CASO.”</w:t>
      </w:r>
      <w:r w:rsidRPr="004E04DB">
        <w:rPr>
          <w:rFonts w:ascii="Palatino Linotype" w:eastAsia="Palatino Linotype" w:hAnsi="Palatino Linotype" w:cs="Palatino Linotype"/>
          <w:sz w:val="24"/>
        </w:rPr>
        <w:t>, visible en la Gaceta del Seminario Judicial de la Federación con el registro digital 205635.</w:t>
      </w:r>
    </w:p>
    <w:p w14:paraId="4FD2A8D6" w14:textId="77777777" w:rsidR="00933869" w:rsidRPr="004E04DB" w:rsidRDefault="00933869" w:rsidP="00933869">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4027E" w14:textId="77777777" w:rsidR="00933869" w:rsidRPr="004E04DB" w:rsidRDefault="00933869" w:rsidP="00933869">
      <w:pPr>
        <w:spacing w:after="0" w:line="360" w:lineRule="auto"/>
        <w:jc w:val="both"/>
        <w:rPr>
          <w:rFonts w:ascii="Palatino Linotype" w:eastAsia="Palatino Linotype" w:hAnsi="Palatino Linotype" w:cs="Palatino Linotype"/>
          <w:sz w:val="24"/>
        </w:rPr>
      </w:pPr>
    </w:p>
    <w:p w14:paraId="564B1E1A" w14:textId="6BFFF8D4" w:rsidR="00933869" w:rsidRPr="004E04DB" w:rsidRDefault="00933869" w:rsidP="00933869">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Al respecto, también son de considerar los criterios sostenidos por el Cuarto Tribunal Colegiado en Materia Administrativa del Primer Circuito, cuyos rubros y datos de identificación son los siguientes:</w:t>
      </w:r>
    </w:p>
    <w:p w14:paraId="55F9BF78" w14:textId="77777777" w:rsidR="00022F7B" w:rsidRPr="004E04DB" w:rsidRDefault="00022F7B" w:rsidP="00933869">
      <w:pPr>
        <w:spacing w:after="0" w:line="360" w:lineRule="auto"/>
        <w:jc w:val="both"/>
        <w:rPr>
          <w:rFonts w:ascii="Palatino Linotype" w:eastAsia="Palatino Linotype" w:hAnsi="Palatino Linotype" w:cs="Palatino Linotype"/>
          <w:sz w:val="24"/>
        </w:rPr>
      </w:pPr>
    </w:p>
    <w:p w14:paraId="1ACEBDDD" w14:textId="77777777" w:rsidR="00933869" w:rsidRPr="004E04DB" w:rsidRDefault="00933869" w:rsidP="00933869">
      <w:pPr>
        <w:spacing w:after="0" w:line="360" w:lineRule="auto"/>
        <w:ind w:left="567" w:right="616"/>
        <w:jc w:val="both"/>
        <w:rPr>
          <w:rFonts w:ascii="Palatino Linotype" w:eastAsia="Palatino Linotype" w:hAnsi="Palatino Linotype" w:cs="Palatino Linotype"/>
        </w:rPr>
      </w:pPr>
      <w:r w:rsidRPr="004E04DB">
        <w:rPr>
          <w:rFonts w:ascii="Palatino Linotype" w:eastAsia="Palatino Linotype" w:hAnsi="Palatino Linotype" w:cs="Palatino Linotype"/>
          <w:b/>
        </w:rPr>
        <w:t xml:space="preserve"> </w:t>
      </w:r>
      <w:r w:rsidRPr="004E04DB">
        <w:rPr>
          <w:rFonts w:ascii="Palatino Linotype" w:eastAsia="Palatino Linotype" w:hAnsi="Palatino Linotype" w:cs="Palatino Linotype"/>
          <w:b/>
          <w:i/>
        </w:rPr>
        <w:t>“PLAZO RAZONABLE PARA RESOLVER. DIMENSIÓN Y EFECTOS DE ESTE CONCEPTO CUANDO SE ADUCE EXCESIVA CARGA DE TRABAJO.”</w:t>
      </w:r>
      <w:r w:rsidRPr="004E04DB">
        <w:rPr>
          <w:rFonts w:ascii="Palatino Linotype" w:eastAsia="Palatino Linotype" w:hAnsi="Palatino Linotype" w:cs="Palatino Linotype"/>
        </w:rPr>
        <w:t xml:space="preserve"> consultable en el Seminario Judicial de la Federación y su gaceta, con el registro digital 2002351.</w:t>
      </w:r>
    </w:p>
    <w:p w14:paraId="085688C7" w14:textId="77777777" w:rsidR="00933869" w:rsidRPr="004E04DB" w:rsidRDefault="00933869" w:rsidP="00933869">
      <w:pPr>
        <w:spacing w:after="0" w:line="360" w:lineRule="auto"/>
        <w:ind w:left="567" w:right="616"/>
        <w:jc w:val="both"/>
        <w:rPr>
          <w:rFonts w:ascii="Palatino Linotype" w:eastAsia="Palatino Linotype" w:hAnsi="Palatino Linotype" w:cs="Palatino Linotype"/>
          <w:b/>
        </w:rPr>
      </w:pPr>
    </w:p>
    <w:p w14:paraId="2E494089" w14:textId="3C5003B7" w:rsidR="00933869" w:rsidRPr="004E04DB" w:rsidRDefault="00933869" w:rsidP="002969CC">
      <w:pPr>
        <w:spacing w:after="0" w:line="360" w:lineRule="auto"/>
        <w:ind w:left="567" w:right="616"/>
        <w:jc w:val="both"/>
        <w:rPr>
          <w:rFonts w:ascii="Palatino Linotype" w:eastAsia="Palatino Linotype" w:hAnsi="Palatino Linotype" w:cs="Palatino Linotype"/>
        </w:rPr>
      </w:pPr>
      <w:r w:rsidRPr="004E04DB">
        <w:rPr>
          <w:rFonts w:ascii="Palatino Linotype" w:eastAsia="Palatino Linotype" w:hAnsi="Palatino Linotype" w:cs="Palatino Linotype"/>
          <w:b/>
          <w:i/>
        </w:rPr>
        <w:t>“PLAZO RAZONABLE PARA RESOLVER. CONCEPTO Y ELEMENTOS QUE LO INTEGRAN A LA LUZ DEL DERECHO INTERNACIONAL DE LOS DERECHOS HUMANOS</w:t>
      </w:r>
      <w:r w:rsidRPr="004E04DB">
        <w:rPr>
          <w:rFonts w:ascii="Palatino Linotype" w:eastAsia="Palatino Linotype" w:hAnsi="Palatino Linotype" w:cs="Palatino Linotype"/>
          <w:i/>
        </w:rPr>
        <w:t>.”</w:t>
      </w:r>
      <w:r w:rsidRPr="004E04DB">
        <w:rPr>
          <w:rFonts w:ascii="Palatino Linotype" w:eastAsia="Palatino Linotype" w:hAnsi="Palatino Linotype" w:cs="Palatino Linotype"/>
        </w:rPr>
        <w:t>, visible en el Seminario Judicial de la Federación y su gaceta, con el registro digital 2002350.</w:t>
      </w:r>
    </w:p>
    <w:p w14:paraId="7F5EBC64" w14:textId="0550C2A1" w:rsidR="00933869" w:rsidRPr="004E04DB" w:rsidRDefault="00933869" w:rsidP="00933869">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lastRenderedPageBreak/>
        <w:t>Por ello, este organismo garante comprometido con la tutela de los derechos humanos confiados señala que este exceso de plazo legal para resolver el presente asunto resulta de carácter excepcional.</w:t>
      </w:r>
    </w:p>
    <w:p w14:paraId="5B61B20B" w14:textId="77777777" w:rsidR="005A3826" w:rsidRPr="004E04DB" w:rsidRDefault="005A3826" w:rsidP="005A382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55385642" w14:textId="65576599" w:rsidR="0003629B" w:rsidRPr="004E04DB"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Cierre de instrucción</w:t>
      </w:r>
      <w:r w:rsidRPr="004E04DB">
        <w:rPr>
          <w:rFonts w:ascii="Palatino Linotype" w:eastAsia="Palatino Linotype" w:hAnsi="Palatino Linotype" w:cs="Palatino Linotype"/>
          <w:sz w:val="24"/>
          <w:szCs w:val="24"/>
        </w:rPr>
        <w:t xml:space="preserve">. En fecha </w:t>
      </w:r>
      <w:r w:rsidR="00022F7B" w:rsidRPr="004E04DB">
        <w:rPr>
          <w:rFonts w:ascii="Palatino Linotype" w:eastAsia="Palatino Linotype" w:hAnsi="Palatino Linotype" w:cs="Palatino Linotype"/>
          <w:b/>
          <w:sz w:val="24"/>
          <w:szCs w:val="24"/>
        </w:rPr>
        <w:t>nueve</w:t>
      </w:r>
      <w:r w:rsidR="00933869" w:rsidRPr="004E04DB">
        <w:rPr>
          <w:rFonts w:ascii="Palatino Linotype" w:eastAsia="Palatino Linotype" w:hAnsi="Palatino Linotype" w:cs="Palatino Linotype"/>
          <w:b/>
          <w:sz w:val="24"/>
          <w:szCs w:val="24"/>
        </w:rPr>
        <w:t xml:space="preserve"> de noviembre</w:t>
      </w:r>
      <w:r w:rsidRPr="004E04DB">
        <w:rPr>
          <w:rFonts w:ascii="Palatino Linotype" w:eastAsia="Palatino Linotype" w:hAnsi="Palatino Linotype" w:cs="Palatino Linotype"/>
          <w:b/>
          <w:sz w:val="24"/>
          <w:szCs w:val="24"/>
        </w:rPr>
        <w:t xml:space="preserve"> de dos mil veintitrés</w:t>
      </w:r>
      <w:r w:rsidRPr="004E04DB">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0707E712" w14:textId="77777777" w:rsidR="0003629B" w:rsidRPr="004E04DB"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6F263D8" w14:textId="64E184A2" w:rsidR="00F22AE1"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54A05D4" w14:textId="77777777" w:rsidR="00933869" w:rsidRPr="004E04DB" w:rsidRDefault="00933869">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4E04DB" w:rsidRDefault="00646B44">
      <w:pPr>
        <w:spacing w:after="0" w:line="360" w:lineRule="auto"/>
        <w:ind w:right="49"/>
        <w:jc w:val="center"/>
        <w:rPr>
          <w:rFonts w:ascii="Palatino Linotype" w:eastAsia="Palatino Linotype" w:hAnsi="Palatino Linotype" w:cs="Palatino Linotype"/>
          <w:b/>
          <w:sz w:val="24"/>
          <w:szCs w:val="24"/>
        </w:rPr>
      </w:pPr>
      <w:r w:rsidRPr="004E04DB">
        <w:rPr>
          <w:rFonts w:ascii="Palatino Linotype" w:eastAsia="Palatino Linotype" w:hAnsi="Palatino Linotype" w:cs="Palatino Linotype"/>
          <w:b/>
          <w:sz w:val="24"/>
          <w:szCs w:val="24"/>
        </w:rPr>
        <w:t>II.</w:t>
      </w:r>
      <w:r w:rsidRPr="004E04DB">
        <w:rPr>
          <w:rFonts w:ascii="Palatino Linotype" w:eastAsia="Palatino Linotype" w:hAnsi="Palatino Linotype" w:cs="Palatino Linotype"/>
          <w:b/>
          <w:sz w:val="24"/>
          <w:szCs w:val="24"/>
        </w:rPr>
        <w:tab/>
        <w:t>C O N S I D E R A N D O:</w:t>
      </w:r>
    </w:p>
    <w:p w14:paraId="3619A913"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7101887F" w14:textId="06F6747B" w:rsidR="00933869" w:rsidRPr="004E04DB" w:rsidRDefault="00D7458B" w:rsidP="00D7458B">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b/>
          <w:sz w:val="24"/>
        </w:rPr>
        <w:t xml:space="preserve">Primero. Competencia. </w:t>
      </w:r>
      <w:r w:rsidR="00933869" w:rsidRPr="004E04DB">
        <w:rPr>
          <w:rFonts w:ascii="Palatino Linotype" w:eastAsia="Palatino Linotype" w:hAnsi="Palatino Linotype" w:cs="Palatino Linotype"/>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w:t>
      </w:r>
      <w:r w:rsidR="00933869" w:rsidRPr="004E04DB">
        <w:rPr>
          <w:rFonts w:ascii="Palatino Linotype" w:eastAsia="Palatino Linotype" w:hAnsi="Palatino Linotype" w:cs="Palatino Linotype"/>
          <w:sz w:val="24"/>
          <w:szCs w:val="24"/>
        </w:rPr>
        <w:lastRenderedPageBreak/>
        <w:t>del Instituto de Transparencia, Acceso a la Información Pública y Protección de Datos Personales del Estado de México y Municipios.</w:t>
      </w:r>
    </w:p>
    <w:p w14:paraId="44CF613E"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 xml:space="preserve">Segundo. Oportunidad y </w:t>
      </w:r>
      <w:proofErr w:type="spellStart"/>
      <w:r w:rsidRPr="004E04DB">
        <w:rPr>
          <w:rFonts w:ascii="Palatino Linotype" w:eastAsia="Palatino Linotype" w:hAnsi="Palatino Linotype" w:cs="Palatino Linotype"/>
          <w:b/>
          <w:sz w:val="24"/>
          <w:szCs w:val="24"/>
        </w:rPr>
        <w:t>Procedibilidad</w:t>
      </w:r>
      <w:proofErr w:type="spellEnd"/>
      <w:r w:rsidRPr="004E04DB">
        <w:rPr>
          <w:rFonts w:ascii="Palatino Linotype" w:eastAsia="Palatino Linotype" w:hAnsi="Palatino Linotype" w:cs="Palatino Linotype"/>
          <w:b/>
          <w:sz w:val="24"/>
          <w:szCs w:val="24"/>
        </w:rPr>
        <w:t xml:space="preserve"> del Recurso de Revisión.</w:t>
      </w:r>
      <w:r w:rsidRPr="004E04DB">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4E04DB">
        <w:rPr>
          <w:rFonts w:ascii="Palatino Linotype" w:eastAsia="Palatino Linotype" w:hAnsi="Palatino Linotype" w:cs="Palatino Linotype"/>
          <w:sz w:val="24"/>
          <w:szCs w:val="24"/>
        </w:rPr>
        <w:t>procedibilidad</w:t>
      </w:r>
      <w:proofErr w:type="spellEnd"/>
      <w:r w:rsidRPr="004E04DB">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14:paraId="3B2D671F"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0C0D0E0E" w14:textId="6A655E9A" w:rsidR="00933869" w:rsidRPr="004E04DB" w:rsidRDefault="00646B44">
      <w:pPr>
        <w:spacing w:after="0" w:line="360" w:lineRule="auto"/>
        <w:ind w:right="49"/>
        <w:jc w:val="both"/>
        <w:rPr>
          <w:rFonts w:ascii="Palatino Linotype" w:eastAsia="Palatino Linotype" w:hAnsi="Palatino Linotype" w:cs="Palatino Linotype"/>
          <w:b/>
          <w:sz w:val="24"/>
          <w:szCs w:val="24"/>
        </w:rPr>
      </w:pPr>
      <w:r w:rsidRPr="004E04DB">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4E04DB">
        <w:rPr>
          <w:rFonts w:ascii="Palatino Linotype" w:eastAsia="Palatino Linotype" w:hAnsi="Palatino Linotype" w:cs="Palatino Linotype"/>
          <w:b/>
          <w:sz w:val="24"/>
          <w:szCs w:val="24"/>
        </w:rPr>
        <w:t>SUJETO OBLIGADO</w:t>
      </w:r>
      <w:r w:rsidRPr="004E04DB">
        <w:rPr>
          <w:rFonts w:ascii="Palatino Linotype" w:eastAsia="Palatino Linotype" w:hAnsi="Palatino Linotype" w:cs="Palatino Linotype"/>
          <w:sz w:val="24"/>
          <w:szCs w:val="24"/>
        </w:rPr>
        <w:t xml:space="preserve"> remitió la respuesta a la solicitud de información el </w:t>
      </w:r>
      <w:r w:rsidR="00022F7B" w:rsidRPr="004E04DB">
        <w:rPr>
          <w:rFonts w:ascii="Palatino Linotype" w:eastAsia="Palatino Linotype" w:hAnsi="Palatino Linotype" w:cs="Palatino Linotype"/>
          <w:b/>
          <w:sz w:val="24"/>
          <w:szCs w:val="24"/>
        </w:rPr>
        <w:t>cinco de septiembre</w:t>
      </w:r>
      <w:r w:rsidR="00D7458B" w:rsidRPr="004E04DB">
        <w:rPr>
          <w:rFonts w:ascii="Palatino Linotype" w:eastAsia="Palatino Linotype" w:hAnsi="Palatino Linotype" w:cs="Palatino Linotype"/>
          <w:b/>
          <w:sz w:val="24"/>
          <w:szCs w:val="24"/>
        </w:rPr>
        <w:t xml:space="preserve"> de dos mil veintitrés</w:t>
      </w:r>
      <w:r w:rsidRPr="004E04DB">
        <w:rPr>
          <w:rFonts w:ascii="Palatino Linotype" w:eastAsia="Palatino Linotype" w:hAnsi="Palatino Linotype" w:cs="Palatino Linotype"/>
          <w:sz w:val="24"/>
          <w:szCs w:val="24"/>
        </w:rPr>
        <w:t xml:space="preserve">, mientras que el recurso de revisión interpuesto por la parte </w:t>
      </w:r>
      <w:r w:rsidRPr="004E04DB">
        <w:rPr>
          <w:rFonts w:ascii="Palatino Linotype" w:eastAsia="Palatino Linotype" w:hAnsi="Palatino Linotype" w:cs="Palatino Linotype"/>
          <w:b/>
          <w:sz w:val="24"/>
          <w:szCs w:val="24"/>
        </w:rPr>
        <w:t xml:space="preserve">RECURRENTE </w:t>
      </w:r>
      <w:r w:rsidRPr="004E04DB">
        <w:rPr>
          <w:rFonts w:ascii="Palatino Linotype" w:eastAsia="Palatino Linotype" w:hAnsi="Palatino Linotype" w:cs="Palatino Linotype"/>
          <w:sz w:val="24"/>
          <w:szCs w:val="24"/>
        </w:rPr>
        <w:t xml:space="preserve">se tuvo por presentado </w:t>
      </w:r>
      <w:r w:rsidR="00933869" w:rsidRPr="004E04DB">
        <w:rPr>
          <w:rFonts w:ascii="Palatino Linotype" w:eastAsia="Palatino Linotype" w:hAnsi="Palatino Linotype" w:cs="Palatino Linotype"/>
          <w:b/>
          <w:sz w:val="24"/>
          <w:szCs w:val="24"/>
        </w:rPr>
        <w:t xml:space="preserve">el mismo día en que se remitió respuesta. </w:t>
      </w:r>
    </w:p>
    <w:p w14:paraId="072FE5FD" w14:textId="77777777" w:rsidR="00933869" w:rsidRPr="004E04DB" w:rsidRDefault="00933869">
      <w:pPr>
        <w:spacing w:after="0" w:line="360" w:lineRule="auto"/>
        <w:ind w:right="49"/>
        <w:jc w:val="both"/>
        <w:rPr>
          <w:rFonts w:ascii="Palatino Linotype" w:eastAsia="Palatino Linotype" w:hAnsi="Palatino Linotype" w:cs="Palatino Linotype"/>
          <w:sz w:val="24"/>
          <w:szCs w:val="24"/>
        </w:rPr>
      </w:pPr>
    </w:p>
    <w:p w14:paraId="30F77C93" w14:textId="77777777" w:rsidR="00933869" w:rsidRPr="004E04DB" w:rsidRDefault="00933869" w:rsidP="00933869">
      <w:pPr>
        <w:pStyle w:val="NormalWeb"/>
        <w:spacing w:before="0" w:beforeAutospacing="0" w:after="0" w:afterAutospacing="0" w:line="360" w:lineRule="auto"/>
        <w:jc w:val="both"/>
        <w:rPr>
          <w:rFonts w:ascii="Palatino Linotype" w:hAnsi="Palatino Linotype"/>
        </w:rPr>
      </w:pPr>
      <w:r w:rsidRPr="004E04DB">
        <w:rPr>
          <w:rFonts w:ascii="Palatino Linotype" w:hAnsi="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w:t>
      </w:r>
      <w:r w:rsidRPr="004E04DB">
        <w:rPr>
          <w:rFonts w:ascii="Palatino Linotype" w:hAnsi="Palatino Linotype"/>
        </w:rPr>
        <w:lastRenderedPageBreak/>
        <w:t>Semanario Judicial de la Federación y su Gaceta, Libro 19, Junio de 2015, Tomo I, página 569 de la Décima época que lleva por rubro y texto los siguientes:</w:t>
      </w:r>
    </w:p>
    <w:p w14:paraId="5396CCD0" w14:textId="77777777" w:rsidR="00933869" w:rsidRPr="004E04DB" w:rsidRDefault="00933869" w:rsidP="00933869">
      <w:pPr>
        <w:pStyle w:val="NormalWeb"/>
        <w:spacing w:before="0" w:beforeAutospacing="0" w:after="0" w:afterAutospacing="0" w:line="360" w:lineRule="auto"/>
        <w:jc w:val="both"/>
      </w:pPr>
    </w:p>
    <w:p w14:paraId="4F4F48DA" w14:textId="145AD24F" w:rsidR="00933869" w:rsidRPr="004E04DB" w:rsidRDefault="00933869" w:rsidP="00933869">
      <w:pPr>
        <w:pStyle w:val="NormalWeb"/>
        <w:spacing w:before="0" w:beforeAutospacing="0" w:after="0" w:afterAutospacing="0"/>
        <w:ind w:left="567" w:right="560"/>
        <w:jc w:val="both"/>
      </w:pPr>
      <w:r w:rsidRPr="004E04DB">
        <w:rPr>
          <w:rFonts w:ascii="Palatino Linotype" w:hAnsi="Palatino Linotype"/>
          <w:b/>
          <w:bCs/>
          <w:i/>
          <w:iCs/>
          <w:sz w:val="22"/>
          <w:szCs w:val="22"/>
        </w:rPr>
        <w:t>“RECURSO DE RECLAMACIÓN. SU INTERPOSICIÓN NO ES EXTEMPORÁNEA SI SE REALIZA ANTES DE QUE INICIE EL PLAZO PARA HACERLO</w:t>
      </w:r>
      <w:r w:rsidRPr="004E04DB">
        <w:rPr>
          <w:rFonts w:ascii="Palatino Linotype" w:hAnsi="Palatino Linotype"/>
          <w:i/>
          <w:iCs/>
          <w:sz w:val="22"/>
          <w:szCs w:val="22"/>
        </w:rPr>
        <w:t>.</w:t>
      </w:r>
      <w:r w:rsidRPr="004E04DB">
        <w:t xml:space="preserve"> </w:t>
      </w:r>
      <w:r w:rsidRPr="004E04DB">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7F0A066" w14:textId="77777777" w:rsidR="00933869" w:rsidRPr="004E04DB" w:rsidRDefault="00933869">
      <w:pPr>
        <w:spacing w:after="0" w:line="360" w:lineRule="auto"/>
        <w:ind w:right="49"/>
        <w:jc w:val="both"/>
        <w:rPr>
          <w:rFonts w:ascii="Palatino Linotype" w:eastAsia="Palatino Linotype" w:hAnsi="Palatino Linotype" w:cs="Palatino Linotype"/>
          <w:sz w:val="24"/>
          <w:szCs w:val="24"/>
        </w:rPr>
      </w:pPr>
    </w:p>
    <w:p w14:paraId="3112E15F" w14:textId="4DEB2039"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4E04DB">
        <w:rPr>
          <w:rFonts w:ascii="Palatino Linotype" w:eastAsia="Palatino Linotype" w:hAnsi="Palatino Linotype" w:cs="Palatino Linotype"/>
          <w:b/>
          <w:sz w:val="24"/>
          <w:szCs w:val="24"/>
        </w:rPr>
        <w:t>SUJETO OBLIGADO</w:t>
      </w:r>
      <w:r w:rsidRPr="004E04DB">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50400239" w14:textId="77777777" w:rsidR="00022F7B" w:rsidRPr="004E04DB" w:rsidRDefault="00022F7B">
      <w:pPr>
        <w:spacing w:after="0" w:line="360" w:lineRule="auto"/>
        <w:ind w:right="49"/>
        <w:jc w:val="both"/>
        <w:rPr>
          <w:rFonts w:ascii="Palatino Linotype" w:eastAsia="Palatino Linotype" w:hAnsi="Palatino Linotype" w:cs="Palatino Linotype"/>
          <w:sz w:val="24"/>
          <w:szCs w:val="24"/>
        </w:rPr>
      </w:pPr>
    </w:p>
    <w:p w14:paraId="3C5CCFFB" w14:textId="6160A82F" w:rsidR="00DB71F7" w:rsidRPr="004E04DB" w:rsidRDefault="00DB71F7" w:rsidP="00DB71F7">
      <w:pPr>
        <w:spacing w:after="0" w:line="360" w:lineRule="auto"/>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Es de suma importancia mencionar que</w:t>
      </w:r>
      <w:r w:rsidR="00895D56" w:rsidRPr="004E04DB">
        <w:rPr>
          <w:rFonts w:ascii="Palatino Linotype" w:eastAsia="Palatino Linotype" w:hAnsi="Palatino Linotype" w:cs="Palatino Linotype"/>
          <w:sz w:val="24"/>
          <w:szCs w:val="24"/>
        </w:rPr>
        <w:t>,</w:t>
      </w:r>
      <w:r w:rsidRPr="004E04DB">
        <w:rPr>
          <w:rFonts w:ascii="Palatino Linotype" w:eastAsia="Palatino Linotype" w:hAnsi="Palatino Linotype" w:cs="Palatino Linotype"/>
          <w:sz w:val="24"/>
          <w:szCs w:val="24"/>
        </w:rPr>
        <w:t xml:space="preserve"> si bien la parte </w:t>
      </w:r>
      <w:r w:rsidR="00933869" w:rsidRPr="004E04DB">
        <w:rPr>
          <w:rFonts w:ascii="Palatino Linotype" w:eastAsia="Palatino Linotype" w:hAnsi="Palatino Linotype" w:cs="Palatino Linotype"/>
          <w:sz w:val="24"/>
          <w:szCs w:val="24"/>
        </w:rPr>
        <w:t>no proporcionó</w:t>
      </w:r>
      <w:r w:rsidR="00895D56" w:rsidRPr="004E04DB">
        <w:rPr>
          <w:rFonts w:ascii="Palatino Linotype" w:eastAsia="Palatino Linotype" w:hAnsi="Palatino Linotype" w:cs="Palatino Linotype"/>
          <w:sz w:val="24"/>
          <w:szCs w:val="24"/>
        </w:rPr>
        <w:t xml:space="preserve"> nombre para ser identificado</w:t>
      </w:r>
      <w:r w:rsidRPr="004E04DB">
        <w:rPr>
          <w:rFonts w:ascii="Palatino Linotype" w:eastAsia="Palatino Linotype" w:hAnsi="Palatino Linotype" w:cs="Palatino Linotype"/>
          <w:sz w:val="24"/>
          <w:szCs w:val="24"/>
        </w:rPr>
        <w:t xml:space="preserv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A39B30" w14:textId="77777777" w:rsidR="00DB71F7" w:rsidRPr="004E04DB" w:rsidRDefault="00DB71F7" w:rsidP="00DB71F7">
      <w:pPr>
        <w:spacing w:after="0" w:line="360" w:lineRule="auto"/>
        <w:jc w:val="both"/>
        <w:rPr>
          <w:rFonts w:ascii="Palatino Linotype" w:eastAsia="Palatino Linotype" w:hAnsi="Palatino Linotype" w:cs="Palatino Linotype"/>
          <w:sz w:val="24"/>
          <w:szCs w:val="24"/>
        </w:rPr>
      </w:pPr>
    </w:p>
    <w:p w14:paraId="5FDF933B" w14:textId="5420FC0C" w:rsidR="00DB71F7" w:rsidRPr="004E04DB" w:rsidRDefault="00DB71F7" w:rsidP="00022F7B">
      <w:pPr>
        <w:spacing w:after="0" w:line="276" w:lineRule="auto"/>
        <w:ind w:left="567" w:right="843"/>
        <w:jc w:val="both"/>
        <w:rPr>
          <w:rFonts w:ascii="Palatino Linotype" w:eastAsia="Palatino Linotype" w:hAnsi="Palatino Linotype" w:cs="Palatino Linotype"/>
          <w:i/>
          <w:szCs w:val="24"/>
        </w:rPr>
      </w:pPr>
      <w:r w:rsidRPr="004E04DB">
        <w:rPr>
          <w:rFonts w:ascii="Palatino Linotype" w:eastAsia="Palatino Linotype" w:hAnsi="Palatino Linotype" w:cs="Palatino Linotype"/>
          <w:i/>
          <w:szCs w:val="24"/>
        </w:rPr>
        <w:t xml:space="preserve">"Las solicitudes </w:t>
      </w:r>
      <w:r w:rsidRPr="004E04DB">
        <w:rPr>
          <w:rFonts w:ascii="Palatino Linotype" w:eastAsia="Palatino Linotype" w:hAnsi="Palatino Linotype" w:cs="Palatino Linotype"/>
          <w:bCs/>
          <w:i/>
          <w:szCs w:val="24"/>
        </w:rPr>
        <w:t>anónimas</w:t>
      </w:r>
      <w:r w:rsidRPr="004E04DB">
        <w:rPr>
          <w:rFonts w:ascii="Palatino Linotype" w:eastAsia="Palatino Linotype" w:hAnsi="Palatino Linotype" w:cs="Palatino Linotype"/>
          <w:i/>
          <w:szCs w:val="24"/>
        </w:rPr>
        <w:t xml:space="preserve">, con nombre incompleto o </w:t>
      </w:r>
      <w:r w:rsidRPr="004E04DB">
        <w:rPr>
          <w:rFonts w:ascii="Palatino Linotype" w:eastAsia="Palatino Linotype" w:hAnsi="Palatino Linotype" w:cs="Palatino Linotype"/>
          <w:bCs/>
          <w:i/>
          <w:szCs w:val="24"/>
        </w:rPr>
        <w:t>seudónimo</w:t>
      </w:r>
      <w:r w:rsidRPr="004E04DB">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31B3F489" w14:textId="7D53E28E"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4E04DB">
        <w:rPr>
          <w:rFonts w:ascii="Palatino Linotype" w:eastAsia="Palatino Linotype" w:hAnsi="Palatino Linotype" w:cs="Palatino Linotype"/>
          <w:b/>
          <w:sz w:val="24"/>
          <w:szCs w:val="24"/>
        </w:rPr>
        <w:t>SAIMEX</w:t>
      </w:r>
      <w:r w:rsidRPr="004E04DB">
        <w:rPr>
          <w:rFonts w:ascii="Palatino Linotype" w:eastAsia="Palatino Linotype" w:hAnsi="Palatino Linotype" w:cs="Palatino Linotype"/>
          <w:sz w:val="24"/>
          <w:szCs w:val="24"/>
        </w:rPr>
        <w:t xml:space="preserve">.  </w:t>
      </w:r>
    </w:p>
    <w:p w14:paraId="16274CBC" w14:textId="77777777" w:rsidR="00895D56" w:rsidRPr="004E04DB" w:rsidRDefault="00895D56">
      <w:pPr>
        <w:spacing w:after="0" w:line="360" w:lineRule="auto"/>
        <w:ind w:right="49"/>
        <w:jc w:val="both"/>
        <w:rPr>
          <w:rFonts w:ascii="Palatino Linotype" w:eastAsia="Palatino Linotype" w:hAnsi="Palatino Linotype" w:cs="Palatino Linotype"/>
          <w:sz w:val="24"/>
          <w:szCs w:val="24"/>
        </w:rPr>
      </w:pPr>
    </w:p>
    <w:p w14:paraId="5FB90515" w14:textId="69335B55"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Finalmente, resulta procedente la interposición del recurso de revisión al rubro ano</w:t>
      </w:r>
      <w:r w:rsidR="00DB71F7" w:rsidRPr="004E04DB">
        <w:rPr>
          <w:rFonts w:ascii="Palatino Linotype" w:eastAsia="Palatino Linotype" w:hAnsi="Palatino Linotype" w:cs="Palatino Linotype"/>
          <w:sz w:val="24"/>
          <w:szCs w:val="24"/>
        </w:rPr>
        <w:t>tado, toda vez que se actualiza</w:t>
      </w:r>
      <w:r w:rsidRPr="004E04DB">
        <w:rPr>
          <w:rFonts w:ascii="Palatino Linotype" w:eastAsia="Palatino Linotype" w:hAnsi="Palatino Linotype" w:cs="Palatino Linotype"/>
          <w:sz w:val="24"/>
          <w:szCs w:val="24"/>
        </w:rPr>
        <w:t xml:space="preserve"> la h</w:t>
      </w:r>
      <w:r w:rsidR="00DB71F7" w:rsidRPr="004E04DB">
        <w:rPr>
          <w:rFonts w:ascii="Palatino Linotype" w:eastAsia="Palatino Linotype" w:hAnsi="Palatino Linotype" w:cs="Palatino Linotype"/>
          <w:sz w:val="24"/>
          <w:szCs w:val="24"/>
        </w:rPr>
        <w:t>ipótesis de procedencia prevista</w:t>
      </w:r>
      <w:r w:rsidRPr="004E04DB">
        <w:rPr>
          <w:rFonts w:ascii="Palatino Linotype" w:eastAsia="Palatino Linotype" w:hAnsi="Palatino Linotype" w:cs="Palatino Linotype"/>
          <w:sz w:val="24"/>
          <w:szCs w:val="24"/>
        </w:rPr>
        <w:t xml:space="preserve"> en e</w:t>
      </w:r>
      <w:r w:rsidR="00DB71F7" w:rsidRPr="004E04DB">
        <w:rPr>
          <w:rFonts w:ascii="Palatino Linotype" w:eastAsia="Palatino Linotype" w:hAnsi="Palatino Linotype" w:cs="Palatino Linotype"/>
          <w:sz w:val="24"/>
          <w:szCs w:val="24"/>
        </w:rPr>
        <w:t xml:space="preserve">l artículo 179, fracción </w:t>
      </w:r>
      <w:r w:rsidR="00BC6621" w:rsidRPr="004E04DB">
        <w:rPr>
          <w:rFonts w:ascii="Palatino Linotype" w:eastAsia="Palatino Linotype" w:hAnsi="Palatino Linotype" w:cs="Palatino Linotype"/>
          <w:sz w:val="24"/>
          <w:szCs w:val="24"/>
        </w:rPr>
        <w:t xml:space="preserve">IX </w:t>
      </w:r>
      <w:r w:rsidRPr="004E04DB">
        <w:rPr>
          <w:rFonts w:ascii="Palatino Linotype" w:eastAsia="Palatino Linotype" w:hAnsi="Palatino Linotype" w:cs="Palatino Linotype"/>
          <w:sz w:val="24"/>
          <w:szCs w:val="24"/>
        </w:rPr>
        <w:t>de la Ley de la materia, que a la letra dice:</w:t>
      </w:r>
    </w:p>
    <w:p w14:paraId="5804E43F"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r w:rsidRPr="004E04DB">
        <w:rPr>
          <w:rFonts w:ascii="Palatino Linotype" w:eastAsia="Palatino Linotype" w:hAnsi="Palatino Linotype" w:cs="Palatino Linotype"/>
          <w:b/>
          <w:i/>
        </w:rPr>
        <w:t>Artículo 179.</w:t>
      </w:r>
      <w:r w:rsidRPr="004E04DB">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p>
    <w:p w14:paraId="0C7AA172" w14:textId="250FE9B8" w:rsidR="00BC6621" w:rsidRPr="004E04DB" w:rsidRDefault="00BC6621" w:rsidP="00BC6621">
      <w:pPr>
        <w:spacing w:after="0" w:line="276" w:lineRule="auto"/>
        <w:ind w:left="567" w:right="560"/>
        <w:jc w:val="both"/>
        <w:rPr>
          <w:rFonts w:ascii="Palatino Linotype" w:hAnsi="Palatino Linotype"/>
          <w:i/>
          <w:iCs/>
        </w:rPr>
      </w:pPr>
      <w:r w:rsidRPr="004E04DB">
        <w:rPr>
          <w:rFonts w:ascii="Palatino Linotype" w:hAnsi="Palatino Linotype"/>
          <w:i/>
          <w:iCs/>
        </w:rPr>
        <w:t>IX. La entrega o puesta a disposición de información en un formato incomprensible y/o no accesible para el solicitante;</w:t>
      </w:r>
    </w:p>
    <w:p w14:paraId="41181A3E" w14:textId="1FE76E2E" w:rsidR="00BC6621" w:rsidRPr="004E04DB" w:rsidRDefault="00BC6621" w:rsidP="00BC6621">
      <w:pPr>
        <w:spacing w:after="0" w:line="276" w:lineRule="auto"/>
        <w:ind w:left="567" w:right="560"/>
        <w:jc w:val="both"/>
        <w:rPr>
          <w:rFonts w:ascii="Palatino Linotype" w:hAnsi="Palatino Linotype"/>
          <w:i/>
          <w:iCs/>
        </w:rPr>
      </w:pPr>
      <w:r w:rsidRPr="004E04DB">
        <w:rPr>
          <w:rFonts w:ascii="Palatino Linotype" w:hAnsi="Palatino Linotype"/>
          <w:i/>
          <w:iCs/>
        </w:rPr>
        <w:t>…</w:t>
      </w:r>
    </w:p>
    <w:p w14:paraId="4D00E215" w14:textId="1072448F" w:rsidR="00F8557D" w:rsidRPr="004E04DB" w:rsidRDefault="00D7458B" w:rsidP="007D19E9">
      <w:pPr>
        <w:spacing w:after="0" w:line="276" w:lineRule="auto"/>
        <w:ind w:left="567" w:right="560"/>
        <w:jc w:val="both"/>
        <w:rPr>
          <w:rFonts w:ascii="Palatino Linotype" w:hAnsi="Palatino Linotype"/>
          <w:i/>
          <w:iCs/>
        </w:rPr>
      </w:pPr>
      <w:r w:rsidRPr="004E04DB">
        <w:rPr>
          <w:rFonts w:ascii="Palatino Linotype" w:eastAsia="Palatino Linotype" w:hAnsi="Palatino Linotype" w:cs="Palatino Linotype"/>
          <w:i/>
        </w:rPr>
        <w:t xml:space="preserve"> </w:t>
      </w:r>
    </w:p>
    <w:p w14:paraId="35EE1366" w14:textId="0A8C76B4"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Tercero. Materia de la revisión</w:t>
      </w:r>
      <w:r w:rsidRPr="004E04DB">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4E04DB">
        <w:rPr>
          <w:rFonts w:ascii="Palatino Linotype" w:eastAsia="Palatino Linotype" w:hAnsi="Palatino Linotype" w:cs="Palatino Linotype"/>
          <w:sz w:val="24"/>
          <w:szCs w:val="24"/>
        </w:rPr>
        <w:t xml:space="preserve"> en determinar, si se actualiza la hipótesis prevista en la fracción</w:t>
      </w:r>
      <w:r w:rsidRPr="004E04DB">
        <w:rPr>
          <w:rFonts w:ascii="Palatino Linotype" w:eastAsia="Palatino Linotype" w:hAnsi="Palatino Linotype" w:cs="Palatino Linotype"/>
          <w:sz w:val="24"/>
          <w:szCs w:val="24"/>
        </w:rPr>
        <w:t xml:space="preserve"> </w:t>
      </w:r>
      <w:r w:rsidR="00BC6621" w:rsidRPr="004E04DB">
        <w:rPr>
          <w:rFonts w:ascii="Palatino Linotype" w:eastAsia="Palatino Linotype" w:hAnsi="Palatino Linotype" w:cs="Palatino Linotype"/>
          <w:sz w:val="24"/>
          <w:szCs w:val="24"/>
        </w:rPr>
        <w:t>IX</w:t>
      </w:r>
      <w:r w:rsidR="00933869" w:rsidRPr="004E04DB">
        <w:rPr>
          <w:rFonts w:ascii="Palatino Linotype" w:eastAsia="Palatino Linotype" w:hAnsi="Palatino Linotype" w:cs="Palatino Linotype"/>
          <w:sz w:val="24"/>
          <w:szCs w:val="24"/>
        </w:rPr>
        <w:t xml:space="preserve"> </w:t>
      </w:r>
      <w:r w:rsidRPr="004E04DB">
        <w:rPr>
          <w:rFonts w:ascii="Palatino Linotype" w:eastAsia="Palatino Linotype" w:hAnsi="Palatino Linotype" w:cs="Palatino Linotype"/>
          <w:sz w:val="24"/>
          <w:szCs w:val="24"/>
        </w:rPr>
        <w:t xml:space="preserve">del artículo 179 de la Ley en la materia. </w:t>
      </w:r>
    </w:p>
    <w:p w14:paraId="096B0CBF"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Cuarto.</w:t>
      </w:r>
      <w:r w:rsidRPr="004E04DB">
        <w:rPr>
          <w:rFonts w:ascii="Palatino Linotype" w:eastAsia="Palatino Linotype" w:hAnsi="Palatino Linotype" w:cs="Palatino Linotype"/>
          <w:sz w:val="24"/>
          <w:szCs w:val="24"/>
        </w:rPr>
        <w:t xml:space="preserve"> </w:t>
      </w:r>
      <w:r w:rsidRPr="004E04DB">
        <w:rPr>
          <w:rFonts w:ascii="Palatino Linotype" w:eastAsia="Palatino Linotype" w:hAnsi="Palatino Linotype" w:cs="Palatino Linotype"/>
          <w:b/>
          <w:sz w:val="24"/>
          <w:szCs w:val="24"/>
        </w:rPr>
        <w:t>Estudio de fondo del asunto.</w:t>
      </w:r>
      <w:r w:rsidRPr="004E04DB">
        <w:rPr>
          <w:rFonts w:ascii="Palatino Linotype" w:eastAsia="Palatino Linotype" w:hAnsi="Palatino Linotype" w:cs="Palatino Linotype"/>
          <w:sz w:val="24"/>
          <w:szCs w:val="24"/>
        </w:rPr>
        <w:t xml:space="preserve">  Antes de entrar al análisis de los pronunciamientos del Sujeto Obligado en la respuesta proporcionada, así como en el </w:t>
      </w:r>
      <w:r w:rsidRPr="004E04DB">
        <w:rPr>
          <w:rFonts w:ascii="Palatino Linotype" w:eastAsia="Palatino Linotype" w:hAnsi="Palatino Linotype" w:cs="Palatino Linotype"/>
          <w:sz w:val="24"/>
          <w:szCs w:val="24"/>
        </w:rPr>
        <w:lastRenderedPageBreak/>
        <w:t>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4E04DB"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b/>
          <w:i/>
        </w:rPr>
        <w:t>Artículo 1o.</w:t>
      </w:r>
      <w:r w:rsidRPr="004E04DB">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p>
    <w:p w14:paraId="75867AD6" w14:textId="77777777" w:rsidR="00F8557D" w:rsidRPr="004E04DB" w:rsidRDefault="00646B44">
      <w:pPr>
        <w:spacing w:after="0" w:line="276" w:lineRule="auto"/>
        <w:ind w:left="567" w:right="560"/>
        <w:jc w:val="both"/>
        <w:rPr>
          <w:rFonts w:ascii="Palatino Linotype" w:eastAsia="Palatino Linotype" w:hAnsi="Palatino Linotype" w:cs="Palatino Linotype"/>
          <w:b/>
          <w:i/>
        </w:rPr>
      </w:pPr>
      <w:r w:rsidRPr="004E04DB">
        <w:rPr>
          <w:rFonts w:ascii="Palatino Linotype" w:eastAsia="Palatino Linotype" w:hAnsi="Palatino Linotype" w:cs="Palatino Linotype"/>
          <w:b/>
          <w:i/>
        </w:rPr>
        <w:t>“Artículo 6o.</w:t>
      </w:r>
    </w:p>
    <w:p w14:paraId="43236C09"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p>
    <w:p w14:paraId="40F47EB2"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4E04DB">
        <w:rPr>
          <w:rFonts w:ascii="Palatino Linotype" w:eastAsia="Palatino Linotype" w:hAnsi="Palatino Linotype" w:cs="Palatino Linotype"/>
          <w:i/>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C67A7C8" w14:textId="77B331B5" w:rsidR="00F8557D" w:rsidRPr="004E04DB" w:rsidRDefault="00646B44" w:rsidP="00933869">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3086EFA8" w14:textId="77777777" w:rsidR="00BC6621" w:rsidRPr="004E04DB" w:rsidRDefault="00BC6621" w:rsidP="00933869">
      <w:pPr>
        <w:spacing w:after="0" w:line="276" w:lineRule="auto"/>
        <w:ind w:left="567" w:right="560"/>
        <w:jc w:val="both"/>
        <w:rPr>
          <w:rFonts w:ascii="Palatino Linotype" w:eastAsia="Palatino Linotype" w:hAnsi="Palatino Linotype" w:cs="Palatino Linotype"/>
          <w:i/>
        </w:rPr>
      </w:pPr>
    </w:p>
    <w:p w14:paraId="7F9C6896" w14:textId="77777777"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w:t>
      </w:r>
      <w:r w:rsidRPr="004E04DB">
        <w:rPr>
          <w:rFonts w:ascii="Palatino Linotype" w:eastAsia="Palatino Linotype" w:hAnsi="Palatino Linotype" w:cs="Palatino Linotype"/>
          <w:sz w:val="24"/>
          <w:szCs w:val="24"/>
        </w:rPr>
        <w:lastRenderedPageBreak/>
        <w:t>principio de máxima publicidad, como así lo establece dicha determinación, que a continuación se transcribe para un mejor entendimiento:</w:t>
      </w:r>
    </w:p>
    <w:p w14:paraId="2E6546E4"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r w:rsidRPr="004E04DB">
        <w:rPr>
          <w:rFonts w:ascii="Palatino Linotype" w:eastAsia="Palatino Linotype" w:hAnsi="Palatino Linotype" w:cs="Palatino Linotype"/>
          <w:b/>
          <w:i/>
        </w:rPr>
        <w:t>Artículo 4.</w:t>
      </w:r>
      <w:r w:rsidRPr="004E04D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4E04DB"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r w:rsidRPr="004E04DB">
        <w:rPr>
          <w:rFonts w:ascii="Palatino Linotype" w:eastAsia="Palatino Linotype" w:hAnsi="Palatino Linotype" w:cs="Palatino Linotype"/>
          <w:b/>
          <w:i/>
        </w:rPr>
        <w:t>Artículo 12.</w:t>
      </w:r>
      <w:r w:rsidRPr="004E04D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4E04DB" w:rsidRDefault="00646B44">
      <w:pPr>
        <w:spacing w:after="0" w:line="276" w:lineRule="auto"/>
        <w:ind w:left="567" w:right="560"/>
        <w:jc w:val="both"/>
        <w:rPr>
          <w:rFonts w:ascii="Palatino Linotype" w:eastAsia="Palatino Linotype" w:hAnsi="Palatino Linotype" w:cs="Palatino Linotype"/>
          <w:b/>
          <w:i/>
        </w:rPr>
      </w:pPr>
      <w:r w:rsidRPr="004E04DB">
        <w:rPr>
          <w:rFonts w:ascii="Palatino Linotype" w:eastAsia="Palatino Linotype" w:hAnsi="Palatino Linotype" w:cs="Palatino Linotype"/>
          <w:b/>
          <w:i/>
        </w:rPr>
        <w:t>Criterio 03/17</w:t>
      </w:r>
    </w:p>
    <w:p w14:paraId="0406D8B0"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b/>
          <w:i/>
        </w:rPr>
        <w:t xml:space="preserve">“NO EXISTE OBLIGACIÓN DE ELABORAR DOCUMENTOS AD HOC PARA ATENDER LAS SOLICITUDES DE ACCESO A LA INFORMACIÓN. </w:t>
      </w:r>
      <w:r w:rsidRPr="004E04DB">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4E04DB"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7E905A4A" w14:textId="760562D4" w:rsidR="00F8557D" w:rsidRPr="004E04DB" w:rsidRDefault="00646B44" w:rsidP="00A74EBA">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4E04DB" w:rsidRDefault="0003629B"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lastRenderedPageBreak/>
        <w:t>“</w:t>
      </w:r>
      <w:r w:rsidRPr="004E04DB">
        <w:rPr>
          <w:rFonts w:ascii="Palatino Linotype" w:eastAsia="Palatino Linotype" w:hAnsi="Palatino Linotype" w:cs="Palatino Linotype"/>
          <w:b/>
          <w:i/>
        </w:rPr>
        <w:t>Artículo 3.</w:t>
      </w:r>
      <w:r w:rsidRPr="004E04DB">
        <w:rPr>
          <w:rFonts w:ascii="Palatino Linotype" w:eastAsia="Palatino Linotype" w:hAnsi="Palatino Linotype" w:cs="Palatino Linotype"/>
          <w:i/>
        </w:rPr>
        <w:t xml:space="preserve"> Para los efectos de la presente Ley se entenderá por:</w:t>
      </w:r>
    </w:p>
    <w:p w14:paraId="20112B26"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p>
    <w:p w14:paraId="4DB11EE2" w14:textId="58D17FD2"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b/>
          <w:i/>
        </w:rPr>
        <w:t>XI. Documento:</w:t>
      </w:r>
      <w:r w:rsidRPr="004E04DB">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EFA98EC"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4E04DB" w:rsidRDefault="00646B44">
      <w:pPr>
        <w:spacing w:after="0" w:line="276" w:lineRule="auto"/>
        <w:ind w:left="567" w:right="560"/>
        <w:jc w:val="both"/>
        <w:rPr>
          <w:rFonts w:ascii="Palatino Linotype" w:eastAsia="Palatino Linotype" w:hAnsi="Palatino Linotype" w:cs="Palatino Linotype"/>
          <w:b/>
          <w:i/>
        </w:rPr>
      </w:pPr>
      <w:r w:rsidRPr="004E04DB">
        <w:rPr>
          <w:rFonts w:ascii="Palatino Linotype" w:eastAsia="Palatino Linotype" w:hAnsi="Palatino Linotype" w:cs="Palatino Linotype"/>
          <w:i/>
        </w:rPr>
        <w:t>“</w:t>
      </w:r>
      <w:r w:rsidRPr="004E04DB">
        <w:rPr>
          <w:rFonts w:ascii="Palatino Linotype" w:eastAsia="Palatino Linotype" w:hAnsi="Palatino Linotype" w:cs="Palatino Linotype"/>
          <w:b/>
          <w:i/>
        </w:rPr>
        <w:t>CRITERIO 0002-11</w:t>
      </w:r>
    </w:p>
    <w:p w14:paraId="5302D9BA"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4E04D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1)</w:t>
      </w:r>
      <w:r w:rsidRPr="004E04DB">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t>2)</w:t>
      </w:r>
      <w:r w:rsidRPr="004E04DB">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4E04DB" w:rsidRDefault="00646B44">
      <w:pPr>
        <w:spacing w:after="0" w:line="276" w:lineRule="auto"/>
        <w:ind w:left="567" w:right="560"/>
        <w:jc w:val="both"/>
        <w:rPr>
          <w:rFonts w:ascii="Palatino Linotype" w:eastAsia="Palatino Linotype" w:hAnsi="Palatino Linotype" w:cs="Palatino Linotype"/>
          <w:i/>
        </w:rPr>
      </w:pPr>
      <w:r w:rsidRPr="004E04DB">
        <w:rPr>
          <w:rFonts w:ascii="Palatino Linotype" w:eastAsia="Palatino Linotype" w:hAnsi="Palatino Linotype" w:cs="Palatino Linotype"/>
          <w:i/>
        </w:rPr>
        <w:lastRenderedPageBreak/>
        <w:t xml:space="preserve">3) Que se trate de información registrada en cualquier soporte documental, que en ejercicio de las atribuciones conferidas, se encuentre en posesión de los Sujetos Obligados.” </w:t>
      </w:r>
    </w:p>
    <w:p w14:paraId="20D90780"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0B796A6A" w14:textId="497873F5"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sidRPr="004E04DB">
        <w:rPr>
          <w:rFonts w:ascii="Palatino Linotype" w:eastAsia="Palatino Linotype" w:hAnsi="Palatino Linotype" w:cs="Palatino Linotype"/>
          <w:sz w:val="24"/>
          <w:szCs w:val="24"/>
        </w:rPr>
        <w:t xml:space="preserve">ecurrente, relativos a </w:t>
      </w:r>
      <w:r w:rsidRPr="004E04DB">
        <w:rPr>
          <w:rFonts w:ascii="Palatino Linotype" w:eastAsia="Palatino Linotype" w:hAnsi="Palatino Linotype" w:cs="Palatino Linotype"/>
          <w:sz w:val="24"/>
          <w:szCs w:val="24"/>
        </w:rPr>
        <w:t xml:space="preserve">la </w:t>
      </w:r>
      <w:r w:rsidR="00933869" w:rsidRPr="004E04DB">
        <w:rPr>
          <w:rFonts w:ascii="Palatino Linotype" w:eastAsia="Palatino Linotype" w:hAnsi="Palatino Linotype" w:cs="Palatino Linotype"/>
          <w:sz w:val="24"/>
          <w:szCs w:val="24"/>
        </w:rPr>
        <w:t xml:space="preserve">entrega de información </w:t>
      </w:r>
      <w:r w:rsidR="00BC6621" w:rsidRPr="004E04DB">
        <w:rPr>
          <w:rFonts w:ascii="Palatino Linotype" w:eastAsia="Palatino Linotype" w:hAnsi="Palatino Linotype" w:cs="Palatino Linotype"/>
          <w:sz w:val="24"/>
          <w:szCs w:val="24"/>
        </w:rPr>
        <w:t>en un formato no accesible para el solicitante</w:t>
      </w:r>
      <w:r w:rsidR="00DB71F7" w:rsidRPr="004E04DB">
        <w:rPr>
          <w:rFonts w:ascii="Palatino Linotype" w:eastAsia="Palatino Linotype" w:hAnsi="Palatino Linotype" w:cs="Palatino Linotype"/>
          <w:sz w:val="24"/>
          <w:szCs w:val="24"/>
        </w:rPr>
        <w:t xml:space="preserve">, lo que actualiza la causal de procedencia prevista en la fracción </w:t>
      </w:r>
      <w:r w:rsidR="00BC6621" w:rsidRPr="004E04DB">
        <w:rPr>
          <w:rFonts w:ascii="Palatino Linotype" w:eastAsia="Palatino Linotype" w:hAnsi="Palatino Linotype" w:cs="Palatino Linotype"/>
          <w:sz w:val="24"/>
          <w:szCs w:val="24"/>
        </w:rPr>
        <w:t>IX</w:t>
      </w:r>
      <w:r w:rsidRPr="004E04DB">
        <w:rPr>
          <w:rFonts w:ascii="Palatino Linotype" w:eastAsia="Palatino Linotype" w:hAnsi="Palatino Linotype" w:cs="Palatino Linotype"/>
          <w:sz w:val="24"/>
          <w:szCs w:val="24"/>
        </w:rPr>
        <w:t xml:space="preserve"> del artículo 179 de la Ley de Transparencia y Acceso a la Información Pública del</w:t>
      </w:r>
      <w:r w:rsidR="00933869" w:rsidRPr="004E04DB">
        <w:rPr>
          <w:rFonts w:ascii="Palatino Linotype" w:eastAsia="Palatino Linotype" w:hAnsi="Palatino Linotype" w:cs="Palatino Linotype"/>
          <w:sz w:val="24"/>
          <w:szCs w:val="24"/>
        </w:rPr>
        <w:t xml:space="preserve"> Estado de México y Municipios.</w:t>
      </w:r>
    </w:p>
    <w:p w14:paraId="4BF42BC4"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713FCE13" w14:textId="1600D987" w:rsidR="00F8557D" w:rsidRPr="004E04DB" w:rsidRDefault="00646B44" w:rsidP="00F67DE4">
      <w:pPr>
        <w:spacing w:after="0" w:line="360" w:lineRule="auto"/>
        <w:ind w:right="49"/>
        <w:jc w:val="both"/>
        <w:rPr>
          <w:rFonts w:ascii="Palatino Linotype" w:eastAsia="Palatino Linotype" w:hAnsi="Palatino Linotype" w:cs="Palatino Linotype"/>
          <w:b/>
          <w:szCs w:val="24"/>
        </w:rPr>
      </w:pPr>
      <w:r w:rsidRPr="004E04DB">
        <w:rPr>
          <w:rFonts w:ascii="Palatino Linotype" w:eastAsia="Palatino Linotype" w:hAnsi="Palatino Linotype" w:cs="Palatino Linotype"/>
          <w:sz w:val="24"/>
          <w:szCs w:val="24"/>
        </w:rPr>
        <w:t>Para ello, en principio resulta</w:t>
      </w:r>
      <w:r w:rsidR="00EE774D" w:rsidRPr="004E04DB">
        <w:rPr>
          <w:rFonts w:ascii="Palatino Linotype" w:eastAsia="Palatino Linotype" w:hAnsi="Palatino Linotype" w:cs="Palatino Linotype"/>
          <w:sz w:val="24"/>
          <w:szCs w:val="24"/>
        </w:rPr>
        <w:t xml:space="preserve"> recordar que la pretensión de la parte </w:t>
      </w:r>
      <w:r w:rsidRPr="004E04DB">
        <w:rPr>
          <w:rFonts w:ascii="Palatino Linotype" w:eastAsia="Palatino Linotype" w:hAnsi="Palatino Linotype" w:cs="Palatino Linotype"/>
          <w:sz w:val="24"/>
          <w:szCs w:val="24"/>
        </w:rPr>
        <w:t>ahora Recurrente es obtener</w:t>
      </w:r>
      <w:r w:rsidR="00433FA3" w:rsidRPr="004E04DB">
        <w:rPr>
          <w:rFonts w:ascii="Palatino Linotype" w:eastAsia="Palatino Linotype" w:hAnsi="Palatino Linotype" w:cs="Palatino Linotype"/>
          <w:b/>
          <w:bCs/>
          <w:sz w:val="24"/>
          <w:szCs w:val="24"/>
        </w:rPr>
        <w:t xml:space="preserve"> </w:t>
      </w:r>
      <w:r w:rsidR="00EE774D" w:rsidRPr="004E04DB">
        <w:rPr>
          <w:rFonts w:ascii="Palatino Linotype" w:eastAsia="Palatino Linotype" w:hAnsi="Palatino Linotype" w:cs="Palatino Linotype"/>
          <w:bCs/>
          <w:sz w:val="24"/>
          <w:szCs w:val="24"/>
        </w:rPr>
        <w:t>e</w:t>
      </w:r>
      <w:r w:rsidR="00F67DE4" w:rsidRPr="004E04DB">
        <w:rPr>
          <w:rFonts w:ascii="Palatino Linotype" w:eastAsia="Palatino Linotype" w:hAnsi="Palatino Linotype" w:cs="Palatino Linotype"/>
          <w:bCs/>
          <w:sz w:val="24"/>
          <w:szCs w:val="24"/>
        </w:rPr>
        <w:t xml:space="preserve">l </w:t>
      </w:r>
      <w:r w:rsidR="00F67DE4" w:rsidRPr="004E04DB">
        <w:rPr>
          <w:rFonts w:ascii="Palatino Linotype" w:eastAsia="Palatino Linotype" w:hAnsi="Palatino Linotype" w:cs="Palatino Linotype"/>
          <w:b/>
          <w:sz w:val="24"/>
          <w:szCs w:val="24"/>
        </w:rPr>
        <w:t xml:space="preserve">inventario general de los bienes muebles e inmuebles propiedad del Municipio de Zinacantepec y que hayan sido inscritos en el libro especial con expresión de sus valores y de las características de identificación, su uso y destino. </w:t>
      </w:r>
    </w:p>
    <w:p w14:paraId="1839BC65" w14:textId="77777777" w:rsidR="0003629B" w:rsidRPr="004E04DB" w:rsidRDefault="0003629B" w:rsidP="00FC00A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Cs w:val="24"/>
        </w:rPr>
      </w:pPr>
    </w:p>
    <w:p w14:paraId="6FB7EBA0" w14:textId="5F2C675D" w:rsidR="00F67DE4" w:rsidRPr="004E04DB" w:rsidRDefault="00E2699F" w:rsidP="00F67DE4">
      <w:pPr>
        <w:spacing w:after="0" w:line="360" w:lineRule="auto"/>
        <w:ind w:right="49"/>
        <w:jc w:val="both"/>
        <w:rPr>
          <w:rFonts w:ascii="Palatino Linotype" w:eastAsia="Palatino Linotype" w:hAnsi="Palatino Linotype" w:cs="Palatino Linotype"/>
          <w:b/>
          <w:bCs/>
          <w:sz w:val="24"/>
          <w:szCs w:val="24"/>
        </w:rPr>
      </w:pPr>
      <w:r w:rsidRPr="004E04DB">
        <w:rPr>
          <w:rFonts w:ascii="Palatino Linotype" w:eastAsia="Palatino Linotype" w:hAnsi="Palatino Linotype" w:cs="Palatino Linotype"/>
          <w:sz w:val="24"/>
          <w:szCs w:val="24"/>
        </w:rPr>
        <w:lastRenderedPageBreak/>
        <w:t>E</w:t>
      </w:r>
      <w:r w:rsidR="00433FA3" w:rsidRPr="004E04DB">
        <w:rPr>
          <w:rFonts w:ascii="Palatino Linotype" w:eastAsia="Palatino Linotype" w:hAnsi="Palatino Linotype" w:cs="Palatino Linotype"/>
          <w:sz w:val="24"/>
          <w:szCs w:val="24"/>
        </w:rPr>
        <w:t>n respuesta, el Sujeto Obligado</w:t>
      </w:r>
      <w:r w:rsidR="00F67DE4" w:rsidRPr="004E04DB">
        <w:rPr>
          <w:rFonts w:ascii="Palatino Linotype" w:eastAsia="Palatino Linotype" w:hAnsi="Palatino Linotype" w:cs="Palatino Linotype"/>
          <w:sz w:val="24"/>
          <w:szCs w:val="24"/>
        </w:rPr>
        <w:t xml:space="preserve">, a través del Secretario del Ayuntamiento, informó que, </w:t>
      </w:r>
      <w:r w:rsidR="00F67DE4" w:rsidRPr="004E04DB">
        <w:rPr>
          <w:rFonts w:ascii="Palatino Linotype" w:eastAsia="Palatino Linotype" w:hAnsi="Palatino Linotype" w:cs="Palatino Linotype"/>
          <w:b/>
          <w:bCs/>
          <w:sz w:val="24"/>
          <w:szCs w:val="24"/>
        </w:rPr>
        <w:t xml:space="preserve">el inventario general de bienes muebles e inmuebles del Ayuntamiento, se encuentra publicado en el Portal de Información Pública de Oficio Mexiquense, el cual puede ser consultado en las siguientes ligas electrónicas: </w:t>
      </w:r>
    </w:p>
    <w:p w14:paraId="45864243" w14:textId="77777777" w:rsidR="00F67DE4" w:rsidRPr="004E04DB" w:rsidRDefault="00F67DE4" w:rsidP="00F67DE4">
      <w:pPr>
        <w:spacing w:after="0" w:line="360" w:lineRule="auto"/>
        <w:ind w:right="49"/>
        <w:jc w:val="both"/>
        <w:rPr>
          <w:rFonts w:ascii="Palatino Linotype" w:eastAsia="Palatino Linotype" w:hAnsi="Palatino Linotype" w:cs="Palatino Linotype"/>
          <w:sz w:val="24"/>
          <w:szCs w:val="24"/>
        </w:rPr>
      </w:pPr>
    </w:p>
    <w:p w14:paraId="7DD742D8" w14:textId="77777777" w:rsidR="00F67DE4" w:rsidRPr="004E04DB" w:rsidRDefault="00AE4905" w:rsidP="00F67DE4">
      <w:pPr>
        <w:pStyle w:val="Prrafodelista"/>
        <w:pBdr>
          <w:top w:val="nil"/>
          <w:left w:val="nil"/>
          <w:bottom w:val="nil"/>
          <w:right w:val="nil"/>
          <w:between w:val="nil"/>
        </w:pBdr>
        <w:tabs>
          <w:tab w:val="left" w:pos="993"/>
        </w:tabs>
        <w:spacing w:after="0" w:line="276" w:lineRule="auto"/>
        <w:ind w:left="567" w:right="560"/>
        <w:jc w:val="both"/>
        <w:rPr>
          <w:rFonts w:ascii="Arial" w:hAnsi="Arial" w:cs="Arial"/>
          <w:u w:val="single"/>
        </w:rPr>
      </w:pPr>
      <w:hyperlink r:id="rId12" w:tgtFrame="_blank" w:history="1">
        <w:r w:rsidR="00F67DE4" w:rsidRPr="004E04DB">
          <w:rPr>
            <w:rStyle w:val="Hipervnculo"/>
            <w:rFonts w:ascii="Arial" w:hAnsi="Arial" w:cs="Arial"/>
            <w:color w:val="auto"/>
          </w:rPr>
          <w:t>https://www.ipomex.org.mx/ipo3/lgt/indice/ZINACANTEPEC/art</w:t>
        </w:r>
      </w:hyperlink>
      <w:r w:rsidR="00F67DE4" w:rsidRPr="004E04DB">
        <w:rPr>
          <w:rFonts w:ascii="Arial" w:hAnsi="Arial" w:cs="Arial"/>
          <w:u w:val="single"/>
        </w:rPr>
        <w:t xml:space="preserve">_92_xxxviii_a.web?token=03ADUVZwDb5Dofq0-vH2FI_rt14O3fjNXHRjU-30FI3Ps5vwhE1CNzoGHJbG4i2LiAsrqiOp_QGz8PNIQF2UtRjtiSnmIZ6wOV2QhV9xFtPB2zBpOilEAqc0tBf7mNoo2ENVe5xThdVCDNukHGH2rx273DtmB9BKCkUm_AJBr8gZDSvsx5YQXmN1aw80hlnPEKirH0AtSDyd1BxfjoWedvv5Y9A2QIMNmPF5XvEoBkpsuK7isOeaHmcDJUDa84W8cXTfzJMJ7y2uwUfcA2qNEaVIpPIGSJDS3FZiGHXIBA4KPAVUD15mcYinhbOsLoMGM3WLESRO3DwiX4X82 KIEMZ.KOlzFyn8Fk7 k52w1uDretZit FKvF2KTUlSydJm0dvha60JPB3UeLWGEsKiuxQVweQBDw4z8Y-SZX584xOPnTSWUkuHioFSWILAQYUXCAJOWN9VWXWZXiBxISRTEcsNiGycpEiOc7 h81z5pM TV/wQIUobxTIKD8tsHIVnO va30vAP3SqOrigREe 25x0FD8G2JASRDEBbahSCyscC43aEXPhUrdJ5-IZSgTZISPNhvAu0277Yfegyd5QBE8hcU-mHinuneJ5IrtGVBOFJxQw9NizdkABw </w:t>
      </w:r>
    </w:p>
    <w:p w14:paraId="462C640F" w14:textId="77777777" w:rsidR="00F67DE4" w:rsidRPr="004E04DB" w:rsidRDefault="00F67DE4" w:rsidP="00F67DE4">
      <w:pPr>
        <w:shd w:val="clear" w:color="auto" w:fill="FFFFFF"/>
        <w:spacing w:line="276" w:lineRule="auto"/>
        <w:ind w:left="567" w:right="560"/>
        <w:rPr>
          <w:rFonts w:ascii="Arial" w:hAnsi="Arial" w:cs="Arial"/>
        </w:rPr>
      </w:pPr>
      <w:proofErr w:type="gramStart"/>
      <w:r w:rsidRPr="004E04DB">
        <w:rPr>
          <w:rFonts w:ascii="Arial" w:hAnsi="Arial" w:cs="Arial"/>
        </w:rPr>
        <w:t>y</w:t>
      </w:r>
      <w:proofErr w:type="gramEnd"/>
      <w:r w:rsidRPr="004E04DB">
        <w:rPr>
          <w:rFonts w:ascii="Arial" w:hAnsi="Arial" w:cs="Arial"/>
        </w:rPr>
        <w:t>;</w:t>
      </w:r>
    </w:p>
    <w:p w14:paraId="30077C93" w14:textId="77777777" w:rsidR="00F67DE4" w:rsidRPr="004E04DB" w:rsidRDefault="00AE4905" w:rsidP="00F67DE4">
      <w:pPr>
        <w:shd w:val="clear" w:color="auto" w:fill="FFFFFF"/>
        <w:spacing w:line="276" w:lineRule="auto"/>
        <w:ind w:left="567" w:right="560"/>
        <w:rPr>
          <w:rFonts w:ascii="Arial" w:hAnsi="Arial" w:cs="Arial"/>
        </w:rPr>
      </w:pPr>
      <w:hyperlink r:id="rId13" w:history="1">
        <w:r w:rsidR="00F67DE4" w:rsidRPr="004E04DB">
          <w:rPr>
            <w:rStyle w:val="Hipervnculo"/>
            <w:rFonts w:ascii="Arial" w:hAnsi="Arial" w:cs="Arial"/>
            <w:color w:val="auto"/>
          </w:rPr>
          <w:t>https://www.ipomex.org.mx/ipo3/lgt/indice/ZINACANTEPEC/art_92_xxxviii_d.web?token=03ADUVZwBHIBi3duP4tGOso0QNfVuc56AIFWggVsoPm7M2YM78qAE5HJAv48afs0IOpupVoYM1MDcIVdMcZ9JMwEI6iZRZonawDATspluBDkcSnYN97bvjAdSeEZkdGbXpgk8aa4PDAvYsos5kjVfQfgF3JgDNVea0QZ36id-RKFINNzjkixNG-Msgo3JXzPU7UazibiyaAg3lq2KyQyMCKMphngHbn5cC28x0GYWYF5Mw089gYXPMulzXMXGILGdCr-EmEZ5cHNGhRbTVrtdVz47LpOu3AKuC2nL2t02Vv5BsXIBfq_6XQ2rJIAe1H6IFVIfdQIgS7SB5ypQFaeqJLImscYYsopVwR2QPSeywD-FGNSfYjsIAZANOMJQbhWwYs.OEiCOx57PnfGUgiVEy-3NAifZqWkbQ4x2|giEdoyLweLNJvclid9HDNhwloMXKbiiHWCZMPZO5sWIWT7.TirK8pT854SA05pnzd4Fg599KDeRWJa6iWz54K0GJGyq0P6FJb2xuBeJ5BBdgsB7fGgfwGL7rTRNoluFCiki_Z3ymweN4LV7z9I24CROfcRxardgYAFQ0XFxQR4s8iBLx5gDyPgx-SZ0RWIn0syA1o-9drYEh8</w:t>
        </w:r>
      </w:hyperlink>
      <w:r w:rsidR="00F67DE4" w:rsidRPr="004E04DB">
        <w:rPr>
          <w:rFonts w:ascii="Arial" w:hAnsi="Arial" w:cs="Arial"/>
        </w:rPr>
        <w:t xml:space="preserve"> </w:t>
      </w:r>
    </w:p>
    <w:p w14:paraId="40821769" w14:textId="4554CE89" w:rsidR="00F67DE4" w:rsidRPr="004E04DB" w:rsidRDefault="00F67DE4" w:rsidP="00F67D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1843C41" w14:textId="0D8028E9" w:rsidR="00F67DE4" w:rsidRPr="004E04DB" w:rsidRDefault="00F67DE4" w:rsidP="00F67DE4">
      <w:pPr>
        <w:pBdr>
          <w:top w:val="nil"/>
          <w:left w:val="nil"/>
          <w:bottom w:val="nil"/>
          <w:right w:val="nil"/>
          <w:between w:val="nil"/>
        </w:pBdr>
        <w:spacing w:after="0" w:line="360" w:lineRule="auto"/>
        <w:ind w:right="49"/>
        <w:jc w:val="both"/>
        <w:rPr>
          <w:rFonts w:ascii="Palatino Linotype" w:eastAsia="Palatino Linotype" w:hAnsi="Palatino Linotype" w:cs="Palatino Linotype"/>
          <w:sz w:val="28"/>
          <w:szCs w:val="28"/>
        </w:rPr>
      </w:pPr>
      <w:r w:rsidRPr="004E04DB">
        <w:rPr>
          <w:rFonts w:ascii="Palatino Linotype" w:eastAsia="Palatino Linotype" w:hAnsi="Palatino Linotype" w:cs="Palatino Linotype"/>
          <w:sz w:val="24"/>
          <w:szCs w:val="24"/>
        </w:rPr>
        <w:lastRenderedPageBreak/>
        <w:t xml:space="preserve">Derivado de ello, la parte Recurrente se inconformó arguyendo que no se podía acceder a las ligas electrónicas. </w:t>
      </w:r>
    </w:p>
    <w:p w14:paraId="1D52356B" w14:textId="6C94327F" w:rsidR="00F67DE4" w:rsidRPr="004E04DB" w:rsidRDefault="00F67DE4" w:rsidP="007D19E9">
      <w:pPr>
        <w:spacing w:after="0" w:line="360" w:lineRule="auto"/>
        <w:ind w:right="49"/>
        <w:jc w:val="both"/>
        <w:rPr>
          <w:rFonts w:ascii="Palatino Linotype" w:eastAsia="Palatino Linotype" w:hAnsi="Palatino Linotype" w:cs="Palatino Linotype"/>
          <w:b/>
          <w:sz w:val="24"/>
          <w:szCs w:val="24"/>
        </w:rPr>
      </w:pPr>
    </w:p>
    <w:p w14:paraId="5078A211" w14:textId="77777777" w:rsidR="00F67DE4" w:rsidRPr="004E04DB" w:rsidRDefault="00F67DE4" w:rsidP="00D02932">
      <w:pPr>
        <w:spacing w:after="0" w:line="360" w:lineRule="auto"/>
        <w:ind w:right="49"/>
        <w:jc w:val="both"/>
        <w:rPr>
          <w:rFonts w:ascii="Palatino Linotype" w:eastAsia="Palatino Linotype" w:hAnsi="Palatino Linotype" w:cs="Palatino Linotype"/>
          <w:bCs/>
          <w:sz w:val="24"/>
          <w:szCs w:val="24"/>
        </w:rPr>
      </w:pPr>
      <w:r w:rsidRPr="004E04DB">
        <w:rPr>
          <w:rFonts w:ascii="Palatino Linotype" w:eastAsia="Palatino Linotype" w:hAnsi="Palatino Linotype" w:cs="Palatino Linotype"/>
          <w:bCs/>
          <w:sz w:val="24"/>
          <w:szCs w:val="24"/>
        </w:rPr>
        <w:t xml:space="preserve">Las partes fueron omisas en rendir informe justificado. </w:t>
      </w:r>
    </w:p>
    <w:p w14:paraId="56F7D5A8" w14:textId="77777777" w:rsidR="00F67DE4" w:rsidRPr="004E04DB" w:rsidRDefault="00F67DE4" w:rsidP="00577A99">
      <w:pPr>
        <w:spacing w:after="0" w:line="360" w:lineRule="auto"/>
        <w:ind w:right="49"/>
        <w:jc w:val="both"/>
        <w:rPr>
          <w:rFonts w:ascii="Palatino Linotype" w:eastAsia="Palatino Linotype" w:hAnsi="Palatino Linotype" w:cs="Palatino Linotype"/>
          <w:bCs/>
          <w:sz w:val="24"/>
          <w:szCs w:val="24"/>
        </w:rPr>
      </w:pPr>
    </w:p>
    <w:p w14:paraId="066598A2" w14:textId="6E903E02" w:rsidR="00577A99" w:rsidRPr="004E04DB" w:rsidRDefault="0093591F" w:rsidP="00577A99">
      <w:pPr>
        <w:spacing w:after="0" w:line="360" w:lineRule="auto"/>
        <w:ind w:right="49"/>
        <w:jc w:val="both"/>
        <w:rPr>
          <w:rFonts w:ascii="Palatino Linotype" w:hAnsi="Palatino Linotype" w:cs="Arial"/>
          <w:sz w:val="24"/>
          <w:szCs w:val="24"/>
        </w:rPr>
      </w:pPr>
      <w:r w:rsidRPr="004E04DB">
        <w:rPr>
          <w:rFonts w:ascii="Palatino Linotype" w:eastAsia="Palatino Linotype" w:hAnsi="Palatino Linotype" w:cs="Palatino Linotype"/>
          <w:sz w:val="24"/>
          <w:szCs w:val="24"/>
        </w:rPr>
        <w:t>Establecido esto,</w:t>
      </w:r>
      <w:r w:rsidR="00CB345C" w:rsidRPr="004E04DB">
        <w:rPr>
          <w:rFonts w:ascii="Palatino Linotype" w:eastAsia="Palatino Linotype" w:hAnsi="Palatino Linotype" w:cs="Palatino Linotype"/>
          <w:sz w:val="24"/>
          <w:szCs w:val="24"/>
        </w:rPr>
        <w:t xml:space="preserve"> se procede a contextualizar la información requerida, para ello,</w:t>
      </w:r>
      <w:r w:rsidR="00577A99" w:rsidRPr="004E04DB">
        <w:rPr>
          <w:rFonts w:ascii="Palatino Linotype" w:eastAsia="Palatino Linotype" w:hAnsi="Palatino Linotype" w:cs="Palatino Linotype"/>
          <w:sz w:val="24"/>
          <w:szCs w:val="24"/>
        </w:rPr>
        <w:t xml:space="preserve"> es importante definir que, de acuerdo con </w:t>
      </w:r>
      <w:r w:rsidR="00CB345C" w:rsidRPr="004E04DB">
        <w:rPr>
          <w:rFonts w:ascii="Palatino Linotype" w:hAnsi="Palatino Linotype" w:cs="Arial"/>
          <w:sz w:val="24"/>
          <w:szCs w:val="24"/>
        </w:rPr>
        <w:t xml:space="preserve">José Joaquín Herrera Villanueva, </w:t>
      </w:r>
      <w:r w:rsidR="00CB345C" w:rsidRPr="004E04DB">
        <w:rPr>
          <w:rFonts w:ascii="Palatino Linotype" w:hAnsi="Palatino Linotype" w:cs="Arial"/>
          <w:b/>
          <w:sz w:val="24"/>
          <w:szCs w:val="24"/>
          <w:u w:val="single"/>
        </w:rPr>
        <w:t>el patrimonio está conformado por bienes</w:t>
      </w:r>
      <w:r w:rsidR="00CB345C" w:rsidRPr="004E04DB">
        <w:rPr>
          <w:rFonts w:ascii="Palatino Linotype" w:hAnsi="Palatino Linotype" w:cs="Arial"/>
          <w:sz w:val="24"/>
          <w:szCs w:val="24"/>
        </w:rPr>
        <w:t>, es decir, derechos reales, derechos personales, obligaciones reales, obligaciones personales y cargas, susceptibles de valuación pecuniari</w:t>
      </w:r>
      <w:r w:rsidR="00577A99" w:rsidRPr="004E04DB">
        <w:rPr>
          <w:rFonts w:ascii="Palatino Linotype" w:hAnsi="Palatino Linotype" w:cs="Arial"/>
          <w:sz w:val="24"/>
          <w:szCs w:val="24"/>
        </w:rPr>
        <w:t xml:space="preserve">a. </w:t>
      </w:r>
    </w:p>
    <w:p w14:paraId="2EA7CE96" w14:textId="77777777" w:rsidR="00577A99" w:rsidRPr="004E04DB" w:rsidRDefault="00577A99" w:rsidP="00577A99">
      <w:pPr>
        <w:spacing w:after="0" w:line="360" w:lineRule="auto"/>
        <w:ind w:right="49"/>
        <w:jc w:val="both"/>
        <w:rPr>
          <w:rFonts w:ascii="Palatino Linotype" w:hAnsi="Palatino Linotype" w:cs="Arial"/>
          <w:sz w:val="24"/>
          <w:szCs w:val="24"/>
          <w:vertAlign w:val="superscript"/>
        </w:rPr>
      </w:pPr>
    </w:p>
    <w:p w14:paraId="565FFD3B" w14:textId="76AD0DB5" w:rsidR="00CB345C" w:rsidRPr="004E04DB" w:rsidRDefault="00CB345C" w:rsidP="00577A99">
      <w:pPr>
        <w:spacing w:after="0" w:line="360" w:lineRule="auto"/>
        <w:ind w:right="49"/>
        <w:jc w:val="both"/>
        <w:rPr>
          <w:rFonts w:ascii="Palatino Linotype" w:hAnsi="Palatino Linotype" w:cs="Arial"/>
          <w:sz w:val="24"/>
          <w:szCs w:val="24"/>
        </w:rPr>
      </w:pPr>
      <w:r w:rsidRPr="004E04DB">
        <w:rPr>
          <w:rFonts w:ascii="Palatino Linotype" w:hAnsi="Palatino Linotype" w:cs="Arial"/>
          <w:sz w:val="24"/>
          <w:szCs w:val="24"/>
        </w:rPr>
        <w:t xml:space="preserve">En este orden de ideas, reviste interés al presente estudio, centrarnos en el término </w:t>
      </w:r>
      <w:r w:rsidRPr="004E04DB">
        <w:rPr>
          <w:rFonts w:ascii="Palatino Linotype" w:hAnsi="Palatino Linotype" w:cs="Arial"/>
          <w:b/>
          <w:sz w:val="24"/>
          <w:szCs w:val="24"/>
        </w:rPr>
        <w:t>bienes</w:t>
      </w:r>
      <w:r w:rsidRPr="004E04DB">
        <w:rPr>
          <w:rFonts w:ascii="Palatino Linotype" w:hAnsi="Palatino Linotype" w:cs="Arial"/>
          <w:sz w:val="24"/>
          <w:szCs w:val="24"/>
        </w:rPr>
        <w:t xml:space="preserve">, así como </w:t>
      </w:r>
      <w:r w:rsidRPr="004E04DB">
        <w:rPr>
          <w:rFonts w:ascii="Palatino Linotype" w:hAnsi="Palatino Linotype" w:cs="Arial"/>
          <w:b/>
          <w:sz w:val="24"/>
          <w:szCs w:val="24"/>
        </w:rPr>
        <w:t>la clasificación de los bienes en muebles e inmuebles</w:t>
      </w:r>
      <w:r w:rsidRPr="004E04DB">
        <w:rPr>
          <w:rFonts w:ascii="Palatino Linotype" w:hAnsi="Palatino Linotype" w:cs="Arial"/>
          <w:sz w:val="24"/>
          <w:szCs w:val="24"/>
        </w:rPr>
        <w:t xml:space="preserve">, para ello conviene traer a colación lo dispuesto por el Código Civil del Estado de México, el cual establece lo siguiente: </w:t>
      </w:r>
    </w:p>
    <w:p w14:paraId="67F3C1F3" w14:textId="77777777" w:rsidR="00577A99" w:rsidRPr="004E04DB" w:rsidRDefault="00577A99" w:rsidP="00577A99">
      <w:pPr>
        <w:spacing w:after="0" w:line="276" w:lineRule="auto"/>
        <w:ind w:left="567" w:right="560"/>
        <w:jc w:val="both"/>
        <w:rPr>
          <w:rFonts w:ascii="Palatino Linotype" w:hAnsi="Palatino Linotype" w:cs="Arial"/>
        </w:rPr>
      </w:pPr>
    </w:p>
    <w:p w14:paraId="3B829D58"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w:t>
      </w:r>
      <w:r w:rsidRPr="004E04DB">
        <w:rPr>
          <w:rFonts w:ascii="Palatino Linotype" w:hAnsi="Palatino Linotype" w:cs="Arial"/>
          <w:b/>
          <w:bCs/>
          <w:i/>
        </w:rPr>
        <w:t>Artículo 5.1.-</w:t>
      </w:r>
      <w:r w:rsidRPr="004E04DB">
        <w:rPr>
          <w:rFonts w:ascii="Palatino Linotype" w:hAnsi="Palatino Linotype" w:cs="Arial"/>
          <w:i/>
        </w:rPr>
        <w:t xml:space="preserve"> Son bienes las cosas que pueden ser objeto de apropiación y que no estén excluidas del comercio. </w:t>
      </w:r>
    </w:p>
    <w:p w14:paraId="1CDB1BCD"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w:t>
      </w:r>
    </w:p>
    <w:p w14:paraId="1CC6515B"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b/>
          <w:bCs/>
          <w:i/>
        </w:rPr>
        <w:t>Artículo 5.4.-</w:t>
      </w:r>
      <w:r w:rsidRPr="004E04DB">
        <w:rPr>
          <w:rFonts w:ascii="Palatino Linotype" w:hAnsi="Palatino Linotype" w:cs="Arial"/>
          <w:i/>
        </w:rPr>
        <w:t xml:space="preserve"> Son bienes inmuebles:</w:t>
      </w:r>
    </w:p>
    <w:p w14:paraId="7F2BC747" w14:textId="77777777" w:rsidR="00CB345C" w:rsidRPr="004E04DB" w:rsidRDefault="00CB345C" w:rsidP="00577A99">
      <w:pPr>
        <w:spacing w:after="0" w:line="276" w:lineRule="auto"/>
        <w:ind w:left="567" w:right="560"/>
        <w:jc w:val="both"/>
        <w:rPr>
          <w:rFonts w:ascii="Palatino Linotype" w:hAnsi="Palatino Linotype" w:cs="Arial"/>
          <w:i/>
          <w:lang w:val="es-ES_tradnl"/>
        </w:rPr>
      </w:pPr>
      <w:r w:rsidRPr="004E04DB">
        <w:rPr>
          <w:rFonts w:ascii="Palatino Linotype" w:hAnsi="Palatino Linotype" w:cs="Arial"/>
          <w:i/>
          <w:lang w:val="es-ES_tradnl"/>
        </w:rPr>
        <w:t>I. El suelo y las construcciones adheridas a él;</w:t>
      </w:r>
    </w:p>
    <w:p w14:paraId="4D88E9F9"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II. Las plantas y árboles, mientras estuvieren unidos a la tierra, y sus frutos mientras no sean separados de ellos;</w:t>
      </w:r>
    </w:p>
    <w:p w14:paraId="1884E6FA"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III. Todo lo que esté unido a un inmueble de una manera fija, de modo que no pueda separarse sin deterioro del mismo o del objeto a él adherido;</w:t>
      </w:r>
    </w:p>
    <w:p w14:paraId="3D9DBF6A"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lastRenderedPageBreak/>
        <w:t>IV. Los palomares, colmenas, estanques de peces o criaderos análogos, cuando el propietario los conserve con el propósito de mantenerlos unidos al inmueble y formando parte de él de un modo permanente;</w:t>
      </w:r>
    </w:p>
    <w:p w14:paraId="67C520FE"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V. Las máquinas, instrumentos o utensilios destinados por el propietario del inmueble, directa o exclusivamente a la industria o explotación del mismo;</w:t>
      </w:r>
    </w:p>
    <w:p w14:paraId="108FA829"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VI. Los fertilizantes, herbicidas, fungicidas, insecticidas, semillas y en general las sustancias para la preservación, cultivo y mantenimiento de la tierra que se encuentren en los inmuebles o unidades de producción en donde hayan de utilizarse;</w:t>
      </w:r>
    </w:p>
    <w:p w14:paraId="7232F858"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VII. El equipamiento y accesorios adheridos al suelo o a los edificios de éstos, salvo convenio en contrario;</w:t>
      </w:r>
    </w:p>
    <w:p w14:paraId="286E44CD"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VIII. Los acueductos o tuberías de cualquier tipo que sirvan para conducir los líquidos o gases a un inmueble, o para extraerlos de él;</w:t>
      </w:r>
    </w:p>
    <w:p w14:paraId="295237A1" w14:textId="77777777" w:rsidR="00CB345C" w:rsidRPr="004E04DB" w:rsidRDefault="00CB345C" w:rsidP="00577A99">
      <w:pPr>
        <w:spacing w:after="0" w:line="276" w:lineRule="auto"/>
        <w:ind w:left="567" w:right="560"/>
        <w:jc w:val="both"/>
        <w:rPr>
          <w:rFonts w:ascii="Palatino Linotype" w:hAnsi="Palatino Linotype" w:cs="Arial"/>
          <w:i/>
          <w:lang w:val="es-ES_tradnl"/>
        </w:rPr>
      </w:pPr>
      <w:r w:rsidRPr="004E04DB">
        <w:rPr>
          <w:rFonts w:ascii="Palatino Linotype" w:hAnsi="Palatino Linotype" w:cs="Arial"/>
          <w:i/>
          <w:lang w:val="es-ES_tradnl"/>
        </w:rPr>
        <w:t>IX. Los animales que formen el pie de cría en los predios rústicos destinados total o parcialmente al ramo de ganadería, así como los de trabajo indispensables para el cultivo del inmueble mientras están destinadas a ese objeto;</w:t>
      </w:r>
    </w:p>
    <w:p w14:paraId="522CD615"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 xml:space="preserve">X. Los diques y construcciones que, </w:t>
      </w:r>
      <w:proofErr w:type="spellStart"/>
      <w:r w:rsidRPr="004E04DB">
        <w:rPr>
          <w:rFonts w:ascii="Palatino Linotype" w:hAnsi="Palatino Linotype" w:cs="Arial"/>
          <w:i/>
        </w:rPr>
        <w:t>aún</w:t>
      </w:r>
      <w:proofErr w:type="spellEnd"/>
      <w:r w:rsidRPr="004E04DB">
        <w:rPr>
          <w:rFonts w:ascii="Palatino Linotype" w:hAnsi="Palatino Linotype" w:cs="Arial"/>
          <w:i/>
        </w:rPr>
        <w:t xml:space="preserve"> cuando sean flotantes, estén destinados por su objeto y condiciones a permanecer en un punto fijo de un río, lago o costa;</w:t>
      </w:r>
    </w:p>
    <w:p w14:paraId="1D1DBF1E"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XI. Los derechos reales sobre inmuebles.</w:t>
      </w:r>
    </w:p>
    <w:p w14:paraId="1939B36C" w14:textId="607FD0E2"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Inmuebles que recobran su calidad de muebles</w:t>
      </w:r>
      <w:r w:rsidR="00577A99" w:rsidRPr="004E04DB">
        <w:rPr>
          <w:rFonts w:ascii="Palatino Linotype" w:hAnsi="Palatino Linotype" w:cs="Arial"/>
          <w:i/>
        </w:rPr>
        <w:t>.</w:t>
      </w:r>
    </w:p>
    <w:p w14:paraId="227D48D8" w14:textId="77777777" w:rsidR="00577A99" w:rsidRPr="004E04DB" w:rsidRDefault="00577A99" w:rsidP="00577A99">
      <w:pPr>
        <w:spacing w:after="0" w:line="276" w:lineRule="auto"/>
        <w:ind w:left="567" w:right="560"/>
        <w:jc w:val="both"/>
        <w:rPr>
          <w:rFonts w:ascii="Palatino Linotype" w:hAnsi="Palatino Linotype" w:cs="Arial"/>
          <w:i/>
        </w:rPr>
      </w:pPr>
    </w:p>
    <w:p w14:paraId="55A501B0"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b/>
          <w:bCs/>
          <w:i/>
        </w:rPr>
        <w:t>Artículo 5.5.-</w:t>
      </w:r>
      <w:r w:rsidRPr="004E04DB">
        <w:rPr>
          <w:rFonts w:ascii="Palatino Linotype" w:hAnsi="Palatino Linotype" w:cs="Arial"/>
          <w:i/>
        </w:rPr>
        <w:t xml:space="preserve"> Los bienes muebles, que se hayan considerado como inmuebles, conforme al artículo anterior, recobrarán su calidad de muebles, cuando el propietario los separe de la finca, salvo el caso de que en el valor de ésta se haya calculado el de aquellos, para constituir un derecho real a favor de un tercero.</w:t>
      </w:r>
    </w:p>
    <w:p w14:paraId="363E9368" w14:textId="77777777" w:rsidR="00CB345C" w:rsidRPr="004E04DB" w:rsidRDefault="00CB345C" w:rsidP="00577A99">
      <w:pPr>
        <w:spacing w:after="0" w:line="276" w:lineRule="auto"/>
        <w:ind w:left="567" w:right="560"/>
        <w:jc w:val="both"/>
        <w:rPr>
          <w:rFonts w:ascii="Palatino Linotype" w:hAnsi="Palatino Linotype" w:cs="Arial"/>
          <w:i/>
        </w:rPr>
      </w:pPr>
    </w:p>
    <w:p w14:paraId="19A9C7CA" w14:textId="77777777" w:rsidR="00CB345C" w:rsidRPr="004E04DB" w:rsidRDefault="00CB345C" w:rsidP="00577A99">
      <w:pPr>
        <w:spacing w:after="0" w:line="276" w:lineRule="auto"/>
        <w:ind w:left="567" w:right="560"/>
        <w:jc w:val="center"/>
        <w:rPr>
          <w:rFonts w:ascii="Palatino Linotype" w:hAnsi="Palatino Linotype" w:cs="Arial"/>
          <w:b/>
          <w:bCs/>
          <w:i/>
          <w:lang w:val="es-ES_tradnl"/>
        </w:rPr>
      </w:pPr>
      <w:r w:rsidRPr="004E04DB">
        <w:rPr>
          <w:rFonts w:ascii="Palatino Linotype" w:hAnsi="Palatino Linotype" w:cs="Arial"/>
          <w:b/>
          <w:bCs/>
          <w:i/>
          <w:lang w:val="es-ES_tradnl"/>
        </w:rPr>
        <w:t>CAPITULO II</w:t>
      </w:r>
    </w:p>
    <w:p w14:paraId="21623D0B" w14:textId="77777777" w:rsidR="00CB345C" w:rsidRPr="004E04DB" w:rsidRDefault="00CB345C" w:rsidP="00577A99">
      <w:pPr>
        <w:spacing w:after="0" w:line="276" w:lineRule="auto"/>
        <w:ind w:left="567" w:right="560"/>
        <w:jc w:val="center"/>
        <w:rPr>
          <w:rFonts w:ascii="Palatino Linotype" w:hAnsi="Palatino Linotype" w:cs="Arial"/>
          <w:b/>
          <w:bCs/>
          <w:i/>
        </w:rPr>
      </w:pPr>
      <w:r w:rsidRPr="004E04DB">
        <w:rPr>
          <w:rFonts w:ascii="Palatino Linotype" w:hAnsi="Palatino Linotype" w:cs="Arial"/>
          <w:b/>
          <w:bCs/>
          <w:i/>
        </w:rPr>
        <w:t>De los Bienes Muebles</w:t>
      </w:r>
    </w:p>
    <w:p w14:paraId="50CC8C5D" w14:textId="77777777" w:rsidR="00CB345C" w:rsidRPr="004E04DB" w:rsidRDefault="00CB345C" w:rsidP="00577A99">
      <w:pPr>
        <w:spacing w:after="0" w:line="276" w:lineRule="auto"/>
        <w:ind w:left="567" w:right="560"/>
        <w:jc w:val="center"/>
        <w:rPr>
          <w:rFonts w:ascii="Palatino Linotype" w:hAnsi="Palatino Linotype" w:cs="Arial"/>
          <w:b/>
          <w:bCs/>
          <w:i/>
        </w:rPr>
      </w:pPr>
      <w:r w:rsidRPr="004E04DB">
        <w:rPr>
          <w:rFonts w:ascii="Palatino Linotype" w:hAnsi="Palatino Linotype" w:cs="Arial"/>
          <w:b/>
          <w:bCs/>
          <w:i/>
        </w:rPr>
        <w:t>Muebles por su naturaleza</w:t>
      </w:r>
    </w:p>
    <w:p w14:paraId="090B6A8E" w14:textId="77777777" w:rsidR="00931090" w:rsidRPr="004E04DB" w:rsidRDefault="00931090" w:rsidP="00577A99">
      <w:pPr>
        <w:spacing w:after="0" w:line="276" w:lineRule="auto"/>
        <w:ind w:left="567" w:right="560"/>
        <w:jc w:val="center"/>
        <w:rPr>
          <w:rFonts w:ascii="Palatino Linotype" w:hAnsi="Palatino Linotype" w:cs="Arial"/>
          <w:b/>
          <w:bCs/>
          <w:i/>
        </w:rPr>
      </w:pPr>
    </w:p>
    <w:p w14:paraId="52319C8F"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b/>
          <w:bCs/>
          <w:i/>
        </w:rPr>
        <w:t>Artículo 5.6.-</w:t>
      </w:r>
      <w:r w:rsidRPr="004E04DB">
        <w:rPr>
          <w:rFonts w:ascii="Palatino Linotype" w:hAnsi="Palatino Linotype" w:cs="Arial"/>
          <w:i/>
        </w:rPr>
        <w:t xml:space="preserve"> Son bienes muebles por su naturaleza, los que pueden trasladarse de un lugar a otro, ya sea por sí mismos, o por efecto de una fuerza exterior.</w:t>
      </w:r>
    </w:p>
    <w:p w14:paraId="544FEC72"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Muebles por decisión de la ley</w:t>
      </w:r>
    </w:p>
    <w:p w14:paraId="192EAABB"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b/>
          <w:bCs/>
          <w:i/>
        </w:rPr>
        <w:lastRenderedPageBreak/>
        <w:t>Artículo 5.7.-</w:t>
      </w:r>
      <w:r w:rsidRPr="004E04DB">
        <w:rPr>
          <w:rFonts w:ascii="Palatino Linotype" w:hAnsi="Palatino Linotype" w:cs="Arial"/>
          <w:i/>
        </w:rPr>
        <w:t xml:space="preserve"> Son bienes muebles por disposición de la ley, las obligaciones y los derechos o acciones que tienen por objeto cosas muebles o cantidades exigibles en virtud de acción personal.</w:t>
      </w:r>
    </w:p>
    <w:p w14:paraId="2E588F31"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Otros muebles por disposición de la ley</w:t>
      </w:r>
    </w:p>
    <w:p w14:paraId="167A1AAD"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b/>
          <w:bCs/>
          <w:i/>
        </w:rPr>
        <w:t>Artículo 5.8.-</w:t>
      </w:r>
      <w:r w:rsidRPr="004E04DB">
        <w:rPr>
          <w:rFonts w:ascii="Palatino Linotype" w:hAnsi="Palatino Linotype" w:cs="Arial"/>
          <w:i/>
        </w:rPr>
        <w:t xml:space="preserve"> Por igual razón se reputan muebles, los títulos que cada socio tiene en las asociaciones y sociedades, </w:t>
      </w:r>
      <w:proofErr w:type="spellStart"/>
      <w:r w:rsidRPr="004E04DB">
        <w:rPr>
          <w:rFonts w:ascii="Palatino Linotype" w:hAnsi="Palatino Linotype" w:cs="Arial"/>
          <w:i/>
        </w:rPr>
        <w:t>aún</w:t>
      </w:r>
      <w:proofErr w:type="spellEnd"/>
      <w:r w:rsidRPr="004E04DB">
        <w:rPr>
          <w:rFonts w:ascii="Palatino Linotype" w:hAnsi="Palatino Linotype" w:cs="Arial"/>
          <w:i/>
        </w:rPr>
        <w:t xml:space="preserve"> cuando a éstas pertenezcan algunos bienes inmuebles.</w:t>
      </w:r>
    </w:p>
    <w:p w14:paraId="655E2A73"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Bienes muebles fungibles o no fungibles</w:t>
      </w:r>
    </w:p>
    <w:p w14:paraId="688F622E" w14:textId="77777777" w:rsidR="00CB345C" w:rsidRPr="004E04DB" w:rsidRDefault="00CB345C" w:rsidP="00577A99">
      <w:pPr>
        <w:spacing w:after="0" w:line="276" w:lineRule="auto"/>
        <w:ind w:left="567" w:right="560"/>
        <w:jc w:val="both"/>
        <w:rPr>
          <w:rFonts w:ascii="Palatino Linotype" w:hAnsi="Palatino Linotype" w:cs="Arial"/>
          <w:i/>
        </w:rPr>
      </w:pPr>
      <w:r w:rsidRPr="004E04DB">
        <w:rPr>
          <w:rFonts w:ascii="Palatino Linotype" w:hAnsi="Palatino Linotype" w:cs="Arial"/>
          <w:i/>
        </w:rPr>
        <w:t>Artículo 5.9.- Los bienes muebles son fungibles y no fungibles. Los primeros son los que pueden ser reemplazados por otros de la misma especie, calidad y cantidad; los segundos los que no reúnen esa característica.”</w:t>
      </w:r>
    </w:p>
    <w:p w14:paraId="5FB667D5" w14:textId="756AECC8" w:rsidR="00CB345C" w:rsidRPr="004E04DB" w:rsidRDefault="00CB345C" w:rsidP="00577A99">
      <w:pPr>
        <w:spacing w:after="0" w:line="276" w:lineRule="auto"/>
        <w:ind w:left="567" w:right="560"/>
        <w:jc w:val="both"/>
        <w:rPr>
          <w:rFonts w:ascii="Palatino Linotype" w:hAnsi="Palatino Linotype" w:cs="Arial"/>
          <w:i/>
          <w:sz w:val="24"/>
        </w:rPr>
      </w:pPr>
    </w:p>
    <w:p w14:paraId="73BA5082" w14:textId="7C531C01" w:rsidR="00CB345C" w:rsidRPr="004E04DB" w:rsidRDefault="00CB345C" w:rsidP="00577A99">
      <w:pPr>
        <w:spacing w:after="0" w:line="360" w:lineRule="auto"/>
        <w:jc w:val="both"/>
        <w:rPr>
          <w:rFonts w:ascii="Palatino Linotype" w:hAnsi="Palatino Linotype" w:cs="Arial"/>
          <w:sz w:val="24"/>
          <w:szCs w:val="24"/>
        </w:rPr>
      </w:pPr>
      <w:r w:rsidRPr="004E04DB">
        <w:rPr>
          <w:rFonts w:ascii="Palatino Linotype" w:hAnsi="Palatino Linotype" w:cs="Arial"/>
          <w:sz w:val="24"/>
          <w:szCs w:val="24"/>
        </w:rPr>
        <w:t xml:space="preserve">Analizado lo anterior, resulta importante para el presente estudio definir a la </w:t>
      </w:r>
      <w:r w:rsidRPr="004E04DB">
        <w:rPr>
          <w:rFonts w:ascii="Palatino Linotype" w:hAnsi="Palatino Linotype" w:cs="Arial"/>
          <w:b/>
          <w:sz w:val="24"/>
          <w:szCs w:val="24"/>
        </w:rPr>
        <w:t>desincorporación</w:t>
      </w:r>
      <w:r w:rsidRPr="004E04DB">
        <w:rPr>
          <w:rFonts w:ascii="Palatino Linotype" w:hAnsi="Palatino Linotype" w:cs="Arial"/>
          <w:sz w:val="24"/>
          <w:szCs w:val="24"/>
        </w:rPr>
        <w:t xml:space="preserve">, la cual en términos de la fracción II del artículo 48 de la Ley de Bienes del Estado de México y Municipios, se concibe como </w:t>
      </w:r>
      <w:r w:rsidRPr="004E04DB">
        <w:rPr>
          <w:rFonts w:ascii="Palatino Linotype" w:hAnsi="Palatino Linotype" w:cs="Arial"/>
          <w:b/>
          <w:sz w:val="24"/>
          <w:szCs w:val="24"/>
          <w:u w:val="single"/>
        </w:rPr>
        <w:t xml:space="preserve">el </w:t>
      </w:r>
      <w:r w:rsidRPr="004E04DB">
        <w:rPr>
          <w:rFonts w:ascii="Palatino Linotype" w:hAnsi="Palatino Linotype" w:cs="Arial"/>
          <w:b/>
          <w:sz w:val="24"/>
          <w:szCs w:val="24"/>
          <w:u w:val="single"/>
          <w:lang w:val="es-ES_tradnl"/>
        </w:rPr>
        <w:t>acto por el que se excluye un bien del patrimonio público</w:t>
      </w:r>
      <w:r w:rsidRPr="004E04DB">
        <w:rPr>
          <w:rFonts w:ascii="Palatino Linotype" w:hAnsi="Palatino Linotype" w:cs="Arial"/>
          <w:sz w:val="24"/>
          <w:szCs w:val="24"/>
          <w:lang w:val="es-ES_tradnl"/>
        </w:rPr>
        <w:t>, asimismo</w:t>
      </w:r>
      <w:r w:rsidR="006941D2" w:rsidRPr="004E04DB">
        <w:rPr>
          <w:rFonts w:ascii="Palatino Linotype" w:hAnsi="Palatino Linotype" w:cs="Arial"/>
          <w:sz w:val="24"/>
          <w:szCs w:val="24"/>
          <w:lang w:val="es-ES_tradnl"/>
        </w:rPr>
        <w:t>,</w:t>
      </w:r>
      <w:r w:rsidRPr="004E04DB">
        <w:rPr>
          <w:rFonts w:ascii="Palatino Linotype" w:hAnsi="Palatino Linotype" w:cs="Arial"/>
          <w:sz w:val="24"/>
          <w:szCs w:val="24"/>
          <w:lang w:val="es-ES_tradnl"/>
        </w:rPr>
        <w:t xml:space="preserve"> el ordenamiento legal multicitado prevé el</w:t>
      </w:r>
      <w:r w:rsidRPr="004E04DB">
        <w:rPr>
          <w:rFonts w:ascii="Palatino Linotype" w:hAnsi="Palatino Linotype" w:cs="Arial"/>
          <w:sz w:val="24"/>
          <w:szCs w:val="24"/>
        </w:rPr>
        <w:t xml:space="preserve"> destino final de los bienes del Estado de México y de sus municipios, en sus artículos 11 fracción I y 48 fracción II: </w:t>
      </w:r>
    </w:p>
    <w:p w14:paraId="0EB819E2" w14:textId="77777777" w:rsidR="00577A99" w:rsidRPr="004E04DB" w:rsidRDefault="00577A99" w:rsidP="00577A99">
      <w:pPr>
        <w:spacing w:after="0" w:line="360" w:lineRule="auto"/>
        <w:jc w:val="both"/>
        <w:rPr>
          <w:rFonts w:ascii="Palatino Linotype" w:hAnsi="Palatino Linotype" w:cs="Arial"/>
          <w:sz w:val="24"/>
          <w:szCs w:val="24"/>
          <w:lang w:val="es-ES_tradnl"/>
        </w:rPr>
      </w:pPr>
    </w:p>
    <w:p w14:paraId="4DAF8E47" w14:textId="77777777" w:rsidR="00CB345C" w:rsidRPr="004E04DB" w:rsidRDefault="00CB345C" w:rsidP="006941D2">
      <w:pPr>
        <w:spacing w:after="0" w:line="276" w:lineRule="auto"/>
        <w:ind w:left="567" w:right="560"/>
        <w:jc w:val="both"/>
        <w:rPr>
          <w:rFonts w:ascii="Palatino Linotype" w:hAnsi="Palatino Linotype" w:cs="Arial"/>
          <w:i/>
        </w:rPr>
      </w:pPr>
      <w:r w:rsidRPr="004E04DB">
        <w:rPr>
          <w:rFonts w:ascii="Palatino Linotype" w:hAnsi="Palatino Linotype" w:cs="Arial"/>
          <w:i/>
        </w:rPr>
        <w:t>“</w:t>
      </w:r>
      <w:r w:rsidRPr="004E04DB">
        <w:rPr>
          <w:rFonts w:ascii="Palatino Linotype" w:hAnsi="Palatino Linotype" w:cs="Arial"/>
          <w:b/>
          <w:i/>
        </w:rPr>
        <w:t>Artículo 11.-</w:t>
      </w:r>
      <w:r w:rsidRPr="004E04DB">
        <w:rPr>
          <w:rFonts w:ascii="Palatino Linotype" w:hAnsi="Palatino Linotype" w:cs="Arial"/>
          <w:i/>
        </w:rPr>
        <w:t xml:space="preserve"> Corresponde a cada una de las dependencias, organismos auxiliares y entidades de la administración pública estatal y municipal:</w:t>
      </w:r>
    </w:p>
    <w:p w14:paraId="62F207CB" w14:textId="77777777" w:rsidR="00CB345C" w:rsidRPr="004E04DB" w:rsidRDefault="00CB345C" w:rsidP="006941D2">
      <w:pPr>
        <w:spacing w:after="0" w:line="276" w:lineRule="auto"/>
        <w:ind w:left="567" w:right="560"/>
        <w:jc w:val="both"/>
        <w:rPr>
          <w:rFonts w:ascii="Palatino Linotype" w:hAnsi="Palatino Linotype" w:cs="Arial"/>
          <w:i/>
        </w:rPr>
      </w:pPr>
      <w:r w:rsidRPr="004E04DB">
        <w:rPr>
          <w:rFonts w:ascii="Palatino Linotype" w:hAnsi="Palatino Linotype" w:cs="Arial"/>
          <w:i/>
        </w:rPr>
        <w:t xml:space="preserve">I. </w:t>
      </w:r>
      <w:r w:rsidRPr="004E04DB">
        <w:rPr>
          <w:rFonts w:ascii="Palatino Linotype" w:hAnsi="Palatino Linotype" w:cs="Arial"/>
          <w:b/>
          <w:i/>
        </w:rPr>
        <w:t>Administrar, controlar y utilizar adecuadamente los bienes muebles e inmuebles que detenten o tengan asignados</w:t>
      </w:r>
      <w:r w:rsidRPr="004E04DB">
        <w:rPr>
          <w:rFonts w:ascii="Palatino Linotype" w:hAnsi="Palatino Linotype" w:cs="Arial"/>
          <w:i/>
        </w:rPr>
        <w:t xml:space="preserve">; </w:t>
      </w:r>
    </w:p>
    <w:p w14:paraId="7A21D3F4" w14:textId="77777777" w:rsidR="00CB345C" w:rsidRPr="004E04DB" w:rsidRDefault="00CB345C" w:rsidP="006941D2">
      <w:pPr>
        <w:spacing w:after="0" w:line="276" w:lineRule="auto"/>
        <w:ind w:left="567" w:right="560"/>
        <w:jc w:val="both"/>
        <w:rPr>
          <w:rFonts w:ascii="Palatino Linotype" w:hAnsi="Palatino Linotype" w:cs="Arial"/>
          <w:i/>
        </w:rPr>
      </w:pPr>
      <w:r w:rsidRPr="004E04DB">
        <w:rPr>
          <w:rFonts w:ascii="Palatino Linotype" w:hAnsi="Palatino Linotype" w:cs="Arial"/>
          <w:i/>
        </w:rPr>
        <w:t>[…]</w:t>
      </w:r>
    </w:p>
    <w:p w14:paraId="7ECD3657" w14:textId="77777777" w:rsidR="00CB345C" w:rsidRPr="004E04DB" w:rsidRDefault="00CB345C" w:rsidP="006941D2">
      <w:pPr>
        <w:spacing w:after="0" w:line="276" w:lineRule="auto"/>
        <w:ind w:left="567" w:right="560"/>
        <w:jc w:val="both"/>
        <w:rPr>
          <w:rFonts w:ascii="Palatino Linotype" w:hAnsi="Palatino Linotype" w:cs="Arial"/>
          <w:i/>
        </w:rPr>
      </w:pPr>
      <w:r w:rsidRPr="004E04DB">
        <w:rPr>
          <w:rFonts w:ascii="Palatino Linotype" w:hAnsi="Palatino Linotype" w:cs="Arial"/>
          <w:b/>
          <w:i/>
        </w:rPr>
        <w:t>Artículo 48.-</w:t>
      </w:r>
      <w:r w:rsidRPr="004E04DB">
        <w:rPr>
          <w:rFonts w:ascii="Palatino Linotype" w:hAnsi="Palatino Linotype" w:cs="Arial"/>
          <w:i/>
        </w:rPr>
        <w:t xml:space="preserve"> Para los efectos de esta ley se entiende por:</w:t>
      </w:r>
    </w:p>
    <w:p w14:paraId="21AAADCE" w14:textId="77777777" w:rsidR="00CB345C" w:rsidRPr="004E04DB" w:rsidRDefault="00CB345C" w:rsidP="006941D2">
      <w:pPr>
        <w:spacing w:after="0" w:line="276" w:lineRule="auto"/>
        <w:ind w:left="567" w:right="560"/>
        <w:jc w:val="both"/>
        <w:rPr>
          <w:rFonts w:ascii="Palatino Linotype" w:hAnsi="Palatino Linotype" w:cs="Arial"/>
          <w:i/>
        </w:rPr>
      </w:pPr>
      <w:r w:rsidRPr="004E04DB">
        <w:rPr>
          <w:rFonts w:ascii="Palatino Linotype" w:hAnsi="Palatino Linotype" w:cs="Arial"/>
          <w:b/>
          <w:i/>
        </w:rPr>
        <w:t>[…]</w:t>
      </w:r>
    </w:p>
    <w:p w14:paraId="2BDA779A" w14:textId="77777777" w:rsidR="00CB345C" w:rsidRPr="004E04DB" w:rsidRDefault="00CB345C" w:rsidP="006941D2">
      <w:pPr>
        <w:spacing w:after="0" w:line="276" w:lineRule="auto"/>
        <w:ind w:left="567" w:right="560"/>
        <w:jc w:val="both"/>
        <w:rPr>
          <w:rFonts w:ascii="Palatino Linotype" w:hAnsi="Palatino Linotype" w:cs="Arial"/>
          <w:i/>
        </w:rPr>
      </w:pPr>
      <w:r w:rsidRPr="004E04DB">
        <w:rPr>
          <w:rFonts w:ascii="Palatino Linotype" w:hAnsi="Palatino Linotype" w:cs="Arial"/>
          <w:i/>
        </w:rPr>
        <w:t xml:space="preserve">II. Desincorporación, </w:t>
      </w:r>
      <w:r w:rsidRPr="004E04DB">
        <w:rPr>
          <w:rFonts w:ascii="Palatino Linotype" w:hAnsi="Palatino Linotype" w:cs="Arial"/>
          <w:b/>
          <w:i/>
        </w:rPr>
        <w:t>acto por el que se excluye un bien del patrimonio público</w:t>
      </w:r>
      <w:r w:rsidRPr="004E04DB">
        <w:rPr>
          <w:rFonts w:ascii="Palatino Linotype" w:hAnsi="Palatino Linotype" w:cs="Arial"/>
          <w:i/>
        </w:rPr>
        <w:t>;”</w:t>
      </w:r>
      <w:r w:rsidRPr="004E04DB">
        <w:rPr>
          <w:rFonts w:ascii="Palatino Linotype" w:hAnsi="Palatino Linotype" w:cs="Arial"/>
          <w:i/>
        </w:rPr>
        <w:cr/>
        <w:t xml:space="preserve"> VII. Destino final, acto por medio del cual la </w:t>
      </w:r>
      <w:r w:rsidRPr="004E04DB">
        <w:rPr>
          <w:rFonts w:ascii="Palatino Linotype" w:hAnsi="Palatino Linotype" w:cs="Arial"/>
          <w:b/>
          <w:i/>
        </w:rPr>
        <w:t>autoridad administrativa competente, determina la aplicación última de bienes sujetos a desincorporación del patrimonio estatal o municipal</w:t>
      </w:r>
      <w:r w:rsidRPr="004E04DB">
        <w:rPr>
          <w:rFonts w:ascii="Palatino Linotype" w:hAnsi="Palatino Linotype" w:cs="Arial"/>
          <w:i/>
        </w:rPr>
        <w:t>.”</w:t>
      </w:r>
    </w:p>
    <w:p w14:paraId="772B1886" w14:textId="77777777" w:rsidR="00CB345C" w:rsidRPr="004E04DB" w:rsidRDefault="00CB345C" w:rsidP="006941D2">
      <w:pPr>
        <w:spacing w:after="0" w:line="276" w:lineRule="auto"/>
        <w:ind w:left="567" w:right="560"/>
        <w:jc w:val="both"/>
        <w:rPr>
          <w:rFonts w:ascii="Palatino Linotype" w:hAnsi="Palatino Linotype" w:cs="Arial"/>
          <w:i/>
        </w:rPr>
      </w:pPr>
      <w:r w:rsidRPr="004E04DB">
        <w:rPr>
          <w:rFonts w:ascii="Palatino Linotype" w:hAnsi="Palatino Linotype" w:cs="Arial"/>
          <w:i/>
        </w:rPr>
        <w:t>(Énfasis añadido)</w:t>
      </w:r>
    </w:p>
    <w:p w14:paraId="4B58B4C1" w14:textId="77777777" w:rsidR="00CB345C" w:rsidRPr="004E04DB" w:rsidRDefault="00CB345C" w:rsidP="006941D2">
      <w:pPr>
        <w:spacing w:after="0" w:line="276" w:lineRule="auto"/>
        <w:ind w:left="567" w:right="560"/>
        <w:jc w:val="both"/>
        <w:rPr>
          <w:rFonts w:ascii="Palatino Linotype" w:hAnsi="Palatino Linotype" w:cs="Arial"/>
          <w:lang w:val="es-ES_tradnl"/>
        </w:rPr>
      </w:pPr>
      <w:r w:rsidRPr="004E04DB">
        <w:rPr>
          <w:rFonts w:ascii="Palatino Linotype" w:hAnsi="Palatino Linotype" w:cs="Arial"/>
          <w:lang w:val="es-ES_tradnl"/>
        </w:rPr>
        <w:lastRenderedPageBreak/>
        <w:t xml:space="preserve">Ahora bien, la legislación en análisis, prevé que los ayuntamientos son competentes para realizar la desincorporación de los bienes que conforman el patrimonio en los siguientes términos: </w:t>
      </w:r>
    </w:p>
    <w:p w14:paraId="251B357E" w14:textId="77777777" w:rsidR="00CB345C" w:rsidRPr="004E04DB" w:rsidRDefault="00CB345C" w:rsidP="006941D2">
      <w:pPr>
        <w:spacing w:after="0" w:line="276" w:lineRule="auto"/>
        <w:ind w:left="567" w:right="560"/>
        <w:jc w:val="both"/>
        <w:rPr>
          <w:rFonts w:ascii="Palatino Linotype" w:hAnsi="Palatino Linotype" w:cs="Arial"/>
          <w:b/>
          <w:i/>
          <w:u w:val="single"/>
        </w:rPr>
      </w:pPr>
      <w:r w:rsidRPr="004E04DB">
        <w:rPr>
          <w:rFonts w:ascii="Palatino Linotype" w:hAnsi="Palatino Linotype" w:cs="Arial"/>
          <w:b/>
          <w:i/>
        </w:rPr>
        <w:t>“Artículo 5.-</w:t>
      </w:r>
      <w:r w:rsidRPr="004E04DB">
        <w:rPr>
          <w:rFonts w:ascii="Palatino Linotype" w:hAnsi="Palatino Linotype" w:cs="Arial"/>
          <w:i/>
        </w:rPr>
        <w:t xml:space="preserve"> </w:t>
      </w:r>
      <w:r w:rsidRPr="004E04DB">
        <w:rPr>
          <w:rFonts w:ascii="Palatino Linotype" w:hAnsi="Palatino Linotype" w:cs="Arial"/>
          <w:b/>
          <w:i/>
          <w:u w:val="single"/>
        </w:rPr>
        <w:t>Corresponde</w:t>
      </w:r>
      <w:r w:rsidRPr="004E04DB">
        <w:rPr>
          <w:rFonts w:ascii="Palatino Linotype" w:hAnsi="Palatino Linotype" w:cs="Arial"/>
          <w:i/>
        </w:rPr>
        <w:t xml:space="preserve"> al Ejecutivo del Estado por conducto de la Secretaría de Finanzas y </w:t>
      </w:r>
      <w:r w:rsidRPr="004E04DB">
        <w:rPr>
          <w:rFonts w:ascii="Palatino Linotype" w:hAnsi="Palatino Linotype" w:cs="Arial"/>
          <w:b/>
          <w:i/>
          <w:u w:val="single"/>
        </w:rPr>
        <w:t>a los ayuntamientos:</w:t>
      </w:r>
    </w:p>
    <w:p w14:paraId="1FDFF366" w14:textId="77777777" w:rsidR="00CB345C" w:rsidRPr="004E04DB" w:rsidRDefault="00CB345C" w:rsidP="006941D2">
      <w:pPr>
        <w:spacing w:after="0" w:line="276" w:lineRule="auto"/>
        <w:ind w:left="567" w:right="560"/>
        <w:jc w:val="both"/>
        <w:rPr>
          <w:rFonts w:ascii="Palatino Linotype" w:hAnsi="Palatino Linotype" w:cs="Arial"/>
          <w:i/>
        </w:rPr>
      </w:pPr>
      <w:r w:rsidRPr="004E04DB">
        <w:rPr>
          <w:rFonts w:ascii="Palatino Linotype" w:hAnsi="Palatino Linotype" w:cs="Arial"/>
          <w:i/>
        </w:rPr>
        <w:t>…</w:t>
      </w:r>
    </w:p>
    <w:p w14:paraId="6D89549D" w14:textId="77777777" w:rsidR="00CB345C" w:rsidRPr="004E04DB" w:rsidRDefault="00CB345C" w:rsidP="006941D2">
      <w:pPr>
        <w:pStyle w:val="Prrafodelista"/>
        <w:numPr>
          <w:ilvl w:val="0"/>
          <w:numId w:val="26"/>
        </w:numPr>
        <w:spacing w:after="0" w:line="276" w:lineRule="auto"/>
        <w:ind w:left="567" w:right="560" w:hanging="141"/>
        <w:contextualSpacing w:val="0"/>
        <w:jc w:val="both"/>
        <w:rPr>
          <w:rFonts w:ascii="Palatino Linotype" w:hAnsi="Palatino Linotype" w:cs="Arial"/>
          <w:i/>
          <w:lang w:val="es-ES_tradnl"/>
        </w:rPr>
      </w:pPr>
      <w:r w:rsidRPr="004E04DB">
        <w:rPr>
          <w:rFonts w:ascii="Palatino Linotype" w:hAnsi="Palatino Linotype" w:cs="Arial"/>
          <w:b/>
          <w:i/>
          <w:u w:val="single"/>
          <w:lang w:val="es-ES_tradnl"/>
        </w:rPr>
        <w:t xml:space="preserve">Desincorporar bienes del patrimonio </w:t>
      </w:r>
      <w:r w:rsidRPr="004E04DB">
        <w:rPr>
          <w:rFonts w:ascii="Palatino Linotype" w:hAnsi="Palatino Linotype" w:cs="Arial"/>
          <w:i/>
          <w:lang w:val="es-ES_tradnl"/>
        </w:rPr>
        <w:t>estatal o</w:t>
      </w:r>
      <w:r w:rsidRPr="004E04DB">
        <w:rPr>
          <w:rFonts w:ascii="Palatino Linotype" w:hAnsi="Palatino Linotype" w:cs="Arial"/>
          <w:b/>
          <w:i/>
          <w:u w:val="single"/>
          <w:lang w:val="es-ES_tradnl"/>
        </w:rPr>
        <w:t xml:space="preserve"> municipal, conforme a lo dispuesto por el artículo 61 fracción XXXVI de la Constitución Política del Estado Libre y Soberano de</w:t>
      </w:r>
      <w:r w:rsidRPr="004E04DB">
        <w:rPr>
          <w:rFonts w:ascii="Palatino Linotype" w:hAnsi="Palatino Linotype" w:cs="Arial"/>
          <w:i/>
          <w:lang w:val="es-ES_tradnl"/>
        </w:rPr>
        <w:t xml:space="preserve"> </w:t>
      </w:r>
      <w:r w:rsidRPr="004E04DB">
        <w:rPr>
          <w:rFonts w:ascii="Palatino Linotype" w:hAnsi="Palatino Linotype" w:cs="Arial"/>
          <w:b/>
          <w:i/>
          <w:u w:val="single"/>
          <w:lang w:val="es-ES_tradnl"/>
        </w:rPr>
        <w:t>México</w:t>
      </w:r>
      <w:r w:rsidRPr="004E04DB">
        <w:rPr>
          <w:rFonts w:ascii="Palatino Linotype" w:hAnsi="Palatino Linotype" w:cs="Arial"/>
          <w:i/>
          <w:u w:val="single"/>
          <w:lang w:val="es-ES_tradnl"/>
        </w:rPr>
        <w:t>;”</w:t>
      </w:r>
    </w:p>
    <w:p w14:paraId="2E475F66" w14:textId="77777777" w:rsidR="006941D2" w:rsidRPr="004E04DB" w:rsidRDefault="006941D2" w:rsidP="00577A99">
      <w:pPr>
        <w:spacing w:after="0" w:line="360" w:lineRule="auto"/>
        <w:ind w:right="49"/>
        <w:jc w:val="both"/>
        <w:rPr>
          <w:rFonts w:ascii="Palatino Linotype" w:hAnsi="Palatino Linotype" w:cs="Arial"/>
          <w:i/>
          <w:lang w:val="es-ES_tradnl"/>
        </w:rPr>
      </w:pPr>
    </w:p>
    <w:p w14:paraId="5A6BB325" w14:textId="77777777" w:rsidR="006941D2" w:rsidRPr="004E04DB" w:rsidRDefault="00CB345C" w:rsidP="00577A99">
      <w:pPr>
        <w:spacing w:after="0" w:line="360" w:lineRule="auto"/>
        <w:ind w:right="49"/>
        <w:jc w:val="both"/>
        <w:rPr>
          <w:rFonts w:ascii="Palatino Linotype" w:hAnsi="Palatino Linotype" w:cs="Arial"/>
          <w:sz w:val="24"/>
          <w:szCs w:val="24"/>
          <w:lang w:val="es-ES_tradnl"/>
        </w:rPr>
      </w:pPr>
      <w:r w:rsidRPr="004E04DB">
        <w:rPr>
          <w:rFonts w:ascii="Palatino Linotype" w:hAnsi="Palatino Linotype" w:cs="Arial"/>
          <w:sz w:val="24"/>
          <w:szCs w:val="24"/>
          <w:lang w:val="es-ES_tradnl"/>
        </w:rPr>
        <w:t>Así al consultar lo previsto por el artículo 61 del texto constitucional local, se obtuvo lo siguiente:</w:t>
      </w:r>
    </w:p>
    <w:p w14:paraId="6EA449E0" w14:textId="6F5CE936" w:rsidR="00CB345C" w:rsidRPr="004E04DB" w:rsidRDefault="00CB345C" w:rsidP="00577A99">
      <w:pPr>
        <w:spacing w:after="0" w:line="360" w:lineRule="auto"/>
        <w:ind w:right="49"/>
        <w:jc w:val="both"/>
        <w:rPr>
          <w:rFonts w:ascii="Palatino Linotype" w:hAnsi="Palatino Linotype" w:cs="Arial"/>
          <w:sz w:val="24"/>
          <w:szCs w:val="24"/>
          <w:lang w:val="es-ES_tradnl"/>
        </w:rPr>
      </w:pPr>
      <w:r w:rsidRPr="004E04DB">
        <w:rPr>
          <w:rFonts w:ascii="Palatino Linotype" w:hAnsi="Palatino Linotype" w:cs="Arial"/>
          <w:sz w:val="24"/>
          <w:szCs w:val="24"/>
          <w:lang w:val="es-ES_tradnl"/>
        </w:rPr>
        <w:t xml:space="preserve"> </w:t>
      </w:r>
    </w:p>
    <w:p w14:paraId="2FB2FB3B"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sz w:val="24"/>
          <w:szCs w:val="24"/>
        </w:rPr>
        <w:t>“</w:t>
      </w:r>
      <w:r w:rsidRPr="004E04DB">
        <w:rPr>
          <w:rFonts w:ascii="Palatino Linotype" w:hAnsi="Palatino Linotype" w:cs="Arial"/>
          <w:b/>
          <w:i/>
        </w:rPr>
        <w:t xml:space="preserve">Artículo 61. </w:t>
      </w:r>
      <w:r w:rsidRPr="004E04DB">
        <w:rPr>
          <w:rFonts w:ascii="Palatino Linotype" w:hAnsi="Palatino Linotype" w:cs="Arial"/>
          <w:b/>
          <w:i/>
          <w:u w:val="single"/>
        </w:rPr>
        <w:t>Son facultades y obligaciones de la legislatura:</w:t>
      </w:r>
    </w:p>
    <w:p w14:paraId="005CCCCC" w14:textId="77777777" w:rsidR="00CB345C" w:rsidRPr="004E04DB" w:rsidRDefault="00CB345C" w:rsidP="006941D2">
      <w:pPr>
        <w:spacing w:after="0" w:line="276" w:lineRule="auto"/>
        <w:ind w:left="567" w:right="709"/>
        <w:jc w:val="both"/>
        <w:rPr>
          <w:rFonts w:ascii="Palatino Linotype" w:hAnsi="Palatino Linotype" w:cs="Arial"/>
          <w:i/>
          <w:lang w:val="es-ES_tradnl"/>
        </w:rPr>
      </w:pPr>
      <w:r w:rsidRPr="004E04DB">
        <w:rPr>
          <w:rFonts w:ascii="Palatino Linotype" w:hAnsi="Palatino Linotype" w:cs="Arial"/>
          <w:i/>
          <w:lang w:val="es-ES_tradnl"/>
        </w:rPr>
        <w:t>…</w:t>
      </w:r>
    </w:p>
    <w:p w14:paraId="032950BB"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XXXVI. Autorizar los actos jurídicos que impliquen la transmisión del dominio de los bienes inmuebles propiedad del Estado y de los municipios; establecer los casos en que se requiera el acuerdo de las dos terceras partes de los miembros de los ayuntamientos para dictar resoluciones que afecten el patrimonio inmobiliario municipal; o para celebrar actos o convenios que trasciendan al período del Ayuntamiento;”</w:t>
      </w:r>
    </w:p>
    <w:p w14:paraId="5C0314B1" w14:textId="77777777" w:rsidR="006941D2" w:rsidRPr="004E04DB" w:rsidRDefault="006941D2" w:rsidP="00577A99">
      <w:pPr>
        <w:tabs>
          <w:tab w:val="left" w:pos="9072"/>
        </w:tabs>
        <w:spacing w:after="0" w:line="360" w:lineRule="auto"/>
        <w:jc w:val="both"/>
        <w:rPr>
          <w:rFonts w:ascii="Palatino Linotype" w:hAnsi="Palatino Linotype" w:cs="Arial"/>
          <w:i/>
          <w:sz w:val="24"/>
          <w:szCs w:val="24"/>
        </w:rPr>
      </w:pPr>
    </w:p>
    <w:p w14:paraId="2F64E6A0" w14:textId="7D3DAE07" w:rsidR="00CB345C" w:rsidRPr="004E04DB" w:rsidRDefault="00CB345C" w:rsidP="00577A99">
      <w:pPr>
        <w:tabs>
          <w:tab w:val="left" w:pos="9072"/>
        </w:tabs>
        <w:spacing w:after="0" w:line="360" w:lineRule="auto"/>
        <w:jc w:val="both"/>
        <w:rPr>
          <w:rFonts w:ascii="Palatino Linotype" w:hAnsi="Palatino Linotype" w:cs="Arial"/>
          <w:sz w:val="24"/>
          <w:szCs w:val="24"/>
        </w:rPr>
      </w:pPr>
      <w:r w:rsidRPr="004E04DB">
        <w:rPr>
          <w:rFonts w:ascii="Palatino Linotype" w:hAnsi="Palatino Linotype" w:cs="Arial"/>
          <w:sz w:val="24"/>
          <w:szCs w:val="24"/>
        </w:rPr>
        <w:t>De manera que</w:t>
      </w:r>
      <w:r w:rsidR="006941D2" w:rsidRPr="004E04DB">
        <w:rPr>
          <w:rFonts w:ascii="Palatino Linotype" w:hAnsi="Palatino Linotype" w:cs="Arial"/>
          <w:sz w:val="24"/>
          <w:szCs w:val="24"/>
        </w:rPr>
        <w:t>,</w:t>
      </w:r>
      <w:r w:rsidRPr="004E04DB">
        <w:rPr>
          <w:rFonts w:ascii="Palatino Linotype" w:hAnsi="Palatino Linotype" w:cs="Arial"/>
          <w:sz w:val="24"/>
          <w:szCs w:val="24"/>
        </w:rPr>
        <w:t xml:space="preserve"> la desincorporación de los bienes del patrimonio municipal procederá previa autorización de la legislatura para la posterior transmisión del dominio de los bienes muebles e inmuebles propiedad de los municipios, para ello deberán observarse </w:t>
      </w:r>
      <w:r w:rsidRPr="004E04DB">
        <w:rPr>
          <w:rFonts w:ascii="Palatino Linotype" w:eastAsiaTheme="minorHAnsi" w:hAnsi="Palatino Linotype" w:cs="Arial"/>
          <w:sz w:val="24"/>
          <w:szCs w:val="24"/>
          <w:lang w:eastAsia="en-US"/>
        </w:rPr>
        <w:t xml:space="preserve">los artículos </w:t>
      </w:r>
      <w:r w:rsidRPr="004E04DB">
        <w:rPr>
          <w:rFonts w:ascii="Palatino Linotype" w:eastAsiaTheme="minorHAnsi" w:hAnsi="Palatino Linotype" w:cs="Arial"/>
          <w:b/>
          <w:sz w:val="24"/>
          <w:szCs w:val="24"/>
          <w:lang w:eastAsia="en-US"/>
        </w:rPr>
        <w:t>SEXAGÉSIMO PRIMERO,  SEPTUAGÉSIMO NOVENO y OCTAGESIMO</w:t>
      </w:r>
      <w:r w:rsidRPr="004E04DB">
        <w:rPr>
          <w:rFonts w:ascii="Palatino Linotype" w:eastAsiaTheme="minorHAnsi" w:hAnsi="Palatino Linotype" w:cs="Arial"/>
          <w:sz w:val="24"/>
          <w:szCs w:val="24"/>
          <w:lang w:eastAsia="en-US"/>
        </w:rPr>
        <w:t xml:space="preserve"> de los Lineamientos para el Registro y Control del Inventario y la Conciliación y Desincorporación de Bienes Muebles e Inmuebles para las Entidades </w:t>
      </w:r>
      <w:r w:rsidRPr="004E04DB">
        <w:rPr>
          <w:rFonts w:ascii="Palatino Linotype" w:eastAsiaTheme="minorHAnsi" w:hAnsi="Palatino Linotype" w:cs="Arial"/>
          <w:sz w:val="24"/>
          <w:szCs w:val="24"/>
          <w:lang w:eastAsia="en-US"/>
        </w:rPr>
        <w:lastRenderedPageBreak/>
        <w:t xml:space="preserve">Fiscalizables Municipales del Estado de México, establecen los requisitos para la baja de bienes muebles e inmuebles, como se parecía a continuación: </w:t>
      </w:r>
    </w:p>
    <w:p w14:paraId="4CF04A10" w14:textId="77777777" w:rsidR="00CB345C" w:rsidRPr="004E04DB" w:rsidRDefault="00CB345C" w:rsidP="00577A99">
      <w:pPr>
        <w:tabs>
          <w:tab w:val="left" w:pos="9072"/>
        </w:tabs>
        <w:spacing w:after="0" w:line="360" w:lineRule="auto"/>
        <w:jc w:val="both"/>
        <w:rPr>
          <w:rFonts w:ascii="Palatino Linotype" w:eastAsiaTheme="minorHAnsi" w:hAnsi="Palatino Linotype" w:cs="Arial"/>
          <w:sz w:val="24"/>
          <w:szCs w:val="24"/>
          <w:lang w:eastAsia="en-US"/>
        </w:rPr>
      </w:pPr>
    </w:p>
    <w:p w14:paraId="39561BA8"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w:t>
      </w:r>
      <w:r w:rsidRPr="004E04DB">
        <w:rPr>
          <w:rFonts w:ascii="Palatino Linotype" w:eastAsiaTheme="minorHAnsi" w:hAnsi="Palatino Linotype" w:cs="Arial"/>
          <w:b/>
          <w:bCs/>
          <w:i/>
          <w:lang w:eastAsia="en-US"/>
        </w:rPr>
        <w:t>SEXAGÉSIMO PRIMERO:</w:t>
      </w:r>
      <w:r w:rsidRPr="004E04DB">
        <w:rPr>
          <w:rFonts w:ascii="Palatino Linotype" w:eastAsiaTheme="minorHAnsi" w:hAnsi="Palatino Linotype" w:cs="Arial"/>
          <w:i/>
          <w:lang w:eastAsia="en-US"/>
        </w:rPr>
        <w:t xml:space="preserve"> Para realizar la baja de bienes muebles, la entidades fiscalizables elaborarán anualmente el programa anual para la disposición final de bienes muebles para lo cual es necesario integrar un expediente técnico que contenga la documentación relativa a la baja del bien mueble, mismo que deberá ser enviado por las entidades fiscalizables, al Órgano Superior para su análisis y revisión.</w:t>
      </w:r>
    </w:p>
    <w:p w14:paraId="376FDFB0"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w:t>
      </w:r>
    </w:p>
    <w:p w14:paraId="59E52CBE"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b/>
          <w:bCs/>
          <w:i/>
          <w:lang w:eastAsia="en-US"/>
        </w:rPr>
        <w:t>SEPTUAGÉSIMO NOVENO:</w:t>
      </w:r>
      <w:r w:rsidRPr="004E04DB">
        <w:rPr>
          <w:rFonts w:ascii="Palatino Linotype" w:eastAsiaTheme="minorHAnsi" w:hAnsi="Palatino Linotype" w:cs="Arial"/>
          <w:i/>
          <w:lang w:eastAsia="en-US"/>
        </w:rPr>
        <w:t xml:space="preserve"> La baja de bienes inmuebles, es el acto por el cual las entidades fiscalizables, excluyen un bien de su inventario general de bienes inmuebles, considerando lo estipulado en la Ley de Bienes del Estado de México y sus Municipios, Ley Orgánica Municipal del Estado de México y demás disposiciones legales aplicables.</w:t>
      </w:r>
    </w:p>
    <w:p w14:paraId="47F24BA4"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p>
    <w:p w14:paraId="354CAB85"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Para efectos de estas bajas se requiere: la autorización de la Legislatura o de la Diputación Permanente, por lo que el presidente enviará la solicitud a la Legislatura Local por conducto del Ejecutivo Estatal acompañándose con todos los documentos, justificaciones y dictámenes técnicos.</w:t>
      </w:r>
    </w:p>
    <w:p w14:paraId="595CD818"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p>
    <w:p w14:paraId="59DAF532"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b/>
          <w:bCs/>
          <w:i/>
          <w:lang w:eastAsia="en-US"/>
        </w:rPr>
        <w:t>OCTOGÉSIMO:</w:t>
      </w:r>
      <w:r w:rsidRPr="004E04DB">
        <w:rPr>
          <w:rFonts w:ascii="Palatino Linotype" w:eastAsiaTheme="minorHAnsi" w:hAnsi="Palatino Linotype" w:cs="Arial"/>
          <w:i/>
          <w:lang w:eastAsia="en-US"/>
        </w:rPr>
        <w:t xml:space="preserve"> Para dar de baja los bienes inmuebles municipales incluyendo los de los organismos públicos descentralizados y fideicomisos públicos, se deberán satisfacer los siguientes requisitos:</w:t>
      </w:r>
    </w:p>
    <w:p w14:paraId="3FFD6F42"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I. Acta administrativa firmada por el comité, que avale que el o los bienes son susceptibles de ser dados de baja;</w:t>
      </w:r>
    </w:p>
    <w:p w14:paraId="78A2069F"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II. Acuerdo de cabildo, que deberá contener:</w:t>
      </w:r>
    </w:p>
    <w:p w14:paraId="7AE5052F"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a) Exposición de los motivos de la enajenación del bien o de cualquier otro acto o contrato que implique la transmisión de la propiedad del inmueble;</w:t>
      </w:r>
    </w:p>
    <w:p w14:paraId="3F04CCFE"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 xml:space="preserve">b) Superficie, medidas, colindancias, ubicación exacta del inmueble y sus características de identificación; </w:t>
      </w:r>
    </w:p>
    <w:p w14:paraId="3638FBEC"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c) El uso y destino que se le dará;</w:t>
      </w:r>
    </w:p>
    <w:p w14:paraId="432569CC"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d) Valor catastral del inmueble, emitido por el Instituto de Información e Investigación Geográfica Estadística y Catastral del Estado de México, en caso de subasta;</w:t>
      </w:r>
    </w:p>
    <w:p w14:paraId="0D588184"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lastRenderedPageBreak/>
        <w:t>e) Escritura Pública;</w:t>
      </w:r>
    </w:p>
    <w:p w14:paraId="176D6698"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f) La mención de que el inmueble no está destinado a un servicio público municipal y que no tiene un valor arqueológico, histórico o artístico, para lo cual se tendrá la certificación por la autoridad competente;</w:t>
      </w:r>
    </w:p>
    <w:p w14:paraId="5B058D30"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g) Fotografías originales que evidencien el estado actual del bien;</w:t>
      </w:r>
    </w:p>
    <w:p w14:paraId="7F065E93"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h) Autorización de la baja emitida por el ayuntamiento;</w:t>
      </w:r>
    </w:p>
    <w:p w14:paraId="32671C13"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 xml:space="preserve">La solicitud a la Legislatura, se deberá acompañar con los siguientes datos: superficie, medidas, linderos y ubicación exacta del inmueble, valor fiscal y comercial del inmueble certificado por perito autorizado en la materia, condiciones de la operación y motivos que se tengan para realizarla, documentación que acredite la propiedad </w:t>
      </w:r>
      <w:proofErr w:type="spellStart"/>
      <w:r w:rsidRPr="004E04DB">
        <w:rPr>
          <w:rFonts w:ascii="Palatino Linotype" w:eastAsiaTheme="minorHAnsi" w:hAnsi="Palatino Linotype" w:cs="Arial"/>
          <w:i/>
          <w:lang w:eastAsia="en-US"/>
        </w:rPr>
        <w:t>delinmueble</w:t>
      </w:r>
      <w:proofErr w:type="spellEnd"/>
      <w:r w:rsidRPr="004E04DB">
        <w:rPr>
          <w:rFonts w:ascii="Palatino Linotype" w:eastAsiaTheme="minorHAnsi" w:hAnsi="Palatino Linotype" w:cs="Arial"/>
          <w:i/>
          <w:lang w:eastAsia="en-US"/>
        </w:rPr>
        <w:t>, comprobación de que el inmueble no está destinado a un servicio público municipal y que no tiene un valor arqueológico, histórico o artístico, certificado por la autoridad competente, en el caso de enajenación, mencionar el destino que se dará a los fondos que se obtengan de la enajenación.</w:t>
      </w:r>
    </w:p>
    <w:p w14:paraId="38ACC352"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III. Acuerdo de la autorización de la baja, por parte de la Legislatura, publicado en la Gaceta del Gobierno con las características del bien;</w:t>
      </w:r>
    </w:p>
    <w:p w14:paraId="56CDE007"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IV. Registro de baja en el inventario general de bienes inmuebles, en el libro especial y en el Sistema de Información Inmobiliaria; y</w:t>
      </w:r>
    </w:p>
    <w:p w14:paraId="33185212" w14:textId="77777777" w:rsidR="00CB345C" w:rsidRPr="004E04DB" w:rsidRDefault="00CB345C" w:rsidP="006941D2">
      <w:pPr>
        <w:spacing w:after="0" w:line="276" w:lineRule="auto"/>
        <w:ind w:left="567" w:right="567"/>
        <w:jc w:val="both"/>
        <w:rPr>
          <w:rFonts w:ascii="Palatino Linotype" w:eastAsiaTheme="minorHAnsi" w:hAnsi="Palatino Linotype" w:cs="Arial"/>
          <w:i/>
          <w:lang w:eastAsia="en-US"/>
        </w:rPr>
      </w:pPr>
      <w:r w:rsidRPr="004E04DB">
        <w:rPr>
          <w:rFonts w:ascii="Palatino Linotype" w:eastAsiaTheme="minorHAnsi" w:hAnsi="Palatino Linotype" w:cs="Arial"/>
          <w:i/>
          <w:lang w:eastAsia="en-US"/>
        </w:rPr>
        <w:t>V. Registro contable por la baja del bien inmueble.</w:t>
      </w:r>
    </w:p>
    <w:p w14:paraId="47115B19" w14:textId="23C27A64" w:rsidR="00CB345C" w:rsidRPr="004E04DB" w:rsidRDefault="00CB345C" w:rsidP="006941D2">
      <w:pPr>
        <w:tabs>
          <w:tab w:val="left" w:pos="8505"/>
        </w:tabs>
        <w:spacing w:after="0" w:line="276" w:lineRule="auto"/>
        <w:ind w:left="567" w:right="567"/>
        <w:jc w:val="both"/>
        <w:rPr>
          <w:rFonts w:ascii="Palatino Linotype" w:eastAsiaTheme="minorHAnsi" w:hAnsi="Palatino Linotype" w:cstheme="minorBidi"/>
          <w:i/>
          <w:lang w:eastAsia="en-US"/>
        </w:rPr>
      </w:pPr>
      <w:r w:rsidRPr="004E04DB">
        <w:rPr>
          <w:rFonts w:ascii="Palatino Linotype" w:eastAsiaTheme="minorHAnsi" w:hAnsi="Palatino Linotype" w:cs="Arial"/>
          <w:i/>
          <w:lang w:eastAsia="en-US"/>
        </w:rPr>
        <w:t>En todos los casos de baja de bienes muebles e inmuebles se deberá cumplir con lo señalado en el Manual Único de Contabilidad Gubernamental para las Dependencias y Entidades Públicas del Gobierno y Municipios del Estado de México.”</w:t>
      </w:r>
      <w:r w:rsidRPr="004E04DB">
        <w:rPr>
          <w:rFonts w:ascii="Palatino Linotype" w:eastAsiaTheme="minorHAnsi" w:hAnsi="Palatino Linotype" w:cstheme="minorBidi"/>
          <w:i/>
          <w:lang w:eastAsia="en-US"/>
        </w:rPr>
        <w:t xml:space="preserve"> </w:t>
      </w:r>
    </w:p>
    <w:p w14:paraId="76DE12E2" w14:textId="77777777" w:rsidR="006941D2" w:rsidRPr="004E04DB" w:rsidRDefault="006941D2" w:rsidP="006941D2">
      <w:pPr>
        <w:tabs>
          <w:tab w:val="left" w:pos="8505"/>
        </w:tabs>
        <w:spacing w:after="0" w:line="276" w:lineRule="auto"/>
        <w:ind w:left="567" w:right="567"/>
        <w:jc w:val="both"/>
        <w:rPr>
          <w:rFonts w:ascii="Palatino Linotype" w:eastAsiaTheme="minorHAnsi" w:hAnsi="Palatino Linotype" w:cstheme="minorBidi"/>
          <w:i/>
          <w:sz w:val="24"/>
          <w:szCs w:val="24"/>
          <w:lang w:eastAsia="en-US"/>
        </w:rPr>
      </w:pPr>
    </w:p>
    <w:p w14:paraId="7FE0B0C2" w14:textId="40877006" w:rsidR="00CB345C" w:rsidRPr="004E04DB" w:rsidRDefault="00CB345C" w:rsidP="00577A99">
      <w:pPr>
        <w:spacing w:after="0" w:line="360" w:lineRule="auto"/>
        <w:ind w:right="142"/>
        <w:jc w:val="both"/>
        <w:rPr>
          <w:rFonts w:ascii="Palatino Linotype" w:hAnsi="Palatino Linotype" w:cs="Arial"/>
          <w:sz w:val="24"/>
          <w:szCs w:val="24"/>
        </w:rPr>
      </w:pPr>
      <w:r w:rsidRPr="004E04DB">
        <w:rPr>
          <w:rFonts w:ascii="Palatino Linotype" w:hAnsi="Palatino Linotype" w:cs="Arial"/>
          <w:sz w:val="24"/>
          <w:szCs w:val="24"/>
        </w:rPr>
        <w:t xml:space="preserve">Es de precisar que ulterior a la desincorporación, los municipios podrán celebrar diversos actos jurídicos con los bienes muebles e inmuebles para efecto de su transmisión de dominio, en primera instancia debe traerse a colación lo concerniente a los </w:t>
      </w:r>
      <w:r w:rsidRPr="004E04DB">
        <w:rPr>
          <w:rFonts w:ascii="Palatino Linotype" w:hAnsi="Palatino Linotype" w:cs="Arial"/>
          <w:b/>
          <w:sz w:val="24"/>
          <w:szCs w:val="24"/>
        </w:rPr>
        <w:t>bienes inmuebles</w:t>
      </w:r>
      <w:r w:rsidRPr="004E04DB">
        <w:rPr>
          <w:rFonts w:ascii="Palatino Linotype" w:hAnsi="Palatino Linotype" w:cs="Arial"/>
          <w:sz w:val="24"/>
          <w:szCs w:val="24"/>
        </w:rPr>
        <w:t xml:space="preserve">. </w:t>
      </w:r>
    </w:p>
    <w:p w14:paraId="26E15CD7" w14:textId="77777777" w:rsidR="006941D2" w:rsidRPr="004E04DB" w:rsidRDefault="006941D2" w:rsidP="00577A99">
      <w:pPr>
        <w:spacing w:after="0" w:line="360" w:lineRule="auto"/>
        <w:ind w:right="142"/>
        <w:jc w:val="both"/>
        <w:rPr>
          <w:rFonts w:ascii="Palatino Linotype" w:hAnsi="Palatino Linotype" w:cs="Arial"/>
          <w:sz w:val="24"/>
          <w:szCs w:val="24"/>
        </w:rPr>
      </w:pPr>
    </w:p>
    <w:p w14:paraId="69EA0B25" w14:textId="77777777" w:rsidR="00CB345C" w:rsidRPr="004E04DB" w:rsidRDefault="00CB345C" w:rsidP="006941D2">
      <w:pPr>
        <w:spacing w:after="0" w:line="276" w:lineRule="auto"/>
        <w:ind w:left="567" w:right="709"/>
        <w:jc w:val="both"/>
        <w:rPr>
          <w:rFonts w:ascii="Palatino Linotype" w:hAnsi="Palatino Linotype" w:cs="Arial"/>
          <w:i/>
          <w:lang w:val="es-ES_tradnl"/>
        </w:rPr>
      </w:pPr>
      <w:r w:rsidRPr="004E04DB">
        <w:rPr>
          <w:rFonts w:ascii="Palatino Linotype" w:hAnsi="Palatino Linotype" w:cs="Arial"/>
          <w:b/>
          <w:i/>
          <w:lang w:val="es-ES_tradnl"/>
        </w:rPr>
        <w:t>“Artículo 31.-</w:t>
      </w:r>
      <w:r w:rsidRPr="004E04DB">
        <w:rPr>
          <w:rFonts w:ascii="Palatino Linotype" w:hAnsi="Palatino Linotype" w:cs="Arial"/>
          <w:i/>
          <w:lang w:val="es-ES_tradnl"/>
        </w:rPr>
        <w:t xml:space="preserve"> Conforme a las disposiciones de la presente ley, una vez realizada la desincorporación, los inmuebles de dominio privado del Estado o municipios podrán ser objeto de los siguientes actos jurídicos:</w:t>
      </w:r>
    </w:p>
    <w:p w14:paraId="52BA7045" w14:textId="77777777" w:rsidR="00CB345C" w:rsidRPr="004E04DB" w:rsidRDefault="00CB345C" w:rsidP="006941D2">
      <w:pPr>
        <w:numPr>
          <w:ilvl w:val="0"/>
          <w:numId w:val="27"/>
        </w:numPr>
        <w:tabs>
          <w:tab w:val="left" w:pos="426"/>
        </w:tabs>
        <w:spacing w:after="0" w:line="276" w:lineRule="auto"/>
        <w:ind w:left="567" w:right="709"/>
        <w:jc w:val="both"/>
        <w:rPr>
          <w:rFonts w:ascii="Palatino Linotype" w:hAnsi="Palatino Linotype" w:cs="Arial"/>
          <w:i/>
        </w:rPr>
      </w:pPr>
      <w:r w:rsidRPr="004E04DB">
        <w:rPr>
          <w:rFonts w:ascii="Palatino Linotype" w:hAnsi="Palatino Linotype" w:cs="Arial"/>
          <w:i/>
        </w:rPr>
        <w:lastRenderedPageBreak/>
        <w:t>Transmisión de dominio a título oneroso o gratuito, de conformidad con los criterios que determine la Secretaría de Finanzas o el ayuntamiento respectivo, en favor de entidades que tengan a su cargo desarrollar programas de interés social para atender necesidades colectivas.</w:t>
      </w:r>
    </w:p>
    <w:p w14:paraId="5571DB23" w14:textId="77777777" w:rsidR="00CB345C" w:rsidRPr="004E04DB" w:rsidRDefault="00CB345C" w:rsidP="006941D2">
      <w:pPr>
        <w:numPr>
          <w:ilvl w:val="0"/>
          <w:numId w:val="27"/>
        </w:numPr>
        <w:spacing w:after="0" w:line="276" w:lineRule="auto"/>
        <w:ind w:left="567" w:right="709"/>
        <w:jc w:val="both"/>
        <w:rPr>
          <w:rFonts w:ascii="Palatino Linotype" w:hAnsi="Palatino Linotype" w:cs="Arial"/>
          <w:i/>
          <w:lang w:val="es-ES_tradnl"/>
        </w:rPr>
      </w:pPr>
      <w:r w:rsidRPr="004E04DB">
        <w:rPr>
          <w:rFonts w:ascii="Palatino Linotype" w:hAnsi="Palatino Linotype" w:cs="Arial"/>
          <w:i/>
          <w:lang w:val="es-ES_tradnl"/>
        </w:rPr>
        <w:t>Permuta, con entidades públicas o con particulares, por otros que por su ubicación, características y aptitudes satisfagan necesidades públicas;</w:t>
      </w:r>
    </w:p>
    <w:p w14:paraId="0BF09FEA" w14:textId="77777777" w:rsidR="00CB345C" w:rsidRPr="004E04DB" w:rsidRDefault="00CB345C" w:rsidP="006941D2">
      <w:pPr>
        <w:numPr>
          <w:ilvl w:val="0"/>
          <w:numId w:val="27"/>
        </w:numPr>
        <w:spacing w:after="0" w:line="276" w:lineRule="auto"/>
        <w:ind w:left="567" w:right="709"/>
        <w:jc w:val="both"/>
        <w:rPr>
          <w:rFonts w:ascii="Palatino Linotype" w:hAnsi="Palatino Linotype" w:cs="Arial"/>
          <w:i/>
          <w:lang w:val="es-ES_tradnl"/>
        </w:rPr>
      </w:pPr>
      <w:r w:rsidRPr="004E04DB">
        <w:rPr>
          <w:rFonts w:ascii="Palatino Linotype" w:hAnsi="Palatino Linotype" w:cs="Arial"/>
          <w:i/>
          <w:lang w:val="es-ES_tradnl"/>
        </w:rPr>
        <w:t>Enajenación a título oneroso para la adquisición de otros inmuebles que se requieran para la atención de los servicios a cargo de los poderes del Estado y municipios, o para el pago de pasivos;</w:t>
      </w:r>
    </w:p>
    <w:p w14:paraId="29339173" w14:textId="77777777" w:rsidR="00CB345C" w:rsidRPr="004E04DB" w:rsidRDefault="00CB345C" w:rsidP="006941D2">
      <w:pPr>
        <w:numPr>
          <w:ilvl w:val="0"/>
          <w:numId w:val="27"/>
        </w:numPr>
        <w:spacing w:after="0" w:line="276" w:lineRule="auto"/>
        <w:ind w:left="567" w:right="709"/>
        <w:jc w:val="both"/>
        <w:rPr>
          <w:rFonts w:ascii="Palatino Linotype" w:hAnsi="Palatino Linotype" w:cs="Arial"/>
          <w:i/>
          <w:lang w:val="es-ES_tradnl"/>
        </w:rPr>
      </w:pPr>
      <w:r w:rsidRPr="004E04DB">
        <w:rPr>
          <w:rFonts w:ascii="Palatino Linotype" w:hAnsi="Palatino Linotype" w:cs="Arial"/>
          <w:i/>
          <w:lang w:val="es-ES_tradnl"/>
        </w:rPr>
        <w:t>Donación en favor de la federación, de los estados o de los municipios, para que utilicen los inmuebles en la prestación de servicios públicos;</w:t>
      </w:r>
    </w:p>
    <w:p w14:paraId="3A5FC085" w14:textId="77777777" w:rsidR="00CB345C" w:rsidRPr="004E04DB" w:rsidRDefault="00CB345C" w:rsidP="006941D2">
      <w:pPr>
        <w:numPr>
          <w:ilvl w:val="0"/>
          <w:numId w:val="27"/>
        </w:numPr>
        <w:spacing w:after="0" w:line="276" w:lineRule="auto"/>
        <w:ind w:left="567" w:right="709"/>
        <w:jc w:val="both"/>
        <w:rPr>
          <w:rFonts w:ascii="Palatino Linotype" w:hAnsi="Palatino Linotype" w:cs="Arial"/>
          <w:i/>
          <w:lang w:val="es-ES_tradnl"/>
        </w:rPr>
      </w:pPr>
      <w:r w:rsidRPr="004E04DB">
        <w:rPr>
          <w:rFonts w:ascii="Palatino Linotype" w:hAnsi="Palatino Linotype" w:cs="Arial"/>
          <w:i/>
        </w:rPr>
        <w:t>Donación en favor de asociaciones e instituciones privadas que realicen actividades de interés social y no persigan fines de lucro.</w:t>
      </w:r>
    </w:p>
    <w:p w14:paraId="06697CB2" w14:textId="77777777" w:rsidR="00CB345C" w:rsidRPr="004E04DB" w:rsidRDefault="00CB345C" w:rsidP="006941D2">
      <w:pPr>
        <w:numPr>
          <w:ilvl w:val="0"/>
          <w:numId w:val="27"/>
        </w:numPr>
        <w:spacing w:after="0" w:line="276" w:lineRule="auto"/>
        <w:ind w:left="567" w:right="709"/>
        <w:jc w:val="both"/>
        <w:rPr>
          <w:rFonts w:ascii="Palatino Linotype" w:hAnsi="Palatino Linotype" w:cs="Arial"/>
          <w:i/>
          <w:lang w:val="es-ES_tradnl"/>
        </w:rPr>
      </w:pPr>
      <w:r w:rsidRPr="004E04DB">
        <w:rPr>
          <w:rFonts w:ascii="Palatino Linotype" w:hAnsi="Palatino Linotype" w:cs="Arial"/>
          <w:i/>
          <w:lang w:val="es-ES_tradnl"/>
        </w:rPr>
        <w:t>Enajenación a título oneroso en favor de personas físicas o morales que requieran disponer de estos inmuebles para la creación, fomento o conservación de una empresa que beneficie a la colectividad; y</w:t>
      </w:r>
    </w:p>
    <w:p w14:paraId="17E16BFE" w14:textId="77777777" w:rsidR="00CB345C" w:rsidRPr="004E04DB" w:rsidRDefault="00CB345C" w:rsidP="006941D2">
      <w:pPr>
        <w:numPr>
          <w:ilvl w:val="0"/>
          <w:numId w:val="27"/>
        </w:numPr>
        <w:spacing w:after="0" w:line="276" w:lineRule="auto"/>
        <w:ind w:left="567" w:right="709" w:hanging="142"/>
        <w:jc w:val="both"/>
        <w:rPr>
          <w:rFonts w:ascii="Palatino Linotype" w:hAnsi="Palatino Linotype" w:cs="Arial"/>
          <w:i/>
          <w:lang w:val="es-ES_tradnl"/>
        </w:rPr>
      </w:pPr>
      <w:r w:rsidRPr="004E04DB">
        <w:rPr>
          <w:rFonts w:ascii="Palatino Linotype" w:hAnsi="Palatino Linotype" w:cs="Arial"/>
          <w:i/>
          <w:lang w:val="es-ES_tradnl"/>
        </w:rPr>
        <w:t>Dación en pago por concepto de indemnización, en los términos previstos por la Ley de Expropiación para el Estado de México.</w:t>
      </w:r>
    </w:p>
    <w:p w14:paraId="3DF8B302" w14:textId="16B38991"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Para efectos de los contratos de comodato sobre bienes del dominio privado, no deberá efectuarse la desincorporación de los mismos, respecto del patrimonio inmobiliario del Gobierno del Estado de México.” </w:t>
      </w:r>
    </w:p>
    <w:p w14:paraId="00B12DE9" w14:textId="77777777" w:rsidR="006941D2" w:rsidRPr="004E04DB" w:rsidRDefault="006941D2" w:rsidP="006941D2">
      <w:pPr>
        <w:spacing w:after="0" w:line="276" w:lineRule="auto"/>
        <w:ind w:left="567" w:right="709"/>
        <w:jc w:val="both"/>
        <w:rPr>
          <w:rFonts w:ascii="Palatino Linotype" w:hAnsi="Palatino Linotype" w:cs="Arial"/>
          <w:i/>
        </w:rPr>
      </w:pPr>
    </w:p>
    <w:p w14:paraId="08F8355D" w14:textId="283AF9E5" w:rsidR="00CB345C" w:rsidRPr="004E04DB" w:rsidRDefault="00CB345C" w:rsidP="00577A99">
      <w:pPr>
        <w:spacing w:after="0" w:line="360" w:lineRule="auto"/>
        <w:jc w:val="both"/>
        <w:rPr>
          <w:rFonts w:ascii="Palatino Linotype" w:hAnsi="Palatino Linotype" w:cs="Arial"/>
          <w:sz w:val="24"/>
          <w:szCs w:val="24"/>
        </w:rPr>
      </w:pPr>
      <w:r w:rsidRPr="004E04DB">
        <w:rPr>
          <w:rFonts w:ascii="Palatino Linotype" w:hAnsi="Palatino Linotype" w:cs="Arial"/>
          <w:sz w:val="24"/>
          <w:szCs w:val="24"/>
        </w:rPr>
        <w:t xml:space="preserve">Ahora sobre la baja de los </w:t>
      </w:r>
      <w:r w:rsidRPr="004E04DB">
        <w:rPr>
          <w:rFonts w:ascii="Palatino Linotype" w:hAnsi="Palatino Linotype" w:cs="Arial"/>
          <w:b/>
          <w:sz w:val="24"/>
          <w:szCs w:val="24"/>
        </w:rPr>
        <w:t xml:space="preserve">bienes muebles </w:t>
      </w:r>
      <w:r w:rsidRPr="004E04DB">
        <w:rPr>
          <w:rFonts w:ascii="Palatino Linotype" w:hAnsi="Palatino Linotype" w:cs="Arial"/>
          <w:sz w:val="24"/>
          <w:szCs w:val="24"/>
        </w:rPr>
        <w:t xml:space="preserve">posterior a una desincorporación, los Lineamientos para el Registro y Control del Inventario y la Conciliación y Desincorporación de Bienes Muebles e Inmuebles para las Entidades Fiscalizables Municipales del Estado de México, disponen lo siguiente: </w:t>
      </w:r>
    </w:p>
    <w:p w14:paraId="79918D25" w14:textId="77777777" w:rsidR="006941D2" w:rsidRPr="004E04DB" w:rsidRDefault="006941D2" w:rsidP="00577A99">
      <w:pPr>
        <w:spacing w:after="0" w:line="360" w:lineRule="auto"/>
        <w:jc w:val="both"/>
        <w:rPr>
          <w:rFonts w:ascii="Palatino Linotype" w:hAnsi="Palatino Linotype" w:cs="Arial"/>
          <w:sz w:val="24"/>
          <w:szCs w:val="24"/>
        </w:rPr>
      </w:pPr>
    </w:p>
    <w:p w14:paraId="3523D7E6"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“Sección Primera </w:t>
      </w:r>
    </w:p>
    <w:p w14:paraId="3B1E655A"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DE LOS BIENES MUEBLES POR ENAJENACIÓN </w:t>
      </w:r>
    </w:p>
    <w:p w14:paraId="1822FC86"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SEXAGÉSIMO SEGUNDO: La baja por enajenación es el acto que realizan las entidades fiscalizables, para dar de baja sus bienes y trasmitir la propiedad y el dominio de estos, a </w:t>
      </w:r>
      <w:r w:rsidRPr="004E04DB">
        <w:rPr>
          <w:rFonts w:ascii="Palatino Linotype" w:hAnsi="Palatino Linotype" w:cs="Arial"/>
          <w:i/>
        </w:rPr>
        <w:lastRenderedPageBreak/>
        <w:t>título oneroso. Podrán ser enajenados bienes muebles que por sus características y condiciones, ya no sean de utilidad para las entidades fiscalizables, los cuales deberán ser avalados mediante acta administrativa firmada, en el caso de los municipios: por el síndico, tesorero, secretario y contralor; para el caso de los organismos descentralizados y fideicomisos públicos, el director general, director de finanzas, comisario y contralor, o sus equivalentes.</w:t>
      </w:r>
    </w:p>
    <w:p w14:paraId="113E5775"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 SEXAGÉSIMO TERCERO: Para dar de baja bienes muebles por enajenación, se deberán satisfacer los siguientes requisitos: </w:t>
      </w:r>
    </w:p>
    <w:p w14:paraId="1FADCE84"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I. Observar lo establecido en el Código Financiero del Estado de México y Municipios, en el Código Civil del Estado de México, así como en la Ley de Bienes del Estado de México y de sus Municipios, en el Código Administrativo del Estado de México, y el Manual Único de Contabilidad Gubernamental para las Dependencias y Entidades Públicas del Gobierno y Municipios del Estado de México; </w:t>
      </w:r>
    </w:p>
    <w:p w14:paraId="69D85B78"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II. Acta administrativa del comité, la cual se soportará con: el listado de bienes muebles; </w:t>
      </w:r>
    </w:p>
    <w:p w14:paraId="2C39E94E"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III. Fotografías que demuestren el estado físico de los bienes susceptibles de enajenación, en las que se incluirá el número de inventario y demás características de identificación; Una vez que se cuente con el acta administrativa debidamente soportada y firmada por los integrantes del comité, se someterá a consideración del ÓRGANO MÁXIMO DE GOBIERNO para la resolución del acuerdo respectivo. </w:t>
      </w:r>
    </w:p>
    <w:p w14:paraId="44B81F97"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IV. Acta de su órgano máximo de gobierno, donde se establecerán los siguientes señalamientos: motivos de la enajenación, destino de los recursos que se obtengan de la venta, autorización para darlos de baja del inventario general de bienes muebles así como la baja contable a precio de costo histórico o de registro, el número de inventario y las características de identificación, así como el total del importe que será dado de baja; </w:t>
      </w:r>
    </w:p>
    <w:p w14:paraId="66A0BDEB"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V. Avalúo de los bienes, emitido por institución pública, o elaborado por perito calificado en la materia; La enajenación de los bienes será a través de subasta pública conforme a las disposiciones legales aplicables, enviando al Órgano Superior la publicación de la convocatoria. </w:t>
      </w:r>
    </w:p>
    <w:p w14:paraId="3FA2C6F3"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VI. Realizar invitación por escrito con 15 días hábiles de anticipación al Órgano Superior, para que asista un representante a presenciar la subasta pública, con el propósito de que éste verifique y firme únicamente como observador del evento; El Acta de fallo de la enajenación en subasta pública contendrá como mínimo los siguientes requisitos: la denominación de la entidad fiscalizable, día y hora del evento, lugar del evento, número de subasta, servidores públicos presentes en el acto, personas que compraron las bases </w:t>
      </w:r>
      <w:r w:rsidRPr="004E04DB">
        <w:rPr>
          <w:rFonts w:ascii="Palatino Linotype" w:hAnsi="Palatino Linotype" w:cs="Arial"/>
          <w:i/>
        </w:rPr>
        <w:lastRenderedPageBreak/>
        <w:t xml:space="preserve">para participar en la subasta, nombre de los participantes, descripción de los bienes subastados, nombre de los ganadores, hora de cierre y apartado de firmas de la misma, indicando nombres y cargos de los servidores públicos que intervinieron en el acto. </w:t>
      </w:r>
    </w:p>
    <w:p w14:paraId="62B7254D"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Al momento de la venta de los bienes se deberá expedir el recibo oficial de ingresos por parte de la tesorería, dirección de finanzas, o su equivalente, por los recursos obtenidos de la enajenación de los bienes, y el registro contable por la baja a costo histórico.</w:t>
      </w:r>
    </w:p>
    <w:p w14:paraId="271EF0B0"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VII. </w:t>
      </w:r>
      <w:proofErr w:type="gramStart"/>
      <w:r w:rsidRPr="004E04DB">
        <w:rPr>
          <w:rFonts w:ascii="Palatino Linotype" w:hAnsi="Palatino Linotype" w:cs="Arial"/>
          <w:i/>
        </w:rPr>
        <w:t>Registro</w:t>
      </w:r>
      <w:proofErr w:type="gramEnd"/>
      <w:r w:rsidRPr="004E04DB">
        <w:rPr>
          <w:rFonts w:ascii="Palatino Linotype" w:hAnsi="Palatino Linotype" w:cs="Arial"/>
          <w:i/>
        </w:rPr>
        <w:t xml:space="preserve"> en el inventario y en el libro especial; </w:t>
      </w:r>
    </w:p>
    <w:p w14:paraId="6904511F"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VIII. Póliza</w:t>
      </w:r>
    </w:p>
    <w:p w14:paraId="65A91383"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w:t>
      </w:r>
    </w:p>
    <w:p w14:paraId="225E6F18"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Sección Cuarta </w:t>
      </w:r>
    </w:p>
    <w:p w14:paraId="1BD8B1C7"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DE LOS BIENES MUEBLES POR DONACIÓN</w:t>
      </w:r>
    </w:p>
    <w:p w14:paraId="6328F2C3"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SEXAGÉSIMO SÉPTIMO: La baja por donación, es el acto mediante el cual la entidad fiscalizable, transfiere en forma gratuita, bienes muebles de su propiedad a una persona física o jurídica colectiva. </w:t>
      </w:r>
    </w:p>
    <w:p w14:paraId="34F60A04"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Los organismos descentralizados, pueden donar sus bienes que hayan cumplido con su vida útil. </w:t>
      </w:r>
    </w:p>
    <w:p w14:paraId="5DEB19DC" w14:textId="77777777" w:rsidR="00CB345C" w:rsidRPr="004E04DB" w:rsidRDefault="00CB345C" w:rsidP="006941D2">
      <w:pPr>
        <w:spacing w:after="0" w:line="276" w:lineRule="auto"/>
        <w:ind w:left="567" w:right="709"/>
        <w:jc w:val="both"/>
        <w:rPr>
          <w:rFonts w:ascii="Palatino Linotype" w:hAnsi="Palatino Linotype" w:cs="Arial"/>
          <w:i/>
        </w:rPr>
      </w:pPr>
      <w:r w:rsidRPr="004E04DB">
        <w:rPr>
          <w:rFonts w:ascii="Palatino Linotype" w:hAnsi="Palatino Linotype" w:cs="Arial"/>
          <w:i/>
        </w:rPr>
        <w:t xml:space="preserve">SEXAGÉSIMO OCTAVO: Para dar de baja bienes muebles por donación, se deberán satisfacer los siguientes requisitos: </w:t>
      </w:r>
    </w:p>
    <w:p w14:paraId="1F4C0808" w14:textId="77777777" w:rsidR="00CB345C" w:rsidRPr="004E04DB" w:rsidRDefault="00CB345C" w:rsidP="006941D2">
      <w:pPr>
        <w:pStyle w:val="Prrafodelista"/>
        <w:numPr>
          <w:ilvl w:val="0"/>
          <w:numId w:val="28"/>
        </w:numPr>
        <w:spacing w:after="0" w:line="276" w:lineRule="auto"/>
        <w:ind w:left="567" w:right="709" w:firstLine="0"/>
        <w:contextualSpacing w:val="0"/>
        <w:jc w:val="both"/>
        <w:rPr>
          <w:rFonts w:ascii="Palatino Linotype" w:hAnsi="Palatino Linotype" w:cs="Arial"/>
          <w:i/>
        </w:rPr>
      </w:pPr>
      <w:r w:rsidRPr="004E04DB">
        <w:rPr>
          <w:rFonts w:ascii="Palatino Linotype" w:hAnsi="Palatino Linotype" w:cs="Arial"/>
          <w:i/>
        </w:rPr>
        <w:t xml:space="preserve">Petición escrita formulada por la persona física, o jurídica colectiva que solicite el o los bienes, dirigida al titular de la entidad fiscalizable, en la que se mencione el uso y destino que se les dará a los bienes; </w:t>
      </w:r>
    </w:p>
    <w:p w14:paraId="42DCDF17" w14:textId="77777777" w:rsidR="00CB345C" w:rsidRPr="004E04DB" w:rsidRDefault="00CB345C" w:rsidP="006941D2">
      <w:pPr>
        <w:pStyle w:val="Prrafodelista"/>
        <w:numPr>
          <w:ilvl w:val="0"/>
          <w:numId w:val="28"/>
        </w:numPr>
        <w:spacing w:after="0" w:line="276" w:lineRule="auto"/>
        <w:ind w:left="567" w:right="709" w:hanging="141"/>
        <w:contextualSpacing w:val="0"/>
        <w:jc w:val="both"/>
        <w:rPr>
          <w:rFonts w:ascii="Palatino Linotype" w:hAnsi="Palatino Linotype" w:cs="Arial"/>
          <w:i/>
        </w:rPr>
      </w:pPr>
      <w:r w:rsidRPr="004E04DB">
        <w:rPr>
          <w:rFonts w:ascii="Palatino Linotype" w:hAnsi="Palatino Linotype" w:cs="Arial"/>
          <w:i/>
        </w:rPr>
        <w:t xml:space="preserve">Estudio socioeconómico elaborado por la entidad fiscalizable municipal, en el que se justifique el otorgamiento del bien sujeto a donar; </w:t>
      </w:r>
    </w:p>
    <w:p w14:paraId="2E675A6F" w14:textId="77777777" w:rsidR="00CB345C" w:rsidRPr="004E04DB" w:rsidRDefault="00CB345C" w:rsidP="006941D2">
      <w:pPr>
        <w:pStyle w:val="Prrafodelista"/>
        <w:numPr>
          <w:ilvl w:val="0"/>
          <w:numId w:val="28"/>
        </w:numPr>
        <w:spacing w:after="0" w:line="276" w:lineRule="auto"/>
        <w:ind w:left="567" w:right="709" w:hanging="283"/>
        <w:contextualSpacing w:val="0"/>
        <w:jc w:val="both"/>
        <w:rPr>
          <w:rFonts w:ascii="Palatino Linotype" w:hAnsi="Palatino Linotype" w:cs="Arial"/>
          <w:i/>
        </w:rPr>
      </w:pPr>
      <w:r w:rsidRPr="004E04DB">
        <w:rPr>
          <w:rFonts w:ascii="Palatino Linotype" w:hAnsi="Palatino Linotype" w:cs="Arial"/>
          <w:i/>
        </w:rPr>
        <w:t xml:space="preserve">Acta administrativa firmada por el comité, que avale los bienes sujetos a ser donados; </w:t>
      </w:r>
    </w:p>
    <w:p w14:paraId="4E052F70" w14:textId="77777777" w:rsidR="00CB345C" w:rsidRPr="004E04DB" w:rsidRDefault="00CB345C" w:rsidP="006941D2">
      <w:pPr>
        <w:pStyle w:val="Prrafodelista"/>
        <w:numPr>
          <w:ilvl w:val="0"/>
          <w:numId w:val="28"/>
        </w:numPr>
        <w:spacing w:after="0" w:line="276" w:lineRule="auto"/>
        <w:ind w:left="567" w:right="709" w:hanging="283"/>
        <w:contextualSpacing w:val="0"/>
        <w:jc w:val="both"/>
        <w:rPr>
          <w:rFonts w:ascii="Palatino Linotype" w:hAnsi="Palatino Linotype" w:cs="Arial"/>
          <w:i/>
        </w:rPr>
      </w:pPr>
      <w:r w:rsidRPr="004E04DB">
        <w:rPr>
          <w:rFonts w:ascii="Palatino Linotype" w:hAnsi="Palatino Linotype" w:cs="Arial"/>
          <w:i/>
        </w:rPr>
        <w:t xml:space="preserve">Acta del órgano máximo de gobierno, en la que se autorice la baja de los bienes muebles por donación, mencionando los motivos, nombre, cantidad y características de identificación, así como el saldo que será dado de baja; </w:t>
      </w:r>
    </w:p>
    <w:p w14:paraId="37F9B0BB" w14:textId="77777777" w:rsidR="00CB345C" w:rsidRPr="004E04DB" w:rsidRDefault="00CB345C" w:rsidP="006941D2">
      <w:pPr>
        <w:pStyle w:val="Prrafodelista"/>
        <w:numPr>
          <w:ilvl w:val="0"/>
          <w:numId w:val="28"/>
        </w:numPr>
        <w:spacing w:after="0" w:line="276" w:lineRule="auto"/>
        <w:ind w:left="567" w:right="709" w:hanging="283"/>
        <w:contextualSpacing w:val="0"/>
        <w:jc w:val="both"/>
        <w:rPr>
          <w:rFonts w:ascii="Palatino Linotype" w:hAnsi="Palatino Linotype" w:cs="Arial"/>
          <w:i/>
        </w:rPr>
      </w:pPr>
      <w:r w:rsidRPr="004E04DB">
        <w:rPr>
          <w:rFonts w:ascii="Palatino Linotype" w:hAnsi="Palatino Linotype" w:cs="Arial"/>
          <w:i/>
        </w:rPr>
        <w:t xml:space="preserve">Convenio por la donación de los bienes concedidos, especificando el total de bienes muebles, con sus características de identificación, incluyendo el número de inventario; </w:t>
      </w:r>
    </w:p>
    <w:p w14:paraId="00FDD5FF" w14:textId="77777777" w:rsidR="00CB345C" w:rsidRPr="004E04DB" w:rsidRDefault="00CB345C" w:rsidP="006941D2">
      <w:pPr>
        <w:pStyle w:val="Prrafodelista"/>
        <w:numPr>
          <w:ilvl w:val="0"/>
          <w:numId w:val="28"/>
        </w:numPr>
        <w:spacing w:after="0" w:line="276" w:lineRule="auto"/>
        <w:ind w:left="567" w:right="709" w:hanging="283"/>
        <w:contextualSpacing w:val="0"/>
        <w:jc w:val="both"/>
        <w:rPr>
          <w:rFonts w:ascii="Palatino Linotype" w:hAnsi="Palatino Linotype" w:cs="Arial"/>
          <w:i/>
        </w:rPr>
      </w:pPr>
      <w:r w:rsidRPr="004E04DB">
        <w:rPr>
          <w:rFonts w:ascii="Palatino Linotype" w:hAnsi="Palatino Linotype" w:cs="Arial"/>
          <w:i/>
        </w:rPr>
        <w:t xml:space="preserve">Carta de agradecimiento suscrita por los beneficiados, dirigida al titular de la entidad fiscalizable, en la que se haga constar la recepción de los mismos, así como fotocopia de su identificación, domicilio particular y demás datos necesarios para su localización; </w:t>
      </w:r>
    </w:p>
    <w:p w14:paraId="250745DF" w14:textId="77777777" w:rsidR="00CB345C" w:rsidRPr="004E04DB" w:rsidRDefault="00CB345C" w:rsidP="006941D2">
      <w:pPr>
        <w:pStyle w:val="Prrafodelista"/>
        <w:numPr>
          <w:ilvl w:val="0"/>
          <w:numId w:val="28"/>
        </w:numPr>
        <w:spacing w:after="0" w:line="276" w:lineRule="auto"/>
        <w:ind w:left="567" w:right="709" w:hanging="283"/>
        <w:contextualSpacing w:val="0"/>
        <w:jc w:val="both"/>
        <w:rPr>
          <w:rFonts w:ascii="Palatino Linotype" w:hAnsi="Palatino Linotype" w:cs="Arial"/>
          <w:i/>
        </w:rPr>
      </w:pPr>
      <w:r w:rsidRPr="004E04DB">
        <w:rPr>
          <w:rFonts w:ascii="Palatino Linotype" w:hAnsi="Palatino Linotype" w:cs="Arial"/>
          <w:i/>
        </w:rPr>
        <w:t xml:space="preserve">Registro en el inventario y en el libro especial; y </w:t>
      </w:r>
    </w:p>
    <w:p w14:paraId="23103243" w14:textId="77777777" w:rsidR="00CB345C" w:rsidRPr="004E04DB" w:rsidRDefault="00CB345C" w:rsidP="006941D2">
      <w:pPr>
        <w:pStyle w:val="Prrafodelista"/>
        <w:numPr>
          <w:ilvl w:val="0"/>
          <w:numId w:val="28"/>
        </w:numPr>
        <w:spacing w:after="0" w:line="276" w:lineRule="auto"/>
        <w:ind w:left="567" w:right="709" w:hanging="283"/>
        <w:contextualSpacing w:val="0"/>
        <w:jc w:val="both"/>
        <w:rPr>
          <w:rFonts w:ascii="Palatino Linotype" w:hAnsi="Palatino Linotype" w:cs="Arial"/>
          <w:i/>
        </w:rPr>
      </w:pPr>
      <w:r w:rsidRPr="004E04DB">
        <w:rPr>
          <w:rFonts w:ascii="Palatino Linotype" w:hAnsi="Palatino Linotype" w:cs="Arial"/>
          <w:i/>
        </w:rPr>
        <w:t>Póliza.</w:t>
      </w:r>
    </w:p>
    <w:p w14:paraId="3F6506CC"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lastRenderedPageBreak/>
        <w:t>…</w:t>
      </w:r>
    </w:p>
    <w:p w14:paraId="21C2A920"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 xml:space="preserve">Sección Sexta </w:t>
      </w:r>
    </w:p>
    <w:p w14:paraId="43DEE6B9"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 xml:space="preserve">DE LOS BIENES MUEBLES POR DACIÓN EN PAGO </w:t>
      </w:r>
    </w:p>
    <w:p w14:paraId="59462697"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 xml:space="preserve">SEPTUAGÉSIMO PRIMERO: La baja de bienes por dación en pago, es el acto mediante el cual la entidad </w:t>
      </w:r>
      <w:proofErr w:type="spellStart"/>
      <w:r w:rsidRPr="004E04DB">
        <w:rPr>
          <w:rFonts w:ascii="Palatino Linotype" w:hAnsi="Palatino Linotype" w:cs="Arial"/>
          <w:i/>
        </w:rPr>
        <w:t>fiscalizabie</w:t>
      </w:r>
      <w:proofErr w:type="spellEnd"/>
      <w:r w:rsidRPr="004E04DB">
        <w:rPr>
          <w:rFonts w:ascii="Palatino Linotype" w:hAnsi="Palatino Linotype" w:cs="Arial"/>
          <w:i/>
        </w:rPr>
        <w:t xml:space="preserve">, acepta dar bienes muebles a una persona física o jurídica colectiva, quienes lo reciben para cubrir créditos fiscales o cumplir con pagos de adeudos de la entidad municipal. </w:t>
      </w:r>
    </w:p>
    <w:p w14:paraId="73435175"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SEPTUAGÉSIMO SEGUNDO: Para dar de baja bienes muebles por dación en pago, se deberán satisfacer los siguientes requisitos:</w:t>
      </w:r>
    </w:p>
    <w:p w14:paraId="7898F734"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proofErr w:type="spellStart"/>
      <w:r w:rsidRPr="004E04DB">
        <w:rPr>
          <w:rFonts w:ascii="Palatino Linotype" w:hAnsi="Palatino Linotype" w:cs="Arial"/>
          <w:i/>
        </w:rPr>
        <w:t>I.Observar</w:t>
      </w:r>
      <w:proofErr w:type="spellEnd"/>
      <w:r w:rsidRPr="004E04DB">
        <w:rPr>
          <w:rFonts w:ascii="Palatino Linotype" w:hAnsi="Palatino Linotype" w:cs="Arial"/>
          <w:i/>
        </w:rPr>
        <w:t xml:space="preserve"> las disposiciones de dación en pago, previstas en el Código Financiero del Estado de México y Municipios; </w:t>
      </w:r>
    </w:p>
    <w:p w14:paraId="1F506FEB"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 xml:space="preserve">II. Acta administrativa firmada por el comité, que avale que los bienes susceptibles a ser dados de baja por dación en pago; </w:t>
      </w:r>
    </w:p>
    <w:p w14:paraId="6BE23EBE"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 xml:space="preserve">III. Acta del órgano máximo de gobierno, en la que se autoriza la baja de los bienes muebles por dación en pago, mencionando los motivos y características de identificación por cada bien; </w:t>
      </w:r>
    </w:p>
    <w:p w14:paraId="618DFDF3"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 xml:space="preserve">IV. Convenio de dación, por el pago en especie, donde se precisen las características del bien o bienes, así como el monto total por la operación, describiendo el importe individual del bien, copia de identificación de quienes participan en el acto; </w:t>
      </w:r>
    </w:p>
    <w:p w14:paraId="1F544818"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 xml:space="preserve">V. Registro contable la dación del bien; </w:t>
      </w:r>
    </w:p>
    <w:p w14:paraId="7F5E7B02"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 xml:space="preserve">VI. Registro en el inventario y en el libro especial; y </w:t>
      </w:r>
    </w:p>
    <w:p w14:paraId="66A20811"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VII. Póliza.</w:t>
      </w:r>
    </w:p>
    <w:p w14:paraId="711C5641"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 xml:space="preserve">DEL CONTRATO DE COMODATO DE BIENES MUEBLES ENTRE UNIDADES ADMINISTRATIVAS </w:t>
      </w:r>
    </w:p>
    <w:p w14:paraId="6725F2E6"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 xml:space="preserve">SEPTUAGÉSIMO SÉPTIMO: Los bienes muebles en comodato, son los objetos que por su naturaleza de uso, pueden ser trasladados de un lugar a otro; son propiedad de un tercero y se encuentran en uso para satisfacer algunas necesidades de la entidad fiscalizable y estarán relacionados en un formato independiente. Cuando se realicen convenios de comodato de bienes muebles entre unidades administrativas, se llevará a cabo la actualización en las cédulas correspondientes. </w:t>
      </w:r>
    </w:p>
    <w:p w14:paraId="35E441FD" w14:textId="77777777" w:rsidR="00CB345C" w:rsidRPr="004E04DB" w:rsidRDefault="00CB345C" w:rsidP="006941D2">
      <w:pPr>
        <w:pStyle w:val="Prrafodelista"/>
        <w:spacing w:after="0" w:line="276" w:lineRule="auto"/>
        <w:ind w:left="567" w:right="709"/>
        <w:jc w:val="both"/>
        <w:rPr>
          <w:rFonts w:ascii="Palatino Linotype" w:hAnsi="Palatino Linotype" w:cs="Arial"/>
          <w:i/>
        </w:rPr>
      </w:pPr>
      <w:r w:rsidRPr="004E04DB">
        <w:rPr>
          <w:rFonts w:ascii="Palatino Linotype" w:hAnsi="Palatino Linotype" w:cs="Arial"/>
          <w:i/>
        </w:rPr>
        <w:t xml:space="preserve">SEPTUAGÉSIMO OCTAVO: Para otorgar en comodato los bienes muebles, se deberán satisfacer los siguientes requisitos: </w:t>
      </w:r>
    </w:p>
    <w:p w14:paraId="10C457FC" w14:textId="77777777" w:rsidR="00CB345C" w:rsidRPr="004E04DB" w:rsidRDefault="00CB345C" w:rsidP="006941D2">
      <w:pPr>
        <w:pStyle w:val="Prrafodelista"/>
        <w:numPr>
          <w:ilvl w:val="0"/>
          <w:numId w:val="29"/>
        </w:numPr>
        <w:spacing w:after="0" w:line="276" w:lineRule="auto"/>
        <w:ind w:left="567" w:right="709" w:hanging="141"/>
        <w:contextualSpacing w:val="0"/>
        <w:jc w:val="both"/>
        <w:rPr>
          <w:rFonts w:ascii="Palatino Linotype" w:hAnsi="Palatino Linotype" w:cs="Arial"/>
          <w:i/>
        </w:rPr>
      </w:pPr>
      <w:r w:rsidRPr="004E04DB">
        <w:rPr>
          <w:rFonts w:ascii="Palatino Linotype" w:hAnsi="Palatino Linotype" w:cs="Arial"/>
          <w:i/>
        </w:rPr>
        <w:t xml:space="preserve">Observar lo establecido en el Código Civil del Estado de México, así como en la Ley de Bienes del Estado de México y sus Municipios; </w:t>
      </w:r>
    </w:p>
    <w:p w14:paraId="5770268D" w14:textId="77777777" w:rsidR="00CB345C" w:rsidRPr="004E04DB" w:rsidRDefault="00CB345C" w:rsidP="006941D2">
      <w:pPr>
        <w:pStyle w:val="Prrafodelista"/>
        <w:numPr>
          <w:ilvl w:val="0"/>
          <w:numId w:val="29"/>
        </w:numPr>
        <w:spacing w:after="0" w:line="276" w:lineRule="auto"/>
        <w:ind w:left="567" w:right="709" w:hanging="141"/>
        <w:contextualSpacing w:val="0"/>
        <w:jc w:val="both"/>
        <w:rPr>
          <w:rFonts w:ascii="Palatino Linotype" w:hAnsi="Palatino Linotype" w:cs="Arial"/>
          <w:i/>
        </w:rPr>
      </w:pPr>
      <w:r w:rsidRPr="004E04DB">
        <w:rPr>
          <w:rFonts w:ascii="Palatino Linotype" w:hAnsi="Palatino Linotype" w:cs="Arial"/>
          <w:i/>
        </w:rPr>
        <w:lastRenderedPageBreak/>
        <w:t xml:space="preserve">Contar con la solicitud del bien requerido por la unidad administrativa; El titular del área que otorga el bien elaborará un oficio de aceptación por el comodato del bien, anotando todas las características de identificación, número de inventario y nombre de la persona que tiene bajo su resguardo dicho bien; </w:t>
      </w:r>
    </w:p>
    <w:p w14:paraId="0483DE6C" w14:textId="77777777" w:rsidR="00CB345C" w:rsidRPr="004E04DB" w:rsidRDefault="00CB345C" w:rsidP="006941D2">
      <w:pPr>
        <w:pStyle w:val="Prrafodelista"/>
        <w:numPr>
          <w:ilvl w:val="0"/>
          <w:numId w:val="29"/>
        </w:numPr>
        <w:spacing w:after="0" w:line="276" w:lineRule="auto"/>
        <w:ind w:left="567" w:right="709"/>
        <w:contextualSpacing w:val="0"/>
        <w:jc w:val="both"/>
        <w:rPr>
          <w:rFonts w:ascii="Palatino Linotype" w:hAnsi="Palatino Linotype" w:cs="Arial"/>
          <w:i/>
        </w:rPr>
      </w:pPr>
      <w:r w:rsidRPr="004E04DB">
        <w:rPr>
          <w:rFonts w:ascii="Palatino Linotype" w:hAnsi="Palatino Linotype" w:cs="Arial"/>
          <w:i/>
        </w:rPr>
        <w:t xml:space="preserve">Acta administrativa firmada por el comité, que avale la aceptación del comodato; </w:t>
      </w:r>
    </w:p>
    <w:p w14:paraId="51F877A0" w14:textId="77777777" w:rsidR="00CB345C" w:rsidRPr="004E04DB" w:rsidRDefault="00CB345C" w:rsidP="006941D2">
      <w:pPr>
        <w:pStyle w:val="Prrafodelista"/>
        <w:numPr>
          <w:ilvl w:val="0"/>
          <w:numId w:val="29"/>
        </w:numPr>
        <w:spacing w:after="0" w:line="276" w:lineRule="auto"/>
        <w:ind w:left="567" w:right="709" w:hanging="141"/>
        <w:contextualSpacing w:val="0"/>
        <w:jc w:val="both"/>
        <w:rPr>
          <w:rFonts w:ascii="Palatino Linotype" w:hAnsi="Palatino Linotype" w:cs="Arial"/>
          <w:i/>
        </w:rPr>
      </w:pPr>
      <w:r w:rsidRPr="004E04DB">
        <w:rPr>
          <w:rFonts w:ascii="Palatino Linotype" w:hAnsi="Palatino Linotype" w:cs="Arial"/>
          <w:i/>
        </w:rPr>
        <w:t xml:space="preserve">Acta administrativa en la que se hará constar la transferencia del bien, así como las características y datos de identificación, levantada por el titular del órgano de control interno; </w:t>
      </w:r>
    </w:p>
    <w:p w14:paraId="44121D47" w14:textId="77777777" w:rsidR="00CB345C" w:rsidRPr="004E04DB" w:rsidRDefault="00CB345C" w:rsidP="006941D2">
      <w:pPr>
        <w:pStyle w:val="Prrafodelista"/>
        <w:numPr>
          <w:ilvl w:val="0"/>
          <w:numId w:val="29"/>
        </w:numPr>
        <w:spacing w:after="0" w:line="276" w:lineRule="auto"/>
        <w:ind w:left="567" w:right="709" w:hanging="283"/>
        <w:contextualSpacing w:val="0"/>
        <w:jc w:val="both"/>
        <w:rPr>
          <w:rFonts w:ascii="Palatino Linotype" w:hAnsi="Palatino Linotype" w:cs="Arial"/>
          <w:i/>
        </w:rPr>
      </w:pPr>
      <w:r w:rsidRPr="004E04DB">
        <w:rPr>
          <w:rFonts w:ascii="Palatino Linotype" w:hAnsi="Palatino Linotype" w:cs="Arial"/>
          <w:i/>
        </w:rPr>
        <w:t xml:space="preserve">Informe del titular de la unidad administrativa al secretario del ayuntamiento para que éste lleve a cabo la actualización del resguardo de los bienes y del inventario; y </w:t>
      </w:r>
    </w:p>
    <w:p w14:paraId="05F9F2B4" w14:textId="77777777" w:rsidR="00CB345C" w:rsidRPr="004E04DB" w:rsidRDefault="00CB345C" w:rsidP="006941D2">
      <w:pPr>
        <w:pStyle w:val="Prrafodelista"/>
        <w:numPr>
          <w:ilvl w:val="0"/>
          <w:numId w:val="29"/>
        </w:numPr>
        <w:spacing w:after="0" w:line="276" w:lineRule="auto"/>
        <w:ind w:left="567" w:right="709" w:hanging="283"/>
        <w:contextualSpacing w:val="0"/>
        <w:jc w:val="both"/>
        <w:rPr>
          <w:rFonts w:ascii="Palatino Linotype" w:hAnsi="Palatino Linotype" w:cs="Arial"/>
          <w:i/>
        </w:rPr>
      </w:pPr>
      <w:r w:rsidRPr="004E04DB">
        <w:rPr>
          <w:rFonts w:ascii="Palatino Linotype" w:hAnsi="Palatino Linotype" w:cs="Arial"/>
          <w:i/>
        </w:rPr>
        <w:t>Registro en el inventario y en el libro especial.”</w:t>
      </w:r>
    </w:p>
    <w:p w14:paraId="60E0A8EC" w14:textId="77777777" w:rsidR="00CB345C" w:rsidRPr="004E04DB" w:rsidRDefault="00CB345C" w:rsidP="00577A99">
      <w:pPr>
        <w:spacing w:after="0" w:line="360" w:lineRule="auto"/>
        <w:ind w:left="851" w:right="1183"/>
        <w:jc w:val="both"/>
        <w:rPr>
          <w:rFonts w:ascii="Palatino Linotype" w:hAnsi="Palatino Linotype"/>
          <w:i/>
          <w:sz w:val="24"/>
          <w:szCs w:val="24"/>
        </w:rPr>
      </w:pPr>
    </w:p>
    <w:p w14:paraId="0C3F1ECE" w14:textId="606D842D" w:rsidR="00CB345C" w:rsidRPr="004E04DB" w:rsidRDefault="00CB345C" w:rsidP="006941D2">
      <w:pPr>
        <w:spacing w:after="0" w:line="360" w:lineRule="auto"/>
        <w:ind w:right="49"/>
        <w:jc w:val="both"/>
        <w:rPr>
          <w:rFonts w:ascii="Palatino Linotype" w:hAnsi="Palatino Linotype"/>
          <w:sz w:val="24"/>
          <w:szCs w:val="24"/>
        </w:rPr>
      </w:pPr>
      <w:r w:rsidRPr="004E04DB">
        <w:rPr>
          <w:rFonts w:ascii="Palatino Linotype" w:hAnsi="Palatino Linotype"/>
          <w:sz w:val="24"/>
          <w:szCs w:val="24"/>
        </w:rPr>
        <w:t xml:space="preserve">Por lo antes señalado, es importante destacar que el </w:t>
      </w:r>
      <w:r w:rsidRPr="004E04DB">
        <w:rPr>
          <w:rFonts w:ascii="Palatino Linotype" w:hAnsi="Palatino Linotype"/>
          <w:b/>
          <w:sz w:val="24"/>
          <w:szCs w:val="24"/>
        </w:rPr>
        <w:t>Sujeto Obligado</w:t>
      </w:r>
      <w:r w:rsidRPr="004E04DB">
        <w:rPr>
          <w:rFonts w:ascii="Palatino Linotype" w:hAnsi="Palatino Linotype"/>
          <w:sz w:val="24"/>
          <w:szCs w:val="24"/>
        </w:rPr>
        <w:t xml:space="preserve"> forma parte de las entidades fiscalizables como municipio, el cual tiene como función, </w:t>
      </w:r>
      <w:r w:rsidRPr="004E04DB">
        <w:rPr>
          <w:rFonts w:ascii="Palatino Linotype" w:hAnsi="Palatino Linotype"/>
          <w:b/>
          <w:sz w:val="24"/>
          <w:szCs w:val="24"/>
        </w:rPr>
        <w:t>realizar el inventario de bienes y registrar la baja de los bienes muebles</w:t>
      </w:r>
      <w:r w:rsidRPr="004E04DB">
        <w:rPr>
          <w:rFonts w:ascii="Palatino Linotype" w:hAnsi="Palatino Linotype"/>
          <w:sz w:val="24"/>
          <w:szCs w:val="24"/>
        </w:rPr>
        <w:t xml:space="preserve">, tal y como lo prevén los numerales Vigésimo, Vigésimo Primero,  Vigésimo Segundo, Vigésimo Séptimo, Vigésimo Octavo y Vigésimo Noveno de los Lineamientos </w:t>
      </w:r>
      <w:r w:rsidRPr="004E04DB">
        <w:rPr>
          <w:rFonts w:ascii="Palatino Linotype" w:hAnsi="Palatino Linotype" w:cs="Arial"/>
          <w:sz w:val="24"/>
          <w:szCs w:val="24"/>
        </w:rPr>
        <w:t>para el Registro y Control del Inventario y la Conciliación y Desincorporación de Bienes Muebles e Inmuebles para las Entidades Fiscalizables Municipales del Estado de México, en los que se destaca:</w:t>
      </w:r>
    </w:p>
    <w:p w14:paraId="64749134" w14:textId="77777777" w:rsidR="006941D2" w:rsidRPr="004E04DB" w:rsidRDefault="006941D2" w:rsidP="006941D2">
      <w:pPr>
        <w:spacing w:after="0" w:line="360" w:lineRule="auto"/>
        <w:ind w:right="49"/>
        <w:jc w:val="both"/>
        <w:rPr>
          <w:rFonts w:ascii="Palatino Linotype" w:hAnsi="Palatino Linotype"/>
          <w:sz w:val="24"/>
          <w:szCs w:val="24"/>
        </w:rPr>
      </w:pPr>
    </w:p>
    <w:p w14:paraId="0D3E84DB" w14:textId="5B896115" w:rsidR="00CB345C" w:rsidRPr="004E04DB" w:rsidRDefault="00CB345C" w:rsidP="006941D2">
      <w:pPr>
        <w:spacing w:after="0" w:line="276" w:lineRule="auto"/>
        <w:ind w:left="567" w:right="843"/>
        <w:jc w:val="both"/>
        <w:rPr>
          <w:rFonts w:ascii="Palatino Linotype" w:hAnsi="Palatino Linotype"/>
          <w:i/>
        </w:rPr>
      </w:pPr>
      <w:r w:rsidRPr="004E04DB">
        <w:rPr>
          <w:rFonts w:ascii="Palatino Linotype" w:hAnsi="Palatino Linotype"/>
          <w:b/>
          <w:i/>
        </w:rPr>
        <w:t>“VIGÉSIMO:</w:t>
      </w:r>
      <w:r w:rsidRPr="004E04DB">
        <w:rPr>
          <w:rFonts w:ascii="Palatino Linotype" w:hAnsi="Palatino Linotype"/>
          <w:i/>
        </w:rPr>
        <w:t xml:space="preserve"> El </w:t>
      </w:r>
      <w:r w:rsidRPr="004E04DB">
        <w:rPr>
          <w:rFonts w:ascii="Palatino Linotype" w:hAnsi="Palatino Linotype"/>
          <w:b/>
          <w:bCs/>
          <w:i/>
          <w:u w:val="single"/>
        </w:rPr>
        <w:t>inventario general de bienes muebles,</w:t>
      </w:r>
      <w:r w:rsidRPr="004E04DB">
        <w:rPr>
          <w:rFonts w:ascii="Palatino Linotype" w:hAnsi="Palatino Linotype"/>
          <w:i/>
        </w:rPr>
        <w:t xml:space="preserve"> es el </w:t>
      </w:r>
      <w:r w:rsidRPr="004E04DB">
        <w:rPr>
          <w:rFonts w:ascii="Palatino Linotype" w:hAnsi="Palatino Linotype"/>
          <w:b/>
          <w:i/>
          <w:u w:val="single"/>
        </w:rPr>
        <w:t>documento en el que están registrados los bienes muebles con los que cuentan las entidades fiscalizables</w:t>
      </w:r>
      <w:r w:rsidRPr="004E04DB">
        <w:rPr>
          <w:rFonts w:ascii="Palatino Linotype" w:hAnsi="Palatino Linotype"/>
          <w:i/>
        </w:rPr>
        <w:t xml:space="preserve">, conteniendo sus características de identificación, tales como: nombre, número de inventario, marca, modelo, serie, uso, número de factura, </w:t>
      </w:r>
      <w:r w:rsidRPr="004E04DB">
        <w:rPr>
          <w:rFonts w:ascii="Palatino Linotype" w:hAnsi="Palatino Linotype"/>
          <w:b/>
          <w:i/>
          <w:u w:val="single"/>
        </w:rPr>
        <w:t>costo</w:t>
      </w:r>
      <w:r w:rsidRPr="004E04DB">
        <w:rPr>
          <w:rFonts w:ascii="Palatino Linotype" w:hAnsi="Palatino Linotype"/>
          <w:i/>
        </w:rPr>
        <w:t xml:space="preserve">, fecha de adquisición, </w:t>
      </w:r>
      <w:r w:rsidRPr="004E04DB">
        <w:rPr>
          <w:rFonts w:ascii="Palatino Linotype" w:hAnsi="Palatino Linotype"/>
          <w:b/>
          <w:i/>
          <w:u w:val="single"/>
        </w:rPr>
        <w:t>estado de conservación</w:t>
      </w:r>
      <w:r w:rsidRPr="004E04DB">
        <w:rPr>
          <w:rFonts w:ascii="Palatino Linotype" w:hAnsi="Palatino Linotype"/>
          <w:i/>
        </w:rPr>
        <w:t>.</w:t>
      </w:r>
    </w:p>
    <w:p w14:paraId="327B730B" w14:textId="77777777" w:rsidR="00CB345C" w:rsidRPr="004E04DB" w:rsidRDefault="00CB345C" w:rsidP="006941D2">
      <w:pPr>
        <w:spacing w:after="0" w:line="276" w:lineRule="auto"/>
        <w:ind w:left="567" w:right="843"/>
        <w:jc w:val="both"/>
        <w:rPr>
          <w:rFonts w:ascii="Palatino Linotype" w:hAnsi="Palatino Linotype"/>
          <w:i/>
        </w:rPr>
      </w:pPr>
      <w:r w:rsidRPr="004E04DB">
        <w:rPr>
          <w:rFonts w:ascii="Palatino Linotype" w:hAnsi="Palatino Linotype"/>
          <w:i/>
        </w:rPr>
        <w:t xml:space="preserve">Tratándose de adquisiciones de bienes muebles, con un costo igual o mayor a 35 veces el salario mínimo general del Distrito Federal, deberán registrarse contablemente como </w:t>
      </w:r>
      <w:r w:rsidRPr="004E04DB">
        <w:rPr>
          <w:rFonts w:ascii="Palatino Linotype" w:hAnsi="Palatino Linotype"/>
          <w:i/>
        </w:rPr>
        <w:lastRenderedPageBreak/>
        <w:t>un aumento en el activo, e incluirse en la cédula de Inventario de Bienes Muebles (Anexo 1).</w:t>
      </w:r>
    </w:p>
    <w:p w14:paraId="44F92A4A" w14:textId="77777777" w:rsidR="00CB345C" w:rsidRPr="004E04DB" w:rsidRDefault="00CB345C" w:rsidP="006941D2">
      <w:pPr>
        <w:spacing w:after="0" w:line="276" w:lineRule="auto"/>
        <w:ind w:left="567" w:right="843"/>
        <w:jc w:val="both"/>
        <w:rPr>
          <w:rFonts w:ascii="Palatino Linotype" w:hAnsi="Palatino Linotype"/>
          <w:i/>
        </w:rPr>
      </w:pPr>
    </w:p>
    <w:p w14:paraId="6FB7908D" w14:textId="42AC0004" w:rsidR="00CB345C" w:rsidRPr="004E04DB" w:rsidRDefault="00CB345C" w:rsidP="006941D2">
      <w:pPr>
        <w:spacing w:after="0" w:line="276" w:lineRule="auto"/>
        <w:ind w:left="567" w:right="843"/>
        <w:jc w:val="both"/>
        <w:rPr>
          <w:rFonts w:ascii="Palatino Linotype" w:hAnsi="Palatino Linotype"/>
          <w:i/>
        </w:rPr>
      </w:pPr>
      <w:r w:rsidRPr="004E04DB">
        <w:rPr>
          <w:rFonts w:ascii="Palatino Linotype" w:hAnsi="Palatino Linotype"/>
          <w:i/>
        </w:rPr>
        <w:t>Aquellos con un costo inferior a 35 y mayor a 17 veces el salario mínimo general del Distrito Federal, se registran como un gasto y se incluyen en la cédula de Inventario de Bienes Muebles de Bajo Costo (Anexo 2).</w:t>
      </w:r>
    </w:p>
    <w:p w14:paraId="33B6B5E6" w14:textId="0BDD44FB" w:rsidR="00CB345C" w:rsidRPr="004E04DB" w:rsidRDefault="00CB345C" w:rsidP="006941D2">
      <w:pPr>
        <w:spacing w:after="0" w:line="276" w:lineRule="auto"/>
        <w:ind w:left="567" w:right="843"/>
        <w:jc w:val="both"/>
        <w:rPr>
          <w:rFonts w:ascii="Palatino Linotype" w:hAnsi="Palatino Linotype"/>
          <w:i/>
        </w:rPr>
      </w:pPr>
      <w:r w:rsidRPr="004E04DB">
        <w:rPr>
          <w:rFonts w:ascii="Palatino Linotype" w:hAnsi="Palatino Linotype"/>
          <w:b/>
          <w:i/>
        </w:rPr>
        <w:t>VIGÉSIMO PRIMERO:</w:t>
      </w:r>
      <w:r w:rsidRPr="004E04DB">
        <w:rPr>
          <w:rFonts w:ascii="Palatino Linotype" w:hAnsi="Palatino Linotype"/>
          <w:i/>
        </w:rPr>
        <w:t xml:space="preserve"> El </w:t>
      </w:r>
      <w:r w:rsidRPr="004E04DB">
        <w:rPr>
          <w:rFonts w:ascii="Palatino Linotype" w:hAnsi="Palatino Linotype"/>
          <w:b/>
          <w:i/>
        </w:rPr>
        <w:t>responsable de elaborar el inventario general de bienes en el municipio, es el secretario con la intervención del síndico y la participación del titular del órgano de control interno</w:t>
      </w:r>
      <w:r w:rsidRPr="004E04DB">
        <w:rPr>
          <w:rFonts w:ascii="Palatino Linotype" w:hAnsi="Palatino Linotype"/>
          <w:i/>
        </w:rPr>
        <w:t>, quienes previamente realizarán una revisión física de todos los bienes, al concluirlo deberán asentar sus firmas junto con la del presidente y tesorero, la elaboración de este inventario se realizará dos veces al año, el primero a más tardar el último día hábil del mes de junio, el segundo el último día hábil del mes de diciembre.</w:t>
      </w:r>
    </w:p>
    <w:p w14:paraId="074E2210" w14:textId="5B69FB5F" w:rsidR="00CB345C" w:rsidRPr="004E04DB" w:rsidRDefault="00CB345C" w:rsidP="006941D2">
      <w:pPr>
        <w:spacing w:after="0" w:line="276" w:lineRule="auto"/>
        <w:ind w:left="567" w:right="843"/>
        <w:jc w:val="both"/>
        <w:rPr>
          <w:rFonts w:ascii="Palatino Linotype" w:hAnsi="Palatino Linotype"/>
          <w:i/>
        </w:rPr>
      </w:pPr>
      <w:r w:rsidRPr="004E04DB">
        <w:rPr>
          <w:rFonts w:ascii="Palatino Linotype" w:hAnsi="Palatino Linotype"/>
          <w:i/>
        </w:rPr>
        <w:t>En los organismos públicos descentralizados y fideicomisos públicos de carácter municipal, el responsable de elaborar el inventario general de bienes muebles corresponde al director general o su equivalente, conjuntamente con el comisario y el órgano de control interno, debiendo firmarlo simultáneamente el tesorero.</w:t>
      </w:r>
    </w:p>
    <w:p w14:paraId="74A6079B" w14:textId="7E8F405E" w:rsidR="00CB345C" w:rsidRPr="004E04DB" w:rsidRDefault="00CB345C" w:rsidP="006941D2">
      <w:pPr>
        <w:spacing w:after="0" w:line="276" w:lineRule="auto"/>
        <w:ind w:left="567" w:right="843"/>
        <w:jc w:val="both"/>
        <w:rPr>
          <w:rFonts w:ascii="Palatino Linotype" w:hAnsi="Palatino Linotype"/>
          <w:i/>
        </w:rPr>
      </w:pPr>
      <w:r w:rsidRPr="004E04DB">
        <w:rPr>
          <w:rFonts w:ascii="Palatino Linotype" w:hAnsi="Palatino Linotype"/>
          <w:b/>
          <w:i/>
        </w:rPr>
        <w:t>VIGÉSIMO SEGUNDO:</w:t>
      </w:r>
      <w:r w:rsidRPr="004E04DB">
        <w:rPr>
          <w:rFonts w:ascii="Palatino Linotype" w:hAnsi="Palatino Linotype"/>
          <w:i/>
        </w:rPr>
        <w:t xml:space="preserve"> </w:t>
      </w:r>
      <w:r w:rsidRPr="004E04DB">
        <w:rPr>
          <w:rFonts w:ascii="Palatino Linotype" w:hAnsi="Palatino Linotype"/>
          <w:b/>
          <w:i/>
        </w:rPr>
        <w:t>Las entidades fiscalizables,</w:t>
      </w:r>
      <w:r w:rsidRPr="004E04DB">
        <w:rPr>
          <w:rFonts w:ascii="Palatino Linotype" w:hAnsi="Palatino Linotype"/>
          <w:i/>
        </w:rPr>
        <w:t xml:space="preserve"> </w:t>
      </w:r>
      <w:r w:rsidRPr="004E04DB">
        <w:rPr>
          <w:rFonts w:ascii="Palatino Linotype" w:hAnsi="Palatino Linotype"/>
          <w:b/>
          <w:i/>
        </w:rPr>
        <w:t>registrarán los movimientos de alta o baja de sus activos efectuados en el mes y los reflejarán en el informe mensual que es presentado al Órgano Superior, a través del formato "Inventario de Bienes Muebles".</w:t>
      </w:r>
      <w:r w:rsidRPr="004E04DB">
        <w:rPr>
          <w:rFonts w:ascii="Palatino Linotype" w:hAnsi="Palatino Linotype"/>
          <w:i/>
        </w:rPr>
        <w:t xml:space="preserve"> En los meses de junio y diciembre presentarán el resultado del levantamiento físico de inventario, así como la integración de sus saldos. Dicha información deberá integrarse en el disco número 2 del citado informe mensual.</w:t>
      </w:r>
    </w:p>
    <w:p w14:paraId="3A3E0668" w14:textId="58A5603D" w:rsidR="00CB345C" w:rsidRPr="004E04DB" w:rsidRDefault="00CB345C" w:rsidP="006941D2">
      <w:pPr>
        <w:spacing w:after="0" w:line="276" w:lineRule="auto"/>
        <w:ind w:left="567" w:right="843"/>
        <w:jc w:val="both"/>
        <w:rPr>
          <w:rFonts w:ascii="Palatino Linotype" w:hAnsi="Palatino Linotype"/>
          <w:i/>
        </w:rPr>
      </w:pPr>
      <w:r w:rsidRPr="004E04DB">
        <w:rPr>
          <w:rFonts w:ascii="Palatino Linotype" w:hAnsi="Palatino Linotype"/>
          <w:i/>
        </w:rPr>
        <w:t xml:space="preserve">VIGÉSIMO SÉPTIMO: </w:t>
      </w:r>
      <w:r w:rsidRPr="004E04DB">
        <w:rPr>
          <w:rFonts w:ascii="Palatino Linotype" w:hAnsi="Palatino Linotype"/>
          <w:b/>
          <w:i/>
        </w:rPr>
        <w:t>El inventario general de bienes, es el documento en donde se registran todos los bienes inmuebles propiedad la entidad fiscalizable, el cual deberá contener todas las características de identificación, tales como: nombre, zona, ubicación, medidas y colindancias, tipo de inmueble, superficie construida, uso, medio de adquisición, situación legal, valor y todos los demás datos que se solicitan en la cédula.</w:t>
      </w:r>
      <w:r w:rsidRPr="004E04DB">
        <w:rPr>
          <w:rFonts w:ascii="Palatino Linotype" w:hAnsi="Palatino Linotype"/>
          <w:i/>
        </w:rPr>
        <w:t xml:space="preserve"> (Anexo 3). </w:t>
      </w:r>
    </w:p>
    <w:p w14:paraId="78889959" w14:textId="77777777" w:rsidR="00CB345C" w:rsidRPr="004E04DB" w:rsidRDefault="00CB345C" w:rsidP="006941D2">
      <w:pPr>
        <w:spacing w:after="0" w:line="276" w:lineRule="auto"/>
        <w:ind w:left="567" w:right="843"/>
        <w:jc w:val="both"/>
        <w:rPr>
          <w:rFonts w:ascii="Palatino Linotype" w:hAnsi="Palatino Linotype"/>
          <w:i/>
        </w:rPr>
      </w:pPr>
      <w:r w:rsidRPr="004E04DB">
        <w:rPr>
          <w:rFonts w:ascii="Palatino Linotype" w:hAnsi="Palatino Linotype"/>
          <w:i/>
        </w:rPr>
        <w:t xml:space="preserve">VIGÉSIMO OCTAVO: </w:t>
      </w:r>
      <w:r w:rsidRPr="004E04DB">
        <w:rPr>
          <w:rFonts w:ascii="Palatino Linotype" w:hAnsi="Palatino Linotype"/>
          <w:b/>
          <w:i/>
        </w:rPr>
        <w:t>El responsable de la elaboración del inventario general de bienes inmuebles municipales, es el secretario, con la intervención del síndico</w:t>
      </w:r>
      <w:r w:rsidRPr="004E04DB">
        <w:rPr>
          <w:rFonts w:ascii="Palatino Linotype" w:hAnsi="Palatino Linotype"/>
          <w:i/>
        </w:rPr>
        <w:t xml:space="preserve">, y la participación del contralor interno, </w:t>
      </w:r>
      <w:r w:rsidRPr="004E04DB">
        <w:rPr>
          <w:rFonts w:ascii="Palatino Linotype" w:hAnsi="Palatino Linotype"/>
          <w:b/>
          <w:i/>
        </w:rPr>
        <w:t xml:space="preserve">previamente realizarán una </w:t>
      </w:r>
      <w:r w:rsidRPr="004E04DB">
        <w:rPr>
          <w:rFonts w:ascii="Palatino Linotype" w:hAnsi="Palatino Linotype"/>
          <w:b/>
          <w:i/>
        </w:rPr>
        <w:lastRenderedPageBreak/>
        <w:t>revisión física de todos los bienes inmuebles; al concluirlo deberán asentar sus firmas junto con la del presidente y tesorero</w:t>
      </w:r>
      <w:r w:rsidRPr="004E04DB">
        <w:rPr>
          <w:rFonts w:ascii="Palatino Linotype" w:hAnsi="Palatino Linotype"/>
          <w:i/>
        </w:rPr>
        <w:t>.</w:t>
      </w:r>
    </w:p>
    <w:p w14:paraId="2B6FD5CF" w14:textId="10D5F51F" w:rsidR="00CB345C" w:rsidRPr="004E04DB" w:rsidRDefault="00CB345C" w:rsidP="006941D2">
      <w:pPr>
        <w:spacing w:after="0" w:line="276" w:lineRule="auto"/>
        <w:ind w:left="567" w:right="843"/>
        <w:jc w:val="both"/>
        <w:rPr>
          <w:rFonts w:ascii="Palatino Linotype" w:hAnsi="Palatino Linotype"/>
          <w:i/>
        </w:rPr>
      </w:pPr>
      <w:r w:rsidRPr="004E04DB">
        <w:rPr>
          <w:rFonts w:ascii="Palatino Linotype" w:hAnsi="Palatino Linotype"/>
          <w:i/>
        </w:rPr>
        <w:t xml:space="preserve">VIGÉSIMO NOVENO: </w:t>
      </w:r>
      <w:r w:rsidRPr="004E04DB">
        <w:rPr>
          <w:rFonts w:ascii="Palatino Linotype" w:hAnsi="Palatino Linotype"/>
          <w:b/>
          <w:i/>
        </w:rPr>
        <w:t>La elaboración de este inventario se realizará dos veces al año</w:t>
      </w:r>
      <w:r w:rsidRPr="004E04DB">
        <w:rPr>
          <w:rFonts w:ascii="Palatino Linotype" w:hAnsi="Palatino Linotype"/>
          <w:i/>
        </w:rPr>
        <w:t>, y su aprobación por su órgano máximo de gobierno deberá ser, el primero a más tardar el último día hábil del mes de junio, el segundo el último día hábil del mes de diciembre.”</w:t>
      </w:r>
    </w:p>
    <w:p w14:paraId="7B296832" w14:textId="77777777" w:rsidR="006941D2" w:rsidRPr="004E04DB" w:rsidRDefault="006941D2" w:rsidP="006941D2">
      <w:pPr>
        <w:spacing w:after="0" w:line="276" w:lineRule="auto"/>
        <w:ind w:left="567" w:right="843"/>
        <w:jc w:val="both"/>
        <w:rPr>
          <w:rFonts w:ascii="Palatino Linotype" w:hAnsi="Palatino Linotype"/>
          <w:i/>
        </w:rPr>
      </w:pPr>
    </w:p>
    <w:p w14:paraId="6E26E9B8" w14:textId="4BE21775" w:rsidR="00CB345C" w:rsidRPr="004E04DB" w:rsidRDefault="00CB345C" w:rsidP="00897CAB">
      <w:pPr>
        <w:spacing w:after="0" w:line="360" w:lineRule="auto"/>
        <w:jc w:val="both"/>
        <w:rPr>
          <w:rFonts w:ascii="Palatino Linotype" w:hAnsi="Palatino Linotype"/>
          <w:sz w:val="24"/>
          <w:szCs w:val="24"/>
        </w:rPr>
      </w:pPr>
      <w:r w:rsidRPr="004E04DB">
        <w:rPr>
          <w:rFonts w:ascii="Palatino Linotype" w:hAnsi="Palatino Linotype"/>
          <w:sz w:val="24"/>
          <w:szCs w:val="24"/>
        </w:rPr>
        <w:t xml:space="preserve">De lo anteriormente expuesto, se tiene que </w:t>
      </w:r>
      <w:proofErr w:type="spellStart"/>
      <w:r w:rsidRPr="004E04DB">
        <w:rPr>
          <w:rFonts w:ascii="Palatino Linotype" w:hAnsi="Palatino Linotype"/>
          <w:sz w:val="24"/>
          <w:szCs w:val="24"/>
        </w:rPr>
        <w:t>corresponde</w:t>
      </w:r>
      <w:proofErr w:type="spellEnd"/>
      <w:r w:rsidRPr="004E04DB">
        <w:rPr>
          <w:rFonts w:ascii="Palatino Linotype" w:hAnsi="Palatino Linotype"/>
          <w:sz w:val="24"/>
          <w:szCs w:val="24"/>
        </w:rPr>
        <w:t xml:space="preserve"> al </w:t>
      </w:r>
      <w:r w:rsidRPr="004E04DB">
        <w:rPr>
          <w:rFonts w:ascii="Palatino Linotype" w:hAnsi="Palatino Linotype"/>
          <w:b/>
          <w:sz w:val="24"/>
          <w:szCs w:val="24"/>
        </w:rPr>
        <w:t>Sujeto Obligado</w:t>
      </w:r>
      <w:r w:rsidRPr="004E04DB">
        <w:rPr>
          <w:rFonts w:ascii="Palatino Linotype" w:hAnsi="Palatino Linotype"/>
          <w:sz w:val="24"/>
          <w:szCs w:val="24"/>
        </w:rPr>
        <w:t xml:space="preserve"> elaborar el </w:t>
      </w:r>
      <w:r w:rsidRPr="004E04DB">
        <w:rPr>
          <w:rFonts w:ascii="Palatino Linotype" w:hAnsi="Palatino Linotype"/>
          <w:b/>
          <w:sz w:val="24"/>
          <w:szCs w:val="24"/>
        </w:rPr>
        <w:t>Inventario de Bienes Muebles e Inmuebles</w:t>
      </w:r>
      <w:r w:rsidRPr="004E04DB">
        <w:rPr>
          <w:rFonts w:ascii="Palatino Linotype" w:hAnsi="Palatino Linotype"/>
          <w:sz w:val="24"/>
          <w:szCs w:val="24"/>
        </w:rPr>
        <w:t xml:space="preserve"> en el municipio,</w:t>
      </w:r>
      <w:r w:rsidR="00897CAB" w:rsidRPr="004E04DB">
        <w:rPr>
          <w:rFonts w:ascii="Palatino Linotype" w:hAnsi="Palatino Linotype"/>
          <w:sz w:val="24"/>
          <w:szCs w:val="24"/>
        </w:rPr>
        <w:t xml:space="preserve"> el cual contendrá diversa información como el valor, características de identificación, uso o situación legal de los mismos</w:t>
      </w:r>
      <w:r w:rsidR="002969CC" w:rsidRPr="004E04DB">
        <w:rPr>
          <w:rFonts w:ascii="Palatino Linotype" w:hAnsi="Palatino Linotype"/>
          <w:sz w:val="24"/>
          <w:szCs w:val="24"/>
        </w:rPr>
        <w:t xml:space="preserve">, información  que es de interés de la parte Recurrente. </w:t>
      </w:r>
    </w:p>
    <w:p w14:paraId="66A8419B" w14:textId="77777777" w:rsidR="00897CAB" w:rsidRPr="004E04DB" w:rsidRDefault="00897CAB" w:rsidP="00577A99">
      <w:pPr>
        <w:spacing w:after="0" w:line="360" w:lineRule="auto"/>
        <w:jc w:val="both"/>
        <w:rPr>
          <w:rFonts w:ascii="Palatino Linotype" w:hAnsi="Palatino Linotype" w:cs="Arial"/>
          <w:sz w:val="24"/>
          <w:szCs w:val="24"/>
        </w:rPr>
      </w:pPr>
    </w:p>
    <w:p w14:paraId="3CBA048C" w14:textId="41AD8723" w:rsidR="00897CAB" w:rsidRPr="004E04DB" w:rsidRDefault="00897CAB" w:rsidP="00577A99">
      <w:pPr>
        <w:spacing w:after="0" w:line="360" w:lineRule="auto"/>
        <w:jc w:val="both"/>
        <w:rPr>
          <w:rFonts w:ascii="Palatino Linotype" w:hAnsi="Palatino Linotype" w:cs="Arial"/>
          <w:bCs/>
          <w:sz w:val="24"/>
          <w:szCs w:val="24"/>
        </w:rPr>
      </w:pPr>
      <w:r w:rsidRPr="004E04DB">
        <w:rPr>
          <w:rFonts w:ascii="Palatino Linotype" w:hAnsi="Palatino Linotype" w:cs="Arial"/>
          <w:sz w:val="24"/>
          <w:szCs w:val="24"/>
        </w:rPr>
        <w:t xml:space="preserve">Por otro lado, en lo que corresponde en materia de acceso a la información pública, </w:t>
      </w:r>
      <w:r w:rsidR="00CB345C" w:rsidRPr="004E04DB">
        <w:rPr>
          <w:rFonts w:ascii="Palatino Linotype" w:hAnsi="Palatino Linotype" w:cs="Arial"/>
          <w:bCs/>
          <w:sz w:val="24"/>
          <w:szCs w:val="24"/>
        </w:rPr>
        <w:t xml:space="preserve">la fracción XXXVII, del artículo 92, </w:t>
      </w:r>
      <w:r w:rsidRPr="004E04DB">
        <w:rPr>
          <w:rFonts w:ascii="Palatino Linotype" w:hAnsi="Palatino Linotype" w:cs="Arial"/>
          <w:bCs/>
          <w:sz w:val="24"/>
          <w:szCs w:val="24"/>
        </w:rPr>
        <w:t xml:space="preserve">establece que, los sujetos obligados deberán poner a disposición del público de manera actualizada y permanente diversa información, entre la que se encuentra, el inventario de bienes muebles e inmuebles en posesión y propiedad de los sujetos obligados, tal como se puede apreciar a continuación: </w:t>
      </w:r>
    </w:p>
    <w:p w14:paraId="39262C52" w14:textId="77777777" w:rsidR="00897CAB" w:rsidRPr="004E04DB" w:rsidRDefault="00897CAB" w:rsidP="00577A99">
      <w:pPr>
        <w:spacing w:after="0" w:line="360" w:lineRule="auto"/>
        <w:jc w:val="both"/>
        <w:rPr>
          <w:rFonts w:ascii="Palatino Linotype" w:hAnsi="Palatino Linotype" w:cs="Arial"/>
          <w:bCs/>
          <w:sz w:val="24"/>
          <w:szCs w:val="24"/>
        </w:rPr>
      </w:pPr>
    </w:p>
    <w:p w14:paraId="13992F9D" w14:textId="77777777" w:rsidR="00CB345C" w:rsidRPr="004E04DB" w:rsidRDefault="00CB345C" w:rsidP="00897CAB">
      <w:pPr>
        <w:spacing w:after="0" w:line="276" w:lineRule="auto"/>
        <w:ind w:left="567" w:right="900"/>
        <w:jc w:val="both"/>
        <w:rPr>
          <w:rFonts w:ascii="Palatino Linotype" w:eastAsia="MS Mincho" w:hAnsi="Palatino Linotype" w:cs="Bookman Old Style"/>
          <w:b/>
          <w:i/>
          <w:u w:val="single"/>
        </w:rPr>
      </w:pPr>
      <w:r w:rsidRPr="004E04DB">
        <w:rPr>
          <w:rFonts w:ascii="Palatino Linotype" w:eastAsia="MS Mincho" w:hAnsi="Palatino Linotype" w:cs="Bookman Old Style"/>
          <w:b/>
          <w:bCs/>
          <w:i/>
        </w:rPr>
        <w:t xml:space="preserve">Artículo 92. </w:t>
      </w:r>
      <w:r w:rsidRPr="004E04DB">
        <w:rPr>
          <w:rFonts w:ascii="Palatino Linotype" w:eastAsia="MS Mincho" w:hAnsi="Palatino Linotype" w:cs="Bookman Old Style"/>
          <w:b/>
          <w:i/>
          <w:u w:val="singl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C463E9" w14:textId="77777777" w:rsidR="00CB345C" w:rsidRPr="004E04DB" w:rsidRDefault="00CB345C" w:rsidP="00897CAB">
      <w:pPr>
        <w:spacing w:after="0" w:line="276" w:lineRule="auto"/>
        <w:ind w:left="567" w:right="900"/>
        <w:jc w:val="both"/>
        <w:rPr>
          <w:rFonts w:ascii="Palatino Linotype" w:hAnsi="Palatino Linotype" w:cs="Arial"/>
          <w:bCs/>
          <w:i/>
        </w:rPr>
      </w:pPr>
      <w:r w:rsidRPr="004E04DB">
        <w:rPr>
          <w:rFonts w:ascii="Palatino Linotype" w:eastAsia="MS Mincho" w:hAnsi="Palatino Linotype" w:cs="Bookman Old Style"/>
          <w:b/>
          <w:bCs/>
          <w:i/>
        </w:rPr>
        <w:t>[…</w:t>
      </w:r>
      <w:r w:rsidRPr="004E04DB">
        <w:rPr>
          <w:rFonts w:ascii="Palatino Linotype" w:hAnsi="Palatino Linotype" w:cs="Arial"/>
          <w:bCs/>
          <w:i/>
        </w:rPr>
        <w:t>]</w:t>
      </w:r>
    </w:p>
    <w:p w14:paraId="6739E597" w14:textId="77777777" w:rsidR="00CB345C" w:rsidRPr="004E04DB" w:rsidRDefault="00CB345C" w:rsidP="00897CAB">
      <w:pPr>
        <w:spacing w:after="0" w:line="276" w:lineRule="auto"/>
        <w:ind w:left="567" w:right="900"/>
        <w:jc w:val="both"/>
        <w:rPr>
          <w:rFonts w:ascii="Palatino Linotype" w:eastAsia="MS Mincho" w:hAnsi="Palatino Linotype" w:cs="Bookman Old Style"/>
          <w:b/>
          <w:i/>
          <w:u w:val="single"/>
        </w:rPr>
      </w:pPr>
      <w:r w:rsidRPr="004E04DB">
        <w:rPr>
          <w:rFonts w:ascii="Palatino Linotype" w:eastAsia="MS Mincho" w:hAnsi="Palatino Linotype" w:cs="Bookman Old Style"/>
          <w:b/>
          <w:bCs/>
          <w:i/>
          <w:u w:val="single"/>
        </w:rPr>
        <w:t xml:space="preserve">XXXVIII. </w:t>
      </w:r>
      <w:r w:rsidRPr="004E04DB">
        <w:rPr>
          <w:rFonts w:ascii="Palatino Linotype" w:eastAsia="MS Mincho" w:hAnsi="Palatino Linotype" w:cs="Bookman Old Style"/>
          <w:b/>
          <w:i/>
          <w:u w:val="single"/>
        </w:rPr>
        <w:t>El inventario de bienes muebles</w:t>
      </w:r>
      <w:r w:rsidRPr="004E04DB">
        <w:rPr>
          <w:rFonts w:ascii="Palatino Linotype" w:eastAsia="MS Mincho" w:hAnsi="Palatino Linotype" w:cs="Bookman Old Style"/>
          <w:i/>
        </w:rPr>
        <w:t xml:space="preserve"> e inmuebles </w:t>
      </w:r>
      <w:r w:rsidRPr="004E04DB">
        <w:rPr>
          <w:rFonts w:ascii="Palatino Linotype" w:eastAsia="MS Mincho" w:hAnsi="Palatino Linotype" w:cs="Bookman Old Style"/>
          <w:b/>
          <w:i/>
          <w:u w:val="single"/>
        </w:rPr>
        <w:t xml:space="preserve">en posesión y propiedad; </w:t>
      </w:r>
    </w:p>
    <w:p w14:paraId="3329CD1D" w14:textId="77777777" w:rsidR="00CB345C" w:rsidRPr="004E04DB" w:rsidRDefault="00CB345C" w:rsidP="00897CAB">
      <w:pPr>
        <w:spacing w:after="0" w:line="276" w:lineRule="auto"/>
        <w:ind w:left="567" w:right="900"/>
        <w:jc w:val="both"/>
        <w:rPr>
          <w:rFonts w:ascii="Palatino Linotype" w:eastAsia="MS Mincho" w:hAnsi="Palatino Linotype" w:cs="Bookman Old Style"/>
          <w:b/>
          <w:i/>
        </w:rPr>
      </w:pPr>
      <w:r w:rsidRPr="004E04DB">
        <w:rPr>
          <w:rFonts w:ascii="Palatino Linotype" w:eastAsia="MS Mincho" w:hAnsi="Palatino Linotype" w:cs="Bookman Old Style"/>
          <w:b/>
          <w:i/>
        </w:rPr>
        <w:t>…”</w:t>
      </w:r>
    </w:p>
    <w:p w14:paraId="1EB1B330" w14:textId="77777777" w:rsidR="00897CAB" w:rsidRPr="004E04DB" w:rsidRDefault="00897CAB" w:rsidP="00577A99">
      <w:pPr>
        <w:spacing w:after="0" w:line="360" w:lineRule="auto"/>
        <w:ind w:right="49"/>
        <w:jc w:val="both"/>
        <w:rPr>
          <w:rFonts w:ascii="Palatino Linotype" w:eastAsia="MS Mincho" w:hAnsi="Palatino Linotype" w:cs="Bookman Old Style"/>
          <w:i/>
          <w:sz w:val="24"/>
          <w:szCs w:val="24"/>
        </w:rPr>
      </w:pPr>
    </w:p>
    <w:p w14:paraId="77C940DD" w14:textId="1707BB86" w:rsidR="00CB345C" w:rsidRPr="004E04DB" w:rsidRDefault="00CB345C" w:rsidP="00577A99">
      <w:pPr>
        <w:spacing w:after="0" w:line="360" w:lineRule="auto"/>
        <w:ind w:right="49"/>
        <w:jc w:val="both"/>
        <w:rPr>
          <w:rFonts w:ascii="Palatino Linotype" w:eastAsia="MS Mincho" w:hAnsi="Palatino Linotype" w:cs="Bookman Old Style"/>
          <w:sz w:val="24"/>
          <w:szCs w:val="24"/>
        </w:rPr>
      </w:pPr>
      <w:r w:rsidRPr="004E04DB">
        <w:rPr>
          <w:rFonts w:ascii="Palatino Linotype" w:eastAsia="MS Mincho" w:hAnsi="Palatino Linotype" w:cs="Bookman Old Style"/>
          <w:sz w:val="24"/>
          <w:szCs w:val="24"/>
        </w:rPr>
        <w:lastRenderedPageBreak/>
        <w:t xml:space="preserve">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4E04DB">
        <w:rPr>
          <w:rFonts w:ascii="Palatino Linotype" w:hAnsi="Palatino Linotype" w:cs="Arial"/>
          <w:bCs/>
          <w:sz w:val="24"/>
          <w:szCs w:val="24"/>
        </w:rPr>
        <w:t xml:space="preserve">establecen lo siguiente respecto al inventario de bienes muebles o inmuebles en posesión o propiedad de Sujetos Obligados: </w:t>
      </w:r>
    </w:p>
    <w:p w14:paraId="3DD9F713" w14:textId="77777777" w:rsidR="00897CAB" w:rsidRPr="004E04DB" w:rsidRDefault="00897CAB" w:rsidP="00897CAB">
      <w:pPr>
        <w:spacing w:after="0" w:line="360" w:lineRule="auto"/>
        <w:ind w:left="567" w:right="616"/>
        <w:jc w:val="both"/>
        <w:rPr>
          <w:rFonts w:ascii="Palatino Linotype" w:hAnsi="Palatino Linotype" w:cs="Arial"/>
          <w:b/>
          <w:bCs/>
          <w:i/>
        </w:rPr>
      </w:pPr>
    </w:p>
    <w:p w14:paraId="7ECA6082" w14:textId="2233F20F" w:rsidR="00CB345C" w:rsidRPr="004E04DB" w:rsidRDefault="00CB345C" w:rsidP="00897CAB">
      <w:pPr>
        <w:spacing w:after="0" w:line="276" w:lineRule="auto"/>
        <w:ind w:left="567" w:right="616"/>
        <w:jc w:val="both"/>
        <w:rPr>
          <w:rFonts w:ascii="Palatino Linotype" w:hAnsi="Palatino Linotype" w:cs="Arial"/>
          <w:b/>
          <w:bCs/>
          <w:i/>
        </w:rPr>
      </w:pPr>
      <w:r w:rsidRPr="004E04DB">
        <w:rPr>
          <w:rFonts w:ascii="Palatino Linotype" w:hAnsi="Palatino Linotype" w:cs="Arial"/>
          <w:b/>
          <w:bCs/>
          <w:i/>
        </w:rPr>
        <w:t>“XXXIV. El inventario de bienes muebles e inmuebles en posesión y propiedad</w:t>
      </w:r>
    </w:p>
    <w:p w14:paraId="34E54FBE" w14:textId="77777777" w:rsidR="00CB345C" w:rsidRPr="004E04DB" w:rsidRDefault="00CB345C" w:rsidP="00897CAB">
      <w:pPr>
        <w:spacing w:after="0" w:line="276" w:lineRule="auto"/>
        <w:ind w:left="567" w:right="616"/>
        <w:jc w:val="both"/>
        <w:rPr>
          <w:rFonts w:ascii="Palatino Linotype" w:hAnsi="Palatino Linotype" w:cs="Arial"/>
          <w:bCs/>
          <w:i/>
        </w:rPr>
      </w:pPr>
      <w:r w:rsidRPr="004E04DB">
        <w:rPr>
          <w:rFonts w:ascii="Palatino Linotype" w:hAnsi="Palatino Linotype" w:cs="Arial"/>
          <w:bCs/>
          <w:i/>
        </w:rPr>
        <w:t>Todos los sujetos obligados publicarán el inventario de bienes muebles e inmuebles que utilicen, tengan a su cargo y/o les hayan sido asignados para el ejercicio de sus funciones; que destinen a un servicio público conforme a la normatividad aplicable o por cualquier concepto, tanto si son propiedad del sujeto obligado como que se encuentren en posesión de éstos.</w:t>
      </w:r>
    </w:p>
    <w:p w14:paraId="5C30F0E2" w14:textId="77777777" w:rsidR="00CB345C" w:rsidRPr="004E04DB" w:rsidRDefault="00CB345C" w:rsidP="00897CAB">
      <w:pPr>
        <w:spacing w:after="0" w:line="276" w:lineRule="auto"/>
        <w:ind w:left="567" w:right="616"/>
        <w:jc w:val="both"/>
        <w:rPr>
          <w:rFonts w:ascii="Palatino Linotype" w:hAnsi="Palatino Linotype" w:cs="Arial"/>
          <w:bCs/>
          <w:i/>
        </w:rPr>
      </w:pPr>
      <w:r w:rsidRPr="004E04DB">
        <w:rPr>
          <w:rFonts w:ascii="Palatino Linotype" w:hAnsi="Palatino Linotype" w:cs="Arial"/>
          <w:bCs/>
          <w:i/>
        </w:rPr>
        <w:t>Respecto de los bienes muebles se registrará tanto el mobiliario y equipo –incluido el de cómputo– como los vehículos y demás bienes muebles al servicio de los sujetos obligados, de conformidad con la Ley General de Contabilidad Gubernamental.</w:t>
      </w:r>
    </w:p>
    <w:p w14:paraId="5C95E52B" w14:textId="77777777" w:rsidR="00CB345C" w:rsidRPr="004E04DB" w:rsidRDefault="00CB345C" w:rsidP="00897CAB">
      <w:pPr>
        <w:spacing w:after="0" w:line="276" w:lineRule="auto"/>
        <w:ind w:left="567" w:right="616"/>
        <w:jc w:val="both"/>
        <w:rPr>
          <w:rFonts w:ascii="Palatino Linotype" w:hAnsi="Palatino Linotype" w:cs="Arial"/>
          <w:bCs/>
          <w:i/>
        </w:rPr>
      </w:pPr>
      <w:r w:rsidRPr="004E04DB">
        <w:rPr>
          <w:rFonts w:ascii="Palatino Linotype" w:hAnsi="Palatino Linotype" w:cs="Arial"/>
          <w:bCs/>
          <w:i/>
        </w:rPr>
        <w:t>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w:t>
      </w:r>
    </w:p>
    <w:p w14:paraId="7D857F01" w14:textId="77777777" w:rsidR="00CB345C" w:rsidRPr="004E04DB" w:rsidRDefault="00CB345C" w:rsidP="00897CAB">
      <w:pPr>
        <w:spacing w:after="0" w:line="276" w:lineRule="auto"/>
        <w:ind w:left="567" w:right="616"/>
        <w:jc w:val="both"/>
        <w:rPr>
          <w:rFonts w:ascii="Palatino Linotype" w:hAnsi="Palatino Linotype" w:cs="Arial"/>
          <w:bCs/>
          <w:i/>
        </w:rPr>
      </w:pPr>
      <w:r w:rsidRPr="004E04DB">
        <w:rPr>
          <w:rFonts w:ascii="Palatino Linotype" w:hAnsi="Palatino Linotype" w:cs="Arial"/>
          <w:bCs/>
          <w:i/>
        </w:rPr>
        <w:t>Asimismo, el inventario contará con algunos de los elementos establecidos en el Acuerdo por el cual se emiten las Normas y Procedimientos para la Integración y Actualización del Sistema de Información Inmobiliaria</w:t>
      </w:r>
    </w:p>
    <w:p w14:paraId="05664825" w14:textId="77777777" w:rsidR="00CB345C" w:rsidRPr="004E04DB" w:rsidRDefault="00CB345C" w:rsidP="00897CAB">
      <w:pPr>
        <w:spacing w:after="0" w:line="276" w:lineRule="auto"/>
        <w:ind w:left="567" w:right="616"/>
        <w:jc w:val="both"/>
        <w:rPr>
          <w:rFonts w:ascii="Palatino Linotype" w:hAnsi="Palatino Linotype" w:cs="Arial"/>
          <w:bCs/>
          <w:i/>
        </w:rPr>
      </w:pPr>
      <w:r w:rsidRPr="004E04DB">
        <w:rPr>
          <w:rFonts w:ascii="Palatino Linotype" w:hAnsi="Palatino Linotype" w:cs="Arial"/>
          <w:bCs/>
          <w:i/>
        </w:rPr>
        <w:t>Federal y Paraestatal, así como en la Ley General de Contabilidad Gubernamental.</w:t>
      </w:r>
    </w:p>
    <w:p w14:paraId="3FEA73CE" w14:textId="77777777" w:rsidR="00CB345C" w:rsidRPr="004E04DB" w:rsidRDefault="00CB345C" w:rsidP="00897CAB">
      <w:pPr>
        <w:spacing w:after="0" w:line="276" w:lineRule="auto"/>
        <w:ind w:left="567" w:right="900"/>
        <w:jc w:val="both"/>
        <w:rPr>
          <w:rFonts w:ascii="Palatino Linotype" w:hAnsi="Palatino Linotype" w:cs="Arial"/>
          <w:b/>
          <w:bCs/>
          <w:i/>
        </w:rPr>
      </w:pPr>
      <w:r w:rsidRPr="004E04DB">
        <w:rPr>
          <w:rFonts w:ascii="Palatino Linotype" w:hAnsi="Palatino Linotype" w:cs="Arial"/>
          <w:b/>
          <w:bCs/>
          <w:i/>
        </w:rPr>
        <w:t>Periodo de actualización: semestral</w:t>
      </w:r>
    </w:p>
    <w:p w14:paraId="206980CD" w14:textId="77777777" w:rsidR="00CB345C" w:rsidRPr="004E04DB" w:rsidRDefault="00CB345C" w:rsidP="00897CAB">
      <w:pPr>
        <w:spacing w:after="0" w:line="276" w:lineRule="auto"/>
        <w:ind w:left="567" w:right="900"/>
        <w:jc w:val="both"/>
        <w:rPr>
          <w:rFonts w:ascii="Palatino Linotype" w:hAnsi="Palatino Linotype" w:cs="Arial"/>
          <w:b/>
          <w:bCs/>
          <w:i/>
        </w:rPr>
      </w:pPr>
      <w:r w:rsidRPr="004E04DB">
        <w:rPr>
          <w:rFonts w:ascii="Palatino Linotype" w:hAnsi="Palatino Linotype" w:cs="Arial"/>
          <w:b/>
          <w:bCs/>
          <w:i/>
        </w:rPr>
        <w:t>En su caso, 30 días hábiles después de adquirir o dar de baja algún bien</w:t>
      </w:r>
    </w:p>
    <w:p w14:paraId="0A7EFF95" w14:textId="77777777" w:rsidR="00CB345C" w:rsidRPr="004E04DB" w:rsidRDefault="00CB345C" w:rsidP="00897CAB">
      <w:pPr>
        <w:spacing w:after="0" w:line="276" w:lineRule="auto"/>
        <w:ind w:left="567" w:right="900"/>
        <w:jc w:val="both"/>
        <w:rPr>
          <w:rFonts w:ascii="Palatino Linotype" w:hAnsi="Palatino Linotype" w:cs="Arial"/>
          <w:b/>
          <w:bCs/>
          <w:i/>
        </w:rPr>
      </w:pPr>
      <w:r w:rsidRPr="004E04DB">
        <w:rPr>
          <w:rFonts w:ascii="Palatino Linotype" w:hAnsi="Palatino Linotype" w:cs="Arial"/>
          <w:b/>
          <w:bCs/>
          <w:i/>
        </w:rPr>
        <w:lastRenderedPageBreak/>
        <w:t>Conservar en el sitio de Internet: información vigente respecto al inventario de bienes muebles e inmuebles.</w:t>
      </w:r>
    </w:p>
    <w:p w14:paraId="451FB911" w14:textId="77777777" w:rsidR="00CB345C" w:rsidRPr="004E04DB" w:rsidRDefault="00CB345C" w:rsidP="00897CAB">
      <w:pPr>
        <w:spacing w:after="0" w:line="276" w:lineRule="auto"/>
        <w:ind w:left="567" w:right="900"/>
        <w:jc w:val="both"/>
        <w:rPr>
          <w:rFonts w:ascii="Palatino Linotype" w:hAnsi="Palatino Linotype" w:cs="Arial"/>
          <w:b/>
          <w:bCs/>
          <w:i/>
        </w:rPr>
      </w:pPr>
      <w:r w:rsidRPr="004E04DB">
        <w:rPr>
          <w:rFonts w:ascii="Palatino Linotype" w:hAnsi="Palatino Linotype" w:cs="Arial"/>
          <w:b/>
          <w:bCs/>
          <w:i/>
        </w:rPr>
        <w:t>En cuanto al inventario de altas y bajas, así como los bienes muebles e inmuebles donados, se conservará la información vigente y la correspondiente al semestre anterior concluido</w:t>
      </w:r>
    </w:p>
    <w:p w14:paraId="2EA38172" w14:textId="494DD01B" w:rsidR="00897CAB" w:rsidRPr="004E04DB" w:rsidRDefault="00CB345C" w:rsidP="00897CAB">
      <w:pPr>
        <w:spacing w:after="0" w:line="276" w:lineRule="auto"/>
        <w:ind w:left="567" w:right="900"/>
        <w:jc w:val="both"/>
        <w:rPr>
          <w:rFonts w:ascii="Palatino Linotype" w:hAnsi="Palatino Linotype" w:cs="Arial"/>
          <w:b/>
          <w:bCs/>
          <w:i/>
        </w:rPr>
      </w:pPr>
      <w:r w:rsidRPr="004E04DB">
        <w:rPr>
          <w:rFonts w:ascii="Palatino Linotype" w:hAnsi="Palatino Linotype" w:cs="Arial"/>
          <w:b/>
          <w:bCs/>
          <w:i/>
        </w:rPr>
        <w:t>Aplica a: todos los sujetos obligados”</w:t>
      </w:r>
    </w:p>
    <w:p w14:paraId="48AE5E14" w14:textId="77777777" w:rsidR="00411203" w:rsidRPr="004E04DB" w:rsidRDefault="00411203" w:rsidP="00577A99">
      <w:pPr>
        <w:spacing w:after="0" w:line="360" w:lineRule="auto"/>
        <w:jc w:val="both"/>
        <w:rPr>
          <w:rFonts w:ascii="Palatino Linotype" w:eastAsia="Palatino Linotype" w:hAnsi="Palatino Linotype" w:cs="Palatino Linotype"/>
          <w:sz w:val="24"/>
          <w:szCs w:val="24"/>
        </w:rPr>
      </w:pPr>
    </w:p>
    <w:p w14:paraId="31E78A5B" w14:textId="73F9737C" w:rsidR="00897CAB" w:rsidRPr="004E04DB" w:rsidRDefault="00897CAB" w:rsidP="00577A99">
      <w:pPr>
        <w:spacing w:after="0" w:line="360" w:lineRule="auto"/>
        <w:jc w:val="both"/>
        <w:rPr>
          <w:rFonts w:ascii="Palatino Linotype" w:hAnsi="Palatino Linotype" w:cs="Arial"/>
          <w:b/>
          <w:bCs/>
          <w:sz w:val="24"/>
          <w:szCs w:val="24"/>
        </w:rPr>
      </w:pPr>
      <w:r w:rsidRPr="004E04DB">
        <w:rPr>
          <w:rFonts w:ascii="Palatino Linotype" w:eastAsia="Palatino Linotype" w:hAnsi="Palatino Linotype" w:cs="Palatino Linotype"/>
          <w:sz w:val="24"/>
          <w:szCs w:val="24"/>
        </w:rPr>
        <w:t>Dicho lo anterior, en lo que compete al Sujeto Obligado, es necesario recordar que</w:t>
      </w:r>
      <w:r w:rsidR="00133E33" w:rsidRPr="004E04DB">
        <w:rPr>
          <w:rFonts w:ascii="Palatino Linotype" w:eastAsia="Palatino Linotype" w:hAnsi="Palatino Linotype" w:cs="Palatino Linotype"/>
          <w:sz w:val="24"/>
          <w:szCs w:val="24"/>
        </w:rPr>
        <w:t>,</w:t>
      </w:r>
      <w:r w:rsidRPr="004E04DB">
        <w:rPr>
          <w:rFonts w:ascii="Palatino Linotype" w:eastAsia="Palatino Linotype" w:hAnsi="Palatino Linotype" w:cs="Palatino Linotype"/>
          <w:sz w:val="24"/>
          <w:szCs w:val="24"/>
        </w:rPr>
        <w:t xml:space="preserve"> de conformidad con el artículo Vigésimo Primero de los </w:t>
      </w:r>
      <w:r w:rsidRPr="004E04DB">
        <w:rPr>
          <w:rFonts w:ascii="Palatino Linotype" w:hAnsi="Palatino Linotype"/>
          <w:sz w:val="24"/>
          <w:szCs w:val="24"/>
        </w:rPr>
        <w:t xml:space="preserve">Lineamientos </w:t>
      </w:r>
      <w:r w:rsidRPr="004E04DB">
        <w:rPr>
          <w:rFonts w:ascii="Palatino Linotype" w:hAnsi="Palatino Linotype" w:cs="Arial"/>
          <w:sz w:val="24"/>
          <w:szCs w:val="24"/>
        </w:rPr>
        <w:t xml:space="preserve">para el Registro y Control del Inventario y la Conciliación y Desincorporación de Bienes Muebles e Inmuebles </w:t>
      </w:r>
      <w:r w:rsidR="00133E33" w:rsidRPr="004E04DB">
        <w:rPr>
          <w:rFonts w:ascii="Palatino Linotype" w:hAnsi="Palatino Linotype" w:cs="Arial"/>
          <w:sz w:val="24"/>
          <w:szCs w:val="24"/>
        </w:rPr>
        <w:t xml:space="preserve">Estatal, establece que los responsables de elaborar el inventario general de bienes, serán el </w:t>
      </w:r>
      <w:r w:rsidR="00133E33" w:rsidRPr="004E04DB">
        <w:rPr>
          <w:rFonts w:ascii="Palatino Linotype" w:hAnsi="Palatino Linotype" w:cs="Arial"/>
          <w:b/>
          <w:bCs/>
          <w:sz w:val="24"/>
          <w:szCs w:val="24"/>
        </w:rPr>
        <w:t xml:space="preserve">Secretario con intervención del Síndico y la participación del Órgano de Control Interno. </w:t>
      </w:r>
    </w:p>
    <w:p w14:paraId="7DC524ED" w14:textId="77777777" w:rsidR="00133E33" w:rsidRPr="004E04DB" w:rsidRDefault="00133E33" w:rsidP="00577A99">
      <w:pPr>
        <w:spacing w:after="0" w:line="360" w:lineRule="auto"/>
        <w:jc w:val="both"/>
        <w:rPr>
          <w:rFonts w:ascii="Palatino Linotype" w:eastAsia="Palatino Linotype" w:hAnsi="Palatino Linotype" w:cs="Palatino Linotype"/>
          <w:sz w:val="24"/>
          <w:szCs w:val="24"/>
        </w:rPr>
      </w:pPr>
    </w:p>
    <w:p w14:paraId="763A425D" w14:textId="19876D0F" w:rsidR="00897CAB" w:rsidRPr="004E04DB" w:rsidRDefault="00133E33" w:rsidP="00577A99">
      <w:pPr>
        <w:spacing w:after="0" w:line="360" w:lineRule="auto"/>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Por ello, de conformidad con los artículos 7 y 22 del Reglamento Orgánico Municipal de Zinacantepec, se tiene que el Ayuntamiento se integrará por un presidente municipal, un </w:t>
      </w:r>
      <w:proofErr w:type="spellStart"/>
      <w:r w:rsidRPr="004E04DB">
        <w:rPr>
          <w:rFonts w:ascii="Palatino Linotype" w:eastAsia="Palatino Linotype" w:hAnsi="Palatino Linotype" w:cs="Palatino Linotype"/>
          <w:sz w:val="24"/>
          <w:szCs w:val="24"/>
        </w:rPr>
        <w:t>sindico</w:t>
      </w:r>
      <w:proofErr w:type="spellEnd"/>
      <w:r w:rsidRPr="004E04DB">
        <w:rPr>
          <w:rFonts w:ascii="Palatino Linotype" w:eastAsia="Palatino Linotype" w:hAnsi="Palatino Linotype" w:cs="Palatino Linotype"/>
          <w:sz w:val="24"/>
          <w:szCs w:val="24"/>
        </w:rPr>
        <w:t xml:space="preserve"> y cinco regidores, asimismo, el presidente municipal desempeñará sus funciones y atribuciones a través de diversas unidades administrativas, entre las que se encuentra la Contraloría Municipal y la Secretaría del Ayuntamiento, tal como se puede observar a continuación: </w:t>
      </w:r>
    </w:p>
    <w:p w14:paraId="7B6FA8D8" w14:textId="05AD62DB" w:rsidR="00133E33" w:rsidRPr="004E04DB" w:rsidRDefault="00133E33" w:rsidP="00577A99">
      <w:pPr>
        <w:spacing w:after="0" w:line="360" w:lineRule="auto"/>
        <w:jc w:val="both"/>
        <w:rPr>
          <w:rFonts w:ascii="Palatino Linotype" w:eastAsia="Palatino Linotype" w:hAnsi="Palatino Linotype" w:cs="Palatino Linotype"/>
          <w:sz w:val="24"/>
          <w:szCs w:val="24"/>
        </w:rPr>
      </w:pPr>
    </w:p>
    <w:p w14:paraId="36EFD3FB" w14:textId="77777777" w:rsidR="00133E33" w:rsidRPr="004E04DB" w:rsidRDefault="00133E33" w:rsidP="00133E33">
      <w:pPr>
        <w:spacing w:after="0" w:line="276" w:lineRule="auto"/>
        <w:ind w:left="567" w:right="560"/>
        <w:jc w:val="both"/>
        <w:rPr>
          <w:rFonts w:ascii="Palatino Linotype" w:hAnsi="Palatino Linotype"/>
          <w:i/>
          <w:iCs/>
        </w:rPr>
      </w:pPr>
      <w:r w:rsidRPr="004E04DB">
        <w:rPr>
          <w:rFonts w:ascii="Palatino Linotype" w:hAnsi="Palatino Linotype"/>
          <w:b/>
          <w:bCs/>
          <w:i/>
          <w:iCs/>
        </w:rPr>
        <w:t>Artículo 7.</w:t>
      </w:r>
      <w:r w:rsidRPr="004E04DB">
        <w:rPr>
          <w:rFonts w:ascii="Palatino Linotype" w:hAnsi="Palatino Linotype"/>
          <w:i/>
          <w:iCs/>
        </w:rPr>
        <w:t xml:space="preserve"> De acuerdo con lo dispuesto en la Ley Orgánica, el Ayuntamiento de Zinacantepec, Estado de México, se integra por: </w:t>
      </w:r>
    </w:p>
    <w:p w14:paraId="17B082E6" w14:textId="77777777" w:rsidR="00133E33" w:rsidRPr="004E04DB" w:rsidRDefault="00133E33" w:rsidP="00133E33">
      <w:pPr>
        <w:spacing w:after="0" w:line="276" w:lineRule="auto"/>
        <w:ind w:left="567" w:right="560"/>
        <w:jc w:val="both"/>
        <w:rPr>
          <w:rFonts w:ascii="Palatino Linotype" w:hAnsi="Palatino Linotype"/>
          <w:i/>
          <w:iCs/>
        </w:rPr>
      </w:pPr>
      <w:r w:rsidRPr="004E04DB">
        <w:rPr>
          <w:rFonts w:ascii="Palatino Linotype" w:hAnsi="Palatino Linotype"/>
          <w:i/>
          <w:iCs/>
        </w:rPr>
        <w:t xml:space="preserve">I. Un Presidente Municipal. </w:t>
      </w:r>
    </w:p>
    <w:p w14:paraId="642849CF" w14:textId="77777777" w:rsidR="00133E33" w:rsidRPr="004E04DB" w:rsidRDefault="00133E33" w:rsidP="00133E33">
      <w:pPr>
        <w:spacing w:after="0" w:line="276" w:lineRule="auto"/>
        <w:ind w:left="567" w:right="560"/>
        <w:jc w:val="both"/>
        <w:rPr>
          <w:rFonts w:ascii="Palatino Linotype" w:hAnsi="Palatino Linotype"/>
          <w:b/>
          <w:bCs/>
          <w:i/>
          <w:iCs/>
          <w:u w:val="single"/>
        </w:rPr>
      </w:pPr>
      <w:r w:rsidRPr="004E04DB">
        <w:rPr>
          <w:rFonts w:ascii="Palatino Linotype" w:hAnsi="Palatino Linotype"/>
          <w:b/>
          <w:bCs/>
          <w:i/>
          <w:iCs/>
          <w:u w:val="single"/>
        </w:rPr>
        <w:t xml:space="preserve">II. Un Síndico y; </w:t>
      </w:r>
    </w:p>
    <w:p w14:paraId="19FFD374" w14:textId="1D60A474" w:rsidR="00133E33" w:rsidRPr="004E04DB" w:rsidRDefault="00133E33" w:rsidP="005E3DD3">
      <w:pPr>
        <w:spacing w:after="0" w:line="276" w:lineRule="auto"/>
        <w:ind w:left="567" w:right="560"/>
        <w:jc w:val="both"/>
        <w:rPr>
          <w:rFonts w:ascii="Palatino Linotype" w:eastAsia="Palatino Linotype" w:hAnsi="Palatino Linotype" w:cs="Palatino Linotype"/>
          <w:i/>
          <w:iCs/>
          <w:sz w:val="24"/>
          <w:szCs w:val="24"/>
        </w:rPr>
      </w:pPr>
      <w:r w:rsidRPr="004E04DB">
        <w:rPr>
          <w:rFonts w:ascii="Palatino Linotype" w:hAnsi="Palatino Linotype"/>
          <w:i/>
          <w:iCs/>
        </w:rPr>
        <w:t>III. Cinco Regidores por el principio de mayoría relativa y cuatro Regidores por el principio de representación proporcional.</w:t>
      </w:r>
    </w:p>
    <w:p w14:paraId="689ACD26" w14:textId="28DAAF99" w:rsidR="00897CAB" w:rsidRPr="004E04DB" w:rsidRDefault="00133E33" w:rsidP="00133E33">
      <w:pPr>
        <w:spacing w:after="0" w:line="276" w:lineRule="auto"/>
        <w:ind w:left="567"/>
        <w:jc w:val="both"/>
        <w:rPr>
          <w:rFonts w:ascii="Palatino Linotype" w:eastAsia="Palatino Linotype" w:hAnsi="Palatino Linotype" w:cs="Palatino Linotype"/>
          <w:i/>
          <w:iCs/>
          <w:sz w:val="24"/>
          <w:szCs w:val="24"/>
        </w:rPr>
      </w:pPr>
      <w:r w:rsidRPr="004E04DB">
        <w:rPr>
          <w:rFonts w:ascii="Palatino Linotype" w:hAnsi="Palatino Linotype"/>
          <w:b/>
          <w:bCs/>
          <w:i/>
          <w:iCs/>
        </w:rPr>
        <w:lastRenderedPageBreak/>
        <w:t>Artículo 22.</w:t>
      </w:r>
      <w:r w:rsidRPr="004E04DB">
        <w:rPr>
          <w:rFonts w:ascii="Palatino Linotype" w:hAnsi="Palatino Linotype"/>
          <w:i/>
          <w:iCs/>
        </w:rPr>
        <w:t xml:space="preserve"> 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w:t>
      </w:r>
    </w:p>
    <w:p w14:paraId="338C90B4"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I. Unidades Administrativas Centralizadas: </w:t>
      </w:r>
    </w:p>
    <w:p w14:paraId="10280726"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1. Secretaría Particular. </w:t>
      </w:r>
    </w:p>
    <w:p w14:paraId="21C7270C"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2. Secretaría Técnica. </w:t>
      </w:r>
    </w:p>
    <w:p w14:paraId="1D9C4B7A"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3. Unidad de Información, Planeación, Programación y Evaluación. 4. Coordinación General Municipal de Mejora Regulatoria. </w:t>
      </w:r>
    </w:p>
    <w:p w14:paraId="293FD034"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5. Unidad de Transparencia. </w:t>
      </w:r>
    </w:p>
    <w:p w14:paraId="2D2CABA4"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6. Secretaría Técnica del Consejo Municipal de Seguridad Pública. </w:t>
      </w:r>
    </w:p>
    <w:p w14:paraId="31BBFAD5" w14:textId="1BEEA495"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7. Coordinación de Asuntos Intergubernamentales. </w:t>
      </w:r>
    </w:p>
    <w:p w14:paraId="75FA3C77"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8. Coordinación de Asesores. </w:t>
      </w:r>
    </w:p>
    <w:p w14:paraId="0B3DAD2E"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9. Coordinación Municipal de Protección Civil y Bomberos. </w:t>
      </w:r>
    </w:p>
    <w:p w14:paraId="47AEBE35" w14:textId="77777777" w:rsidR="00133E33" w:rsidRPr="004E04DB" w:rsidRDefault="00133E33" w:rsidP="00133E33">
      <w:pPr>
        <w:spacing w:after="0" w:line="276" w:lineRule="auto"/>
        <w:ind w:left="567"/>
        <w:jc w:val="both"/>
        <w:rPr>
          <w:rFonts w:ascii="Palatino Linotype" w:hAnsi="Palatino Linotype"/>
          <w:b/>
          <w:bCs/>
          <w:i/>
          <w:iCs/>
        </w:rPr>
      </w:pPr>
      <w:r w:rsidRPr="004E04DB">
        <w:rPr>
          <w:rFonts w:ascii="Palatino Linotype" w:hAnsi="Palatino Linotype"/>
          <w:b/>
          <w:bCs/>
          <w:i/>
          <w:iCs/>
        </w:rPr>
        <w:t xml:space="preserve">10. Secretaría del Ayuntamiento. </w:t>
      </w:r>
    </w:p>
    <w:p w14:paraId="127BCB70"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11. Tesorería Municipal. </w:t>
      </w:r>
    </w:p>
    <w:p w14:paraId="35EE81A4" w14:textId="77777777" w:rsidR="00133E33" w:rsidRPr="004E04DB" w:rsidRDefault="00133E33" w:rsidP="00133E33">
      <w:pPr>
        <w:spacing w:after="0" w:line="276" w:lineRule="auto"/>
        <w:ind w:left="567"/>
        <w:jc w:val="both"/>
        <w:rPr>
          <w:rFonts w:ascii="Palatino Linotype" w:hAnsi="Palatino Linotype"/>
          <w:b/>
          <w:bCs/>
          <w:i/>
          <w:iCs/>
        </w:rPr>
      </w:pPr>
      <w:r w:rsidRPr="004E04DB">
        <w:rPr>
          <w:rFonts w:ascii="Palatino Linotype" w:hAnsi="Palatino Linotype"/>
          <w:b/>
          <w:bCs/>
          <w:i/>
          <w:iCs/>
        </w:rPr>
        <w:t xml:space="preserve">12. Contraloría Municipal. </w:t>
      </w:r>
    </w:p>
    <w:p w14:paraId="3197A5BA"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13. Dirección de Administración. </w:t>
      </w:r>
    </w:p>
    <w:p w14:paraId="0209094C"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14. Dirección de Obras Públicas. </w:t>
      </w:r>
    </w:p>
    <w:p w14:paraId="2C36CFF2"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15. Dirección de Desarrollo Metropolitano y Movilidad. </w:t>
      </w:r>
    </w:p>
    <w:p w14:paraId="607C23B6"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16. Dirección de Desarrollo Territorial y Urbano. </w:t>
      </w:r>
    </w:p>
    <w:p w14:paraId="762DF2D0"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17. Dirección de Desarrollo Económico. </w:t>
      </w:r>
    </w:p>
    <w:p w14:paraId="4BD377D8"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18. Dirección de Desarrollo Social. </w:t>
      </w:r>
    </w:p>
    <w:p w14:paraId="22CA8316"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19. Dirección de Seguridad Pública y Tránsito. </w:t>
      </w:r>
    </w:p>
    <w:p w14:paraId="6500F767"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20. Dirección de Servicios Públicos. </w:t>
      </w:r>
    </w:p>
    <w:p w14:paraId="798E8D40"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21. Dirección de Medio Ambiente. </w:t>
      </w:r>
    </w:p>
    <w:p w14:paraId="2DC00F87" w14:textId="77777777"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 xml:space="preserve">22. Dirección de Cultura y Turismo. </w:t>
      </w:r>
    </w:p>
    <w:p w14:paraId="7E8B2490" w14:textId="6CCDC9B5" w:rsidR="00133E33" w:rsidRPr="004E04DB" w:rsidRDefault="00133E33" w:rsidP="00133E33">
      <w:pPr>
        <w:spacing w:after="0" w:line="276" w:lineRule="auto"/>
        <w:ind w:left="567"/>
        <w:jc w:val="both"/>
        <w:rPr>
          <w:rFonts w:ascii="Palatino Linotype" w:hAnsi="Palatino Linotype"/>
          <w:i/>
          <w:iCs/>
        </w:rPr>
      </w:pPr>
      <w:r w:rsidRPr="004E04DB">
        <w:rPr>
          <w:rFonts w:ascii="Palatino Linotype" w:hAnsi="Palatino Linotype"/>
          <w:i/>
          <w:iCs/>
        </w:rPr>
        <w:t>23. Dirección de Educación</w:t>
      </w:r>
    </w:p>
    <w:p w14:paraId="6B667D17" w14:textId="55D9BE69" w:rsidR="00133E33" w:rsidRPr="004E04DB" w:rsidRDefault="00133E33" w:rsidP="00577A99">
      <w:pPr>
        <w:spacing w:after="0" w:line="360" w:lineRule="auto"/>
        <w:jc w:val="both"/>
      </w:pPr>
    </w:p>
    <w:p w14:paraId="1D6AA115" w14:textId="40F3C2C7" w:rsidR="00133E33" w:rsidRPr="004E04DB" w:rsidRDefault="00133E33" w:rsidP="00577A99">
      <w:pPr>
        <w:spacing w:after="0" w:line="360" w:lineRule="auto"/>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De lo anterior, se colige que, el Sujeto Obligado cuenta con facultades, atribuciones y competencia para generar, administrar y poseer información relacionada con el </w:t>
      </w:r>
      <w:r w:rsidRPr="004E04DB">
        <w:rPr>
          <w:rFonts w:ascii="Palatino Linotype" w:eastAsia="Palatino Linotype" w:hAnsi="Palatino Linotype" w:cs="Palatino Linotype"/>
          <w:sz w:val="24"/>
          <w:szCs w:val="24"/>
        </w:rPr>
        <w:lastRenderedPageBreak/>
        <w:t xml:space="preserve">inventario general de bienes muebles e inmuebles, aunado a que, este documento es una obligación de transparencia prevista por la Ley en la materia. </w:t>
      </w:r>
    </w:p>
    <w:p w14:paraId="62842801" w14:textId="59065F56" w:rsidR="00133E33" w:rsidRPr="004E04DB" w:rsidRDefault="00133E33" w:rsidP="00577A99">
      <w:pPr>
        <w:spacing w:after="0" w:line="360" w:lineRule="auto"/>
        <w:jc w:val="both"/>
        <w:rPr>
          <w:rFonts w:ascii="Palatino Linotype" w:eastAsia="Palatino Linotype" w:hAnsi="Palatino Linotype" w:cs="Palatino Linotype"/>
          <w:sz w:val="24"/>
          <w:szCs w:val="24"/>
        </w:rPr>
      </w:pPr>
    </w:p>
    <w:p w14:paraId="4FE0D362" w14:textId="7F1A3F7F" w:rsidR="00464D56" w:rsidRPr="004E04DB" w:rsidRDefault="00133E33" w:rsidP="00577A99">
      <w:pPr>
        <w:spacing w:after="0" w:line="360" w:lineRule="auto"/>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En lo que respecta al agravio hecho valer por la parte Recurrente relativo a que no se pueden acceder a las ligas electrónicas remitidas, en principio es de mencionar que se insta al Sujeto Obligado proporcionar la información en formato de datos abiertos con la finalidad de que </w:t>
      </w:r>
      <w:r w:rsidR="00464D56" w:rsidRPr="004E04DB">
        <w:rPr>
          <w:rFonts w:ascii="Palatino Linotype" w:eastAsia="Palatino Linotype" w:hAnsi="Palatino Linotype" w:cs="Palatino Linotype"/>
          <w:sz w:val="24"/>
          <w:szCs w:val="24"/>
        </w:rPr>
        <w:t xml:space="preserve">los solicitantes puedan obtener fácilmente la información de su interés, toda vez que, el remitir una liga electrónica en un formato digitalizado es restrictivo para el derecho de acceso a la información de los particulares. </w:t>
      </w:r>
    </w:p>
    <w:p w14:paraId="21FBEED6" w14:textId="2D02F6BB" w:rsidR="00133E33" w:rsidRPr="004E04DB" w:rsidRDefault="00133E33" w:rsidP="00577A99">
      <w:pPr>
        <w:spacing w:after="0" w:line="360" w:lineRule="auto"/>
        <w:jc w:val="both"/>
        <w:rPr>
          <w:rFonts w:ascii="Palatino Linotype" w:eastAsia="Palatino Linotype" w:hAnsi="Palatino Linotype" w:cs="Palatino Linotype"/>
          <w:sz w:val="24"/>
          <w:szCs w:val="24"/>
        </w:rPr>
      </w:pPr>
    </w:p>
    <w:p w14:paraId="65C026B1" w14:textId="662D0871" w:rsidR="00464D56" w:rsidRPr="004E04DB" w:rsidRDefault="00464D56" w:rsidP="00577A99">
      <w:pPr>
        <w:spacing w:after="0" w:line="360" w:lineRule="auto"/>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Por otro lado, de la transcripción y acceso a las ligas electrónicas proporcionadas por el Sujeto Obligado, se obtuvo la siguiente información: </w:t>
      </w:r>
    </w:p>
    <w:p w14:paraId="68A9B8D4" w14:textId="7983559C" w:rsidR="00464D56" w:rsidRPr="004E04DB" w:rsidRDefault="00464D56" w:rsidP="00577A99">
      <w:pPr>
        <w:spacing w:after="0" w:line="360" w:lineRule="auto"/>
        <w:jc w:val="both"/>
        <w:rPr>
          <w:rFonts w:ascii="Palatino Linotype" w:eastAsia="Palatino Linotype" w:hAnsi="Palatino Linotype" w:cs="Palatino Linotype"/>
          <w:sz w:val="24"/>
          <w:szCs w:val="24"/>
        </w:rPr>
      </w:pPr>
    </w:p>
    <w:p w14:paraId="72592ED7" w14:textId="2A9A5470" w:rsidR="00464D56" w:rsidRPr="004E04DB" w:rsidRDefault="00464D56" w:rsidP="00464D56">
      <w:pPr>
        <w:pStyle w:val="Prrafodelista"/>
        <w:numPr>
          <w:ilvl w:val="0"/>
          <w:numId w:val="16"/>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4E04DB">
        <w:rPr>
          <w:rFonts w:ascii="Palatino Linotype" w:eastAsia="Palatino Linotype" w:hAnsi="Palatino Linotype" w:cs="Palatino Linotype"/>
          <w:b/>
          <w:bCs/>
        </w:rPr>
        <w:t xml:space="preserve">Información obtenida de la consulta de la siguiente liga electrónica: </w:t>
      </w:r>
      <w:hyperlink r:id="rId14" w:history="1">
        <w:r w:rsidRPr="004E04DB">
          <w:rPr>
            <w:rStyle w:val="Hipervnculo"/>
            <w:rFonts w:ascii="Arial" w:hAnsi="Arial" w:cs="Arial"/>
            <w:color w:val="auto"/>
          </w:rPr>
          <w:t>https://www.ipomex.org.mx/ipo3/lgt/indice/ZINACANTEPEC/art</w:t>
        </w:r>
      </w:hyperlink>
      <w:r w:rsidRPr="004E04DB">
        <w:rPr>
          <w:rFonts w:ascii="Arial" w:hAnsi="Arial" w:cs="Arial"/>
          <w:u w:val="single"/>
        </w:rPr>
        <w:t xml:space="preserve">_92_xxxviii_a.web?token=03ADUVZwDb5Dofq0-vH2FI_rt14O3fjNXHRjU-30FI3Ps5vwhE1CNzoGHJbG4i2LiAsrqiOp_QGz8PNIQF2UtRjtiSnmIZ6wOV2QhV9xFtPB2zBpOilEAqc0tBf7mNoo2ENVe5xThdVCDNukHGH2rx273DtmB9BKCkUm_AJBr8gZDSvsx5YQXmN1aw80hlnPEKirH0AtSDyd1BxfjoWedvv5Y9A2QIMNmPF5XvEoBkpsuK7isOeaHmcDJUDa84W8cXTfzJMJ7y2uwUfcA2qNEaVIpPIGSJDS3FZiGHXIBA4KPAVUD15mcYinhbOsLoMGM3WLESRO3DwiX4X82 KIEMZ.KOlzFyn8Fk7 k52w1uDretZit FKvF2KTUlSydJm0dvha60JPB3UeLWGEsKiuxQVweQBDw4z8Y-SZX584xOPnTSWUkuHioFSWILAQYUXCAJOWN9VWXWZXiBxISRTEcsNiGycpEiOc7 h81z5pM TV/wQIUobxTIKD8tsHIVnO va30vAP3SqOrigREe 25x0FD8G2JASRDEBbahSCyscC43aEXPhUrdJ5-IZSgTZISPNhvAu0277Yfegyd5QBE8hcU-mHinuneJ5IrtGVBOFJxQw9NizdkABw </w:t>
      </w:r>
    </w:p>
    <w:p w14:paraId="6266E4DD" w14:textId="72FBB471" w:rsidR="00464D56" w:rsidRPr="004E04DB" w:rsidRDefault="00464D56" w:rsidP="00464D56">
      <w:pPr>
        <w:shd w:val="clear" w:color="auto" w:fill="FFFFFF"/>
        <w:ind w:left="567" w:right="560"/>
        <w:rPr>
          <w:rFonts w:ascii="Arial" w:hAnsi="Arial" w:cs="Arial"/>
        </w:rPr>
      </w:pPr>
    </w:p>
    <w:p w14:paraId="71A322ED" w14:textId="7C62E017" w:rsidR="00464D56" w:rsidRPr="004E04DB" w:rsidRDefault="00464D56" w:rsidP="00464D56">
      <w:pPr>
        <w:shd w:val="clear" w:color="auto" w:fill="FFFFFF"/>
        <w:ind w:left="567" w:right="560"/>
        <w:jc w:val="center"/>
        <w:rPr>
          <w:rFonts w:ascii="Arial" w:hAnsi="Arial" w:cs="Arial"/>
        </w:rPr>
      </w:pPr>
      <w:r w:rsidRPr="004E04DB">
        <w:rPr>
          <w:rFonts w:ascii="Arial" w:hAnsi="Arial" w:cs="Arial"/>
          <w:noProof/>
        </w:rPr>
        <w:drawing>
          <wp:inline distT="0" distB="0" distL="0" distR="0" wp14:anchorId="4011C5EB" wp14:editId="795B03D6">
            <wp:extent cx="4029075" cy="2762994"/>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30116" cy="2763708"/>
                    </a:xfrm>
                    <a:prstGeom prst="rect">
                      <a:avLst/>
                    </a:prstGeom>
                  </pic:spPr>
                </pic:pic>
              </a:graphicData>
            </a:graphic>
          </wp:inline>
        </w:drawing>
      </w:r>
    </w:p>
    <w:p w14:paraId="60013A57" w14:textId="77777777" w:rsidR="003840F9" w:rsidRPr="004E04DB" w:rsidRDefault="003840F9" w:rsidP="005E3DD3">
      <w:pPr>
        <w:shd w:val="clear" w:color="auto" w:fill="FFFFFF"/>
        <w:ind w:right="560"/>
        <w:rPr>
          <w:rFonts w:ascii="Arial" w:hAnsi="Arial" w:cs="Arial"/>
        </w:rPr>
      </w:pPr>
    </w:p>
    <w:p w14:paraId="3E78349D" w14:textId="3FD91049" w:rsidR="00464D56" w:rsidRPr="004E04DB" w:rsidRDefault="00464D56" w:rsidP="00464D56">
      <w:pPr>
        <w:pStyle w:val="Prrafodelista"/>
        <w:numPr>
          <w:ilvl w:val="0"/>
          <w:numId w:val="16"/>
        </w:numPr>
        <w:shd w:val="clear" w:color="auto" w:fill="FFFFFF"/>
        <w:ind w:right="560"/>
        <w:rPr>
          <w:rFonts w:ascii="Arial" w:hAnsi="Arial" w:cs="Arial"/>
        </w:rPr>
      </w:pPr>
      <w:r w:rsidRPr="004E04DB">
        <w:rPr>
          <w:rFonts w:ascii="Palatino Linotype" w:eastAsia="Palatino Linotype" w:hAnsi="Palatino Linotype" w:cs="Palatino Linotype"/>
          <w:b/>
          <w:bCs/>
        </w:rPr>
        <w:t xml:space="preserve">Información obtenida de la consulta de la siguiente liga electrónica </w:t>
      </w:r>
      <w:hyperlink r:id="rId16" w:history="1">
        <w:r w:rsidRPr="004E04DB">
          <w:rPr>
            <w:rStyle w:val="Hipervnculo"/>
            <w:rFonts w:ascii="Arial" w:hAnsi="Arial" w:cs="Arial"/>
            <w:color w:val="auto"/>
          </w:rPr>
          <w:t>https://www.ipomex.org.mx/ipo3/lgt/indice/ZINACANTEPEC/art_92_xxxviii_d.web?token=03ADUVZwBHIBi3duP4tGOso0QNfVuc56AIFWggVsoPm7M2YM78qAE5HJAv48afs0IOpupVoYM1MDcIVdMcZ9JMwEI6iZRZonawDATspluBDkcSnYN97bvjAdSeEZkdGbXpgk8aa4PDAvYsos5kjVfQfgF3JgDNVea0QZ36id-RKFINNzjkixNG-Msgo3JXzPU7UazibiyaAg3lq2KyQyMCKMphngHbn5cC28x0GYWYF5Mw089gYXPMulzXMXGILGdCr-EmEZ5cHNGhRbTVrtdVz47LpOu3AKuC2nL2t02Vv5BsXIBfq_6XQ2rJIAe1H6IFVIfdQIgS7SB5ypQFaeqJLImscYYsopVwR2QPSeywD-FGNSfYjsIAZANOMJQbhWwYs.OEiCOx57PnfGUgiVEy-3NAifZqWkbQ4x2|giEdoyLweLNJvclid9HDNhwloMXKbiiHWCZMPZO5sWIWT7.TirK8pT854SA05pnzd4Fg599KDeRWJa6iWz54K0GJGyq0P6FJb2xuBeJ5BBdgsB7fGgfwGL7rTRNoluFCiki_Z3ymweN4LV7z9I24CROfcRxardgYAFQ0XFxQR4s8iBLx5gDyPgx-SZ0RWIn0syA1o-9drYEh8</w:t>
        </w:r>
      </w:hyperlink>
      <w:r w:rsidRPr="004E04DB">
        <w:rPr>
          <w:rFonts w:ascii="Arial" w:hAnsi="Arial" w:cs="Arial"/>
        </w:rPr>
        <w:t xml:space="preserve"> </w:t>
      </w:r>
    </w:p>
    <w:p w14:paraId="05529E7C" w14:textId="4D96A5FB" w:rsidR="00464D56" w:rsidRPr="004E04DB" w:rsidRDefault="00464D56" w:rsidP="00464D56">
      <w:pPr>
        <w:pStyle w:val="Prrafodelista"/>
        <w:shd w:val="clear" w:color="auto" w:fill="FFFFFF"/>
        <w:ind w:right="560"/>
        <w:rPr>
          <w:rFonts w:ascii="Palatino Linotype" w:eastAsia="Palatino Linotype" w:hAnsi="Palatino Linotype" w:cs="Palatino Linotype"/>
          <w:b/>
          <w:bCs/>
        </w:rPr>
      </w:pPr>
    </w:p>
    <w:p w14:paraId="39243FDE" w14:textId="1AE603BB" w:rsidR="003B3C75" w:rsidRPr="004E04DB" w:rsidRDefault="00464D56" w:rsidP="005E3DD3">
      <w:pPr>
        <w:pStyle w:val="Prrafodelista"/>
        <w:shd w:val="clear" w:color="auto" w:fill="FFFFFF"/>
        <w:ind w:right="560"/>
        <w:jc w:val="center"/>
        <w:rPr>
          <w:rFonts w:ascii="Arial" w:hAnsi="Arial" w:cs="Arial"/>
        </w:rPr>
      </w:pPr>
      <w:r w:rsidRPr="004E04DB">
        <w:rPr>
          <w:rFonts w:ascii="Arial" w:hAnsi="Arial" w:cs="Arial"/>
          <w:noProof/>
        </w:rPr>
        <w:lastRenderedPageBreak/>
        <w:drawing>
          <wp:inline distT="0" distB="0" distL="0" distR="0" wp14:anchorId="4AB20DE9" wp14:editId="655BE41F">
            <wp:extent cx="3838575" cy="2380213"/>
            <wp:effectExtent l="0" t="0" r="0" b="12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41060" cy="2381754"/>
                    </a:xfrm>
                    <a:prstGeom prst="rect">
                      <a:avLst/>
                    </a:prstGeom>
                  </pic:spPr>
                </pic:pic>
              </a:graphicData>
            </a:graphic>
          </wp:inline>
        </w:drawing>
      </w:r>
    </w:p>
    <w:p w14:paraId="2D80D5AE" w14:textId="77777777" w:rsidR="005E3DD3" w:rsidRPr="004E04DB" w:rsidRDefault="005E3DD3" w:rsidP="005E3DD3">
      <w:pPr>
        <w:pStyle w:val="Prrafodelista"/>
        <w:shd w:val="clear" w:color="auto" w:fill="FFFFFF"/>
        <w:spacing w:after="0" w:line="360" w:lineRule="auto"/>
        <w:ind w:right="560"/>
        <w:jc w:val="both"/>
        <w:rPr>
          <w:rFonts w:ascii="Arial" w:hAnsi="Arial" w:cs="Arial"/>
          <w:sz w:val="24"/>
        </w:rPr>
      </w:pPr>
    </w:p>
    <w:p w14:paraId="460B4EC5" w14:textId="77777777" w:rsidR="00575A11" w:rsidRPr="004E04DB" w:rsidRDefault="00575A11" w:rsidP="005E3DD3">
      <w:pPr>
        <w:pStyle w:val="Prrafodelista"/>
        <w:shd w:val="clear" w:color="auto" w:fill="FFFFFF"/>
        <w:spacing w:after="0" w:line="360" w:lineRule="auto"/>
        <w:ind w:right="560"/>
        <w:jc w:val="both"/>
        <w:rPr>
          <w:rFonts w:ascii="Arial" w:hAnsi="Arial" w:cs="Arial"/>
          <w:sz w:val="24"/>
        </w:rPr>
      </w:pPr>
    </w:p>
    <w:p w14:paraId="4C36B248" w14:textId="23D0BB23" w:rsidR="00575A11" w:rsidRPr="004E04DB" w:rsidRDefault="00995DE0" w:rsidP="00995DE0">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De ello,</w:t>
      </w:r>
      <w:r w:rsidR="00575A11" w:rsidRPr="004E04DB">
        <w:rPr>
          <w:rFonts w:ascii="Palatino Linotype" w:eastAsia="Palatino Linotype" w:hAnsi="Palatino Linotype" w:cs="Palatino Linotype"/>
          <w:sz w:val="24"/>
          <w:szCs w:val="24"/>
        </w:rPr>
        <w:t xml:space="preserve"> en primera instancia,</w:t>
      </w:r>
      <w:r w:rsidRPr="004E04DB">
        <w:rPr>
          <w:rFonts w:ascii="Palatino Linotype" w:eastAsia="Palatino Linotype" w:hAnsi="Palatino Linotype" w:cs="Palatino Linotype"/>
          <w:sz w:val="24"/>
          <w:szCs w:val="24"/>
        </w:rPr>
        <w:t xml:space="preserve"> como se logra observar, </w:t>
      </w:r>
      <w:r w:rsidR="00575A11" w:rsidRPr="004E04DB">
        <w:rPr>
          <w:rFonts w:ascii="Palatino Linotype" w:eastAsia="Palatino Linotype" w:hAnsi="Palatino Linotype" w:cs="Palatino Linotype"/>
          <w:sz w:val="24"/>
          <w:szCs w:val="24"/>
        </w:rPr>
        <w:t>s</w:t>
      </w:r>
      <w:r w:rsidRPr="004E04DB">
        <w:rPr>
          <w:rFonts w:ascii="Palatino Linotype" w:eastAsia="Palatino Linotype" w:hAnsi="Palatino Linotype" w:cs="Palatino Linotype"/>
          <w:sz w:val="24"/>
          <w:szCs w:val="24"/>
        </w:rPr>
        <w:t xml:space="preserve">i bien, </w:t>
      </w:r>
      <w:r w:rsidR="00464D56" w:rsidRPr="004E04DB">
        <w:rPr>
          <w:rFonts w:ascii="Palatino Linotype" w:eastAsia="Palatino Linotype" w:hAnsi="Palatino Linotype" w:cs="Palatino Linotype"/>
          <w:sz w:val="24"/>
          <w:szCs w:val="24"/>
        </w:rPr>
        <w:t xml:space="preserve">del acceso a la primera liga electrónica se puede obtener lo relacionado con el </w:t>
      </w:r>
      <w:r w:rsidR="00464D56" w:rsidRPr="004E04DB">
        <w:rPr>
          <w:rFonts w:ascii="Palatino Linotype" w:eastAsia="Palatino Linotype" w:hAnsi="Palatino Linotype" w:cs="Palatino Linotype"/>
          <w:b/>
          <w:sz w:val="24"/>
          <w:szCs w:val="24"/>
          <w:u w:val="single"/>
        </w:rPr>
        <w:t>inventario general de bienes muebles</w:t>
      </w:r>
      <w:r w:rsidR="00464D56" w:rsidRPr="004E04DB">
        <w:rPr>
          <w:rFonts w:ascii="Palatino Linotype" w:eastAsia="Palatino Linotype" w:hAnsi="Palatino Linotype" w:cs="Palatino Linotype"/>
          <w:sz w:val="24"/>
          <w:szCs w:val="24"/>
        </w:rPr>
        <w:t>,</w:t>
      </w:r>
      <w:r w:rsidR="002969CC" w:rsidRPr="004E04DB">
        <w:rPr>
          <w:rFonts w:ascii="Palatino Linotype" w:eastAsia="Palatino Linotype" w:hAnsi="Palatino Linotype" w:cs="Palatino Linotype"/>
          <w:sz w:val="24"/>
          <w:szCs w:val="24"/>
        </w:rPr>
        <w:t xml:space="preserve"> también lo es que,</w:t>
      </w:r>
      <w:r w:rsidR="00575A11" w:rsidRPr="004E04DB">
        <w:rPr>
          <w:rFonts w:ascii="Palatino Linotype" w:eastAsia="Palatino Linotype" w:hAnsi="Palatino Linotype" w:cs="Palatino Linotype"/>
          <w:sz w:val="24"/>
          <w:szCs w:val="24"/>
        </w:rPr>
        <w:t xml:space="preserve"> en los registros que constan en la Plataforma de Información no contienen todos los datos que la parte Solicitante requirió, como lo es valor uso, destino y sus características, es decir, la información se encuentra incompleta. </w:t>
      </w:r>
    </w:p>
    <w:p w14:paraId="4FE3FC7A" w14:textId="77777777" w:rsidR="00575A11" w:rsidRPr="004E04DB" w:rsidRDefault="00575A11" w:rsidP="00995DE0">
      <w:pPr>
        <w:spacing w:after="0" w:line="360" w:lineRule="auto"/>
        <w:ind w:right="49"/>
        <w:jc w:val="both"/>
        <w:rPr>
          <w:rFonts w:ascii="Palatino Linotype" w:eastAsia="Palatino Linotype" w:hAnsi="Palatino Linotype" w:cs="Palatino Linotype"/>
          <w:sz w:val="24"/>
          <w:szCs w:val="24"/>
        </w:rPr>
      </w:pPr>
    </w:p>
    <w:p w14:paraId="7C373738" w14:textId="31710059" w:rsidR="00575A11" w:rsidRPr="004E04DB" w:rsidRDefault="00575A11" w:rsidP="00995DE0">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Por lo anterior, no pasa desapercibido mencionar que, cuando la información ya se encuentre disponible en internet o cualquier medio electrónico y más tratándose de obligaciones de transparencia, es válido que los Sujetos Obligados entreguen a los solicitantes la liga electrónica correspondiente, no obstante, en el presente asunto, toda vez que, el particular solicitó datos específicos y la plataforma no los contiene, aunado a que existe un documento que da cuenta del requerimiento, se considera, que lo relacionado al inventario general de bienes muebles, </w:t>
      </w:r>
      <w:r w:rsidRPr="004E04DB">
        <w:rPr>
          <w:rFonts w:ascii="Palatino Linotype" w:eastAsia="Palatino Linotype" w:hAnsi="Palatino Linotype" w:cs="Palatino Linotype"/>
          <w:b/>
          <w:sz w:val="24"/>
          <w:szCs w:val="24"/>
        </w:rPr>
        <w:t>no se colma.</w:t>
      </w:r>
      <w:r w:rsidRPr="004E04DB">
        <w:rPr>
          <w:rFonts w:ascii="Palatino Linotype" w:eastAsia="Palatino Linotype" w:hAnsi="Palatino Linotype" w:cs="Palatino Linotype"/>
          <w:sz w:val="24"/>
          <w:szCs w:val="24"/>
        </w:rPr>
        <w:t xml:space="preserve">  </w:t>
      </w:r>
    </w:p>
    <w:p w14:paraId="3DCC79F0" w14:textId="7269B28C" w:rsidR="008B7BCF" w:rsidRPr="004E04DB" w:rsidRDefault="00FE60FB" w:rsidP="00995DE0">
      <w:pPr>
        <w:spacing w:after="0" w:line="360" w:lineRule="auto"/>
        <w:ind w:right="49"/>
        <w:jc w:val="both"/>
        <w:rPr>
          <w:rFonts w:ascii="Palatino Linotype" w:eastAsia="Palatino Linotype" w:hAnsi="Palatino Linotype" w:cs="Palatino Linotype"/>
          <w:b/>
          <w:sz w:val="24"/>
          <w:szCs w:val="24"/>
        </w:rPr>
      </w:pPr>
      <w:r w:rsidRPr="004E04DB">
        <w:rPr>
          <w:rFonts w:ascii="Palatino Linotype" w:eastAsia="Palatino Linotype" w:hAnsi="Palatino Linotype" w:cs="Palatino Linotype"/>
          <w:b/>
          <w:sz w:val="24"/>
          <w:szCs w:val="24"/>
        </w:rPr>
        <w:lastRenderedPageBreak/>
        <w:t>Asimismo, es menester precisar que, el Sujeto Obligado únicamente proporcionó</w:t>
      </w:r>
      <w:r w:rsidR="002969CC" w:rsidRPr="004E04DB">
        <w:rPr>
          <w:rFonts w:ascii="Palatino Linotype" w:eastAsia="Palatino Linotype" w:hAnsi="Palatino Linotype" w:cs="Palatino Linotype"/>
          <w:b/>
          <w:sz w:val="24"/>
          <w:szCs w:val="24"/>
        </w:rPr>
        <w:t xml:space="preserve"> in</w:t>
      </w:r>
      <w:r w:rsidRPr="004E04DB">
        <w:rPr>
          <w:rFonts w:ascii="Palatino Linotype" w:eastAsia="Palatino Linotype" w:hAnsi="Palatino Linotype" w:cs="Palatino Linotype"/>
          <w:b/>
          <w:sz w:val="24"/>
          <w:szCs w:val="24"/>
        </w:rPr>
        <w:t xml:space="preserve">formación de los bienes muebles, no así, información de los bienes inmuebles, además de que, no se puede acceder a la segunda liga electrónica remitida. </w:t>
      </w:r>
    </w:p>
    <w:p w14:paraId="7085F9FD" w14:textId="77777777" w:rsidR="003A5438" w:rsidRPr="004E04DB" w:rsidRDefault="003A5438" w:rsidP="00995DE0">
      <w:pPr>
        <w:spacing w:after="0" w:line="360" w:lineRule="auto"/>
        <w:ind w:right="49"/>
        <w:jc w:val="both"/>
        <w:rPr>
          <w:rFonts w:ascii="Palatino Linotype" w:eastAsia="Palatino Linotype" w:hAnsi="Palatino Linotype" w:cs="Palatino Linotype"/>
          <w:sz w:val="24"/>
          <w:szCs w:val="24"/>
        </w:rPr>
      </w:pPr>
    </w:p>
    <w:p w14:paraId="1217286F" w14:textId="32C1BF55" w:rsidR="00995DE0" w:rsidRPr="004E04DB" w:rsidRDefault="00995DE0" w:rsidP="00532EC9">
      <w:pPr>
        <w:spacing w:after="0" w:line="360" w:lineRule="auto"/>
        <w:ind w:right="49"/>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szCs w:val="24"/>
        </w:rPr>
        <w:t xml:space="preserve">En ese sentido, </w:t>
      </w:r>
      <w:r w:rsidRPr="004E04DB">
        <w:rPr>
          <w:rFonts w:ascii="Palatino Linotype" w:hAnsi="Palatino Linotype"/>
          <w:sz w:val="24"/>
          <w:szCs w:val="24"/>
        </w:rPr>
        <w:t xml:space="preserve">es importante traer a colación que </w:t>
      </w:r>
      <w:r w:rsidRPr="004E04DB">
        <w:rPr>
          <w:rFonts w:ascii="Palatino Linotype" w:eastAsia="Palatino Linotype" w:hAnsi="Palatino Linotype" w:cs="Palatino Linotype"/>
          <w:sz w:val="24"/>
        </w:rPr>
        <w:t>el artículo 161 de la Ley de Transparencia y Acceso a la Información Pública del Estado de México y Municipios</w:t>
      </w:r>
      <w:r w:rsidRPr="004E04DB">
        <w:rPr>
          <w:rFonts w:ascii="Palatino Linotype" w:eastAsia="Palatino Linotype" w:hAnsi="Palatino Linotype" w:cs="Palatino Linotype"/>
          <w:i/>
          <w:sz w:val="24"/>
        </w:rPr>
        <w:t xml:space="preserve">, </w:t>
      </w:r>
      <w:r w:rsidRPr="004E04DB">
        <w:rPr>
          <w:rFonts w:ascii="Palatino Linotype" w:eastAsia="Palatino Linotype" w:hAnsi="Palatino Linotype" w:cs="Palatino Linotype"/>
          <w:sz w:val="24"/>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Pr="004E04DB">
        <w:rPr>
          <w:rFonts w:ascii="Palatino Linotype" w:eastAsia="Palatino Linotype" w:hAnsi="Palatino Linotype" w:cs="Palatino Linotype"/>
          <w:b/>
          <w:sz w:val="24"/>
          <w:u w:val="single"/>
        </w:rPr>
        <w:t>en un plazo no mayor a cinco días hábiles</w:t>
      </w:r>
      <w:r w:rsidRPr="004E04DB">
        <w:rPr>
          <w:rFonts w:ascii="Palatino Linotype" w:eastAsia="Palatino Linotype" w:hAnsi="Palatino Linotype" w:cs="Palatino Linotype"/>
          <w:sz w:val="24"/>
        </w:rPr>
        <w:t>, comprendiendo</w:t>
      </w:r>
      <w:r w:rsidR="00524BD6" w:rsidRPr="004E04DB">
        <w:rPr>
          <w:rFonts w:ascii="Palatino Linotype" w:eastAsia="Palatino Linotype" w:hAnsi="Palatino Linotype" w:cs="Palatino Linotype"/>
          <w:sz w:val="24"/>
        </w:rPr>
        <w:t xml:space="preserve">: </w:t>
      </w:r>
    </w:p>
    <w:p w14:paraId="4DD5DBAC" w14:textId="77777777" w:rsidR="00524BD6" w:rsidRPr="004E04DB" w:rsidRDefault="00524BD6" w:rsidP="00532EC9">
      <w:pPr>
        <w:spacing w:after="0" w:line="360" w:lineRule="auto"/>
        <w:ind w:right="49"/>
        <w:jc w:val="both"/>
        <w:rPr>
          <w:rFonts w:ascii="Palatino Linotype" w:eastAsia="Palatino Linotype" w:hAnsi="Palatino Linotype" w:cs="Palatino Linotype"/>
          <w:sz w:val="24"/>
          <w:szCs w:val="24"/>
        </w:rPr>
      </w:pPr>
    </w:p>
    <w:p w14:paraId="1D76E31F" w14:textId="77777777" w:rsidR="00995DE0" w:rsidRPr="004E04DB" w:rsidRDefault="00995DE0" w:rsidP="00995DE0">
      <w:pPr>
        <w:spacing w:after="0" w:line="276" w:lineRule="auto"/>
        <w:ind w:left="284" w:right="49"/>
        <w:jc w:val="both"/>
        <w:rPr>
          <w:rFonts w:ascii="Palatino Linotype" w:eastAsia="Palatino Linotype" w:hAnsi="Palatino Linotype" w:cs="Palatino Linotype"/>
        </w:rPr>
      </w:pPr>
      <w:r w:rsidRPr="004E04DB">
        <w:rPr>
          <w:rFonts w:ascii="Palatino Linotype" w:eastAsia="Palatino Linotype" w:hAnsi="Palatino Linotype" w:cs="Palatino Linotype"/>
        </w:rPr>
        <w:t>a) La fuente</w:t>
      </w:r>
    </w:p>
    <w:p w14:paraId="74F3E9F6" w14:textId="77777777" w:rsidR="00995DE0" w:rsidRPr="004E04DB" w:rsidRDefault="00995DE0" w:rsidP="00995DE0">
      <w:pPr>
        <w:spacing w:after="0" w:line="276" w:lineRule="auto"/>
        <w:ind w:left="284" w:right="49"/>
        <w:jc w:val="both"/>
        <w:rPr>
          <w:rFonts w:ascii="Palatino Linotype" w:eastAsia="Palatino Linotype" w:hAnsi="Palatino Linotype" w:cs="Palatino Linotype"/>
        </w:rPr>
      </w:pPr>
      <w:r w:rsidRPr="004E04DB">
        <w:rPr>
          <w:rFonts w:ascii="Palatino Linotype" w:eastAsia="Palatino Linotype" w:hAnsi="Palatino Linotype" w:cs="Palatino Linotype"/>
        </w:rPr>
        <w:t>b) El lugar y</w:t>
      </w:r>
    </w:p>
    <w:p w14:paraId="4C636A11" w14:textId="77777777" w:rsidR="00995DE0" w:rsidRPr="004E04DB" w:rsidRDefault="00995DE0" w:rsidP="00995DE0">
      <w:pPr>
        <w:spacing w:after="0" w:line="276" w:lineRule="auto"/>
        <w:ind w:left="284" w:right="49"/>
        <w:jc w:val="both"/>
        <w:rPr>
          <w:rFonts w:ascii="Palatino Linotype" w:eastAsia="Palatino Linotype" w:hAnsi="Palatino Linotype" w:cs="Palatino Linotype"/>
        </w:rPr>
      </w:pPr>
      <w:r w:rsidRPr="004E04DB">
        <w:rPr>
          <w:rFonts w:ascii="Palatino Linotype" w:eastAsia="Palatino Linotype" w:hAnsi="Palatino Linotype" w:cs="Palatino Linotype"/>
        </w:rPr>
        <w:t>c) La forma</w:t>
      </w:r>
    </w:p>
    <w:p w14:paraId="1CE8F701" w14:textId="77777777" w:rsidR="00995DE0" w:rsidRPr="004E04DB" w:rsidRDefault="00995DE0" w:rsidP="00995DE0">
      <w:pPr>
        <w:spacing w:after="0" w:line="276" w:lineRule="auto"/>
        <w:ind w:left="284" w:right="49"/>
        <w:jc w:val="both"/>
        <w:rPr>
          <w:rFonts w:ascii="Palatino Linotype" w:eastAsia="Palatino Linotype" w:hAnsi="Palatino Linotype" w:cs="Palatino Linotype"/>
        </w:rPr>
      </w:pPr>
    </w:p>
    <w:p w14:paraId="30589943" w14:textId="77777777" w:rsidR="00995DE0" w:rsidRPr="004E04DB" w:rsidRDefault="00995DE0" w:rsidP="00995DE0">
      <w:pPr>
        <w:spacing w:after="0" w:line="360" w:lineRule="auto"/>
        <w:ind w:right="49"/>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Asimismo, se establece que la fuente de la información deberá ser:</w:t>
      </w:r>
    </w:p>
    <w:p w14:paraId="51FC6625" w14:textId="77777777" w:rsidR="00995DE0" w:rsidRPr="004E04DB" w:rsidRDefault="00995DE0" w:rsidP="00995DE0">
      <w:pPr>
        <w:spacing w:after="0" w:line="360" w:lineRule="auto"/>
        <w:ind w:right="49"/>
        <w:jc w:val="both"/>
        <w:rPr>
          <w:rFonts w:ascii="Palatino Linotype" w:eastAsia="Palatino Linotype" w:hAnsi="Palatino Linotype" w:cs="Palatino Linotype"/>
          <w:sz w:val="24"/>
        </w:rPr>
      </w:pPr>
    </w:p>
    <w:p w14:paraId="5AE78C3B" w14:textId="77777777" w:rsidR="00995DE0" w:rsidRPr="004E04DB" w:rsidRDefault="00995DE0" w:rsidP="00995DE0">
      <w:pPr>
        <w:spacing w:after="0" w:line="276" w:lineRule="auto"/>
        <w:ind w:left="284" w:right="49"/>
        <w:jc w:val="both"/>
        <w:rPr>
          <w:rFonts w:ascii="Palatino Linotype" w:eastAsia="Palatino Linotype" w:hAnsi="Palatino Linotype" w:cs="Palatino Linotype"/>
        </w:rPr>
      </w:pPr>
      <w:r w:rsidRPr="004E04DB">
        <w:rPr>
          <w:rFonts w:ascii="Palatino Linotype" w:eastAsia="Palatino Linotype" w:hAnsi="Palatino Linotype" w:cs="Palatino Linotype"/>
        </w:rPr>
        <w:t>a) Precisa</w:t>
      </w:r>
    </w:p>
    <w:p w14:paraId="7FFB97C2" w14:textId="77777777" w:rsidR="00995DE0" w:rsidRPr="004E04DB" w:rsidRDefault="00995DE0" w:rsidP="00995DE0">
      <w:pPr>
        <w:spacing w:after="0" w:line="276" w:lineRule="auto"/>
        <w:ind w:left="284" w:right="49"/>
        <w:jc w:val="both"/>
        <w:rPr>
          <w:rFonts w:ascii="Palatino Linotype" w:eastAsia="Palatino Linotype" w:hAnsi="Palatino Linotype" w:cs="Palatino Linotype"/>
        </w:rPr>
      </w:pPr>
      <w:r w:rsidRPr="004E04DB">
        <w:rPr>
          <w:rFonts w:ascii="Palatino Linotype" w:eastAsia="Palatino Linotype" w:hAnsi="Palatino Linotype" w:cs="Palatino Linotype"/>
        </w:rPr>
        <w:t>b) Concreta</w:t>
      </w:r>
    </w:p>
    <w:p w14:paraId="71F9F5FE" w14:textId="77777777" w:rsidR="00995DE0" w:rsidRPr="004E04DB" w:rsidRDefault="00995DE0" w:rsidP="00995DE0">
      <w:pPr>
        <w:spacing w:after="0" w:line="360" w:lineRule="auto"/>
        <w:ind w:left="284" w:right="560"/>
        <w:jc w:val="both"/>
        <w:rPr>
          <w:rFonts w:ascii="Palatino Linotype" w:eastAsia="Palatino Linotype" w:hAnsi="Palatino Linotype" w:cs="Palatino Linotype"/>
          <w:b/>
          <w:u w:val="single"/>
        </w:rPr>
      </w:pPr>
      <w:r w:rsidRPr="004E04DB">
        <w:rPr>
          <w:rFonts w:ascii="Palatino Linotype" w:eastAsia="Palatino Linotype" w:hAnsi="Palatino Linotype" w:cs="Palatino Linotype"/>
          <w:b/>
          <w:u w:val="single"/>
        </w:rPr>
        <w:t>c) Y no debe implicar que el solicitante realice una búsqueda en toda la información que se encuentre disponible.</w:t>
      </w:r>
    </w:p>
    <w:p w14:paraId="1D5F0FAE" w14:textId="77777777" w:rsidR="00995DE0" w:rsidRPr="004E04DB" w:rsidRDefault="00995DE0" w:rsidP="00995DE0">
      <w:pPr>
        <w:spacing w:after="0" w:line="360" w:lineRule="auto"/>
        <w:ind w:left="284" w:right="51"/>
        <w:jc w:val="both"/>
        <w:rPr>
          <w:rFonts w:ascii="Palatino Linotype" w:eastAsia="Palatino Linotype" w:hAnsi="Palatino Linotype" w:cs="Palatino Linotype"/>
        </w:rPr>
      </w:pPr>
    </w:p>
    <w:p w14:paraId="3D4692BD" w14:textId="19081828" w:rsidR="002F3C2D" w:rsidRPr="004E04DB" w:rsidRDefault="00995DE0" w:rsidP="003A5438">
      <w:pPr>
        <w:spacing w:after="0" w:line="360" w:lineRule="auto"/>
        <w:ind w:right="51"/>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lastRenderedPageBreak/>
        <w:t>Imperativos legales que detallan el procedimiento que debe seguir el Sujeto Obligado para que pueda tomarse como válida su orientación sobre la forma en que puede consultar la información requerida.</w:t>
      </w:r>
    </w:p>
    <w:p w14:paraId="66936B6E" w14:textId="77777777" w:rsidR="003A5438" w:rsidRPr="004E04DB" w:rsidRDefault="003A5438" w:rsidP="003A5438">
      <w:pPr>
        <w:spacing w:after="0" w:line="360" w:lineRule="auto"/>
        <w:ind w:right="51"/>
        <w:jc w:val="both"/>
        <w:rPr>
          <w:rFonts w:ascii="Palatino Linotype" w:eastAsia="Palatino Linotype" w:hAnsi="Palatino Linotype" w:cs="Palatino Linotype"/>
          <w:sz w:val="24"/>
        </w:rPr>
      </w:pPr>
    </w:p>
    <w:p w14:paraId="50585515" w14:textId="77777777" w:rsidR="00FE60FB" w:rsidRPr="004E04DB" w:rsidRDefault="003A5438" w:rsidP="003A5438">
      <w:pPr>
        <w:pStyle w:val="Prrafodelista"/>
        <w:spacing w:after="0" w:line="360" w:lineRule="auto"/>
        <w:ind w:left="0"/>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Dicho esto, se tiene que, </w:t>
      </w:r>
      <w:r w:rsidR="00FE60FB" w:rsidRPr="004E04DB">
        <w:rPr>
          <w:rFonts w:ascii="Palatino Linotype" w:eastAsia="Palatino Linotype" w:hAnsi="Palatino Linotype" w:cs="Palatino Linotype"/>
          <w:sz w:val="24"/>
          <w:szCs w:val="24"/>
        </w:rPr>
        <w:t>debido a que:</w:t>
      </w:r>
    </w:p>
    <w:p w14:paraId="077106EF" w14:textId="77777777" w:rsidR="00FE60FB" w:rsidRPr="004E04DB" w:rsidRDefault="00FE60FB" w:rsidP="003A5438">
      <w:pPr>
        <w:pStyle w:val="Prrafodelista"/>
        <w:spacing w:after="0" w:line="360" w:lineRule="auto"/>
        <w:ind w:left="0"/>
        <w:jc w:val="both"/>
        <w:rPr>
          <w:rFonts w:ascii="Palatino Linotype" w:eastAsia="Palatino Linotype" w:hAnsi="Palatino Linotype" w:cs="Palatino Linotype"/>
          <w:sz w:val="24"/>
          <w:szCs w:val="24"/>
        </w:rPr>
      </w:pPr>
    </w:p>
    <w:p w14:paraId="52C15290" w14:textId="77777777" w:rsidR="00FE60FB" w:rsidRPr="004E04DB" w:rsidRDefault="00FE60FB" w:rsidP="00FE60FB">
      <w:pPr>
        <w:pStyle w:val="Prrafodelista"/>
        <w:numPr>
          <w:ilvl w:val="0"/>
          <w:numId w:val="16"/>
        </w:numPr>
        <w:spacing w:after="0" w:line="360" w:lineRule="auto"/>
        <w:jc w:val="both"/>
        <w:rPr>
          <w:rFonts w:ascii="Palatino Linotype" w:eastAsia="Palatino Linotype" w:hAnsi="Palatino Linotype" w:cs="Palatino Linotype"/>
          <w:szCs w:val="24"/>
        </w:rPr>
      </w:pPr>
      <w:r w:rsidRPr="004E04DB">
        <w:rPr>
          <w:rFonts w:ascii="Palatino Linotype" w:eastAsia="Palatino Linotype" w:hAnsi="Palatino Linotype" w:cs="Palatino Linotype"/>
          <w:szCs w:val="24"/>
        </w:rPr>
        <w:t>Los registros que obran en el Portal de Información Pública de Oficio Mexiquense no contienen todos los datos solicitado por la parte Recurrente,</w:t>
      </w:r>
    </w:p>
    <w:p w14:paraId="2B59FAD8" w14:textId="5E060AC6" w:rsidR="00FE60FB" w:rsidRPr="004E04DB" w:rsidRDefault="00FE60FB" w:rsidP="00FE60FB">
      <w:pPr>
        <w:pStyle w:val="Prrafodelista"/>
        <w:numPr>
          <w:ilvl w:val="0"/>
          <w:numId w:val="16"/>
        </w:numPr>
        <w:spacing w:after="0" w:line="360" w:lineRule="auto"/>
        <w:jc w:val="both"/>
        <w:rPr>
          <w:rFonts w:ascii="Palatino Linotype" w:eastAsia="Palatino Linotype" w:hAnsi="Palatino Linotype" w:cs="Palatino Linotype"/>
          <w:szCs w:val="24"/>
        </w:rPr>
      </w:pPr>
      <w:r w:rsidRPr="004E04DB">
        <w:rPr>
          <w:rFonts w:ascii="Palatino Linotype" w:eastAsia="Palatino Linotype" w:hAnsi="Palatino Linotype" w:cs="Palatino Linotype"/>
          <w:szCs w:val="24"/>
        </w:rPr>
        <w:t>Pr</w:t>
      </w:r>
      <w:r w:rsidR="003A5438" w:rsidRPr="004E04DB">
        <w:rPr>
          <w:rFonts w:ascii="Palatino Linotype" w:eastAsia="Palatino Linotype" w:hAnsi="Palatino Linotype" w:cs="Palatino Linotype"/>
          <w:szCs w:val="24"/>
        </w:rPr>
        <w:t>oporcionar únicamente el inventario general de bienes muebles no colma en su totalidad lo peticionado, ya que faltaría infor</w:t>
      </w:r>
      <w:r w:rsidRPr="004E04DB">
        <w:rPr>
          <w:rFonts w:ascii="Palatino Linotype" w:eastAsia="Palatino Linotype" w:hAnsi="Palatino Linotype" w:cs="Palatino Linotype"/>
          <w:szCs w:val="24"/>
        </w:rPr>
        <w:t>mación de los bienes inmuebles y;</w:t>
      </w:r>
    </w:p>
    <w:p w14:paraId="28D830B0" w14:textId="0D503295" w:rsidR="00FE60FB" w:rsidRPr="004E04DB" w:rsidRDefault="00FE60FB" w:rsidP="00FE60FB">
      <w:pPr>
        <w:pStyle w:val="Prrafodelista"/>
        <w:numPr>
          <w:ilvl w:val="0"/>
          <w:numId w:val="16"/>
        </w:numPr>
        <w:spacing w:after="0" w:line="360" w:lineRule="auto"/>
        <w:jc w:val="both"/>
        <w:rPr>
          <w:rFonts w:ascii="Palatino Linotype" w:eastAsia="Palatino Linotype" w:hAnsi="Palatino Linotype" w:cs="Palatino Linotype"/>
          <w:szCs w:val="24"/>
        </w:rPr>
      </w:pPr>
      <w:r w:rsidRPr="004E04DB">
        <w:rPr>
          <w:rFonts w:ascii="Palatino Linotype" w:eastAsia="Palatino Linotype" w:hAnsi="Palatino Linotype" w:cs="Palatino Linotype"/>
          <w:szCs w:val="24"/>
        </w:rPr>
        <w:t xml:space="preserve">La segunda liga electrónica es inaccesible. </w:t>
      </w:r>
    </w:p>
    <w:p w14:paraId="755AF302" w14:textId="77777777" w:rsidR="00FE60FB" w:rsidRPr="004E04DB" w:rsidRDefault="00FE60FB" w:rsidP="00FE60FB">
      <w:pPr>
        <w:spacing w:after="0" w:line="360" w:lineRule="auto"/>
        <w:jc w:val="both"/>
        <w:rPr>
          <w:rFonts w:ascii="Palatino Linotype" w:eastAsia="Palatino Linotype" w:hAnsi="Palatino Linotype" w:cs="Palatino Linotype"/>
          <w:sz w:val="24"/>
          <w:szCs w:val="24"/>
        </w:rPr>
      </w:pPr>
    </w:p>
    <w:p w14:paraId="197827FA" w14:textId="7D14E034" w:rsidR="003A5438" w:rsidRPr="004E04DB" w:rsidRDefault="00FE60FB" w:rsidP="00FE60FB">
      <w:pPr>
        <w:spacing w:after="0" w:line="360" w:lineRule="auto"/>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S</w:t>
      </w:r>
      <w:r w:rsidR="003A5438" w:rsidRPr="004E04DB">
        <w:rPr>
          <w:rFonts w:ascii="Palatino Linotype" w:eastAsia="Palatino Linotype" w:hAnsi="Palatino Linotype" w:cs="Palatino Linotype"/>
          <w:sz w:val="24"/>
          <w:szCs w:val="24"/>
        </w:rPr>
        <w:t>e determina que el Ayuntamiento de Zinacantepec, no observó lo que dispone el artícu</w:t>
      </w:r>
      <w:r w:rsidRPr="004E04DB">
        <w:rPr>
          <w:rFonts w:ascii="Palatino Linotype" w:eastAsia="Palatino Linotype" w:hAnsi="Palatino Linotype" w:cs="Palatino Linotype"/>
          <w:sz w:val="24"/>
          <w:szCs w:val="24"/>
        </w:rPr>
        <w:t xml:space="preserve">lo 161 de la Ley en la materia y entregó información incompleta. </w:t>
      </w:r>
    </w:p>
    <w:p w14:paraId="253F9B97" w14:textId="77777777" w:rsidR="003A5438" w:rsidRPr="004E04DB" w:rsidRDefault="003A5438" w:rsidP="003A5438">
      <w:pPr>
        <w:spacing w:after="0" w:line="360" w:lineRule="auto"/>
        <w:ind w:right="51"/>
        <w:jc w:val="both"/>
        <w:rPr>
          <w:rFonts w:ascii="Palatino Linotype" w:eastAsia="Palatino Linotype" w:hAnsi="Palatino Linotype" w:cs="Palatino Linotype"/>
          <w:sz w:val="24"/>
        </w:rPr>
      </w:pPr>
    </w:p>
    <w:p w14:paraId="754CA926" w14:textId="78750F25" w:rsidR="00917A6A" w:rsidRPr="004E04DB" w:rsidRDefault="00917A6A"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Es por todo lo anterior que</w:t>
      </w:r>
      <w:r w:rsidR="00720498" w:rsidRPr="004E04DB">
        <w:rPr>
          <w:rFonts w:ascii="Palatino Linotype" w:eastAsia="Palatino Linotype" w:hAnsi="Palatino Linotype" w:cs="Palatino Linotype"/>
          <w:sz w:val="24"/>
          <w:szCs w:val="24"/>
        </w:rPr>
        <w:t xml:space="preserve"> este Organismo Garante determina que los a</w:t>
      </w:r>
      <w:r w:rsidR="002F3C2D" w:rsidRPr="004E04DB">
        <w:rPr>
          <w:rFonts w:ascii="Palatino Linotype" w:eastAsia="Palatino Linotype" w:hAnsi="Palatino Linotype" w:cs="Palatino Linotype"/>
          <w:sz w:val="24"/>
          <w:szCs w:val="24"/>
        </w:rPr>
        <w:t>gravios hechos valer por la parte Recurrente</w:t>
      </w:r>
      <w:r w:rsidR="00646B44" w:rsidRPr="004E04DB">
        <w:rPr>
          <w:rFonts w:ascii="Palatino Linotype" w:eastAsia="Palatino Linotype" w:hAnsi="Palatino Linotype" w:cs="Palatino Linotype"/>
          <w:sz w:val="24"/>
          <w:szCs w:val="24"/>
        </w:rPr>
        <w:t xml:space="preserve"> en su recurso de revisión devienen </w:t>
      </w:r>
      <w:r w:rsidR="004B220B" w:rsidRPr="004E04DB">
        <w:rPr>
          <w:rFonts w:ascii="Palatino Linotype" w:eastAsia="Palatino Linotype" w:hAnsi="Palatino Linotype" w:cs="Palatino Linotype"/>
          <w:b/>
          <w:sz w:val="24"/>
          <w:szCs w:val="24"/>
        </w:rPr>
        <w:t>F</w:t>
      </w:r>
      <w:r w:rsidR="00646B44" w:rsidRPr="004E04DB">
        <w:rPr>
          <w:rFonts w:ascii="Palatino Linotype" w:eastAsia="Palatino Linotype" w:hAnsi="Palatino Linotype" w:cs="Palatino Linotype"/>
          <w:b/>
          <w:sz w:val="24"/>
          <w:szCs w:val="24"/>
        </w:rPr>
        <w:t xml:space="preserve">UNDADOS </w:t>
      </w:r>
      <w:r w:rsidR="00646B44" w:rsidRPr="004E04DB">
        <w:rPr>
          <w:rFonts w:ascii="Palatino Linotype" w:eastAsia="Palatino Linotype" w:hAnsi="Palatino Linotype" w:cs="Palatino Linotype"/>
          <w:sz w:val="24"/>
          <w:szCs w:val="24"/>
        </w:rPr>
        <w:t xml:space="preserve">y, por ende, </w:t>
      </w:r>
      <w:r w:rsidR="00720498" w:rsidRPr="004E04DB">
        <w:rPr>
          <w:rFonts w:ascii="Palatino Linotype" w:eastAsia="Palatino Linotype" w:hAnsi="Palatino Linotype" w:cs="Palatino Linotype"/>
          <w:sz w:val="24"/>
          <w:szCs w:val="24"/>
        </w:rPr>
        <w:t xml:space="preserve">resulta procedente </w:t>
      </w:r>
      <w:r w:rsidR="004C732F" w:rsidRPr="004E04DB">
        <w:rPr>
          <w:rFonts w:ascii="Palatino Linotype" w:eastAsia="Palatino Linotype" w:hAnsi="Palatino Linotype" w:cs="Palatino Linotype"/>
          <w:b/>
          <w:sz w:val="24"/>
          <w:szCs w:val="24"/>
        </w:rPr>
        <w:t>REVOCAR</w:t>
      </w:r>
      <w:r w:rsidR="00646B44" w:rsidRPr="004E04DB">
        <w:rPr>
          <w:rFonts w:ascii="Palatino Linotype" w:eastAsia="Palatino Linotype" w:hAnsi="Palatino Linotype" w:cs="Palatino Linotype"/>
          <w:b/>
          <w:sz w:val="24"/>
          <w:szCs w:val="24"/>
        </w:rPr>
        <w:t xml:space="preserve"> </w:t>
      </w:r>
      <w:r w:rsidR="00646B44" w:rsidRPr="004E04DB">
        <w:rPr>
          <w:rFonts w:ascii="Palatino Linotype" w:eastAsia="Palatino Linotype" w:hAnsi="Palatino Linotype" w:cs="Palatino Linotype"/>
          <w:sz w:val="24"/>
          <w:szCs w:val="24"/>
        </w:rPr>
        <w:t xml:space="preserve">la respuesta del Sujeto Obligado y </w:t>
      </w:r>
      <w:r w:rsidR="00646B44" w:rsidRPr="004E04DB">
        <w:rPr>
          <w:rFonts w:ascii="Palatino Linotype" w:eastAsia="Palatino Linotype" w:hAnsi="Palatino Linotype" w:cs="Palatino Linotype"/>
          <w:b/>
          <w:sz w:val="24"/>
          <w:szCs w:val="24"/>
        </w:rPr>
        <w:t xml:space="preserve">ORDENAR </w:t>
      </w:r>
      <w:r w:rsidRPr="004E04DB">
        <w:rPr>
          <w:rFonts w:ascii="Palatino Linotype" w:eastAsia="Palatino Linotype" w:hAnsi="Palatino Linotype" w:cs="Palatino Linotype"/>
          <w:sz w:val="24"/>
          <w:szCs w:val="24"/>
        </w:rPr>
        <w:t>la entrega</w:t>
      </w:r>
      <w:r w:rsidR="00634588" w:rsidRPr="004E04DB">
        <w:rPr>
          <w:rFonts w:ascii="Palatino Linotype" w:eastAsia="Palatino Linotype" w:hAnsi="Palatino Linotype" w:cs="Palatino Linotype"/>
          <w:sz w:val="24"/>
          <w:szCs w:val="24"/>
        </w:rPr>
        <w:t xml:space="preserve"> </w:t>
      </w:r>
      <w:r w:rsidR="00646B44" w:rsidRPr="004E04DB">
        <w:rPr>
          <w:rFonts w:ascii="Palatino Linotype" w:eastAsia="Palatino Linotype" w:hAnsi="Palatino Linotype" w:cs="Palatino Linotype"/>
          <w:sz w:val="24"/>
          <w:szCs w:val="24"/>
        </w:rPr>
        <w:t xml:space="preserve">vía Sistema de Acceso a la Información Mexiquense, </w:t>
      </w:r>
      <w:r w:rsidR="004C732F" w:rsidRPr="004E04DB">
        <w:rPr>
          <w:rFonts w:ascii="Palatino Linotype" w:eastAsia="Palatino Linotype" w:hAnsi="Palatino Linotype" w:cs="Palatino Linotype"/>
          <w:sz w:val="24"/>
          <w:szCs w:val="24"/>
        </w:rPr>
        <w:t>de ser el caso</w:t>
      </w:r>
      <w:r w:rsidR="00646B44" w:rsidRPr="004E04DB">
        <w:rPr>
          <w:rFonts w:ascii="Palatino Linotype" w:eastAsia="Palatino Linotype" w:hAnsi="Palatino Linotype" w:cs="Palatino Linotype"/>
          <w:sz w:val="24"/>
          <w:szCs w:val="24"/>
        </w:rPr>
        <w:t>,</w:t>
      </w:r>
      <w:r w:rsidR="002F3C2D" w:rsidRPr="004E04DB">
        <w:rPr>
          <w:rFonts w:ascii="Palatino Linotype" w:eastAsia="Palatino Linotype" w:hAnsi="Palatino Linotype" w:cs="Palatino Linotype"/>
          <w:sz w:val="24"/>
          <w:szCs w:val="24"/>
        </w:rPr>
        <w:t xml:space="preserve"> en versión pública, la siguiente información: </w:t>
      </w:r>
    </w:p>
    <w:p w14:paraId="41FE07D4" w14:textId="77777777" w:rsidR="002F3C2D" w:rsidRPr="004E04DB" w:rsidRDefault="002F3C2D" w:rsidP="00A45BB6">
      <w:pPr>
        <w:pBdr>
          <w:top w:val="nil"/>
          <w:left w:val="nil"/>
          <w:bottom w:val="nil"/>
          <w:right w:val="nil"/>
          <w:between w:val="nil"/>
        </w:pBdr>
        <w:spacing w:after="0" w:line="360" w:lineRule="auto"/>
        <w:ind w:right="560"/>
        <w:jc w:val="both"/>
        <w:rPr>
          <w:rFonts w:ascii="Palatino Linotype" w:eastAsia="Palatino Linotype" w:hAnsi="Palatino Linotype" w:cs="Palatino Linotype"/>
          <w:sz w:val="24"/>
          <w:szCs w:val="24"/>
        </w:rPr>
      </w:pPr>
    </w:p>
    <w:p w14:paraId="35D765F3" w14:textId="138A0F84" w:rsidR="00F8557D" w:rsidRPr="004E04DB" w:rsidRDefault="003A5438" w:rsidP="003A5438">
      <w:pPr>
        <w:pStyle w:val="Prrafodelista"/>
        <w:numPr>
          <w:ilvl w:val="0"/>
          <w:numId w:val="16"/>
        </w:num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rPr>
        <w:t xml:space="preserve">Documento donde conste el inventario general de bienes muebles e inmuebles </w:t>
      </w:r>
      <w:r w:rsidR="00FE60FB" w:rsidRPr="004E04DB">
        <w:rPr>
          <w:rFonts w:ascii="Palatino Linotype" w:eastAsia="Palatino Linotype" w:hAnsi="Palatino Linotype" w:cs="Palatino Linotype"/>
        </w:rPr>
        <w:t xml:space="preserve">vigente </w:t>
      </w:r>
      <w:r w:rsidRPr="004E04DB">
        <w:rPr>
          <w:rFonts w:ascii="Palatino Linotype" w:eastAsia="Palatino Linotype" w:hAnsi="Palatino Linotype" w:cs="Palatino Linotype"/>
        </w:rPr>
        <w:t>al cuatro de agosto de dos mil veintitrés.</w:t>
      </w:r>
    </w:p>
    <w:p w14:paraId="618F7370" w14:textId="77777777" w:rsidR="003A5438" w:rsidRPr="004E04DB" w:rsidRDefault="003A5438" w:rsidP="003A5438">
      <w:pPr>
        <w:pStyle w:val="Prrafodelista"/>
        <w:spacing w:after="0" w:line="360" w:lineRule="auto"/>
        <w:ind w:right="49"/>
        <w:jc w:val="both"/>
        <w:rPr>
          <w:rFonts w:ascii="Palatino Linotype" w:eastAsia="Palatino Linotype" w:hAnsi="Palatino Linotype" w:cs="Palatino Linotype"/>
          <w:sz w:val="24"/>
          <w:szCs w:val="24"/>
        </w:rPr>
      </w:pPr>
    </w:p>
    <w:p w14:paraId="6FA21564" w14:textId="2CFD322B" w:rsidR="00F8557D" w:rsidRPr="004E04DB" w:rsidRDefault="00646B44" w:rsidP="00A45BB6">
      <w:pPr>
        <w:spacing w:after="0" w:line="276" w:lineRule="auto"/>
        <w:ind w:left="567" w:right="560"/>
        <w:jc w:val="both"/>
        <w:rPr>
          <w:rFonts w:ascii="Palatino Linotype" w:eastAsia="Palatino Linotype" w:hAnsi="Palatino Linotype" w:cs="Palatino Linotype"/>
          <w:i/>
          <w:iCs/>
          <w:sz w:val="24"/>
          <w:szCs w:val="24"/>
        </w:rPr>
      </w:pPr>
      <w:r w:rsidRPr="004E04DB">
        <w:rPr>
          <w:rFonts w:ascii="Palatino Linotype" w:eastAsia="Palatino Linotype" w:hAnsi="Palatino Linotype" w:cs="Palatino Linotype"/>
          <w:i/>
          <w:iCs/>
          <w:sz w:val="24"/>
          <w:szCs w:val="24"/>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325C5DA" w14:textId="77777777" w:rsidR="00C2535A" w:rsidRPr="004E04DB" w:rsidRDefault="00C2535A" w:rsidP="003B72BC">
      <w:pPr>
        <w:spacing w:after="0" w:line="360" w:lineRule="auto"/>
        <w:ind w:right="49"/>
        <w:jc w:val="both"/>
        <w:rPr>
          <w:rFonts w:ascii="Palatino Linotype" w:eastAsia="Palatino Linotype" w:hAnsi="Palatino Linotype" w:cs="Palatino Linotype"/>
          <w:sz w:val="24"/>
          <w:szCs w:val="24"/>
        </w:rPr>
      </w:pPr>
    </w:p>
    <w:p w14:paraId="01D095DF" w14:textId="77777777" w:rsidR="009E75B5" w:rsidRPr="004E04DB" w:rsidRDefault="009E75B5" w:rsidP="009E75B5">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b/>
          <w:sz w:val="24"/>
        </w:rPr>
        <w:t>Quinto. Versión Pública</w:t>
      </w:r>
      <w:r w:rsidRPr="004E04DB">
        <w:rPr>
          <w:rFonts w:ascii="Palatino Linotype" w:eastAsia="Palatino Linotype" w:hAnsi="Palatino Linotype" w:cs="Palatino Linotype"/>
          <w:sz w:val="24"/>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3A12499A" w14:textId="77777777" w:rsidR="009E75B5" w:rsidRPr="004E04DB" w:rsidRDefault="009E75B5" w:rsidP="009E75B5">
      <w:pPr>
        <w:spacing w:after="0" w:line="360" w:lineRule="auto"/>
        <w:jc w:val="both"/>
        <w:rPr>
          <w:rFonts w:ascii="Palatino Linotype" w:eastAsia="Palatino Linotype" w:hAnsi="Palatino Linotype" w:cs="Palatino Linotype"/>
        </w:rPr>
      </w:pPr>
    </w:p>
    <w:p w14:paraId="6A9E7EA0" w14:textId="77777777" w:rsidR="009E75B5" w:rsidRPr="004E04DB" w:rsidRDefault="009E75B5" w:rsidP="009E75B5">
      <w:pPr>
        <w:spacing w:after="0" w:line="360" w:lineRule="auto"/>
        <w:ind w:right="50"/>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Lo anterior, de conformidad con lo que señalan los artículos 3 fracciones IX, XX, XXI y XLV, 91, 132 fracciones II y III, y 143 de la Ley de Transparencia y Acceso a la Información Pública del Estado de México y Municipios que establecen:</w:t>
      </w:r>
    </w:p>
    <w:p w14:paraId="5D6C9D42" w14:textId="77777777" w:rsidR="009E75B5" w:rsidRPr="004E04DB" w:rsidRDefault="009E75B5" w:rsidP="009E75B5">
      <w:pPr>
        <w:spacing w:after="0" w:line="360" w:lineRule="auto"/>
        <w:ind w:right="50"/>
        <w:jc w:val="both"/>
        <w:rPr>
          <w:rFonts w:ascii="Palatino Linotype" w:eastAsia="Palatino Linotype" w:hAnsi="Palatino Linotype" w:cs="Palatino Linotype"/>
        </w:rPr>
      </w:pPr>
    </w:p>
    <w:p w14:paraId="2AD9E4B7"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r w:rsidRPr="004E04DB">
        <w:rPr>
          <w:rFonts w:ascii="Palatino Linotype" w:eastAsia="Palatino Linotype" w:hAnsi="Palatino Linotype" w:cs="Palatino Linotype"/>
          <w:b/>
          <w:i/>
        </w:rPr>
        <w:t>Artículo 3.</w:t>
      </w:r>
      <w:r w:rsidRPr="004E04DB">
        <w:rPr>
          <w:rFonts w:ascii="Palatino Linotype" w:eastAsia="Palatino Linotype" w:hAnsi="Palatino Linotype" w:cs="Palatino Linotype"/>
          <w:i/>
        </w:rPr>
        <w:t xml:space="preserve"> Para los efectos de la presente Ley se entenderá por:</w:t>
      </w:r>
    </w:p>
    <w:p w14:paraId="0427FE00"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p>
    <w:p w14:paraId="0D47FE59"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DF56697"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XX. Información clasificada: Aquella considerada por la presente Ley como reservada o confidencial;</w:t>
      </w:r>
    </w:p>
    <w:p w14:paraId="6A6D628E"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6AC82B"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788DC048"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p>
    <w:p w14:paraId="71167FDE"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b/>
          <w:i/>
        </w:rPr>
        <w:t>Artículo 91.</w:t>
      </w:r>
      <w:r w:rsidRPr="004E04DB">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7345AD1"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b/>
          <w:i/>
        </w:rPr>
        <w:t>Artículo 132.</w:t>
      </w:r>
      <w:r w:rsidRPr="004E04DB">
        <w:rPr>
          <w:rFonts w:ascii="Palatino Linotype" w:eastAsia="Palatino Linotype" w:hAnsi="Palatino Linotype" w:cs="Palatino Linotype"/>
          <w:i/>
        </w:rPr>
        <w:t xml:space="preserve"> La clasificación de la información se llevará a cabo en el momento en que:</w:t>
      </w:r>
    </w:p>
    <w:p w14:paraId="7E8CBE71" w14:textId="77777777" w:rsidR="009E75B5" w:rsidRPr="004E04DB"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I. Se reciba una solicitud de acceso a la información;</w:t>
      </w:r>
    </w:p>
    <w:p w14:paraId="7872EFEE" w14:textId="77777777" w:rsidR="009E75B5" w:rsidRPr="004E04DB"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II. Se determine mediante resolución de autoridad competente; o</w:t>
      </w:r>
    </w:p>
    <w:p w14:paraId="6C6B7977" w14:textId="77777777" w:rsidR="009E75B5" w:rsidRPr="004E04DB"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III. Se generen versiones públicas para dar cumplimiento a las obligaciones de transparencia previstas en esta Ley.</w:t>
      </w:r>
    </w:p>
    <w:p w14:paraId="721FBBBE"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p>
    <w:p w14:paraId="46726F6B"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b/>
          <w:i/>
        </w:rPr>
        <w:t>Artículo 143</w:t>
      </w:r>
      <w:r w:rsidRPr="004E04DB">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F293E67"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I. Se refiera a la información privada y los datos personales concernientes a una persona física o </w:t>
      </w:r>
      <w:proofErr w:type="gramStart"/>
      <w:r w:rsidRPr="004E04DB">
        <w:rPr>
          <w:rFonts w:ascii="Palatino Linotype" w:eastAsia="Palatino Linotype" w:hAnsi="Palatino Linotype" w:cs="Palatino Linotype"/>
          <w:i/>
        </w:rPr>
        <w:t>jurídico</w:t>
      </w:r>
      <w:proofErr w:type="gramEnd"/>
      <w:r w:rsidRPr="004E04DB">
        <w:rPr>
          <w:rFonts w:ascii="Palatino Linotype" w:eastAsia="Palatino Linotype" w:hAnsi="Palatino Linotype" w:cs="Palatino Linotype"/>
          <w:i/>
        </w:rPr>
        <w:t xml:space="preserve"> colectiva identificada o identificable;</w:t>
      </w:r>
    </w:p>
    <w:p w14:paraId="5C4BC9C9"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2891216"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III. La que presenten los particulares a los sujetos obligados, de conformidad con lo dispuesto por las leyes o los tratados internacionales.</w:t>
      </w:r>
    </w:p>
    <w:p w14:paraId="3F87CFAD"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836F916"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FFEA7A5"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p>
    <w:p w14:paraId="777238EF" w14:textId="77777777" w:rsidR="009E75B5" w:rsidRPr="004E04DB" w:rsidRDefault="009E75B5" w:rsidP="009E75B5">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 xml:space="preserve">Igualmente, los Lineamientos Generales en Materia de Clasificación y Desclasificación de la Información, así como para la elaboración de Versiones Públicas, emitidos por el </w:t>
      </w:r>
      <w:r w:rsidRPr="004E04DB">
        <w:rPr>
          <w:rFonts w:ascii="Palatino Linotype" w:eastAsia="Palatino Linotype" w:hAnsi="Palatino Linotype" w:cs="Palatino Linotype"/>
          <w:sz w:val="24"/>
        </w:rPr>
        <w:lastRenderedPageBreak/>
        <w:t>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FF1A6A" w14:textId="77777777" w:rsidR="009E75B5" w:rsidRPr="004E04DB" w:rsidRDefault="009E75B5" w:rsidP="009E75B5">
      <w:pPr>
        <w:spacing w:after="0" w:line="276" w:lineRule="auto"/>
        <w:jc w:val="both"/>
        <w:rPr>
          <w:rFonts w:ascii="Palatino Linotype" w:eastAsia="Palatino Linotype" w:hAnsi="Palatino Linotype" w:cs="Palatino Linotype"/>
        </w:rPr>
      </w:pPr>
    </w:p>
    <w:p w14:paraId="1CA53C70" w14:textId="77777777" w:rsidR="009E75B5" w:rsidRPr="004E04DB" w:rsidRDefault="009E75B5" w:rsidP="009E75B5">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A0C45C5" w14:textId="77777777" w:rsidR="009E75B5" w:rsidRPr="004E04DB" w:rsidRDefault="009E75B5" w:rsidP="009E75B5">
      <w:pPr>
        <w:spacing w:after="0" w:line="360" w:lineRule="auto"/>
        <w:jc w:val="both"/>
        <w:rPr>
          <w:rFonts w:ascii="Palatino Linotype" w:eastAsia="Palatino Linotype" w:hAnsi="Palatino Linotype" w:cs="Palatino Linotype"/>
        </w:rPr>
      </w:pPr>
    </w:p>
    <w:p w14:paraId="13DD4912"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 “</w:t>
      </w:r>
      <w:r w:rsidRPr="004E04DB">
        <w:rPr>
          <w:rFonts w:ascii="Palatino Linotype" w:eastAsia="Palatino Linotype" w:hAnsi="Palatino Linotype" w:cs="Palatino Linotype"/>
          <w:b/>
          <w:i/>
        </w:rPr>
        <w:t>Quincuagésimo</w:t>
      </w:r>
      <w:r w:rsidRPr="004E04DB">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B48FB5A"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b/>
          <w:i/>
        </w:rPr>
        <w:t>Quincuagésimo primero.</w:t>
      </w:r>
      <w:r w:rsidRPr="004E04DB">
        <w:rPr>
          <w:rFonts w:ascii="Palatino Linotype" w:eastAsia="Palatino Linotype" w:hAnsi="Palatino Linotype" w:cs="Palatino Linotype"/>
          <w:i/>
        </w:rPr>
        <w:t xml:space="preserve"> Toda acta del Comité de Transparencia deberá contener: </w:t>
      </w:r>
    </w:p>
    <w:p w14:paraId="29DF6DEF"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I. El número de sesión y fecha; </w:t>
      </w:r>
    </w:p>
    <w:p w14:paraId="7B89332D"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II. El nombre del área que solicitó la clasificación de información; </w:t>
      </w:r>
    </w:p>
    <w:p w14:paraId="597D3EE1"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III. La fundamentación legal y motivación correspondiente; </w:t>
      </w:r>
    </w:p>
    <w:p w14:paraId="34E22F8E"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IV. La resolución o resoluciones aprobadas; y </w:t>
      </w:r>
    </w:p>
    <w:p w14:paraId="6447310D"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V. La rúbrica o firma digital de cada integrante del Comité de Transparencia. </w:t>
      </w:r>
    </w:p>
    <w:p w14:paraId="1A31B117"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7F63925F"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I. Los motivos y razonamientos que sustenten la confirmación o modificación de la prueba de daño;</w:t>
      </w:r>
    </w:p>
    <w:p w14:paraId="29F3509B"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II. Descripción de las partes o secciones reservadas, en caso de clasificación parcial; </w:t>
      </w:r>
    </w:p>
    <w:p w14:paraId="76681B27"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III. El periodo por el que mantendrá su clasificación y fecha de expiración; y </w:t>
      </w:r>
    </w:p>
    <w:p w14:paraId="12E6A700"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lastRenderedPageBreak/>
        <w:t xml:space="preserve">IV. El nombre del titular y área encargada de realizar la versión pública del documento, en su caso. </w:t>
      </w:r>
    </w:p>
    <w:p w14:paraId="35A159FB"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0A05C7C1"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1ACCFB3A"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b/>
          <w:i/>
        </w:rPr>
        <w:t>Quincuagésimo segundo.</w:t>
      </w:r>
      <w:r w:rsidRPr="004E04DB">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4E04DB">
        <w:rPr>
          <w:rFonts w:ascii="Palatino Linotype" w:eastAsia="Palatino Linotype" w:hAnsi="Palatino Linotype" w:cs="Palatino Linotype"/>
          <w:i/>
        </w:rPr>
        <w:t>sobreposición</w:t>
      </w:r>
      <w:proofErr w:type="spellEnd"/>
      <w:r w:rsidRPr="004E04DB">
        <w:rPr>
          <w:rFonts w:ascii="Palatino Linotype" w:eastAsia="Palatino Linotype" w:hAnsi="Palatino Linotype" w:cs="Palatino Linotype"/>
          <w:i/>
        </w:rPr>
        <w:t xml:space="preserve"> de contenido distinto al autorizado por el Comité.</w:t>
      </w:r>
    </w:p>
    <w:p w14:paraId="44CE97D1"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44A30C29"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I. Fijar la fecha en que se elaboró la versión pública y la fecha en la cual el Comité de Transparencia confirmó dicha versión;</w:t>
      </w:r>
    </w:p>
    <w:p w14:paraId="3E165590"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9DD58E4"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III. Señalar las personas o instancias autorizadas a acceder a la información clasificada.</w:t>
      </w:r>
    </w:p>
    <w:p w14:paraId="3BA80C07"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8E24348"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p>
    <w:p w14:paraId="5B3BF9B8" w14:textId="77777777" w:rsidR="009E75B5" w:rsidRPr="004E04DB" w:rsidRDefault="009E75B5" w:rsidP="009E75B5">
      <w:pPr>
        <w:spacing w:after="0" w:line="360" w:lineRule="auto"/>
        <w:ind w:right="50"/>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 xml:space="preserve">Asimismo, se deberá observar el Lineamiento Quincuagésimo tercero de los Lineamientos Generales en Materia de Clasificación y Desclasificación de la Información </w:t>
      </w:r>
      <w:proofErr w:type="spellStart"/>
      <w:r w:rsidRPr="004E04DB">
        <w:rPr>
          <w:rFonts w:ascii="Palatino Linotype" w:eastAsia="Palatino Linotype" w:hAnsi="Palatino Linotype" w:cs="Palatino Linotype"/>
          <w:sz w:val="24"/>
        </w:rPr>
        <w:t>supraindicados</w:t>
      </w:r>
      <w:proofErr w:type="spellEnd"/>
      <w:r w:rsidRPr="004E04DB">
        <w:rPr>
          <w:rFonts w:ascii="Palatino Linotype" w:eastAsia="Palatino Linotype" w:hAnsi="Palatino Linotype" w:cs="Palatino Linotype"/>
          <w:sz w:val="24"/>
        </w:rPr>
        <w:t xml:space="preserve"> el cual establece los formatos para la clasificación de los documentos, conforme a lo siguiente: </w:t>
      </w:r>
    </w:p>
    <w:p w14:paraId="26E7FC82" w14:textId="77777777" w:rsidR="009E75B5" w:rsidRPr="004E04DB" w:rsidRDefault="009E75B5" w:rsidP="009E75B5">
      <w:pPr>
        <w:spacing w:after="0"/>
        <w:ind w:left="851" w:right="900"/>
        <w:jc w:val="center"/>
        <w:rPr>
          <w:rFonts w:ascii="Palatino Linotype" w:eastAsia="Palatino Linotype" w:hAnsi="Palatino Linotype" w:cs="Palatino Linotype"/>
          <w:b/>
          <w:i/>
        </w:rPr>
      </w:pPr>
      <w:r w:rsidRPr="004E04DB">
        <w:rPr>
          <w:rFonts w:ascii="Palatino Linotype" w:eastAsia="Palatino Linotype" w:hAnsi="Palatino Linotype" w:cs="Palatino Linotype"/>
          <w:b/>
          <w:i/>
        </w:rPr>
        <w:t>CAPÍTULO VIII</w:t>
      </w:r>
    </w:p>
    <w:p w14:paraId="2CCED9F3" w14:textId="77777777" w:rsidR="009E75B5" w:rsidRPr="004E04DB" w:rsidRDefault="009E75B5" w:rsidP="009E75B5">
      <w:pPr>
        <w:spacing w:after="0"/>
        <w:ind w:left="851" w:right="900"/>
        <w:jc w:val="center"/>
        <w:rPr>
          <w:rFonts w:ascii="Palatino Linotype" w:eastAsia="Palatino Linotype" w:hAnsi="Palatino Linotype" w:cs="Palatino Linotype"/>
          <w:b/>
          <w:i/>
        </w:rPr>
      </w:pPr>
      <w:r w:rsidRPr="004E04DB">
        <w:rPr>
          <w:rFonts w:ascii="Palatino Linotype" w:eastAsia="Palatino Linotype" w:hAnsi="Palatino Linotype" w:cs="Palatino Linotype"/>
          <w:b/>
          <w:i/>
        </w:rPr>
        <w:t xml:space="preserve">DE LOS ELEMENTOS PARA LA CLASIFICACIÓN </w:t>
      </w:r>
    </w:p>
    <w:p w14:paraId="168C0723" w14:textId="77777777" w:rsidR="009E75B5" w:rsidRPr="004E04DB" w:rsidRDefault="009E75B5" w:rsidP="009E75B5">
      <w:pPr>
        <w:spacing w:after="0"/>
        <w:ind w:left="851" w:right="902"/>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Quincuagésimo tercero. </w:t>
      </w:r>
      <w:r w:rsidRPr="004E04DB">
        <w:rPr>
          <w:rFonts w:ascii="Palatino Linotype" w:eastAsia="Palatino Linotype" w:hAnsi="Palatino Linotype" w:cs="Palatino Linotype"/>
          <w:i/>
          <w:u w:val="single"/>
        </w:rPr>
        <w:t>El formato para señalar la clasificación de un documento o expediente que contenga información reservada</w:t>
      </w:r>
      <w:r w:rsidRPr="004E04DB">
        <w:rPr>
          <w:rFonts w:ascii="Palatino Linotype" w:eastAsia="Palatino Linotype" w:hAnsi="Palatino Linotype" w:cs="Palatino Linotype"/>
          <w:i/>
        </w:rPr>
        <w:t xml:space="preserve">, es el siguiente: </w:t>
      </w:r>
    </w:p>
    <w:p w14:paraId="14FA849D" w14:textId="77777777" w:rsidR="009E75B5" w:rsidRPr="004E04DB" w:rsidRDefault="009E75B5" w:rsidP="009E75B5">
      <w:pPr>
        <w:spacing w:after="0"/>
        <w:ind w:left="851" w:right="902"/>
        <w:jc w:val="both"/>
        <w:rPr>
          <w:rFonts w:ascii="Palatino Linotype" w:eastAsia="Palatino Linotype" w:hAnsi="Palatino Linotype" w:cs="Palatino Linotype"/>
          <w:i/>
        </w:rPr>
      </w:pPr>
    </w:p>
    <w:tbl>
      <w:tblPr>
        <w:tblStyle w:val="Tablaconcuadrcula"/>
        <w:tblW w:w="0" w:type="auto"/>
        <w:jc w:val="center"/>
        <w:tblLook w:val="04A0" w:firstRow="1" w:lastRow="0" w:firstColumn="1" w:lastColumn="0" w:noHBand="0" w:noVBand="1"/>
      </w:tblPr>
      <w:tblGrid>
        <w:gridCol w:w="1271"/>
        <w:gridCol w:w="2693"/>
        <w:gridCol w:w="3691"/>
      </w:tblGrid>
      <w:tr w:rsidR="004E04DB" w:rsidRPr="004E04DB" w14:paraId="7006843B" w14:textId="77777777" w:rsidTr="00241DE1">
        <w:trPr>
          <w:trHeight w:val="262"/>
          <w:jc w:val="center"/>
        </w:trPr>
        <w:tc>
          <w:tcPr>
            <w:tcW w:w="1271" w:type="dxa"/>
            <w:tcBorders>
              <w:top w:val="nil"/>
              <w:left w:val="nil"/>
            </w:tcBorders>
          </w:tcPr>
          <w:p w14:paraId="69BE25AB" w14:textId="77777777" w:rsidR="009E75B5" w:rsidRPr="004E04DB" w:rsidRDefault="009E75B5" w:rsidP="009E75B5">
            <w:pPr>
              <w:rPr>
                <w:rFonts w:ascii="Palatino Linotype" w:hAnsi="Palatino Linotype"/>
                <w:sz w:val="20"/>
              </w:rPr>
            </w:pPr>
          </w:p>
        </w:tc>
        <w:tc>
          <w:tcPr>
            <w:tcW w:w="2693" w:type="dxa"/>
            <w:shd w:val="clear" w:color="auto" w:fill="D9D9D9" w:themeFill="background1" w:themeFillShade="D9"/>
          </w:tcPr>
          <w:p w14:paraId="3EB7F886" w14:textId="77777777" w:rsidR="009E75B5" w:rsidRPr="004E04DB" w:rsidRDefault="009E75B5" w:rsidP="009E75B5">
            <w:pPr>
              <w:tabs>
                <w:tab w:val="center" w:pos="1238"/>
                <w:tab w:val="right" w:pos="2477"/>
              </w:tabs>
              <w:rPr>
                <w:rFonts w:ascii="Palatino Linotype" w:hAnsi="Palatino Linotype"/>
                <w:b/>
                <w:sz w:val="20"/>
              </w:rPr>
            </w:pPr>
            <w:r w:rsidRPr="004E04DB">
              <w:rPr>
                <w:rFonts w:ascii="Palatino Linotype" w:hAnsi="Palatino Linotype"/>
                <w:b/>
                <w:sz w:val="20"/>
              </w:rPr>
              <w:tab/>
              <w:t>Concepto</w:t>
            </w:r>
            <w:r w:rsidRPr="004E04DB">
              <w:rPr>
                <w:rFonts w:ascii="Palatino Linotype" w:hAnsi="Palatino Linotype"/>
                <w:b/>
                <w:sz w:val="20"/>
              </w:rPr>
              <w:tab/>
            </w:r>
          </w:p>
        </w:tc>
        <w:tc>
          <w:tcPr>
            <w:tcW w:w="3691" w:type="dxa"/>
            <w:shd w:val="clear" w:color="auto" w:fill="D9D9D9" w:themeFill="background1" w:themeFillShade="D9"/>
          </w:tcPr>
          <w:p w14:paraId="32C5F9A2" w14:textId="77777777" w:rsidR="009E75B5" w:rsidRPr="004E04DB" w:rsidRDefault="009E75B5" w:rsidP="009E75B5">
            <w:pPr>
              <w:jc w:val="center"/>
              <w:rPr>
                <w:rFonts w:ascii="Palatino Linotype" w:hAnsi="Palatino Linotype"/>
                <w:b/>
                <w:sz w:val="20"/>
              </w:rPr>
            </w:pPr>
            <w:r w:rsidRPr="004E04DB">
              <w:rPr>
                <w:rFonts w:ascii="Palatino Linotype" w:hAnsi="Palatino Linotype"/>
                <w:b/>
                <w:sz w:val="20"/>
              </w:rPr>
              <w:t>Dónde</w:t>
            </w:r>
          </w:p>
        </w:tc>
      </w:tr>
      <w:tr w:rsidR="004E04DB" w:rsidRPr="004E04DB" w14:paraId="622696CD" w14:textId="77777777" w:rsidTr="00241DE1">
        <w:trPr>
          <w:jc w:val="center"/>
        </w:trPr>
        <w:tc>
          <w:tcPr>
            <w:tcW w:w="1271" w:type="dxa"/>
            <w:vMerge w:val="restart"/>
            <w:shd w:val="clear" w:color="auto" w:fill="D9D9D9" w:themeFill="background1" w:themeFillShade="D9"/>
          </w:tcPr>
          <w:p w14:paraId="450BB71B" w14:textId="77777777" w:rsidR="009E75B5" w:rsidRPr="004E04DB" w:rsidRDefault="009E75B5" w:rsidP="009E75B5">
            <w:pPr>
              <w:jc w:val="both"/>
              <w:rPr>
                <w:rFonts w:ascii="Palatino Linotype" w:hAnsi="Palatino Linotype"/>
                <w:b/>
                <w:sz w:val="20"/>
              </w:rPr>
            </w:pPr>
          </w:p>
          <w:p w14:paraId="6D7C6165" w14:textId="77777777" w:rsidR="009E75B5" w:rsidRPr="004E04DB" w:rsidRDefault="009E75B5" w:rsidP="009E75B5">
            <w:pPr>
              <w:jc w:val="both"/>
              <w:rPr>
                <w:rFonts w:ascii="Palatino Linotype" w:hAnsi="Palatino Linotype"/>
                <w:b/>
                <w:sz w:val="20"/>
              </w:rPr>
            </w:pPr>
          </w:p>
          <w:p w14:paraId="57B150AF" w14:textId="77777777" w:rsidR="009E75B5" w:rsidRPr="004E04DB" w:rsidRDefault="009E75B5" w:rsidP="009E75B5">
            <w:pPr>
              <w:jc w:val="both"/>
              <w:rPr>
                <w:rFonts w:ascii="Palatino Linotype" w:hAnsi="Palatino Linotype"/>
                <w:b/>
                <w:sz w:val="20"/>
              </w:rPr>
            </w:pPr>
          </w:p>
          <w:p w14:paraId="4871201E" w14:textId="77777777" w:rsidR="009E75B5" w:rsidRPr="004E04DB" w:rsidRDefault="009E75B5" w:rsidP="009E75B5">
            <w:pPr>
              <w:jc w:val="both"/>
              <w:rPr>
                <w:rFonts w:ascii="Palatino Linotype" w:hAnsi="Palatino Linotype"/>
                <w:b/>
                <w:sz w:val="20"/>
              </w:rPr>
            </w:pPr>
          </w:p>
          <w:p w14:paraId="36E9F0DF" w14:textId="77777777" w:rsidR="009E75B5" w:rsidRPr="004E04DB" w:rsidRDefault="009E75B5" w:rsidP="009E75B5">
            <w:pPr>
              <w:jc w:val="both"/>
              <w:rPr>
                <w:rFonts w:ascii="Palatino Linotype" w:hAnsi="Palatino Linotype"/>
                <w:b/>
                <w:sz w:val="20"/>
              </w:rPr>
            </w:pPr>
          </w:p>
          <w:p w14:paraId="47CA69E9" w14:textId="77777777" w:rsidR="009E75B5" w:rsidRPr="004E04DB" w:rsidRDefault="009E75B5" w:rsidP="009E75B5">
            <w:pPr>
              <w:jc w:val="both"/>
              <w:rPr>
                <w:rFonts w:ascii="Palatino Linotype" w:hAnsi="Palatino Linotype"/>
                <w:b/>
                <w:sz w:val="20"/>
              </w:rPr>
            </w:pPr>
          </w:p>
          <w:p w14:paraId="3B4DF3C0" w14:textId="77777777" w:rsidR="009E75B5" w:rsidRPr="004E04DB" w:rsidRDefault="009E75B5" w:rsidP="009E75B5">
            <w:pPr>
              <w:jc w:val="both"/>
              <w:rPr>
                <w:rFonts w:ascii="Palatino Linotype" w:hAnsi="Palatino Linotype"/>
                <w:b/>
                <w:sz w:val="20"/>
              </w:rPr>
            </w:pPr>
            <w:r w:rsidRPr="004E04DB">
              <w:rPr>
                <w:rFonts w:ascii="Palatino Linotype" w:hAnsi="Palatino Linotype"/>
                <w:b/>
                <w:sz w:val="20"/>
              </w:rPr>
              <w:t xml:space="preserve">Sello oficial o logotipo del sujeto obligado </w:t>
            </w:r>
          </w:p>
        </w:tc>
        <w:tc>
          <w:tcPr>
            <w:tcW w:w="2693" w:type="dxa"/>
          </w:tcPr>
          <w:p w14:paraId="388CDA00" w14:textId="77777777" w:rsidR="009E75B5" w:rsidRPr="004E04DB" w:rsidRDefault="009E75B5" w:rsidP="009E75B5">
            <w:pPr>
              <w:rPr>
                <w:rFonts w:ascii="Palatino Linotype" w:hAnsi="Palatino Linotype"/>
                <w:sz w:val="20"/>
              </w:rPr>
            </w:pPr>
            <w:r w:rsidRPr="004E04DB">
              <w:rPr>
                <w:rFonts w:ascii="Palatino Linotype" w:hAnsi="Palatino Linotype"/>
                <w:sz w:val="20"/>
              </w:rPr>
              <w:t>Fecha de clasificación</w:t>
            </w:r>
          </w:p>
        </w:tc>
        <w:tc>
          <w:tcPr>
            <w:tcW w:w="3691" w:type="dxa"/>
          </w:tcPr>
          <w:p w14:paraId="0E941642" w14:textId="77777777" w:rsidR="009E75B5" w:rsidRPr="004E04DB" w:rsidRDefault="009E75B5" w:rsidP="009E75B5">
            <w:pPr>
              <w:jc w:val="both"/>
              <w:rPr>
                <w:rFonts w:ascii="Palatino Linotype" w:hAnsi="Palatino Linotype"/>
                <w:sz w:val="20"/>
              </w:rPr>
            </w:pPr>
            <w:r w:rsidRPr="004E04DB">
              <w:rPr>
                <w:rFonts w:ascii="Palatino Linotype" w:hAnsi="Palatino Linotype"/>
                <w:sz w:val="20"/>
              </w:rPr>
              <w:t xml:space="preserve">Se anotará la fecha en la que el Comité de Transparencia confirmó la clasificación del documento o expediente, en su caso. </w:t>
            </w:r>
          </w:p>
        </w:tc>
      </w:tr>
      <w:tr w:rsidR="004E04DB" w:rsidRPr="004E04DB" w14:paraId="07C802EB" w14:textId="77777777" w:rsidTr="00241DE1">
        <w:trPr>
          <w:jc w:val="center"/>
        </w:trPr>
        <w:tc>
          <w:tcPr>
            <w:tcW w:w="1271" w:type="dxa"/>
            <w:vMerge/>
            <w:shd w:val="clear" w:color="auto" w:fill="D9D9D9" w:themeFill="background1" w:themeFillShade="D9"/>
          </w:tcPr>
          <w:p w14:paraId="7D74127B" w14:textId="77777777" w:rsidR="009E75B5" w:rsidRPr="004E04DB" w:rsidRDefault="009E75B5" w:rsidP="009E75B5">
            <w:pPr>
              <w:rPr>
                <w:rFonts w:ascii="Palatino Linotype" w:hAnsi="Palatino Linotype"/>
                <w:sz w:val="20"/>
              </w:rPr>
            </w:pPr>
          </w:p>
        </w:tc>
        <w:tc>
          <w:tcPr>
            <w:tcW w:w="2693" w:type="dxa"/>
          </w:tcPr>
          <w:p w14:paraId="68F5FAFB" w14:textId="77777777" w:rsidR="009E75B5" w:rsidRPr="004E04DB" w:rsidRDefault="009E75B5" w:rsidP="009E75B5">
            <w:pPr>
              <w:rPr>
                <w:rFonts w:ascii="Palatino Linotype" w:hAnsi="Palatino Linotype"/>
                <w:sz w:val="20"/>
              </w:rPr>
            </w:pPr>
            <w:r w:rsidRPr="004E04DB">
              <w:rPr>
                <w:rFonts w:ascii="Palatino Linotype" w:hAnsi="Palatino Linotype"/>
                <w:sz w:val="20"/>
              </w:rPr>
              <w:t xml:space="preserve">Área </w:t>
            </w:r>
          </w:p>
        </w:tc>
        <w:tc>
          <w:tcPr>
            <w:tcW w:w="3691" w:type="dxa"/>
          </w:tcPr>
          <w:p w14:paraId="3FAA6A97" w14:textId="77777777" w:rsidR="009E75B5" w:rsidRPr="004E04DB" w:rsidRDefault="009E75B5" w:rsidP="009E75B5">
            <w:pPr>
              <w:jc w:val="both"/>
              <w:rPr>
                <w:rFonts w:ascii="Palatino Linotype" w:hAnsi="Palatino Linotype"/>
                <w:sz w:val="20"/>
              </w:rPr>
            </w:pPr>
            <w:r w:rsidRPr="004E04DB">
              <w:rPr>
                <w:rFonts w:ascii="Palatino Linotype" w:hAnsi="Palatino Linotype"/>
                <w:sz w:val="20"/>
              </w:rPr>
              <w:t xml:space="preserve">Se señalará el nombre del área del cual es titular quien clasifica. </w:t>
            </w:r>
          </w:p>
        </w:tc>
      </w:tr>
      <w:tr w:rsidR="004E04DB" w:rsidRPr="004E04DB" w14:paraId="36AB0DA5" w14:textId="77777777" w:rsidTr="00241DE1">
        <w:trPr>
          <w:jc w:val="center"/>
        </w:trPr>
        <w:tc>
          <w:tcPr>
            <w:tcW w:w="1271" w:type="dxa"/>
            <w:vMerge/>
            <w:shd w:val="clear" w:color="auto" w:fill="D9D9D9" w:themeFill="background1" w:themeFillShade="D9"/>
          </w:tcPr>
          <w:p w14:paraId="1F249F9B" w14:textId="77777777" w:rsidR="009E75B5" w:rsidRPr="004E04DB" w:rsidRDefault="009E75B5" w:rsidP="009E75B5">
            <w:pPr>
              <w:rPr>
                <w:rFonts w:ascii="Palatino Linotype" w:hAnsi="Palatino Linotype"/>
                <w:sz w:val="20"/>
              </w:rPr>
            </w:pPr>
          </w:p>
        </w:tc>
        <w:tc>
          <w:tcPr>
            <w:tcW w:w="2693" w:type="dxa"/>
          </w:tcPr>
          <w:p w14:paraId="5B0BB38E" w14:textId="77777777" w:rsidR="009E75B5" w:rsidRPr="004E04DB" w:rsidRDefault="009E75B5" w:rsidP="009E75B5">
            <w:pPr>
              <w:rPr>
                <w:rFonts w:ascii="Palatino Linotype" w:hAnsi="Palatino Linotype"/>
                <w:sz w:val="20"/>
              </w:rPr>
            </w:pPr>
            <w:r w:rsidRPr="004E04DB">
              <w:rPr>
                <w:rFonts w:ascii="Palatino Linotype" w:hAnsi="Palatino Linotype"/>
                <w:sz w:val="20"/>
              </w:rPr>
              <w:t>Información Reservada</w:t>
            </w:r>
          </w:p>
        </w:tc>
        <w:tc>
          <w:tcPr>
            <w:tcW w:w="3691" w:type="dxa"/>
          </w:tcPr>
          <w:p w14:paraId="6AF43BE7" w14:textId="77777777" w:rsidR="009E75B5" w:rsidRPr="004E04DB" w:rsidRDefault="009E75B5" w:rsidP="009E75B5">
            <w:pPr>
              <w:jc w:val="both"/>
              <w:rPr>
                <w:rFonts w:ascii="Palatino Linotype" w:hAnsi="Palatino Linotype"/>
                <w:sz w:val="20"/>
              </w:rPr>
            </w:pPr>
            <w:r w:rsidRPr="004E04DB">
              <w:rPr>
                <w:rFonts w:ascii="Palatino Linotype" w:hAnsi="Palatino Linotype"/>
                <w:sz w:val="20"/>
              </w:rPr>
              <w:t>Se indicarán las partes o páginas del documento que se clasifican como reservadas, o, en su caso, se precisará que se ha reservado el documento o expediente en su totalidad.</w:t>
            </w:r>
          </w:p>
        </w:tc>
      </w:tr>
      <w:tr w:rsidR="004E04DB" w:rsidRPr="004E04DB" w14:paraId="64A00211" w14:textId="77777777" w:rsidTr="00241DE1">
        <w:trPr>
          <w:jc w:val="center"/>
        </w:trPr>
        <w:tc>
          <w:tcPr>
            <w:tcW w:w="1271" w:type="dxa"/>
            <w:vMerge/>
            <w:shd w:val="clear" w:color="auto" w:fill="D9D9D9" w:themeFill="background1" w:themeFillShade="D9"/>
          </w:tcPr>
          <w:p w14:paraId="5B374F2D" w14:textId="77777777" w:rsidR="009E75B5" w:rsidRPr="004E04DB" w:rsidRDefault="009E75B5" w:rsidP="009E75B5">
            <w:pPr>
              <w:rPr>
                <w:rFonts w:ascii="Palatino Linotype" w:hAnsi="Palatino Linotype"/>
                <w:sz w:val="20"/>
              </w:rPr>
            </w:pPr>
          </w:p>
        </w:tc>
        <w:tc>
          <w:tcPr>
            <w:tcW w:w="2693" w:type="dxa"/>
          </w:tcPr>
          <w:p w14:paraId="73E56230" w14:textId="77777777" w:rsidR="009E75B5" w:rsidRPr="004E04DB" w:rsidRDefault="009E75B5" w:rsidP="009E75B5">
            <w:pPr>
              <w:rPr>
                <w:rFonts w:ascii="Palatino Linotype" w:hAnsi="Palatino Linotype"/>
                <w:sz w:val="20"/>
              </w:rPr>
            </w:pPr>
            <w:r w:rsidRPr="004E04DB">
              <w:rPr>
                <w:rFonts w:ascii="Palatino Linotype" w:hAnsi="Palatino Linotype"/>
                <w:sz w:val="20"/>
              </w:rPr>
              <w:t xml:space="preserve">Periodo de Reserva </w:t>
            </w:r>
          </w:p>
        </w:tc>
        <w:tc>
          <w:tcPr>
            <w:tcW w:w="3691" w:type="dxa"/>
          </w:tcPr>
          <w:p w14:paraId="41F4BA68" w14:textId="77777777" w:rsidR="009E75B5" w:rsidRPr="004E04DB" w:rsidRDefault="009E75B5" w:rsidP="009E75B5">
            <w:pPr>
              <w:jc w:val="both"/>
              <w:rPr>
                <w:rFonts w:ascii="Palatino Linotype" w:hAnsi="Palatino Linotype"/>
                <w:sz w:val="20"/>
              </w:rPr>
            </w:pPr>
            <w:r w:rsidRPr="004E04DB">
              <w:rPr>
                <w:rFonts w:ascii="Palatino Linotype" w:hAnsi="Palatino Linotype"/>
                <w:sz w:val="20"/>
              </w:rPr>
              <w:t xml:space="preserve">Se anotará el número de años o meses por los que se mantendrá reservado el documento, el expediente o, en su caso, las partes o secciones reservadas. </w:t>
            </w:r>
          </w:p>
        </w:tc>
      </w:tr>
      <w:tr w:rsidR="004E04DB" w:rsidRPr="004E04DB" w14:paraId="3AC1A6B9" w14:textId="77777777" w:rsidTr="00241DE1">
        <w:trPr>
          <w:jc w:val="center"/>
        </w:trPr>
        <w:tc>
          <w:tcPr>
            <w:tcW w:w="1271" w:type="dxa"/>
            <w:vMerge/>
            <w:shd w:val="clear" w:color="auto" w:fill="D9D9D9" w:themeFill="background1" w:themeFillShade="D9"/>
          </w:tcPr>
          <w:p w14:paraId="697C41A8" w14:textId="77777777" w:rsidR="009E75B5" w:rsidRPr="004E04DB" w:rsidRDefault="009E75B5" w:rsidP="009E75B5">
            <w:pPr>
              <w:rPr>
                <w:rFonts w:ascii="Palatino Linotype" w:hAnsi="Palatino Linotype"/>
                <w:sz w:val="20"/>
              </w:rPr>
            </w:pPr>
          </w:p>
        </w:tc>
        <w:tc>
          <w:tcPr>
            <w:tcW w:w="2693" w:type="dxa"/>
          </w:tcPr>
          <w:p w14:paraId="5EEFB10E" w14:textId="77777777" w:rsidR="009E75B5" w:rsidRPr="004E04DB" w:rsidRDefault="009E75B5" w:rsidP="009E75B5">
            <w:pPr>
              <w:rPr>
                <w:rFonts w:ascii="Palatino Linotype" w:hAnsi="Palatino Linotype"/>
                <w:sz w:val="20"/>
              </w:rPr>
            </w:pPr>
            <w:r w:rsidRPr="004E04DB">
              <w:rPr>
                <w:rFonts w:ascii="Palatino Linotype" w:hAnsi="Palatino Linotype"/>
                <w:sz w:val="20"/>
              </w:rPr>
              <w:t>Fundamento legal</w:t>
            </w:r>
          </w:p>
        </w:tc>
        <w:tc>
          <w:tcPr>
            <w:tcW w:w="3691" w:type="dxa"/>
          </w:tcPr>
          <w:p w14:paraId="2C685CEC" w14:textId="77777777" w:rsidR="009E75B5" w:rsidRPr="004E04DB" w:rsidRDefault="009E75B5" w:rsidP="009E75B5">
            <w:pPr>
              <w:jc w:val="both"/>
              <w:rPr>
                <w:rFonts w:ascii="Palatino Linotype" w:hAnsi="Palatino Linotype"/>
                <w:sz w:val="20"/>
              </w:rPr>
            </w:pPr>
            <w:r w:rsidRPr="004E04DB">
              <w:rPr>
                <w:rFonts w:ascii="Palatino Linotype" w:hAnsi="Palatino Linotype"/>
                <w:sz w:val="20"/>
              </w:rPr>
              <w:t xml:space="preserve">Se señalará el nombre del ordenamiento el o los artículos, fracciones, párrafos con base en los cuales se sustente la reserva. </w:t>
            </w:r>
          </w:p>
        </w:tc>
      </w:tr>
      <w:tr w:rsidR="004E04DB" w:rsidRPr="004E04DB" w14:paraId="1B7E545C" w14:textId="77777777" w:rsidTr="00241DE1">
        <w:trPr>
          <w:jc w:val="center"/>
        </w:trPr>
        <w:tc>
          <w:tcPr>
            <w:tcW w:w="1271" w:type="dxa"/>
            <w:vMerge/>
            <w:shd w:val="clear" w:color="auto" w:fill="D9D9D9" w:themeFill="background1" w:themeFillShade="D9"/>
          </w:tcPr>
          <w:p w14:paraId="3225CAA5" w14:textId="77777777" w:rsidR="009E75B5" w:rsidRPr="004E04DB" w:rsidRDefault="009E75B5" w:rsidP="009E75B5">
            <w:pPr>
              <w:rPr>
                <w:rFonts w:ascii="Palatino Linotype" w:hAnsi="Palatino Linotype"/>
                <w:sz w:val="20"/>
              </w:rPr>
            </w:pPr>
          </w:p>
        </w:tc>
        <w:tc>
          <w:tcPr>
            <w:tcW w:w="2693" w:type="dxa"/>
          </w:tcPr>
          <w:p w14:paraId="6EDBE1B2" w14:textId="77777777" w:rsidR="009E75B5" w:rsidRPr="004E04DB" w:rsidRDefault="009E75B5" w:rsidP="009E75B5">
            <w:pPr>
              <w:rPr>
                <w:rFonts w:ascii="Palatino Linotype" w:hAnsi="Palatino Linotype"/>
                <w:sz w:val="20"/>
              </w:rPr>
            </w:pPr>
            <w:r w:rsidRPr="004E04DB">
              <w:rPr>
                <w:rFonts w:ascii="Palatino Linotype" w:hAnsi="Palatino Linotype"/>
                <w:sz w:val="20"/>
              </w:rPr>
              <w:t>Ampliación del periodo de reserva</w:t>
            </w:r>
          </w:p>
        </w:tc>
        <w:tc>
          <w:tcPr>
            <w:tcW w:w="3691" w:type="dxa"/>
          </w:tcPr>
          <w:p w14:paraId="046E6DFE" w14:textId="77777777" w:rsidR="009E75B5" w:rsidRPr="004E04DB" w:rsidRDefault="009E75B5" w:rsidP="009E75B5">
            <w:pPr>
              <w:jc w:val="both"/>
              <w:rPr>
                <w:rFonts w:ascii="Palatino Linotype" w:hAnsi="Palatino Linotype"/>
                <w:sz w:val="20"/>
              </w:rPr>
            </w:pPr>
            <w:r w:rsidRPr="004E04DB">
              <w:rPr>
                <w:rFonts w:ascii="Palatino Linotype" w:hAnsi="Palatino Linotype"/>
                <w:sz w:val="20"/>
              </w:rPr>
              <w:t xml:space="preserve">En caso de haber solicitado la ampliación del periodo de reserva originalmente establecido, se deberá anotar el número de años o meses por los que se amplía la reserva. </w:t>
            </w:r>
          </w:p>
        </w:tc>
      </w:tr>
      <w:tr w:rsidR="004E04DB" w:rsidRPr="004E04DB" w14:paraId="18F7F4A5" w14:textId="77777777" w:rsidTr="00241DE1">
        <w:trPr>
          <w:jc w:val="center"/>
        </w:trPr>
        <w:tc>
          <w:tcPr>
            <w:tcW w:w="3964" w:type="dxa"/>
            <w:gridSpan w:val="2"/>
            <w:shd w:val="clear" w:color="auto" w:fill="D9D9D9" w:themeFill="background1" w:themeFillShade="D9"/>
          </w:tcPr>
          <w:p w14:paraId="587711E8" w14:textId="77777777" w:rsidR="009E75B5" w:rsidRPr="004E04DB" w:rsidRDefault="009E75B5" w:rsidP="009E75B5">
            <w:pPr>
              <w:rPr>
                <w:rFonts w:ascii="Palatino Linotype" w:hAnsi="Palatino Linotype"/>
                <w:sz w:val="20"/>
              </w:rPr>
            </w:pPr>
            <w:r w:rsidRPr="004E04DB">
              <w:rPr>
                <w:rFonts w:ascii="Palatino Linotype" w:hAnsi="Palatino Linotype"/>
                <w:sz w:val="20"/>
              </w:rPr>
              <w:t>Rúbrica del titular del área</w:t>
            </w:r>
          </w:p>
        </w:tc>
        <w:tc>
          <w:tcPr>
            <w:tcW w:w="3691" w:type="dxa"/>
            <w:shd w:val="clear" w:color="auto" w:fill="D9D9D9" w:themeFill="background1" w:themeFillShade="D9"/>
          </w:tcPr>
          <w:p w14:paraId="6AF6CBDE" w14:textId="77777777" w:rsidR="009E75B5" w:rsidRPr="004E04DB" w:rsidRDefault="009E75B5" w:rsidP="009E75B5">
            <w:pPr>
              <w:jc w:val="both"/>
              <w:rPr>
                <w:rFonts w:ascii="Palatino Linotype" w:hAnsi="Palatino Linotype"/>
                <w:sz w:val="20"/>
              </w:rPr>
            </w:pPr>
            <w:r w:rsidRPr="004E04DB">
              <w:rPr>
                <w:rFonts w:ascii="Palatino Linotype" w:hAnsi="Palatino Linotype"/>
                <w:sz w:val="20"/>
              </w:rPr>
              <w:t xml:space="preserve">Rúbrica autógrafa o firma digital de quien clasifica. </w:t>
            </w:r>
          </w:p>
        </w:tc>
      </w:tr>
      <w:tr w:rsidR="004E04DB" w:rsidRPr="004E04DB" w14:paraId="5D3205D8" w14:textId="77777777" w:rsidTr="00241DE1">
        <w:trPr>
          <w:jc w:val="center"/>
        </w:trPr>
        <w:tc>
          <w:tcPr>
            <w:tcW w:w="3964" w:type="dxa"/>
            <w:gridSpan w:val="2"/>
            <w:shd w:val="clear" w:color="auto" w:fill="D9D9D9" w:themeFill="background1" w:themeFillShade="D9"/>
          </w:tcPr>
          <w:p w14:paraId="7B710E1E" w14:textId="77777777" w:rsidR="009E75B5" w:rsidRPr="004E04DB" w:rsidRDefault="009E75B5" w:rsidP="009E75B5">
            <w:pPr>
              <w:rPr>
                <w:rFonts w:ascii="Palatino Linotype" w:hAnsi="Palatino Linotype"/>
                <w:sz w:val="20"/>
              </w:rPr>
            </w:pPr>
            <w:r w:rsidRPr="004E04DB">
              <w:rPr>
                <w:rFonts w:ascii="Palatino Linotype" w:hAnsi="Palatino Linotype"/>
                <w:sz w:val="20"/>
              </w:rPr>
              <w:t xml:space="preserve">Fecha de desclasificación </w:t>
            </w:r>
          </w:p>
        </w:tc>
        <w:tc>
          <w:tcPr>
            <w:tcW w:w="3691" w:type="dxa"/>
            <w:shd w:val="clear" w:color="auto" w:fill="D9D9D9" w:themeFill="background1" w:themeFillShade="D9"/>
          </w:tcPr>
          <w:p w14:paraId="3B378D3C" w14:textId="77777777" w:rsidR="009E75B5" w:rsidRPr="004E04DB" w:rsidRDefault="009E75B5" w:rsidP="009E75B5">
            <w:pPr>
              <w:jc w:val="both"/>
              <w:rPr>
                <w:rFonts w:ascii="Palatino Linotype" w:hAnsi="Palatino Linotype"/>
                <w:sz w:val="20"/>
              </w:rPr>
            </w:pPr>
            <w:r w:rsidRPr="004E04DB">
              <w:rPr>
                <w:rFonts w:ascii="Palatino Linotype" w:hAnsi="Palatino Linotype"/>
                <w:sz w:val="20"/>
              </w:rPr>
              <w:t xml:space="preserve">Se anotará la fecha en que se desclasifica el documento. </w:t>
            </w:r>
          </w:p>
        </w:tc>
      </w:tr>
      <w:tr w:rsidR="004E04DB" w:rsidRPr="004E04DB" w14:paraId="4492C996" w14:textId="77777777" w:rsidTr="00241DE1">
        <w:trPr>
          <w:jc w:val="center"/>
        </w:trPr>
        <w:tc>
          <w:tcPr>
            <w:tcW w:w="3964" w:type="dxa"/>
            <w:gridSpan w:val="2"/>
            <w:shd w:val="clear" w:color="auto" w:fill="D9D9D9" w:themeFill="background1" w:themeFillShade="D9"/>
          </w:tcPr>
          <w:p w14:paraId="63172182" w14:textId="77777777" w:rsidR="009E75B5" w:rsidRPr="004E04DB" w:rsidRDefault="009E75B5" w:rsidP="009E75B5">
            <w:pPr>
              <w:rPr>
                <w:rFonts w:ascii="Palatino Linotype" w:hAnsi="Palatino Linotype"/>
                <w:sz w:val="20"/>
              </w:rPr>
            </w:pPr>
            <w:r w:rsidRPr="004E04DB">
              <w:rPr>
                <w:rFonts w:ascii="Palatino Linotype" w:hAnsi="Palatino Linotype"/>
                <w:sz w:val="20"/>
              </w:rPr>
              <w:t xml:space="preserve">Rúbrica y cargo del servidor público </w:t>
            </w:r>
          </w:p>
        </w:tc>
        <w:tc>
          <w:tcPr>
            <w:tcW w:w="3691" w:type="dxa"/>
            <w:shd w:val="clear" w:color="auto" w:fill="D9D9D9" w:themeFill="background1" w:themeFillShade="D9"/>
          </w:tcPr>
          <w:p w14:paraId="096D639A" w14:textId="77777777" w:rsidR="009E75B5" w:rsidRPr="004E04DB" w:rsidRDefault="009E75B5" w:rsidP="009E75B5">
            <w:pPr>
              <w:jc w:val="both"/>
              <w:rPr>
                <w:rFonts w:ascii="Palatino Linotype" w:hAnsi="Palatino Linotype"/>
                <w:sz w:val="20"/>
              </w:rPr>
            </w:pPr>
            <w:r w:rsidRPr="004E04DB">
              <w:rPr>
                <w:rFonts w:ascii="Palatino Linotype" w:hAnsi="Palatino Linotype"/>
                <w:sz w:val="20"/>
              </w:rPr>
              <w:t xml:space="preserve">Rúbrica autógrafa o firma digital de quien desclasifica. </w:t>
            </w:r>
          </w:p>
        </w:tc>
      </w:tr>
    </w:tbl>
    <w:p w14:paraId="4E4C53A3" w14:textId="77777777" w:rsidR="009E75B5" w:rsidRPr="004E04DB" w:rsidRDefault="009E75B5" w:rsidP="009E75B5">
      <w:pPr>
        <w:spacing w:after="0" w:line="360" w:lineRule="auto"/>
        <w:ind w:right="902"/>
        <w:rPr>
          <w:rFonts w:ascii="Palatino Linotype" w:eastAsia="Palatino Linotype" w:hAnsi="Palatino Linotype" w:cs="Palatino Linotype"/>
          <w:i/>
        </w:rPr>
      </w:pPr>
    </w:p>
    <w:p w14:paraId="61316D61" w14:textId="77777777" w:rsidR="009E75B5" w:rsidRPr="004E04DB" w:rsidRDefault="009E75B5" w:rsidP="009E75B5">
      <w:pPr>
        <w:spacing w:after="0" w:line="276" w:lineRule="auto"/>
        <w:ind w:left="567" w:right="902"/>
        <w:jc w:val="both"/>
        <w:rPr>
          <w:rFonts w:ascii="Palatino Linotype" w:eastAsia="Palatino Linotype" w:hAnsi="Palatino Linotype" w:cs="Palatino Linotype"/>
          <w:i/>
        </w:rPr>
      </w:pPr>
      <w:r w:rsidRPr="004E04DB">
        <w:rPr>
          <w:rFonts w:ascii="Palatino Linotype" w:eastAsia="Palatino Linotype" w:hAnsi="Palatino Linotype" w:cs="Palatino Linotype"/>
          <w:i/>
        </w:rPr>
        <w:t>Los documentos que integren un expediente reservado en su totalidad no deberán marcarse en lo individual.</w:t>
      </w:r>
    </w:p>
    <w:p w14:paraId="403E01EC" w14:textId="77777777" w:rsidR="009E75B5" w:rsidRPr="004E04DB" w:rsidRDefault="009E75B5" w:rsidP="009E75B5">
      <w:pPr>
        <w:spacing w:after="0" w:line="276" w:lineRule="auto"/>
        <w:ind w:left="567" w:right="902"/>
        <w:jc w:val="both"/>
        <w:rPr>
          <w:rFonts w:ascii="Palatino Linotype" w:eastAsia="Palatino Linotype" w:hAnsi="Palatino Linotype" w:cs="Palatino Linotype"/>
          <w:i/>
        </w:rPr>
      </w:pPr>
      <w:r w:rsidRPr="004E04DB">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25DC92DA" w14:textId="77777777" w:rsidR="009E75B5" w:rsidRPr="004E04DB" w:rsidRDefault="009E75B5" w:rsidP="009E75B5">
      <w:pPr>
        <w:spacing w:after="0" w:line="360" w:lineRule="auto"/>
        <w:jc w:val="both"/>
        <w:rPr>
          <w:rFonts w:ascii="Palatino Linotype" w:eastAsia="Palatino Linotype" w:hAnsi="Palatino Linotype" w:cs="Palatino Linotype"/>
        </w:rPr>
      </w:pPr>
    </w:p>
    <w:p w14:paraId="3A0F37CF" w14:textId="3281F3E6" w:rsidR="009E75B5" w:rsidRPr="004E04DB" w:rsidRDefault="009E75B5" w:rsidP="009E75B5">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lastRenderedPageBreak/>
        <w:t>De igual forma, deberá observar los Lineamientos Quincuagésimo cuarto, Quincuagésimo quinto, Quincuagésimo séptimo y Quincuagésimo octavo, establecen lo siguiente:</w:t>
      </w:r>
    </w:p>
    <w:p w14:paraId="74DCC5CE" w14:textId="77777777" w:rsidR="009E75B5" w:rsidRPr="004E04DB"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r w:rsidRPr="004E04DB">
        <w:rPr>
          <w:rFonts w:ascii="Palatino Linotype" w:eastAsia="Palatino Linotype" w:hAnsi="Palatino Linotype" w:cs="Palatino Linotype"/>
          <w:b/>
          <w:i/>
        </w:rPr>
        <w:t>Quincuagésimo cuarto.</w:t>
      </w:r>
      <w:r w:rsidRPr="004E04DB">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49D6639"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b/>
          <w:i/>
        </w:rPr>
        <w:t>Quincuagésimo quinto.</w:t>
      </w:r>
      <w:r w:rsidRPr="004E04DB">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4E04DB">
        <w:rPr>
          <w:rFonts w:ascii="Palatino Linotype" w:eastAsia="Palatino Linotype" w:hAnsi="Palatino Linotype" w:cs="Palatino Linotype"/>
          <w:i/>
        </w:rPr>
        <w:t>testado</w:t>
      </w:r>
      <w:proofErr w:type="spellEnd"/>
      <w:r w:rsidRPr="004E04DB">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567723F"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w:t>
      </w:r>
    </w:p>
    <w:p w14:paraId="5C96B70C"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b/>
          <w:i/>
        </w:rPr>
        <w:t>Quincuagésimo séptimo.</w:t>
      </w:r>
      <w:r w:rsidRPr="004E04DB">
        <w:rPr>
          <w:rFonts w:ascii="Palatino Linotype" w:eastAsia="Palatino Linotype" w:hAnsi="Palatino Linotype" w:cs="Palatino Linotype"/>
          <w:i/>
        </w:rPr>
        <w:t xml:space="preserve"> Se considera, en principio, como información pública y no podrá omitirse de las versiones públicas la siguiente: </w:t>
      </w:r>
    </w:p>
    <w:p w14:paraId="1CF9313C"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EE29787"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5DBC984"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BCEC4FE"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667F774"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r w:rsidRPr="004E04DB">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2D8CD2F1" w14:textId="77777777" w:rsidR="009E75B5" w:rsidRPr="004E04DB" w:rsidRDefault="009E75B5" w:rsidP="009E75B5">
      <w:pPr>
        <w:spacing w:after="0" w:line="276" w:lineRule="auto"/>
        <w:ind w:left="567" w:right="616"/>
        <w:jc w:val="both"/>
        <w:rPr>
          <w:rFonts w:ascii="Palatino Linotype" w:eastAsia="Palatino Linotype" w:hAnsi="Palatino Linotype" w:cs="Palatino Linotype"/>
          <w:i/>
        </w:rPr>
      </w:pPr>
    </w:p>
    <w:p w14:paraId="25D1D18A" w14:textId="0CFC491B" w:rsidR="009E75B5" w:rsidRPr="004E04DB" w:rsidRDefault="009E75B5" w:rsidP="009E75B5">
      <w:pPr>
        <w:spacing w:after="0" w:line="360" w:lineRule="auto"/>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lastRenderedPageBreak/>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58D390C" w14:textId="77777777" w:rsidR="00532EC9" w:rsidRPr="004E04DB" w:rsidRDefault="00532EC9" w:rsidP="009E75B5">
      <w:pPr>
        <w:spacing w:after="0" w:line="360" w:lineRule="auto"/>
        <w:jc w:val="both"/>
        <w:rPr>
          <w:rFonts w:ascii="Palatino Linotype" w:eastAsia="Palatino Linotype" w:hAnsi="Palatino Linotype" w:cs="Palatino Linotype"/>
          <w:sz w:val="24"/>
        </w:rPr>
      </w:pPr>
    </w:p>
    <w:p w14:paraId="78744620" w14:textId="714C3E86" w:rsidR="009E75B5" w:rsidRPr="004E04DB" w:rsidRDefault="009E75B5" w:rsidP="009E75B5">
      <w:pPr>
        <w:spacing w:after="0" w:line="360" w:lineRule="auto"/>
        <w:ind w:right="49"/>
        <w:jc w:val="both"/>
        <w:rPr>
          <w:rFonts w:ascii="Palatino Linotype" w:eastAsia="Palatino Linotype" w:hAnsi="Palatino Linotype" w:cs="Palatino Linotype"/>
          <w:b/>
          <w:sz w:val="24"/>
        </w:rPr>
      </w:pPr>
      <w:r w:rsidRPr="004E04DB">
        <w:rPr>
          <w:rFonts w:ascii="Palatino Linotype" w:eastAsia="Palatino Linotype" w:hAnsi="Palatino Linotype" w:cs="Palatino Linotype"/>
          <w:sz w:val="24"/>
        </w:rPr>
        <w:t xml:space="preserve">Es así como, en mérito de lo expuesto en líneas anteriores, resultan fundadas las razones o motivos de inconformidad hechos valer por el </w:t>
      </w:r>
      <w:r w:rsidRPr="004E04DB">
        <w:rPr>
          <w:rFonts w:ascii="Palatino Linotype" w:eastAsia="Palatino Linotype" w:hAnsi="Palatino Linotype" w:cs="Palatino Linotype"/>
          <w:b/>
          <w:sz w:val="24"/>
        </w:rPr>
        <w:t>RECURRENTE</w:t>
      </w:r>
      <w:r w:rsidRPr="004E04DB">
        <w:rPr>
          <w:rFonts w:ascii="Palatino Linotype" w:eastAsia="Palatino Linotype" w:hAnsi="Palatino Linotype" w:cs="Palatino Linotype"/>
          <w:sz w:val="24"/>
        </w:rPr>
        <w:t xml:space="preserve"> dentro del recurso de revisión </w:t>
      </w:r>
      <w:r w:rsidR="00A45BB6" w:rsidRPr="004E04DB">
        <w:rPr>
          <w:rFonts w:ascii="Palatino Linotype" w:eastAsia="Palatino Linotype" w:hAnsi="Palatino Linotype" w:cs="Palatino Linotype"/>
          <w:b/>
          <w:sz w:val="24"/>
        </w:rPr>
        <w:t>0</w:t>
      </w:r>
      <w:r w:rsidR="003A5438" w:rsidRPr="004E04DB">
        <w:rPr>
          <w:rFonts w:ascii="Palatino Linotype" w:eastAsia="Palatino Linotype" w:hAnsi="Palatino Linotype" w:cs="Palatino Linotype"/>
          <w:b/>
          <w:sz w:val="24"/>
        </w:rPr>
        <w:t>5444</w:t>
      </w:r>
      <w:r w:rsidRPr="004E04DB">
        <w:rPr>
          <w:rFonts w:ascii="Palatino Linotype" w:eastAsia="Palatino Linotype" w:hAnsi="Palatino Linotype" w:cs="Palatino Linotype"/>
          <w:b/>
          <w:sz w:val="24"/>
        </w:rPr>
        <w:t>/INFOEM/IP/RR/2023</w:t>
      </w:r>
      <w:r w:rsidRPr="004E04DB">
        <w:rPr>
          <w:rFonts w:ascii="Palatino Linotype" w:eastAsia="Palatino Linotype" w:hAnsi="Palatino Linotype" w:cs="Palatino Linotype"/>
          <w:sz w:val="24"/>
        </w:rPr>
        <w:t xml:space="preserve">; por ello, y con fundamento en la fracción III del numeral 186 de la Ley de Transparencia y Acceso a la Información Pública del Estado de México y Municipios, por lo que se </w:t>
      </w:r>
      <w:r w:rsidRPr="004E04DB">
        <w:rPr>
          <w:rFonts w:ascii="Palatino Linotype" w:eastAsia="Palatino Linotype" w:hAnsi="Palatino Linotype" w:cs="Palatino Linotype"/>
          <w:b/>
          <w:sz w:val="24"/>
        </w:rPr>
        <w:t xml:space="preserve">REVOCA </w:t>
      </w:r>
      <w:r w:rsidRPr="004E04DB">
        <w:rPr>
          <w:rFonts w:ascii="Palatino Linotype" w:eastAsia="Palatino Linotype" w:hAnsi="Palatino Linotype" w:cs="Palatino Linotype"/>
          <w:sz w:val="24"/>
        </w:rPr>
        <w:t xml:space="preserve">la respuesta del </w:t>
      </w:r>
      <w:r w:rsidRPr="004E04DB">
        <w:rPr>
          <w:rFonts w:ascii="Palatino Linotype" w:eastAsia="Palatino Linotype" w:hAnsi="Palatino Linotype" w:cs="Palatino Linotype"/>
          <w:b/>
          <w:sz w:val="24"/>
        </w:rPr>
        <w:t xml:space="preserve">SUJETO OBLIGADO </w:t>
      </w:r>
      <w:r w:rsidRPr="004E04DB">
        <w:rPr>
          <w:rFonts w:ascii="Palatino Linotype" w:eastAsia="Palatino Linotype" w:hAnsi="Palatino Linotype" w:cs="Palatino Linotype"/>
          <w:sz w:val="24"/>
        </w:rPr>
        <w:t xml:space="preserve">a la solicitud de información </w:t>
      </w:r>
      <w:r w:rsidRPr="004E04DB">
        <w:rPr>
          <w:rFonts w:ascii="Palatino Linotype" w:eastAsia="Palatino Linotype" w:hAnsi="Palatino Linotype" w:cs="Palatino Linotype"/>
          <w:b/>
          <w:sz w:val="24"/>
        </w:rPr>
        <w:t>0</w:t>
      </w:r>
      <w:r w:rsidR="003A5438" w:rsidRPr="004E04DB">
        <w:rPr>
          <w:rFonts w:ascii="Palatino Linotype" w:eastAsia="Palatino Linotype" w:hAnsi="Palatino Linotype" w:cs="Palatino Linotype"/>
          <w:b/>
          <w:sz w:val="24"/>
        </w:rPr>
        <w:t>1134</w:t>
      </w:r>
      <w:r w:rsidRPr="004E04DB">
        <w:rPr>
          <w:rFonts w:ascii="Palatino Linotype" w:eastAsia="Palatino Linotype" w:hAnsi="Palatino Linotype" w:cs="Palatino Linotype"/>
          <w:b/>
          <w:sz w:val="24"/>
        </w:rPr>
        <w:t>/</w:t>
      </w:r>
      <w:r w:rsidR="003A5438" w:rsidRPr="004E04DB">
        <w:rPr>
          <w:rFonts w:ascii="Palatino Linotype" w:eastAsia="Palatino Linotype" w:hAnsi="Palatino Linotype" w:cs="Palatino Linotype"/>
          <w:b/>
          <w:sz w:val="24"/>
        </w:rPr>
        <w:t>ZINACAT</w:t>
      </w:r>
      <w:r w:rsidRPr="004E04DB">
        <w:rPr>
          <w:rFonts w:ascii="Palatino Linotype" w:eastAsia="Palatino Linotype" w:hAnsi="Palatino Linotype" w:cs="Palatino Linotype"/>
          <w:b/>
          <w:sz w:val="24"/>
        </w:rPr>
        <w:t>/IP/2023</w:t>
      </w:r>
      <w:r w:rsidRPr="004E04DB">
        <w:rPr>
          <w:rFonts w:ascii="Palatino Linotype" w:eastAsia="Palatino Linotype" w:hAnsi="Palatino Linotype" w:cs="Palatino Linotype"/>
          <w:sz w:val="24"/>
        </w:rPr>
        <w:t xml:space="preserve">.  </w:t>
      </w:r>
      <w:r w:rsidRPr="004E04DB">
        <w:rPr>
          <w:rFonts w:ascii="Palatino Linotype" w:eastAsia="Palatino Linotype" w:hAnsi="Palatino Linotype" w:cs="Palatino Linotype"/>
          <w:b/>
          <w:sz w:val="24"/>
        </w:rPr>
        <w:t xml:space="preserve"> </w:t>
      </w:r>
    </w:p>
    <w:p w14:paraId="686EB3D1" w14:textId="77777777" w:rsidR="008B7BCF" w:rsidRPr="004E04DB" w:rsidRDefault="008B7BCF" w:rsidP="009E75B5">
      <w:pPr>
        <w:spacing w:after="0" w:line="360" w:lineRule="auto"/>
        <w:ind w:right="49"/>
        <w:jc w:val="both"/>
        <w:rPr>
          <w:rFonts w:ascii="Palatino Linotype" w:eastAsia="Palatino Linotype" w:hAnsi="Palatino Linotype" w:cs="Palatino Linotype"/>
          <w:b/>
          <w:sz w:val="24"/>
        </w:rPr>
      </w:pPr>
    </w:p>
    <w:p w14:paraId="1FB33988" w14:textId="77777777" w:rsidR="009E75B5" w:rsidRPr="004E04DB" w:rsidRDefault="009E75B5" w:rsidP="009E75B5">
      <w:pPr>
        <w:spacing w:after="0" w:line="360" w:lineRule="auto"/>
        <w:ind w:right="49"/>
        <w:jc w:val="both"/>
        <w:rPr>
          <w:rFonts w:ascii="Palatino Linotype" w:eastAsia="Palatino Linotype" w:hAnsi="Palatino Linotype" w:cs="Palatino Linotype"/>
          <w:sz w:val="24"/>
        </w:rPr>
      </w:pPr>
      <w:r w:rsidRPr="004E04DB">
        <w:rPr>
          <w:rFonts w:ascii="Palatino Linotype" w:eastAsia="Palatino Linotype" w:hAnsi="Palatino Linotype" w:cs="Palatino Linotype"/>
          <w:sz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0C4D68F" w14:textId="77777777" w:rsidR="00634588" w:rsidRPr="004E04DB" w:rsidRDefault="00634588">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4E04DB" w:rsidRDefault="00646B44">
      <w:pPr>
        <w:spacing w:after="0" w:line="360" w:lineRule="auto"/>
        <w:ind w:right="49"/>
        <w:jc w:val="center"/>
        <w:rPr>
          <w:rFonts w:ascii="Palatino Linotype" w:eastAsia="Palatino Linotype" w:hAnsi="Palatino Linotype" w:cs="Palatino Linotype"/>
          <w:b/>
          <w:sz w:val="24"/>
          <w:szCs w:val="24"/>
        </w:rPr>
      </w:pPr>
      <w:r w:rsidRPr="004E04DB">
        <w:rPr>
          <w:rFonts w:ascii="Palatino Linotype" w:eastAsia="Palatino Linotype" w:hAnsi="Palatino Linotype" w:cs="Palatino Linotype"/>
          <w:b/>
          <w:sz w:val="24"/>
          <w:szCs w:val="24"/>
        </w:rPr>
        <w:lastRenderedPageBreak/>
        <w:t>III.</w:t>
      </w:r>
      <w:r w:rsidRPr="004E04DB">
        <w:rPr>
          <w:rFonts w:ascii="Palatino Linotype" w:eastAsia="Palatino Linotype" w:hAnsi="Palatino Linotype" w:cs="Palatino Linotype"/>
          <w:b/>
          <w:sz w:val="24"/>
          <w:szCs w:val="24"/>
        </w:rPr>
        <w:tab/>
        <w:t>R E S U E L V E:</w:t>
      </w:r>
    </w:p>
    <w:p w14:paraId="741D8D48"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2CC1FD37" w14:textId="5043E2C1"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Primero.</w:t>
      </w:r>
      <w:r w:rsidRPr="004E04DB">
        <w:rPr>
          <w:rFonts w:ascii="Palatino Linotype" w:eastAsia="Palatino Linotype" w:hAnsi="Palatino Linotype" w:cs="Palatino Linotype"/>
          <w:sz w:val="24"/>
          <w:szCs w:val="24"/>
        </w:rPr>
        <w:t xml:space="preserve"> Resultan</w:t>
      </w:r>
      <w:r w:rsidRPr="004E04DB">
        <w:rPr>
          <w:rFonts w:ascii="Palatino Linotype" w:eastAsia="Palatino Linotype" w:hAnsi="Palatino Linotype" w:cs="Palatino Linotype"/>
          <w:b/>
          <w:sz w:val="24"/>
          <w:szCs w:val="24"/>
        </w:rPr>
        <w:t xml:space="preserve"> FUNDADOS</w:t>
      </w:r>
      <w:r w:rsidRPr="004E04DB">
        <w:rPr>
          <w:rFonts w:ascii="Palatino Linotype" w:eastAsia="Palatino Linotype" w:hAnsi="Palatino Linotype" w:cs="Palatino Linotype"/>
          <w:sz w:val="24"/>
          <w:szCs w:val="24"/>
        </w:rPr>
        <w:t xml:space="preserve"> los motivos de inconformidad hechos valer por el </w:t>
      </w:r>
      <w:r w:rsidRPr="004E04DB">
        <w:rPr>
          <w:rFonts w:ascii="Palatino Linotype" w:eastAsia="Palatino Linotype" w:hAnsi="Palatino Linotype" w:cs="Palatino Linotype"/>
          <w:b/>
          <w:sz w:val="24"/>
          <w:szCs w:val="24"/>
        </w:rPr>
        <w:t>RECURRENTE</w:t>
      </w:r>
      <w:r w:rsidRPr="004E04DB">
        <w:rPr>
          <w:rFonts w:ascii="Palatino Linotype" w:eastAsia="Palatino Linotype" w:hAnsi="Palatino Linotype" w:cs="Palatino Linotype"/>
          <w:sz w:val="24"/>
          <w:szCs w:val="24"/>
        </w:rPr>
        <w:t xml:space="preserve"> en el Recurso de Revisión </w:t>
      </w:r>
      <w:r w:rsidR="00A45BB6" w:rsidRPr="004E04DB">
        <w:rPr>
          <w:rFonts w:ascii="Palatino Linotype" w:eastAsia="Palatino Linotype" w:hAnsi="Palatino Linotype" w:cs="Palatino Linotype"/>
          <w:b/>
          <w:sz w:val="24"/>
          <w:szCs w:val="24"/>
        </w:rPr>
        <w:t>0</w:t>
      </w:r>
      <w:r w:rsidR="003A5438" w:rsidRPr="004E04DB">
        <w:rPr>
          <w:rFonts w:ascii="Palatino Linotype" w:eastAsia="Palatino Linotype" w:hAnsi="Palatino Linotype" w:cs="Palatino Linotype"/>
          <w:b/>
          <w:sz w:val="24"/>
          <w:szCs w:val="24"/>
        </w:rPr>
        <w:t>5444</w:t>
      </w:r>
      <w:r w:rsidRPr="004E04DB">
        <w:rPr>
          <w:rFonts w:ascii="Palatino Linotype" w:eastAsia="Palatino Linotype" w:hAnsi="Palatino Linotype" w:cs="Palatino Linotype"/>
          <w:b/>
          <w:sz w:val="24"/>
          <w:szCs w:val="24"/>
        </w:rPr>
        <w:t>/INFOEM/IP/RR/202</w:t>
      </w:r>
      <w:r w:rsidR="00A45BB6" w:rsidRPr="004E04DB">
        <w:rPr>
          <w:rFonts w:ascii="Palatino Linotype" w:eastAsia="Palatino Linotype" w:hAnsi="Palatino Linotype" w:cs="Palatino Linotype"/>
          <w:b/>
          <w:sz w:val="24"/>
          <w:szCs w:val="24"/>
        </w:rPr>
        <w:t>3</w:t>
      </w:r>
      <w:r w:rsidRPr="004E04DB">
        <w:rPr>
          <w:rFonts w:ascii="Palatino Linotype" w:eastAsia="Palatino Linotype" w:hAnsi="Palatino Linotype" w:cs="Palatino Linotype"/>
          <w:sz w:val="24"/>
          <w:szCs w:val="24"/>
        </w:rPr>
        <w:t xml:space="preserve">, por lo que, en términos del </w:t>
      </w:r>
      <w:r w:rsidRPr="004E04DB">
        <w:rPr>
          <w:rFonts w:ascii="Palatino Linotype" w:eastAsia="Palatino Linotype" w:hAnsi="Palatino Linotype" w:cs="Palatino Linotype"/>
          <w:b/>
          <w:sz w:val="24"/>
          <w:szCs w:val="24"/>
        </w:rPr>
        <w:t>Considerando Cuarto</w:t>
      </w:r>
      <w:r w:rsidRPr="004E04DB">
        <w:rPr>
          <w:rFonts w:ascii="Palatino Linotype" w:eastAsia="Palatino Linotype" w:hAnsi="Palatino Linotype" w:cs="Palatino Linotype"/>
          <w:sz w:val="24"/>
          <w:szCs w:val="24"/>
        </w:rPr>
        <w:t xml:space="preserve"> de esta resolución, se </w:t>
      </w:r>
      <w:r w:rsidR="0002412A" w:rsidRPr="004E04DB">
        <w:rPr>
          <w:rFonts w:ascii="Palatino Linotype" w:eastAsia="Palatino Linotype" w:hAnsi="Palatino Linotype" w:cs="Palatino Linotype"/>
          <w:b/>
          <w:sz w:val="24"/>
          <w:szCs w:val="24"/>
        </w:rPr>
        <w:t>REVOCA</w:t>
      </w:r>
      <w:r w:rsidRPr="004E04DB">
        <w:rPr>
          <w:rFonts w:ascii="Palatino Linotype" w:eastAsia="Palatino Linotype" w:hAnsi="Palatino Linotype" w:cs="Palatino Linotype"/>
          <w:sz w:val="24"/>
          <w:szCs w:val="24"/>
        </w:rPr>
        <w:t xml:space="preserve"> la respuesta emitida por el </w:t>
      </w:r>
      <w:r w:rsidRPr="004E04DB">
        <w:rPr>
          <w:rFonts w:ascii="Palatino Linotype" w:eastAsia="Palatino Linotype" w:hAnsi="Palatino Linotype" w:cs="Palatino Linotype"/>
          <w:b/>
          <w:sz w:val="24"/>
          <w:szCs w:val="24"/>
        </w:rPr>
        <w:t>SUJETO OBLIGADO</w:t>
      </w:r>
      <w:r w:rsidRPr="004E04DB">
        <w:rPr>
          <w:rFonts w:ascii="Palatino Linotype" w:eastAsia="Palatino Linotype" w:hAnsi="Palatino Linotype" w:cs="Palatino Linotype"/>
          <w:sz w:val="24"/>
          <w:szCs w:val="24"/>
        </w:rPr>
        <w:t>.</w:t>
      </w:r>
    </w:p>
    <w:p w14:paraId="291BFCC6"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74E8D6F7" w14:textId="261E5436" w:rsidR="00A45BB6" w:rsidRPr="004E04DB" w:rsidRDefault="00646B44" w:rsidP="00A45BB6">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Segundo</w:t>
      </w:r>
      <w:r w:rsidRPr="004E04DB">
        <w:rPr>
          <w:rFonts w:ascii="Palatino Linotype" w:eastAsia="Palatino Linotype" w:hAnsi="Palatino Linotype" w:cs="Palatino Linotype"/>
          <w:sz w:val="24"/>
          <w:szCs w:val="24"/>
        </w:rPr>
        <w:t xml:space="preserve">. Se </w:t>
      </w:r>
      <w:r w:rsidRPr="004E04DB">
        <w:rPr>
          <w:rFonts w:ascii="Palatino Linotype" w:eastAsia="Palatino Linotype" w:hAnsi="Palatino Linotype" w:cs="Palatino Linotype"/>
          <w:b/>
          <w:sz w:val="24"/>
          <w:szCs w:val="24"/>
        </w:rPr>
        <w:t>ORDENA</w:t>
      </w:r>
      <w:r w:rsidRPr="004E04DB">
        <w:rPr>
          <w:rFonts w:ascii="Palatino Linotype" w:eastAsia="Palatino Linotype" w:hAnsi="Palatino Linotype" w:cs="Palatino Linotype"/>
          <w:sz w:val="24"/>
          <w:szCs w:val="24"/>
        </w:rPr>
        <w:t xml:space="preserve"> al </w:t>
      </w:r>
      <w:r w:rsidRPr="004E04DB">
        <w:rPr>
          <w:rFonts w:ascii="Palatino Linotype" w:eastAsia="Palatino Linotype" w:hAnsi="Palatino Linotype" w:cs="Palatino Linotype"/>
          <w:b/>
          <w:sz w:val="24"/>
          <w:szCs w:val="24"/>
        </w:rPr>
        <w:t>SUJETO OBLIGADO</w:t>
      </w:r>
      <w:r w:rsidRPr="004E04DB">
        <w:rPr>
          <w:rFonts w:ascii="Palatino Linotype" w:eastAsia="Palatino Linotype" w:hAnsi="Palatino Linotype" w:cs="Palatino Linotype"/>
          <w:sz w:val="24"/>
          <w:szCs w:val="24"/>
        </w:rPr>
        <w:t xml:space="preserve"> a que, en términos del Considerando Cuarto y Quinto, haga entrega</w:t>
      </w:r>
      <w:r w:rsidR="00B16261" w:rsidRPr="004E04DB">
        <w:rPr>
          <w:rFonts w:ascii="Palatino Linotype" w:eastAsia="Palatino Linotype" w:hAnsi="Palatino Linotype" w:cs="Palatino Linotype"/>
          <w:sz w:val="24"/>
          <w:szCs w:val="24"/>
        </w:rPr>
        <w:t xml:space="preserve"> </w:t>
      </w:r>
      <w:r w:rsidRPr="004E04DB">
        <w:rPr>
          <w:rFonts w:ascii="Palatino Linotype" w:eastAsia="Palatino Linotype" w:hAnsi="Palatino Linotype" w:cs="Palatino Linotype"/>
          <w:sz w:val="24"/>
          <w:szCs w:val="24"/>
        </w:rPr>
        <w:t>vía Sistema de Acceso a la Información Mexiquense, de ser el caso, en versión pública, de la siguiente información:</w:t>
      </w:r>
      <w:bookmarkStart w:id="2" w:name="_heading=h.1fob9te" w:colFirst="0" w:colLast="0"/>
      <w:bookmarkEnd w:id="2"/>
    </w:p>
    <w:p w14:paraId="74915F20" w14:textId="77777777" w:rsidR="003A5438" w:rsidRPr="004E04DB" w:rsidRDefault="003A5438" w:rsidP="003A5438">
      <w:pPr>
        <w:pBdr>
          <w:top w:val="nil"/>
          <w:left w:val="nil"/>
          <w:bottom w:val="nil"/>
          <w:right w:val="nil"/>
          <w:between w:val="nil"/>
        </w:pBdr>
        <w:spacing w:after="0" w:line="360" w:lineRule="auto"/>
        <w:ind w:right="560"/>
        <w:jc w:val="both"/>
        <w:rPr>
          <w:rFonts w:ascii="Palatino Linotype" w:eastAsia="Palatino Linotype" w:hAnsi="Palatino Linotype" w:cs="Palatino Linotype"/>
          <w:sz w:val="24"/>
          <w:szCs w:val="24"/>
        </w:rPr>
      </w:pPr>
    </w:p>
    <w:p w14:paraId="07FB41B8" w14:textId="67062942" w:rsidR="003A5438" w:rsidRPr="004E04DB" w:rsidRDefault="003A5438" w:rsidP="00FE60FB">
      <w:pPr>
        <w:pStyle w:val="Prrafodelista"/>
        <w:numPr>
          <w:ilvl w:val="0"/>
          <w:numId w:val="16"/>
        </w:numPr>
        <w:spacing w:after="0" w:line="360" w:lineRule="auto"/>
        <w:ind w:right="560"/>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rPr>
        <w:t xml:space="preserve">Documento donde conste el inventario general de bienes muebles e inmuebles </w:t>
      </w:r>
      <w:r w:rsidR="00FE60FB" w:rsidRPr="004E04DB">
        <w:rPr>
          <w:rFonts w:ascii="Palatino Linotype" w:eastAsia="Palatino Linotype" w:hAnsi="Palatino Linotype" w:cs="Palatino Linotype"/>
        </w:rPr>
        <w:t>vigente</w:t>
      </w:r>
      <w:r w:rsidRPr="004E04DB">
        <w:rPr>
          <w:rFonts w:ascii="Palatino Linotype" w:eastAsia="Palatino Linotype" w:hAnsi="Palatino Linotype" w:cs="Palatino Linotype"/>
        </w:rPr>
        <w:t xml:space="preserve"> al cuatro de agosto de dos mil veintitrés.</w:t>
      </w:r>
    </w:p>
    <w:p w14:paraId="4D14E352" w14:textId="77777777" w:rsidR="003A5438" w:rsidRPr="004E04DB" w:rsidRDefault="003A5438" w:rsidP="003A5438">
      <w:pPr>
        <w:pStyle w:val="Prrafodelista"/>
        <w:spacing w:after="0" w:line="360" w:lineRule="auto"/>
        <w:ind w:right="49"/>
        <w:jc w:val="both"/>
        <w:rPr>
          <w:rFonts w:ascii="Palatino Linotype" w:eastAsia="Palatino Linotype" w:hAnsi="Palatino Linotype" w:cs="Palatino Linotype"/>
          <w:sz w:val="24"/>
          <w:szCs w:val="24"/>
        </w:rPr>
      </w:pPr>
    </w:p>
    <w:p w14:paraId="35619276" w14:textId="77777777" w:rsidR="003A5438" w:rsidRPr="004E04DB" w:rsidRDefault="003A5438" w:rsidP="003A5438">
      <w:pPr>
        <w:spacing w:after="0" w:line="276" w:lineRule="auto"/>
        <w:ind w:left="567" w:right="560"/>
        <w:jc w:val="both"/>
        <w:rPr>
          <w:rFonts w:ascii="Palatino Linotype" w:eastAsia="Palatino Linotype" w:hAnsi="Palatino Linotype" w:cs="Palatino Linotype"/>
          <w:i/>
          <w:iCs/>
          <w:sz w:val="24"/>
          <w:szCs w:val="24"/>
        </w:rPr>
      </w:pPr>
      <w:r w:rsidRPr="004E04DB">
        <w:rPr>
          <w:rFonts w:ascii="Palatino Linotype" w:eastAsia="Palatino Linotype" w:hAnsi="Palatino Linotype" w:cs="Palatino Linotype"/>
          <w:i/>
          <w:iCs/>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EF3346A" w14:textId="77777777" w:rsidR="00F8557D" w:rsidRPr="004E04DB" w:rsidRDefault="00F8557D">
      <w:pPr>
        <w:tabs>
          <w:tab w:val="left" w:pos="993"/>
        </w:tabs>
        <w:spacing w:after="0" w:line="360" w:lineRule="auto"/>
        <w:ind w:right="-28"/>
        <w:jc w:val="both"/>
        <w:rPr>
          <w:rFonts w:ascii="Palatino Linotype" w:eastAsia="Palatino Linotype" w:hAnsi="Palatino Linotype" w:cs="Palatino Linotype"/>
          <w:b/>
          <w:sz w:val="24"/>
          <w:szCs w:val="24"/>
        </w:rPr>
      </w:pPr>
    </w:p>
    <w:p w14:paraId="3D00D746" w14:textId="77777777" w:rsidR="009E75B5" w:rsidRPr="004E04DB" w:rsidRDefault="009E75B5" w:rsidP="009E75B5">
      <w:pPr>
        <w:spacing w:line="360" w:lineRule="auto"/>
        <w:ind w:right="49"/>
        <w:jc w:val="both"/>
        <w:rPr>
          <w:rFonts w:ascii="Palatino Linotype" w:eastAsia="Palatino Linotype" w:hAnsi="Palatino Linotype" w:cs="Palatino Linotype"/>
          <w:sz w:val="24"/>
        </w:rPr>
      </w:pPr>
      <w:r w:rsidRPr="004E04DB">
        <w:rPr>
          <w:rFonts w:ascii="Palatino Linotype" w:eastAsia="Palatino Linotype" w:hAnsi="Palatino Linotype" w:cs="Palatino Linotype"/>
          <w:b/>
          <w:sz w:val="24"/>
        </w:rPr>
        <w:t>Tercero.</w:t>
      </w:r>
      <w:r w:rsidRPr="004E04DB">
        <w:rPr>
          <w:rFonts w:ascii="Palatino Linotype" w:eastAsia="Palatino Linotype" w:hAnsi="Palatino Linotype" w:cs="Palatino Linotype"/>
          <w:sz w:val="24"/>
        </w:rPr>
        <w:t xml:space="preserve"> </w:t>
      </w:r>
      <w:r w:rsidRPr="004E04DB">
        <w:rPr>
          <w:rFonts w:ascii="Palatino Linotype" w:eastAsia="Palatino Linotype" w:hAnsi="Palatino Linotype" w:cs="Palatino Linotype"/>
          <w:b/>
          <w:sz w:val="24"/>
        </w:rPr>
        <w:t xml:space="preserve">Notifíquese </w:t>
      </w:r>
      <w:r w:rsidRPr="004E04DB">
        <w:rPr>
          <w:rFonts w:ascii="Palatino Linotype" w:eastAsia="Palatino Linotype" w:hAnsi="Palatino Linotype" w:cs="Palatino Linotype"/>
          <w:sz w:val="24"/>
        </w:rPr>
        <w:t>la presente resolución al T</w:t>
      </w:r>
      <w:r w:rsidRPr="004E04DB">
        <w:rPr>
          <w:rFonts w:ascii="Palatino Linotype" w:eastAsia="Palatino Linotype" w:hAnsi="Palatino Linotype" w:cs="Palatino Linotype"/>
          <w:b/>
          <w:sz w:val="24"/>
        </w:rPr>
        <w:t xml:space="preserve">itular de la Unidad de Transparencia </w:t>
      </w:r>
      <w:r w:rsidRPr="004E04DB">
        <w:rPr>
          <w:rFonts w:ascii="Palatino Linotype" w:eastAsia="Palatino Linotype" w:hAnsi="Palatino Linotype" w:cs="Palatino Linotype"/>
          <w:sz w:val="24"/>
        </w:rPr>
        <w:t xml:space="preserve">del </w:t>
      </w:r>
      <w:r w:rsidRPr="004E04DB">
        <w:rPr>
          <w:rFonts w:ascii="Palatino Linotype" w:eastAsia="Palatino Linotype" w:hAnsi="Palatino Linotype" w:cs="Palatino Linotype"/>
          <w:b/>
          <w:sz w:val="24"/>
        </w:rPr>
        <w:t>SUJETO OBLIGADO</w:t>
      </w:r>
      <w:r w:rsidRPr="004E04DB">
        <w:rPr>
          <w:rFonts w:ascii="Palatino Linotype" w:eastAsia="Palatino Linotype" w:hAnsi="Palatino Linotype" w:cs="Palatino Linotype"/>
          <w:sz w:val="24"/>
        </w:rPr>
        <w:t xml:space="preserve">, para que conforme al artículo 186 último párrafo, 189 segundo párrafo y 194 de la Ley de Transparencia y Acceso a la Información Pública del Estado de México y Municipios; dé cumplimiento a lo ordenado dentro del plazo </w:t>
      </w:r>
      <w:r w:rsidRPr="004E04DB">
        <w:rPr>
          <w:rFonts w:ascii="Palatino Linotype" w:eastAsia="Palatino Linotype" w:hAnsi="Palatino Linotype" w:cs="Palatino Linotype"/>
          <w:sz w:val="24"/>
        </w:rPr>
        <w:lastRenderedPageBreak/>
        <w:t>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7CC1FF69"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3970498B" w14:textId="5B8A5E5A"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Cuarto.</w:t>
      </w:r>
      <w:r w:rsidRPr="004E04DB">
        <w:rPr>
          <w:rFonts w:ascii="Palatino Linotype" w:eastAsia="Palatino Linotype" w:hAnsi="Palatino Linotype" w:cs="Palatino Linotype"/>
          <w:sz w:val="24"/>
          <w:szCs w:val="24"/>
        </w:rPr>
        <w:t xml:space="preserve"> </w:t>
      </w:r>
      <w:r w:rsidRPr="004E04DB">
        <w:rPr>
          <w:rFonts w:ascii="Palatino Linotype" w:eastAsia="Palatino Linotype" w:hAnsi="Palatino Linotype" w:cs="Palatino Linotype"/>
          <w:b/>
          <w:sz w:val="24"/>
          <w:szCs w:val="24"/>
        </w:rPr>
        <w:t>Notifíquese vía SAIMEX</w:t>
      </w:r>
      <w:r w:rsidRPr="004E04DB">
        <w:rPr>
          <w:rFonts w:ascii="Palatino Linotype" w:eastAsia="Palatino Linotype" w:hAnsi="Palatino Linotype" w:cs="Palatino Linotype"/>
          <w:sz w:val="24"/>
          <w:szCs w:val="24"/>
        </w:rPr>
        <w:t xml:space="preserve"> a la parte </w:t>
      </w:r>
      <w:r w:rsidRPr="004E04DB">
        <w:rPr>
          <w:rFonts w:ascii="Palatino Linotype" w:eastAsia="Palatino Linotype" w:hAnsi="Palatino Linotype" w:cs="Palatino Linotype"/>
          <w:b/>
          <w:sz w:val="24"/>
          <w:szCs w:val="24"/>
        </w:rPr>
        <w:t xml:space="preserve">RECURRENTE </w:t>
      </w:r>
      <w:r w:rsidRPr="004E04DB">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02412A" w:rsidRPr="004E04DB">
        <w:rPr>
          <w:rFonts w:ascii="Palatino Linotype" w:eastAsia="Palatino Linotype" w:hAnsi="Palatino Linotype" w:cs="Palatino Linotype"/>
          <w:sz w:val="24"/>
          <w:szCs w:val="24"/>
        </w:rPr>
        <w:t xml:space="preserve">. </w:t>
      </w:r>
    </w:p>
    <w:p w14:paraId="23C230A4"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6BD0C091" w14:textId="77777777"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b/>
          <w:sz w:val="24"/>
          <w:szCs w:val="24"/>
        </w:rPr>
        <w:t>Quinto.</w:t>
      </w:r>
      <w:r w:rsidRPr="004E04DB">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4E04DB">
        <w:rPr>
          <w:rFonts w:ascii="Palatino Linotype" w:eastAsia="Palatino Linotype" w:hAnsi="Palatino Linotype" w:cs="Palatino Linotype"/>
          <w:b/>
          <w:sz w:val="24"/>
          <w:szCs w:val="24"/>
        </w:rPr>
        <w:t>SUJETO OBLIGADO</w:t>
      </w:r>
      <w:r w:rsidRPr="004E04DB">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2787555"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223A250F" w14:textId="0FCDACAD" w:rsidR="00F8557D" w:rsidRPr="004E04DB" w:rsidRDefault="00646B44">
      <w:pPr>
        <w:spacing w:after="0" w:line="360" w:lineRule="auto"/>
        <w:ind w:right="49"/>
        <w:jc w:val="both"/>
        <w:rPr>
          <w:rFonts w:ascii="Palatino Linotype" w:eastAsia="Palatino Linotype" w:hAnsi="Palatino Linotype" w:cs="Palatino Linotype"/>
          <w:sz w:val="24"/>
          <w:szCs w:val="24"/>
        </w:rPr>
      </w:pPr>
      <w:r w:rsidRPr="004E04DB">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4E04DB">
        <w:rPr>
          <w:rFonts w:ascii="Palatino Linotype" w:eastAsia="Palatino Linotype" w:hAnsi="Palatino Linotype" w:cs="Palatino Linotype"/>
          <w:sz w:val="24"/>
          <w:szCs w:val="24"/>
        </w:rPr>
        <w:lastRenderedPageBreak/>
        <w:t>GUSTAVO PARRA NORIEGA Y GUADALUPE RAMÍREZ PEÑA; EN LA</w:t>
      </w:r>
      <w:r w:rsidR="00917A6A" w:rsidRPr="004E04DB">
        <w:rPr>
          <w:rFonts w:ascii="Palatino Linotype" w:eastAsia="Palatino Linotype" w:hAnsi="Palatino Linotype" w:cs="Palatino Linotype"/>
          <w:sz w:val="24"/>
          <w:szCs w:val="24"/>
        </w:rPr>
        <w:t xml:space="preserve"> </w:t>
      </w:r>
      <w:r w:rsidR="009E75B5" w:rsidRPr="004E04DB">
        <w:rPr>
          <w:rFonts w:ascii="Palatino Linotype" w:eastAsia="Palatino Linotype" w:hAnsi="Palatino Linotype" w:cs="Palatino Linotype"/>
          <w:sz w:val="24"/>
          <w:szCs w:val="24"/>
        </w:rPr>
        <w:t xml:space="preserve">CUADRAGÉSIMA </w:t>
      </w:r>
      <w:r w:rsidR="00A45BB6" w:rsidRPr="004E04DB">
        <w:rPr>
          <w:rFonts w:ascii="Palatino Linotype" w:eastAsia="Palatino Linotype" w:hAnsi="Palatino Linotype" w:cs="Palatino Linotype"/>
          <w:sz w:val="24"/>
          <w:szCs w:val="24"/>
        </w:rPr>
        <w:t xml:space="preserve">PRIMERA </w:t>
      </w:r>
      <w:r w:rsidR="00B16261" w:rsidRPr="004E04DB">
        <w:rPr>
          <w:rFonts w:ascii="Palatino Linotype" w:eastAsia="Palatino Linotype" w:hAnsi="Palatino Linotype" w:cs="Palatino Linotype"/>
          <w:sz w:val="24"/>
          <w:szCs w:val="24"/>
        </w:rPr>
        <w:t xml:space="preserve">SESIÓN ORDINARIA </w:t>
      </w:r>
      <w:r w:rsidRPr="004E04DB">
        <w:rPr>
          <w:rFonts w:ascii="Palatino Linotype" w:eastAsia="Palatino Linotype" w:hAnsi="Palatino Linotype" w:cs="Palatino Linotype"/>
          <w:sz w:val="24"/>
          <w:szCs w:val="24"/>
        </w:rPr>
        <w:t xml:space="preserve">CELEBRADA EL </w:t>
      </w:r>
      <w:r w:rsidR="00A45BB6" w:rsidRPr="004E04DB">
        <w:rPr>
          <w:rFonts w:ascii="Palatino Linotype" w:eastAsia="Palatino Linotype" w:hAnsi="Palatino Linotype" w:cs="Palatino Linotype"/>
          <w:sz w:val="24"/>
          <w:szCs w:val="24"/>
        </w:rPr>
        <w:t xml:space="preserve">QUINCE </w:t>
      </w:r>
      <w:r w:rsidR="009E75B5" w:rsidRPr="004E04DB">
        <w:rPr>
          <w:rFonts w:ascii="Palatino Linotype" w:eastAsia="Palatino Linotype" w:hAnsi="Palatino Linotype" w:cs="Palatino Linotype"/>
          <w:sz w:val="24"/>
          <w:szCs w:val="24"/>
        </w:rPr>
        <w:t xml:space="preserve">DE NOVIEMBRE </w:t>
      </w:r>
      <w:r w:rsidRPr="004E04DB">
        <w:rPr>
          <w:rFonts w:ascii="Palatino Linotype" w:eastAsia="Palatino Linotype" w:hAnsi="Palatino Linotype" w:cs="Palatino Linotype"/>
          <w:sz w:val="24"/>
          <w:szCs w:val="24"/>
        </w:rPr>
        <w:t>DE DOS MIL VEINTI</w:t>
      </w:r>
      <w:r w:rsidR="00B16261" w:rsidRPr="004E04DB">
        <w:rPr>
          <w:rFonts w:ascii="Palatino Linotype" w:eastAsia="Palatino Linotype" w:hAnsi="Palatino Linotype" w:cs="Palatino Linotype"/>
          <w:sz w:val="24"/>
          <w:szCs w:val="24"/>
        </w:rPr>
        <w:t>TRÉS</w:t>
      </w:r>
      <w:r w:rsidRPr="004E04DB">
        <w:rPr>
          <w:rFonts w:ascii="Palatino Linotype" w:eastAsia="Palatino Linotype" w:hAnsi="Palatino Linotype" w:cs="Palatino Linotype"/>
          <w:sz w:val="24"/>
          <w:szCs w:val="24"/>
        </w:rPr>
        <w:t xml:space="preserve">, ANTE EL SECRETARIO TÉCNICO DEL PLENO ALEXIS TAPIA RAMÍREZ. </w:t>
      </w:r>
    </w:p>
    <w:p w14:paraId="2BAC687F"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1031A4E2" w14:textId="60DEAD63" w:rsidR="00F8557D" w:rsidRPr="004E04DB" w:rsidRDefault="00517EA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59AEA726" wp14:editId="6433BCD2">
                <wp:simplePos x="0" y="0"/>
                <wp:positionH relativeFrom="column">
                  <wp:posOffset>333995</wp:posOffset>
                </wp:positionH>
                <wp:positionV relativeFrom="paragraph">
                  <wp:posOffset>9215</wp:posOffset>
                </wp:positionV>
                <wp:extent cx="5092996" cy="5518298"/>
                <wp:effectExtent l="0" t="0" r="31750" b="25400"/>
                <wp:wrapNone/>
                <wp:docPr id="2" name="Conector recto 2"/>
                <wp:cNvGraphicFramePr/>
                <a:graphic xmlns:a="http://schemas.openxmlformats.org/drawingml/2006/main">
                  <a:graphicData uri="http://schemas.microsoft.com/office/word/2010/wordprocessingShape">
                    <wps:wsp>
                      <wps:cNvCnPr/>
                      <wps:spPr>
                        <a:xfrm>
                          <a:off x="0" y="0"/>
                          <a:ext cx="5092996" cy="55182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90184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3pt,.75pt" to="427.3pt,4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" strokecolor="black [3200]" strokeweight=".5pt">
                <v:stroke joinstyle="miter"/>
              </v:line>
            </w:pict>
          </mc:Fallback>
        </mc:AlternateContent>
      </w:r>
    </w:p>
    <w:p w14:paraId="5B8F3649"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2022739A"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64B98FB1"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3DCA74B5"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1AEC23D1"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7026B727"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184D5625"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69EE9065"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0026736C" w14:textId="77777777" w:rsidR="00F8557D" w:rsidRPr="004E04DB" w:rsidRDefault="00F8557D">
      <w:pPr>
        <w:spacing w:after="0" w:line="360" w:lineRule="auto"/>
        <w:ind w:right="49"/>
        <w:jc w:val="both"/>
        <w:rPr>
          <w:rFonts w:ascii="Palatino Linotype" w:eastAsia="Palatino Linotype" w:hAnsi="Palatino Linotype" w:cs="Palatino Linotype"/>
          <w:sz w:val="24"/>
          <w:szCs w:val="24"/>
        </w:rPr>
      </w:pPr>
    </w:p>
    <w:p w14:paraId="0C8E98EF" w14:textId="77777777" w:rsidR="004E04DB" w:rsidRPr="004E04DB" w:rsidRDefault="004E04DB">
      <w:pPr>
        <w:spacing w:after="0" w:line="360" w:lineRule="auto"/>
        <w:ind w:right="49"/>
        <w:jc w:val="both"/>
        <w:rPr>
          <w:rFonts w:ascii="Palatino Linotype" w:eastAsia="Palatino Linotype" w:hAnsi="Palatino Linotype" w:cs="Palatino Linotype"/>
          <w:sz w:val="24"/>
          <w:szCs w:val="24"/>
        </w:rPr>
      </w:pPr>
    </w:p>
    <w:p w14:paraId="558DC07F" w14:textId="77777777" w:rsidR="004E04DB" w:rsidRPr="004E04DB" w:rsidRDefault="004E04DB">
      <w:pPr>
        <w:spacing w:after="0" w:line="360" w:lineRule="auto"/>
        <w:ind w:right="49"/>
        <w:jc w:val="both"/>
        <w:rPr>
          <w:rFonts w:ascii="Palatino Linotype" w:eastAsia="Palatino Linotype" w:hAnsi="Palatino Linotype" w:cs="Palatino Linotype"/>
          <w:sz w:val="24"/>
          <w:szCs w:val="24"/>
        </w:rPr>
      </w:pPr>
    </w:p>
    <w:p w14:paraId="3A1EA067" w14:textId="77777777" w:rsidR="004E04DB" w:rsidRPr="004E04DB" w:rsidRDefault="004E04DB">
      <w:pPr>
        <w:spacing w:after="0" w:line="360" w:lineRule="auto"/>
        <w:ind w:right="49"/>
        <w:jc w:val="both"/>
        <w:rPr>
          <w:rFonts w:ascii="Palatino Linotype" w:eastAsia="Palatino Linotype" w:hAnsi="Palatino Linotype" w:cs="Palatino Linotype"/>
          <w:sz w:val="24"/>
          <w:szCs w:val="24"/>
        </w:rPr>
      </w:pPr>
    </w:p>
    <w:p w14:paraId="43FC6835" w14:textId="77777777" w:rsidR="004E04DB" w:rsidRPr="004E04DB" w:rsidRDefault="004E04DB">
      <w:pPr>
        <w:spacing w:after="0" w:line="360" w:lineRule="auto"/>
        <w:ind w:right="49"/>
        <w:jc w:val="both"/>
        <w:rPr>
          <w:rFonts w:ascii="Palatino Linotype" w:eastAsia="Palatino Linotype" w:hAnsi="Palatino Linotype" w:cs="Palatino Linotype"/>
          <w:sz w:val="24"/>
          <w:szCs w:val="24"/>
        </w:rPr>
      </w:pPr>
    </w:p>
    <w:p w14:paraId="45369C75" w14:textId="77777777" w:rsidR="004E04DB" w:rsidRPr="004E04DB" w:rsidRDefault="004E04DB">
      <w:pPr>
        <w:spacing w:after="0" w:line="360" w:lineRule="auto"/>
        <w:ind w:right="49"/>
        <w:jc w:val="both"/>
        <w:rPr>
          <w:rFonts w:ascii="Palatino Linotype" w:eastAsia="Palatino Linotype" w:hAnsi="Palatino Linotype" w:cs="Palatino Linotype"/>
          <w:sz w:val="24"/>
          <w:szCs w:val="24"/>
        </w:rPr>
      </w:pPr>
    </w:p>
    <w:p w14:paraId="5B1D2139" w14:textId="77777777" w:rsidR="004E04DB" w:rsidRPr="004E04DB" w:rsidRDefault="004E04DB">
      <w:pPr>
        <w:spacing w:after="0" w:line="360" w:lineRule="auto"/>
        <w:ind w:right="49"/>
        <w:jc w:val="both"/>
        <w:rPr>
          <w:rFonts w:ascii="Palatino Linotype" w:eastAsia="Palatino Linotype" w:hAnsi="Palatino Linotype" w:cs="Palatino Linotype"/>
          <w:sz w:val="24"/>
          <w:szCs w:val="24"/>
        </w:rPr>
      </w:pPr>
    </w:p>
    <w:p w14:paraId="0790770E" w14:textId="77777777" w:rsidR="004E04DB" w:rsidRPr="004E04DB" w:rsidRDefault="004E04DB">
      <w:pPr>
        <w:spacing w:after="0" w:line="360" w:lineRule="auto"/>
        <w:ind w:right="49"/>
        <w:jc w:val="both"/>
        <w:rPr>
          <w:rFonts w:ascii="Palatino Linotype" w:eastAsia="Palatino Linotype" w:hAnsi="Palatino Linotype" w:cs="Palatino Linotype"/>
          <w:sz w:val="24"/>
          <w:szCs w:val="24"/>
        </w:rPr>
      </w:pPr>
    </w:p>
    <w:p w14:paraId="4C34046A" w14:textId="77777777" w:rsidR="004E04DB" w:rsidRPr="004E04DB" w:rsidRDefault="004E04DB">
      <w:pPr>
        <w:spacing w:after="0" w:line="360" w:lineRule="auto"/>
        <w:ind w:right="49"/>
        <w:jc w:val="both"/>
        <w:rPr>
          <w:rFonts w:ascii="Palatino Linotype" w:eastAsia="Palatino Linotype" w:hAnsi="Palatino Linotype" w:cs="Palatino Linotype"/>
          <w:sz w:val="24"/>
          <w:szCs w:val="24"/>
        </w:rPr>
      </w:pPr>
    </w:p>
    <w:p w14:paraId="029A366C" w14:textId="77777777" w:rsidR="004E04DB" w:rsidRPr="004E04DB" w:rsidRDefault="004E04DB">
      <w:pPr>
        <w:spacing w:after="0" w:line="360" w:lineRule="auto"/>
        <w:ind w:right="49"/>
        <w:jc w:val="both"/>
        <w:rPr>
          <w:rFonts w:ascii="Palatino Linotype" w:eastAsia="Palatino Linotype" w:hAnsi="Palatino Linotype" w:cs="Palatino Linotype"/>
          <w:sz w:val="24"/>
          <w:szCs w:val="24"/>
        </w:rPr>
      </w:pPr>
    </w:p>
    <w:p w14:paraId="71266D87" w14:textId="77777777" w:rsidR="004E04DB" w:rsidRPr="004E04DB" w:rsidRDefault="004E04DB">
      <w:pPr>
        <w:spacing w:after="0" w:line="360" w:lineRule="auto"/>
        <w:ind w:right="49"/>
        <w:jc w:val="both"/>
        <w:rPr>
          <w:rFonts w:ascii="Palatino Linotype" w:eastAsia="Palatino Linotype" w:hAnsi="Palatino Linotype" w:cs="Palatino Linotype"/>
          <w:sz w:val="24"/>
          <w:szCs w:val="24"/>
        </w:rPr>
      </w:pPr>
    </w:p>
    <w:p w14:paraId="6A44B8E6" w14:textId="77777777" w:rsidR="004E04DB" w:rsidRPr="004E04DB" w:rsidRDefault="004E04DB">
      <w:pPr>
        <w:spacing w:after="0" w:line="360" w:lineRule="auto"/>
        <w:ind w:right="49"/>
        <w:jc w:val="both"/>
        <w:rPr>
          <w:rFonts w:ascii="Palatino Linotype" w:eastAsia="Palatino Linotype" w:hAnsi="Palatino Linotype" w:cs="Palatino Linotype"/>
          <w:sz w:val="24"/>
          <w:szCs w:val="24"/>
        </w:rPr>
      </w:pPr>
    </w:p>
    <w:sectPr w:rsidR="004E04DB" w:rsidRPr="004E04DB">
      <w:headerReference w:type="default" r:id="rId18"/>
      <w:footerReference w:type="default" r:id="rId19"/>
      <w:headerReference w:type="first" r:id="rId20"/>
      <w:footerReference w:type="first" r:id="rId2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D90B4" w14:textId="77777777" w:rsidR="008B7096" w:rsidRDefault="008B7096">
      <w:pPr>
        <w:spacing w:after="0" w:line="240" w:lineRule="auto"/>
      </w:pPr>
      <w:r>
        <w:separator/>
      </w:r>
    </w:p>
  </w:endnote>
  <w:endnote w:type="continuationSeparator" w:id="0">
    <w:p w14:paraId="52148CC8" w14:textId="77777777" w:rsidR="008B7096" w:rsidRDefault="008B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1C3D" w14:textId="77777777" w:rsidR="005E3DD3" w:rsidRDefault="005E3DD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E4905">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E4905">
      <w:rPr>
        <w:b/>
        <w:noProof/>
        <w:color w:val="000000"/>
        <w:sz w:val="24"/>
        <w:szCs w:val="24"/>
      </w:rPr>
      <w:t>52</w:t>
    </w:r>
    <w:r>
      <w:rPr>
        <w:b/>
        <w:color w:val="000000"/>
        <w:sz w:val="24"/>
        <w:szCs w:val="24"/>
      </w:rPr>
      <w:fldChar w:fldCharType="end"/>
    </w:r>
  </w:p>
  <w:p w14:paraId="693219AA" w14:textId="77777777" w:rsidR="005E3DD3" w:rsidRDefault="005E3DD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C6E" w14:textId="77777777" w:rsidR="005E3DD3" w:rsidRDefault="005E3DD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E490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E4905">
      <w:rPr>
        <w:b/>
        <w:noProof/>
        <w:color w:val="000000"/>
        <w:sz w:val="24"/>
        <w:szCs w:val="24"/>
      </w:rPr>
      <w:t>52</w:t>
    </w:r>
    <w:r>
      <w:rPr>
        <w:b/>
        <w:color w:val="000000"/>
        <w:sz w:val="24"/>
        <w:szCs w:val="24"/>
      </w:rPr>
      <w:fldChar w:fldCharType="end"/>
    </w:r>
  </w:p>
  <w:p w14:paraId="54B4B9F6" w14:textId="77777777" w:rsidR="005E3DD3" w:rsidRDefault="005E3DD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A2C38" w14:textId="77777777" w:rsidR="008B7096" w:rsidRDefault="008B7096">
      <w:pPr>
        <w:spacing w:after="0" w:line="240" w:lineRule="auto"/>
      </w:pPr>
      <w:r>
        <w:separator/>
      </w:r>
    </w:p>
  </w:footnote>
  <w:footnote w:type="continuationSeparator" w:id="0">
    <w:p w14:paraId="45CA3B9C" w14:textId="77777777" w:rsidR="008B7096" w:rsidRDefault="008B7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E2F0" w14:textId="77777777" w:rsidR="005E3DD3" w:rsidRDefault="005E3DD3">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5E3DD3" w14:paraId="3D10BF48" w14:textId="77777777">
      <w:tc>
        <w:tcPr>
          <w:tcW w:w="2551" w:type="dxa"/>
          <w:vAlign w:val="center"/>
        </w:tcPr>
        <w:p w14:paraId="3489D479" w14:textId="77777777" w:rsidR="005E3DD3" w:rsidRDefault="005E3D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28D1ACA8" w:rsidR="005E3DD3" w:rsidRDefault="005E3DD3" w:rsidP="00D745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05444/INFOEM/IP/RR/2023</w:t>
          </w:r>
        </w:p>
      </w:tc>
    </w:tr>
    <w:tr w:rsidR="005E3DD3" w14:paraId="537DBD70" w14:textId="77777777" w:rsidTr="00F22AE1">
      <w:trPr>
        <w:trHeight w:val="217"/>
      </w:trPr>
      <w:tc>
        <w:tcPr>
          <w:tcW w:w="2551" w:type="dxa"/>
          <w:vAlign w:val="center"/>
        </w:tcPr>
        <w:p w14:paraId="2E383D5B" w14:textId="77777777" w:rsidR="005E3DD3" w:rsidRDefault="005E3D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23963845" w:rsidR="005E3DD3" w:rsidRDefault="005E3D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62C7FED8" w:rsidR="005E3DD3" w:rsidRDefault="005E3DD3" w:rsidP="006B4A8B">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5E3DD3" w14:paraId="7D1FD3FE" w14:textId="77777777">
      <w:tc>
        <w:tcPr>
          <w:tcW w:w="2551" w:type="dxa"/>
          <w:vAlign w:val="center"/>
        </w:tcPr>
        <w:p w14:paraId="19D94C21" w14:textId="77777777" w:rsidR="005E3DD3" w:rsidRDefault="005E3D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5E3DD3" w:rsidRDefault="005E3D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5E3DD3" w:rsidRDefault="005E3DD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5AB5" w14:textId="01B23D62" w:rsidR="005E3DD3" w:rsidRDefault="005E3DD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41E4E163">
          <wp:simplePos x="0" y="0"/>
          <wp:positionH relativeFrom="column">
            <wp:posOffset>-706755</wp:posOffset>
          </wp:positionH>
          <wp:positionV relativeFrom="paragraph">
            <wp:posOffset>-229870</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5E3DD3" w14:paraId="7C8FDD66" w14:textId="77777777" w:rsidTr="00F22AE1">
      <w:tc>
        <w:tcPr>
          <w:tcW w:w="2551" w:type="dxa"/>
          <w:vAlign w:val="center"/>
        </w:tcPr>
        <w:p w14:paraId="63FBC165" w14:textId="77777777" w:rsidR="005E3DD3" w:rsidRDefault="005E3D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5278766F" w:rsidR="005E3DD3" w:rsidRDefault="005E3D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05444/INFOEM/IP/RR/2023</w:t>
          </w:r>
        </w:p>
      </w:tc>
    </w:tr>
    <w:tr w:rsidR="005E3DD3" w14:paraId="44EE5E5E" w14:textId="77777777" w:rsidTr="00F22AE1">
      <w:tc>
        <w:tcPr>
          <w:tcW w:w="2551" w:type="dxa"/>
          <w:vAlign w:val="center"/>
        </w:tcPr>
        <w:p w14:paraId="362D8093" w14:textId="77777777" w:rsidR="005E3DD3" w:rsidRDefault="005E3D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0CB1F294" w:rsidR="005E3DD3" w:rsidRDefault="005E3D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5E3DD3" w14:paraId="62AB0F25" w14:textId="77777777" w:rsidTr="00F22AE1">
      <w:trPr>
        <w:trHeight w:val="152"/>
      </w:trPr>
      <w:tc>
        <w:tcPr>
          <w:tcW w:w="2551" w:type="dxa"/>
          <w:vAlign w:val="center"/>
        </w:tcPr>
        <w:p w14:paraId="5CE23BF0" w14:textId="77777777" w:rsidR="005E3DD3" w:rsidRDefault="005E3DD3"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51353800" w:rsidR="005E3DD3" w:rsidRDefault="005E3DD3" w:rsidP="00F22AE1">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4D6746A4" w:rsidR="005E3DD3" w:rsidRDefault="005E3DD3" w:rsidP="006B4A8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5E3DD3" w14:paraId="43D52849" w14:textId="77777777" w:rsidTr="00F22AE1">
      <w:tc>
        <w:tcPr>
          <w:tcW w:w="2551" w:type="dxa"/>
          <w:vAlign w:val="center"/>
        </w:tcPr>
        <w:p w14:paraId="5770E145" w14:textId="77777777" w:rsidR="005E3DD3" w:rsidRDefault="005E3D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5E3DD3" w:rsidRDefault="005E3DD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5E3DD3" w:rsidRDefault="005E3DD3">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3AE8"/>
    <w:multiLevelType w:val="hybridMultilevel"/>
    <w:tmpl w:val="4C026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5021BD"/>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866602"/>
    <w:multiLevelType w:val="singleLevel"/>
    <w:tmpl w:val="117C481A"/>
    <w:lvl w:ilvl="0">
      <w:start w:val="1"/>
      <w:numFmt w:val="upperRoman"/>
      <w:lvlText w:val="%1."/>
      <w:lvlJc w:val="left"/>
      <w:pPr>
        <w:tabs>
          <w:tab w:val="num" w:pos="720"/>
        </w:tabs>
        <w:ind w:left="0" w:firstLine="0"/>
      </w:pPr>
      <w:rPr>
        <w:rFonts w:ascii="Palatino Linotype" w:hAnsi="Palatino Linotype" w:hint="default"/>
        <w:b w:val="0"/>
        <w:i/>
        <w:sz w:val="20"/>
      </w:rPr>
    </w:lvl>
  </w:abstractNum>
  <w:abstractNum w:abstractNumId="5">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F936BB"/>
    <w:multiLevelType w:val="hybridMultilevel"/>
    <w:tmpl w:val="C9820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EB6A48"/>
    <w:multiLevelType w:val="hybridMultilevel"/>
    <w:tmpl w:val="B3B6EB0C"/>
    <w:lvl w:ilvl="0" w:tplc="36AA846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9B31E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D007002"/>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4635CB3"/>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nsid w:val="4B571AF3"/>
    <w:multiLevelType w:val="hybridMultilevel"/>
    <w:tmpl w:val="5AA61C20"/>
    <w:lvl w:ilvl="0" w:tplc="8B30233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13E557F"/>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2E36BCE"/>
    <w:multiLevelType w:val="hybridMultilevel"/>
    <w:tmpl w:val="ECE25564"/>
    <w:lvl w:ilvl="0" w:tplc="B554FAB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270EDE"/>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D650712"/>
    <w:multiLevelType w:val="hybridMultilevel"/>
    <w:tmpl w:val="2C46E1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2"/>
  </w:num>
  <w:num w:numId="4">
    <w:abstractNumId w:val="26"/>
  </w:num>
  <w:num w:numId="5">
    <w:abstractNumId w:val="10"/>
  </w:num>
  <w:num w:numId="6">
    <w:abstractNumId w:val="21"/>
  </w:num>
  <w:num w:numId="7">
    <w:abstractNumId w:val="14"/>
  </w:num>
  <w:num w:numId="8">
    <w:abstractNumId w:val="16"/>
  </w:num>
  <w:num w:numId="9">
    <w:abstractNumId w:val="20"/>
  </w:num>
  <w:num w:numId="10">
    <w:abstractNumId w:val="8"/>
  </w:num>
  <w:num w:numId="11">
    <w:abstractNumId w:val="28"/>
  </w:num>
  <w:num w:numId="12">
    <w:abstractNumId w:val="17"/>
  </w:num>
  <w:num w:numId="13">
    <w:abstractNumId w:val="5"/>
  </w:num>
  <w:num w:numId="14">
    <w:abstractNumId w:val="11"/>
  </w:num>
  <w:num w:numId="15">
    <w:abstractNumId w:val="6"/>
  </w:num>
  <w:num w:numId="16">
    <w:abstractNumId w:val="27"/>
  </w:num>
  <w:num w:numId="17">
    <w:abstractNumId w:val="19"/>
  </w:num>
  <w:num w:numId="18">
    <w:abstractNumId w:val="9"/>
  </w:num>
  <w:num w:numId="19">
    <w:abstractNumId w:val="13"/>
  </w:num>
  <w:num w:numId="20">
    <w:abstractNumId w:val="22"/>
  </w:num>
  <w:num w:numId="21">
    <w:abstractNumId w:val="12"/>
  </w:num>
  <w:num w:numId="22">
    <w:abstractNumId w:val="15"/>
  </w:num>
  <w:num w:numId="23">
    <w:abstractNumId w:val="25"/>
  </w:num>
  <w:num w:numId="24">
    <w:abstractNumId w:val="1"/>
  </w:num>
  <w:num w:numId="25">
    <w:abstractNumId w:val="0"/>
  </w:num>
  <w:num w:numId="26">
    <w:abstractNumId w:val="18"/>
  </w:num>
  <w:num w:numId="27">
    <w:abstractNumId w:val="4"/>
  </w:num>
  <w:num w:numId="28">
    <w:abstractNumId w:val="2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010B9B"/>
    <w:rsid w:val="00022F7B"/>
    <w:rsid w:val="0002412A"/>
    <w:rsid w:val="00030649"/>
    <w:rsid w:val="0003629B"/>
    <w:rsid w:val="001217EF"/>
    <w:rsid w:val="00133E33"/>
    <w:rsid w:val="00141C9C"/>
    <w:rsid w:val="00144A39"/>
    <w:rsid w:val="001B0960"/>
    <w:rsid w:val="001C4643"/>
    <w:rsid w:val="001D6AE2"/>
    <w:rsid w:val="00203460"/>
    <w:rsid w:val="00241DE1"/>
    <w:rsid w:val="0026227D"/>
    <w:rsid w:val="00276C2F"/>
    <w:rsid w:val="002969CC"/>
    <w:rsid w:val="002C103C"/>
    <w:rsid w:val="002D2474"/>
    <w:rsid w:val="002D6A54"/>
    <w:rsid w:val="002F3C2D"/>
    <w:rsid w:val="00313228"/>
    <w:rsid w:val="0032615A"/>
    <w:rsid w:val="003355E2"/>
    <w:rsid w:val="00340E57"/>
    <w:rsid w:val="003840F9"/>
    <w:rsid w:val="003A5438"/>
    <w:rsid w:val="003B3C75"/>
    <w:rsid w:val="003B72BC"/>
    <w:rsid w:val="00411203"/>
    <w:rsid w:val="00430CAA"/>
    <w:rsid w:val="00433FA3"/>
    <w:rsid w:val="00461EAC"/>
    <w:rsid w:val="00464D56"/>
    <w:rsid w:val="00465E0B"/>
    <w:rsid w:val="00490D04"/>
    <w:rsid w:val="004A69FA"/>
    <w:rsid w:val="004B220B"/>
    <w:rsid w:val="004C732F"/>
    <w:rsid w:val="004E04DB"/>
    <w:rsid w:val="004E4ADA"/>
    <w:rsid w:val="00517EAB"/>
    <w:rsid w:val="0052303E"/>
    <w:rsid w:val="00524BD6"/>
    <w:rsid w:val="00532EC9"/>
    <w:rsid w:val="00575A11"/>
    <w:rsid w:val="00577A99"/>
    <w:rsid w:val="0058182E"/>
    <w:rsid w:val="005958FC"/>
    <w:rsid w:val="005A3826"/>
    <w:rsid w:val="005E3DD3"/>
    <w:rsid w:val="00607348"/>
    <w:rsid w:val="00614356"/>
    <w:rsid w:val="00617792"/>
    <w:rsid w:val="00634588"/>
    <w:rsid w:val="00646B44"/>
    <w:rsid w:val="00680857"/>
    <w:rsid w:val="00681338"/>
    <w:rsid w:val="006941D2"/>
    <w:rsid w:val="006943D1"/>
    <w:rsid w:val="006B4A8B"/>
    <w:rsid w:val="006E7E4D"/>
    <w:rsid w:val="00713594"/>
    <w:rsid w:val="00720498"/>
    <w:rsid w:val="00755515"/>
    <w:rsid w:val="0075678E"/>
    <w:rsid w:val="0078543E"/>
    <w:rsid w:val="007C2B04"/>
    <w:rsid w:val="007D19E9"/>
    <w:rsid w:val="008645E3"/>
    <w:rsid w:val="008755B0"/>
    <w:rsid w:val="00886D95"/>
    <w:rsid w:val="00895D56"/>
    <w:rsid w:val="00897CAB"/>
    <w:rsid w:val="008A4385"/>
    <w:rsid w:val="008B7096"/>
    <w:rsid w:val="008B7BCF"/>
    <w:rsid w:val="008C7B3C"/>
    <w:rsid w:val="008E6C40"/>
    <w:rsid w:val="00916D80"/>
    <w:rsid w:val="00917A6A"/>
    <w:rsid w:val="00931090"/>
    <w:rsid w:val="0093296E"/>
    <w:rsid w:val="00933869"/>
    <w:rsid w:val="0093591F"/>
    <w:rsid w:val="00981970"/>
    <w:rsid w:val="0098482D"/>
    <w:rsid w:val="009950C9"/>
    <w:rsid w:val="00995DE0"/>
    <w:rsid w:val="009A2072"/>
    <w:rsid w:val="009E23C4"/>
    <w:rsid w:val="009E285E"/>
    <w:rsid w:val="009E75B5"/>
    <w:rsid w:val="00A23CC3"/>
    <w:rsid w:val="00A26E71"/>
    <w:rsid w:val="00A27592"/>
    <w:rsid w:val="00A45BB6"/>
    <w:rsid w:val="00A74EBA"/>
    <w:rsid w:val="00AC79ED"/>
    <w:rsid w:val="00AD3815"/>
    <w:rsid w:val="00AE4905"/>
    <w:rsid w:val="00AE4E2E"/>
    <w:rsid w:val="00AE5E7B"/>
    <w:rsid w:val="00B16261"/>
    <w:rsid w:val="00B30C44"/>
    <w:rsid w:val="00B63FC6"/>
    <w:rsid w:val="00B65B2E"/>
    <w:rsid w:val="00B7278F"/>
    <w:rsid w:val="00B95BF3"/>
    <w:rsid w:val="00BC6621"/>
    <w:rsid w:val="00BE550A"/>
    <w:rsid w:val="00C1478B"/>
    <w:rsid w:val="00C166B9"/>
    <w:rsid w:val="00C2535A"/>
    <w:rsid w:val="00C52691"/>
    <w:rsid w:val="00C75C7E"/>
    <w:rsid w:val="00C810F5"/>
    <w:rsid w:val="00C84DC7"/>
    <w:rsid w:val="00CB345C"/>
    <w:rsid w:val="00CD662A"/>
    <w:rsid w:val="00CE6234"/>
    <w:rsid w:val="00D02932"/>
    <w:rsid w:val="00D37803"/>
    <w:rsid w:val="00D7458B"/>
    <w:rsid w:val="00D750D3"/>
    <w:rsid w:val="00D80548"/>
    <w:rsid w:val="00DA0202"/>
    <w:rsid w:val="00DB71F7"/>
    <w:rsid w:val="00DF45E4"/>
    <w:rsid w:val="00E21162"/>
    <w:rsid w:val="00E2699F"/>
    <w:rsid w:val="00E32625"/>
    <w:rsid w:val="00EE774D"/>
    <w:rsid w:val="00EF3241"/>
    <w:rsid w:val="00F200DA"/>
    <w:rsid w:val="00F22AE1"/>
    <w:rsid w:val="00F67DE4"/>
    <w:rsid w:val="00F758F6"/>
    <w:rsid w:val="00F8557D"/>
    <w:rsid w:val="00FC00A5"/>
    <w:rsid w:val="00FC6671"/>
    <w:rsid w:val="00FE60FB"/>
    <w:rsid w:val="00FF17F3"/>
    <w:rsid w:val="00FF3277"/>
    <w:rsid w:val="00FF6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character" w:customStyle="1" w:styleId="qu">
    <w:name w:val="qu"/>
    <w:basedOn w:val="Fuentedeprrafopredeter"/>
    <w:rsid w:val="00C1478B"/>
  </w:style>
  <w:style w:type="character" w:customStyle="1" w:styleId="gd">
    <w:name w:val="gd"/>
    <w:basedOn w:val="Fuentedeprrafopredeter"/>
    <w:rsid w:val="00C1478B"/>
  </w:style>
  <w:style w:type="character" w:customStyle="1" w:styleId="go">
    <w:name w:val="go"/>
    <w:basedOn w:val="Fuentedeprrafopredeter"/>
    <w:rsid w:val="00C1478B"/>
  </w:style>
  <w:style w:type="character" w:customStyle="1" w:styleId="g3">
    <w:name w:val="g3"/>
    <w:basedOn w:val="Fuentedeprrafopredeter"/>
    <w:rsid w:val="00C1478B"/>
  </w:style>
  <w:style w:type="character" w:customStyle="1" w:styleId="hb">
    <w:name w:val="hb"/>
    <w:basedOn w:val="Fuentedeprrafopredeter"/>
    <w:rsid w:val="00C1478B"/>
  </w:style>
  <w:style w:type="character" w:customStyle="1" w:styleId="g2">
    <w:name w:val="g2"/>
    <w:basedOn w:val="Fuentedeprrafopredeter"/>
    <w:rsid w:val="00C1478B"/>
  </w:style>
  <w:style w:type="character" w:customStyle="1" w:styleId="UnresolvedMention">
    <w:name w:val="Unresolved Mention"/>
    <w:basedOn w:val="Fuentedeprrafopredeter"/>
    <w:uiPriority w:val="99"/>
    <w:semiHidden/>
    <w:unhideWhenUsed/>
    <w:rsid w:val="00713594"/>
    <w:rPr>
      <w:color w:val="605E5C"/>
      <w:shd w:val="clear" w:color="auto" w:fill="E1DFDD"/>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B345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B345C"/>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B345C"/>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2953">
      <w:bodyDiv w:val="1"/>
      <w:marLeft w:val="0"/>
      <w:marRight w:val="0"/>
      <w:marTop w:val="0"/>
      <w:marBottom w:val="0"/>
      <w:divBdr>
        <w:top w:val="none" w:sz="0" w:space="0" w:color="auto"/>
        <w:left w:val="none" w:sz="0" w:space="0" w:color="auto"/>
        <w:bottom w:val="none" w:sz="0" w:space="0" w:color="auto"/>
        <w:right w:val="none" w:sz="0" w:space="0" w:color="auto"/>
      </w:divBdr>
    </w:div>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22569147">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419371451">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550844144">
      <w:bodyDiv w:val="1"/>
      <w:marLeft w:val="0"/>
      <w:marRight w:val="0"/>
      <w:marTop w:val="0"/>
      <w:marBottom w:val="0"/>
      <w:divBdr>
        <w:top w:val="none" w:sz="0" w:space="0" w:color="auto"/>
        <w:left w:val="none" w:sz="0" w:space="0" w:color="auto"/>
        <w:bottom w:val="none" w:sz="0" w:space="0" w:color="auto"/>
        <w:right w:val="none" w:sz="0" w:space="0" w:color="auto"/>
      </w:divBdr>
    </w:div>
    <w:div w:id="639381497">
      <w:bodyDiv w:val="1"/>
      <w:marLeft w:val="0"/>
      <w:marRight w:val="0"/>
      <w:marTop w:val="0"/>
      <w:marBottom w:val="0"/>
      <w:divBdr>
        <w:top w:val="none" w:sz="0" w:space="0" w:color="auto"/>
        <w:left w:val="none" w:sz="0" w:space="0" w:color="auto"/>
        <w:bottom w:val="none" w:sz="0" w:space="0" w:color="auto"/>
        <w:right w:val="none" w:sz="0" w:space="0" w:color="auto"/>
      </w:divBdr>
    </w:div>
    <w:div w:id="905342593">
      <w:bodyDiv w:val="1"/>
      <w:marLeft w:val="0"/>
      <w:marRight w:val="0"/>
      <w:marTop w:val="0"/>
      <w:marBottom w:val="0"/>
      <w:divBdr>
        <w:top w:val="none" w:sz="0" w:space="0" w:color="auto"/>
        <w:left w:val="none" w:sz="0" w:space="0" w:color="auto"/>
        <w:bottom w:val="none" w:sz="0" w:space="0" w:color="auto"/>
        <w:right w:val="none" w:sz="0" w:space="0" w:color="auto"/>
      </w:divBdr>
      <w:divsChild>
        <w:div w:id="1632633916">
          <w:marLeft w:val="0"/>
          <w:marRight w:val="0"/>
          <w:marTop w:val="0"/>
          <w:marBottom w:val="0"/>
          <w:divBdr>
            <w:top w:val="none" w:sz="0" w:space="0" w:color="auto"/>
            <w:left w:val="none" w:sz="0" w:space="0" w:color="auto"/>
            <w:bottom w:val="none" w:sz="0" w:space="0" w:color="auto"/>
            <w:right w:val="none" w:sz="0" w:space="0" w:color="auto"/>
          </w:divBdr>
          <w:divsChild>
            <w:div w:id="1051464951">
              <w:marLeft w:val="0"/>
              <w:marRight w:val="0"/>
              <w:marTop w:val="0"/>
              <w:marBottom w:val="0"/>
              <w:divBdr>
                <w:top w:val="none" w:sz="0" w:space="0" w:color="auto"/>
                <w:left w:val="none" w:sz="0" w:space="0" w:color="auto"/>
                <w:bottom w:val="none" w:sz="0" w:space="0" w:color="auto"/>
                <w:right w:val="none" w:sz="0" w:space="0" w:color="auto"/>
              </w:divBdr>
            </w:div>
          </w:divsChild>
        </w:div>
        <w:div w:id="1891108085">
          <w:marLeft w:val="0"/>
          <w:marRight w:val="0"/>
          <w:marTop w:val="0"/>
          <w:marBottom w:val="0"/>
          <w:divBdr>
            <w:top w:val="none" w:sz="0" w:space="0" w:color="auto"/>
            <w:left w:val="none" w:sz="0" w:space="0" w:color="auto"/>
            <w:bottom w:val="none" w:sz="0" w:space="0" w:color="auto"/>
            <w:right w:val="none" w:sz="0" w:space="0" w:color="auto"/>
          </w:divBdr>
          <w:divsChild>
            <w:div w:id="1730155863">
              <w:marLeft w:val="0"/>
              <w:marRight w:val="0"/>
              <w:marTop w:val="0"/>
              <w:marBottom w:val="0"/>
              <w:divBdr>
                <w:top w:val="none" w:sz="0" w:space="0" w:color="auto"/>
                <w:left w:val="none" w:sz="0" w:space="0" w:color="auto"/>
                <w:bottom w:val="none" w:sz="0" w:space="0" w:color="auto"/>
                <w:right w:val="none" w:sz="0" w:space="0" w:color="auto"/>
              </w:divBdr>
              <w:divsChild>
                <w:div w:id="1528182348">
                  <w:marLeft w:val="0"/>
                  <w:marRight w:val="0"/>
                  <w:marTop w:val="0"/>
                  <w:marBottom w:val="0"/>
                  <w:divBdr>
                    <w:top w:val="none" w:sz="0" w:space="0" w:color="auto"/>
                    <w:left w:val="none" w:sz="0" w:space="0" w:color="auto"/>
                    <w:bottom w:val="none" w:sz="0" w:space="0" w:color="auto"/>
                    <w:right w:val="none" w:sz="0" w:space="0" w:color="auto"/>
                  </w:divBdr>
                </w:div>
                <w:div w:id="172502837">
                  <w:marLeft w:val="300"/>
                  <w:marRight w:val="0"/>
                  <w:marTop w:val="0"/>
                  <w:marBottom w:val="0"/>
                  <w:divBdr>
                    <w:top w:val="none" w:sz="0" w:space="0" w:color="auto"/>
                    <w:left w:val="none" w:sz="0" w:space="0" w:color="auto"/>
                    <w:bottom w:val="none" w:sz="0" w:space="0" w:color="auto"/>
                    <w:right w:val="none" w:sz="0" w:space="0" w:color="auto"/>
                  </w:divBdr>
                </w:div>
                <w:div w:id="361832772">
                  <w:marLeft w:val="300"/>
                  <w:marRight w:val="0"/>
                  <w:marTop w:val="0"/>
                  <w:marBottom w:val="0"/>
                  <w:divBdr>
                    <w:top w:val="none" w:sz="0" w:space="0" w:color="auto"/>
                    <w:left w:val="none" w:sz="0" w:space="0" w:color="auto"/>
                    <w:bottom w:val="none" w:sz="0" w:space="0" w:color="auto"/>
                    <w:right w:val="none" w:sz="0" w:space="0" w:color="auto"/>
                  </w:divBdr>
                </w:div>
                <w:div w:id="886179707">
                  <w:marLeft w:val="0"/>
                  <w:marRight w:val="0"/>
                  <w:marTop w:val="0"/>
                  <w:marBottom w:val="0"/>
                  <w:divBdr>
                    <w:top w:val="none" w:sz="0" w:space="0" w:color="auto"/>
                    <w:left w:val="none" w:sz="0" w:space="0" w:color="auto"/>
                    <w:bottom w:val="none" w:sz="0" w:space="0" w:color="auto"/>
                    <w:right w:val="none" w:sz="0" w:space="0" w:color="auto"/>
                  </w:divBdr>
                </w:div>
                <w:div w:id="2022781809">
                  <w:marLeft w:val="60"/>
                  <w:marRight w:val="0"/>
                  <w:marTop w:val="0"/>
                  <w:marBottom w:val="0"/>
                  <w:divBdr>
                    <w:top w:val="none" w:sz="0" w:space="0" w:color="auto"/>
                    <w:left w:val="none" w:sz="0" w:space="0" w:color="auto"/>
                    <w:bottom w:val="none" w:sz="0" w:space="0" w:color="auto"/>
                    <w:right w:val="none" w:sz="0" w:space="0" w:color="auto"/>
                  </w:divBdr>
                </w:div>
              </w:divsChild>
            </w:div>
            <w:div w:id="1342076495">
              <w:marLeft w:val="0"/>
              <w:marRight w:val="0"/>
              <w:marTop w:val="0"/>
              <w:marBottom w:val="0"/>
              <w:divBdr>
                <w:top w:val="none" w:sz="0" w:space="0" w:color="auto"/>
                <w:left w:val="none" w:sz="0" w:space="0" w:color="auto"/>
                <w:bottom w:val="none" w:sz="0" w:space="0" w:color="auto"/>
                <w:right w:val="none" w:sz="0" w:space="0" w:color="auto"/>
              </w:divBdr>
              <w:divsChild>
                <w:div w:id="2025091138">
                  <w:marLeft w:val="0"/>
                  <w:marRight w:val="0"/>
                  <w:marTop w:val="120"/>
                  <w:marBottom w:val="0"/>
                  <w:divBdr>
                    <w:top w:val="none" w:sz="0" w:space="0" w:color="auto"/>
                    <w:left w:val="none" w:sz="0" w:space="0" w:color="auto"/>
                    <w:bottom w:val="none" w:sz="0" w:space="0" w:color="auto"/>
                    <w:right w:val="none" w:sz="0" w:space="0" w:color="auto"/>
                  </w:divBdr>
                  <w:divsChild>
                    <w:div w:id="1680228409">
                      <w:marLeft w:val="0"/>
                      <w:marRight w:val="0"/>
                      <w:marTop w:val="0"/>
                      <w:marBottom w:val="0"/>
                      <w:divBdr>
                        <w:top w:val="none" w:sz="0" w:space="0" w:color="auto"/>
                        <w:left w:val="none" w:sz="0" w:space="0" w:color="auto"/>
                        <w:bottom w:val="none" w:sz="0" w:space="0" w:color="auto"/>
                        <w:right w:val="none" w:sz="0" w:space="0" w:color="auto"/>
                      </w:divBdr>
                      <w:divsChild>
                        <w:div w:id="1021517316">
                          <w:marLeft w:val="0"/>
                          <w:marRight w:val="0"/>
                          <w:marTop w:val="0"/>
                          <w:marBottom w:val="0"/>
                          <w:divBdr>
                            <w:top w:val="none" w:sz="0" w:space="0" w:color="auto"/>
                            <w:left w:val="none" w:sz="0" w:space="0" w:color="auto"/>
                            <w:bottom w:val="none" w:sz="0" w:space="0" w:color="auto"/>
                            <w:right w:val="none" w:sz="0" w:space="0" w:color="auto"/>
                          </w:divBdr>
                        </w:div>
                        <w:div w:id="332226756">
                          <w:marLeft w:val="0"/>
                          <w:marRight w:val="0"/>
                          <w:marTop w:val="0"/>
                          <w:marBottom w:val="0"/>
                          <w:divBdr>
                            <w:top w:val="none" w:sz="0" w:space="0" w:color="auto"/>
                            <w:left w:val="none" w:sz="0" w:space="0" w:color="auto"/>
                            <w:bottom w:val="none" w:sz="0" w:space="0" w:color="auto"/>
                            <w:right w:val="none" w:sz="0" w:space="0" w:color="auto"/>
                          </w:divBdr>
                        </w:div>
                        <w:div w:id="1562598369">
                          <w:marLeft w:val="0"/>
                          <w:marRight w:val="0"/>
                          <w:marTop w:val="0"/>
                          <w:marBottom w:val="0"/>
                          <w:divBdr>
                            <w:top w:val="none" w:sz="0" w:space="0" w:color="auto"/>
                            <w:left w:val="none" w:sz="0" w:space="0" w:color="auto"/>
                            <w:bottom w:val="none" w:sz="0" w:space="0" w:color="auto"/>
                            <w:right w:val="none" w:sz="0" w:space="0" w:color="auto"/>
                          </w:divBdr>
                        </w:div>
                        <w:div w:id="1887524482">
                          <w:marLeft w:val="0"/>
                          <w:marRight w:val="0"/>
                          <w:marTop w:val="0"/>
                          <w:marBottom w:val="0"/>
                          <w:divBdr>
                            <w:top w:val="none" w:sz="0" w:space="0" w:color="auto"/>
                            <w:left w:val="none" w:sz="0" w:space="0" w:color="auto"/>
                            <w:bottom w:val="none" w:sz="0" w:space="0" w:color="auto"/>
                            <w:right w:val="none" w:sz="0" w:space="0" w:color="auto"/>
                          </w:divBdr>
                        </w:div>
                        <w:div w:id="1547326642">
                          <w:marLeft w:val="0"/>
                          <w:marRight w:val="0"/>
                          <w:marTop w:val="0"/>
                          <w:marBottom w:val="0"/>
                          <w:divBdr>
                            <w:top w:val="none" w:sz="0" w:space="0" w:color="auto"/>
                            <w:left w:val="none" w:sz="0" w:space="0" w:color="auto"/>
                            <w:bottom w:val="none" w:sz="0" w:space="0" w:color="auto"/>
                            <w:right w:val="none" w:sz="0" w:space="0" w:color="auto"/>
                          </w:divBdr>
                        </w:div>
                        <w:div w:id="1544904780">
                          <w:marLeft w:val="0"/>
                          <w:marRight w:val="0"/>
                          <w:marTop w:val="0"/>
                          <w:marBottom w:val="0"/>
                          <w:divBdr>
                            <w:top w:val="none" w:sz="0" w:space="0" w:color="auto"/>
                            <w:left w:val="none" w:sz="0" w:space="0" w:color="auto"/>
                            <w:bottom w:val="none" w:sz="0" w:space="0" w:color="auto"/>
                            <w:right w:val="none" w:sz="0" w:space="0" w:color="auto"/>
                          </w:divBdr>
                        </w:div>
                        <w:div w:id="1987197250">
                          <w:marLeft w:val="0"/>
                          <w:marRight w:val="0"/>
                          <w:marTop w:val="0"/>
                          <w:marBottom w:val="0"/>
                          <w:divBdr>
                            <w:top w:val="none" w:sz="0" w:space="0" w:color="auto"/>
                            <w:left w:val="none" w:sz="0" w:space="0" w:color="auto"/>
                            <w:bottom w:val="none" w:sz="0" w:space="0" w:color="auto"/>
                            <w:right w:val="none" w:sz="0" w:space="0" w:color="auto"/>
                          </w:divBdr>
                        </w:div>
                        <w:div w:id="938561961">
                          <w:marLeft w:val="0"/>
                          <w:marRight w:val="0"/>
                          <w:marTop w:val="0"/>
                          <w:marBottom w:val="0"/>
                          <w:divBdr>
                            <w:top w:val="none" w:sz="0" w:space="0" w:color="auto"/>
                            <w:left w:val="none" w:sz="0" w:space="0" w:color="auto"/>
                            <w:bottom w:val="none" w:sz="0" w:space="0" w:color="auto"/>
                            <w:right w:val="none" w:sz="0" w:space="0" w:color="auto"/>
                          </w:divBdr>
                        </w:div>
                        <w:div w:id="1735665665">
                          <w:marLeft w:val="0"/>
                          <w:marRight w:val="0"/>
                          <w:marTop w:val="0"/>
                          <w:marBottom w:val="0"/>
                          <w:divBdr>
                            <w:top w:val="none" w:sz="0" w:space="0" w:color="auto"/>
                            <w:left w:val="none" w:sz="0" w:space="0" w:color="auto"/>
                            <w:bottom w:val="none" w:sz="0" w:space="0" w:color="auto"/>
                            <w:right w:val="none" w:sz="0" w:space="0" w:color="auto"/>
                          </w:divBdr>
                        </w:div>
                        <w:div w:id="1413312254">
                          <w:marLeft w:val="0"/>
                          <w:marRight w:val="0"/>
                          <w:marTop w:val="0"/>
                          <w:marBottom w:val="0"/>
                          <w:divBdr>
                            <w:top w:val="none" w:sz="0" w:space="0" w:color="auto"/>
                            <w:left w:val="none" w:sz="0" w:space="0" w:color="auto"/>
                            <w:bottom w:val="none" w:sz="0" w:space="0" w:color="auto"/>
                            <w:right w:val="none" w:sz="0" w:space="0" w:color="auto"/>
                          </w:divBdr>
                        </w:div>
                        <w:div w:id="501237302">
                          <w:marLeft w:val="0"/>
                          <w:marRight w:val="0"/>
                          <w:marTop w:val="0"/>
                          <w:marBottom w:val="0"/>
                          <w:divBdr>
                            <w:top w:val="none" w:sz="0" w:space="0" w:color="auto"/>
                            <w:left w:val="none" w:sz="0" w:space="0" w:color="auto"/>
                            <w:bottom w:val="none" w:sz="0" w:space="0" w:color="auto"/>
                            <w:right w:val="none" w:sz="0" w:space="0" w:color="auto"/>
                          </w:divBdr>
                        </w:div>
                        <w:div w:id="330452765">
                          <w:marLeft w:val="0"/>
                          <w:marRight w:val="0"/>
                          <w:marTop w:val="0"/>
                          <w:marBottom w:val="0"/>
                          <w:divBdr>
                            <w:top w:val="none" w:sz="0" w:space="0" w:color="auto"/>
                            <w:left w:val="none" w:sz="0" w:space="0" w:color="auto"/>
                            <w:bottom w:val="none" w:sz="0" w:space="0" w:color="auto"/>
                            <w:right w:val="none" w:sz="0" w:space="0" w:color="auto"/>
                          </w:divBdr>
                        </w:div>
                        <w:div w:id="686372866">
                          <w:marLeft w:val="0"/>
                          <w:marRight w:val="0"/>
                          <w:marTop w:val="0"/>
                          <w:marBottom w:val="0"/>
                          <w:divBdr>
                            <w:top w:val="none" w:sz="0" w:space="0" w:color="auto"/>
                            <w:left w:val="none" w:sz="0" w:space="0" w:color="auto"/>
                            <w:bottom w:val="none" w:sz="0" w:space="0" w:color="auto"/>
                            <w:right w:val="none" w:sz="0" w:space="0" w:color="auto"/>
                          </w:divBdr>
                        </w:div>
                        <w:div w:id="1306156020">
                          <w:marLeft w:val="0"/>
                          <w:marRight w:val="0"/>
                          <w:marTop w:val="0"/>
                          <w:marBottom w:val="0"/>
                          <w:divBdr>
                            <w:top w:val="none" w:sz="0" w:space="0" w:color="auto"/>
                            <w:left w:val="none" w:sz="0" w:space="0" w:color="auto"/>
                            <w:bottom w:val="none" w:sz="0" w:space="0" w:color="auto"/>
                            <w:right w:val="none" w:sz="0" w:space="0" w:color="auto"/>
                          </w:divBdr>
                        </w:div>
                        <w:div w:id="942956517">
                          <w:marLeft w:val="0"/>
                          <w:marRight w:val="0"/>
                          <w:marTop w:val="0"/>
                          <w:marBottom w:val="0"/>
                          <w:divBdr>
                            <w:top w:val="none" w:sz="0" w:space="0" w:color="auto"/>
                            <w:left w:val="none" w:sz="0" w:space="0" w:color="auto"/>
                            <w:bottom w:val="none" w:sz="0" w:space="0" w:color="auto"/>
                            <w:right w:val="none" w:sz="0" w:space="0" w:color="auto"/>
                          </w:divBdr>
                        </w:div>
                        <w:div w:id="149561789">
                          <w:marLeft w:val="0"/>
                          <w:marRight w:val="0"/>
                          <w:marTop w:val="0"/>
                          <w:marBottom w:val="0"/>
                          <w:divBdr>
                            <w:top w:val="none" w:sz="0" w:space="0" w:color="auto"/>
                            <w:left w:val="none" w:sz="0" w:space="0" w:color="auto"/>
                            <w:bottom w:val="none" w:sz="0" w:space="0" w:color="auto"/>
                            <w:right w:val="none" w:sz="0" w:space="0" w:color="auto"/>
                          </w:divBdr>
                        </w:div>
                        <w:div w:id="1552956052">
                          <w:marLeft w:val="0"/>
                          <w:marRight w:val="0"/>
                          <w:marTop w:val="0"/>
                          <w:marBottom w:val="0"/>
                          <w:divBdr>
                            <w:top w:val="none" w:sz="0" w:space="0" w:color="auto"/>
                            <w:left w:val="none" w:sz="0" w:space="0" w:color="auto"/>
                            <w:bottom w:val="none" w:sz="0" w:space="0" w:color="auto"/>
                            <w:right w:val="none" w:sz="0" w:space="0" w:color="auto"/>
                          </w:divBdr>
                        </w:div>
                        <w:div w:id="1773624580">
                          <w:marLeft w:val="0"/>
                          <w:marRight w:val="0"/>
                          <w:marTop w:val="0"/>
                          <w:marBottom w:val="0"/>
                          <w:divBdr>
                            <w:top w:val="none" w:sz="0" w:space="0" w:color="auto"/>
                            <w:left w:val="none" w:sz="0" w:space="0" w:color="auto"/>
                            <w:bottom w:val="none" w:sz="0" w:space="0" w:color="auto"/>
                            <w:right w:val="none" w:sz="0" w:space="0" w:color="auto"/>
                          </w:divBdr>
                        </w:div>
                        <w:div w:id="2015719516">
                          <w:marLeft w:val="0"/>
                          <w:marRight w:val="0"/>
                          <w:marTop w:val="0"/>
                          <w:marBottom w:val="0"/>
                          <w:divBdr>
                            <w:top w:val="none" w:sz="0" w:space="0" w:color="auto"/>
                            <w:left w:val="none" w:sz="0" w:space="0" w:color="auto"/>
                            <w:bottom w:val="none" w:sz="0" w:space="0" w:color="auto"/>
                            <w:right w:val="none" w:sz="0" w:space="0" w:color="auto"/>
                          </w:divBdr>
                        </w:div>
                        <w:div w:id="703751224">
                          <w:marLeft w:val="0"/>
                          <w:marRight w:val="0"/>
                          <w:marTop w:val="0"/>
                          <w:marBottom w:val="0"/>
                          <w:divBdr>
                            <w:top w:val="none" w:sz="0" w:space="0" w:color="auto"/>
                            <w:left w:val="none" w:sz="0" w:space="0" w:color="auto"/>
                            <w:bottom w:val="none" w:sz="0" w:space="0" w:color="auto"/>
                            <w:right w:val="none" w:sz="0" w:space="0" w:color="auto"/>
                          </w:divBdr>
                        </w:div>
                        <w:div w:id="1473596515">
                          <w:marLeft w:val="0"/>
                          <w:marRight w:val="0"/>
                          <w:marTop w:val="0"/>
                          <w:marBottom w:val="0"/>
                          <w:divBdr>
                            <w:top w:val="none" w:sz="0" w:space="0" w:color="auto"/>
                            <w:left w:val="none" w:sz="0" w:space="0" w:color="auto"/>
                            <w:bottom w:val="none" w:sz="0" w:space="0" w:color="auto"/>
                            <w:right w:val="none" w:sz="0" w:space="0" w:color="auto"/>
                          </w:divBdr>
                        </w:div>
                        <w:div w:id="105463588">
                          <w:marLeft w:val="0"/>
                          <w:marRight w:val="0"/>
                          <w:marTop w:val="0"/>
                          <w:marBottom w:val="0"/>
                          <w:divBdr>
                            <w:top w:val="none" w:sz="0" w:space="0" w:color="auto"/>
                            <w:left w:val="none" w:sz="0" w:space="0" w:color="auto"/>
                            <w:bottom w:val="none" w:sz="0" w:space="0" w:color="auto"/>
                            <w:right w:val="none" w:sz="0" w:space="0" w:color="auto"/>
                          </w:divBdr>
                        </w:div>
                        <w:div w:id="1584027044">
                          <w:marLeft w:val="0"/>
                          <w:marRight w:val="0"/>
                          <w:marTop w:val="0"/>
                          <w:marBottom w:val="0"/>
                          <w:divBdr>
                            <w:top w:val="none" w:sz="0" w:space="0" w:color="auto"/>
                            <w:left w:val="none" w:sz="0" w:space="0" w:color="auto"/>
                            <w:bottom w:val="none" w:sz="0" w:space="0" w:color="auto"/>
                            <w:right w:val="none" w:sz="0" w:space="0" w:color="auto"/>
                          </w:divBdr>
                        </w:div>
                        <w:div w:id="269246954">
                          <w:marLeft w:val="0"/>
                          <w:marRight w:val="0"/>
                          <w:marTop w:val="0"/>
                          <w:marBottom w:val="0"/>
                          <w:divBdr>
                            <w:top w:val="none" w:sz="0" w:space="0" w:color="auto"/>
                            <w:left w:val="none" w:sz="0" w:space="0" w:color="auto"/>
                            <w:bottom w:val="none" w:sz="0" w:space="0" w:color="auto"/>
                            <w:right w:val="none" w:sz="0" w:space="0" w:color="auto"/>
                          </w:divBdr>
                        </w:div>
                        <w:div w:id="1855262160">
                          <w:marLeft w:val="0"/>
                          <w:marRight w:val="0"/>
                          <w:marTop w:val="0"/>
                          <w:marBottom w:val="0"/>
                          <w:divBdr>
                            <w:top w:val="none" w:sz="0" w:space="0" w:color="auto"/>
                            <w:left w:val="none" w:sz="0" w:space="0" w:color="auto"/>
                            <w:bottom w:val="none" w:sz="0" w:space="0" w:color="auto"/>
                            <w:right w:val="none" w:sz="0" w:space="0" w:color="auto"/>
                          </w:divBdr>
                        </w:div>
                        <w:div w:id="594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401581">
      <w:bodyDiv w:val="1"/>
      <w:marLeft w:val="0"/>
      <w:marRight w:val="0"/>
      <w:marTop w:val="0"/>
      <w:marBottom w:val="0"/>
      <w:divBdr>
        <w:top w:val="none" w:sz="0" w:space="0" w:color="auto"/>
        <w:left w:val="none" w:sz="0" w:space="0" w:color="auto"/>
        <w:bottom w:val="none" w:sz="0" w:space="0" w:color="auto"/>
        <w:right w:val="none" w:sz="0" w:space="0" w:color="auto"/>
      </w:divBdr>
      <w:divsChild>
        <w:div w:id="177087970">
          <w:marLeft w:val="0"/>
          <w:marRight w:val="0"/>
          <w:marTop w:val="0"/>
          <w:marBottom w:val="0"/>
          <w:divBdr>
            <w:top w:val="none" w:sz="0" w:space="0" w:color="auto"/>
            <w:left w:val="none" w:sz="0" w:space="0" w:color="auto"/>
            <w:bottom w:val="none" w:sz="0" w:space="0" w:color="auto"/>
            <w:right w:val="none" w:sz="0" w:space="0" w:color="auto"/>
          </w:divBdr>
          <w:divsChild>
            <w:div w:id="1503009844">
              <w:marLeft w:val="0"/>
              <w:marRight w:val="0"/>
              <w:marTop w:val="0"/>
              <w:marBottom w:val="0"/>
              <w:divBdr>
                <w:top w:val="none" w:sz="0" w:space="0" w:color="auto"/>
                <w:left w:val="none" w:sz="0" w:space="0" w:color="auto"/>
                <w:bottom w:val="none" w:sz="0" w:space="0" w:color="auto"/>
                <w:right w:val="none" w:sz="0" w:space="0" w:color="auto"/>
              </w:divBdr>
            </w:div>
          </w:divsChild>
        </w:div>
        <w:div w:id="2124154875">
          <w:marLeft w:val="0"/>
          <w:marRight w:val="0"/>
          <w:marTop w:val="0"/>
          <w:marBottom w:val="0"/>
          <w:divBdr>
            <w:top w:val="none" w:sz="0" w:space="0" w:color="auto"/>
            <w:left w:val="none" w:sz="0" w:space="0" w:color="auto"/>
            <w:bottom w:val="none" w:sz="0" w:space="0" w:color="auto"/>
            <w:right w:val="none" w:sz="0" w:space="0" w:color="auto"/>
          </w:divBdr>
          <w:divsChild>
            <w:div w:id="712073083">
              <w:marLeft w:val="0"/>
              <w:marRight w:val="0"/>
              <w:marTop w:val="0"/>
              <w:marBottom w:val="0"/>
              <w:divBdr>
                <w:top w:val="none" w:sz="0" w:space="0" w:color="auto"/>
                <w:left w:val="none" w:sz="0" w:space="0" w:color="auto"/>
                <w:bottom w:val="none" w:sz="0" w:space="0" w:color="auto"/>
                <w:right w:val="none" w:sz="0" w:space="0" w:color="auto"/>
              </w:divBdr>
              <w:divsChild>
                <w:div w:id="128397276">
                  <w:marLeft w:val="0"/>
                  <w:marRight w:val="0"/>
                  <w:marTop w:val="0"/>
                  <w:marBottom w:val="0"/>
                  <w:divBdr>
                    <w:top w:val="none" w:sz="0" w:space="0" w:color="auto"/>
                    <w:left w:val="none" w:sz="0" w:space="0" w:color="auto"/>
                    <w:bottom w:val="none" w:sz="0" w:space="0" w:color="auto"/>
                    <w:right w:val="none" w:sz="0" w:space="0" w:color="auto"/>
                  </w:divBdr>
                </w:div>
                <w:div w:id="289670646">
                  <w:marLeft w:val="300"/>
                  <w:marRight w:val="0"/>
                  <w:marTop w:val="0"/>
                  <w:marBottom w:val="0"/>
                  <w:divBdr>
                    <w:top w:val="none" w:sz="0" w:space="0" w:color="auto"/>
                    <w:left w:val="none" w:sz="0" w:space="0" w:color="auto"/>
                    <w:bottom w:val="none" w:sz="0" w:space="0" w:color="auto"/>
                    <w:right w:val="none" w:sz="0" w:space="0" w:color="auto"/>
                  </w:divBdr>
                </w:div>
                <w:div w:id="1003165638">
                  <w:marLeft w:val="300"/>
                  <w:marRight w:val="0"/>
                  <w:marTop w:val="0"/>
                  <w:marBottom w:val="0"/>
                  <w:divBdr>
                    <w:top w:val="none" w:sz="0" w:space="0" w:color="auto"/>
                    <w:left w:val="none" w:sz="0" w:space="0" w:color="auto"/>
                    <w:bottom w:val="none" w:sz="0" w:space="0" w:color="auto"/>
                    <w:right w:val="none" w:sz="0" w:space="0" w:color="auto"/>
                  </w:divBdr>
                </w:div>
                <w:div w:id="75171499">
                  <w:marLeft w:val="0"/>
                  <w:marRight w:val="0"/>
                  <w:marTop w:val="0"/>
                  <w:marBottom w:val="0"/>
                  <w:divBdr>
                    <w:top w:val="none" w:sz="0" w:space="0" w:color="auto"/>
                    <w:left w:val="none" w:sz="0" w:space="0" w:color="auto"/>
                    <w:bottom w:val="none" w:sz="0" w:space="0" w:color="auto"/>
                    <w:right w:val="none" w:sz="0" w:space="0" w:color="auto"/>
                  </w:divBdr>
                </w:div>
                <w:div w:id="1476558295">
                  <w:marLeft w:val="60"/>
                  <w:marRight w:val="0"/>
                  <w:marTop w:val="0"/>
                  <w:marBottom w:val="0"/>
                  <w:divBdr>
                    <w:top w:val="none" w:sz="0" w:space="0" w:color="auto"/>
                    <w:left w:val="none" w:sz="0" w:space="0" w:color="auto"/>
                    <w:bottom w:val="none" w:sz="0" w:space="0" w:color="auto"/>
                    <w:right w:val="none" w:sz="0" w:space="0" w:color="auto"/>
                  </w:divBdr>
                </w:div>
              </w:divsChild>
            </w:div>
            <w:div w:id="2146922397">
              <w:marLeft w:val="0"/>
              <w:marRight w:val="0"/>
              <w:marTop w:val="0"/>
              <w:marBottom w:val="0"/>
              <w:divBdr>
                <w:top w:val="none" w:sz="0" w:space="0" w:color="auto"/>
                <w:left w:val="none" w:sz="0" w:space="0" w:color="auto"/>
                <w:bottom w:val="none" w:sz="0" w:space="0" w:color="auto"/>
                <w:right w:val="none" w:sz="0" w:space="0" w:color="auto"/>
              </w:divBdr>
              <w:divsChild>
                <w:div w:id="854540903">
                  <w:marLeft w:val="0"/>
                  <w:marRight w:val="0"/>
                  <w:marTop w:val="120"/>
                  <w:marBottom w:val="0"/>
                  <w:divBdr>
                    <w:top w:val="none" w:sz="0" w:space="0" w:color="auto"/>
                    <w:left w:val="none" w:sz="0" w:space="0" w:color="auto"/>
                    <w:bottom w:val="none" w:sz="0" w:space="0" w:color="auto"/>
                    <w:right w:val="none" w:sz="0" w:space="0" w:color="auto"/>
                  </w:divBdr>
                  <w:divsChild>
                    <w:div w:id="521362013">
                      <w:marLeft w:val="0"/>
                      <w:marRight w:val="0"/>
                      <w:marTop w:val="0"/>
                      <w:marBottom w:val="0"/>
                      <w:divBdr>
                        <w:top w:val="none" w:sz="0" w:space="0" w:color="auto"/>
                        <w:left w:val="none" w:sz="0" w:space="0" w:color="auto"/>
                        <w:bottom w:val="none" w:sz="0" w:space="0" w:color="auto"/>
                        <w:right w:val="none" w:sz="0" w:space="0" w:color="auto"/>
                      </w:divBdr>
                      <w:divsChild>
                        <w:div w:id="128521080">
                          <w:marLeft w:val="0"/>
                          <w:marRight w:val="0"/>
                          <w:marTop w:val="0"/>
                          <w:marBottom w:val="0"/>
                          <w:divBdr>
                            <w:top w:val="none" w:sz="0" w:space="0" w:color="auto"/>
                            <w:left w:val="none" w:sz="0" w:space="0" w:color="auto"/>
                            <w:bottom w:val="none" w:sz="0" w:space="0" w:color="auto"/>
                            <w:right w:val="none" w:sz="0" w:space="0" w:color="auto"/>
                          </w:divBdr>
                        </w:div>
                        <w:div w:id="1873028254">
                          <w:marLeft w:val="0"/>
                          <w:marRight w:val="0"/>
                          <w:marTop w:val="0"/>
                          <w:marBottom w:val="0"/>
                          <w:divBdr>
                            <w:top w:val="none" w:sz="0" w:space="0" w:color="auto"/>
                            <w:left w:val="none" w:sz="0" w:space="0" w:color="auto"/>
                            <w:bottom w:val="none" w:sz="0" w:space="0" w:color="auto"/>
                            <w:right w:val="none" w:sz="0" w:space="0" w:color="auto"/>
                          </w:divBdr>
                        </w:div>
                        <w:div w:id="1298032055">
                          <w:marLeft w:val="0"/>
                          <w:marRight w:val="0"/>
                          <w:marTop w:val="0"/>
                          <w:marBottom w:val="0"/>
                          <w:divBdr>
                            <w:top w:val="none" w:sz="0" w:space="0" w:color="auto"/>
                            <w:left w:val="none" w:sz="0" w:space="0" w:color="auto"/>
                            <w:bottom w:val="none" w:sz="0" w:space="0" w:color="auto"/>
                            <w:right w:val="none" w:sz="0" w:space="0" w:color="auto"/>
                          </w:divBdr>
                        </w:div>
                        <w:div w:id="1272198726">
                          <w:marLeft w:val="0"/>
                          <w:marRight w:val="0"/>
                          <w:marTop w:val="0"/>
                          <w:marBottom w:val="0"/>
                          <w:divBdr>
                            <w:top w:val="none" w:sz="0" w:space="0" w:color="auto"/>
                            <w:left w:val="none" w:sz="0" w:space="0" w:color="auto"/>
                            <w:bottom w:val="none" w:sz="0" w:space="0" w:color="auto"/>
                            <w:right w:val="none" w:sz="0" w:space="0" w:color="auto"/>
                          </w:divBdr>
                        </w:div>
                        <w:div w:id="1172641386">
                          <w:marLeft w:val="0"/>
                          <w:marRight w:val="0"/>
                          <w:marTop w:val="0"/>
                          <w:marBottom w:val="0"/>
                          <w:divBdr>
                            <w:top w:val="none" w:sz="0" w:space="0" w:color="auto"/>
                            <w:left w:val="none" w:sz="0" w:space="0" w:color="auto"/>
                            <w:bottom w:val="none" w:sz="0" w:space="0" w:color="auto"/>
                            <w:right w:val="none" w:sz="0" w:space="0" w:color="auto"/>
                          </w:divBdr>
                        </w:div>
                        <w:div w:id="1881669813">
                          <w:marLeft w:val="0"/>
                          <w:marRight w:val="0"/>
                          <w:marTop w:val="0"/>
                          <w:marBottom w:val="0"/>
                          <w:divBdr>
                            <w:top w:val="none" w:sz="0" w:space="0" w:color="auto"/>
                            <w:left w:val="none" w:sz="0" w:space="0" w:color="auto"/>
                            <w:bottom w:val="none" w:sz="0" w:space="0" w:color="auto"/>
                            <w:right w:val="none" w:sz="0" w:space="0" w:color="auto"/>
                          </w:divBdr>
                        </w:div>
                        <w:div w:id="383675254">
                          <w:marLeft w:val="0"/>
                          <w:marRight w:val="0"/>
                          <w:marTop w:val="0"/>
                          <w:marBottom w:val="0"/>
                          <w:divBdr>
                            <w:top w:val="none" w:sz="0" w:space="0" w:color="auto"/>
                            <w:left w:val="none" w:sz="0" w:space="0" w:color="auto"/>
                            <w:bottom w:val="none" w:sz="0" w:space="0" w:color="auto"/>
                            <w:right w:val="none" w:sz="0" w:space="0" w:color="auto"/>
                          </w:divBdr>
                        </w:div>
                        <w:div w:id="1105152154">
                          <w:marLeft w:val="0"/>
                          <w:marRight w:val="0"/>
                          <w:marTop w:val="0"/>
                          <w:marBottom w:val="0"/>
                          <w:divBdr>
                            <w:top w:val="none" w:sz="0" w:space="0" w:color="auto"/>
                            <w:left w:val="none" w:sz="0" w:space="0" w:color="auto"/>
                            <w:bottom w:val="none" w:sz="0" w:space="0" w:color="auto"/>
                            <w:right w:val="none" w:sz="0" w:space="0" w:color="auto"/>
                          </w:divBdr>
                        </w:div>
                        <w:div w:id="1349334062">
                          <w:marLeft w:val="0"/>
                          <w:marRight w:val="0"/>
                          <w:marTop w:val="0"/>
                          <w:marBottom w:val="0"/>
                          <w:divBdr>
                            <w:top w:val="none" w:sz="0" w:space="0" w:color="auto"/>
                            <w:left w:val="none" w:sz="0" w:space="0" w:color="auto"/>
                            <w:bottom w:val="none" w:sz="0" w:space="0" w:color="auto"/>
                            <w:right w:val="none" w:sz="0" w:space="0" w:color="auto"/>
                          </w:divBdr>
                        </w:div>
                        <w:div w:id="1862552483">
                          <w:marLeft w:val="0"/>
                          <w:marRight w:val="0"/>
                          <w:marTop w:val="0"/>
                          <w:marBottom w:val="0"/>
                          <w:divBdr>
                            <w:top w:val="none" w:sz="0" w:space="0" w:color="auto"/>
                            <w:left w:val="none" w:sz="0" w:space="0" w:color="auto"/>
                            <w:bottom w:val="none" w:sz="0" w:space="0" w:color="auto"/>
                            <w:right w:val="none" w:sz="0" w:space="0" w:color="auto"/>
                          </w:divBdr>
                        </w:div>
                        <w:div w:id="1568807633">
                          <w:marLeft w:val="0"/>
                          <w:marRight w:val="0"/>
                          <w:marTop w:val="0"/>
                          <w:marBottom w:val="0"/>
                          <w:divBdr>
                            <w:top w:val="none" w:sz="0" w:space="0" w:color="auto"/>
                            <w:left w:val="none" w:sz="0" w:space="0" w:color="auto"/>
                            <w:bottom w:val="none" w:sz="0" w:space="0" w:color="auto"/>
                            <w:right w:val="none" w:sz="0" w:space="0" w:color="auto"/>
                          </w:divBdr>
                        </w:div>
                        <w:div w:id="1185942993">
                          <w:marLeft w:val="0"/>
                          <w:marRight w:val="0"/>
                          <w:marTop w:val="0"/>
                          <w:marBottom w:val="0"/>
                          <w:divBdr>
                            <w:top w:val="none" w:sz="0" w:space="0" w:color="auto"/>
                            <w:left w:val="none" w:sz="0" w:space="0" w:color="auto"/>
                            <w:bottom w:val="none" w:sz="0" w:space="0" w:color="auto"/>
                            <w:right w:val="none" w:sz="0" w:space="0" w:color="auto"/>
                          </w:divBdr>
                        </w:div>
                        <w:div w:id="118963354">
                          <w:marLeft w:val="0"/>
                          <w:marRight w:val="0"/>
                          <w:marTop w:val="0"/>
                          <w:marBottom w:val="0"/>
                          <w:divBdr>
                            <w:top w:val="none" w:sz="0" w:space="0" w:color="auto"/>
                            <w:left w:val="none" w:sz="0" w:space="0" w:color="auto"/>
                            <w:bottom w:val="none" w:sz="0" w:space="0" w:color="auto"/>
                            <w:right w:val="none" w:sz="0" w:space="0" w:color="auto"/>
                          </w:divBdr>
                        </w:div>
                        <w:div w:id="31465642">
                          <w:marLeft w:val="0"/>
                          <w:marRight w:val="0"/>
                          <w:marTop w:val="0"/>
                          <w:marBottom w:val="0"/>
                          <w:divBdr>
                            <w:top w:val="none" w:sz="0" w:space="0" w:color="auto"/>
                            <w:left w:val="none" w:sz="0" w:space="0" w:color="auto"/>
                            <w:bottom w:val="none" w:sz="0" w:space="0" w:color="auto"/>
                            <w:right w:val="none" w:sz="0" w:space="0" w:color="auto"/>
                          </w:divBdr>
                        </w:div>
                        <w:div w:id="621882216">
                          <w:marLeft w:val="0"/>
                          <w:marRight w:val="0"/>
                          <w:marTop w:val="0"/>
                          <w:marBottom w:val="0"/>
                          <w:divBdr>
                            <w:top w:val="none" w:sz="0" w:space="0" w:color="auto"/>
                            <w:left w:val="none" w:sz="0" w:space="0" w:color="auto"/>
                            <w:bottom w:val="none" w:sz="0" w:space="0" w:color="auto"/>
                            <w:right w:val="none" w:sz="0" w:space="0" w:color="auto"/>
                          </w:divBdr>
                        </w:div>
                        <w:div w:id="1243443637">
                          <w:marLeft w:val="0"/>
                          <w:marRight w:val="0"/>
                          <w:marTop w:val="0"/>
                          <w:marBottom w:val="0"/>
                          <w:divBdr>
                            <w:top w:val="none" w:sz="0" w:space="0" w:color="auto"/>
                            <w:left w:val="none" w:sz="0" w:space="0" w:color="auto"/>
                            <w:bottom w:val="none" w:sz="0" w:space="0" w:color="auto"/>
                            <w:right w:val="none" w:sz="0" w:space="0" w:color="auto"/>
                          </w:divBdr>
                        </w:div>
                        <w:div w:id="1416897006">
                          <w:marLeft w:val="0"/>
                          <w:marRight w:val="0"/>
                          <w:marTop w:val="0"/>
                          <w:marBottom w:val="0"/>
                          <w:divBdr>
                            <w:top w:val="none" w:sz="0" w:space="0" w:color="auto"/>
                            <w:left w:val="none" w:sz="0" w:space="0" w:color="auto"/>
                            <w:bottom w:val="none" w:sz="0" w:space="0" w:color="auto"/>
                            <w:right w:val="none" w:sz="0" w:space="0" w:color="auto"/>
                          </w:divBdr>
                        </w:div>
                        <w:div w:id="1271661636">
                          <w:marLeft w:val="0"/>
                          <w:marRight w:val="0"/>
                          <w:marTop w:val="0"/>
                          <w:marBottom w:val="0"/>
                          <w:divBdr>
                            <w:top w:val="none" w:sz="0" w:space="0" w:color="auto"/>
                            <w:left w:val="none" w:sz="0" w:space="0" w:color="auto"/>
                            <w:bottom w:val="none" w:sz="0" w:space="0" w:color="auto"/>
                            <w:right w:val="none" w:sz="0" w:space="0" w:color="auto"/>
                          </w:divBdr>
                        </w:div>
                        <w:div w:id="723681130">
                          <w:marLeft w:val="0"/>
                          <w:marRight w:val="0"/>
                          <w:marTop w:val="0"/>
                          <w:marBottom w:val="0"/>
                          <w:divBdr>
                            <w:top w:val="none" w:sz="0" w:space="0" w:color="auto"/>
                            <w:left w:val="none" w:sz="0" w:space="0" w:color="auto"/>
                            <w:bottom w:val="none" w:sz="0" w:space="0" w:color="auto"/>
                            <w:right w:val="none" w:sz="0" w:space="0" w:color="auto"/>
                          </w:divBdr>
                        </w:div>
                        <w:div w:id="862860745">
                          <w:marLeft w:val="0"/>
                          <w:marRight w:val="0"/>
                          <w:marTop w:val="0"/>
                          <w:marBottom w:val="0"/>
                          <w:divBdr>
                            <w:top w:val="none" w:sz="0" w:space="0" w:color="auto"/>
                            <w:left w:val="none" w:sz="0" w:space="0" w:color="auto"/>
                            <w:bottom w:val="none" w:sz="0" w:space="0" w:color="auto"/>
                            <w:right w:val="none" w:sz="0" w:space="0" w:color="auto"/>
                          </w:divBdr>
                        </w:div>
                        <w:div w:id="165365332">
                          <w:marLeft w:val="0"/>
                          <w:marRight w:val="0"/>
                          <w:marTop w:val="0"/>
                          <w:marBottom w:val="0"/>
                          <w:divBdr>
                            <w:top w:val="none" w:sz="0" w:space="0" w:color="auto"/>
                            <w:left w:val="none" w:sz="0" w:space="0" w:color="auto"/>
                            <w:bottom w:val="none" w:sz="0" w:space="0" w:color="auto"/>
                            <w:right w:val="none" w:sz="0" w:space="0" w:color="auto"/>
                          </w:divBdr>
                        </w:div>
                        <w:div w:id="795607682">
                          <w:marLeft w:val="0"/>
                          <w:marRight w:val="0"/>
                          <w:marTop w:val="0"/>
                          <w:marBottom w:val="0"/>
                          <w:divBdr>
                            <w:top w:val="none" w:sz="0" w:space="0" w:color="auto"/>
                            <w:left w:val="none" w:sz="0" w:space="0" w:color="auto"/>
                            <w:bottom w:val="none" w:sz="0" w:space="0" w:color="auto"/>
                            <w:right w:val="none" w:sz="0" w:space="0" w:color="auto"/>
                          </w:divBdr>
                        </w:div>
                        <w:div w:id="1023899080">
                          <w:marLeft w:val="0"/>
                          <w:marRight w:val="0"/>
                          <w:marTop w:val="0"/>
                          <w:marBottom w:val="0"/>
                          <w:divBdr>
                            <w:top w:val="none" w:sz="0" w:space="0" w:color="auto"/>
                            <w:left w:val="none" w:sz="0" w:space="0" w:color="auto"/>
                            <w:bottom w:val="none" w:sz="0" w:space="0" w:color="auto"/>
                            <w:right w:val="none" w:sz="0" w:space="0" w:color="auto"/>
                          </w:divBdr>
                        </w:div>
                        <w:div w:id="842670644">
                          <w:marLeft w:val="0"/>
                          <w:marRight w:val="0"/>
                          <w:marTop w:val="0"/>
                          <w:marBottom w:val="0"/>
                          <w:divBdr>
                            <w:top w:val="none" w:sz="0" w:space="0" w:color="auto"/>
                            <w:left w:val="none" w:sz="0" w:space="0" w:color="auto"/>
                            <w:bottom w:val="none" w:sz="0" w:space="0" w:color="auto"/>
                            <w:right w:val="none" w:sz="0" w:space="0" w:color="auto"/>
                          </w:divBdr>
                        </w:div>
                        <w:div w:id="933247876">
                          <w:marLeft w:val="0"/>
                          <w:marRight w:val="0"/>
                          <w:marTop w:val="0"/>
                          <w:marBottom w:val="0"/>
                          <w:divBdr>
                            <w:top w:val="none" w:sz="0" w:space="0" w:color="auto"/>
                            <w:left w:val="none" w:sz="0" w:space="0" w:color="auto"/>
                            <w:bottom w:val="none" w:sz="0" w:space="0" w:color="auto"/>
                            <w:right w:val="none" w:sz="0" w:space="0" w:color="auto"/>
                          </w:divBdr>
                        </w:div>
                        <w:div w:id="13319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211473">
      <w:bodyDiv w:val="1"/>
      <w:marLeft w:val="0"/>
      <w:marRight w:val="0"/>
      <w:marTop w:val="0"/>
      <w:marBottom w:val="0"/>
      <w:divBdr>
        <w:top w:val="none" w:sz="0" w:space="0" w:color="auto"/>
        <w:left w:val="none" w:sz="0" w:space="0" w:color="auto"/>
        <w:bottom w:val="none" w:sz="0" w:space="0" w:color="auto"/>
        <w:right w:val="none" w:sz="0" w:space="0" w:color="auto"/>
      </w:divBdr>
    </w:div>
    <w:div w:id="1107457978">
      <w:bodyDiv w:val="1"/>
      <w:marLeft w:val="0"/>
      <w:marRight w:val="0"/>
      <w:marTop w:val="0"/>
      <w:marBottom w:val="0"/>
      <w:divBdr>
        <w:top w:val="none" w:sz="0" w:space="0" w:color="auto"/>
        <w:left w:val="none" w:sz="0" w:space="0" w:color="auto"/>
        <w:bottom w:val="none" w:sz="0" w:space="0" w:color="auto"/>
        <w:right w:val="none" w:sz="0" w:space="0" w:color="auto"/>
      </w:divBdr>
    </w:div>
    <w:div w:id="1166748845">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1320377910">
      <w:bodyDiv w:val="1"/>
      <w:marLeft w:val="0"/>
      <w:marRight w:val="0"/>
      <w:marTop w:val="0"/>
      <w:marBottom w:val="0"/>
      <w:divBdr>
        <w:top w:val="none" w:sz="0" w:space="0" w:color="auto"/>
        <w:left w:val="none" w:sz="0" w:space="0" w:color="auto"/>
        <w:bottom w:val="none" w:sz="0" w:space="0" w:color="auto"/>
        <w:right w:val="none" w:sz="0" w:space="0" w:color="auto"/>
      </w:divBdr>
    </w:div>
    <w:div w:id="1511602960">
      <w:bodyDiv w:val="1"/>
      <w:marLeft w:val="0"/>
      <w:marRight w:val="0"/>
      <w:marTop w:val="0"/>
      <w:marBottom w:val="0"/>
      <w:divBdr>
        <w:top w:val="none" w:sz="0" w:space="0" w:color="auto"/>
        <w:left w:val="none" w:sz="0" w:space="0" w:color="auto"/>
        <w:bottom w:val="none" w:sz="0" w:space="0" w:color="auto"/>
        <w:right w:val="none" w:sz="0" w:space="0" w:color="auto"/>
      </w:divBdr>
    </w:div>
    <w:div w:id="1514297544">
      <w:bodyDiv w:val="1"/>
      <w:marLeft w:val="0"/>
      <w:marRight w:val="0"/>
      <w:marTop w:val="0"/>
      <w:marBottom w:val="0"/>
      <w:divBdr>
        <w:top w:val="none" w:sz="0" w:space="0" w:color="auto"/>
        <w:left w:val="none" w:sz="0" w:space="0" w:color="auto"/>
        <w:bottom w:val="none" w:sz="0" w:space="0" w:color="auto"/>
        <w:right w:val="none" w:sz="0" w:space="0" w:color="auto"/>
      </w:divBdr>
    </w:div>
    <w:div w:id="1667636904">
      <w:bodyDiv w:val="1"/>
      <w:marLeft w:val="0"/>
      <w:marRight w:val="0"/>
      <w:marTop w:val="0"/>
      <w:marBottom w:val="0"/>
      <w:divBdr>
        <w:top w:val="none" w:sz="0" w:space="0" w:color="auto"/>
        <w:left w:val="none" w:sz="0" w:space="0" w:color="auto"/>
        <w:bottom w:val="none" w:sz="0" w:space="0" w:color="auto"/>
        <w:right w:val="none" w:sz="0" w:space="0" w:color="auto"/>
      </w:divBdr>
    </w:div>
    <w:div w:id="1765229354">
      <w:bodyDiv w:val="1"/>
      <w:marLeft w:val="0"/>
      <w:marRight w:val="0"/>
      <w:marTop w:val="0"/>
      <w:marBottom w:val="0"/>
      <w:divBdr>
        <w:top w:val="none" w:sz="0" w:space="0" w:color="auto"/>
        <w:left w:val="none" w:sz="0" w:space="0" w:color="auto"/>
        <w:bottom w:val="none" w:sz="0" w:space="0" w:color="auto"/>
        <w:right w:val="none" w:sz="0" w:space="0" w:color="auto"/>
      </w:divBdr>
    </w:div>
    <w:div w:id="1820657399">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omex.org.mx/ipo3/lgt/indice/ZINACANTEPEC/art_92_xxxviii_d.web?token=03ADUVZwBHIBi3duP4tGOso0QNfVuc56AIFWggVsoPm7M2YM78qAE5HJAv48afs0IOpupVoYM1MDcIVdMcZ9JMwEI6iZRZonawDATspluBDkcSnYN97bvjAdSeEZkdGbXpgk8aa4PDAvYsos5kjVfQfgF3JgDNVea0QZ36id-RKFINNzjkixNG-Msgo3JXzPU7UazibiyaAg3lq2KyQyMCKMphngHbn5cC28x0GYWYF5Mw089gYXPMulzXMXGILGdCr-EmEZ5cHNGhRbTVrtdVz47LpOu3AKuC2nL2t02Vv5BsXIBfq_6XQ2rJIAe1H6IFVIfdQIgS7SB5ypQFaeqJLImscYYsopVwR2QPSeywD-FGNSfYjsIAZANOMJQbhWwYs.OEiCOx57PnfGUgiVEy-3NAifZqWkbQ4x2|giEdoyLweLNJvclid9HDNhwloMXKbiiHWCZMPZO5sWIWT7.TirK8pT854SA05pnzd4Fg599KDeRWJa6iWz54K0GJGyq0P6FJb2xuBeJ5BBdgsB7fGgfwGL7rTRNoluFCiki_Z3ymweN4LV7z9I24CROfcRxardgYAFQ0XFxQR4s8iBLx5gDyPgx-SZ0RWIn0syA1o-9drYEh8"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ipomex.org.mx/ipo3/lgt/indice/ZINACANTEPEC/ar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pomex.org.mx/ipo3/lgt/indice/ZINACANTEPEC/art_92_xxxviii_d.web?token=03ADUVZwBHIBi3duP4tGOso0QNfVuc56AIFWggVsoPm7M2YM78qAE5HJAv48afs0IOpupVoYM1MDcIVdMcZ9JMwEI6iZRZonawDATspluBDkcSnYN97bvjAdSeEZkdGbXpgk8aa4PDAvYsos5kjVfQfgF3JgDNVea0QZ36id-RKFINNzjkixNG-Msgo3JXzPU7UazibiyaAg3lq2KyQyMCKMphngHbn5cC28x0GYWYF5Mw089gYXPMulzXMXGILGdCr-EmEZ5cHNGhRbTVrtdVz47LpOu3AKuC2nL2t02Vv5BsXIBfq_6XQ2rJIAe1H6IFVIfdQIgS7SB5ypQFaeqJLImscYYsopVwR2QPSeywD-FGNSfYjsIAZANOMJQbhWwYs.OEiCOx57PnfGUgiVEy-3NAifZqWkbQ4x2|giEdoyLweLNJvclid9HDNhwloMXKbiiHWCZMPZO5sWIWT7.TirK8pT854SA05pnzd4Fg599KDeRWJa6iWz54K0GJGyq0P6FJb2xuBeJ5BBdgsB7fGgfwGL7rTRNoluFCiki_Z3ymweN4LV7z9I24CROfcRxardgYAFQ0XFxQR4s8iBLx5gDyPgx-SZ0RWIn0syA1o-9drYEh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ipomex.org.mx/ipo3/lgt/indice/ZINACANTEPEC/art_92_xxxviii_d.web?token=03ADUVZwBHIBi3duP4tGOso0QNfVuc56AIFWggVsoPm7M2YM78qAE5HJAv48afs0IOpupVoYM1MDcIVdMcZ9JMwEI6iZRZonawDATspluBDkcSnYN97bvjAdSeEZkdGbXpgk8aa4PDAvYsos5kjVfQfgF3JgDNVea0QZ36id-RKFINNzjkixNG-Msgo3JXzPU7UazibiyaAg3lq2KyQyMCKMphngHbn5cC28x0GYWYF5Mw089gYXPMulzXMXGILGdCr-EmEZ5cHNGhRbTVrtdVz47LpOu3AKuC2nL2t02Vv5BsXIBfq_6XQ2rJIAe1H6IFVIfdQIgS7SB5ypQFaeqJLImscYYsopVwR2QPSeywD-FGNSfYjsIAZANOMJQbhWwYs.OEiCOx57PnfGUgiVEy-3NAifZqWkbQ4x2|giEdoyLweLNJvclid9HDNhwloMXKbiiHWCZMPZO5sWIWT7.TirK8pT854SA05pnzd4Fg599KDeRWJa6iWz54K0GJGyq0P6FJb2xuBeJ5BBdgsB7fGgfwGL7rTRNoluFCiki_Z3ymweN4LV7z9I24CROfcRxardgYAFQ0XFxQR4s8iBLx5gDyPgx-SZ0RWIn0syA1o-9drYEh8"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ipomex.org.mx/ipo3/lgt/indice/ZINACANTEPEC/art" TargetMode="External"/><Relationship Id="rId14" Type="http://schemas.openxmlformats.org/officeDocument/2006/relationships/hyperlink" Target="https://www.ipomex.org.mx/ipo3/lgt/indice/ZINACANTEPEC/ar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DEFC63-C2C8-451C-8F4A-449F9927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13629</Words>
  <Characters>74963</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INFOEM563</cp:lastModifiedBy>
  <cp:revision>2</cp:revision>
  <cp:lastPrinted>2023-11-17T16:13:00Z</cp:lastPrinted>
  <dcterms:created xsi:type="dcterms:W3CDTF">2023-12-05T19:03:00Z</dcterms:created>
  <dcterms:modified xsi:type="dcterms:W3CDTF">2023-12-05T19:03:00Z</dcterms:modified>
</cp:coreProperties>
</file>