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9D" w:rsidRDefault="004D176E">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de junio del año dos mil veintitrés.</w:t>
      </w:r>
      <w:r>
        <w:rPr>
          <w:rFonts w:ascii="Palatino Linotype" w:eastAsia="Palatino Linotype" w:hAnsi="Palatino Linotype" w:cs="Palatino Linotype"/>
          <w:color w:val="FF0000"/>
        </w:rPr>
        <w:t xml:space="preserve"> </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relativos a los recursos de revisión </w:t>
      </w:r>
      <w:r>
        <w:rPr>
          <w:rFonts w:ascii="Palatino Linotype" w:eastAsia="Palatino Linotype" w:hAnsi="Palatino Linotype" w:cs="Palatino Linotype"/>
          <w:b/>
        </w:rPr>
        <w:t>00414/INFOEM/IP/RR/2023, 00415/INFOEM/IP/RR/2023</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00416/INFOEM/IP/RR/2023, </w:t>
      </w:r>
      <w:r>
        <w:rPr>
          <w:rFonts w:ascii="Palatino Linotype" w:eastAsia="Palatino Linotype" w:hAnsi="Palatino Linotype" w:cs="Palatino Linotype"/>
        </w:rPr>
        <w:t xml:space="preserve">interpuestos por </w:t>
      </w:r>
      <w:r>
        <w:rPr>
          <w:rFonts w:ascii="Palatino Linotype" w:eastAsia="Palatino Linotype" w:hAnsi="Palatino Linotype" w:cs="Palatino Linotype"/>
          <w:b/>
        </w:rPr>
        <w:t>un particular que no proporcionó su nombre</w:t>
      </w:r>
      <w:r>
        <w:rPr>
          <w:rFonts w:ascii="Palatino Linotype" w:eastAsia="Palatino Linotype" w:hAnsi="Palatino Linotype" w:cs="Palatino Linotype"/>
        </w:rPr>
        <w:t xml:space="preserve">, a quien se le denominada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faltas de respuestas del </w:t>
      </w:r>
      <w:r>
        <w:rPr>
          <w:rFonts w:ascii="Palatino Linotype" w:eastAsia="Palatino Linotype" w:hAnsi="Palatino Linotype" w:cs="Palatino Linotype"/>
          <w:b/>
        </w:rPr>
        <w:t>Ayuntamiento de Zinacantepec,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20279D" w:rsidRDefault="004D176E">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Con fecha ocho de diciembre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tbl>
      <w:tblPr>
        <w:tblStyle w:val="a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20279D">
        <w:trPr>
          <w:jc w:val="center"/>
        </w:trPr>
        <w:tc>
          <w:tcPr>
            <w:tcW w:w="2972" w:type="dxa"/>
            <w:vAlign w:val="center"/>
          </w:tcPr>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01433/ZINACANT/IP/2022</w:t>
            </w:r>
          </w:p>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00414/INFOEM/IP/RR/2023</w:t>
            </w:r>
          </w:p>
        </w:tc>
        <w:tc>
          <w:tcPr>
            <w:tcW w:w="5856" w:type="dxa"/>
          </w:tcPr>
          <w:p w:rsidR="0020279D" w:rsidRDefault="004D176E">
            <w:pPr>
              <w:spacing w:before="120" w:after="120"/>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Solicito por este medio sea remitida copia digitalizada del acta de Entrega-Recepción del Departamento de Investigación de la Contraloría Municipal de la administración entrante</w:t>
            </w:r>
          </w:p>
        </w:tc>
      </w:tr>
      <w:tr w:rsidR="0020279D">
        <w:trPr>
          <w:jc w:val="center"/>
        </w:trPr>
        <w:tc>
          <w:tcPr>
            <w:tcW w:w="2972" w:type="dxa"/>
            <w:vAlign w:val="center"/>
          </w:tcPr>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01432/ZINACANT/IP/2022</w:t>
            </w:r>
          </w:p>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00415/INFOEM/IP/RR/2023</w:t>
            </w:r>
          </w:p>
        </w:tc>
        <w:tc>
          <w:tcPr>
            <w:tcW w:w="5856" w:type="dxa"/>
          </w:tcPr>
          <w:p w:rsidR="0020279D" w:rsidRDefault="004D176E">
            <w:pPr>
              <w:spacing w:before="120" w:after="120"/>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Solicito por este medio sea remitida copia digitalizada del acta de Entrega-Recepción del Departamento de Substanciación de la Contraloría Municipal de la administración entrante.</w:t>
            </w:r>
          </w:p>
        </w:tc>
      </w:tr>
      <w:tr w:rsidR="0020279D">
        <w:trPr>
          <w:jc w:val="center"/>
        </w:trPr>
        <w:tc>
          <w:tcPr>
            <w:tcW w:w="2972" w:type="dxa"/>
            <w:vAlign w:val="center"/>
          </w:tcPr>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01431/ZINACANT/IP/2022</w:t>
            </w:r>
          </w:p>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00416/INFOEM/IP/RR/2023</w:t>
            </w:r>
          </w:p>
        </w:tc>
        <w:tc>
          <w:tcPr>
            <w:tcW w:w="5856" w:type="dxa"/>
          </w:tcPr>
          <w:p w:rsidR="0020279D" w:rsidRDefault="004D176E">
            <w:pPr>
              <w:spacing w:before="120" w:after="120"/>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Solicito por este medio sea remitida copia digitalizada del acta de Entrega-Recepción del Departamento de Auditoría Financiera y Administrativa de la administración entrante.</w:t>
            </w:r>
          </w:p>
        </w:tc>
      </w:tr>
    </w:tbl>
    <w:p w:rsidR="0020279D" w:rsidRDefault="0020279D">
      <w:pPr>
        <w:spacing w:line="360" w:lineRule="auto"/>
        <w:jc w:val="both"/>
        <w:rPr>
          <w:rFonts w:ascii="Palatino Linotype" w:eastAsia="Palatino Linotype" w:hAnsi="Palatino Linotype" w:cs="Palatino Linotype"/>
          <w:b/>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elegida para la entrega de la información en las</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solicitudes: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20279D" w:rsidRDefault="004D176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Solicitudes de Aclaración, </w:t>
      </w:r>
      <w:r>
        <w:rPr>
          <w:rFonts w:ascii="Palatino Linotype" w:eastAsia="Palatino Linotype" w:hAnsi="Palatino Linotype" w:cs="Palatino Linotype"/>
        </w:rPr>
        <w:t xml:space="preserve">Con fecha quince de diciembre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requirió al particular que complemente y/o aclare sus solicitudes, las cuales versan como sigue, siendo la misma aclaración para las tres solicitudes de información:</w:t>
      </w:r>
    </w:p>
    <w:p w:rsidR="0020279D" w:rsidRDefault="004D176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20279D" w:rsidRDefault="004D176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20279D" w:rsidRDefault="004D176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0279D" w:rsidRDefault="004D176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20279D" w:rsidRDefault="004D176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ING. JESUS EMMANUEL ENCASTIN RENDON” (Sic)</w:t>
      </w:r>
    </w:p>
    <w:p w:rsidR="0020279D" w:rsidRDefault="0020279D">
      <w:pPr>
        <w:ind w:left="851" w:right="900"/>
        <w:jc w:val="both"/>
        <w:rPr>
          <w:rFonts w:ascii="Palatino Linotype" w:eastAsia="Palatino Linotype" w:hAnsi="Palatino Linotype" w:cs="Palatino Linotype"/>
          <w:i/>
          <w:sz w:val="22"/>
          <w:szCs w:val="22"/>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Aclaración de las solicitudes. </w:t>
      </w:r>
      <w:r>
        <w:rPr>
          <w:rFonts w:ascii="Palatino Linotype" w:eastAsia="Palatino Linotype" w:hAnsi="Palatino Linotype" w:cs="Palatino Linotype"/>
        </w:rPr>
        <w:t>De las constancias que obran en los expedientes electrónicos del SAIMEX, se advierte que el solicitante en fecha quince de diciembre del año dos mil veintidós, desahogó sus aclaraciones, en los siguientes términos:</w:t>
      </w:r>
    </w:p>
    <w:p w:rsidR="0020279D" w:rsidRDefault="0020279D">
      <w:pPr>
        <w:spacing w:line="360" w:lineRule="auto"/>
        <w:jc w:val="both"/>
        <w:rPr>
          <w:rFonts w:ascii="Palatino Linotype" w:eastAsia="Palatino Linotype" w:hAnsi="Palatino Linotype" w:cs="Palatino Linotype"/>
        </w:rPr>
      </w:pPr>
    </w:p>
    <w:p w:rsidR="0020279D" w:rsidRDefault="004D176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“QUÉ HAY QUE ACLARAR</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O SOLO ES PARA QUE PASE EL TIEMPO ESPERANDO QUE NUNCA SE ACLARE Y SE CONCLUYA LA SOLICITUD</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(Sic)</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Respuestas. </w:t>
      </w:r>
      <w:r>
        <w:rPr>
          <w:rFonts w:ascii="Palatino Linotype" w:eastAsia="Palatino Linotype" w:hAnsi="Palatino Linotype" w:cs="Palatino Linotype"/>
        </w:rPr>
        <w:t xml:space="preserve">De los expedientes electrónicos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emitir respuestas a las solicitudes de acceso a la información pública, dentro del plazo de quince días otorgado por el artículo 163 de la Ley de Transparencia y Acceso a la Información Pública de la entidad.</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Interposición de los recursos de revisión. </w:t>
      </w:r>
      <w:r>
        <w:rPr>
          <w:rFonts w:ascii="Palatino Linotype" w:eastAsia="Palatino Linotype" w:hAnsi="Palatino Linotype" w:cs="Palatino Linotype"/>
        </w:rPr>
        <w:t xml:space="preserve">Inconforme el solicitante con la falta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los recursos de revisión a través del SAIMEX en fecha veinticuatro de enero de dos mil veintitrés, a través de los cuales expresó lo siguiente:</w:t>
      </w:r>
    </w:p>
    <w:tbl>
      <w:tblPr>
        <w:tblStyle w:val="a3"/>
        <w:tblW w:w="92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119"/>
        <w:gridCol w:w="3021"/>
      </w:tblGrid>
      <w:tr w:rsidR="0020279D">
        <w:tc>
          <w:tcPr>
            <w:tcW w:w="3119" w:type="dxa"/>
            <w:shd w:val="clear" w:color="auto" w:fill="D9D9D9"/>
          </w:tcPr>
          <w:p w:rsidR="0020279D" w:rsidRDefault="004D176E">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3119" w:type="dxa"/>
            <w:shd w:val="clear" w:color="auto" w:fill="D9D9D9"/>
            <w:vAlign w:val="center"/>
          </w:tcPr>
          <w:p w:rsidR="0020279D" w:rsidRDefault="004D176E">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Acto impugnado.</w:t>
            </w:r>
          </w:p>
        </w:tc>
        <w:tc>
          <w:tcPr>
            <w:tcW w:w="3021" w:type="dxa"/>
            <w:shd w:val="clear" w:color="auto" w:fill="D9D9D9"/>
            <w:vAlign w:val="center"/>
          </w:tcPr>
          <w:p w:rsidR="0020279D" w:rsidRDefault="004D176E">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Motivos de inconformidad.</w:t>
            </w:r>
          </w:p>
        </w:tc>
      </w:tr>
      <w:tr w:rsidR="0020279D">
        <w:tc>
          <w:tcPr>
            <w:tcW w:w="3119" w:type="dxa"/>
            <w:vAlign w:val="center"/>
          </w:tcPr>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01433/ZINACANT/IP/2022</w:t>
            </w:r>
          </w:p>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00414/INFOEM/IP/RR/2023</w:t>
            </w:r>
          </w:p>
        </w:tc>
        <w:tc>
          <w:tcPr>
            <w:tcW w:w="3119" w:type="dxa"/>
            <w:shd w:val="clear" w:color="auto" w:fill="auto"/>
          </w:tcPr>
          <w:p w:rsidR="0020279D" w:rsidRDefault="004D176E">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shd w:val="clear" w:color="auto" w:fill="auto"/>
          </w:tcPr>
          <w:p w:rsidR="0020279D" w:rsidRDefault="004D176E">
            <w:r>
              <w:rPr>
                <w:rFonts w:ascii="Palatino Linotype" w:eastAsia="Palatino Linotype" w:hAnsi="Palatino Linotype" w:cs="Palatino Linotype"/>
                <w:i/>
                <w:sz w:val="20"/>
                <w:szCs w:val="20"/>
              </w:rPr>
              <w:t>NO ENTREGA INFORMACIÓN</w:t>
            </w:r>
          </w:p>
        </w:tc>
      </w:tr>
      <w:tr w:rsidR="0020279D">
        <w:tc>
          <w:tcPr>
            <w:tcW w:w="3119" w:type="dxa"/>
            <w:vAlign w:val="center"/>
          </w:tcPr>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01432/ZINACANT/IP/2022</w:t>
            </w:r>
          </w:p>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00415/INFOEM/IP/RR/2023</w:t>
            </w:r>
          </w:p>
        </w:tc>
        <w:tc>
          <w:tcPr>
            <w:tcW w:w="3119" w:type="dxa"/>
            <w:shd w:val="clear" w:color="auto" w:fill="auto"/>
          </w:tcPr>
          <w:p w:rsidR="0020279D" w:rsidRDefault="004D176E">
            <w:r>
              <w:rPr>
                <w:rFonts w:ascii="Palatino Linotype" w:eastAsia="Palatino Linotype" w:hAnsi="Palatino Linotype" w:cs="Palatino Linotype"/>
                <w:i/>
                <w:sz w:val="20"/>
                <w:szCs w:val="20"/>
              </w:rPr>
              <w:t>NO ENTREGA INFORMACIÓN</w:t>
            </w:r>
          </w:p>
        </w:tc>
        <w:tc>
          <w:tcPr>
            <w:tcW w:w="3021" w:type="dxa"/>
            <w:shd w:val="clear" w:color="auto" w:fill="auto"/>
          </w:tcPr>
          <w:p w:rsidR="0020279D" w:rsidRDefault="004D176E">
            <w:r>
              <w:rPr>
                <w:rFonts w:ascii="Palatino Linotype" w:eastAsia="Palatino Linotype" w:hAnsi="Palatino Linotype" w:cs="Palatino Linotype"/>
                <w:i/>
                <w:sz w:val="20"/>
                <w:szCs w:val="20"/>
              </w:rPr>
              <w:t>NO ENTREGA INFORMACIÓN</w:t>
            </w:r>
          </w:p>
        </w:tc>
      </w:tr>
      <w:tr w:rsidR="0020279D">
        <w:tc>
          <w:tcPr>
            <w:tcW w:w="3119" w:type="dxa"/>
            <w:vAlign w:val="center"/>
          </w:tcPr>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01431/ZINACANT/IP/2022</w:t>
            </w:r>
          </w:p>
          <w:p w:rsidR="0020279D" w:rsidRDefault="004D176E">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00416/INFOEM/IP/RR/2023</w:t>
            </w:r>
          </w:p>
        </w:tc>
        <w:tc>
          <w:tcPr>
            <w:tcW w:w="3119" w:type="dxa"/>
            <w:shd w:val="clear" w:color="auto" w:fill="auto"/>
          </w:tcPr>
          <w:p w:rsidR="0020279D" w:rsidRDefault="004D176E">
            <w:r>
              <w:rPr>
                <w:rFonts w:ascii="Palatino Linotype" w:eastAsia="Palatino Linotype" w:hAnsi="Palatino Linotype" w:cs="Palatino Linotype"/>
                <w:i/>
                <w:sz w:val="20"/>
                <w:szCs w:val="20"/>
              </w:rPr>
              <w:t>NO ENTREGA INFORMACIÓN</w:t>
            </w:r>
          </w:p>
        </w:tc>
        <w:tc>
          <w:tcPr>
            <w:tcW w:w="3021" w:type="dxa"/>
            <w:shd w:val="clear" w:color="auto" w:fill="auto"/>
          </w:tcPr>
          <w:p w:rsidR="0020279D" w:rsidRDefault="004D176E">
            <w:r>
              <w:rPr>
                <w:rFonts w:ascii="Palatino Linotype" w:eastAsia="Palatino Linotype" w:hAnsi="Palatino Linotype" w:cs="Palatino Linotype"/>
                <w:i/>
                <w:sz w:val="20"/>
                <w:szCs w:val="20"/>
              </w:rPr>
              <w:t>NO ENTREGA INFORMACIÓN</w:t>
            </w:r>
          </w:p>
        </w:tc>
      </w:tr>
    </w:tbl>
    <w:p w:rsidR="0020279D" w:rsidRDefault="0020279D">
      <w:pPr>
        <w:spacing w:line="360" w:lineRule="auto"/>
        <w:jc w:val="both"/>
        <w:rPr>
          <w:rFonts w:ascii="Palatino Linotype" w:eastAsia="Palatino Linotype" w:hAnsi="Palatino Linotype" w:cs="Palatino Linotype"/>
          <w:b/>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00414/INFOEM/IP/RR/2023,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el recurso de revisión número </w:t>
      </w:r>
      <w:r>
        <w:rPr>
          <w:rFonts w:ascii="Palatino Linotype" w:eastAsia="Palatino Linotype" w:hAnsi="Palatino Linotype" w:cs="Palatino Linotype"/>
          <w:b/>
        </w:rPr>
        <w:t xml:space="preserve">00415/INFOEM/IP/RR/2023,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al  Comisionado Presidente José Martínez Vilchis y el recurso de revisión número </w:t>
      </w:r>
      <w:r>
        <w:rPr>
          <w:rFonts w:ascii="Palatino Linotype" w:eastAsia="Palatino Linotype" w:hAnsi="Palatino Linotype" w:cs="Palatino Linotype"/>
          <w:b/>
        </w:rPr>
        <w:t xml:space="preserve">00416/INFOEM/IP/RR/2023, </w:t>
      </w:r>
      <w:r>
        <w:rPr>
          <w:rFonts w:ascii="Palatino Linotype" w:eastAsia="Palatino Linotype" w:hAnsi="Palatino Linotype" w:cs="Palatino Linotype"/>
        </w:rPr>
        <w:t>se turnó por el sistema electrónico del Instituto de Transparencia, Acceso a la Información Pública y Protección de Datos Personales del Estado de México y Municipios, al Comisionado Luis Gustavo Parra Noriega, para su análisis, estudio, elaboración del proyecto y presentación ante el Pleno de este Instituto.</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Admisión de los recursos de revisión: </w:t>
      </w:r>
      <w:r>
        <w:rPr>
          <w:rFonts w:ascii="Palatino Linotype" w:eastAsia="Palatino Linotype" w:hAnsi="Palatino Linotype" w:cs="Palatino Linotype"/>
        </w:rPr>
        <w:t xml:space="preserve">En fechas veintisiete y treinta de enero del dos mil veintitrés, se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rsidR="0020279D" w:rsidRDefault="004D176E">
      <w:pPr>
        <w:spacing w:before="4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8. Acumulación, </w:t>
      </w:r>
      <w:r>
        <w:rPr>
          <w:rFonts w:ascii="Palatino Linotype" w:eastAsia="Palatino Linotype" w:hAnsi="Palatino Linotype" w:cs="Palatino Linotype"/>
        </w:rPr>
        <w:t xml:space="preserve">en la Quinta Sesión Ordinaria del Pleno de este Instituto de Transparencia, Acceso a la Información Pública y Protección de Datos Personales del Estado de México y Municipios, celebrada en fecha siete de febrero del dos mil </w:t>
      </w:r>
      <w:r>
        <w:rPr>
          <w:rFonts w:ascii="Palatino Linotype" w:eastAsia="Palatino Linotype" w:hAnsi="Palatino Linotype" w:cs="Palatino Linotype"/>
        </w:rPr>
        <w:lastRenderedPageBreak/>
        <w:t xml:space="preserve">veintitrés, al advertir la conexidad de causa y con la finalidad de evitar que se dicten resoluciones contradictorias, se acordó la acumulación de los recursos señalados en este fallo; determinando que fuera Ponente,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20279D" w:rsidRDefault="004D176E">
      <w:pPr>
        <w:spacing w:before="280"/>
        <w:ind w:left="1134" w:right="13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195.- En la tramitación del recurso de revisión se aplicarán supletoriamente las disposiciones contenidas en el Código de Procedimientos Administrativos del Estado de México.” (Sic)</w:t>
      </w:r>
    </w:p>
    <w:p w:rsidR="0020279D" w:rsidRDefault="0020279D">
      <w:pPr>
        <w:ind w:right="1325"/>
        <w:jc w:val="both"/>
        <w:rPr>
          <w:rFonts w:ascii="Palatino Linotype" w:eastAsia="Palatino Linotype" w:hAnsi="Palatino Linotype" w:cs="Palatino Linotype"/>
          <w:i/>
          <w:sz w:val="22"/>
          <w:szCs w:val="22"/>
        </w:rPr>
      </w:pPr>
    </w:p>
    <w:p w:rsidR="0020279D" w:rsidRDefault="004D176E">
      <w:pPr>
        <w:ind w:left="1134"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Acuerdo de acumulación que se hizo del conocimiento a la parte solicitante, a través del Sistema de Acceso a la Información Mexiquense. </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9. Manifestaciones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obran en el expediente electrónico del SAIMEX de los Recursos de Revisión </w:t>
      </w:r>
      <w:r>
        <w:rPr>
          <w:rFonts w:ascii="Palatino Linotype" w:eastAsia="Palatino Linotype" w:hAnsi="Palatino Linotype" w:cs="Palatino Linotype"/>
          <w:b/>
        </w:rPr>
        <w:t>00414/INFOEM/IP/RR/2023, 00415/INFOEM/IP/RR/2023</w:t>
      </w:r>
      <w:r>
        <w:rPr>
          <w:rFonts w:ascii="Palatino Linotype" w:eastAsia="Palatino Linotype" w:hAnsi="Palatino Linotype" w:cs="Palatino Linotype"/>
        </w:rPr>
        <w:t xml:space="preserve"> y </w:t>
      </w:r>
      <w:r>
        <w:rPr>
          <w:rFonts w:ascii="Palatino Linotype" w:eastAsia="Palatino Linotype" w:hAnsi="Palatino Linotype" w:cs="Palatino Linotype"/>
          <w:b/>
        </w:rPr>
        <w:t>00416/INFOEM/IP/RR/2023</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de los siguientes archivos electrónicos:</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8">
        <w:r>
          <w:rPr>
            <w:rFonts w:ascii="Palatino Linotype" w:eastAsia="Palatino Linotype" w:hAnsi="Palatino Linotype" w:cs="Palatino Linotype"/>
          </w:rPr>
          <w:t>Zinacantepec 181.pdf</w:t>
        </w:r>
      </w:hyperlink>
      <w:r>
        <w:rPr>
          <w:rFonts w:ascii="Palatino Linotype" w:eastAsia="Palatino Linotype" w:hAnsi="Palatino Linotype" w:cs="Palatino Linotype"/>
        </w:rPr>
        <w:t>”, “</w:t>
      </w:r>
      <w:hyperlink r:id="rId9">
        <w:r>
          <w:rPr>
            <w:rFonts w:ascii="Palatino Linotype" w:eastAsia="Palatino Linotype" w:hAnsi="Palatino Linotype" w:cs="Palatino Linotype"/>
          </w:rPr>
          <w:t>Zinacantepec 160.pdf</w:t>
        </w:r>
      </w:hyperlink>
      <w:r>
        <w:rPr>
          <w:rFonts w:ascii="Palatino Linotype" w:eastAsia="Palatino Linotype" w:hAnsi="Palatino Linotype" w:cs="Palatino Linotype"/>
        </w:rPr>
        <w:t>” y “</w:t>
      </w:r>
      <w:hyperlink r:id="rId10">
        <w:r>
          <w:rPr>
            <w:rFonts w:ascii="Palatino Linotype" w:eastAsia="Palatino Linotype" w:hAnsi="Palatino Linotype" w:cs="Palatino Linotype"/>
          </w:rPr>
          <w:t>Zinacantepec 159.pdf</w:t>
        </w:r>
      </w:hyperlink>
      <w:r>
        <w:rPr>
          <w:rFonts w:ascii="Palatino Linotype" w:eastAsia="Palatino Linotype" w:hAnsi="Palatino Linotype" w:cs="Palatino Linotype"/>
        </w:rPr>
        <w:t>”, los cuales en esencia contienen la misma información, correspondiente a la solicitud de ampliación de plazo para la atención de solicitudes hasta por 30 días hábiles al SUJETO OBLIGADO denominado Ayuntamiento de Zinacantepec para el cumplimiento de las resoluciones notificadas en la presente Solicitud.</w:t>
      </w:r>
    </w:p>
    <w:p w:rsidR="0020279D" w:rsidRDefault="004D176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documentos remitidos en los tres expedientes, una vez analizados, se hicieron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rsidR="0020279D" w:rsidRDefault="004D176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10.-</w:t>
      </w:r>
      <w:r>
        <w:rPr>
          <w:rFonts w:ascii="Palatino Linotype" w:eastAsia="Palatino Linotype" w:hAnsi="Palatino Linotype" w:cs="Palatino Linotype"/>
        </w:rPr>
        <w:t xml:space="preserve"> </w:t>
      </w:r>
      <w:r>
        <w:rPr>
          <w:rFonts w:ascii="Palatino Linotype" w:eastAsia="Palatino Linotype" w:hAnsi="Palatino Linotype" w:cs="Palatino Linotype"/>
          <w:b/>
        </w:rPr>
        <w:t>Ampliaciones del plazo.</w:t>
      </w:r>
      <w:r>
        <w:rPr>
          <w:rFonts w:ascii="Palatino Linotype" w:eastAsia="Palatino Linotype" w:hAnsi="Palatino Linotype" w:cs="Palatino Linotype"/>
        </w:rPr>
        <w:t xml:space="preserve"> En fecha siete de junio del año dos mil veintitrés, con fundamento en el artículo 181, párrafo tercero de la Ley de Transparencia y Acceso a la Información Pública del Estado de México y Municipios, se acordó la ampliación del plazo para su resolución.</w:t>
      </w:r>
    </w:p>
    <w:p w:rsidR="0020279D" w:rsidRDefault="004D176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w:t>
      </w:r>
      <w:r>
        <w:rPr>
          <w:rFonts w:ascii="Palatino Linotype" w:eastAsia="Palatino Linotype" w:hAnsi="Palatino Linotype" w:cs="Palatino Linotype"/>
        </w:rPr>
        <w:lastRenderedPageBreak/>
        <w:t>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0279D" w:rsidRDefault="0020279D">
      <w:pPr>
        <w:spacing w:line="360" w:lineRule="auto"/>
        <w:jc w:val="both"/>
        <w:rPr>
          <w:rFonts w:ascii="Palatino Linotype" w:eastAsia="Palatino Linotype" w:hAnsi="Palatino Linotype" w:cs="Palatino Linotype"/>
        </w:rPr>
      </w:pPr>
    </w:p>
    <w:p w:rsidR="0020279D" w:rsidRDefault="004D176E">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20279D" w:rsidRDefault="0020279D">
      <w:pPr>
        <w:spacing w:line="360" w:lineRule="auto"/>
        <w:ind w:left="927"/>
        <w:jc w:val="both"/>
        <w:rPr>
          <w:rFonts w:ascii="Palatino Linotype" w:eastAsia="Palatino Linotype" w:hAnsi="Palatino Linotype" w:cs="Palatino Linotype"/>
        </w:rPr>
      </w:pPr>
    </w:p>
    <w:p w:rsidR="0020279D" w:rsidRDefault="004D176E">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Actividad Procesal del interesado. Acciones u omisiones del interesado.</w:t>
      </w:r>
    </w:p>
    <w:p w:rsidR="0020279D" w:rsidRDefault="0020279D">
      <w:pPr>
        <w:spacing w:line="360" w:lineRule="auto"/>
        <w:jc w:val="both"/>
        <w:rPr>
          <w:rFonts w:ascii="Palatino Linotype" w:eastAsia="Palatino Linotype" w:hAnsi="Palatino Linotype" w:cs="Palatino Linotype"/>
        </w:rPr>
      </w:pPr>
    </w:p>
    <w:p w:rsidR="0020279D" w:rsidRDefault="004D176E">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20279D" w:rsidRDefault="0020279D">
      <w:pPr>
        <w:spacing w:line="360" w:lineRule="auto"/>
        <w:ind w:left="708"/>
        <w:rPr>
          <w:rFonts w:ascii="Palatino Linotype" w:eastAsia="Palatino Linotype" w:hAnsi="Palatino Linotype" w:cs="Palatino Linotype"/>
        </w:rPr>
      </w:pPr>
    </w:p>
    <w:p w:rsidR="0020279D" w:rsidRDefault="004D176E">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20279D" w:rsidRDefault="0020279D">
      <w:pPr>
        <w:spacing w:line="360" w:lineRule="auto"/>
        <w:jc w:val="both"/>
        <w:rPr>
          <w:rFonts w:ascii="Palatino Linotype" w:eastAsia="Palatino Linotype" w:hAnsi="Palatino Linotype" w:cs="Palatino Linotype"/>
          <w:b/>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20279D" w:rsidRDefault="0020279D">
      <w:pPr>
        <w:tabs>
          <w:tab w:val="left" w:pos="426"/>
        </w:tabs>
        <w:spacing w:line="360" w:lineRule="auto"/>
        <w:jc w:val="both"/>
        <w:rPr>
          <w:rFonts w:ascii="Palatino Linotype" w:eastAsia="Palatino Linotype" w:hAnsi="Palatino Linotype" w:cs="Palatino Linotype"/>
          <w:b/>
        </w:rPr>
      </w:pPr>
    </w:p>
    <w:p w:rsidR="0020279D" w:rsidRDefault="004D176E">
      <w:pPr>
        <w:tabs>
          <w:tab w:val="left" w:pos="42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11. Cierre de instrucción. </w:t>
      </w:r>
      <w:r>
        <w:rPr>
          <w:rFonts w:ascii="Palatino Linotype" w:eastAsia="Palatino Linotype" w:hAnsi="Palatino Linotype" w:cs="Palatino Linotype"/>
        </w:rPr>
        <w:t xml:space="preserve">En </w:t>
      </w:r>
      <w:r w:rsidRPr="00F65F46">
        <w:rPr>
          <w:rFonts w:ascii="Palatino Linotype" w:eastAsia="Palatino Linotype" w:hAnsi="Palatino Linotype" w:cs="Palatino Linotype"/>
        </w:rPr>
        <w:t>fecha trece de junio del año dos mil veintitrés, la</w:t>
      </w:r>
      <w:r>
        <w:rPr>
          <w:rFonts w:ascii="Palatino Linotype" w:eastAsia="Palatino Linotype" w:hAnsi="Palatino Linotype" w:cs="Palatino Linotype"/>
        </w:rPr>
        <w:t xml:space="preserve"> Comisionada ponente determinó los cierres de instrucción en términos de la fracción VI del artículo 185 de la Ley de Transparencia y Acceso a la Información Pública del Estado de México y Municipios.</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20279D" w:rsidRDefault="004D176E">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20279D" w:rsidRDefault="004D176E">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color w:val="222222"/>
          <w:highlight w:val="whit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trigésimos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w:t>
      </w:r>
      <w:r>
        <w:rPr>
          <w:rFonts w:ascii="Palatino Linotype" w:eastAsia="Palatino Linotype" w:hAnsi="Palatino Linotype" w:cs="Palatino Linotype"/>
          <w:color w:val="222222"/>
          <w:highlight w:val="white"/>
        </w:rPr>
        <w:lastRenderedPageBreak/>
        <w:t>Interior del Instituto de Transparencia, Acceso a la Información Pública y Protección de Datos Personales del Estado de México y Municipios.</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Por cuanto hace a la oportunidad de los recursos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la figura jurídica de la </w:t>
      </w:r>
      <w:r>
        <w:rPr>
          <w:rFonts w:ascii="Palatino Linotype" w:eastAsia="Palatino Linotype" w:hAnsi="Palatino Linotype" w:cs="Palatino Linotype"/>
          <w:b/>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en los presentes recursos de revisión se actualizó la negativa ficta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no haber respondido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w:t>
      </w:r>
      <w:r>
        <w:rPr>
          <w:rFonts w:ascii="Palatino Linotype" w:eastAsia="Palatino Linotype" w:hAnsi="Palatino Linotype" w:cs="Palatino Linotype"/>
        </w:rPr>
        <w:lastRenderedPageBreak/>
        <w:t>desconocidas, pero que el hecho simple de no responder apareja una forma por omisión de negar el acceso a la información.</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 a ello se le suma lo previsto en el párrafo segundo del artículo 178, párrafo segundo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vigente en la entidad.</w:t>
      </w:r>
    </w:p>
    <w:p w:rsidR="0020279D" w:rsidRDefault="004D176E">
      <w:pPr>
        <w:spacing w:before="240" w:after="360" w:line="360" w:lineRule="auto"/>
        <w:jc w:val="both"/>
        <w:rPr>
          <w:i/>
        </w:rPr>
      </w:pPr>
      <w:r>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20279D" w:rsidRDefault="004D176E">
      <w:pPr>
        <w:spacing w:before="240" w:after="36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CRITERIO 0001-15 </w:t>
      </w:r>
    </w:p>
    <w:p w:rsidR="0020279D" w:rsidRDefault="004D176E">
      <w:pPr>
        <w:spacing w:before="24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Ley.”(Sic)</w:t>
      </w:r>
    </w:p>
    <w:p w:rsidR="0020279D" w:rsidRDefault="004D176E">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 los recursos, se acreditan plenamente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resulta procedente la interposición de los recursos de revisión, según lo aducido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20279D" w:rsidRDefault="004D176E">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20279D" w:rsidRDefault="004D176E">
      <w:pPr>
        <w:numPr>
          <w:ilvl w:val="0"/>
          <w:numId w:val="2"/>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20279D" w:rsidRDefault="0020279D">
      <w:pPr>
        <w:spacing w:before="240" w:line="360" w:lineRule="auto"/>
        <w:jc w:val="both"/>
        <w:rPr>
          <w:rFonts w:ascii="Palatino Linotype" w:eastAsia="Palatino Linotype" w:hAnsi="Palatino Linotype" w:cs="Palatino Linotype"/>
          <w:b/>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 fondo del asunto. </w:t>
      </w:r>
      <w:r>
        <w:rPr>
          <w:rFonts w:ascii="Palatino Linotype" w:eastAsia="Palatino Linotype" w:hAnsi="Palatino Linotype" w:cs="Palatino Linotype"/>
        </w:rPr>
        <w:t xml:space="preserve">Como se puede observar en los antecedentes de la presente resolución,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emitir respuesta a la solicitud de información; sin embargo, con posterioridad mediante informe justificado remite varios documentos a través del cual pretende dar atención a las solicitudes de acceso a la información números 01433/ZINACANT/IP/2022, 01432/ZINACANT/IP/2022 y 01431/ZINACANT/IP/2022; sin embargo, la pretensión del </w:t>
      </w:r>
      <w:r>
        <w:rPr>
          <w:rFonts w:ascii="Palatino Linotype" w:eastAsia="Palatino Linotype" w:hAnsi="Palatino Linotype" w:cs="Palatino Linotype"/>
          <w:b/>
        </w:rPr>
        <w:t>Ayuntamiento de Zinacantepec</w:t>
      </w:r>
      <w:r>
        <w:rPr>
          <w:rFonts w:ascii="Palatino Linotype" w:eastAsia="Palatino Linotype" w:hAnsi="Palatino Linotype" w:cs="Palatino Linotype"/>
        </w:rPr>
        <w:t>, fue únicamente para solicitar a este Organismo Garante una ampliación de plazo para el cumplimiento de las resoluciones notificadas en las presentes solicitudes.</w:t>
      </w:r>
    </w:p>
    <w:p w:rsidR="0020279D" w:rsidRDefault="004D176E">
      <w:pPr>
        <w:tabs>
          <w:tab w:val="left" w:pos="4962"/>
        </w:tabs>
        <w:spacing w:line="276" w:lineRule="auto"/>
        <w:ind w:left="567" w:right="851"/>
        <w:jc w:val="both"/>
        <w:rPr>
          <w:rFonts w:ascii="Palatino Linotype" w:eastAsia="Palatino Linotype" w:hAnsi="Palatino Linotype" w:cs="Palatino Linotype"/>
          <w:i/>
          <w:sz w:val="22"/>
          <w:szCs w:val="22"/>
        </w:rPr>
      </w:pPr>
      <w:r>
        <w:t xml:space="preserve"> </w:t>
      </w:r>
      <w:r>
        <w:rPr>
          <w:rFonts w:ascii="Palatino Linotype" w:eastAsia="Palatino Linotype" w:hAnsi="Palatino Linotype" w:cs="Palatino Linotype"/>
          <w:i/>
          <w:sz w:val="22"/>
          <w:szCs w:val="22"/>
        </w:rPr>
        <w:t xml:space="preserve">“… </w:t>
      </w:r>
    </w:p>
    <w:p w:rsidR="0020279D" w:rsidRDefault="004D176E">
      <w:pPr>
        <w:tabs>
          <w:tab w:val="left" w:pos="4962"/>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w:t>
      </w:r>
    </w:p>
    <w:p w:rsidR="0020279D" w:rsidRDefault="004D176E">
      <w:pPr>
        <w:tabs>
          <w:tab w:val="left" w:pos="4962"/>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w:t>
      </w:r>
    </w:p>
    <w:p w:rsidR="0020279D" w:rsidRDefault="004D176E">
      <w:pPr>
        <w:tabs>
          <w:tab w:val="left" w:pos="4962"/>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Aunado a ello, se suman las limitantes con las que se cuenta, tales como técnicas, administrativas, tecnológicas y humanas de la Unidad de Transparencia del Municipio de Zinacantepec. Bajo esa tesitura, es imperante señalar que, a fin de brindarle plena certeza y garantizar el Derecho de Acceso a la Información al hoy recurrente con la </w:t>
      </w:r>
      <w:r>
        <w:rPr>
          <w:rFonts w:ascii="Palatino Linotype" w:eastAsia="Palatino Linotype" w:hAnsi="Palatino Linotype" w:cs="Palatino Linotype"/>
          <w:i/>
          <w:sz w:val="22"/>
          <w:szCs w:val="22"/>
        </w:rPr>
        <w:lastRenderedPageBreak/>
        <w:t>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 Para hacer de su conocimiento que, en la Segunda Sesión Extraordinaria del Comité Municipal de Transparencia se aprobó la petición de ampliar los plazos para la atención a las Solicitudes de Información</w:t>
      </w:r>
    </w:p>
    <w:p w:rsidR="0020279D" w:rsidRDefault="004D176E">
      <w:pPr>
        <w:tabs>
          <w:tab w:val="left" w:pos="4962"/>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279D" w:rsidRDefault="004D176E">
      <w:pPr>
        <w:tabs>
          <w:tab w:val="left" w:pos="4962"/>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 (Sic)</w:t>
      </w:r>
    </w:p>
    <w:p w:rsidR="0020279D" w:rsidRDefault="0020279D">
      <w:pPr>
        <w:tabs>
          <w:tab w:val="left" w:pos="4962"/>
        </w:tabs>
        <w:spacing w:line="360" w:lineRule="auto"/>
        <w:jc w:val="both"/>
        <w:rPr>
          <w:rFonts w:ascii="Palatino Linotype" w:eastAsia="Palatino Linotype" w:hAnsi="Palatino Linotype" w:cs="Palatino Linotype"/>
        </w:rPr>
      </w:pPr>
    </w:p>
    <w:p w:rsidR="0020279D" w:rsidRDefault="004D176E">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este Instituto de Transparencia, Acceso a la Información Pública y Protección de Datos Personales del Estado de México y Municipios, es competente para conocer y resolver la solicitud de ampliación de plazo para dar cumplimiento a la presente resolución del recurso de revisión </w:t>
      </w:r>
      <w:r>
        <w:rPr>
          <w:rFonts w:ascii="Palatino Linotype" w:eastAsia="Palatino Linotype" w:hAnsi="Palatino Linotype" w:cs="Palatino Linotype"/>
          <w:b/>
        </w:rPr>
        <w:t>00414/INFOEM/IP/RR/2023 y acumulados</w:t>
      </w:r>
      <w:r>
        <w:rPr>
          <w:rFonts w:ascii="Palatino Linotype" w:eastAsia="Palatino Linotype" w:hAnsi="Palatino Linotype" w:cs="Palatino Linotype"/>
        </w:rPr>
        <w:t xml:space="preserve">, 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 </w:t>
      </w:r>
    </w:p>
    <w:p w:rsidR="0020279D" w:rsidRDefault="0020279D">
      <w:pPr>
        <w:tabs>
          <w:tab w:val="left" w:pos="4962"/>
        </w:tabs>
        <w:spacing w:line="360" w:lineRule="auto"/>
        <w:jc w:val="both"/>
        <w:rPr>
          <w:rFonts w:ascii="Palatino Linotype" w:eastAsia="Palatino Linotype" w:hAnsi="Palatino Linotype" w:cs="Palatino Linotype"/>
        </w:rPr>
      </w:pPr>
    </w:p>
    <w:p w:rsidR="0020279D" w:rsidRDefault="004D176E">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esta tesitura, al reunir los requisitos establecidos en la normatividad aplicable para la ampliación del término de cumplimiento, resulta procedente el otorgar al Sujeto Obligado, una ampliación de plazo, para que tenga un total de 30 días para el cumplimiento de la presente Resolución.</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con el fin de no dejar en estado de indefensión al </w:t>
      </w:r>
      <w:r>
        <w:rPr>
          <w:rFonts w:ascii="Palatino Linotype" w:eastAsia="Palatino Linotype" w:hAnsi="Palatino Linotype" w:cs="Palatino Linotype"/>
          <w:b/>
        </w:rPr>
        <w:t>RECURRENT</w:t>
      </w:r>
      <w:r>
        <w:rPr>
          <w:rFonts w:ascii="Palatino Linotype" w:eastAsia="Palatino Linotype" w:hAnsi="Palatino Linotype" w:cs="Palatino Linotype"/>
        </w:rPr>
        <w:t>E, resulta oportuno señalar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20279D" w:rsidRDefault="0020279D">
      <w:pPr>
        <w:spacing w:line="360" w:lineRule="auto"/>
        <w:jc w:val="both"/>
        <w:rPr>
          <w:rFonts w:ascii="Palatino Linotype" w:eastAsia="Palatino Linotype" w:hAnsi="Palatino Linotype" w:cs="Palatino Linotype"/>
        </w:rPr>
      </w:pPr>
    </w:p>
    <w:p w:rsidR="0020279D" w:rsidRDefault="004D176E">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0279D" w:rsidRDefault="004D176E">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Pr>
          <w:rFonts w:ascii="Palatino Linotype" w:eastAsia="Palatino Linotype" w:hAnsi="Palatino Linotype" w:cs="Palatino Linotype"/>
          <w:b/>
          <w:i/>
          <w:sz w:val="22"/>
          <w:szCs w:val="22"/>
        </w:rPr>
        <w:lastRenderedPageBreak/>
        <w:t>temporalmente por razones de interés público, en los términos de las causas legítimas y estrictamente necesarias previstas por esta Ley.</w:t>
      </w:r>
    </w:p>
    <w:p w:rsidR="0020279D" w:rsidRDefault="004D176E">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Pr>
          <w:rFonts w:ascii="Palatino Linotype" w:eastAsia="Palatino Linotype" w:hAnsi="Palatino Linotype" w:cs="Palatino Linotype"/>
          <w:b/>
        </w:rPr>
        <w:t>artículo 12</w:t>
      </w:r>
      <w:r>
        <w:rPr>
          <w:rFonts w:ascii="Palatino Linotype" w:eastAsia="Palatino Linotype" w:hAnsi="Palatino Linotype" w:cs="Palatino Linotype"/>
        </w:rPr>
        <w:t xml:space="preserve"> de la Ley de Transparencia y Acceso a la Información Pública del Estado de México y Municipios, el cual a la letra dice:</w:t>
      </w:r>
    </w:p>
    <w:p w:rsidR="0020279D" w:rsidRDefault="0020279D">
      <w:pPr>
        <w:spacing w:line="360" w:lineRule="auto"/>
        <w:jc w:val="both"/>
        <w:rPr>
          <w:rFonts w:ascii="Palatino Linotype" w:eastAsia="Palatino Linotype" w:hAnsi="Palatino Linotype" w:cs="Palatino Linotype"/>
        </w:rPr>
      </w:pPr>
    </w:p>
    <w:p w:rsidR="0020279D" w:rsidRDefault="004D176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0279D" w:rsidRDefault="0020279D">
      <w:pPr>
        <w:ind w:left="567" w:right="758"/>
        <w:jc w:val="both"/>
        <w:rPr>
          <w:rFonts w:ascii="Palatino Linotype" w:eastAsia="Palatino Linotype" w:hAnsi="Palatino Linotype" w:cs="Palatino Linotype"/>
          <w:i/>
          <w:sz w:val="22"/>
          <w:szCs w:val="22"/>
        </w:rPr>
      </w:pPr>
    </w:p>
    <w:p w:rsidR="0020279D" w:rsidRDefault="004D176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 xml:space="preserve">como así lo establece los criterios 09/10 y 03/17 emitidos por el Instituto </w:t>
      </w:r>
      <w:r>
        <w:rPr>
          <w:rFonts w:ascii="Palatino Linotype" w:eastAsia="Palatino Linotype" w:hAnsi="Palatino Linotype" w:cs="Palatino Linotype"/>
        </w:rPr>
        <w:lastRenderedPageBreak/>
        <w:t>Nacional de Transparencia, Acceso a la Información Pública y Protección de Datos Personales, los cuales señalan lo siguiente:</w:t>
      </w:r>
    </w:p>
    <w:p w:rsidR="0020279D" w:rsidRDefault="0020279D">
      <w:pPr>
        <w:spacing w:line="360" w:lineRule="auto"/>
        <w:jc w:val="both"/>
        <w:rPr>
          <w:rFonts w:ascii="Palatino Linotype" w:eastAsia="Palatino Linotype" w:hAnsi="Palatino Linotype" w:cs="Palatino Linotype"/>
          <w:color w:val="000000"/>
        </w:rPr>
      </w:pPr>
    </w:p>
    <w:p w:rsidR="0020279D" w:rsidRDefault="004D176E">
      <w:pPr>
        <w:spacing w:before="120" w:after="24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09/10</w:t>
      </w:r>
    </w:p>
    <w:p w:rsidR="0020279D" w:rsidRDefault="004D176E">
      <w:pPr>
        <w:spacing w:before="120" w:after="24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DEPENDENCIAS Y ENTIDADES NO ESTÁN OBLIGADAS A GENERAR DOCUMENTOS AD HOC PARA RESPONDER UNA SOLICITUD DE ACC ESO A LA INFORMACIÓN.</w:t>
      </w:r>
    </w:p>
    <w:p w:rsidR="0020279D" w:rsidRDefault="004D176E">
      <w:pPr>
        <w:spacing w:before="120" w:after="24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20279D" w:rsidRDefault="004D176E">
      <w:pPr>
        <w:spacing w:before="120" w:after="24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rsidR="0020279D" w:rsidRDefault="004D176E">
      <w:pPr>
        <w:spacing w:before="120" w:after="24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 ENTOS AD HOC PARA ATENDER LAS SOLICITUDES DE ACCESO A LA INFORM ACIÓN.</w:t>
      </w:r>
    </w:p>
    <w:p w:rsidR="0020279D" w:rsidRDefault="004D176E">
      <w:pPr>
        <w:spacing w:before="120" w:after="24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0279D" w:rsidRDefault="004D17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0279D" w:rsidRDefault="0020279D">
      <w:pPr>
        <w:spacing w:line="360" w:lineRule="auto"/>
        <w:jc w:val="both"/>
        <w:rPr>
          <w:rFonts w:ascii="Palatino Linotype" w:eastAsia="Palatino Linotype" w:hAnsi="Palatino Linotype" w:cs="Palatino Linotype"/>
          <w:color w:val="000000"/>
        </w:rPr>
      </w:pPr>
    </w:p>
    <w:p w:rsidR="0020279D" w:rsidRDefault="004D17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0279D" w:rsidRDefault="0020279D">
      <w:pPr>
        <w:jc w:val="both"/>
        <w:rPr>
          <w:rFonts w:ascii="Palatino Linotype" w:eastAsia="Palatino Linotype" w:hAnsi="Palatino Linotype" w:cs="Palatino Linotype"/>
          <w:color w:val="000000"/>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0279D" w:rsidRDefault="0020279D">
      <w:pPr>
        <w:ind w:left="1134" w:right="899"/>
        <w:jc w:val="both"/>
        <w:rPr>
          <w:rFonts w:ascii="Palatino Linotype" w:eastAsia="Palatino Linotype" w:hAnsi="Palatino Linotype" w:cs="Palatino Linotype"/>
          <w:i/>
          <w:sz w:val="22"/>
          <w:szCs w:val="22"/>
        </w:rPr>
      </w:pPr>
    </w:p>
    <w:p w:rsidR="0020279D" w:rsidRDefault="004D176E">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20279D" w:rsidRDefault="004D176E">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279D" w:rsidRDefault="004D176E">
      <w:pPr>
        <w:ind w:left="1134"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rsidR="0020279D" w:rsidRDefault="0020279D">
      <w:pPr>
        <w:ind w:left="851" w:right="899"/>
        <w:jc w:val="both"/>
        <w:rPr>
          <w:rFonts w:ascii="Palatino Linotype" w:eastAsia="Palatino Linotype" w:hAnsi="Palatino Linotype" w:cs="Palatino Linotype"/>
          <w:i/>
          <w:color w:val="000000"/>
          <w:sz w:val="22"/>
          <w:szCs w:val="22"/>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0279D" w:rsidRDefault="0020279D">
      <w:pPr>
        <w:ind w:left="851" w:right="899"/>
        <w:jc w:val="both"/>
        <w:rPr>
          <w:rFonts w:ascii="Palatino Linotype" w:eastAsia="Palatino Linotype" w:hAnsi="Palatino Linotype" w:cs="Palatino Linotype"/>
        </w:rPr>
      </w:pPr>
    </w:p>
    <w:p w:rsidR="0020279D" w:rsidRDefault="004D176E">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20279D" w:rsidRDefault="004D176E">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0279D" w:rsidRDefault="004D176E">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0279D" w:rsidRDefault="004D176E">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20279D" w:rsidRDefault="004D176E">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20279D" w:rsidRDefault="004D176E">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Obligados.”(Sic)</w:t>
      </w:r>
    </w:p>
    <w:p w:rsidR="0020279D" w:rsidRDefault="0020279D">
      <w:pPr>
        <w:ind w:left="1134" w:right="1041"/>
        <w:jc w:val="both"/>
        <w:rPr>
          <w:rFonts w:ascii="Palatino Linotype" w:eastAsia="Palatino Linotype" w:hAnsi="Palatino Linotype" w:cs="Palatino Linotype"/>
          <w:sz w:val="22"/>
          <w:szCs w:val="22"/>
        </w:rPr>
      </w:pPr>
    </w:p>
    <w:p w:rsidR="0020279D" w:rsidRDefault="004D176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w:t>
      </w:r>
    </w:p>
    <w:p w:rsidR="0020279D" w:rsidRDefault="004D176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derivado del análisis de los recursos de revisión materia del presente estudio, es pertinente recordar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al Ayuntamiento de Zinacantepec, el acta de Entrega-Recepción de la administración entrante, es decir de la administración 2022-2024, de las siguientes áreas:</w:t>
      </w:r>
    </w:p>
    <w:p w:rsidR="0020279D" w:rsidRDefault="004D176E">
      <w:pPr>
        <w:numPr>
          <w:ilvl w:val="0"/>
          <w:numId w:val="3"/>
        </w:numPr>
        <w:pBdr>
          <w:top w:val="nil"/>
          <w:left w:val="nil"/>
          <w:bottom w:val="nil"/>
          <w:right w:val="nil"/>
          <w:between w:val="nil"/>
        </w:pBdr>
        <w:spacing w:before="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Departamento de Investigación de la Contraloría Municipal.</w:t>
      </w:r>
    </w:p>
    <w:p w:rsidR="0020279D" w:rsidRDefault="004D176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Departamento de Substanciación de la Contraloría Municipal.</w:t>
      </w:r>
    </w:p>
    <w:p w:rsidR="0020279D" w:rsidRDefault="004D176E">
      <w:pPr>
        <w:numPr>
          <w:ilvl w:val="0"/>
          <w:numId w:val="3"/>
        </w:numPr>
        <w:pBdr>
          <w:top w:val="nil"/>
          <w:left w:val="nil"/>
          <w:bottom w:val="nil"/>
          <w:right w:val="nil"/>
          <w:between w:val="nil"/>
        </w:pBd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Departamento de Auditoría Financiera y Administrativa</w:t>
      </w:r>
    </w:p>
    <w:p w:rsidR="0020279D" w:rsidRDefault="004D176E">
      <w:pPr>
        <w:spacing w:before="280" w:after="28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omitió dar respuesta a los requerimientos</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del particular.</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por la falta de respuesta,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el que</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señaló medularmente la falta de respuesta. </w:t>
      </w: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notificado los recursos de revisión al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del apartado de manifestaciones del Sistema del Acceso a la Información Mexiquense, únicamente remitió una solicitud para que se le aprobara un plazo de 30 días para cumplir con la presente resolución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sin pronunciarse sobre la información requerida en las solicitudes de información. </w:t>
      </w:r>
    </w:p>
    <w:p w:rsidR="0020279D" w:rsidRDefault="0020279D">
      <w:pPr>
        <w:spacing w:line="360" w:lineRule="auto"/>
        <w:ind w:right="-91"/>
        <w:jc w:val="both"/>
        <w:rPr>
          <w:rFonts w:ascii="Palatino Linotype" w:eastAsia="Palatino Linotype" w:hAnsi="Palatino Linotype" w:cs="Palatino Linotype"/>
          <w:color w:val="000000"/>
        </w:rPr>
      </w:pPr>
    </w:p>
    <w:p w:rsidR="0020279D" w:rsidRDefault="004D176E">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 su informe justificado, no cumple con lo establecido por los artículos 4, 12 y 24 primer párrafo Ley de Transparencia y Acceso a la Información Pública del Estado de México y Municipios, conforme a lo siguiente:</w:t>
      </w:r>
    </w:p>
    <w:p w:rsidR="0020279D" w:rsidRDefault="0020279D">
      <w:pPr>
        <w:spacing w:line="360" w:lineRule="auto"/>
        <w:ind w:right="-91"/>
        <w:jc w:val="both"/>
        <w:rPr>
          <w:rFonts w:ascii="Palatino Linotype" w:eastAsia="Palatino Linotype" w:hAnsi="Palatino Linotype" w:cs="Palatino Linotype"/>
        </w:rPr>
      </w:pPr>
    </w:p>
    <w:p w:rsidR="0020279D" w:rsidRDefault="004D176E">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primer lugar, es pertinente señalar como se integra la administración centralizada del Ayuntamiento de Zinacantepec, el cual es en términos de lo señalado por el artículo 21 fracción I del Bando Municipal de Ayuntamiento de Zinacantepec para el año 2022, la siguiente:</w:t>
      </w:r>
    </w:p>
    <w:p w:rsidR="0020279D" w:rsidRDefault="0020279D">
      <w:pPr>
        <w:spacing w:line="360" w:lineRule="auto"/>
        <w:ind w:right="-91"/>
        <w:jc w:val="both"/>
        <w:rPr>
          <w:rFonts w:ascii="Palatino Linotype" w:eastAsia="Palatino Linotype" w:hAnsi="Palatino Linotype" w:cs="Palatino Linotype"/>
        </w:rPr>
      </w:pP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21. El Presidente Municipal para el ejercicio de sus funciones, se auxiliará de las siguientes Unidades Administrativas:</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DEPENDENCIAS ADMINISTRATIVAS: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Tesorería Municipal.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2. Contraloría Municipal</w:t>
      </w:r>
      <w:r>
        <w:rPr>
          <w:rFonts w:ascii="Palatino Linotype" w:eastAsia="Palatino Linotype" w:hAnsi="Palatino Linotype" w:cs="Palatino Linotype"/>
          <w:i/>
          <w:sz w:val="22"/>
          <w:szCs w:val="22"/>
        </w:rPr>
        <w:t xml:space="preserve">.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Dirección de Administración.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Dirección de Obras Públicas.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Dirección de Desarrollo Metropolitano y Movilidad.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Dirección de Desarrollo Territorial y Urbano.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Dirección de Desarrollo Económico.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Dirección de Desarrollo Social.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Dirección de Seguridad Pública y de Tránsito.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Dirección de Servicios Públicos.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 Dirección de Medio Ambiente.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Dirección de Cultura y Turismo.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 Dirección de Educación.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14. Dirección de Gobernación.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15. Dirección de la Mujer.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16. Dirección Jurídica…</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rsidR="0020279D" w:rsidRDefault="0020279D">
      <w:pPr>
        <w:spacing w:line="360" w:lineRule="auto"/>
        <w:ind w:right="-91"/>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Unidades Administrativas, dentro de las que ubicamos a la Contraloría Municipal, la cual se auxiliara de las siguientes unidades administrativas, para el cumplimiento de sus atribuciones, en términos de lo señalado por el artículo 51 del Reglamento Orgánico Municipal del Ayuntamiento de Zinacantepec 2022-2024, que señala:</w:t>
      </w:r>
    </w:p>
    <w:p w:rsidR="0020279D" w:rsidRDefault="0020279D">
      <w:pPr>
        <w:spacing w:line="360" w:lineRule="auto"/>
        <w:jc w:val="both"/>
        <w:rPr>
          <w:rFonts w:ascii="Palatino Linotype" w:eastAsia="Palatino Linotype" w:hAnsi="Palatino Linotype" w:cs="Palatino Linotype"/>
        </w:rPr>
      </w:pP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51. Para el estudio, planeación y despacho de los asuntos de su competencia, la Contraloría Municipal contará con las Unidades Administrativas responsables siguientes, cuyas funciones y atribuciones se determinarán en el Reglamento Interno correspondiente:</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proofErr w:type="spellStart"/>
      <w:r>
        <w:rPr>
          <w:rFonts w:ascii="Palatino Linotype" w:eastAsia="Palatino Linotype" w:hAnsi="Palatino Linotype" w:cs="Palatino Linotype"/>
          <w:i/>
          <w:sz w:val="22"/>
          <w:szCs w:val="22"/>
        </w:rPr>
        <w:t>Subcontraloría</w:t>
      </w:r>
      <w:proofErr w:type="spellEnd"/>
      <w:r>
        <w:rPr>
          <w:rFonts w:ascii="Palatino Linotype" w:eastAsia="Palatino Linotype" w:hAnsi="Palatino Linotype" w:cs="Palatino Linotype"/>
          <w:i/>
          <w:sz w:val="22"/>
          <w:szCs w:val="22"/>
        </w:rPr>
        <w:t xml:space="preserve"> Municipal</w:t>
      </w:r>
    </w:p>
    <w:p w:rsidR="0020279D" w:rsidRDefault="004D176E">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Departamento de fiscalización, control y evaluación interna de la gestión pública</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Departamento de prevención, detección, disuasión, sanción y combate de la corrupción</w:t>
      </w:r>
    </w:p>
    <w:p w:rsidR="0020279D" w:rsidRDefault="004D176E">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 Autoridad Investigadora.</w:t>
      </w:r>
    </w:p>
    <w:p w:rsidR="0020279D" w:rsidRDefault="004D176E">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b) Autoridad Substanciadora.</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Autoridad </w:t>
      </w:r>
      <w:proofErr w:type="spellStart"/>
      <w:r>
        <w:rPr>
          <w:rFonts w:ascii="Palatino Linotype" w:eastAsia="Palatino Linotype" w:hAnsi="Palatino Linotype" w:cs="Palatino Linotype"/>
          <w:i/>
          <w:sz w:val="22"/>
          <w:szCs w:val="22"/>
        </w:rPr>
        <w:t>Resolutora</w:t>
      </w:r>
      <w:proofErr w:type="spellEnd"/>
      <w:r>
        <w:rPr>
          <w:rFonts w:ascii="Palatino Linotype" w:eastAsia="Palatino Linotype" w:hAnsi="Palatino Linotype" w:cs="Palatino Linotype"/>
          <w:i/>
          <w:sz w:val="22"/>
          <w:szCs w:val="22"/>
        </w:rPr>
        <w:t>.” (Sic)</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 lo cual se acredita que si existen dentro de la Administración Pública Municipal  una unidad administrativa denominada autoridad investigadora y autoridad substanciadora.</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respecto al departamento de Departamento de Auditoría Financiera y Administrativa, si bien dentro del Bando Municipal como Reglamento Orgánico Municipal del Ayuntamiento de Zinacantepec para el año 2022, no se advierte como tal dicha unidad administrativa; sin embargo, se advierte la existencia del Departamento de fiscalización, control y evaluación interna de la gestión pública, la cual corresponde realizar las auditorias, control de las administración pública del Ayuntamiento de Zinacantepec, lo anterior en términos de lo señalado por el artículo 50 del  Reglamento Orgánico, referido, que señala al respecto lo siguiente:</w:t>
      </w:r>
    </w:p>
    <w:p w:rsidR="0020279D" w:rsidRDefault="0020279D">
      <w:pPr>
        <w:spacing w:line="360" w:lineRule="auto"/>
        <w:jc w:val="both"/>
        <w:rPr>
          <w:rFonts w:ascii="Palatino Linotype" w:eastAsia="Palatino Linotype" w:hAnsi="Palatino Linotype" w:cs="Palatino Linotype"/>
        </w:rPr>
      </w:pP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50. Además de las previstas en las disposiciones normativas y administrativas en la materia, la Contraloría Municipal tiene las siguientes funciones y atribuciones:</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Planear, programar e implementar los mecanismos de Control Interno y evaluación municipal;</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Emitir los lineamientos generales en materia de control, evaluación, fiscalización y auditoria, así como vigilar su estricto cumplimiento por las Unidades Administrativas del municipio;</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Planear, programar y ejecutar el Programa Anual de Auditorias, así como las supervisiones, inspecciones, revisiones y evaluaciones necesarias para el correcto funcionamiento de la gestión municipal e informar al Presidente Municipal su cumplimiento y resultados…”(Sic)</w:t>
      </w:r>
    </w:p>
    <w:p w:rsidR="0020279D" w:rsidRDefault="0020279D">
      <w:pPr>
        <w:ind w:left="567" w:right="567"/>
        <w:jc w:val="both"/>
        <w:rPr>
          <w:rFonts w:ascii="Palatino Linotype" w:eastAsia="Palatino Linotype" w:hAnsi="Palatino Linotype" w:cs="Palatino Linotype"/>
          <w:i/>
          <w:sz w:val="22"/>
          <w:szCs w:val="22"/>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 importante traer a colación la definición de fiscalización, la cual es definida por el glosario de términos del Gobierno de México, como:</w:t>
      </w:r>
    </w:p>
    <w:p w:rsidR="0020279D" w:rsidRDefault="0020279D">
      <w:pPr>
        <w:spacing w:line="360" w:lineRule="auto"/>
        <w:jc w:val="both"/>
        <w:rPr>
          <w:rFonts w:ascii="Palatino Linotype" w:eastAsia="Palatino Linotype" w:hAnsi="Palatino Linotype" w:cs="Palatino Linotype"/>
          <w:b/>
        </w:rPr>
      </w:pPr>
    </w:p>
    <w:tbl>
      <w:tblPr>
        <w:tblStyle w:val="a4"/>
        <w:tblW w:w="9072" w:type="dxa"/>
        <w:jc w:val="center"/>
        <w:tblInd w:w="0" w:type="dxa"/>
        <w:tblLayout w:type="fixed"/>
        <w:tblLook w:val="0400" w:firstRow="0" w:lastRow="0" w:firstColumn="0" w:lastColumn="0" w:noHBand="0" w:noVBand="1"/>
      </w:tblPr>
      <w:tblGrid>
        <w:gridCol w:w="9072"/>
      </w:tblGrid>
      <w:tr w:rsidR="0020279D">
        <w:trPr>
          <w:jc w:val="center"/>
        </w:trPr>
        <w:tc>
          <w:tcPr>
            <w:tcW w:w="9072" w:type="dxa"/>
            <w:vAlign w:val="center"/>
          </w:tcPr>
          <w:p w:rsidR="0020279D" w:rsidRDefault="004D176E">
            <w:pPr>
              <w:spacing w:before="240" w:after="240"/>
              <w:ind w:left="1134"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“Fiscalización</w:t>
            </w:r>
          </w:p>
        </w:tc>
      </w:tr>
      <w:tr w:rsidR="0020279D">
        <w:trPr>
          <w:jc w:val="center"/>
        </w:trPr>
        <w:tc>
          <w:tcPr>
            <w:tcW w:w="9072" w:type="dxa"/>
            <w:vAlign w:val="center"/>
          </w:tcPr>
          <w:p w:rsidR="0020279D" w:rsidRDefault="004D176E">
            <w:pPr>
              <w:spacing w:before="240" w:after="240"/>
              <w:ind w:left="1134"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 el proceso de revisar, auditar y vigilar a detalle la congruencia entre los objetivos planteados y las metas alcanzadas en materia de contabilidad, finanzas, presupuesto, avances y beneficios económicos, adecuación programática y endeudamiento en cada uno de los entes de la administración pública y los Poderes de la Unión, en cada ejercicio fiscal. Implica controlar las actividades del Estado para confirmar que se ajusten a los principios de legalidad, </w:t>
            </w:r>
            <w:proofErr w:type="spellStart"/>
            <w:r>
              <w:rPr>
                <w:rFonts w:ascii="Palatino Linotype" w:eastAsia="Palatino Linotype" w:hAnsi="Palatino Linotype" w:cs="Palatino Linotype"/>
                <w:i/>
                <w:sz w:val="22"/>
                <w:szCs w:val="22"/>
              </w:rPr>
              <w:t>definitividad</w:t>
            </w:r>
            <w:proofErr w:type="spellEnd"/>
            <w:r>
              <w:rPr>
                <w:rFonts w:ascii="Palatino Linotype" w:eastAsia="Palatino Linotype" w:hAnsi="Palatino Linotype" w:cs="Palatino Linotype"/>
                <w:i/>
                <w:sz w:val="22"/>
                <w:szCs w:val="22"/>
              </w:rPr>
              <w:t>, imparcialidad y confiabilidad.” (Sic)</w:t>
            </w:r>
          </w:p>
        </w:tc>
      </w:tr>
    </w:tbl>
    <w:p w:rsidR="0020279D" w:rsidRDefault="0020279D">
      <w:pPr>
        <w:spacing w:line="360" w:lineRule="auto"/>
        <w:jc w:val="both"/>
        <w:rPr>
          <w:rFonts w:ascii="Palatino Linotype" w:eastAsia="Palatino Linotype" w:hAnsi="Palatino Linotype" w:cs="Palatino Linotype"/>
          <w:b/>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Luego entonces relacionando el nombre del área proporcionado por el particular “Departamento de Auditoría Financiera y Administrativa” y el señalado por el Reglamento Orgánico “Departamento de fiscalización, control y evaluación interna de la gestión pública”, desde el nombre tiene una relación en común la cual consiste que las fiscalización es el proceso de auditar, revisar y vigilar a la administración pública en materia de contabilidad, finanzas, presupuesto, avances y beneficios económicos; de ahí que en términos de lo señalado por los artículos 13 y 181 párrafo cuarto de la Ley de Transparencia y Acceso a la Información Pública del Estado de México y Municipios, y al no ser la parte solicitante un experto en la materia se aplica a su favor la suplencia de la queja, determinado que lo requerido por el particular es lo correspondiente al Departamento de Fiscalización, Control y Evaluación Interna de la gestión pública.</w:t>
      </w:r>
    </w:p>
    <w:p w:rsidR="0020279D" w:rsidRDefault="0020279D">
      <w:pPr>
        <w:spacing w:line="360" w:lineRule="auto"/>
        <w:jc w:val="both"/>
        <w:rPr>
          <w:rFonts w:ascii="Palatino Linotype" w:eastAsia="Palatino Linotype" w:hAnsi="Palatino Linotype" w:cs="Palatino Linotype"/>
        </w:rPr>
      </w:pPr>
    </w:p>
    <w:p w:rsidR="0020279D" w:rsidRDefault="004D176E">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rPr>
        <w:t xml:space="preserve">Determinado lo anterior, </w:t>
      </w:r>
      <w:r>
        <w:rPr>
          <w:rFonts w:ascii="Palatino Linotype" w:eastAsia="Palatino Linotype" w:hAnsi="Palatino Linotype" w:cs="Palatino Linotype"/>
          <w:b/>
        </w:rPr>
        <w:t xml:space="preserve">respecto de la </w:t>
      </w:r>
      <w:r>
        <w:rPr>
          <w:rFonts w:ascii="Palatino Linotype" w:eastAsia="Palatino Linotype" w:hAnsi="Palatino Linotype" w:cs="Palatino Linotype"/>
          <w:b/>
          <w:color w:val="000000"/>
          <w:u w:val="single"/>
        </w:rPr>
        <w:t>entrega-recepción:</w:t>
      </w:r>
    </w:p>
    <w:p w:rsidR="0020279D" w:rsidRDefault="0020279D">
      <w:pPr>
        <w:pBdr>
          <w:top w:val="nil"/>
          <w:left w:val="nil"/>
          <w:bottom w:val="nil"/>
          <w:right w:val="nil"/>
          <w:between w:val="nil"/>
        </w:pBdr>
        <w:tabs>
          <w:tab w:val="left" w:pos="1945"/>
        </w:tabs>
        <w:spacing w:line="360" w:lineRule="auto"/>
        <w:jc w:val="both"/>
        <w:rPr>
          <w:rFonts w:ascii="Palatino Linotype" w:eastAsia="Palatino Linotype" w:hAnsi="Palatino Linotype" w:cs="Palatino Linotype"/>
          <w:b/>
          <w:color w:val="000000"/>
          <w:u w:val="single"/>
        </w:rPr>
      </w:pPr>
    </w:p>
    <w:p w:rsidR="0020279D" w:rsidRDefault="004D176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artículo 9 de Ley Orgánica Municipal del Estado de México, que a la letra indica:</w:t>
      </w:r>
    </w:p>
    <w:p w:rsidR="0020279D" w:rsidRDefault="0020279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2"/>
          <w:szCs w:val="22"/>
        </w:rPr>
      </w:pPr>
    </w:p>
    <w:p w:rsidR="0020279D" w:rsidRDefault="004D176E">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rsidR="0020279D" w:rsidRDefault="004D176E">
      <w:pPr>
        <w:tabs>
          <w:tab w:val="left" w:pos="451"/>
        </w:tabs>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p>
    <w:p w:rsidR="0020279D" w:rsidRDefault="004D176E">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inasistencia de los integrantes del ayuntamiento saliente no será obstáculo para que se dé por instalado el entrante, sin perjuicio de las sanciones que establezcan las disposiciones jurídicas aplicables.</w:t>
      </w:r>
    </w:p>
    <w:p w:rsidR="0020279D" w:rsidRDefault="0020279D">
      <w:pPr>
        <w:ind w:left="567" w:right="616"/>
        <w:jc w:val="both"/>
        <w:rPr>
          <w:rFonts w:ascii="Palatino Linotype" w:eastAsia="Palatino Linotype" w:hAnsi="Palatino Linotype" w:cs="Palatino Linotype"/>
          <w:i/>
          <w:sz w:val="22"/>
          <w:szCs w:val="22"/>
        </w:rPr>
      </w:pPr>
    </w:p>
    <w:p w:rsidR="0020279D" w:rsidRDefault="004D176E">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continuación se procederá a la </w:t>
      </w:r>
      <w:r>
        <w:rPr>
          <w:rFonts w:ascii="Palatino Linotype" w:eastAsia="Palatino Linotype" w:hAnsi="Palatino Linotype" w:cs="Palatino Linotype"/>
          <w:b/>
          <w:i/>
          <w:sz w:val="22"/>
          <w:szCs w:val="22"/>
          <w:u w:val="single"/>
        </w:rPr>
        <w:t>suscripción de las actas y demás documentos relativos a la entrega-recepción de la administración municipal</w:t>
      </w:r>
      <w:r>
        <w:rPr>
          <w:rFonts w:ascii="Palatino Linotype" w:eastAsia="Palatino Linotype" w:hAnsi="Palatino Linotype" w:cs="Palatino Linotype"/>
          <w:i/>
          <w:sz w:val="22"/>
          <w:szCs w:val="22"/>
        </w:rPr>
        <w:t xml:space="preserve">,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rsidR="0020279D" w:rsidRDefault="0020279D">
      <w:pPr>
        <w:ind w:left="567" w:right="616"/>
        <w:jc w:val="both"/>
        <w:rPr>
          <w:rFonts w:ascii="Palatino Linotype" w:eastAsia="Palatino Linotype" w:hAnsi="Palatino Linotype" w:cs="Palatino Linotype"/>
          <w:i/>
          <w:sz w:val="22"/>
          <w:szCs w:val="22"/>
        </w:rPr>
      </w:pPr>
    </w:p>
    <w:p w:rsidR="0020279D" w:rsidRDefault="004D176E">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w:t>
      </w:r>
      <w:r>
        <w:rPr>
          <w:rFonts w:ascii="Palatino Linotype" w:eastAsia="Palatino Linotype" w:hAnsi="Palatino Linotype" w:cs="Palatino Linotype"/>
          <w:i/>
          <w:sz w:val="22"/>
          <w:szCs w:val="22"/>
        </w:rPr>
        <w:lastRenderedPageBreak/>
        <w:t xml:space="preserve">representante de la administración que recibe designado por el Presidente Municipal entrante; sin otra responsabilidad administrativa relacionada con el acto. </w:t>
      </w:r>
    </w:p>
    <w:p w:rsidR="0020279D" w:rsidRDefault="0020279D">
      <w:pPr>
        <w:ind w:left="567" w:right="616"/>
        <w:jc w:val="both"/>
        <w:rPr>
          <w:rFonts w:ascii="Palatino Linotype" w:eastAsia="Palatino Linotype" w:hAnsi="Palatino Linotype" w:cs="Palatino Linotype"/>
          <w:i/>
          <w:sz w:val="22"/>
          <w:szCs w:val="22"/>
        </w:rPr>
      </w:pPr>
    </w:p>
    <w:p w:rsidR="0020279D" w:rsidRDefault="004D17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r>
        <w:rPr>
          <w:rFonts w:ascii="Palatino Linotype" w:eastAsia="Palatino Linotype" w:hAnsi="Palatino Linotype" w:cs="Palatino Linotype"/>
          <w:b/>
          <w:sz w:val="22"/>
          <w:szCs w:val="22"/>
        </w:rPr>
        <w:t>.” (Sic)</w:t>
      </w:r>
    </w:p>
    <w:p w:rsidR="0020279D" w:rsidRDefault="0020279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2"/>
          <w:szCs w:val="22"/>
        </w:rPr>
      </w:pPr>
    </w:p>
    <w:p w:rsidR="0020279D" w:rsidRDefault="004D176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establece que cada tres años los Ayuntamiento del Estado de México, entre ellos el Ayuntamiento Zinacantepec, deberá celebrar suscripción de las actas y demás documentos relativos a la entrega-recepción de la administración municipal, entre el Ayuntamiento saliente y el Ayuntamiento entrante.</w:t>
      </w:r>
    </w:p>
    <w:p w:rsidR="0020279D" w:rsidRDefault="0020279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20279D" w:rsidRDefault="004D176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debe observarse lo establecido por analogía los artículos 3, 4, 10, 11, 15 y 16 del reglamento para la entrega y recepción de las unidades administrativas de la administración pública del Estado de México los cuales se </w:t>
      </w:r>
      <w:r>
        <w:rPr>
          <w:rFonts w:ascii="Palatino Linotype" w:eastAsia="Palatino Linotype" w:hAnsi="Palatino Linotype" w:cs="Palatino Linotype"/>
        </w:rPr>
        <w:t>transcriben</w:t>
      </w:r>
      <w:r>
        <w:rPr>
          <w:rFonts w:ascii="Palatino Linotype" w:eastAsia="Palatino Linotype" w:hAnsi="Palatino Linotype" w:cs="Palatino Linotype"/>
          <w:color w:val="000000"/>
        </w:rPr>
        <w:t xml:space="preserve"> a </w:t>
      </w:r>
      <w:r w:rsidR="00F65F46">
        <w:rPr>
          <w:rFonts w:ascii="Palatino Linotype" w:eastAsia="Palatino Linotype" w:hAnsi="Palatino Linotype" w:cs="Palatino Linotype"/>
          <w:color w:val="000000"/>
        </w:rPr>
        <w:t>continuación:</w:t>
      </w:r>
    </w:p>
    <w:p w:rsidR="0020279D" w:rsidRDefault="0020279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2"/>
          <w:szCs w:val="22"/>
        </w:rPr>
      </w:pPr>
    </w:p>
    <w:p w:rsidR="0020279D" w:rsidRDefault="004D176E">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Entrega y Recepción se realizará cuando un servidor público se separe de su empleo, cargo o comisión, por cualquier motivo, incluyendo licencias, suplencias, encargos o Término del Periodo Constitucional</w:t>
      </w:r>
      <w:r>
        <w:rPr>
          <w:rFonts w:ascii="Palatino Linotype" w:eastAsia="Palatino Linotype" w:hAnsi="Palatino Linotype" w:cs="Palatino Linotype"/>
          <w:b/>
          <w:i/>
          <w:sz w:val="22"/>
          <w:szCs w:val="22"/>
        </w:rPr>
        <w:t xml:space="preserve">.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Entrega y Recepción también deberá de llevarse a cabo en los casos de escisión, eliminación, readscripción, descentralización, desconcentración, extinción, liquidación o fusión, de Unidades Administrativas, Dependencias u Organismos Auxiliares, según corresponda, que impliquen la transferencia total o parcial de Unidades Administrativas o funciones, independientemente de que haya continuidad de servidores públicos.</w:t>
      </w:r>
    </w:p>
    <w:p w:rsidR="0020279D" w:rsidRDefault="004D176E">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Son sujetos obligados a la Entrega y Recepción, los servidores públicos desde el Gobernador del Estado </w:t>
      </w:r>
      <w:r>
        <w:rPr>
          <w:rFonts w:ascii="Palatino Linotype" w:eastAsia="Palatino Linotype" w:hAnsi="Palatino Linotype" w:cs="Palatino Linotype"/>
          <w:b/>
          <w:i/>
          <w:sz w:val="22"/>
          <w:szCs w:val="22"/>
          <w:u w:val="single"/>
        </w:rPr>
        <w:t xml:space="preserve">hasta Jefes de Departamento, </w:t>
      </w:r>
      <w:r>
        <w:rPr>
          <w:rFonts w:ascii="Palatino Linotype" w:eastAsia="Palatino Linotype" w:hAnsi="Palatino Linotype" w:cs="Palatino Linotype"/>
          <w:b/>
          <w:i/>
          <w:sz w:val="22"/>
          <w:szCs w:val="22"/>
        </w:rPr>
        <w:t>así como sus equivalentes en los Organismos Auxiliares.</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titulares, suplentes o encargados de las Unidades Administrativas, desde el Gobernador hasta Jefes de Departamento, así como sus equivalentes en los Organismos Auxiliares, </w:t>
      </w:r>
      <w:r>
        <w:rPr>
          <w:rFonts w:ascii="Palatino Linotype" w:eastAsia="Palatino Linotype" w:hAnsi="Palatino Linotype" w:cs="Palatino Linotype"/>
          <w:i/>
          <w:sz w:val="22"/>
          <w:szCs w:val="22"/>
        </w:rPr>
        <w:lastRenderedPageBreak/>
        <w:t xml:space="preserve">deberán entregar su oficina y las Unidades Administrativas a su cargo, conforme a lo establecido en el Manual. </w:t>
      </w:r>
    </w:p>
    <w:p w:rsidR="0020279D" w:rsidRDefault="004D17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w:t>
      </w:r>
      <w:r>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b/>
          <w:i/>
          <w:sz w:val="22"/>
          <w:szCs w:val="22"/>
          <w:u w:val="single"/>
        </w:rPr>
        <w:t>Entrega y Recepción deberá documentarse en un acta administrativa y sus anexos, en la que intervendrán los sujetos obligados, los testigos correspondientes, el representante del Órgano de Control Interno y, a falta de éste, el de la Contraloría.</w:t>
      </w:r>
      <w:r>
        <w:rPr>
          <w:rFonts w:ascii="Palatino Linotype" w:eastAsia="Palatino Linotype" w:hAnsi="Palatino Linotype" w:cs="Palatino Linotype"/>
          <w:i/>
          <w:sz w:val="22"/>
          <w:szCs w:val="22"/>
        </w:rPr>
        <w:t xml:space="preserve">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acta se firmará de manera autógrafa dentro de los cinco días hábiles siguientes, al día en que se presentó el supuesto conforme al artículo 3 del presente Reglamento.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anexos del acta serán firmados por quienes los elaboren y por el servidor público que entregue la Unidad Administrativa correspondiente.</w:t>
      </w:r>
    </w:p>
    <w:p w:rsidR="0020279D" w:rsidRDefault="004D176E">
      <w:pPr>
        <w:ind w:left="567" w:right="56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Artículo 11. El acta y sus anexos se elaborarán en original y dos copias; el original quedará bajo resguardo del servidor público que recibe; una copia será para quien entrega; y otra para el Órgano de Control Interno, y a falta de éste a la Contraloría.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el Órgano de Control Interno o la Contraloría no hubieren intervenido, la copia respectiva le será enviada por el servidor público que recibe, dentro de los cinco días hábiles siguientes al acto de Entrega y Recepción.</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15</w:t>
      </w:r>
      <w:r>
        <w:rPr>
          <w:rFonts w:ascii="Palatino Linotype" w:eastAsia="Palatino Linotype" w:hAnsi="Palatino Linotype" w:cs="Palatino Linotype"/>
          <w:i/>
          <w:sz w:val="22"/>
          <w:szCs w:val="22"/>
        </w:rPr>
        <w:t xml:space="preserve">. El servidor público que recibe podrá solicitar por escrito aclaraciones o precisiones a quien le entregó, dentro de los treinta días hábiles siguientes al de la firma del acta. El servidor público que entregó tendrá la obligación de dar respuesta a las mismas en un plazo igual, contado a partir del requerimiento.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servidor público que recibe debe proporcionar y permitir el acceso al servidor público que entregó, a los archivos que estuvieron a su cargo, cuando se le requiera alguna aclaración o precisión sobre el contenido del acta, informes, anexos o demás Documentos de la Entrega y Recepción.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 dispuesto en este artículo, es sin perjuicio de la responsabilidad administrativa en que pudieron haber incurrido los servidores públicos.</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w:t>
      </w:r>
      <w:r>
        <w:rPr>
          <w:rFonts w:ascii="Palatino Linotype" w:eastAsia="Palatino Linotype" w:hAnsi="Palatino Linotype" w:cs="Palatino Linotype"/>
          <w:i/>
          <w:sz w:val="22"/>
          <w:szCs w:val="22"/>
        </w:rPr>
        <w:t xml:space="preserve"> El acta de Entrega y Recepción, y sus anexos, deberán elaborarse utilizando los criterios y formatos establecidos en el Manual y en el Sistema, en los cuales se requerirán los Documentos vinculados con la actuación de la Unidad Administrativa que corresponda, cuando menos, a los apartados siguientes:</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Marco Jurídico: Relación de leyes, reglamentos, decretos, acuerdos y demás disposiciones vigentes.</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Planeación: Plan de Desarrollo del Estado de México, programas sectoriales, regionales, especiales, y anual de metas por proyecto y unidad ejecutora.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Derechos y Obligaciones: Relación de instrumentos jurídicos que generen derechos u obligaciones que deba cumplir o exigir la Unidad Administrativa, como contratos, convenios, acuerdos, y anexos, suscritos por los Titulares del Ejecutivo Estatal, de las Dependencias, Organismos Auxiliares o de las Unidades Administrativas, con la federación, entidades federativas, municipios, sindicatos o sectores social o privado; concesiones; fideicomisos; condiciones generales de trabajo; seguros; fianzas; procesos jurisdiccionales, entre otros.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Organización: Reglamento Interior; estructura orgánica autorizada; manuales generales de organización, de procedimientos, y de trámites y servicios.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Recursos Humanos: Plantilla de personal actualizada y, en su caso, la relación de personal contratado por honorarios asimilables al salario, por tiempo u obra determinada, comisionado, por lista de raya; y tabuladores de sueldos.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Recursos Materiales: Inventarios de bienes muebles, inmuebles, semovientes, bienes incautados y existencias en almacenes; resguardo de bienes bajo custodia del titular. También se incluyen los sistemas de información, software, adquisiciones pendientes y en proceso; así como el programa anual de adquisiciones.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Recursos Presupuestales y Financieros: Documentos relativos al presupuesto autorizado, ejercido, comprometido, disponible y metas relacionadas; ingresos estimados y reales; recursos federales; estados financieros; cuenta pública; deuda pública; cartera vencida; cuentas bancarias y de inversión; fondos; valores en custodia; contenido de cajas fuertes y listado de pagos pendientes, corte de formas valoradas, conciliaciones bancarias, arqueos de caja, entre otros.</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Obra Pública: Programa anual; relación de obra pública y servicios relacionados con la misma, por fuente de recursos, y documentos de adjudicación.</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Archivos: Relación de documentos no convencionales, históricos, de trámite, de concentración, </w:t>
      </w:r>
      <w:proofErr w:type="spellStart"/>
      <w:r>
        <w:rPr>
          <w:rFonts w:ascii="Palatino Linotype" w:eastAsia="Palatino Linotype" w:hAnsi="Palatino Linotype" w:cs="Palatino Linotype"/>
          <w:i/>
          <w:sz w:val="22"/>
          <w:szCs w:val="22"/>
        </w:rPr>
        <w:t>biblio-hemerográficos</w:t>
      </w:r>
      <w:proofErr w:type="spellEnd"/>
      <w:r>
        <w:rPr>
          <w:rFonts w:ascii="Palatino Linotype" w:eastAsia="Palatino Linotype" w:hAnsi="Palatino Linotype" w:cs="Palatino Linotype"/>
          <w:i/>
          <w:sz w:val="22"/>
          <w:szCs w:val="22"/>
        </w:rPr>
        <w:t xml:space="preserve">, así como el listado de información reservada y confidencial.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Control y Fiscalización: Relación de observaciones o salvedades en proceso de atención, determinadas por las autoridades federales o estatales competentes, y por los auditores externos; así como de procedimientos administrativos de responsabilidades.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Informe de Gestión: Reportes sobre el cumplimiento de obligaciones derivadas de los instrumentos jurídicos referidos en el apartado de derechos y obligaciones; sobre el avance del presupuesto, programas y proyectos a su cargo; y uno ejecutivo que describa el estado en que se recibió y en el que se entrega la Unidad Administrativa.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Asimismo, los resultados alcanzados; la relación de compromisos y actividades prioritarios dentro de los noventa días naturales siguientes, a cargo de la Unidad Administrativa, así </w:t>
      </w:r>
      <w:r>
        <w:rPr>
          <w:rFonts w:ascii="Palatino Linotype" w:eastAsia="Palatino Linotype" w:hAnsi="Palatino Linotype" w:cs="Palatino Linotype"/>
          <w:i/>
          <w:sz w:val="22"/>
          <w:szCs w:val="22"/>
        </w:rPr>
        <w:lastRenderedPageBreak/>
        <w:t xml:space="preserve">como de aquellas que dependan de ésta; y, en su caso, las recomendaciones que se consideren pertinentes.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materia de transparencia las solicitudes de información en proceso de atención y, en su caso, los recursos de revisión pendientes de resolver.</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servidor público que entrega, deberá presentar los Certificados de No Adeudo expedidos por la Secretaría, tratándose de Dependencias; y por el área competente en el caso de Organismos Auxiliares.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Generales: Los bienes muebles que se encuentren bajo custodia del servidor público que no cuenten con el respectivo resguardo.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También se deberán entregar, en su caso, credenciales, gafetes, claves de acceso, combinaciones de cajas fuertes y llaves, entre otros.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servidor público que entrega debe llenar los formatos e incorporar los Documentos de acuerdo a los apartados que le resulten aplicables.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Además, debe manifestar en el acta que conoce su contenido y el de sus anexos; y, cuando corresponda adjuntará copia del acuse de recibo de su renuncia. </w:t>
      </w:r>
    </w:p>
    <w:p w:rsidR="0020279D" w:rsidRDefault="004D17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documentos publicados en la página oficial del Gobierno del Estado de México, podrán entregarse señalando su dirección electrónica, siempre y cuando no se contravenga lo dispuesto en el Manual.”</w:t>
      </w:r>
    </w:p>
    <w:p w:rsidR="0020279D" w:rsidRDefault="0020279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20279D" w:rsidRDefault="004D176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orden de ideas los lineamientos que regulan la entrega a recepción de la Administración Pública Municipal del Estado de México, prevé en su artículo 7 fracción I, así como en los artículos 16, 29 y 37 lo siguiente: </w:t>
      </w:r>
    </w:p>
    <w:p w:rsidR="0020279D" w:rsidRDefault="0020279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7</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Son sujetos a entrega-recepción:</w:t>
      </w:r>
    </w:p>
    <w:p w:rsidR="0020279D" w:rsidRDefault="004D176E">
      <w:pPr>
        <w:ind w:left="567" w:right="56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1. En los municipios: </w:t>
      </w:r>
    </w:p>
    <w:p w:rsidR="0020279D" w:rsidRDefault="004D17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 Presidente</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Síndico(s)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Regidores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Secretario del ayuntamiento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Tesorero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 Director de administración o su equivalente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g) Director de obras públicas o su equivalente </w:t>
      </w:r>
    </w:p>
    <w:p w:rsidR="0020279D" w:rsidRDefault="004D176E">
      <w:pPr>
        <w:ind w:left="567" w:right="56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h) Titular del órgano de control interno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Titular de la unidad de información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j) Titulares de áreas a nivel dirección que se encuentren determinadas en la entidad.</w:t>
      </w:r>
    </w:p>
    <w:p w:rsidR="0020279D" w:rsidRDefault="0020279D">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w:t>
      </w:r>
      <w:r>
        <w:rPr>
          <w:rFonts w:ascii="Palatino Linotype" w:eastAsia="Palatino Linotype" w:hAnsi="Palatino Linotype" w:cs="Palatino Linotype"/>
          <w:i/>
          <w:sz w:val="22"/>
          <w:szCs w:val="22"/>
        </w:rPr>
        <w:t>. El acto de entrega-recepción será público, con excepción del que a consideración del Órgano Superior, convenga que sea privado; éste se llevará a cabo en las oficinas de los integrantes del ayuntamiento; de los titulares de las dependencias y entidades de la administración pública municipal.</w:t>
      </w:r>
    </w:p>
    <w:p w:rsidR="0020279D" w:rsidRDefault="0020279D">
      <w:pPr>
        <w:ind w:left="567" w:right="567"/>
        <w:jc w:val="both"/>
        <w:rPr>
          <w:rFonts w:ascii="Palatino Linotype" w:eastAsia="Palatino Linotype" w:hAnsi="Palatino Linotype" w:cs="Palatino Linotype"/>
          <w:i/>
          <w:sz w:val="22"/>
          <w:szCs w:val="22"/>
        </w:rPr>
      </w:pP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29</w:t>
      </w:r>
      <w:r>
        <w:rPr>
          <w:rFonts w:ascii="Palatino Linotype" w:eastAsia="Palatino Linotype" w:hAnsi="Palatino Linotype" w:cs="Palatino Linotype"/>
          <w:i/>
          <w:sz w:val="22"/>
          <w:szCs w:val="22"/>
        </w:rPr>
        <w:t xml:space="preserve">. El acta y la información derivada del acto de entrega-recepción se deberán generar obligatoriamente en el sistema implementado para tal efecto.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acto intervendrán: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El servidor público entrante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El servidor público saliente o servidor público que presenta la información para la entrega-recepción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El testigo del servidor público entrante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El testigo del servidor público saliente o testigo del servidor público que presenta la información para la entrega-recepción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 El titular del órgano de control interno o el síndico en su caso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 El representante del Órgano Superior, cuando corresponda.</w:t>
      </w:r>
    </w:p>
    <w:p w:rsidR="0020279D" w:rsidRDefault="0020279D">
      <w:pPr>
        <w:ind w:left="567" w:right="567"/>
        <w:jc w:val="both"/>
        <w:rPr>
          <w:rFonts w:ascii="Palatino Linotype" w:eastAsia="Palatino Linotype" w:hAnsi="Palatino Linotype" w:cs="Palatino Linotype"/>
          <w:i/>
          <w:sz w:val="22"/>
          <w:szCs w:val="22"/>
        </w:rPr>
      </w:pP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37</w:t>
      </w:r>
      <w:r>
        <w:rPr>
          <w:rFonts w:ascii="Palatino Linotype" w:eastAsia="Palatino Linotype" w:hAnsi="Palatino Linotype" w:cs="Palatino Linotype"/>
          <w:i/>
          <w:sz w:val="22"/>
          <w:szCs w:val="22"/>
        </w:rPr>
        <w:t>. El acta original de la entrega-recepción y el paquete generado por el sistema se distribuirán, según el caso de la manera siguiente:</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 </w:t>
      </w:r>
      <w:r>
        <w:rPr>
          <w:rFonts w:ascii="Palatino Linotype" w:eastAsia="Palatino Linotype" w:hAnsi="Palatino Linotype" w:cs="Palatino Linotype"/>
          <w:b/>
          <w:i/>
          <w:sz w:val="22"/>
          <w:szCs w:val="22"/>
        </w:rPr>
        <w:t>Al servidor público entrante:</w:t>
      </w:r>
      <w:r>
        <w:rPr>
          <w:rFonts w:ascii="Palatino Linotype" w:eastAsia="Palatino Linotype" w:hAnsi="Palatino Linotype" w:cs="Palatino Linotype"/>
          <w:i/>
          <w:sz w:val="22"/>
          <w:szCs w:val="22"/>
        </w:rPr>
        <w:t xml:space="preserve"> Acta original y el paquete generado por el sistema en disco versátil digital (DVD) o disco compacto (CD).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w:t>
      </w:r>
      <w:r>
        <w:rPr>
          <w:rFonts w:ascii="Palatino Linotype" w:eastAsia="Palatino Linotype" w:hAnsi="Palatino Linotype" w:cs="Palatino Linotype"/>
          <w:b/>
          <w:i/>
          <w:sz w:val="22"/>
          <w:szCs w:val="22"/>
        </w:rPr>
        <w:t>Al servidor público saliente o servidor público que presenta la información para la entrega-recepción:</w:t>
      </w:r>
      <w:r>
        <w:rPr>
          <w:rFonts w:ascii="Palatino Linotype" w:eastAsia="Palatino Linotype" w:hAnsi="Palatino Linotype" w:cs="Palatino Linotype"/>
          <w:i/>
          <w:sz w:val="22"/>
          <w:szCs w:val="22"/>
        </w:rPr>
        <w:t xml:space="preserve"> Acta original y el paquete generado por el sistema en disco versátil digital (DVD) o disco compacto (CD). </w:t>
      </w:r>
    </w:p>
    <w:p w:rsidR="0020279D" w:rsidRDefault="004D176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w:t>
      </w:r>
      <w:r>
        <w:rPr>
          <w:rFonts w:ascii="Palatino Linotype" w:eastAsia="Palatino Linotype" w:hAnsi="Palatino Linotype" w:cs="Palatino Linotype"/>
          <w:b/>
          <w:i/>
          <w:sz w:val="22"/>
          <w:szCs w:val="22"/>
        </w:rPr>
        <w:t>Al titular del órgano de control interno o al síndico en su caso:</w:t>
      </w:r>
      <w:r>
        <w:rPr>
          <w:rFonts w:ascii="Palatino Linotype" w:eastAsia="Palatino Linotype" w:hAnsi="Palatino Linotype" w:cs="Palatino Linotype"/>
          <w:i/>
          <w:sz w:val="22"/>
          <w:szCs w:val="22"/>
        </w:rPr>
        <w:t xml:space="preserve"> Acta original y el paquete generado por el sistema en disco versátil digital (DVD) o disco compacto (CD). </w:t>
      </w:r>
    </w:p>
    <w:p w:rsidR="0020279D" w:rsidRDefault="004D176E">
      <w:pPr>
        <w:ind w:left="567" w:right="567"/>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d</w:t>
      </w:r>
      <w:proofErr w:type="gramEnd"/>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Al Órgano Superior:</w:t>
      </w:r>
      <w:r>
        <w:rPr>
          <w:rFonts w:ascii="Palatino Linotype" w:eastAsia="Palatino Linotype" w:hAnsi="Palatino Linotype" w:cs="Palatino Linotype"/>
          <w:i/>
          <w:sz w:val="22"/>
          <w:szCs w:val="22"/>
        </w:rPr>
        <w:t xml:space="preserve"> Acta original y el paquete generado por el sistema en disco versátil digital (DVD) o disco compacto (CD</w:t>
      </w:r>
      <w:r>
        <w:rPr>
          <w:rFonts w:ascii="Palatino Linotype" w:eastAsia="Palatino Linotype" w:hAnsi="Palatino Linotype" w:cs="Palatino Linotype"/>
          <w:sz w:val="22"/>
          <w:szCs w:val="22"/>
        </w:rPr>
        <w:t xml:space="preserve">).” </w:t>
      </w:r>
    </w:p>
    <w:p w:rsidR="0020279D" w:rsidRDefault="0020279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20279D" w:rsidRDefault="004D176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donde se establece que  entre los sujetos a entrega-recepción se encuentran los Jefes de Departamento, asimismo, en los Lineamientos que norman la entrega recepción de los ayuntamientos del Estado de México en el Anexo Uno de las Disposiciones Generales en donde se tiene por acta de entrega-recepción al instrumento jurídico que </w:t>
      </w:r>
      <w:r>
        <w:rPr>
          <w:rFonts w:ascii="Palatino Linotype" w:eastAsia="Palatino Linotype" w:hAnsi="Palatino Linotype" w:cs="Palatino Linotype"/>
          <w:color w:val="000000"/>
        </w:rPr>
        <w:lastRenderedPageBreak/>
        <w:t>formaliza el acto de entrega-recepción, en el que se establecen los datos de los participantes, la relación de la información y el soporte documental de la gestión municipal, observaciones, firmas y anexos, como lo establece su artículo 18 que indica:</w:t>
      </w:r>
    </w:p>
    <w:p w:rsidR="0020279D" w:rsidRDefault="0020279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20279D" w:rsidRDefault="004D176E">
      <w:pPr>
        <w:pBdr>
          <w:top w:val="nil"/>
          <w:left w:val="nil"/>
          <w:bottom w:val="nil"/>
          <w:right w:val="nil"/>
          <w:between w:val="nil"/>
        </w:pBdr>
        <w:ind w:left="567"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18.</w:t>
      </w:r>
      <w:r>
        <w:rPr>
          <w:rFonts w:ascii="Palatino Linotype" w:eastAsia="Palatino Linotype" w:hAnsi="Palatino Linotype" w:cs="Palatino Linotype"/>
          <w:i/>
          <w:color w:val="000000"/>
          <w:sz w:val="22"/>
          <w:szCs w:val="22"/>
        </w:rPr>
        <w:t xml:space="preserve"> La veracidad, oportunidad, confiabilidad, integración y elaboración del acta de entrega-recepción, formatos y anexos serán responsabilidad de los servidores públicos salientes. Asimismo, la información contenida en el apartado de </w:t>
      </w:r>
      <w:r>
        <w:rPr>
          <w:rFonts w:ascii="Palatino Linotype" w:eastAsia="Palatino Linotype" w:hAnsi="Palatino Linotype" w:cs="Palatino Linotype"/>
          <w:b/>
          <w:i/>
          <w:color w:val="000000"/>
          <w:sz w:val="22"/>
          <w:szCs w:val="22"/>
        </w:rPr>
        <w:t>observaciones</w:t>
      </w:r>
      <w:r>
        <w:rPr>
          <w:rFonts w:ascii="Palatino Linotype" w:eastAsia="Palatino Linotype" w:hAnsi="Palatino Linotype" w:cs="Palatino Linotype"/>
          <w:i/>
          <w:color w:val="000000"/>
          <w:sz w:val="22"/>
          <w:szCs w:val="22"/>
        </w:rPr>
        <w:t xml:space="preserve"> del acta de entrega-recepción será responsabilidad de los servidores públicos que las emitan.”</w:t>
      </w:r>
      <w:r w:rsidR="00F65F46">
        <w:rPr>
          <w:rFonts w:ascii="Palatino Linotype" w:eastAsia="Palatino Linotype" w:hAnsi="Palatino Linotype" w:cs="Palatino Linotype"/>
          <w:i/>
          <w:color w:val="000000"/>
          <w:sz w:val="22"/>
          <w:szCs w:val="22"/>
        </w:rPr>
        <w:t>(Sic)</w:t>
      </w:r>
    </w:p>
    <w:p w:rsidR="0020279D" w:rsidRDefault="0020279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FF0000"/>
          <w:u w:val="singl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no pasa desapercibido para este Instituto que los documentos que den cuenta de lo solicitado, pudieran contener datos o información clasificada, tales como el nombre y firma de testigos particulares, domicilio particular y para recibir notificaciones del servidor público saliente, la Clave Única de Registro de Población, el Registro Federal de Contribuyentes, la Clave Bidimensional o QR, la clave o registro de elector, los cuales se mencionan de manera enunciativa, más no limitativa;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tal situación,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 las constancias que obran el Sistema de Acceso a la Información Pública, se advierte que la única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se pronunció fue el Titular de la Unidad de Transparencia, lo que transgredió lo señalado por el artículo </w:t>
      </w:r>
      <w:r>
        <w:rPr>
          <w:rFonts w:ascii="Palatino Linotype" w:eastAsia="Palatino Linotype" w:hAnsi="Palatino Linotype" w:cs="Palatino Linotype"/>
          <w:color w:val="222222"/>
        </w:rPr>
        <w:t xml:space="preserve">162 de la Ley </w:t>
      </w:r>
      <w:r>
        <w:rPr>
          <w:rFonts w:ascii="Palatino Linotype" w:eastAsia="Palatino Linotype" w:hAnsi="Palatino Linotype" w:cs="Palatino Linotype"/>
        </w:rPr>
        <w:t>de Transparencia y Acceso a la Información Pública del Estado de México y Municipios, el cual menciona lo siguiente:</w:t>
      </w:r>
    </w:p>
    <w:p w:rsidR="0020279D" w:rsidRDefault="0020279D">
      <w:pPr>
        <w:spacing w:line="360" w:lineRule="auto"/>
        <w:jc w:val="both"/>
        <w:rPr>
          <w:rFonts w:ascii="Palatino Linotype" w:eastAsia="Palatino Linotype" w:hAnsi="Palatino Linotype" w:cs="Palatino Linotype"/>
        </w:rPr>
      </w:pPr>
    </w:p>
    <w:p w:rsidR="0020279D" w:rsidRDefault="004D176E">
      <w:pPr>
        <w:shd w:val="clear" w:color="auto" w:fill="FFFFFF"/>
        <w:spacing w:after="240" w:line="276" w:lineRule="auto"/>
        <w:ind w:left="1000" w:right="104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“Artículo 162.</w:t>
      </w:r>
      <w:r>
        <w:rPr>
          <w:rFonts w:ascii="Palatino Linotype" w:eastAsia="Palatino Linotype" w:hAnsi="Palatino Linotype" w:cs="Palatino Linotype"/>
          <w:i/>
          <w:color w:val="222222"/>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seguir el procedimiento indicado con la finalidad de que turne las solicitudes de información al área competente, en este caso, de todo establecido en el presente considerando, de manera enunciativa más no limitada, la Contraloría Municipal del Ayuntamiento de Zinacantepec.  </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el acta donde conste la Entrega-Recepción de la unidad administrativas denominadas Autoridad Investigadora, </w:t>
      </w:r>
      <w:r>
        <w:rPr>
          <w:rFonts w:ascii="Palatino Linotype" w:eastAsia="Palatino Linotype" w:hAnsi="Palatino Linotype" w:cs="Palatino Linotype"/>
        </w:rPr>
        <w:lastRenderedPageBreak/>
        <w:t xml:space="preserve">Autoridad Substanciadora y del Departamento de Fiscalización, Control y Evaluación Interna de la Gestión Pública de la Contraloría Municipal con motivo del cambio de administración realizado en el mes de enero de dos mil veintidós, de ser procedente en versión pública conforme a lo señalado por el considerando quinto del presente fallo. </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ha quedado de manifiesto, el </w:t>
      </w:r>
      <w:r>
        <w:rPr>
          <w:rFonts w:ascii="Palatino Linotype" w:eastAsia="Palatino Linotype" w:hAnsi="Palatino Linotype" w:cs="Palatino Linotype"/>
          <w:b/>
        </w:rPr>
        <w:t>SUJETO OBLIGADO</w:t>
      </w:r>
      <w:r>
        <w:rPr>
          <w:rFonts w:ascii="Palatino Linotype" w:eastAsia="Palatino Linotype" w:hAnsi="Palatino Linotype" w:cs="Palatino Linotype"/>
        </w:rPr>
        <w:t>, omitió proporcionar las respuestas a las solicitudes de acceso a la información pública 01433/ZINACANT/IP/2022, 01432/ZINACANT/IP/2022 y 01431/ZINACANT/IP/2022, en el término contemplado en el artículo 163 de la ley de la materia, razón por la que,  en términos del artículo 190 de la Ley de Transparencia y Acceso a la Información Pública del Estado de México y Municipios, se ordena dar vista a la Secretaría Técnica del Pleno de este Instituto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w:t>
      </w:r>
      <w:r>
        <w:rPr>
          <w:rFonts w:ascii="Palatino Linotype" w:eastAsia="Palatino Linotype" w:hAnsi="Palatino Linotype" w:cs="Palatino Linotype"/>
        </w:rPr>
        <w:lastRenderedPageBreak/>
        <w:t>documentos que vaya entregar para dar cumplimiento a esta resolución, a fin de satisfacer el derecho de acceso a la información pública del RECURRENTE sin menoscabar el derecho a la protección de los datos personales de terceros.</w:t>
      </w:r>
    </w:p>
    <w:p w:rsidR="0020279D" w:rsidRDefault="0020279D">
      <w:pPr>
        <w:spacing w:line="360" w:lineRule="auto"/>
        <w:jc w:val="both"/>
        <w:rPr>
          <w:rFonts w:ascii="Palatino Linotype" w:eastAsia="Palatino Linotype" w:hAnsi="Palatino Linotype" w:cs="Palatino Linotype"/>
        </w:rPr>
      </w:pPr>
    </w:p>
    <w:p w:rsidR="0020279D" w:rsidRDefault="004D176E">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20279D" w:rsidRDefault="004D176E">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20279D" w:rsidRDefault="0020279D">
      <w:pPr>
        <w:ind w:left="993" w:right="1041"/>
        <w:jc w:val="both"/>
        <w:rPr>
          <w:rFonts w:ascii="Palatino Linotype" w:eastAsia="Palatino Linotype" w:hAnsi="Palatino Linotype" w:cs="Palatino Linotype"/>
          <w:i/>
          <w:sz w:val="22"/>
          <w:szCs w:val="22"/>
        </w:rPr>
      </w:pP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0279D" w:rsidRDefault="0020279D">
      <w:pPr>
        <w:ind w:left="993" w:right="1041"/>
        <w:jc w:val="both"/>
        <w:rPr>
          <w:rFonts w:ascii="Palatino Linotype" w:eastAsia="Palatino Linotype" w:hAnsi="Palatino Linotype" w:cs="Palatino Linotype"/>
          <w:i/>
          <w:sz w:val="22"/>
          <w:szCs w:val="22"/>
        </w:rPr>
      </w:pPr>
    </w:p>
    <w:p w:rsidR="0020279D" w:rsidRDefault="004D176E">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w:t>
      </w:r>
      <w:r>
        <w:rPr>
          <w:rFonts w:ascii="Palatino Linotype" w:eastAsia="Palatino Linotype" w:hAnsi="Palatino Linotype" w:cs="Palatino Linotype"/>
          <w:i/>
          <w:sz w:val="22"/>
          <w:szCs w:val="22"/>
        </w:rPr>
        <w:lastRenderedPageBreak/>
        <w:t>pública en la que se testen las partes o secciones clasificadas, indicando su contenido de manera genérica y fundando y motivando su clasificación.”</w:t>
      </w:r>
    </w:p>
    <w:p w:rsidR="0020279D" w:rsidRDefault="0020279D">
      <w:pPr>
        <w:ind w:left="993" w:right="1041"/>
        <w:jc w:val="both"/>
        <w:rPr>
          <w:rFonts w:ascii="Palatino Linotype" w:eastAsia="Palatino Linotype" w:hAnsi="Palatino Linotype" w:cs="Palatino Linotype"/>
          <w:b/>
          <w:i/>
          <w:sz w:val="22"/>
          <w:szCs w:val="22"/>
        </w:rPr>
      </w:pP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20279D" w:rsidRDefault="004D176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20279D" w:rsidRDefault="0020279D">
      <w:pPr>
        <w:ind w:left="993" w:right="1041"/>
        <w:jc w:val="both"/>
        <w:rPr>
          <w:rFonts w:ascii="Palatino Linotype" w:eastAsia="Palatino Linotype" w:hAnsi="Palatino Linotype" w:cs="Palatino Linotype"/>
          <w:i/>
          <w:sz w:val="22"/>
          <w:szCs w:val="22"/>
        </w:rPr>
      </w:pPr>
    </w:p>
    <w:p w:rsidR="0020279D" w:rsidRDefault="004D176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20279D" w:rsidRDefault="0020279D">
      <w:pPr>
        <w:spacing w:line="360" w:lineRule="auto"/>
        <w:ind w:right="51"/>
        <w:jc w:val="both"/>
        <w:rPr>
          <w:rFonts w:ascii="Palatino Linotype" w:eastAsia="Palatino Linotype" w:hAnsi="Palatino Linotype" w:cs="Palatino Linotype"/>
        </w:rPr>
      </w:pPr>
    </w:p>
    <w:p w:rsidR="0020279D" w:rsidRDefault="004D176E">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Pr>
          <w:rFonts w:ascii="Palatino Linotype" w:eastAsia="Palatino Linotype" w:hAnsi="Palatino Linotype" w:cs="Palatino Linotype"/>
        </w:rPr>
        <w:lastRenderedPageBreak/>
        <w:t>intransferibles e indelegables y los Sujetos Obligados no deberán hacer entrega de los mismos a personas ajenas a su titular.</w:t>
      </w:r>
    </w:p>
    <w:p w:rsidR="0020279D" w:rsidRDefault="0020279D">
      <w:pPr>
        <w:spacing w:line="360" w:lineRule="auto"/>
        <w:ind w:right="51"/>
        <w:jc w:val="both"/>
        <w:rPr>
          <w:rFonts w:ascii="Palatino Linotype" w:eastAsia="Palatino Linotype" w:hAnsi="Palatino Linotype" w:cs="Palatino Linotype"/>
        </w:rPr>
      </w:pPr>
    </w:p>
    <w:p w:rsidR="0020279D" w:rsidRDefault="004D176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20279D" w:rsidRDefault="0020279D">
      <w:pPr>
        <w:spacing w:line="360" w:lineRule="auto"/>
        <w:ind w:right="51"/>
        <w:jc w:val="both"/>
        <w:rPr>
          <w:rFonts w:ascii="Palatino Linotype" w:eastAsia="Palatino Linotype" w:hAnsi="Palatino Linotype" w:cs="Palatino Linotype"/>
        </w:rPr>
      </w:pPr>
    </w:p>
    <w:p w:rsidR="0020279D" w:rsidRDefault="004D176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20279D" w:rsidRDefault="004D176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20279D" w:rsidRDefault="004D176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20279D" w:rsidRDefault="004D176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20279D" w:rsidRDefault="004D176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20279D" w:rsidRDefault="004D176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rsidR="0020279D" w:rsidRDefault="0020279D">
      <w:pPr>
        <w:ind w:left="992" w:right="1043"/>
        <w:jc w:val="both"/>
        <w:rPr>
          <w:rFonts w:ascii="Palatino Linotype" w:eastAsia="Palatino Linotype" w:hAnsi="Palatino Linotype" w:cs="Palatino Linotype"/>
          <w:i/>
          <w:sz w:val="22"/>
          <w:szCs w:val="22"/>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w:t>
      </w:r>
      <w:r>
        <w:rPr>
          <w:rFonts w:ascii="Palatino Linotype" w:eastAsia="Palatino Linotype" w:hAnsi="Palatino Linotype" w:cs="Palatino Linotype"/>
        </w:rPr>
        <w:lastRenderedPageBreak/>
        <w:t>Comité de Transparencia de así resultar procedente el proyecto de clasificación de la información y finalmente sea éste último quien apruebe, modifique o revoque la clasificación de la información solicitada.</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20279D" w:rsidRDefault="004D176E">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20279D" w:rsidRDefault="0020279D">
      <w:pPr>
        <w:spacing w:line="360" w:lineRule="auto"/>
        <w:ind w:right="51"/>
        <w:jc w:val="both"/>
        <w:rPr>
          <w:rFonts w:ascii="Palatino Linotype" w:eastAsia="Palatino Linotype" w:hAnsi="Palatino Linotype" w:cs="Palatino Linotype"/>
        </w:rPr>
      </w:pPr>
    </w:p>
    <w:p w:rsidR="0020279D" w:rsidRDefault="004D176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w:t>
      </w:r>
      <w:r>
        <w:rPr>
          <w:rFonts w:ascii="Palatino Linotype" w:eastAsia="Palatino Linotype" w:hAnsi="Palatino Linotype" w:cs="Palatino Linotype"/>
        </w:rPr>
        <w:lastRenderedPageBreak/>
        <w:t xml:space="preserve">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20279D" w:rsidRDefault="0020279D">
      <w:pPr>
        <w:ind w:left="709" w:right="709"/>
        <w:jc w:val="both"/>
        <w:rPr>
          <w:rFonts w:ascii="Palatino Linotype" w:eastAsia="Palatino Linotype" w:hAnsi="Palatino Linotype" w:cs="Palatino Linotype"/>
          <w:b/>
          <w:i/>
          <w:sz w:val="22"/>
          <w:szCs w:val="22"/>
        </w:rPr>
      </w:pPr>
    </w:p>
    <w:p w:rsidR="0020279D" w:rsidRDefault="004D176E">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w:t>
      </w:r>
      <w:r>
        <w:rPr>
          <w:rFonts w:ascii="Palatino Linotype" w:eastAsia="Palatino Linotype" w:hAnsi="Palatino Linotype" w:cs="Palatino Linotype"/>
          <w:i/>
          <w:sz w:val="22"/>
          <w:szCs w:val="22"/>
        </w:rPr>
        <w:lastRenderedPageBreak/>
        <w:t>acceso o al momento en que generen versiones públicas para dar cumplimiento a las obligaciones de transparencia, observando lo dispuesto en la Ley General y las demás disposiciones aplicables en la materia.</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279D" w:rsidRDefault="004D176E">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20279D" w:rsidRDefault="004D176E">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0279D" w:rsidRDefault="004D176E">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279D" w:rsidRDefault="004D176E">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5"/>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20279D">
        <w:trPr>
          <w:jc w:val="center"/>
        </w:trPr>
        <w:tc>
          <w:tcPr>
            <w:tcW w:w="1159" w:type="dxa"/>
            <w:tcBorders>
              <w:top w:val="nil"/>
              <w:left w:val="nil"/>
              <w:bottom w:val="single" w:sz="4" w:space="0" w:color="000000"/>
              <w:right w:val="single" w:sz="4" w:space="0" w:color="000000"/>
            </w:tcBorders>
          </w:tcPr>
          <w:p w:rsidR="0020279D" w:rsidRDefault="0020279D">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20279D">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20279D" w:rsidRDefault="004D176E">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rPr>
              <w:t>anotarán</w:t>
            </w:r>
            <w:proofErr w:type="gramEnd"/>
            <w:r>
              <w:rPr>
                <w:rFonts w:ascii="Palatino Linotype" w:eastAsia="Palatino Linotype" w:hAnsi="Palatino Linotype" w:cs="Palatino Linotype"/>
                <w:i/>
              </w:rPr>
              <w:t xml:space="preserve"> todas las páginas que lo conforman. Si el documento no contiene información reservada, se tachará este apartado.</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0279D" w:rsidRDefault="004D176E">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20279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0279D" w:rsidRDefault="0020279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0279D" w:rsidRDefault="004D176E">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0279D" w:rsidRDefault="004D176E">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20279D" w:rsidRDefault="0020279D">
      <w:pPr>
        <w:spacing w:line="360" w:lineRule="auto"/>
        <w:jc w:val="both"/>
        <w:rPr>
          <w:rFonts w:ascii="Palatino Linotype" w:eastAsia="Palatino Linotype" w:hAnsi="Palatino Linotype" w:cs="Palatino Linotyp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20279D" w:rsidRDefault="0020279D">
      <w:pPr>
        <w:spacing w:line="360" w:lineRule="auto"/>
        <w:jc w:val="both"/>
        <w:rPr>
          <w:rFonts w:ascii="Palatino Linotype" w:eastAsia="Palatino Linotype" w:hAnsi="Palatino Linotype" w:cs="Palatino Linotype"/>
        </w:rPr>
      </w:pPr>
    </w:p>
    <w:p w:rsidR="0020279D" w:rsidRDefault="004D176E">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20279D" w:rsidRDefault="0020279D">
      <w:pPr>
        <w:shd w:val="clear" w:color="auto" w:fill="FFFFFF"/>
        <w:spacing w:line="360" w:lineRule="auto"/>
        <w:ind w:right="51"/>
        <w:jc w:val="both"/>
        <w:rPr>
          <w:rFonts w:ascii="Palatino Linotype" w:eastAsia="Palatino Linotype" w:hAnsi="Palatino Linotype" w:cs="Palatino Linotype"/>
        </w:rPr>
      </w:pPr>
    </w:p>
    <w:p w:rsidR="0020279D" w:rsidRDefault="004D176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0279D" w:rsidRDefault="004D176E">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20279D" w:rsidRDefault="004D176E">
      <w:pPr>
        <w:spacing w:before="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planteadas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00414/INFOEM/IP/RR/2023, </w:t>
      </w:r>
      <w:r>
        <w:rPr>
          <w:rFonts w:ascii="Palatino Linotype" w:eastAsia="Palatino Linotype" w:hAnsi="Palatino Linotype" w:cs="Palatino Linotype"/>
          <w:b/>
        </w:rPr>
        <w:lastRenderedPageBreak/>
        <w:t>00415/INFOEM/IP/RR/2023</w:t>
      </w:r>
      <w:r>
        <w:rPr>
          <w:rFonts w:ascii="Palatino Linotype" w:eastAsia="Palatino Linotype" w:hAnsi="Palatino Linotype" w:cs="Palatino Linotype"/>
        </w:rPr>
        <w:t xml:space="preserve"> y </w:t>
      </w:r>
      <w:r>
        <w:rPr>
          <w:rFonts w:ascii="Palatino Linotype" w:eastAsia="Palatino Linotype" w:hAnsi="Palatino Linotype" w:cs="Palatino Linotype"/>
          <w:b/>
        </w:rPr>
        <w:t>00416/INFOEM/IP/RR/2023</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w:t>
      </w:r>
    </w:p>
    <w:p w:rsidR="0020279D" w:rsidRDefault="0020279D">
      <w:pPr>
        <w:spacing w:line="360" w:lineRule="auto"/>
        <w:jc w:val="both"/>
        <w:rPr>
          <w:rFonts w:ascii="Palatino Linotype" w:eastAsia="Palatino Linotype" w:hAnsi="Palatino Linotype" w:cs="Palatino Linotype"/>
        </w:rPr>
      </w:pPr>
    </w:p>
    <w:p w:rsidR="0020279D" w:rsidRDefault="004D176E">
      <w:pPr>
        <w:spacing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considerando </w:t>
      </w:r>
      <w:r>
        <w:rPr>
          <w:rFonts w:ascii="Palatino Linotype" w:eastAsia="Palatino Linotype" w:hAnsi="Palatino Linotype" w:cs="Palatino Linotype"/>
          <w:b/>
        </w:rPr>
        <w:t xml:space="preserve">Cuarto y Quinto </w:t>
      </w:r>
      <w:r>
        <w:rPr>
          <w:rFonts w:ascii="Palatino Linotype" w:eastAsia="Palatino Linotype" w:hAnsi="Palatino Linotype" w:cs="Palatino Linotype"/>
        </w:rPr>
        <w:t xml:space="preserve">de esta resolución, </w:t>
      </w:r>
      <w:r>
        <w:rPr>
          <w:rFonts w:ascii="Palatino Linotype" w:eastAsia="Palatino Linotype" w:hAnsi="Palatino Linotype" w:cs="Palatino Linotype"/>
          <w:color w:val="000000"/>
        </w:rPr>
        <w:t>haga entrega al</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a través del Sistema de Acceso a la Información Mexiquense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previa búsqueda exhaustiva y razonable, en versión pública de ser procedente </w:t>
      </w:r>
      <w:r>
        <w:rPr>
          <w:rFonts w:ascii="Palatino Linotype" w:eastAsia="Palatino Linotype" w:hAnsi="Palatino Linotype" w:cs="Palatino Linotype"/>
        </w:rPr>
        <w:t xml:space="preserve">de </w:t>
      </w:r>
      <w:r>
        <w:rPr>
          <w:rFonts w:ascii="Palatino Linotype" w:eastAsia="Palatino Linotype" w:hAnsi="Palatino Linotype" w:cs="Palatino Linotype"/>
          <w:color w:val="000000"/>
        </w:rPr>
        <w:t>lo siguiente:</w:t>
      </w:r>
      <w:r>
        <w:rPr>
          <w:rFonts w:ascii="Palatino Linotype" w:eastAsia="Palatino Linotype" w:hAnsi="Palatino Linotype" w:cs="Palatino Linotype"/>
          <w:b/>
          <w:color w:val="000000"/>
        </w:rPr>
        <w:t xml:space="preserve"> </w:t>
      </w:r>
    </w:p>
    <w:p w:rsidR="0020279D" w:rsidRDefault="004D176E">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El Acta donde conste la</w:t>
      </w:r>
      <w:r>
        <w:rPr>
          <w:rFonts w:ascii="Palatino Linotype" w:eastAsia="Palatino Linotype" w:hAnsi="Palatino Linotype" w:cs="Palatino Linotype"/>
          <w:color w:val="000000"/>
          <w:sz w:val="22"/>
          <w:szCs w:val="22"/>
        </w:rPr>
        <w:t xml:space="preserve"> Entrega-Recepción de las unidades administrativas denominadas Autoridad Investigadora, Autoridad Substanciadora y del Departamento de Fiscaliz</w:t>
      </w:r>
      <w:r>
        <w:rPr>
          <w:rFonts w:ascii="Palatino Linotype" w:eastAsia="Palatino Linotype" w:hAnsi="Palatino Linotype" w:cs="Palatino Linotype"/>
          <w:sz w:val="22"/>
          <w:szCs w:val="22"/>
        </w:rPr>
        <w:t>ación, Control y Evaluación Interna de la Gestión Pública de la Contraloría Municipal, con motivo del cambio de administración realizado en el mes de enero de dos mil veintidós.</w:t>
      </w:r>
    </w:p>
    <w:p w:rsidR="0020279D" w:rsidRDefault="004D176E">
      <w:pPr>
        <w:pBdr>
          <w:top w:val="nil"/>
          <w:left w:val="nil"/>
          <w:bottom w:val="nil"/>
          <w:right w:val="nil"/>
          <w:between w:val="nil"/>
        </w:pBdr>
        <w:ind w:left="1080" w:right="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ser procedente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w:t>
      </w:r>
      <w:r>
        <w:rPr>
          <w:rFonts w:ascii="Palatino Linotype" w:eastAsia="Palatino Linotype" w:hAnsi="Palatino Linotype" w:cs="Palatino Linotype"/>
          <w:b/>
          <w:i/>
          <w:color w:val="000000"/>
          <w:sz w:val="22"/>
          <w:szCs w:val="22"/>
        </w:rPr>
        <w:t>objeto de las versiones públicas</w:t>
      </w:r>
      <w:r>
        <w:rPr>
          <w:rFonts w:ascii="Palatino Linotype" w:eastAsia="Palatino Linotype" w:hAnsi="Palatino Linotype" w:cs="Palatino Linotype"/>
          <w:i/>
          <w:color w:val="000000"/>
          <w:sz w:val="22"/>
          <w:szCs w:val="22"/>
        </w:rPr>
        <w:t xml:space="preserve"> que se formulen y se ponga a disposición de la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w:t>
      </w:r>
    </w:p>
    <w:p w:rsidR="0020279D" w:rsidRDefault="0020279D">
      <w:pPr>
        <w:pBdr>
          <w:top w:val="nil"/>
          <w:left w:val="nil"/>
          <w:bottom w:val="nil"/>
          <w:right w:val="nil"/>
          <w:between w:val="nil"/>
        </w:pBdr>
        <w:ind w:left="1080" w:right="51"/>
        <w:jc w:val="both"/>
        <w:rPr>
          <w:rFonts w:ascii="Palatino Linotype" w:eastAsia="Palatino Linotype" w:hAnsi="Palatino Linotype" w:cs="Palatino Linotype"/>
          <w:i/>
          <w:color w:val="000000"/>
          <w:sz w:val="22"/>
          <w:szCs w:val="22"/>
        </w:rPr>
      </w:pPr>
    </w:p>
    <w:p w:rsidR="0020279D" w:rsidRDefault="004D176E">
      <w:pPr>
        <w:pBdr>
          <w:top w:val="nil"/>
          <w:left w:val="nil"/>
          <w:bottom w:val="nil"/>
          <w:right w:val="nil"/>
          <w:between w:val="nil"/>
        </w:pBdr>
        <w:spacing w:before="240" w:line="360" w:lineRule="auto"/>
        <w:ind w:right="49"/>
        <w:jc w:val="both"/>
        <w:rPr>
          <w:rFonts w:ascii="Palatino Linotype" w:eastAsia="Palatino Linotype" w:hAnsi="Palatino Linotype" w:cs="Palatino Linotype"/>
          <w:highlight w:val="white"/>
        </w:rPr>
      </w:pPr>
      <w:bookmarkStart w:id="2" w:name="_heading=h.gjdgxs" w:colFirst="0" w:colLast="0"/>
      <w:bookmarkEnd w:id="2"/>
      <w:r>
        <w:rPr>
          <w:rFonts w:ascii="Palatino Linotype" w:eastAsia="Palatino Linotype" w:hAnsi="Palatino Linotype" w:cs="Palatino Linotype"/>
          <w:b/>
          <w:highlight w:val="white"/>
        </w:rPr>
        <w:t>Tercero.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w:t>
      </w:r>
      <w:r>
        <w:rPr>
          <w:rFonts w:ascii="Palatino Linotype" w:eastAsia="Palatino Linotype" w:hAnsi="Palatino Linotype" w:cs="Palatino Linotype"/>
          <w:color w:val="000000"/>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Pr>
          <w:rFonts w:ascii="Palatino Linotype" w:eastAsia="Palatino Linotype" w:hAnsi="Palatino Linotype" w:cs="Palatino Linotype"/>
          <w:highlight w:val="white"/>
        </w:rPr>
        <w:t>.</w:t>
      </w:r>
    </w:p>
    <w:p w:rsidR="0020279D" w:rsidRDefault="0020279D">
      <w:pPr>
        <w:pBdr>
          <w:top w:val="nil"/>
          <w:left w:val="nil"/>
          <w:bottom w:val="nil"/>
          <w:right w:val="nil"/>
          <w:between w:val="nil"/>
        </w:pBdr>
        <w:spacing w:line="360" w:lineRule="auto"/>
        <w:ind w:right="49"/>
        <w:jc w:val="both"/>
        <w:rPr>
          <w:rFonts w:ascii="Palatino Linotype" w:eastAsia="Palatino Linotype" w:hAnsi="Palatino Linotype" w:cs="Palatino Linotype"/>
          <w:highlight w:val="white"/>
        </w:rPr>
      </w:pPr>
    </w:p>
    <w:p w:rsidR="0020279D" w:rsidRDefault="004D17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b/>
          <w:i/>
          <w:highlight w:val="white"/>
        </w:rPr>
        <w:t>vía 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20279D" w:rsidRDefault="0020279D">
      <w:pPr>
        <w:spacing w:line="360" w:lineRule="auto"/>
        <w:jc w:val="both"/>
        <w:rPr>
          <w:rFonts w:ascii="Palatino Linotype" w:eastAsia="Palatino Linotype" w:hAnsi="Palatino Linotype" w:cs="Palatino Linotype"/>
          <w:sz w:val="25"/>
          <w:szCs w:val="25"/>
        </w:rPr>
      </w:pPr>
    </w:p>
    <w:p w:rsidR="0020279D" w:rsidRDefault="004D176E">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b/>
          <w:i/>
          <w:highlight w:val="white"/>
        </w:rPr>
        <w:t>vía SAIMEX</w:t>
      </w:r>
      <w:r>
        <w:rPr>
          <w:rFonts w:ascii="Palatino Linotype" w:eastAsia="Palatino Linotype" w:hAnsi="Palatino Linotype" w:cs="Palatino Linotype"/>
          <w:b/>
        </w:rPr>
        <w:t>, al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0279D" w:rsidRDefault="0020279D">
      <w:pPr>
        <w:widowControl w:val="0"/>
        <w:tabs>
          <w:tab w:val="left" w:pos="1701"/>
        </w:tabs>
        <w:spacing w:line="360" w:lineRule="auto"/>
        <w:ind w:right="51"/>
        <w:jc w:val="both"/>
        <w:rPr>
          <w:rFonts w:ascii="Palatino Linotype" w:eastAsia="Palatino Linotype" w:hAnsi="Palatino Linotype" w:cs="Palatino Linotype"/>
        </w:rPr>
      </w:pPr>
    </w:p>
    <w:p w:rsidR="0020279D" w:rsidRDefault="004D176E">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rPr>
        <w:t>.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Cuarto de la presente Resolución. </w:t>
      </w:r>
    </w:p>
    <w:p w:rsidR="0020279D" w:rsidRDefault="004D17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w:t>
      </w:r>
      <w:r>
        <w:rPr>
          <w:rFonts w:ascii="Palatino Linotype" w:eastAsia="Palatino Linotype" w:hAnsi="Palatino Linotype" w:cs="Palatino Linotype"/>
          <w:color w:val="222222"/>
          <w:highlight w:val="white"/>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w:t>
      </w:r>
      <w:r>
        <w:rPr>
          <w:rFonts w:ascii="Palatino Linotype" w:eastAsia="Palatino Linotype" w:hAnsi="Palatino Linotype" w:cs="Palatino Linotype"/>
          <w:color w:val="222222"/>
        </w:rPr>
        <w:t xml:space="preserve">CATORCE </w:t>
      </w:r>
      <w:r>
        <w:rPr>
          <w:rFonts w:ascii="Palatino Linotype" w:eastAsia="Palatino Linotype" w:hAnsi="Palatino Linotype" w:cs="Palatino Linotype"/>
        </w:rPr>
        <w:t>DE JUNIO DEL DOS MIL VEINTITRÉS, ANTE EL SECRETARIO TÉCNICO DEL PLENO ALEXIS TAPIA RAMÍREZ.</w:t>
      </w:r>
    </w:p>
    <w:p w:rsidR="00C424C7" w:rsidRDefault="00C424C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column">
                  <wp:posOffset>323362</wp:posOffset>
                </wp:positionH>
                <wp:positionV relativeFrom="paragraph">
                  <wp:posOffset>32059</wp:posOffset>
                </wp:positionV>
                <wp:extent cx="5358809" cy="4550735"/>
                <wp:effectExtent l="0" t="0" r="32385" b="21590"/>
                <wp:wrapNone/>
                <wp:docPr id="1" name="Conector recto 1"/>
                <wp:cNvGraphicFramePr/>
                <a:graphic xmlns:a="http://schemas.openxmlformats.org/drawingml/2006/main">
                  <a:graphicData uri="http://schemas.microsoft.com/office/word/2010/wordprocessingShape">
                    <wps:wsp>
                      <wps:cNvCnPr/>
                      <wps:spPr>
                        <a:xfrm>
                          <a:off x="0" y="0"/>
                          <a:ext cx="5358809" cy="4550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9B52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5pt,2.5pt" to="447.4pt,3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" strokecolor="#5b9bd5 [3204]" strokeweight=".5pt">
                <v:stroke joinstyle="miter"/>
              </v:line>
            </w:pict>
          </mc:Fallback>
        </mc:AlternateContent>
      </w:r>
    </w:p>
    <w:p w:rsidR="00C424C7" w:rsidRDefault="00C424C7">
      <w:pPr>
        <w:spacing w:before="240" w:after="240" w:line="360" w:lineRule="auto"/>
        <w:jc w:val="both"/>
        <w:rPr>
          <w:rFonts w:ascii="Palatino Linotype" w:eastAsia="Palatino Linotype" w:hAnsi="Palatino Linotype" w:cs="Palatino Linotype"/>
        </w:rPr>
        <w:sectPr w:rsidR="00C424C7">
          <w:headerReference w:type="default" r:id="rId11"/>
          <w:footerReference w:type="default" r:id="rId12"/>
          <w:headerReference w:type="first" r:id="rId13"/>
          <w:footerReference w:type="first" r:id="rId14"/>
          <w:pgSz w:w="12240" w:h="15840"/>
          <w:pgMar w:top="2041" w:right="1467" w:bottom="1701" w:left="1701" w:header="709" w:footer="709" w:gutter="0"/>
          <w:pgNumType w:start="1"/>
          <w:cols w:space="720"/>
          <w:titlePg/>
        </w:sectPr>
      </w:pPr>
    </w:p>
    <w:p w:rsidR="0020279D" w:rsidRDefault="0020279D" w:rsidP="00937555">
      <w:pPr>
        <w:spacing w:before="240" w:after="240" w:line="360" w:lineRule="auto"/>
        <w:ind w:left="720" w:hanging="720"/>
        <w:jc w:val="both"/>
        <w:rPr>
          <w:rFonts w:ascii="Palatino Linotype" w:eastAsia="Palatino Linotype" w:hAnsi="Palatino Linotype" w:cs="Palatino Linotype"/>
        </w:rPr>
      </w:pPr>
    </w:p>
    <w:sectPr w:rsidR="0020279D">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657" w:rsidRDefault="00A56657">
      <w:r>
        <w:separator/>
      </w:r>
    </w:p>
  </w:endnote>
  <w:endnote w:type="continuationSeparator" w:id="0">
    <w:p w:rsidR="00A56657" w:rsidRDefault="00A5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79D" w:rsidRDefault="004D176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73BF">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73BF">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20279D" w:rsidRDefault="0020279D">
    <w:pPr>
      <w:pBdr>
        <w:top w:val="nil"/>
        <w:left w:val="nil"/>
        <w:bottom w:val="nil"/>
        <w:right w:val="nil"/>
        <w:between w:val="nil"/>
      </w:pBdr>
      <w:tabs>
        <w:tab w:val="center" w:pos="4252"/>
        <w:tab w:val="right" w:pos="8504"/>
      </w:tabs>
      <w:rPr>
        <w:color w:val="000000"/>
      </w:rPr>
    </w:pPr>
  </w:p>
  <w:p w:rsidR="0020279D" w:rsidRDefault="0020279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79D" w:rsidRDefault="004D176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73B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73BF">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20279D" w:rsidRDefault="0020279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657" w:rsidRDefault="00A56657">
      <w:r>
        <w:separator/>
      </w:r>
    </w:p>
  </w:footnote>
  <w:footnote w:type="continuationSeparator" w:id="0">
    <w:p w:rsidR="00A56657" w:rsidRDefault="00A56657">
      <w:r>
        <w:continuationSeparator/>
      </w:r>
    </w:p>
  </w:footnote>
  <w:footnote w:id="1">
    <w:p w:rsidR="0020279D" w:rsidRDefault="004D176E">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20279D" w:rsidRDefault="004D176E">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20279D" w:rsidRDefault="004D176E">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20279D" w:rsidRDefault="004D176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3">
    <w:p w:rsidR="0020279D" w:rsidRDefault="004D176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79D" w:rsidRDefault="0020279D">
    <w:pPr>
      <w:widowControl w:val="0"/>
      <w:pBdr>
        <w:top w:val="nil"/>
        <w:left w:val="nil"/>
        <w:bottom w:val="nil"/>
        <w:right w:val="nil"/>
        <w:between w:val="nil"/>
      </w:pBdr>
      <w:spacing w:line="276" w:lineRule="auto"/>
      <w:rPr>
        <w:rFonts w:ascii="Calibri" w:eastAsia="Calibri" w:hAnsi="Calibri" w:cs="Calibri"/>
        <w:color w:val="000000"/>
      </w:rPr>
    </w:pPr>
  </w:p>
  <w:tbl>
    <w:tblPr>
      <w:tblStyle w:val="a7"/>
      <w:tblW w:w="5528" w:type="dxa"/>
      <w:tblInd w:w="3261" w:type="dxa"/>
      <w:tblLayout w:type="fixed"/>
      <w:tblLook w:val="0400" w:firstRow="0" w:lastRow="0" w:firstColumn="0" w:lastColumn="0" w:noHBand="0" w:noVBand="1"/>
    </w:tblPr>
    <w:tblGrid>
      <w:gridCol w:w="2551"/>
      <w:gridCol w:w="2977"/>
    </w:tblGrid>
    <w:tr w:rsidR="0020279D">
      <w:tc>
        <w:tcPr>
          <w:tcW w:w="2551" w:type="dxa"/>
          <w:vAlign w:val="center"/>
        </w:tcPr>
        <w:p w:rsidR="0020279D" w:rsidRDefault="004D17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20279D" w:rsidRDefault="004D176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00414/INFOEM/IP/RR/2023 y acumulados.</w:t>
          </w:r>
        </w:p>
      </w:tc>
    </w:tr>
    <w:tr w:rsidR="0020279D">
      <w:trPr>
        <w:trHeight w:val="228"/>
      </w:trPr>
      <w:tc>
        <w:tcPr>
          <w:tcW w:w="2551" w:type="dxa"/>
          <w:vAlign w:val="center"/>
        </w:tcPr>
        <w:p w:rsidR="0020279D" w:rsidRDefault="004D17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20279D" w:rsidRDefault="004D176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0279D">
      <w:tc>
        <w:tcPr>
          <w:tcW w:w="2551" w:type="dxa"/>
          <w:vAlign w:val="center"/>
        </w:tcPr>
        <w:p w:rsidR="0020279D" w:rsidRDefault="004D17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20279D" w:rsidRDefault="004D176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0279D" w:rsidRDefault="004D176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79D" w:rsidRDefault="004D176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column">
            <wp:posOffset>-846159</wp:posOffset>
          </wp:positionH>
          <wp:positionV relativeFrom="paragraph">
            <wp:posOffset>-171230</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70" w:type="dxa"/>
      <w:tblInd w:w="3119" w:type="dxa"/>
      <w:tblLayout w:type="fixed"/>
      <w:tblLook w:val="0400" w:firstRow="0" w:lastRow="0" w:firstColumn="0" w:lastColumn="0" w:noHBand="0" w:noVBand="1"/>
    </w:tblPr>
    <w:tblGrid>
      <w:gridCol w:w="2551"/>
      <w:gridCol w:w="3119"/>
    </w:tblGrid>
    <w:tr w:rsidR="0020279D">
      <w:tc>
        <w:tcPr>
          <w:tcW w:w="2551" w:type="dxa"/>
          <w:vAlign w:val="center"/>
        </w:tcPr>
        <w:p w:rsidR="0020279D" w:rsidRDefault="004D17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20279D" w:rsidRDefault="004D176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00414/INFOEM/IP/RR/2023 y acumulados.</w:t>
          </w:r>
        </w:p>
      </w:tc>
    </w:tr>
    <w:tr w:rsidR="0020279D">
      <w:tc>
        <w:tcPr>
          <w:tcW w:w="2551" w:type="dxa"/>
          <w:vAlign w:val="center"/>
        </w:tcPr>
        <w:p w:rsidR="0020279D" w:rsidRDefault="004D176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20279D" w:rsidRDefault="0020279D">
          <w:pPr>
            <w:jc w:val="both"/>
            <w:rPr>
              <w:rFonts w:ascii="Palatino Linotype" w:eastAsia="Palatino Linotype" w:hAnsi="Palatino Linotype" w:cs="Palatino Linotype"/>
              <w:b/>
              <w:sz w:val="22"/>
              <w:szCs w:val="22"/>
            </w:rPr>
          </w:pPr>
        </w:p>
      </w:tc>
    </w:tr>
    <w:tr w:rsidR="0020279D">
      <w:trPr>
        <w:trHeight w:val="228"/>
      </w:trPr>
      <w:tc>
        <w:tcPr>
          <w:tcW w:w="2551" w:type="dxa"/>
          <w:vAlign w:val="center"/>
        </w:tcPr>
        <w:p w:rsidR="0020279D" w:rsidRDefault="004D17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20279D" w:rsidRDefault="004D176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0279D">
      <w:tc>
        <w:tcPr>
          <w:tcW w:w="2551" w:type="dxa"/>
          <w:vAlign w:val="center"/>
        </w:tcPr>
        <w:p w:rsidR="0020279D" w:rsidRDefault="004D17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20279D" w:rsidRDefault="004D176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0279D" w:rsidRDefault="0020279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79D" w:rsidRDefault="0020279D">
    <w:pPr>
      <w:pBdr>
        <w:top w:val="nil"/>
        <w:left w:val="nil"/>
        <w:bottom w:val="nil"/>
        <w:right w:val="nil"/>
        <w:between w:val="nil"/>
      </w:pBdr>
      <w:tabs>
        <w:tab w:val="center" w:pos="4252"/>
        <w:tab w:val="right" w:pos="8504"/>
      </w:tabs>
      <w:jc w:val="both"/>
      <w:rPr>
        <w:rFonts w:ascii="Calibri" w:eastAsia="Calibri" w:hAnsi="Calibri" w:cs="Calibri"/>
        <w:color w:val="000000"/>
      </w:rPr>
    </w:pPr>
  </w:p>
  <w:p w:rsidR="0020279D" w:rsidRDefault="0020279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271FC"/>
    <w:multiLevelType w:val="multilevel"/>
    <w:tmpl w:val="675820F0"/>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E65D4E"/>
    <w:multiLevelType w:val="multilevel"/>
    <w:tmpl w:val="967A507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6563ACE"/>
    <w:multiLevelType w:val="multilevel"/>
    <w:tmpl w:val="602835E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484EFE"/>
    <w:multiLevelType w:val="multilevel"/>
    <w:tmpl w:val="789A29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DBD18D3"/>
    <w:multiLevelType w:val="multilevel"/>
    <w:tmpl w:val="3DDA4C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9D"/>
    <w:rsid w:val="00047627"/>
    <w:rsid w:val="0020279D"/>
    <w:rsid w:val="004D095F"/>
    <w:rsid w:val="004D176E"/>
    <w:rsid w:val="006E3170"/>
    <w:rsid w:val="00937555"/>
    <w:rsid w:val="00A073BF"/>
    <w:rsid w:val="00A56657"/>
    <w:rsid w:val="00AB3A74"/>
    <w:rsid w:val="00C424C7"/>
    <w:rsid w:val="00F65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6AF16-0C7B-467A-AAF6-1764952E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3C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uiPriority w:val="99"/>
    <w:rsid w:val="00550A43"/>
    <w:rPr>
      <w:rFonts w:ascii="Times New Roman" w:eastAsia="Times New Roman" w:hAnsi="Times New Roman"/>
      <w:lang w:val="es-ES" w:eastAsia="es-ES"/>
    </w:rPr>
  </w:style>
  <w:style w:type="character" w:styleId="Hipervnculovisitado">
    <w:name w:val="FollowedHyperlink"/>
    <w:basedOn w:val="Fuentedeprrafopredeter"/>
    <w:uiPriority w:val="99"/>
    <w:semiHidden/>
    <w:unhideWhenUsed/>
    <w:rsid w:val="004D0BF0"/>
    <w:rPr>
      <w:color w:val="954F72" w:themeColor="followedHyperlink"/>
      <w:u w:val="single"/>
    </w:r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100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750998.page" TargetMode="External"/><Relationship Id="rId4" Type="http://schemas.openxmlformats.org/officeDocument/2006/relationships/settings" Target="settings.xml"/><Relationship Id="rId9" Type="http://schemas.openxmlformats.org/officeDocument/2006/relationships/hyperlink" Target="https://saimex.org.mx/saimex/solicitud/downloadAttach/175099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mm2Hm/me5666jXZuFL7URkHLg==">CgMxLjAyCWguMzBqMHpsbDIIaC5namRneHM4AHIhMURuX2JadkhEVmF5WGg0RmxWYnMzb0RVbWhKQkg1Nzg4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12253</Words>
  <Characters>67394</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2023-06-16T15:45:00Z</cp:lastPrinted>
  <dcterms:created xsi:type="dcterms:W3CDTF">2023-06-28T19:21:00Z</dcterms:created>
  <dcterms:modified xsi:type="dcterms:W3CDTF">2023-06-28T19:21:00Z</dcterms:modified>
</cp:coreProperties>
</file>