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tres de octubre de dos mil veintitrés. </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b/>
        </w:rPr>
        <w:t>Visto</w:t>
      </w:r>
      <w:r w:rsidRPr="00E17370">
        <w:rPr>
          <w:rFonts w:ascii="Palatino Linotype" w:eastAsia="Palatino Linotype" w:hAnsi="Palatino Linotype" w:cs="Palatino Linotype"/>
        </w:rPr>
        <w:t xml:space="preserve"> el expediente relativo al recurso de revisión </w:t>
      </w:r>
      <w:r w:rsidRPr="00E17370">
        <w:rPr>
          <w:rFonts w:ascii="Palatino Linotype" w:eastAsia="Palatino Linotype" w:hAnsi="Palatino Linotype" w:cs="Palatino Linotype"/>
          <w:b/>
        </w:rPr>
        <w:t>02294/INFOEM/IP/RR/2023</w:t>
      </w:r>
      <w:r w:rsidRPr="00E17370">
        <w:rPr>
          <w:rFonts w:ascii="Palatino Linotype" w:eastAsia="Palatino Linotype" w:hAnsi="Palatino Linotype" w:cs="Palatino Linotype"/>
        </w:rPr>
        <w:t xml:space="preserve">, interpuesto por </w:t>
      </w:r>
      <w:r w:rsidR="00541EAF">
        <w:rPr>
          <w:rFonts w:ascii="Palatino Linotype" w:eastAsia="Palatino Linotype" w:hAnsi="Palatino Linotype" w:cs="Palatino Linotype"/>
          <w:b/>
        </w:rPr>
        <w:t>XXXXXX XXXX XXX</w:t>
      </w:r>
      <w:bookmarkStart w:id="0" w:name="_GoBack"/>
      <w:bookmarkEnd w:id="0"/>
      <w:r w:rsidRPr="00E17370">
        <w:rPr>
          <w:rFonts w:ascii="Palatino Linotype" w:eastAsia="Palatino Linotype" w:hAnsi="Palatino Linotype" w:cs="Palatino Linotype"/>
        </w:rPr>
        <w:t xml:space="preserve">, en lo sucesivo se le denominará la persona </w:t>
      </w:r>
      <w:r w:rsidRPr="00E17370">
        <w:rPr>
          <w:rFonts w:ascii="Palatino Linotype" w:eastAsia="Palatino Linotype" w:hAnsi="Palatino Linotype" w:cs="Palatino Linotype"/>
          <w:b/>
        </w:rPr>
        <w:t>RECURRENTE</w:t>
      </w:r>
      <w:r w:rsidRPr="00E17370">
        <w:rPr>
          <w:rFonts w:ascii="Palatino Linotype" w:eastAsia="Palatino Linotype" w:hAnsi="Palatino Linotype" w:cs="Palatino Linotype"/>
        </w:rPr>
        <w:t>, en contra de la respuesta a su solicitud de información con número de folio</w:t>
      </w:r>
      <w:r w:rsidRPr="00E17370">
        <w:rPr>
          <w:rFonts w:ascii="Palatino Linotype" w:eastAsia="Palatino Linotype" w:hAnsi="Palatino Linotype" w:cs="Palatino Linotype"/>
          <w:b/>
        </w:rPr>
        <w:t xml:space="preserve"> 00065/ATLACOM/IP/2023</w:t>
      </w:r>
      <w:r w:rsidRPr="00E17370">
        <w:rPr>
          <w:rFonts w:ascii="Palatino Linotype" w:eastAsia="Palatino Linotype" w:hAnsi="Palatino Linotype" w:cs="Palatino Linotype"/>
        </w:rPr>
        <w:t xml:space="preserve">, por parte del </w:t>
      </w:r>
      <w:r w:rsidRPr="00E17370">
        <w:rPr>
          <w:rFonts w:ascii="Palatino Linotype" w:eastAsia="Palatino Linotype" w:hAnsi="Palatino Linotype" w:cs="Palatino Linotype"/>
          <w:b/>
        </w:rPr>
        <w:t xml:space="preserve">Ayuntamiento de Atlacomulco </w:t>
      </w:r>
      <w:r w:rsidRPr="00E17370">
        <w:rPr>
          <w:rFonts w:ascii="Palatino Linotype" w:eastAsia="Palatino Linotype" w:hAnsi="Palatino Linotype" w:cs="Palatino Linotype"/>
        </w:rPr>
        <w:t xml:space="preserve">en lo sucesivo el </w:t>
      </w:r>
      <w:r w:rsidRPr="00E17370">
        <w:rPr>
          <w:rFonts w:ascii="Palatino Linotype" w:eastAsia="Palatino Linotype" w:hAnsi="Palatino Linotype" w:cs="Palatino Linotype"/>
          <w:b/>
        </w:rPr>
        <w:t>SUJETO OBLIGADO</w:t>
      </w:r>
      <w:r w:rsidRPr="00E17370">
        <w:rPr>
          <w:rFonts w:ascii="Palatino Linotype" w:eastAsia="Palatino Linotype" w:hAnsi="Palatino Linotype" w:cs="Palatino Linotype"/>
        </w:rPr>
        <w:t>;</w:t>
      </w:r>
      <w:r w:rsidRPr="00E17370">
        <w:rPr>
          <w:rFonts w:ascii="Palatino Linotype" w:eastAsia="Palatino Linotype" w:hAnsi="Palatino Linotype" w:cs="Palatino Linotype"/>
          <w:b/>
        </w:rPr>
        <w:t xml:space="preserve"> </w:t>
      </w:r>
      <w:r w:rsidRPr="00E17370">
        <w:rPr>
          <w:rFonts w:ascii="Palatino Linotype" w:eastAsia="Palatino Linotype" w:hAnsi="Palatino Linotype" w:cs="Palatino Linotype"/>
        </w:rPr>
        <w:t>se procede a dictar la presente resolución, con base en los siguientes:</w:t>
      </w:r>
    </w:p>
    <w:p w:rsidR="00C80CAB" w:rsidRPr="00E17370" w:rsidRDefault="00E10F02">
      <w:pPr>
        <w:numPr>
          <w:ilvl w:val="0"/>
          <w:numId w:val="3"/>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E17370">
        <w:rPr>
          <w:rFonts w:ascii="Palatino Linotype" w:eastAsia="Palatino Linotype" w:hAnsi="Palatino Linotype" w:cs="Palatino Linotype"/>
          <w:b/>
          <w:sz w:val="22"/>
          <w:szCs w:val="22"/>
        </w:rPr>
        <w:t>A N T E C E D E N T E S:</w:t>
      </w:r>
    </w:p>
    <w:p w:rsidR="00C80CAB" w:rsidRPr="00E17370" w:rsidRDefault="00C80CA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C80CAB" w:rsidRPr="00E17370" w:rsidRDefault="00E10F02">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bookmarkStart w:id="1" w:name="_heading=h.1fob9te" w:colFirst="0" w:colLast="0"/>
      <w:bookmarkEnd w:id="1"/>
      <w:r w:rsidRPr="00E17370">
        <w:rPr>
          <w:rFonts w:ascii="Palatino Linotype" w:eastAsia="Palatino Linotype" w:hAnsi="Palatino Linotype" w:cs="Palatino Linotype"/>
          <w:b/>
        </w:rPr>
        <w:t xml:space="preserve">Solicitud de acceso a la información. </w:t>
      </w:r>
      <w:r w:rsidRPr="00E17370">
        <w:rPr>
          <w:rFonts w:ascii="Palatino Linotype" w:eastAsia="Palatino Linotype" w:hAnsi="Palatino Linotype" w:cs="Palatino Linotype"/>
        </w:rPr>
        <w:t xml:space="preserve">Con fecha </w:t>
      </w:r>
      <w:r w:rsidRPr="00E17370">
        <w:rPr>
          <w:rFonts w:ascii="Palatino Linotype" w:eastAsia="Palatino Linotype" w:hAnsi="Palatino Linotype" w:cs="Palatino Linotype"/>
          <w:b/>
        </w:rPr>
        <w:t>veintiuno de marzo de dos mil veintitrés</w:t>
      </w:r>
      <w:r w:rsidRPr="00E17370">
        <w:rPr>
          <w:rFonts w:ascii="Palatino Linotype" w:eastAsia="Palatino Linotype" w:hAnsi="Palatino Linotype" w:cs="Palatino Linotype"/>
        </w:rPr>
        <w:t xml:space="preserve">, la parte </w:t>
      </w:r>
      <w:r w:rsidRPr="00E17370">
        <w:rPr>
          <w:rFonts w:ascii="Palatino Linotype" w:eastAsia="Palatino Linotype" w:hAnsi="Palatino Linotype" w:cs="Palatino Linotype"/>
          <w:b/>
        </w:rPr>
        <w:t>RECURRENTE</w:t>
      </w:r>
      <w:r w:rsidRPr="00E17370">
        <w:rPr>
          <w:rFonts w:ascii="Palatino Linotype" w:eastAsia="Palatino Linotype" w:hAnsi="Palatino Linotype" w:cs="Palatino Linotype"/>
        </w:rPr>
        <w:t xml:space="preserve"> formuló solicitud de acceso a información pública al </w:t>
      </w:r>
      <w:r w:rsidRPr="00E17370">
        <w:rPr>
          <w:rFonts w:ascii="Palatino Linotype" w:eastAsia="Palatino Linotype" w:hAnsi="Palatino Linotype" w:cs="Palatino Linotype"/>
          <w:b/>
        </w:rPr>
        <w:t>SUJETO OBLIGADO</w:t>
      </w:r>
      <w:r w:rsidRPr="00E17370">
        <w:rPr>
          <w:rFonts w:ascii="Palatino Linotype" w:eastAsia="Palatino Linotype" w:hAnsi="Palatino Linotype" w:cs="Palatino Linotype"/>
        </w:rPr>
        <w:t xml:space="preserve"> a través del Sistema de Acceso a la Información Mexiquense, en adelante </w:t>
      </w:r>
      <w:r w:rsidRPr="00E17370">
        <w:rPr>
          <w:rFonts w:ascii="Palatino Linotype" w:eastAsia="Palatino Linotype" w:hAnsi="Palatino Linotype" w:cs="Palatino Linotype"/>
          <w:b/>
        </w:rPr>
        <w:t>SAIMEX</w:t>
      </w:r>
      <w:r w:rsidRPr="00E17370">
        <w:rPr>
          <w:rFonts w:ascii="Palatino Linotype" w:eastAsia="Palatino Linotype" w:hAnsi="Palatino Linotype" w:cs="Palatino Linotype"/>
        </w:rPr>
        <w:t>, requiriéndole lo siguiente:</w:t>
      </w:r>
    </w:p>
    <w:p w:rsidR="00C80CAB" w:rsidRPr="00E17370" w:rsidRDefault="00C80CA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“Solicito me hagan llegar vía digital, todas las actas de cabildo del municipio de Atlacomulco del Estado de México, referente a los años 2010 y 2011”. </w:t>
      </w:r>
    </w:p>
    <w:p w:rsidR="00C80CAB" w:rsidRPr="00E17370" w:rsidRDefault="00C80CAB">
      <w:pPr>
        <w:spacing w:line="276" w:lineRule="auto"/>
        <w:ind w:left="567" w:right="900"/>
        <w:jc w:val="both"/>
        <w:rPr>
          <w:rFonts w:ascii="Palatino Linotype" w:eastAsia="Palatino Linotype" w:hAnsi="Palatino Linotype" w:cs="Palatino Linotype"/>
          <w:b/>
          <w:i/>
        </w:rPr>
      </w:pPr>
    </w:p>
    <w:p w:rsidR="00C80CAB" w:rsidRPr="00E17370" w:rsidRDefault="00E10F02">
      <w:pPr>
        <w:spacing w:line="360" w:lineRule="auto"/>
        <w:jc w:val="both"/>
        <w:rPr>
          <w:rFonts w:ascii="Palatino Linotype" w:eastAsia="Palatino Linotype" w:hAnsi="Palatino Linotype" w:cs="Palatino Linotype"/>
        </w:rPr>
      </w:pPr>
      <w:bookmarkStart w:id="2" w:name="_heading=h.tyjcwt" w:colFirst="0" w:colLast="0"/>
      <w:bookmarkEnd w:id="2"/>
      <w:r w:rsidRPr="00E17370">
        <w:rPr>
          <w:rFonts w:ascii="Palatino Linotype" w:eastAsia="Palatino Linotype" w:hAnsi="Palatino Linotype" w:cs="Palatino Linotype"/>
          <w:b/>
        </w:rPr>
        <w:t xml:space="preserve">Modalidad elegida para la entrega de la información: </w:t>
      </w:r>
      <w:r w:rsidRPr="00E17370">
        <w:rPr>
          <w:rFonts w:ascii="Palatino Linotype" w:eastAsia="Palatino Linotype" w:hAnsi="Palatino Linotype" w:cs="Palatino Linotype"/>
        </w:rPr>
        <w:t xml:space="preserve">a través del Sistema de Acceso a la Información Mexiquense.  </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numPr>
          <w:ilvl w:val="0"/>
          <w:numId w:val="6"/>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rPr>
      </w:pPr>
      <w:bookmarkStart w:id="3" w:name="_heading=h.3dy6vkm" w:colFirst="0" w:colLast="0"/>
      <w:bookmarkEnd w:id="3"/>
      <w:r w:rsidRPr="00E17370">
        <w:rPr>
          <w:rFonts w:ascii="Palatino Linotype" w:eastAsia="Palatino Linotype" w:hAnsi="Palatino Linotype" w:cs="Palatino Linotype"/>
          <w:b/>
        </w:rPr>
        <w:lastRenderedPageBreak/>
        <w:t xml:space="preserve">Ampliación de plazo para emitir respuesta. </w:t>
      </w:r>
      <w:r w:rsidRPr="00E17370">
        <w:rPr>
          <w:rFonts w:ascii="Palatino Linotype" w:eastAsia="Palatino Linotype" w:hAnsi="Palatino Linotype" w:cs="Palatino Linotype"/>
        </w:rPr>
        <w:t xml:space="preserve">En fecha </w:t>
      </w:r>
      <w:r w:rsidRPr="00E17370">
        <w:rPr>
          <w:rFonts w:ascii="Palatino Linotype" w:eastAsia="Palatino Linotype" w:hAnsi="Palatino Linotype" w:cs="Palatino Linotype"/>
          <w:b/>
        </w:rPr>
        <w:t>dieciocho de abril de dos mil veintitrés</w:t>
      </w:r>
      <w:r w:rsidRPr="00E17370">
        <w:rPr>
          <w:rFonts w:ascii="Palatino Linotype" w:eastAsia="Palatino Linotype" w:hAnsi="Palatino Linotype" w:cs="Palatino Linotype"/>
        </w:rPr>
        <w:t xml:space="preserve">, el </w:t>
      </w:r>
      <w:r w:rsidRPr="00E17370">
        <w:rPr>
          <w:rFonts w:ascii="Palatino Linotype" w:eastAsia="Palatino Linotype" w:hAnsi="Palatino Linotype" w:cs="Palatino Linotype"/>
          <w:b/>
        </w:rPr>
        <w:t xml:space="preserve">SUJETO OBLIGADO </w:t>
      </w:r>
      <w:r w:rsidRPr="00E17370">
        <w:rPr>
          <w:rFonts w:ascii="Palatino Linotype" w:eastAsia="Palatino Linotype" w:hAnsi="Palatino Linotype" w:cs="Palatino Linotype"/>
        </w:rPr>
        <w:t xml:space="preserve">aprobó una ampliación de plazo para emitir respuesta por siete días, al tenor de lo siguiente: </w:t>
      </w:r>
    </w:p>
    <w:p w:rsidR="00C80CAB" w:rsidRPr="00E17370" w:rsidRDefault="00C80CA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C80CAB" w:rsidRPr="00E17370" w:rsidRDefault="00E10F02">
      <w:pPr>
        <w:pBdr>
          <w:top w:val="nil"/>
          <w:left w:val="nil"/>
          <w:bottom w:val="nil"/>
          <w:right w:val="nil"/>
          <w:between w:val="nil"/>
        </w:pBdr>
        <w:tabs>
          <w:tab w:val="left" w:pos="709"/>
        </w:tabs>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C80CAB" w:rsidRPr="00E17370" w:rsidRDefault="00E10F02">
      <w:pPr>
        <w:pBdr>
          <w:top w:val="nil"/>
          <w:left w:val="nil"/>
          <w:bottom w:val="nil"/>
          <w:right w:val="nil"/>
          <w:between w:val="nil"/>
        </w:pBdr>
        <w:tabs>
          <w:tab w:val="left" w:pos="709"/>
        </w:tabs>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Se aprueba prórroga y se anexa acta</w:t>
      </w:r>
    </w:p>
    <w:p w:rsidR="00C80CAB" w:rsidRPr="00E17370" w:rsidRDefault="00C80CAB">
      <w:pPr>
        <w:pBdr>
          <w:top w:val="nil"/>
          <w:left w:val="nil"/>
          <w:bottom w:val="nil"/>
          <w:right w:val="nil"/>
          <w:between w:val="nil"/>
        </w:pBdr>
        <w:tabs>
          <w:tab w:val="left" w:pos="709"/>
        </w:tabs>
        <w:spacing w:line="276" w:lineRule="auto"/>
        <w:ind w:left="567" w:right="616"/>
        <w:jc w:val="both"/>
        <w:rPr>
          <w:rFonts w:ascii="Palatino Linotype" w:eastAsia="Palatino Linotype" w:hAnsi="Palatino Linotype" w:cs="Palatino Linotype"/>
          <w:i/>
          <w:sz w:val="22"/>
          <w:szCs w:val="22"/>
        </w:rPr>
      </w:pPr>
    </w:p>
    <w:p w:rsidR="00C80CAB" w:rsidRPr="00E17370" w:rsidRDefault="00E10F02">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sz w:val="22"/>
          <w:szCs w:val="22"/>
        </w:rPr>
        <w:t xml:space="preserve">Asimismo, a su respuesta adjuntó el acta número </w:t>
      </w:r>
      <w:r w:rsidRPr="00E17370">
        <w:rPr>
          <w:rFonts w:ascii="Palatino Linotype" w:eastAsia="Palatino Linotype" w:hAnsi="Palatino Linotype" w:cs="Palatino Linotype"/>
          <w:b/>
          <w:sz w:val="22"/>
          <w:szCs w:val="22"/>
        </w:rPr>
        <w:t>ACT/ATLACOMULCO/EXT/COMT/18ª/2023</w:t>
      </w:r>
      <w:r w:rsidRPr="00E17370">
        <w:rPr>
          <w:rFonts w:ascii="Palatino Linotype" w:eastAsia="Palatino Linotype" w:hAnsi="Palatino Linotype" w:cs="Palatino Linotype"/>
          <w:sz w:val="22"/>
          <w:szCs w:val="22"/>
        </w:rPr>
        <w:t xml:space="preserve">, mediante la cual se aprobó la ampliación de plazo. </w:t>
      </w:r>
    </w:p>
    <w:p w:rsidR="00C80CAB" w:rsidRPr="00E17370" w:rsidRDefault="00C80CA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C80CAB" w:rsidRPr="00E17370" w:rsidRDefault="00E10F0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bookmarkStart w:id="4" w:name="_heading=h.3znysh7" w:colFirst="0" w:colLast="0"/>
      <w:bookmarkEnd w:id="4"/>
      <w:r w:rsidRPr="00E17370">
        <w:rPr>
          <w:rFonts w:ascii="Palatino Linotype" w:eastAsia="Palatino Linotype" w:hAnsi="Palatino Linotype" w:cs="Palatino Linotype"/>
          <w:b/>
        </w:rPr>
        <w:t xml:space="preserve">Respuesta. </w:t>
      </w:r>
      <w:r w:rsidRPr="00E17370">
        <w:rPr>
          <w:rFonts w:ascii="Palatino Linotype" w:eastAsia="Palatino Linotype" w:hAnsi="Palatino Linotype" w:cs="Palatino Linotype"/>
        </w:rPr>
        <w:t xml:space="preserve">Con fecha </w:t>
      </w:r>
      <w:r w:rsidRPr="00E17370">
        <w:rPr>
          <w:rFonts w:ascii="Palatino Linotype" w:eastAsia="Palatino Linotype" w:hAnsi="Palatino Linotype" w:cs="Palatino Linotype"/>
          <w:b/>
        </w:rPr>
        <w:t>veintisiete de abril de dos mil veintitrés</w:t>
      </w:r>
      <w:r w:rsidRPr="00E17370">
        <w:rPr>
          <w:rFonts w:ascii="Palatino Linotype" w:eastAsia="Palatino Linotype" w:hAnsi="Palatino Linotype" w:cs="Palatino Linotype"/>
        </w:rPr>
        <w:t xml:space="preserve">, el </w:t>
      </w:r>
      <w:r w:rsidRPr="00E17370">
        <w:rPr>
          <w:rFonts w:ascii="Palatino Linotype" w:eastAsia="Palatino Linotype" w:hAnsi="Palatino Linotype" w:cs="Palatino Linotype"/>
          <w:b/>
        </w:rPr>
        <w:t>SUJETO OBLIGADO</w:t>
      </w:r>
      <w:r w:rsidRPr="00E17370">
        <w:rPr>
          <w:rFonts w:ascii="Palatino Linotype" w:eastAsia="Palatino Linotype" w:hAnsi="Palatino Linotype" w:cs="Palatino Linotype"/>
        </w:rPr>
        <w:t xml:space="preserve"> envió su respuesta a la solicitud de acceso a la información a través del SAIMEX, la cual versa como sigue:  </w:t>
      </w:r>
    </w:p>
    <w:p w:rsidR="00C80CAB" w:rsidRPr="00E17370" w:rsidRDefault="00C80CAB">
      <w:pPr>
        <w:tabs>
          <w:tab w:val="left" w:pos="7371"/>
        </w:tabs>
        <w:spacing w:line="276" w:lineRule="auto"/>
        <w:ind w:left="567" w:right="616"/>
        <w:jc w:val="both"/>
        <w:rPr>
          <w:rFonts w:ascii="Palatino Linotype" w:eastAsia="Palatino Linotype" w:hAnsi="Palatino Linotype" w:cs="Palatino Linotype"/>
          <w:i/>
          <w:sz w:val="22"/>
          <w:szCs w:val="22"/>
        </w:rPr>
      </w:pPr>
    </w:p>
    <w:p w:rsidR="00C80CAB" w:rsidRPr="00E17370" w:rsidRDefault="00E10F02">
      <w:pPr>
        <w:tabs>
          <w:tab w:val="left" w:pos="7371"/>
        </w:tabs>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80CAB" w:rsidRPr="00E17370" w:rsidRDefault="00E10F02">
      <w:pPr>
        <w:tabs>
          <w:tab w:val="left" w:pos="7371"/>
        </w:tabs>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Se atiende requerimiento de información</w:t>
      </w:r>
    </w:p>
    <w:p w:rsidR="00C80CAB" w:rsidRPr="00E17370" w:rsidRDefault="00C80CAB">
      <w:pPr>
        <w:tabs>
          <w:tab w:val="left" w:pos="7371"/>
        </w:tabs>
        <w:spacing w:line="276" w:lineRule="auto"/>
        <w:ind w:left="567" w:right="616"/>
        <w:jc w:val="both"/>
        <w:rPr>
          <w:rFonts w:ascii="Palatino Linotype" w:eastAsia="Palatino Linotype" w:hAnsi="Palatino Linotype" w:cs="Palatino Linotype"/>
          <w:i/>
          <w:sz w:val="22"/>
          <w:szCs w:val="22"/>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Del mismo modo, el Sujeto Obligado adjuntó a su respuesta lo siguiente: </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numPr>
          <w:ilvl w:val="0"/>
          <w:numId w:val="4"/>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sz w:val="22"/>
          <w:szCs w:val="22"/>
        </w:rPr>
        <w:t xml:space="preserve">Oficio de fecha diecisiete de abril de dos mil veintitrés, signado por el Secretario del Ayuntamiento, mediante el cual informó respecto a la prórroga solicitada para entregar la información. </w:t>
      </w:r>
    </w:p>
    <w:p w:rsidR="00C80CAB" w:rsidRPr="00E17370" w:rsidRDefault="00E10F02">
      <w:pPr>
        <w:numPr>
          <w:ilvl w:val="0"/>
          <w:numId w:val="4"/>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sz w:val="22"/>
          <w:szCs w:val="22"/>
        </w:rPr>
        <w:lastRenderedPageBreak/>
        <w:t xml:space="preserve">Oficio de fecha veintisiete de abril de dos mil veintitrés, signado por el Secretario del Ayuntamiento mediante el cual informa que se adjunta un archivo en PDF que contiene las actas de cabildo de los años 2010 y 2011. </w:t>
      </w:r>
    </w:p>
    <w:p w:rsidR="00C80CAB" w:rsidRPr="00E17370" w:rsidRDefault="00E10F02">
      <w:pPr>
        <w:numPr>
          <w:ilvl w:val="0"/>
          <w:numId w:val="4"/>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sz w:val="22"/>
          <w:szCs w:val="22"/>
        </w:rPr>
        <w:t xml:space="preserve">Oficio de fecha veintisiete de abril, signado por la titular de la unidad de Transparencia, mediante el cual informa que se envía la respuesta proporcionada por el área administrativa correspondiente. </w:t>
      </w:r>
    </w:p>
    <w:p w:rsidR="00C80CAB" w:rsidRPr="00E17370" w:rsidRDefault="00C80CAB">
      <w:pPr>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sz w:val="22"/>
          <w:szCs w:val="22"/>
        </w:rPr>
      </w:pPr>
    </w:p>
    <w:p w:rsidR="00C80CAB" w:rsidRPr="00E17370" w:rsidRDefault="00E10F02">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E17370">
        <w:rPr>
          <w:rFonts w:ascii="Palatino Linotype" w:eastAsia="Palatino Linotype" w:hAnsi="Palatino Linotype" w:cs="Palatino Linotype"/>
          <w:b/>
        </w:rPr>
        <w:t xml:space="preserve">Interposición del recurso de revisión. </w:t>
      </w:r>
      <w:r w:rsidRPr="00E17370">
        <w:rPr>
          <w:rFonts w:ascii="Palatino Linotype" w:eastAsia="Palatino Linotype" w:hAnsi="Palatino Linotype" w:cs="Palatino Linotype"/>
        </w:rPr>
        <w:t xml:space="preserve">Inconforme con la respuesta del </w:t>
      </w:r>
      <w:r w:rsidRPr="00E17370">
        <w:rPr>
          <w:rFonts w:ascii="Palatino Linotype" w:eastAsia="Palatino Linotype" w:hAnsi="Palatino Linotype" w:cs="Palatino Linotype"/>
          <w:b/>
        </w:rPr>
        <w:t>SUJETO OBLIGADO la parte RECURRENTE</w:t>
      </w:r>
      <w:r w:rsidRPr="00E17370">
        <w:rPr>
          <w:rFonts w:ascii="Palatino Linotype" w:eastAsia="Palatino Linotype" w:hAnsi="Palatino Linotype" w:cs="Palatino Linotype"/>
        </w:rPr>
        <w:t xml:space="preserve"> interpuso recurso de revisión a través del SAIMEX en fecha </w:t>
      </w:r>
      <w:r w:rsidRPr="00E17370">
        <w:rPr>
          <w:rFonts w:ascii="Palatino Linotype" w:eastAsia="Palatino Linotype" w:hAnsi="Palatino Linotype" w:cs="Palatino Linotype"/>
          <w:b/>
        </w:rPr>
        <w:t>veintiocho de abril de dos mil veintitrés</w:t>
      </w:r>
      <w:r w:rsidRPr="00E17370">
        <w:rPr>
          <w:rFonts w:ascii="Palatino Linotype" w:eastAsia="Palatino Linotype" w:hAnsi="Palatino Linotype" w:cs="Palatino Linotype"/>
        </w:rPr>
        <w:t>, a través del cual expresó lo siguiente:</w:t>
      </w:r>
    </w:p>
    <w:p w:rsidR="00C80CAB" w:rsidRPr="00E17370" w:rsidRDefault="00C80CAB">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p>
    <w:p w:rsidR="00C80CAB" w:rsidRPr="00E17370" w:rsidRDefault="00E10F02">
      <w:pPr>
        <w:spacing w:line="360" w:lineRule="auto"/>
        <w:ind w:left="567"/>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sz w:val="22"/>
          <w:szCs w:val="22"/>
        </w:rPr>
        <w:t xml:space="preserve">Acto impugnado. </w:t>
      </w:r>
      <w:r w:rsidRPr="00E17370">
        <w:rPr>
          <w:rFonts w:ascii="Palatino Linotype" w:eastAsia="Palatino Linotype" w:hAnsi="Palatino Linotype" w:cs="Palatino Linotype"/>
          <w:i/>
          <w:sz w:val="22"/>
          <w:szCs w:val="22"/>
        </w:rPr>
        <w:t xml:space="preserve">“FALTA DE INFORMACIÓN” </w:t>
      </w:r>
    </w:p>
    <w:p w:rsidR="00C80CAB" w:rsidRPr="00E17370" w:rsidRDefault="00C80CAB">
      <w:pPr>
        <w:spacing w:line="360" w:lineRule="auto"/>
        <w:ind w:left="567"/>
      </w:pPr>
    </w:p>
    <w:p w:rsidR="00C80CAB" w:rsidRPr="00E17370" w:rsidRDefault="00E10F02">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sz w:val="22"/>
          <w:szCs w:val="22"/>
        </w:rPr>
        <w:t xml:space="preserve">Motivos de inconformidad. </w:t>
      </w:r>
      <w:r w:rsidRPr="00E17370">
        <w:rPr>
          <w:rFonts w:ascii="Palatino Linotype" w:eastAsia="Palatino Linotype" w:hAnsi="Palatino Linotype" w:cs="Palatino Linotype"/>
          <w:i/>
          <w:sz w:val="22"/>
          <w:szCs w:val="22"/>
        </w:rPr>
        <w:t xml:space="preserve">“SOLO MANDAN LOS OFICIOS Y DICEN QUE SE ANEXA PDF CON ACTAS DE CABILDO 2010 Y 2011 Y NO EXISTE ESE DOCUMENTO; QUE ES LO QUE SOLICITE AL INICIO”. </w:t>
      </w:r>
    </w:p>
    <w:p w:rsidR="00C80CAB" w:rsidRPr="00E17370" w:rsidRDefault="00C80CAB">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rsidR="00C80CAB" w:rsidRPr="00E17370" w:rsidRDefault="00E10F02">
      <w:pPr>
        <w:pBdr>
          <w:top w:val="nil"/>
          <w:left w:val="nil"/>
          <w:bottom w:val="nil"/>
          <w:right w:val="nil"/>
          <w:between w:val="nil"/>
        </w:pBd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sz w:val="22"/>
          <w:szCs w:val="22"/>
        </w:rPr>
        <w:t>Asimismo, anexó el o</w:t>
      </w:r>
      <w:r w:rsidRPr="00E17370">
        <w:rPr>
          <w:rFonts w:ascii="Palatino Linotype" w:eastAsia="Palatino Linotype" w:hAnsi="Palatino Linotype" w:cs="Palatino Linotype"/>
        </w:rPr>
        <w:t xml:space="preserve">ficio de fecha veintisiete de abril de dos mil veintitrés, signado por el Secretario del Ayuntamiento mediante el cual informa que se adjunta un archivo en PDF que contiene las actas de cabildo de los años 2010 y 2011, remitido en respuesta. </w:t>
      </w:r>
    </w:p>
    <w:p w:rsidR="00C80CAB" w:rsidRPr="00E17370" w:rsidRDefault="00C80CA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80CAB" w:rsidRPr="00E17370" w:rsidRDefault="00E10F0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E17370">
        <w:rPr>
          <w:rFonts w:ascii="Palatino Linotype" w:eastAsia="Palatino Linotype" w:hAnsi="Palatino Linotype" w:cs="Palatino Linotype"/>
          <w:b/>
        </w:rPr>
        <w:t xml:space="preserve">Turno. </w:t>
      </w:r>
      <w:r w:rsidRPr="00E1737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w:t>
      </w:r>
      <w:r w:rsidRPr="00E17370">
        <w:rPr>
          <w:rFonts w:ascii="Palatino Linotype" w:eastAsia="Palatino Linotype" w:hAnsi="Palatino Linotype" w:cs="Palatino Linotype"/>
        </w:rPr>
        <w:lastRenderedPageBreak/>
        <w:t xml:space="preserve">revisión número </w:t>
      </w:r>
      <w:r w:rsidRPr="00E17370">
        <w:rPr>
          <w:rFonts w:ascii="Palatino Linotype" w:eastAsia="Palatino Linotype" w:hAnsi="Palatino Linotype" w:cs="Palatino Linotype"/>
          <w:b/>
        </w:rPr>
        <w:t>02294/INFOEM/IP/RR/2023</w:t>
      </w:r>
      <w:r w:rsidRPr="00E17370">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E17370">
        <w:rPr>
          <w:rFonts w:ascii="Palatino Linotype" w:eastAsia="Palatino Linotype" w:hAnsi="Palatino Linotype" w:cs="Palatino Linotype"/>
          <w:b/>
        </w:rPr>
        <w:t>Guadalupe Ramírez Peña</w:t>
      </w:r>
      <w:r w:rsidRPr="00E17370">
        <w:rPr>
          <w:rFonts w:ascii="Palatino Linotype" w:eastAsia="Palatino Linotype" w:hAnsi="Palatino Linotype" w:cs="Palatino Linotype"/>
        </w:rPr>
        <w:t>, para su análisis, estudio, elaboración del proyecto y presentación ante el Pleno de este Instituto.</w:t>
      </w:r>
    </w:p>
    <w:p w:rsidR="00C80CAB" w:rsidRPr="00E17370" w:rsidRDefault="00C80CA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C80CAB" w:rsidRPr="00E17370" w:rsidRDefault="00E10F0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5" w:name="_heading=h.gjdgxs" w:colFirst="0" w:colLast="0"/>
      <w:bookmarkEnd w:id="5"/>
      <w:r w:rsidRPr="00E17370">
        <w:rPr>
          <w:rFonts w:ascii="Palatino Linotype" w:eastAsia="Palatino Linotype" w:hAnsi="Palatino Linotype" w:cs="Palatino Linotype"/>
          <w:b/>
        </w:rPr>
        <w:t xml:space="preserve">Admisión del recurso de revisión: </w:t>
      </w:r>
      <w:r w:rsidRPr="00E17370">
        <w:rPr>
          <w:rFonts w:ascii="Palatino Linotype" w:eastAsia="Palatino Linotype" w:hAnsi="Palatino Linotype" w:cs="Palatino Linotype"/>
        </w:rPr>
        <w:t xml:space="preserve">En fecha </w:t>
      </w:r>
      <w:r w:rsidRPr="00E17370">
        <w:rPr>
          <w:rFonts w:ascii="Palatino Linotype" w:eastAsia="Palatino Linotype" w:hAnsi="Palatino Linotype" w:cs="Palatino Linotype"/>
          <w:b/>
        </w:rPr>
        <w:t>cuatro de mayo de dos mil veintitrés</w:t>
      </w:r>
      <w:r w:rsidRPr="00E17370">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E17370">
        <w:rPr>
          <w:rFonts w:ascii="Palatino Linotype" w:eastAsia="Palatino Linotype" w:hAnsi="Palatino Linotype" w:cs="Palatino Linotype"/>
          <w:b/>
        </w:rPr>
        <w:t>SUJETO OBLIGADO</w:t>
      </w:r>
      <w:r w:rsidRPr="00E17370">
        <w:rPr>
          <w:rFonts w:ascii="Palatino Linotype" w:eastAsia="Palatino Linotype" w:hAnsi="Palatino Linotype" w:cs="Palatino Linotype"/>
        </w:rPr>
        <w:t xml:space="preserve"> presentara su informe justificado.</w:t>
      </w:r>
    </w:p>
    <w:p w:rsidR="00C80CAB" w:rsidRPr="00E17370" w:rsidRDefault="00C80CA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C80CAB" w:rsidRPr="00E17370" w:rsidRDefault="00E10F0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b/>
        </w:rPr>
        <w:t xml:space="preserve">Informe Justificado. </w:t>
      </w:r>
      <w:r w:rsidRPr="00E17370">
        <w:rPr>
          <w:rFonts w:ascii="Palatino Linotype" w:eastAsia="Palatino Linotype" w:hAnsi="Palatino Linotype" w:cs="Palatino Linotype"/>
        </w:rPr>
        <w:t xml:space="preserve">El </w:t>
      </w:r>
      <w:r w:rsidRPr="00E17370">
        <w:rPr>
          <w:rFonts w:ascii="Palatino Linotype" w:eastAsia="Palatino Linotype" w:hAnsi="Palatino Linotype" w:cs="Palatino Linotype"/>
          <w:b/>
        </w:rPr>
        <w:t>once de mayo de dos mil veintitrés</w:t>
      </w:r>
      <w:r w:rsidRPr="00E17370">
        <w:rPr>
          <w:rFonts w:ascii="Palatino Linotype" w:eastAsia="Palatino Linotype" w:hAnsi="Palatino Linotype" w:cs="Palatino Linotype"/>
        </w:rPr>
        <w:t xml:space="preserve">, el Sujeto Obligado remitió su informe justificado, a través de los siguientes documentos:  </w:t>
      </w:r>
    </w:p>
    <w:p w:rsidR="00C80CAB" w:rsidRPr="00E17370" w:rsidRDefault="00C80CA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C80CAB" w:rsidRPr="00E17370" w:rsidRDefault="00E10F02">
      <w:pPr>
        <w:numPr>
          <w:ilvl w:val="0"/>
          <w:numId w:val="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sz w:val="22"/>
          <w:szCs w:val="22"/>
        </w:rPr>
        <w:t xml:space="preserve">Acta de la Segunda Sesión Ordinaria del Comité de Transparencia del Ayuntamiento de Atlacomulco de fecha veintisiete de abril de dos mil veintidós, mediante la cual se aprobó la versión pública de las actas enviadas. </w:t>
      </w:r>
    </w:p>
    <w:p w:rsidR="00C80CAB" w:rsidRPr="00E17370" w:rsidRDefault="00E10F02">
      <w:pPr>
        <w:numPr>
          <w:ilvl w:val="0"/>
          <w:numId w:val="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sz w:val="22"/>
          <w:szCs w:val="22"/>
        </w:rPr>
        <w:t xml:space="preserve">Oficio número PM/UT/INJ/006/2023, signado por la titular de la Unidad de Transparencia, mediante el cual informa que por error humano, la información no se entregó de manera completa, no obstante, se remite con la finalidad de modificar la respuesta. </w:t>
      </w:r>
    </w:p>
    <w:p w:rsidR="00C80CAB" w:rsidRPr="00E17370" w:rsidRDefault="00E10F02">
      <w:pPr>
        <w:numPr>
          <w:ilvl w:val="0"/>
          <w:numId w:val="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sz w:val="22"/>
          <w:szCs w:val="22"/>
        </w:rPr>
        <w:t xml:space="preserve">Actas de los años dos mil diez y dos mil once, en versión  pública. </w:t>
      </w:r>
    </w:p>
    <w:p w:rsidR="00C80CAB" w:rsidRPr="00E17370" w:rsidRDefault="00C80CAB">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rsidR="00C80CAB" w:rsidRPr="00E17370" w:rsidRDefault="00E10F0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E17370">
        <w:rPr>
          <w:rFonts w:ascii="Palatino Linotype" w:eastAsia="Palatino Linotype" w:hAnsi="Palatino Linotype" w:cs="Palatino Linotype"/>
          <w:sz w:val="22"/>
          <w:szCs w:val="22"/>
        </w:rPr>
        <w:lastRenderedPageBreak/>
        <w:t xml:space="preserve">Los documentos identificados con los incisos a) y b) se hicieron del conocimiento de la parte Recurrente en fecha </w:t>
      </w:r>
      <w:r w:rsidRPr="00E17370">
        <w:rPr>
          <w:rFonts w:ascii="Palatino Linotype" w:eastAsia="Palatino Linotype" w:hAnsi="Palatino Linotype" w:cs="Palatino Linotype"/>
          <w:b/>
          <w:sz w:val="22"/>
          <w:szCs w:val="22"/>
        </w:rPr>
        <w:t xml:space="preserve">veintisiete de septiembre de dos mil veintitrés. </w:t>
      </w:r>
    </w:p>
    <w:p w:rsidR="00C80CAB" w:rsidRPr="00E17370" w:rsidRDefault="00C80CA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C80CAB" w:rsidRPr="00E17370" w:rsidRDefault="00E10F0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sz w:val="22"/>
          <w:szCs w:val="22"/>
        </w:rPr>
        <w:t xml:space="preserve">El documento identificado con el inciso c) no se hicieron del conocimiento de la parte Recurrente, toda vez que, se expusieron datos que actualizaban la causal I del artículo 143 de la Ley de Transparencia y Acceso a la Información Pública del Estado de México y Municipios. </w:t>
      </w:r>
    </w:p>
    <w:p w:rsidR="00C80CAB" w:rsidRPr="00E17370" w:rsidRDefault="00C80CA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C80CAB" w:rsidRPr="00E17370" w:rsidRDefault="00E10F0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sz w:val="22"/>
          <w:szCs w:val="22"/>
        </w:rPr>
        <w:t>La persona Recurrente remitió como manifestaciones el o</w:t>
      </w:r>
      <w:r w:rsidRPr="00E17370">
        <w:rPr>
          <w:rFonts w:ascii="Palatino Linotype" w:eastAsia="Palatino Linotype" w:hAnsi="Palatino Linotype" w:cs="Palatino Linotype"/>
        </w:rPr>
        <w:t>ficio de fecha veintisiete de abril de dos mil veintitrés, signado por el Secretario del Ayuntamiento mediante el cual informa que se adjunta un archivo en PDF que contiene las actas de cabildo de los años 2010 y 2011, remitido en respuesta.</w:t>
      </w:r>
    </w:p>
    <w:p w:rsidR="00C80CAB" w:rsidRPr="00E17370" w:rsidRDefault="00C80CA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C80CAB" w:rsidRPr="00E17370" w:rsidRDefault="00E10F0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b/>
          <w:sz w:val="22"/>
          <w:szCs w:val="22"/>
        </w:rPr>
        <w:t>7. Ampliación de plazo:</w:t>
      </w:r>
      <w:r w:rsidRPr="00E17370">
        <w:rPr>
          <w:rFonts w:ascii="Palatino Linotype" w:eastAsia="Palatino Linotype" w:hAnsi="Palatino Linotype" w:cs="Palatino Linotype"/>
          <w:sz w:val="22"/>
          <w:szCs w:val="22"/>
        </w:rPr>
        <w:t xml:space="preserve"> </w:t>
      </w:r>
      <w:r w:rsidRPr="00E17370">
        <w:rPr>
          <w:rFonts w:ascii="Palatino Linotype" w:eastAsia="Palatino Linotype" w:hAnsi="Palatino Linotype" w:cs="Palatino Linotype"/>
        </w:rPr>
        <w:t xml:space="preserve">El </w:t>
      </w:r>
      <w:r w:rsidRPr="00E17370">
        <w:rPr>
          <w:rFonts w:ascii="Palatino Linotype" w:eastAsia="Palatino Linotype" w:hAnsi="Palatino Linotype" w:cs="Palatino Linotype"/>
          <w:b/>
        </w:rPr>
        <w:t>veintisiete de septiembre de dos mil veintitrés</w:t>
      </w:r>
      <w:r w:rsidRPr="00E17370">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w:t>
      </w:r>
      <w:r w:rsidRPr="00E17370">
        <w:rPr>
          <w:rFonts w:ascii="Palatino Linotype" w:eastAsia="Palatino Linotype" w:hAnsi="Palatino Linotype" w:cs="Palatino Linotype"/>
        </w:rPr>
        <w:lastRenderedPageBreak/>
        <w:t>técnicas y humanas del personal encargado de la proyección de las resoluciones a dichos medios de impugnación.</w:t>
      </w: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 </w:t>
      </w: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 </w:t>
      </w: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C80CAB" w:rsidRPr="00E17370" w:rsidRDefault="00E10F02">
      <w:pPr>
        <w:tabs>
          <w:tab w:val="left" w:pos="709"/>
        </w:tabs>
        <w:spacing w:line="360" w:lineRule="auto"/>
        <w:ind w:left="567" w:right="560"/>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b/>
          <w:sz w:val="22"/>
          <w:szCs w:val="22"/>
        </w:rPr>
        <w:lastRenderedPageBreak/>
        <w:t>a)    Complejidad del asunto:</w:t>
      </w:r>
      <w:r w:rsidRPr="00E1737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rsidR="00C80CAB" w:rsidRPr="00E17370" w:rsidRDefault="00E10F02">
      <w:pPr>
        <w:tabs>
          <w:tab w:val="left" w:pos="709"/>
        </w:tabs>
        <w:spacing w:line="360" w:lineRule="auto"/>
        <w:ind w:left="567" w:right="560"/>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b/>
          <w:sz w:val="22"/>
          <w:szCs w:val="22"/>
        </w:rPr>
        <w:t>b)   Actividad Procesal del interesado</w:t>
      </w:r>
      <w:r w:rsidRPr="00E17370">
        <w:rPr>
          <w:rFonts w:ascii="Palatino Linotype" w:eastAsia="Palatino Linotype" w:hAnsi="Palatino Linotype" w:cs="Palatino Linotype"/>
          <w:sz w:val="22"/>
          <w:szCs w:val="22"/>
        </w:rPr>
        <w:t>: Acciones u omisiones del interesado.</w:t>
      </w:r>
    </w:p>
    <w:p w:rsidR="00C80CAB" w:rsidRPr="00E17370" w:rsidRDefault="00E10F02">
      <w:pPr>
        <w:tabs>
          <w:tab w:val="left" w:pos="851"/>
        </w:tabs>
        <w:spacing w:line="360" w:lineRule="auto"/>
        <w:ind w:left="567" w:right="560"/>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b/>
          <w:sz w:val="22"/>
          <w:szCs w:val="22"/>
        </w:rPr>
        <w:t>c)  Conducta de la Autoridad:</w:t>
      </w:r>
      <w:r w:rsidRPr="00E1737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rsidR="00C80CAB" w:rsidRPr="00E17370" w:rsidRDefault="00E10F02">
      <w:pPr>
        <w:tabs>
          <w:tab w:val="left" w:pos="851"/>
        </w:tabs>
        <w:spacing w:line="360" w:lineRule="auto"/>
        <w:ind w:left="567" w:right="560"/>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b/>
          <w:sz w:val="22"/>
          <w:szCs w:val="22"/>
        </w:rPr>
        <w:t>d) La afectación generada en la situación jurídica de la persona involucrada en el proceso:</w:t>
      </w:r>
      <w:r w:rsidRPr="00E17370">
        <w:rPr>
          <w:rFonts w:ascii="Palatino Linotype" w:eastAsia="Palatino Linotype" w:hAnsi="Palatino Linotype" w:cs="Palatino Linotype"/>
          <w:sz w:val="22"/>
          <w:szCs w:val="22"/>
        </w:rPr>
        <w:t xml:space="preserve"> Violación a sus derechos humanos.</w:t>
      </w:r>
    </w:p>
    <w:p w:rsidR="00C80CAB" w:rsidRPr="00E17370" w:rsidRDefault="00C80CAB">
      <w:pPr>
        <w:tabs>
          <w:tab w:val="left" w:pos="851"/>
        </w:tabs>
        <w:spacing w:line="360" w:lineRule="auto"/>
        <w:ind w:left="567" w:right="560"/>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 </w:t>
      </w: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Argumento que encuentra sustento en la jurisprudencia P./J. 32/92 emitida por el Pleno de la Suprema Corte de Justicia de la Nación de rubro “</w:t>
      </w:r>
      <w:r w:rsidRPr="00E17370">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E17370">
        <w:rPr>
          <w:rFonts w:ascii="Palatino Linotype" w:eastAsia="Palatino Linotype" w:hAnsi="Palatino Linotype" w:cs="Palatino Linotype"/>
        </w:rPr>
        <w:t>, visible en la Gaceta del Seminario Judicial de la Federación con el registro digital 205635.</w:t>
      </w: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 </w:t>
      </w: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 </w:t>
      </w:r>
    </w:p>
    <w:p w:rsidR="00C80CAB" w:rsidRPr="00E17370" w:rsidRDefault="00E10F02">
      <w:pPr>
        <w:spacing w:line="360" w:lineRule="auto"/>
        <w:ind w:left="567" w:right="560"/>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E17370">
        <w:rPr>
          <w:rFonts w:ascii="Palatino Linotype" w:eastAsia="Palatino Linotype" w:hAnsi="Palatino Linotype" w:cs="Palatino Linotype"/>
          <w:sz w:val="22"/>
          <w:szCs w:val="22"/>
        </w:rPr>
        <w:t xml:space="preserve"> consultable en el Seminario Judicial de la Federación y su gaceta, con el registro digital 2002351.</w:t>
      </w:r>
    </w:p>
    <w:p w:rsidR="00C80CAB" w:rsidRPr="00E17370" w:rsidRDefault="00E10F02">
      <w:pPr>
        <w:spacing w:line="360" w:lineRule="auto"/>
        <w:ind w:left="567" w:right="560"/>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sz w:val="22"/>
          <w:szCs w:val="22"/>
        </w:rPr>
        <w:t xml:space="preserve"> </w:t>
      </w:r>
    </w:p>
    <w:p w:rsidR="00C80CAB" w:rsidRPr="00E17370" w:rsidRDefault="00E10F02">
      <w:pPr>
        <w:spacing w:line="360" w:lineRule="auto"/>
        <w:ind w:left="567" w:right="560"/>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E17370">
        <w:rPr>
          <w:rFonts w:ascii="Palatino Linotype" w:eastAsia="Palatino Linotype" w:hAnsi="Palatino Linotype" w:cs="Palatino Linotype"/>
          <w:sz w:val="22"/>
          <w:szCs w:val="22"/>
        </w:rPr>
        <w:t xml:space="preserve"> visible en el Seminario Judicial de la Federación y su gaceta, con el registro digital 2002350.</w:t>
      </w:r>
    </w:p>
    <w:p w:rsidR="00C80CAB" w:rsidRPr="00E17370" w:rsidRDefault="00E10F0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rsidR="00C80CAB" w:rsidRPr="00E17370" w:rsidRDefault="00C80CAB">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C80CAB" w:rsidRPr="00E17370" w:rsidRDefault="00E10F0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8. </w:t>
      </w:r>
      <w:r w:rsidRPr="00E17370">
        <w:rPr>
          <w:rFonts w:ascii="Palatino Linotype" w:eastAsia="Palatino Linotype" w:hAnsi="Palatino Linotype" w:cs="Palatino Linotype"/>
          <w:b/>
        </w:rPr>
        <w:t xml:space="preserve">Cierre de instrucción. </w:t>
      </w:r>
      <w:r w:rsidRPr="00E17370">
        <w:rPr>
          <w:rFonts w:ascii="Palatino Linotype" w:eastAsia="Palatino Linotype" w:hAnsi="Palatino Linotype" w:cs="Palatino Linotype"/>
        </w:rPr>
        <w:t xml:space="preserve">El </w:t>
      </w:r>
      <w:r w:rsidRPr="00E17370">
        <w:rPr>
          <w:rFonts w:ascii="Palatino Linotype" w:eastAsia="Palatino Linotype" w:hAnsi="Palatino Linotype" w:cs="Palatino Linotype"/>
          <w:b/>
        </w:rPr>
        <w:t>tres de octubre de dos mil veintitrés</w:t>
      </w:r>
      <w:r w:rsidRPr="00E1737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C80CAB" w:rsidRPr="00E17370" w:rsidRDefault="00C80CA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C80CAB" w:rsidRPr="00E17370" w:rsidRDefault="00C80CAB">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bookmarkStart w:id="6" w:name="_heading=h.30j0zll" w:colFirst="0" w:colLast="0"/>
      <w:bookmarkEnd w:id="6"/>
    </w:p>
    <w:p w:rsidR="00C80CAB" w:rsidRPr="00E17370" w:rsidRDefault="00E10F02">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17370">
        <w:rPr>
          <w:rFonts w:ascii="Palatino Linotype" w:eastAsia="Palatino Linotype" w:hAnsi="Palatino Linotype" w:cs="Palatino Linotype"/>
          <w:b/>
          <w:sz w:val="22"/>
          <w:szCs w:val="22"/>
        </w:rPr>
        <w:t>C O N S I D E R A N D O:</w:t>
      </w:r>
    </w:p>
    <w:p w:rsidR="00C80CAB" w:rsidRPr="00E17370" w:rsidRDefault="00C80CA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b/>
        </w:rPr>
        <w:t xml:space="preserve">Primero. Competencia. </w:t>
      </w:r>
      <w:r w:rsidRPr="00E17370">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w:t>
      </w:r>
      <w:r w:rsidRPr="00E17370">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rsidR="00C80CAB" w:rsidRPr="00E17370" w:rsidRDefault="00C80CAB">
      <w:pPr>
        <w:spacing w:line="360" w:lineRule="auto"/>
        <w:jc w:val="both"/>
        <w:rPr>
          <w:rFonts w:ascii="Palatino Linotype" w:eastAsia="Palatino Linotype" w:hAnsi="Palatino Linotype" w:cs="Palatino Linotype"/>
          <w:b/>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b/>
        </w:rPr>
        <w:t>Segundo. Oportunidad y Procedibilidad del Recurso de Revisión</w:t>
      </w:r>
      <w:r w:rsidRPr="00E1737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E17370">
        <w:rPr>
          <w:rFonts w:ascii="Palatino Linotype" w:eastAsia="Palatino Linotype" w:hAnsi="Palatino Linotype" w:cs="Palatino Linotype"/>
          <w:b/>
        </w:rPr>
        <w:t>SUJETO OBLIGADO</w:t>
      </w:r>
      <w:r w:rsidRPr="00E17370">
        <w:rPr>
          <w:rFonts w:ascii="Palatino Linotype" w:eastAsia="Palatino Linotype" w:hAnsi="Palatino Linotype" w:cs="Palatino Linotype"/>
        </w:rPr>
        <w:t xml:space="preserve"> proporcionó su respuesta a la solicitud de información el </w:t>
      </w:r>
      <w:r w:rsidRPr="00E17370">
        <w:rPr>
          <w:rFonts w:ascii="Palatino Linotype" w:eastAsia="Palatino Linotype" w:hAnsi="Palatino Linotype" w:cs="Palatino Linotype"/>
          <w:b/>
        </w:rPr>
        <w:t>veintisiete de abril de dos mil veintitrés</w:t>
      </w:r>
      <w:r w:rsidRPr="00E17370">
        <w:rPr>
          <w:rFonts w:ascii="Palatino Linotype" w:eastAsia="Palatino Linotype" w:hAnsi="Palatino Linotype" w:cs="Palatino Linotype"/>
        </w:rPr>
        <w:t xml:space="preserve">, y la persona </w:t>
      </w:r>
      <w:r w:rsidRPr="00E17370">
        <w:rPr>
          <w:rFonts w:ascii="Palatino Linotype" w:eastAsia="Palatino Linotype" w:hAnsi="Palatino Linotype" w:cs="Palatino Linotype"/>
          <w:b/>
        </w:rPr>
        <w:t>RECURRENTE</w:t>
      </w:r>
      <w:r w:rsidRPr="00E17370">
        <w:rPr>
          <w:rFonts w:ascii="Palatino Linotype" w:eastAsia="Palatino Linotype" w:hAnsi="Palatino Linotype" w:cs="Palatino Linotype"/>
        </w:rPr>
        <w:t xml:space="preserve"> presentó su recurso de revisión el </w:t>
      </w:r>
      <w:r w:rsidRPr="00E17370">
        <w:rPr>
          <w:rFonts w:ascii="Palatino Linotype" w:eastAsia="Palatino Linotype" w:hAnsi="Palatino Linotype" w:cs="Palatino Linotype"/>
          <w:b/>
        </w:rPr>
        <w:t>veintiocho de abril dos mil veintitrés</w:t>
      </w:r>
      <w:r w:rsidRPr="00E17370">
        <w:rPr>
          <w:rFonts w:ascii="Palatino Linotype" w:eastAsia="Palatino Linotype" w:hAnsi="Palatino Linotype" w:cs="Palatino Linotype"/>
        </w:rPr>
        <w:t xml:space="preserve">, esto es al siguiente día hábil en que se tuvo conocimiento de la respuesta.  </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 fracción V de la ley de la materia, que a la letra dice:</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r w:rsidRPr="00E17370">
        <w:rPr>
          <w:rFonts w:ascii="Palatino Linotype" w:eastAsia="Palatino Linotype" w:hAnsi="Palatino Linotype" w:cs="Palatino Linotype"/>
          <w:b/>
          <w:i/>
          <w:sz w:val="22"/>
          <w:szCs w:val="22"/>
        </w:rPr>
        <w:t xml:space="preserve">Artículo 179. </w:t>
      </w:r>
      <w:r w:rsidRPr="00E1737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E17370">
        <w:rPr>
          <w:rFonts w:ascii="Palatino Linotype" w:eastAsia="Palatino Linotype" w:hAnsi="Palatino Linotype" w:cs="Palatino Linotype"/>
          <w:i/>
        </w:rPr>
        <w:t>causas</w:t>
      </w:r>
      <w:r w:rsidRPr="00E17370">
        <w:rPr>
          <w:rFonts w:ascii="Palatino Linotype" w:eastAsia="Palatino Linotype" w:hAnsi="Palatino Linotype" w:cs="Palatino Linotype"/>
          <w:i/>
          <w:sz w:val="22"/>
          <w:szCs w:val="22"/>
        </w:rPr>
        <w:t>:</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spacing w:line="360"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V. La entrega de información incompleta;</w:t>
      </w:r>
    </w:p>
    <w:p w:rsidR="00C80CAB" w:rsidRPr="00E17370" w:rsidRDefault="00E10F02">
      <w:pPr>
        <w:spacing w:line="360"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 </w:t>
      </w:r>
    </w:p>
    <w:p w:rsidR="00C80CAB" w:rsidRPr="00E17370" w:rsidRDefault="00C80CAB">
      <w:pPr>
        <w:spacing w:line="360" w:lineRule="auto"/>
        <w:ind w:left="567" w:right="616"/>
        <w:jc w:val="both"/>
        <w:rPr>
          <w:rFonts w:ascii="Palatino Linotype" w:eastAsia="Palatino Linotype" w:hAnsi="Palatino Linotype" w:cs="Palatino Linotype"/>
          <w:i/>
          <w:sz w:val="22"/>
          <w:szCs w:val="22"/>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b/>
        </w:rPr>
        <w:t xml:space="preserve">Tercero. Materia de la revisión. </w:t>
      </w:r>
      <w:r w:rsidRPr="00E17370">
        <w:rPr>
          <w:rFonts w:ascii="Palatino Linotype" w:eastAsia="Palatino Linotype" w:hAnsi="Palatino Linotype" w:cs="Palatino Linotype"/>
        </w:rPr>
        <w:t>Este Organismo Garante procede del análisis de los agravios hechos valer por la persona Recurrente, a fin de determinar si se violenta en perjuicio de este, el derecho de acceso a la información previsto en la Constitución Política de los Estados Unidos Mexicanos y en la Constitución Política del Estado Libre y Soberano de México.</w:t>
      </w:r>
    </w:p>
    <w:p w:rsidR="00C80CAB" w:rsidRPr="00E17370" w:rsidRDefault="00C80CAB">
      <w:pPr>
        <w:spacing w:line="360" w:lineRule="auto"/>
        <w:ind w:left="567" w:right="616"/>
        <w:jc w:val="both"/>
        <w:rPr>
          <w:rFonts w:ascii="Palatino Linotype" w:eastAsia="Palatino Linotype" w:hAnsi="Palatino Linotype" w:cs="Palatino Linotype"/>
          <w:i/>
          <w:sz w:val="22"/>
          <w:szCs w:val="22"/>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b/>
        </w:rPr>
        <w:t xml:space="preserve">Cuarto. Estudio del asunto. </w:t>
      </w:r>
      <w:r w:rsidRPr="00E17370">
        <w:rPr>
          <w:rFonts w:ascii="Palatino Linotype" w:eastAsia="Palatino Linotype" w:hAnsi="Palatino Linotype" w:cs="Palatino Linotype"/>
        </w:rPr>
        <w:t xml:space="preserve">En principio, es conveniente analizar si la respuesta como el informe justificado del </w:t>
      </w:r>
      <w:r w:rsidRPr="00E17370">
        <w:rPr>
          <w:rFonts w:ascii="Palatino Linotype" w:eastAsia="Palatino Linotype" w:hAnsi="Palatino Linotype" w:cs="Palatino Linotype"/>
          <w:b/>
        </w:rPr>
        <w:t>SUJETO OBLIGADO</w:t>
      </w:r>
      <w:r w:rsidRPr="00E17370">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w:t>
      </w:r>
      <w:r w:rsidRPr="00E17370">
        <w:rPr>
          <w:rFonts w:ascii="Palatino Linotype" w:eastAsia="Palatino Linotype" w:hAnsi="Palatino Linotype" w:cs="Palatino Linotype"/>
        </w:rPr>
        <w:lastRenderedPageBreak/>
        <w:t>principio de máxima publicidad, como así lo establece dicha determinación, que a continuación se trascribe para un mejor entendimiento:</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r w:rsidRPr="00E17370">
        <w:rPr>
          <w:rFonts w:ascii="Palatino Linotype" w:eastAsia="Palatino Linotype" w:hAnsi="Palatino Linotype" w:cs="Palatino Linotype"/>
          <w:b/>
          <w:i/>
          <w:sz w:val="22"/>
          <w:szCs w:val="22"/>
        </w:rPr>
        <w:t>Artículo 4</w:t>
      </w:r>
      <w:r w:rsidRPr="00E1737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1737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17370">
        <w:rPr>
          <w:rFonts w:ascii="Palatino Linotype" w:eastAsia="Palatino Linotype" w:hAnsi="Palatino Linotype" w:cs="Palatino Linotype"/>
          <w:i/>
          <w:sz w:val="22"/>
          <w:szCs w:val="22"/>
        </w:rPr>
        <w:t>.”</w:t>
      </w:r>
    </w:p>
    <w:p w:rsidR="00C80CAB" w:rsidRPr="00E17370" w:rsidRDefault="00C80CAB">
      <w:pPr>
        <w:spacing w:line="360" w:lineRule="auto"/>
        <w:ind w:left="567" w:right="616"/>
        <w:jc w:val="both"/>
        <w:rPr>
          <w:rFonts w:ascii="Palatino Linotype" w:eastAsia="Palatino Linotype" w:hAnsi="Palatino Linotype" w:cs="Palatino Linotype"/>
          <w:i/>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C80CAB" w:rsidRPr="00E17370" w:rsidRDefault="00C80CAB">
      <w:pPr>
        <w:jc w:val="both"/>
        <w:rPr>
          <w:rFonts w:ascii="Palatino Linotype" w:eastAsia="Palatino Linotype" w:hAnsi="Palatino Linotype" w:cs="Palatino Linotype"/>
          <w:sz w:val="22"/>
          <w:szCs w:val="22"/>
        </w:rPr>
      </w:pPr>
    </w:p>
    <w:p w:rsidR="00C80CAB" w:rsidRPr="00E17370" w:rsidRDefault="00E10F02">
      <w:pPr>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lastRenderedPageBreak/>
        <w:t>“Artículo 12.-</w:t>
      </w:r>
      <w:r w:rsidRPr="00E1737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C80CAB" w:rsidRPr="00E17370" w:rsidRDefault="00C80CAB">
      <w:pPr>
        <w:ind w:left="567" w:right="616"/>
        <w:jc w:val="both"/>
        <w:rPr>
          <w:rFonts w:ascii="Palatino Linotype" w:eastAsia="Palatino Linotype" w:hAnsi="Palatino Linotype" w:cs="Palatino Linotype"/>
          <w:i/>
          <w:sz w:val="22"/>
          <w:szCs w:val="22"/>
        </w:rPr>
      </w:pPr>
    </w:p>
    <w:p w:rsidR="00C80CAB" w:rsidRPr="00E17370" w:rsidRDefault="00E10F02">
      <w:pPr>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17370">
        <w:rPr>
          <w:rFonts w:ascii="Palatino Linotype" w:eastAsia="Palatino Linotype" w:hAnsi="Palatino Linotype" w:cs="Palatino Linotype"/>
          <w:i/>
          <w:sz w:val="22"/>
          <w:szCs w:val="22"/>
        </w:rPr>
        <w:t xml:space="preserve">. </w:t>
      </w:r>
      <w:r w:rsidRPr="00E1737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C80CAB" w:rsidRPr="00E17370" w:rsidRDefault="00C80CAB">
      <w:pPr>
        <w:spacing w:line="360" w:lineRule="auto"/>
        <w:ind w:right="-93"/>
        <w:jc w:val="both"/>
        <w:rPr>
          <w:rFonts w:ascii="Palatino Linotype" w:eastAsia="Palatino Linotype" w:hAnsi="Palatino Linotype" w:cs="Palatino Linotype"/>
        </w:rPr>
      </w:pPr>
    </w:p>
    <w:p w:rsidR="00C80CAB" w:rsidRPr="00E17370" w:rsidRDefault="00E10F02">
      <w:pPr>
        <w:spacing w:line="360" w:lineRule="auto"/>
        <w:ind w:right="-93"/>
        <w:jc w:val="both"/>
        <w:rPr>
          <w:rFonts w:ascii="Palatino Linotype" w:eastAsia="Palatino Linotype" w:hAnsi="Palatino Linotype" w:cs="Palatino Linotype"/>
        </w:rPr>
      </w:pPr>
      <w:r w:rsidRPr="00E17370">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C80CAB" w:rsidRPr="00E17370" w:rsidRDefault="00C80CAB">
      <w:pPr>
        <w:spacing w:line="360" w:lineRule="auto"/>
        <w:ind w:right="-93"/>
        <w:jc w:val="both"/>
        <w:rPr>
          <w:rFonts w:ascii="Palatino Linotype" w:eastAsia="Palatino Linotype" w:hAnsi="Palatino Linotype" w:cs="Palatino Linotype"/>
        </w:rPr>
      </w:pPr>
    </w:p>
    <w:p w:rsidR="00C80CAB" w:rsidRPr="00E17370" w:rsidRDefault="00E10F02">
      <w:pPr>
        <w:spacing w:line="360" w:lineRule="auto"/>
        <w:jc w:val="both"/>
        <w:rPr>
          <w:rFonts w:ascii="Palatino Linotype" w:eastAsia="Palatino Linotype" w:hAnsi="Palatino Linotype" w:cs="Palatino Linotype"/>
          <w:b/>
        </w:rPr>
      </w:pPr>
      <w:r w:rsidRPr="00E17370">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E17370">
        <w:rPr>
          <w:rFonts w:ascii="Palatino Linotype" w:eastAsia="Palatino Linotype" w:hAnsi="Palatino Linotype" w:cs="Palatino Linotype"/>
          <w:b/>
        </w:rPr>
        <w:t xml:space="preserve"> </w:t>
      </w:r>
    </w:p>
    <w:p w:rsidR="00C80CAB" w:rsidRPr="00E17370" w:rsidRDefault="00C80CAB">
      <w:pPr>
        <w:spacing w:line="360" w:lineRule="auto"/>
        <w:jc w:val="both"/>
        <w:rPr>
          <w:rFonts w:ascii="Palatino Linotype" w:eastAsia="Palatino Linotype" w:hAnsi="Palatino Linotype" w:cs="Palatino Linotype"/>
          <w:b/>
        </w:rPr>
      </w:pPr>
    </w:p>
    <w:p w:rsidR="00C80CAB" w:rsidRPr="00E17370" w:rsidRDefault="00E10F02">
      <w:pPr>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r w:rsidRPr="00E17370">
        <w:rPr>
          <w:rFonts w:ascii="Palatino Linotype" w:eastAsia="Palatino Linotype" w:hAnsi="Palatino Linotype" w:cs="Palatino Linotype"/>
          <w:b/>
          <w:i/>
          <w:sz w:val="22"/>
          <w:szCs w:val="22"/>
        </w:rPr>
        <w:t>No existe obligación de elaborar documentos ad hoc para atender las solicitudes de acceso a la información.</w:t>
      </w:r>
      <w:r w:rsidRPr="00E1737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w:t>
      </w:r>
      <w:r w:rsidRPr="00E17370">
        <w:rPr>
          <w:rFonts w:ascii="Palatino Linotype" w:eastAsia="Palatino Linotype" w:hAnsi="Palatino Linotype" w:cs="Palatino Linotype"/>
          <w:i/>
          <w:sz w:val="22"/>
          <w:szCs w:val="22"/>
        </w:rPr>
        <w:lastRenderedPageBreak/>
        <w:t xml:space="preserve">formato en que la misma obre en sus archivos; sin necesidad de elaborar documentos ad hoc para atender las solicitudes de información”. </w:t>
      </w:r>
    </w:p>
    <w:p w:rsidR="00C80CAB" w:rsidRPr="00E17370" w:rsidRDefault="00C80CAB">
      <w:pPr>
        <w:spacing w:line="360" w:lineRule="auto"/>
        <w:ind w:right="-93"/>
        <w:jc w:val="both"/>
        <w:rPr>
          <w:rFonts w:ascii="Palatino Linotype" w:eastAsia="Palatino Linotype" w:hAnsi="Palatino Linotype" w:cs="Palatino Linotype"/>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E17370">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rsidR="00C80CAB" w:rsidRPr="00E17370" w:rsidRDefault="00C80CAB">
      <w:pPr>
        <w:spacing w:line="360" w:lineRule="auto"/>
        <w:ind w:left="851" w:right="899"/>
        <w:jc w:val="both"/>
        <w:rPr>
          <w:rFonts w:ascii="Palatino Linotype" w:eastAsia="Palatino Linotype" w:hAnsi="Palatino Linotype" w:cs="Palatino Linotype"/>
          <w:i/>
        </w:rPr>
      </w:pP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r w:rsidRPr="00E17370">
        <w:rPr>
          <w:rFonts w:ascii="Palatino Linotype" w:eastAsia="Palatino Linotype" w:hAnsi="Palatino Linotype" w:cs="Palatino Linotype"/>
          <w:b/>
          <w:i/>
          <w:sz w:val="22"/>
          <w:szCs w:val="22"/>
        </w:rPr>
        <w:t xml:space="preserve">Artículo 3. </w:t>
      </w:r>
      <w:r w:rsidRPr="00E17370">
        <w:rPr>
          <w:rFonts w:ascii="Palatino Linotype" w:eastAsia="Palatino Linotype" w:hAnsi="Palatino Linotype" w:cs="Palatino Linotype"/>
          <w:i/>
          <w:sz w:val="22"/>
          <w:szCs w:val="22"/>
        </w:rPr>
        <w:t>Para los efectos de la presente Ley se entenderá por:</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XI. Documento:</w:t>
      </w:r>
      <w:r w:rsidRPr="00E17370">
        <w:rPr>
          <w:rFonts w:ascii="Palatino Linotype" w:eastAsia="Palatino Linotype" w:hAnsi="Palatino Linotype" w:cs="Palatino Linotype"/>
          <w:i/>
          <w:sz w:val="22"/>
          <w:szCs w:val="22"/>
        </w:rPr>
        <w:t xml:space="preserve"> Los expedientes, reportes, estudios, actas</w:t>
      </w:r>
      <w:r w:rsidRPr="00E17370">
        <w:rPr>
          <w:rFonts w:ascii="Palatino Linotype" w:eastAsia="Palatino Linotype" w:hAnsi="Palatino Linotype" w:cs="Palatino Linotype"/>
          <w:b/>
          <w:i/>
          <w:sz w:val="22"/>
          <w:szCs w:val="22"/>
        </w:rPr>
        <w:t>,</w:t>
      </w:r>
      <w:r w:rsidRPr="00E1737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C80CAB" w:rsidRPr="00E17370" w:rsidRDefault="00C80CAB">
      <w:pPr>
        <w:spacing w:line="360" w:lineRule="auto"/>
        <w:ind w:left="851" w:right="899"/>
        <w:jc w:val="both"/>
        <w:rPr>
          <w:rFonts w:ascii="Palatino Linotype" w:eastAsia="Palatino Linotype" w:hAnsi="Palatino Linotype" w:cs="Palatino Linotype"/>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C80CAB" w:rsidRPr="00E17370" w:rsidRDefault="00C80CAB">
      <w:pPr>
        <w:spacing w:line="276" w:lineRule="auto"/>
        <w:jc w:val="both"/>
        <w:rPr>
          <w:rFonts w:ascii="Palatino Linotype" w:eastAsia="Palatino Linotype" w:hAnsi="Palatino Linotype" w:cs="Palatino Linotype"/>
          <w:sz w:val="22"/>
          <w:szCs w:val="22"/>
        </w:rPr>
      </w:pPr>
    </w:p>
    <w:p w:rsidR="00C80CAB" w:rsidRPr="00E17370" w:rsidRDefault="00E10F02">
      <w:pPr>
        <w:spacing w:line="276" w:lineRule="auto"/>
        <w:ind w:left="567" w:right="616"/>
        <w:jc w:val="both"/>
        <w:rPr>
          <w:rFonts w:ascii="Palatino Linotype" w:eastAsia="Palatino Linotype" w:hAnsi="Palatino Linotype" w:cs="Palatino Linotype"/>
          <w:b/>
          <w:i/>
          <w:sz w:val="22"/>
          <w:szCs w:val="22"/>
        </w:rPr>
      </w:pPr>
      <w:r w:rsidRPr="00E1737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E1737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En consecuencia el acceso a la información se refiere a que se cumplan cualquiera de los siguientes tres supuestos:</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rsidR="00C80CAB" w:rsidRPr="00E17370" w:rsidRDefault="00E10F02">
      <w:pPr>
        <w:spacing w:line="276" w:lineRule="auto"/>
        <w:ind w:left="567" w:right="616"/>
        <w:jc w:val="both"/>
        <w:rPr>
          <w:rFonts w:ascii="Palatino Linotype" w:eastAsia="Palatino Linotype" w:hAnsi="Palatino Linotype" w:cs="Palatino Linotype"/>
          <w:b/>
          <w:i/>
          <w:sz w:val="22"/>
          <w:szCs w:val="22"/>
        </w:rPr>
      </w:pPr>
      <w:r w:rsidRPr="00E1737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C80CAB" w:rsidRPr="00E17370" w:rsidRDefault="00E10F02">
      <w:pPr>
        <w:spacing w:line="276" w:lineRule="auto"/>
        <w:ind w:left="567" w:right="616"/>
        <w:jc w:val="both"/>
        <w:rPr>
          <w:rFonts w:ascii="Palatino Linotype" w:eastAsia="Palatino Linotype" w:hAnsi="Palatino Linotype" w:cs="Palatino Linotype"/>
          <w:b/>
          <w:i/>
          <w:sz w:val="22"/>
          <w:szCs w:val="22"/>
        </w:rPr>
      </w:pPr>
      <w:r w:rsidRPr="00E1737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C80CAB" w:rsidRPr="00E17370" w:rsidRDefault="00C80CAB">
      <w:pPr>
        <w:spacing w:line="360" w:lineRule="auto"/>
        <w:ind w:right="-93"/>
        <w:jc w:val="both"/>
        <w:rPr>
          <w:rFonts w:ascii="Palatino Linotype" w:eastAsia="Palatino Linotype" w:hAnsi="Palatino Linotype" w:cs="Palatino Linotype"/>
        </w:rPr>
      </w:pPr>
    </w:p>
    <w:p w:rsidR="00C80CAB" w:rsidRPr="00E17370" w:rsidRDefault="00E10F02">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V del artículo 179 de la Ley de Transparencia y Acceso a la Información del Estado de México y Municipios, relativa a la entrega de información incompleta. </w:t>
      </w:r>
    </w:p>
    <w:p w:rsidR="00C80CAB" w:rsidRPr="00E17370" w:rsidRDefault="00C80C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C80CAB" w:rsidRPr="00E17370" w:rsidRDefault="00E10F02">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E17370">
        <w:rPr>
          <w:rFonts w:ascii="Palatino Linotype" w:eastAsia="Palatino Linotype" w:hAnsi="Palatino Linotype" w:cs="Palatino Linotype"/>
        </w:rPr>
        <w:t xml:space="preserve">En ese sentido, resulta procedente recordar que el Particular desea obtener </w:t>
      </w:r>
      <w:r w:rsidRPr="00E17370">
        <w:rPr>
          <w:rFonts w:ascii="Palatino Linotype" w:eastAsia="Palatino Linotype" w:hAnsi="Palatino Linotype" w:cs="Palatino Linotype"/>
          <w:b/>
        </w:rPr>
        <w:t xml:space="preserve">las Actas de Cabildo de los años dos mil diez y dos mil once. </w:t>
      </w:r>
    </w:p>
    <w:p w:rsidR="00C80CAB" w:rsidRPr="00E17370" w:rsidRDefault="00C80CAB">
      <w:pPr>
        <w:spacing w:line="360" w:lineRule="auto"/>
        <w:ind w:right="49"/>
        <w:jc w:val="both"/>
        <w:rPr>
          <w:rFonts w:ascii="Palatino Linotype" w:eastAsia="Palatino Linotype" w:hAnsi="Palatino Linotype" w:cs="Palatino Linotype"/>
          <w:b/>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En respuesta, el Sujeto Obligado a través de su Secretario del Ayuntamiento, refirió que se adjuntaba en un archivo en formato PDF las actas de cabildo de los años 2010 y 2011. </w:t>
      </w:r>
    </w:p>
    <w:p w:rsidR="00C80CAB" w:rsidRPr="00E17370" w:rsidRDefault="00C80CAB">
      <w:pPr>
        <w:spacing w:line="360" w:lineRule="auto"/>
        <w:ind w:right="49"/>
        <w:jc w:val="both"/>
        <w:rPr>
          <w:rFonts w:ascii="Palatino Linotype" w:eastAsia="Palatino Linotype" w:hAnsi="Palatino Linotype" w:cs="Palatino Linotype"/>
          <w:sz w:val="22"/>
          <w:szCs w:val="22"/>
        </w:rPr>
      </w:pPr>
    </w:p>
    <w:p w:rsidR="00C80CAB" w:rsidRPr="00E17370" w:rsidRDefault="00E10F02">
      <w:pPr>
        <w:spacing w:line="360" w:lineRule="auto"/>
        <w:ind w:right="49"/>
        <w:jc w:val="both"/>
        <w:rPr>
          <w:rFonts w:ascii="Palatino Linotype" w:eastAsia="Palatino Linotype" w:hAnsi="Palatino Linotype" w:cs="Palatino Linotype"/>
          <w:b/>
        </w:rPr>
      </w:pPr>
      <w:r w:rsidRPr="00E17370">
        <w:rPr>
          <w:rFonts w:ascii="Palatino Linotype" w:eastAsia="Palatino Linotype" w:hAnsi="Palatino Linotype" w:cs="Palatino Linotype"/>
        </w:rPr>
        <w:t xml:space="preserve">Derivado de ello, la parte Solicitante se inconformó arguyendo que </w:t>
      </w:r>
      <w:r w:rsidRPr="00E17370">
        <w:rPr>
          <w:rFonts w:ascii="Palatino Linotype" w:eastAsia="Palatino Linotype" w:hAnsi="Palatino Linotype" w:cs="Palatino Linotype"/>
          <w:b/>
        </w:rPr>
        <w:t xml:space="preserve">no se habían anexado las actas de cabildo. </w:t>
      </w:r>
    </w:p>
    <w:p w:rsidR="00C80CAB" w:rsidRPr="00E17370" w:rsidRDefault="00C80CAB">
      <w:pPr>
        <w:spacing w:line="360" w:lineRule="auto"/>
        <w:ind w:right="49"/>
        <w:jc w:val="both"/>
        <w:rPr>
          <w:rFonts w:ascii="Palatino Linotype" w:eastAsia="Palatino Linotype" w:hAnsi="Palatino Linotype" w:cs="Palatino Linotype"/>
          <w:b/>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Es así que, mediante informe justificado, el Sujeto Obligado, a través del Secretario del Ayuntamiento, remitió las actas de los años dos mil diez y dos mil once, en </w:t>
      </w:r>
      <w:r w:rsidRPr="00E17370">
        <w:rPr>
          <w:rFonts w:ascii="Palatino Linotype" w:eastAsia="Palatino Linotype" w:hAnsi="Palatino Linotype" w:cs="Palatino Linotype"/>
        </w:rPr>
        <w:lastRenderedPageBreak/>
        <w:t>versión  pública y, el Acta de la Segunda Sesión Ordinaria del Comité de Transparencia del Ayuntamiento de Atlacomulco de fecha veintisiete de abril de dos mil veintidós, mediante la cual se aprobó la versión pública de las actas enviadas.</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Dicho lo anterior, resulta importante contextualizar la información solicitada por el ahora Recurrente, para ello, es preciso traer a colación lo establecido en la Constitución Política de los Estados Unidos Mexicanos en el artículo 115 fracciones I y II, que a la letra precisan lo siguiente: </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“Artículo 115.</w:t>
      </w:r>
      <w:r w:rsidRPr="00E17370">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80CAB" w:rsidRPr="00E17370" w:rsidRDefault="00E10F02">
      <w:pPr>
        <w:spacing w:line="276" w:lineRule="auto"/>
        <w:ind w:left="567"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I</w:t>
      </w:r>
      <w:r w:rsidRPr="00E17370">
        <w:rPr>
          <w:rFonts w:ascii="Palatino Linotype" w:eastAsia="Palatino Linotype" w:hAnsi="Palatino Linotype" w:cs="Palatino Linotype"/>
          <w:i/>
          <w:sz w:val="22"/>
          <w:szCs w:val="22"/>
        </w:rPr>
        <w:t>.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C80CAB" w:rsidRPr="00E17370" w:rsidRDefault="00E10F02">
      <w:pPr>
        <w:spacing w:line="276" w:lineRule="auto"/>
        <w:ind w:left="567"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 xml:space="preserve">II. </w:t>
      </w:r>
      <w:r w:rsidRPr="00E17370">
        <w:rPr>
          <w:rFonts w:ascii="Palatino Linotype" w:eastAsia="Palatino Linotype" w:hAnsi="Palatino Linotype" w:cs="Palatino Linotype"/>
          <w:i/>
          <w:sz w:val="22"/>
          <w:szCs w:val="22"/>
        </w:rPr>
        <w:t xml:space="preserve">Los municipios estarán investidos de personalidad jurídica y manejarán su patrimonio conforme a la ley. </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Del texto transcrito se advierte que los municipios son la base de la división territorial de los Estados, mismos que serán gobernados por un Ayuntamiento de elección popular, compuesto por un Presidente Municipal y el número de regidores </w:t>
      </w:r>
      <w:r w:rsidRPr="00E17370">
        <w:rPr>
          <w:rFonts w:ascii="Palatino Linotype" w:eastAsia="Palatino Linotype" w:hAnsi="Palatino Linotype" w:cs="Palatino Linotype"/>
        </w:rPr>
        <w:lastRenderedPageBreak/>
        <w:t>y síndicos que la ley determine, los cuales estarán investidos de personalidad jurídica y patrimonio propio.</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Por su parte, la Constitución Política del Estado Libre y Soberano de México</w:t>
      </w:r>
      <w:r w:rsidRPr="00E17370">
        <w:rPr>
          <w:rFonts w:ascii="Palatino Linotype" w:eastAsia="Palatino Linotype" w:hAnsi="Palatino Linotype" w:cs="Palatino Linotype"/>
          <w:i/>
        </w:rPr>
        <w:t>,</w:t>
      </w:r>
      <w:r w:rsidRPr="00E17370">
        <w:rPr>
          <w:rFonts w:ascii="Palatino Linotype" w:eastAsia="Palatino Linotype" w:hAnsi="Palatino Linotype" w:cs="Palatino Linotype"/>
        </w:rPr>
        <w:t xml:space="preserve"> reconoce en su artículo 112, a los Municipios como la base de la división territorial y organización política y administrativa del Estado, además de establecer las funciones y atribuciones contenidas en la Constitución Federal, cuestiones que no se pasaron por alto al emitir la Ley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 quienes tomarán sus decisiones mediante asamblea deliberante, de conformidad con el párrafo primero del artículo 116 de la Constitución Política del Estado Libre y Soberano de México</w:t>
      </w:r>
      <w:r w:rsidRPr="00E17370">
        <w:rPr>
          <w:rFonts w:ascii="Palatino Linotype" w:eastAsia="Palatino Linotype" w:hAnsi="Palatino Linotype" w:cs="Palatino Linotype"/>
          <w:i/>
        </w:rPr>
        <w:t xml:space="preserve">, </w:t>
      </w:r>
      <w:r w:rsidRPr="00E17370">
        <w:rPr>
          <w:rFonts w:ascii="Palatino Linotype" w:eastAsia="Palatino Linotype" w:hAnsi="Palatino Linotype" w:cs="Palatino Linotype"/>
        </w:rPr>
        <w:t>a saber:</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“Artículo 116</w:t>
      </w:r>
      <w:r w:rsidRPr="00E17370">
        <w:rPr>
          <w:rFonts w:ascii="Palatino Linotype" w:eastAsia="Palatino Linotype" w:hAnsi="Palatino Linotype" w:cs="Palatino Linotype"/>
          <w:i/>
          <w:sz w:val="22"/>
          <w:szCs w:val="22"/>
        </w:rPr>
        <w:t xml:space="preserve">.- </w:t>
      </w:r>
      <w:r w:rsidRPr="00E17370">
        <w:rPr>
          <w:rFonts w:ascii="Palatino Linotype" w:eastAsia="Palatino Linotype" w:hAnsi="Palatino Linotype" w:cs="Palatino Linotype"/>
          <w:b/>
          <w:i/>
          <w:sz w:val="22"/>
          <w:szCs w:val="22"/>
        </w:rPr>
        <w:t>Los ayuntamientos serán asamblea deliberante</w:t>
      </w:r>
      <w:r w:rsidRPr="00E17370">
        <w:rPr>
          <w:rFonts w:ascii="Palatino Linotype" w:eastAsia="Palatino Linotype" w:hAnsi="Palatino Linotype" w:cs="Palatino Linotype"/>
          <w:i/>
          <w:sz w:val="22"/>
          <w:szCs w:val="22"/>
        </w:rPr>
        <w:t xml:space="preserve"> y </w:t>
      </w:r>
      <w:r w:rsidRPr="00E17370">
        <w:rPr>
          <w:rFonts w:ascii="Palatino Linotype" w:eastAsia="Palatino Linotype" w:hAnsi="Palatino Linotype" w:cs="Palatino Linotype"/>
          <w:b/>
          <w:i/>
          <w:sz w:val="22"/>
          <w:szCs w:val="22"/>
        </w:rPr>
        <w:t>tendrán autoridad y competencia propias en los asuntos que se sometan a su decisión</w:t>
      </w:r>
      <w:r w:rsidRPr="00E17370">
        <w:rPr>
          <w:rFonts w:ascii="Palatino Linotype" w:eastAsia="Palatino Linotype" w:hAnsi="Palatino Linotype" w:cs="Palatino Linotype"/>
          <w:i/>
          <w:sz w:val="22"/>
          <w:szCs w:val="22"/>
        </w:rPr>
        <w:t>, pero la ejecución de esta corresponderá exclusivamente a los presidentes municipales, quienes durarán en sus funciones tres años.”</w:t>
      </w:r>
    </w:p>
    <w:p w:rsidR="00C80CAB" w:rsidRPr="00E17370" w:rsidRDefault="00C80CAB">
      <w:pPr>
        <w:spacing w:line="360" w:lineRule="auto"/>
        <w:ind w:left="851" w:right="900"/>
        <w:jc w:val="both"/>
        <w:rPr>
          <w:rFonts w:ascii="Palatino Linotype" w:eastAsia="Palatino Linotype" w:hAnsi="Palatino Linotype" w:cs="Palatino Linotype"/>
          <w:i/>
          <w:sz w:val="22"/>
          <w:szCs w:val="22"/>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Por su parte, la Ley Orgánica Municipal del Estado de México, establece en sus artículos 28, 29, 30, 48 y 91, en su parte conducente, lo siguiente:</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lastRenderedPageBreak/>
        <w:t>“</w:t>
      </w:r>
      <w:r w:rsidRPr="00E17370">
        <w:rPr>
          <w:rFonts w:ascii="Palatino Linotype" w:eastAsia="Palatino Linotype" w:hAnsi="Palatino Linotype" w:cs="Palatino Linotype"/>
          <w:b/>
          <w:i/>
          <w:sz w:val="22"/>
          <w:szCs w:val="22"/>
        </w:rPr>
        <w:t>Artículo 28</w:t>
      </w:r>
      <w:r w:rsidRPr="00E17370">
        <w:rPr>
          <w:rFonts w:ascii="Palatino Linotype" w:eastAsia="Palatino Linotype" w:hAnsi="Palatino Linotype" w:cs="Palatino Linotype"/>
          <w:i/>
          <w:sz w:val="22"/>
          <w:szCs w:val="22"/>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 </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Los ayuntamientos sesionarán en cabildo abierto cuando menos bimestralmente, y de manera anual, durante el mes de agosto, se realizarán cabildos juveniles. </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El cabildo abierto son las sesiones que celebra el Ayuntamiento, en las que las personas habitantes involucradas participan directamente con derecho a voz, pero sin voto, a fin de discutir asuntos de interés y con competencia sobre el mismo. </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Artículo 29.</w:t>
      </w:r>
      <w:r w:rsidRPr="00E17370">
        <w:rPr>
          <w:rFonts w:ascii="Palatino Linotype" w:eastAsia="Palatino Linotype" w:hAnsi="Palatino Linotype" w:cs="Palatino Linotype"/>
          <w:i/>
          <w:sz w:val="22"/>
          <w:szCs w:val="22"/>
        </w:rPr>
        <w:t xml:space="preserve">- Los ayuntamientos podrán sesionar con la asistencia de la mayoría de sus integrantes y sus acuerdos se tomarán por mayoría de votos de sus miembros presentes. </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Quien presida la sesión, tendrá voto de calidad.</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Artículo 30.</w:t>
      </w:r>
      <w:r w:rsidRPr="00E17370">
        <w:rPr>
          <w:rFonts w:ascii="Palatino Linotype" w:eastAsia="Palatino Linotype" w:hAnsi="Palatino Linotype" w:cs="Palatino Linotype"/>
          <w:i/>
          <w:sz w:val="22"/>
          <w:szCs w:val="22"/>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lastRenderedPageBreak/>
        <w:t>…</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Artículo 48.-</w:t>
      </w:r>
      <w:r w:rsidRPr="00E17370">
        <w:rPr>
          <w:rFonts w:ascii="Palatino Linotype" w:eastAsia="Palatino Linotype" w:hAnsi="Palatino Linotype" w:cs="Palatino Linotype"/>
          <w:i/>
          <w:sz w:val="22"/>
          <w:szCs w:val="22"/>
        </w:rPr>
        <w:t xml:space="preserve"> El presidente municipal tiene las siguientes atribuciones:</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V.</w:t>
      </w:r>
      <w:r w:rsidRPr="00E17370">
        <w:rPr>
          <w:rFonts w:ascii="Palatino Linotype" w:eastAsia="Palatino Linotype" w:hAnsi="Palatino Linotype" w:cs="Palatino Linotype"/>
          <w:i/>
          <w:sz w:val="22"/>
          <w:szCs w:val="22"/>
        </w:rPr>
        <w:t xml:space="preserve"> Convocar a sesiones ordinarias y extraordinarias a los integrantes del ayuntamiento;</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t>[…]</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Artículo 91.-</w:t>
      </w:r>
      <w:r w:rsidRPr="00E17370">
        <w:rPr>
          <w:rFonts w:ascii="Palatino Linotype" w:eastAsia="Palatino Linotype" w:hAnsi="Palatino Linotype" w:cs="Palatino Linotype"/>
          <w:i/>
          <w:sz w:val="22"/>
          <w:szCs w:val="22"/>
        </w:rPr>
        <w:t xml:space="preserve"> La </w:t>
      </w:r>
      <w:r w:rsidRPr="00E17370">
        <w:rPr>
          <w:rFonts w:ascii="Palatino Linotype" w:eastAsia="Palatino Linotype" w:hAnsi="Palatino Linotype" w:cs="Palatino Linotype"/>
          <w:b/>
          <w:i/>
          <w:sz w:val="22"/>
          <w:szCs w:val="22"/>
        </w:rPr>
        <w:t>Secretaría del Ayuntamiento</w:t>
      </w:r>
      <w:r w:rsidRPr="00E17370">
        <w:rPr>
          <w:rFonts w:ascii="Palatino Linotype" w:eastAsia="Palatino Linotype" w:hAnsi="Palatino Linotype" w:cs="Palatino Linotype"/>
          <w:i/>
          <w:sz w:val="22"/>
          <w:szCs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I.</w:t>
      </w:r>
      <w:r w:rsidRPr="00E17370">
        <w:rPr>
          <w:rFonts w:ascii="Palatino Linotype" w:eastAsia="Palatino Linotype" w:hAnsi="Palatino Linotype" w:cs="Palatino Linotype"/>
          <w:i/>
          <w:sz w:val="22"/>
          <w:szCs w:val="22"/>
        </w:rPr>
        <w:t xml:space="preserve"> Asistir a las sesiones del ayuntamiento y levantar las actas correspondientes; </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spacing w:line="276" w:lineRule="auto"/>
        <w:ind w:left="567" w:right="900"/>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IV. Llevar y conservar los libros de actas de cabildo, obteniendo las firmas de los asistentes a las sesiones;”</w:t>
      </w:r>
    </w:p>
    <w:p w:rsidR="00C80CAB" w:rsidRPr="00E17370" w:rsidRDefault="00C80CAB">
      <w:pPr>
        <w:spacing w:line="276" w:lineRule="auto"/>
        <w:ind w:left="567" w:right="900"/>
        <w:jc w:val="both"/>
        <w:rPr>
          <w:rFonts w:ascii="Palatino Linotype" w:eastAsia="Palatino Linotype" w:hAnsi="Palatino Linotype" w:cs="Palatino Linotype"/>
          <w:i/>
          <w:sz w:val="22"/>
          <w:szCs w:val="22"/>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De lo anterior se desprende lo siguiente: </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sz w:val="22"/>
          <w:szCs w:val="22"/>
        </w:rPr>
        <w:t xml:space="preserve">Que para cada sesión del Ayuntamiento se debe levantarse el acta correspondiente, misma que debe contener los acuerdos, asuntos tratados y el resultado de la votación, función que le corresponde al </w:t>
      </w:r>
      <w:r w:rsidRPr="00E17370">
        <w:rPr>
          <w:rFonts w:ascii="Palatino Linotype" w:eastAsia="Palatino Linotype" w:hAnsi="Palatino Linotype" w:cs="Palatino Linotype"/>
          <w:b/>
          <w:sz w:val="22"/>
          <w:szCs w:val="22"/>
          <w:u w:val="single"/>
        </w:rPr>
        <w:t>Secretario del Ayuntamiento</w:t>
      </w:r>
      <w:r w:rsidRPr="00E17370">
        <w:rPr>
          <w:rFonts w:ascii="Palatino Linotype" w:eastAsia="Palatino Linotype" w:hAnsi="Palatino Linotype" w:cs="Palatino Linotype"/>
          <w:sz w:val="22"/>
          <w:szCs w:val="22"/>
        </w:rPr>
        <w:t xml:space="preserve">, quien además deberá llevar y conservar el libro de las actas de cabildo con un extracto de estas. </w:t>
      </w:r>
    </w:p>
    <w:p w:rsidR="00C80CAB" w:rsidRPr="00E17370" w:rsidRDefault="00C80CA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Por otro lado, no debe perderse de vista el contenido de los artículos 92 fracción L y 94 fracción II inciso b) de la Ley de Transparencia y Acceso a la Información Pública del Estado de México y Municipios</w:t>
      </w:r>
      <w:r w:rsidRPr="00E17370">
        <w:rPr>
          <w:rFonts w:ascii="Palatino Linotype" w:eastAsia="Palatino Linotype" w:hAnsi="Palatino Linotype" w:cs="Palatino Linotype"/>
          <w:i/>
        </w:rPr>
        <w:t>,</w:t>
      </w:r>
      <w:r w:rsidRPr="00E17370">
        <w:rPr>
          <w:rFonts w:ascii="Palatino Linotype" w:eastAsia="Palatino Linotype" w:hAnsi="Palatino Linotype" w:cs="Palatino Linotype"/>
        </w:rPr>
        <w:t xml:space="preserve"> a saber:</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ind w:left="851"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“Artículo 92.</w:t>
      </w:r>
      <w:r w:rsidRPr="00E17370">
        <w:rPr>
          <w:rFonts w:ascii="Palatino Linotype" w:eastAsia="Palatino Linotype" w:hAnsi="Palatino Linotype" w:cs="Palatino Linotype"/>
          <w:i/>
          <w:sz w:val="22"/>
          <w:szCs w:val="22"/>
        </w:rPr>
        <w:t xml:space="preserve"> Los </w:t>
      </w:r>
      <w:r w:rsidRPr="00E17370">
        <w:rPr>
          <w:rFonts w:ascii="Palatino Linotype" w:eastAsia="Palatino Linotype" w:hAnsi="Palatino Linotype" w:cs="Palatino Linotype"/>
          <w:b/>
          <w:i/>
          <w:sz w:val="22"/>
          <w:szCs w:val="22"/>
        </w:rPr>
        <w:t>sujetos obligados</w:t>
      </w:r>
      <w:r w:rsidRPr="00E17370">
        <w:rPr>
          <w:rFonts w:ascii="Palatino Linotype" w:eastAsia="Palatino Linotype" w:hAnsi="Palatino Linotype" w:cs="Palatino Linotype"/>
          <w:i/>
          <w:sz w:val="22"/>
          <w:szCs w:val="22"/>
        </w:rPr>
        <w:t xml:space="preserve"> deberán poner a disposición del público de manera permanente y actualizada de forma sencilla, precisa y entendible, en los respectivos medios electrónicos, de acuerdo con sus facultades, atribuciones, </w:t>
      </w:r>
      <w:r w:rsidRPr="00E17370">
        <w:rPr>
          <w:rFonts w:ascii="Palatino Linotype" w:eastAsia="Palatino Linotype" w:hAnsi="Palatino Linotype" w:cs="Palatino Linotype"/>
          <w:i/>
          <w:sz w:val="22"/>
          <w:szCs w:val="22"/>
        </w:rPr>
        <w:lastRenderedPageBreak/>
        <w:t>funciones u objeto social, según corresponda, la información, por lo menos, de los temas, documentos y políticas que a continuación se señalan:</w:t>
      </w:r>
    </w:p>
    <w:p w:rsidR="00C80CAB" w:rsidRPr="00E17370" w:rsidRDefault="00E10F02">
      <w:pPr>
        <w:ind w:left="851"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ind w:left="851"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L</w:t>
      </w:r>
      <w:r w:rsidRPr="00E17370">
        <w:rPr>
          <w:rFonts w:ascii="Palatino Linotype" w:eastAsia="Palatino Linotype" w:hAnsi="Palatino Linotype" w:cs="Palatino Linotype"/>
          <w:i/>
          <w:sz w:val="22"/>
          <w:szCs w:val="22"/>
        </w:rPr>
        <w:t xml:space="preserve">. </w:t>
      </w:r>
      <w:r w:rsidRPr="00E17370">
        <w:rPr>
          <w:rFonts w:ascii="Palatino Linotype" w:eastAsia="Palatino Linotype" w:hAnsi="Palatino Linotype" w:cs="Palatino Linotype"/>
          <w:b/>
          <w:i/>
          <w:sz w:val="22"/>
          <w:szCs w:val="22"/>
        </w:rPr>
        <w:t>Las actas de sesiones ordinarias y extraordinarias</w:t>
      </w:r>
      <w:r w:rsidRPr="00E17370">
        <w:rPr>
          <w:rFonts w:ascii="Palatino Linotype" w:eastAsia="Palatino Linotype" w:hAnsi="Palatino Linotype" w:cs="Palatino Linotype"/>
          <w:i/>
          <w:sz w:val="22"/>
          <w:szCs w:val="22"/>
        </w:rPr>
        <w:t>, así como las opiniones y recomendaciones de los consejos consultivos;</w:t>
      </w:r>
    </w:p>
    <w:p w:rsidR="00C80CAB" w:rsidRPr="00E17370" w:rsidRDefault="00E10F02">
      <w:pPr>
        <w:ind w:left="851"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 […]</w:t>
      </w:r>
    </w:p>
    <w:p w:rsidR="00C80CAB" w:rsidRPr="00E17370" w:rsidRDefault="00C80CAB">
      <w:pPr>
        <w:ind w:left="851" w:right="902"/>
        <w:jc w:val="both"/>
        <w:rPr>
          <w:rFonts w:ascii="Palatino Linotype" w:eastAsia="Palatino Linotype" w:hAnsi="Palatino Linotype" w:cs="Palatino Linotype"/>
          <w:b/>
          <w:i/>
          <w:sz w:val="22"/>
          <w:szCs w:val="22"/>
        </w:rPr>
      </w:pPr>
    </w:p>
    <w:p w:rsidR="00C80CAB" w:rsidRPr="00E17370" w:rsidRDefault="00E10F02">
      <w:pPr>
        <w:ind w:left="851"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Artículo 94.</w:t>
      </w:r>
      <w:r w:rsidRPr="00E17370">
        <w:rPr>
          <w:rFonts w:ascii="Palatino Linotype" w:eastAsia="Palatino Linotype" w:hAnsi="Palatino Linotype" w:cs="Palatino Linotype"/>
          <w:i/>
          <w:sz w:val="22"/>
          <w:szCs w:val="22"/>
        </w:rPr>
        <w:t xml:space="preserve"> </w:t>
      </w:r>
      <w:r w:rsidRPr="00E17370">
        <w:rPr>
          <w:rFonts w:ascii="Palatino Linotype" w:eastAsia="Palatino Linotype" w:hAnsi="Palatino Linotype" w:cs="Palatino Linotype"/>
          <w:b/>
          <w:i/>
          <w:sz w:val="22"/>
          <w:szCs w:val="22"/>
        </w:rPr>
        <w:t>Además de las obligaciones de transparencia común</w:t>
      </w:r>
      <w:r w:rsidRPr="00E17370">
        <w:rPr>
          <w:rFonts w:ascii="Palatino Linotype" w:eastAsia="Palatino Linotype" w:hAnsi="Palatino Linotype" w:cs="Palatino Linotype"/>
          <w:i/>
          <w:sz w:val="22"/>
          <w:szCs w:val="22"/>
        </w:rPr>
        <w:t xml:space="preserve"> a que se refiere el Capítulo II de este Título, </w:t>
      </w:r>
      <w:r w:rsidRPr="00E17370">
        <w:rPr>
          <w:rFonts w:ascii="Palatino Linotype" w:eastAsia="Palatino Linotype" w:hAnsi="Palatino Linotype" w:cs="Palatino Linotype"/>
          <w:b/>
          <w:i/>
          <w:sz w:val="22"/>
          <w:szCs w:val="22"/>
        </w:rPr>
        <w:t>los sujetos obligados</w:t>
      </w:r>
      <w:r w:rsidRPr="00E17370">
        <w:rPr>
          <w:rFonts w:ascii="Palatino Linotype" w:eastAsia="Palatino Linotype" w:hAnsi="Palatino Linotype" w:cs="Palatino Linotype"/>
          <w:i/>
          <w:sz w:val="22"/>
          <w:szCs w:val="22"/>
        </w:rPr>
        <w:t xml:space="preserve"> del Poder Ejecutivo Local y </w:t>
      </w:r>
      <w:r w:rsidRPr="00E17370">
        <w:rPr>
          <w:rFonts w:ascii="Palatino Linotype" w:eastAsia="Palatino Linotype" w:hAnsi="Palatino Linotype" w:cs="Palatino Linotype"/>
          <w:b/>
          <w:i/>
          <w:sz w:val="22"/>
          <w:szCs w:val="22"/>
        </w:rPr>
        <w:t>municipale</w:t>
      </w:r>
      <w:r w:rsidRPr="00E17370">
        <w:rPr>
          <w:rFonts w:ascii="Palatino Linotype" w:eastAsia="Palatino Linotype" w:hAnsi="Palatino Linotype" w:cs="Palatino Linotype"/>
          <w:i/>
          <w:sz w:val="22"/>
          <w:szCs w:val="22"/>
        </w:rPr>
        <w:t>s, deberán poner a disposición del público y actualizar la siguiente información:</w:t>
      </w:r>
    </w:p>
    <w:p w:rsidR="00C80CAB" w:rsidRPr="00E17370" w:rsidRDefault="00E10F02">
      <w:pPr>
        <w:ind w:left="851"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ind w:left="851"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II.</w:t>
      </w:r>
      <w:r w:rsidRPr="00E17370">
        <w:rPr>
          <w:rFonts w:ascii="Palatino Linotype" w:eastAsia="Palatino Linotype" w:hAnsi="Palatino Linotype" w:cs="Palatino Linotype"/>
          <w:i/>
          <w:sz w:val="22"/>
          <w:szCs w:val="22"/>
        </w:rPr>
        <w:t xml:space="preserve"> </w:t>
      </w:r>
      <w:r w:rsidRPr="00E17370">
        <w:rPr>
          <w:rFonts w:ascii="Palatino Linotype" w:eastAsia="Palatino Linotype" w:hAnsi="Palatino Linotype" w:cs="Palatino Linotype"/>
          <w:b/>
          <w:i/>
          <w:sz w:val="22"/>
          <w:szCs w:val="22"/>
        </w:rPr>
        <w:t>Adicionalmente en el caso de los municipios</w:t>
      </w:r>
      <w:r w:rsidRPr="00E17370">
        <w:rPr>
          <w:rFonts w:ascii="Palatino Linotype" w:eastAsia="Palatino Linotype" w:hAnsi="Palatino Linotype" w:cs="Palatino Linotype"/>
          <w:i/>
          <w:sz w:val="22"/>
          <w:szCs w:val="22"/>
        </w:rPr>
        <w:t xml:space="preserve">: </w:t>
      </w:r>
    </w:p>
    <w:p w:rsidR="00C80CAB" w:rsidRPr="00E17370" w:rsidRDefault="00E10F02">
      <w:pPr>
        <w:ind w:left="851"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ind w:left="851"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b)</w:t>
      </w:r>
      <w:r w:rsidRPr="00E17370">
        <w:rPr>
          <w:rFonts w:ascii="Palatino Linotype" w:eastAsia="Palatino Linotype" w:hAnsi="Palatino Linotype" w:cs="Palatino Linotype"/>
          <w:i/>
          <w:sz w:val="22"/>
          <w:szCs w:val="22"/>
        </w:rPr>
        <w:t xml:space="preserve"> </w:t>
      </w:r>
      <w:r w:rsidRPr="00E17370">
        <w:rPr>
          <w:rFonts w:ascii="Palatino Linotype" w:eastAsia="Palatino Linotype" w:hAnsi="Palatino Linotype" w:cs="Palatino Linotype"/>
          <w:b/>
          <w:i/>
          <w:sz w:val="22"/>
          <w:szCs w:val="22"/>
        </w:rPr>
        <w:t>Las actas de sesiones de cabildo</w:t>
      </w:r>
      <w:r w:rsidRPr="00E17370">
        <w:rPr>
          <w:rFonts w:ascii="Palatino Linotype" w:eastAsia="Palatino Linotype" w:hAnsi="Palatino Linotype" w:cs="Palatino Linotype"/>
          <w:i/>
          <w:sz w:val="22"/>
          <w:szCs w:val="22"/>
        </w:rPr>
        <w:t>, los controles de asistencia de los integrantes del Ayuntamiento a las sesiones de cabildo y el sentido de votación de los miembros del cabildo sobre las iniciativas o acuerdos;”</w:t>
      </w:r>
    </w:p>
    <w:p w:rsidR="00C80CAB" w:rsidRPr="00E17370" w:rsidRDefault="00C80CAB">
      <w:pPr>
        <w:spacing w:line="360" w:lineRule="auto"/>
        <w:ind w:left="851" w:right="902"/>
        <w:jc w:val="both"/>
        <w:rPr>
          <w:rFonts w:ascii="Palatino Linotype" w:eastAsia="Palatino Linotype" w:hAnsi="Palatino Linotype" w:cs="Palatino Linotype"/>
          <w:i/>
          <w:sz w:val="22"/>
          <w:szCs w:val="22"/>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De lo anterior se advierte que los municipios deben hacer pública como parte de sus obligaciones de transparencia comunes y específicas, de manera actualizada, además de los controles de asistencia y el sentido de la votación de los miembros del cabildo sobre las iniciativas o acuerdos, las actas de las sesiones de cabildo información que se traduce en lo requerido por la parte </w:t>
      </w:r>
      <w:r w:rsidRPr="00E17370">
        <w:rPr>
          <w:rFonts w:ascii="Palatino Linotype" w:eastAsia="Palatino Linotype" w:hAnsi="Palatino Linotype" w:cs="Palatino Linotype"/>
          <w:b/>
        </w:rPr>
        <w:t>Recurrente</w:t>
      </w:r>
      <w:r w:rsidRPr="00E17370">
        <w:rPr>
          <w:rFonts w:ascii="Palatino Linotype" w:eastAsia="Palatino Linotype" w:hAnsi="Palatino Linotype" w:cs="Palatino Linotype"/>
        </w:rPr>
        <w:t>.</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b/>
        </w:rPr>
      </w:pPr>
      <w:r w:rsidRPr="00E17370">
        <w:rPr>
          <w:rFonts w:ascii="Palatino Linotype" w:eastAsia="Palatino Linotype" w:hAnsi="Palatino Linotype" w:cs="Palatino Linotype"/>
        </w:rPr>
        <w:t xml:space="preserve">Ahora bien, en relación con los agravios hechos valer por el Recurrente, relacionados con la falta de entrega de las actas de cabildo de los años 2010 y 2011, este Organismo Garante analizó los documentos proporcionados en respuesta y, en efecto, se advirtió que no se remitieron las actas que refiere el Secretario del Ayuntamiento adjuntar a su oficio, es por lo que, los agravios hechos valer por la parte Recurrente devienen </w:t>
      </w:r>
      <w:r w:rsidRPr="00E17370">
        <w:rPr>
          <w:rFonts w:ascii="Palatino Linotype" w:eastAsia="Palatino Linotype" w:hAnsi="Palatino Linotype" w:cs="Palatino Linotype"/>
          <w:b/>
        </w:rPr>
        <w:t xml:space="preserve">FUNDADOS. </w:t>
      </w: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lastRenderedPageBreak/>
        <w:t xml:space="preserve">Por otro lado, mediante informe justificado, el Sujeto Obligado, a través del Secretario del Ayuntamiento precisó que por error humano la información no se había entregado en respuesta, no obstante, se remitía a través de este acto; es así que, proporcionó diversas actas de los años dos mil diez y dos mil once en versión pública y el Acta de la Segunda Sesión Ordinaria del Comité de Transparencia de fecha veintisiete de abril de dos mil veintidós, mediante la cual se aprobó la versión pública de estas. </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En ese sentido, se procedió al estudio y análisis de las actas proporcionadas vía informe justificado y se advirtió que el Sujeto Obligado expuso datos relacionados con el nombre de particulares situación por la que, es imprescindible señalar lo siguiente: </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b/>
          <w:sz w:val="22"/>
          <w:szCs w:val="22"/>
        </w:rPr>
        <w:t xml:space="preserve">Nombre de particulares. </w:t>
      </w:r>
      <w:r w:rsidRPr="00E17370">
        <w:rPr>
          <w:rFonts w:ascii="Palatino Linotype" w:eastAsia="Palatino Linotype" w:hAnsi="Palatino Linotype" w:cs="Palatino Linotype"/>
          <w:sz w:val="22"/>
          <w:szCs w:val="22"/>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w:t>
      </w:r>
    </w:p>
    <w:p w:rsidR="00C80CAB" w:rsidRPr="00E17370" w:rsidRDefault="00E10F02">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r w:rsidRPr="00E17370">
        <w:rPr>
          <w:rFonts w:ascii="Palatino Linotype" w:eastAsia="Palatino Linotype" w:hAnsi="Palatino Linotype" w:cs="Palatino Linotype"/>
          <w:sz w:val="22"/>
          <w:szCs w:val="22"/>
        </w:rPr>
        <w:t>Por lo que, este dato es confidencial, en términos del artículo 143, fracción I de la Ley de Transparencia y Acceso a la Información Pública del Estado de México y Municipios.</w:t>
      </w:r>
    </w:p>
    <w:p w:rsidR="00C80CAB" w:rsidRPr="00E17370" w:rsidRDefault="00C80CAB">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rsidR="00C80CAB" w:rsidRPr="00E17370" w:rsidRDefault="00E10F02">
      <w:pPr>
        <w:spacing w:line="360" w:lineRule="auto"/>
        <w:ind w:right="49"/>
        <w:jc w:val="both"/>
        <w:rPr>
          <w:rFonts w:ascii="Palatino Linotype" w:eastAsia="Palatino Linotype" w:hAnsi="Palatino Linotype" w:cs="Palatino Linotype"/>
          <w:b/>
        </w:rPr>
      </w:pPr>
      <w:r w:rsidRPr="00E17370">
        <w:rPr>
          <w:rFonts w:ascii="Palatino Linotype" w:eastAsia="Palatino Linotype" w:hAnsi="Palatino Linotype" w:cs="Palatino Linotype"/>
        </w:rPr>
        <w:t xml:space="preserve">De lo anterior, si bien es cierto, las actas proporcionadas por el Sujeto Obligado en  informe justificado, </w:t>
      </w:r>
      <w:r w:rsidRPr="00E17370">
        <w:rPr>
          <w:rFonts w:ascii="Palatino Linotype" w:eastAsia="Palatino Linotype" w:hAnsi="Palatino Linotype" w:cs="Palatino Linotype"/>
          <w:b/>
          <w:u w:val="single"/>
        </w:rPr>
        <w:t>se relacionan con lo solicitado y dan cuenta de ello</w:t>
      </w:r>
      <w:r w:rsidRPr="00E17370">
        <w:rPr>
          <w:rFonts w:ascii="Palatino Linotype" w:eastAsia="Palatino Linotype" w:hAnsi="Palatino Linotype" w:cs="Palatino Linotype"/>
        </w:rPr>
        <w:t xml:space="preserve">, también </w:t>
      </w:r>
      <w:r w:rsidRPr="00E17370">
        <w:rPr>
          <w:rFonts w:ascii="Palatino Linotype" w:eastAsia="Palatino Linotype" w:hAnsi="Palatino Linotype" w:cs="Palatino Linotype"/>
        </w:rPr>
        <w:lastRenderedPageBreak/>
        <w:t xml:space="preserve">lo es que, no fue posible hacerlas del conocimiento de la parte Recurrente por haberse expuesto datos relacionados con el nombre de particulares, situación que conlleva a determinar que este requerimiento </w:t>
      </w:r>
      <w:r w:rsidRPr="00E17370">
        <w:rPr>
          <w:rFonts w:ascii="Palatino Linotype" w:eastAsia="Palatino Linotype" w:hAnsi="Palatino Linotype" w:cs="Palatino Linotype"/>
          <w:b/>
        </w:rPr>
        <w:t xml:space="preserve">no se tiene por colmado. </w:t>
      </w:r>
    </w:p>
    <w:p w:rsidR="00C80CAB" w:rsidRPr="00E17370" w:rsidRDefault="00C80CAB">
      <w:pPr>
        <w:spacing w:line="360" w:lineRule="auto"/>
        <w:ind w:right="49"/>
        <w:jc w:val="both"/>
        <w:rPr>
          <w:rFonts w:ascii="Palatino Linotype" w:eastAsia="Palatino Linotype" w:hAnsi="Palatino Linotype" w:cs="Palatino Linotype"/>
          <w:b/>
          <w:u w:val="single"/>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Es así que, se concluye que los agravios hechos valer por el Particular son </w:t>
      </w:r>
      <w:r w:rsidRPr="00E17370">
        <w:rPr>
          <w:rFonts w:ascii="Palatino Linotype" w:eastAsia="Palatino Linotype" w:hAnsi="Palatino Linotype" w:cs="Palatino Linotype"/>
          <w:b/>
        </w:rPr>
        <w:t xml:space="preserve">FUNDADOS </w:t>
      </w:r>
      <w:r w:rsidRPr="00E17370">
        <w:rPr>
          <w:rFonts w:ascii="Palatino Linotype" w:eastAsia="Palatino Linotype" w:hAnsi="Palatino Linotype" w:cs="Palatino Linotype"/>
        </w:rPr>
        <w:t xml:space="preserve">y, por ende, este Organismo Garante determina </w:t>
      </w:r>
      <w:r w:rsidRPr="00E17370">
        <w:rPr>
          <w:rFonts w:ascii="Palatino Linotype" w:eastAsia="Palatino Linotype" w:hAnsi="Palatino Linotype" w:cs="Palatino Linotype"/>
          <w:b/>
        </w:rPr>
        <w:t xml:space="preserve">MODIFICAR </w:t>
      </w:r>
      <w:r w:rsidRPr="00E17370">
        <w:rPr>
          <w:rFonts w:ascii="Palatino Linotype" w:eastAsia="Palatino Linotype" w:hAnsi="Palatino Linotype" w:cs="Palatino Linotype"/>
        </w:rPr>
        <w:t xml:space="preserve">la respuesta del Sujeto Obligado y; </w:t>
      </w:r>
      <w:r w:rsidRPr="00E17370">
        <w:rPr>
          <w:rFonts w:ascii="Palatino Linotype" w:eastAsia="Palatino Linotype" w:hAnsi="Palatino Linotype" w:cs="Palatino Linotype"/>
          <w:b/>
        </w:rPr>
        <w:t xml:space="preserve">ORDENAR </w:t>
      </w:r>
      <w:r w:rsidRPr="00E17370">
        <w:rPr>
          <w:rFonts w:ascii="Palatino Linotype" w:eastAsia="Palatino Linotype" w:hAnsi="Palatino Linotype" w:cs="Palatino Linotype"/>
        </w:rPr>
        <w:t xml:space="preserve">entregar, en versión pública correcta, la siguiente información:  </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sz w:val="22"/>
          <w:szCs w:val="22"/>
        </w:rPr>
        <w:t xml:space="preserve">Actas de Cabildo de los años 2010 y 2011 remitidas en informe justificado. </w:t>
      </w:r>
    </w:p>
    <w:p w:rsidR="00C80CAB" w:rsidRPr="00E17370" w:rsidRDefault="00C80CAB">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rsidR="00C80CAB" w:rsidRPr="00E17370" w:rsidRDefault="00E10F02">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r w:rsidRPr="00E17370">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C80CAB" w:rsidRPr="00E17370" w:rsidRDefault="00C80CAB">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rsidR="00C80CAB" w:rsidRPr="00E17370" w:rsidRDefault="00E10F02">
      <w:pPr>
        <w:spacing w:line="360" w:lineRule="auto"/>
        <w:jc w:val="both"/>
        <w:rPr>
          <w:rFonts w:ascii="Palatino Linotype" w:eastAsia="Palatino Linotype" w:hAnsi="Palatino Linotype" w:cs="Palatino Linotype"/>
        </w:rPr>
      </w:pPr>
      <w:bookmarkStart w:id="7" w:name="_heading=h.1t3h5sf" w:colFirst="0" w:colLast="0"/>
      <w:bookmarkEnd w:id="7"/>
      <w:r w:rsidRPr="00E17370">
        <w:rPr>
          <w:rFonts w:ascii="Palatino Linotype" w:eastAsia="Palatino Linotype" w:hAnsi="Palatino Linotype" w:cs="Palatino Linotype"/>
          <w:b/>
        </w:rPr>
        <w:t>Quinto. Versión Pública</w:t>
      </w:r>
      <w:r w:rsidRPr="00E17370">
        <w:rPr>
          <w:rFonts w:ascii="Palatino Linotype" w:eastAsia="Palatino Linotype" w:hAnsi="Palatino Linotype" w:cs="Palatino Linotype"/>
        </w:rPr>
        <w:t xml:space="preserve">.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w:t>
      </w:r>
      <w:r w:rsidRPr="00E17370">
        <w:rPr>
          <w:rFonts w:ascii="Palatino Linotype" w:eastAsia="Palatino Linotype" w:hAnsi="Palatino Linotype" w:cs="Palatino Linotype"/>
        </w:rPr>
        <w:lastRenderedPageBreak/>
        <w:t>información pública del recurrente sin menoscabar el derecho a la protección de los datos personales de terceros.</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spacing w:line="360" w:lineRule="auto"/>
        <w:ind w:right="50"/>
        <w:jc w:val="both"/>
        <w:rPr>
          <w:rFonts w:ascii="Palatino Linotype" w:eastAsia="Palatino Linotype" w:hAnsi="Palatino Linotype" w:cs="Palatino Linotype"/>
        </w:rPr>
      </w:pPr>
      <w:r w:rsidRPr="00E17370">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rsidR="00C80CAB" w:rsidRPr="00E17370" w:rsidRDefault="00C80CAB">
      <w:pPr>
        <w:spacing w:line="360" w:lineRule="auto"/>
        <w:ind w:right="50"/>
        <w:jc w:val="both"/>
        <w:rPr>
          <w:rFonts w:ascii="Palatino Linotype" w:eastAsia="Palatino Linotype" w:hAnsi="Palatino Linotype" w:cs="Palatino Linotype"/>
        </w:rPr>
      </w:pP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r w:rsidRPr="00E17370">
        <w:rPr>
          <w:rFonts w:ascii="Palatino Linotype" w:eastAsia="Palatino Linotype" w:hAnsi="Palatino Linotype" w:cs="Palatino Linotype"/>
          <w:b/>
          <w:i/>
          <w:sz w:val="22"/>
          <w:szCs w:val="22"/>
        </w:rPr>
        <w:t>Artículo 3.</w:t>
      </w:r>
      <w:r w:rsidRPr="00E17370">
        <w:rPr>
          <w:rFonts w:ascii="Palatino Linotype" w:eastAsia="Palatino Linotype" w:hAnsi="Palatino Linotype" w:cs="Palatino Linotype"/>
          <w:i/>
          <w:sz w:val="22"/>
          <w:szCs w:val="22"/>
        </w:rPr>
        <w:t xml:space="preserve"> Para los efectos de la presente Ley se entenderá por:</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XX. Información clasificada: Aquella considerada por la presente Ley como reservada o confidencial;</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Artículo 91.</w:t>
      </w:r>
      <w:r w:rsidRPr="00E1737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Artículo 132.</w:t>
      </w:r>
      <w:r w:rsidRPr="00E17370">
        <w:rPr>
          <w:rFonts w:ascii="Palatino Linotype" w:eastAsia="Palatino Linotype" w:hAnsi="Palatino Linotype" w:cs="Palatino Linotype"/>
          <w:i/>
          <w:sz w:val="22"/>
          <w:szCs w:val="22"/>
        </w:rPr>
        <w:t xml:space="preserve"> La clasificación de la información se llevará a cabo en el momento en que:</w:t>
      </w:r>
    </w:p>
    <w:p w:rsidR="00C80CAB" w:rsidRPr="00E17370" w:rsidRDefault="00E10F02">
      <w:pPr>
        <w:tabs>
          <w:tab w:val="left" w:pos="1134"/>
        </w:tabs>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I. Se reciba una solicitud de acceso a la información;</w:t>
      </w:r>
    </w:p>
    <w:p w:rsidR="00C80CAB" w:rsidRPr="00E17370" w:rsidRDefault="00E10F02">
      <w:pPr>
        <w:tabs>
          <w:tab w:val="left" w:pos="1134"/>
        </w:tabs>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II. Se determine mediante resolución de autoridad competente; o</w:t>
      </w:r>
    </w:p>
    <w:p w:rsidR="00C80CAB" w:rsidRPr="00E17370" w:rsidRDefault="00E10F02">
      <w:pPr>
        <w:tabs>
          <w:tab w:val="left" w:pos="1134"/>
        </w:tabs>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III. Se generen versiones públicas para dar cumplimiento a las obligaciones de transparencia previstas en esta Ley.</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Artículo 143</w:t>
      </w:r>
      <w:r w:rsidRPr="00E1737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lastRenderedPageBreak/>
        <w:t>I. Se refiera a la información privada y los datos personales concernientes a una persona física o jurídico colectiva identificada o identificable;</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C80CAB" w:rsidRPr="00E17370" w:rsidRDefault="00C80CAB">
      <w:pPr>
        <w:spacing w:line="276" w:lineRule="auto"/>
        <w:ind w:left="567" w:right="616"/>
        <w:jc w:val="both"/>
        <w:rPr>
          <w:rFonts w:ascii="Palatino Linotype" w:eastAsia="Palatino Linotype" w:hAnsi="Palatino Linotype" w:cs="Palatino Linotype"/>
          <w:i/>
          <w:sz w:val="22"/>
          <w:szCs w:val="22"/>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Con base en lo expuesto, se insiste que en la versión pública de los documentos que se ordenan se deben testar aquellos elementos que actualicen alguna causal de clasificación y, por ende, debe ser pública toda la demás información que no encuadre en los conceptos anteriores.</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lastRenderedPageBreak/>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rsidR="00C80CAB" w:rsidRPr="00E17370" w:rsidRDefault="00C80CAB">
      <w:pPr>
        <w:spacing w:line="276" w:lineRule="auto"/>
        <w:ind w:left="567" w:right="616"/>
        <w:jc w:val="both"/>
        <w:rPr>
          <w:rFonts w:ascii="Palatino Linotype" w:eastAsia="Palatino Linotype" w:hAnsi="Palatino Linotype" w:cs="Palatino Linotype"/>
        </w:rPr>
      </w:pP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 “</w:t>
      </w:r>
      <w:r w:rsidRPr="00E17370">
        <w:rPr>
          <w:rFonts w:ascii="Palatino Linotype" w:eastAsia="Palatino Linotype" w:hAnsi="Palatino Linotype" w:cs="Palatino Linotype"/>
          <w:b/>
          <w:i/>
          <w:sz w:val="22"/>
          <w:szCs w:val="22"/>
        </w:rPr>
        <w:t>Quincuagésimo</w:t>
      </w:r>
      <w:r w:rsidRPr="00E17370">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C80CAB" w:rsidRPr="00E17370" w:rsidRDefault="00E10F0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Quincuagésimo primero.</w:t>
      </w:r>
      <w:r w:rsidRPr="00E17370">
        <w:rPr>
          <w:rFonts w:ascii="Palatino Linotype" w:eastAsia="Palatino Linotype" w:hAnsi="Palatino Linotype" w:cs="Palatino Linotype"/>
          <w:i/>
          <w:sz w:val="22"/>
          <w:szCs w:val="22"/>
        </w:rPr>
        <w:t xml:space="preserve"> Toda acta del Comité de Transparencia deberá contener: </w:t>
      </w:r>
    </w:p>
    <w:p w:rsidR="00C80CAB" w:rsidRPr="00E17370" w:rsidRDefault="00E10F0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I. El número de sesión y fecha; </w:t>
      </w:r>
    </w:p>
    <w:p w:rsidR="00C80CAB" w:rsidRPr="00E17370" w:rsidRDefault="00E10F0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II. El nombre del área que solicitó la clasificación de información; </w:t>
      </w:r>
    </w:p>
    <w:p w:rsidR="00C80CAB" w:rsidRPr="00E17370" w:rsidRDefault="00E10F0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III. La fundamentación legal y motivación correspondiente; </w:t>
      </w:r>
    </w:p>
    <w:p w:rsidR="00C80CAB" w:rsidRPr="00E17370" w:rsidRDefault="00E10F0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IV. La resolución o resoluciones aprobadas; y </w:t>
      </w:r>
    </w:p>
    <w:p w:rsidR="00C80CAB" w:rsidRPr="00E17370" w:rsidRDefault="00E10F0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V. La rúbrica o firma digital de cada integrante del Comité de Transparencia. </w:t>
      </w:r>
    </w:p>
    <w:p w:rsidR="00C80CAB" w:rsidRPr="00E17370" w:rsidRDefault="00E10F0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C80CAB" w:rsidRPr="00E17370" w:rsidRDefault="00E10F0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I. Los motivos y razonamientos que sustenten la confirmación o modificación de la prueba de daño;</w:t>
      </w:r>
    </w:p>
    <w:p w:rsidR="00C80CAB" w:rsidRPr="00E17370" w:rsidRDefault="00E10F0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II. Descripción de las partes o secciones reservadas, en caso de clasificación parcial; </w:t>
      </w:r>
    </w:p>
    <w:p w:rsidR="00C80CAB" w:rsidRPr="00E17370" w:rsidRDefault="00E10F0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III. El periodo por el que mantendrá su clasificación y fecha de expiración; y </w:t>
      </w:r>
    </w:p>
    <w:p w:rsidR="00C80CAB" w:rsidRPr="00E17370" w:rsidRDefault="00E10F0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IV. El nombre del titular y área encargada de realizar la versión pública del documento, en su caso. </w:t>
      </w:r>
    </w:p>
    <w:p w:rsidR="00C80CAB" w:rsidRPr="00E17370" w:rsidRDefault="00E10F0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C80CAB" w:rsidRPr="00E17370" w:rsidRDefault="00E10F0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Quincuagésimo segundo.</w:t>
      </w:r>
      <w:r w:rsidRPr="00E17370">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w:t>
      </w:r>
      <w:r w:rsidRPr="00E17370">
        <w:rPr>
          <w:rFonts w:ascii="Palatino Linotype" w:eastAsia="Palatino Linotype" w:hAnsi="Palatino Linotype" w:cs="Palatino Linotype"/>
          <w:i/>
          <w:sz w:val="22"/>
          <w:szCs w:val="22"/>
        </w:rPr>
        <w:lastRenderedPageBreak/>
        <w:t>áreas de los sujetos obligados deberán tomar las medidas pertinentes tendientes a asegurar que el espacio utilizado para testar la información no podrá ser empleado para la sobreposición de contenido distinto al autorizado por el Comité.</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III. Señalar las personas o instancias autorizadas a acceder a la información clasificada.</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C80CAB" w:rsidRPr="00E17370" w:rsidRDefault="00C80CAB">
      <w:pPr>
        <w:spacing w:line="276" w:lineRule="auto"/>
        <w:ind w:left="567" w:right="616"/>
        <w:jc w:val="both"/>
        <w:rPr>
          <w:rFonts w:ascii="Palatino Linotype" w:eastAsia="Palatino Linotype" w:hAnsi="Palatino Linotype" w:cs="Palatino Linotype"/>
          <w:i/>
          <w:sz w:val="22"/>
          <w:szCs w:val="22"/>
        </w:rPr>
      </w:pPr>
    </w:p>
    <w:p w:rsidR="00C80CAB" w:rsidRPr="00E17370" w:rsidRDefault="00E10F02">
      <w:pPr>
        <w:spacing w:line="360" w:lineRule="auto"/>
        <w:ind w:right="50"/>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Asimismo, se deberá observar el Lineamiento Quincuagésimo tercero de los Lineamientos Generales en Materia de Clasificación y Desclasificación de la Información supraindicados el cual establece los formatos para la clasificación de los documentos, conforme a lo siguiente: </w:t>
      </w:r>
    </w:p>
    <w:p w:rsidR="00C80CAB" w:rsidRPr="00E17370" w:rsidRDefault="00C80CAB">
      <w:pPr>
        <w:spacing w:line="360" w:lineRule="auto"/>
        <w:ind w:right="50"/>
        <w:jc w:val="both"/>
        <w:rPr>
          <w:rFonts w:ascii="Palatino Linotype" w:eastAsia="Palatino Linotype" w:hAnsi="Palatino Linotype" w:cs="Palatino Linotype"/>
          <w:b/>
          <w:sz w:val="22"/>
          <w:szCs w:val="22"/>
        </w:rPr>
      </w:pPr>
    </w:p>
    <w:p w:rsidR="00C80CAB" w:rsidRPr="00E17370" w:rsidRDefault="00E10F02">
      <w:pPr>
        <w:spacing w:line="360" w:lineRule="auto"/>
        <w:ind w:left="851" w:right="900"/>
        <w:jc w:val="center"/>
        <w:rPr>
          <w:rFonts w:ascii="Palatino Linotype" w:eastAsia="Palatino Linotype" w:hAnsi="Palatino Linotype" w:cs="Palatino Linotype"/>
          <w:b/>
          <w:i/>
          <w:sz w:val="22"/>
          <w:szCs w:val="22"/>
        </w:rPr>
      </w:pPr>
      <w:r w:rsidRPr="00E17370">
        <w:rPr>
          <w:rFonts w:ascii="Palatino Linotype" w:eastAsia="Palatino Linotype" w:hAnsi="Palatino Linotype" w:cs="Palatino Linotype"/>
          <w:b/>
          <w:i/>
          <w:sz w:val="22"/>
          <w:szCs w:val="22"/>
        </w:rPr>
        <w:t>CAPÍTULO VIII</w:t>
      </w:r>
    </w:p>
    <w:p w:rsidR="00C80CAB" w:rsidRPr="00E17370" w:rsidRDefault="00E10F02">
      <w:pPr>
        <w:spacing w:line="360" w:lineRule="auto"/>
        <w:ind w:left="851" w:right="900"/>
        <w:jc w:val="center"/>
        <w:rPr>
          <w:rFonts w:ascii="Palatino Linotype" w:eastAsia="Palatino Linotype" w:hAnsi="Palatino Linotype" w:cs="Palatino Linotype"/>
          <w:b/>
          <w:i/>
          <w:sz w:val="22"/>
          <w:szCs w:val="22"/>
        </w:rPr>
      </w:pPr>
      <w:r w:rsidRPr="00E17370">
        <w:rPr>
          <w:rFonts w:ascii="Palatino Linotype" w:eastAsia="Palatino Linotype" w:hAnsi="Palatino Linotype" w:cs="Palatino Linotype"/>
          <w:b/>
          <w:i/>
          <w:sz w:val="22"/>
          <w:szCs w:val="22"/>
        </w:rPr>
        <w:t xml:space="preserve">DE LOS ELEMENTOS PARA LA CLASIFICACIÓN </w:t>
      </w:r>
    </w:p>
    <w:p w:rsidR="00C80CAB" w:rsidRPr="00E17370" w:rsidRDefault="00E10F02">
      <w:pPr>
        <w:spacing w:line="360" w:lineRule="auto"/>
        <w:ind w:left="851"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Quincuagésimo tercero. </w:t>
      </w:r>
      <w:r w:rsidRPr="00E17370">
        <w:rPr>
          <w:rFonts w:ascii="Palatino Linotype" w:eastAsia="Palatino Linotype" w:hAnsi="Palatino Linotype" w:cs="Palatino Linotype"/>
          <w:i/>
          <w:sz w:val="22"/>
          <w:szCs w:val="22"/>
          <w:u w:val="single"/>
        </w:rPr>
        <w:t>El formato para señalar la clasificación de un documento o expediente que contenga información reservada</w:t>
      </w:r>
      <w:r w:rsidRPr="00E17370">
        <w:rPr>
          <w:rFonts w:ascii="Palatino Linotype" w:eastAsia="Palatino Linotype" w:hAnsi="Palatino Linotype" w:cs="Palatino Linotype"/>
          <w:i/>
          <w:sz w:val="22"/>
          <w:szCs w:val="22"/>
        </w:rPr>
        <w:t xml:space="preserve">, es el siguiente: </w:t>
      </w:r>
    </w:p>
    <w:p w:rsidR="00C80CAB" w:rsidRPr="00E17370" w:rsidRDefault="00C80CAB">
      <w:pPr>
        <w:spacing w:line="360" w:lineRule="auto"/>
        <w:ind w:left="851" w:right="902"/>
        <w:jc w:val="both"/>
        <w:rPr>
          <w:rFonts w:ascii="Palatino Linotype" w:eastAsia="Palatino Linotype" w:hAnsi="Palatino Linotype" w:cs="Palatino Linotype"/>
          <w:i/>
          <w:sz w:val="22"/>
          <w:szCs w:val="22"/>
        </w:rPr>
      </w:pPr>
    </w:p>
    <w:p w:rsidR="00C80CAB" w:rsidRPr="00E17370" w:rsidRDefault="00C80CAB">
      <w:pPr>
        <w:spacing w:line="360" w:lineRule="auto"/>
        <w:ind w:left="851" w:right="902"/>
        <w:jc w:val="both"/>
        <w:rPr>
          <w:rFonts w:ascii="Palatino Linotype" w:eastAsia="Palatino Linotype" w:hAnsi="Palatino Linotype" w:cs="Palatino Linotype"/>
          <w:i/>
          <w:sz w:val="22"/>
          <w:szCs w:val="22"/>
        </w:rPr>
      </w:pPr>
    </w:p>
    <w:p w:rsidR="00C80CAB" w:rsidRPr="00E17370" w:rsidRDefault="00C80CAB">
      <w:pPr>
        <w:spacing w:line="360" w:lineRule="auto"/>
        <w:ind w:left="851" w:right="902"/>
        <w:jc w:val="both"/>
        <w:rPr>
          <w:rFonts w:ascii="Palatino Linotype" w:eastAsia="Palatino Linotype" w:hAnsi="Palatino Linotype" w:cs="Palatino Linotype"/>
          <w:i/>
          <w:sz w:val="22"/>
          <w:szCs w:val="22"/>
        </w:rPr>
      </w:pPr>
    </w:p>
    <w:p w:rsidR="00C80CAB" w:rsidRPr="00E17370" w:rsidRDefault="00C80CAB">
      <w:pPr>
        <w:spacing w:line="360" w:lineRule="auto"/>
        <w:ind w:left="851" w:right="902"/>
        <w:jc w:val="both"/>
        <w:rPr>
          <w:rFonts w:ascii="Palatino Linotype" w:eastAsia="Palatino Linotype" w:hAnsi="Palatino Linotype" w:cs="Palatino Linotype"/>
          <w:i/>
          <w:sz w:val="22"/>
          <w:szCs w:val="22"/>
        </w:rPr>
      </w:pPr>
    </w:p>
    <w:p w:rsidR="00C80CAB" w:rsidRPr="00E17370" w:rsidRDefault="00C80CAB">
      <w:pPr>
        <w:spacing w:line="360" w:lineRule="auto"/>
        <w:ind w:left="851" w:right="902"/>
        <w:jc w:val="both"/>
        <w:rPr>
          <w:rFonts w:ascii="Palatino Linotype" w:eastAsia="Palatino Linotype" w:hAnsi="Palatino Linotype" w:cs="Palatino Linotype"/>
          <w:i/>
          <w:sz w:val="22"/>
          <w:szCs w:val="22"/>
        </w:rPr>
      </w:pPr>
    </w:p>
    <w:p w:rsidR="00C80CAB" w:rsidRPr="00E17370" w:rsidRDefault="00E10F02">
      <w:pPr>
        <w:spacing w:line="360" w:lineRule="auto"/>
        <w:ind w:left="851"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noProof/>
          <w:sz w:val="22"/>
          <w:szCs w:val="22"/>
          <w:lang w:val="es-MX" w:eastAsia="es-MX"/>
        </w:rPr>
        <w:lastRenderedPageBreak/>
        <w:drawing>
          <wp:inline distT="0" distB="0" distL="0" distR="0">
            <wp:extent cx="4295775" cy="29527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95731"/>
                    <a:stretch>
                      <a:fillRect/>
                    </a:stretch>
                  </pic:blipFill>
                  <pic:spPr>
                    <a:xfrm>
                      <a:off x="0" y="0"/>
                      <a:ext cx="4295775" cy="295275"/>
                    </a:xfrm>
                    <a:prstGeom prst="rect">
                      <a:avLst/>
                    </a:prstGeom>
                    <a:ln/>
                  </pic:spPr>
                </pic:pic>
              </a:graphicData>
            </a:graphic>
          </wp:inline>
        </w:drawing>
      </w:r>
    </w:p>
    <w:p w:rsidR="00C80CAB" w:rsidRPr="00E17370" w:rsidRDefault="00E10F02">
      <w:pPr>
        <w:spacing w:line="360" w:lineRule="auto"/>
        <w:ind w:left="851"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noProof/>
          <w:sz w:val="22"/>
          <w:szCs w:val="22"/>
          <w:lang w:val="es-MX" w:eastAsia="es-MX"/>
        </w:rPr>
        <w:drawing>
          <wp:inline distT="0" distB="0" distL="0" distR="0">
            <wp:extent cx="4333875" cy="477202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30908"/>
                    <a:stretch>
                      <a:fillRect/>
                    </a:stretch>
                  </pic:blipFill>
                  <pic:spPr>
                    <a:xfrm>
                      <a:off x="0" y="0"/>
                      <a:ext cx="4333875" cy="4772025"/>
                    </a:xfrm>
                    <a:prstGeom prst="rect">
                      <a:avLst/>
                    </a:prstGeom>
                    <a:ln/>
                  </pic:spPr>
                </pic:pic>
              </a:graphicData>
            </a:graphic>
          </wp:inline>
        </w:drawing>
      </w:r>
    </w:p>
    <w:p w:rsidR="00C80CAB" w:rsidRPr="00E17370" w:rsidRDefault="00E10F02">
      <w:pPr>
        <w:spacing w:line="360" w:lineRule="auto"/>
        <w:ind w:left="851"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Los documentos que integren un expediente reservado en su totalidad no deberán marcarse en lo individual.</w:t>
      </w:r>
    </w:p>
    <w:p w:rsidR="00C80CAB" w:rsidRPr="00E17370" w:rsidRDefault="00E10F02">
      <w:pPr>
        <w:spacing w:line="360" w:lineRule="auto"/>
        <w:ind w:left="851" w:right="902"/>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lastRenderedPageBreak/>
        <w:t>De igual forma, deberá observar los Lineamientos Quincuagésimo cuarto, Quincuagésimo quinto, Quincuagésimo séptimo y Quincuagésimo octavo, establecen lo siguiente:</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r w:rsidRPr="00E17370">
        <w:rPr>
          <w:rFonts w:ascii="Palatino Linotype" w:eastAsia="Palatino Linotype" w:hAnsi="Palatino Linotype" w:cs="Palatino Linotype"/>
          <w:b/>
          <w:i/>
          <w:sz w:val="22"/>
          <w:szCs w:val="22"/>
        </w:rPr>
        <w:t>Quincuagésimo cuarto.</w:t>
      </w:r>
      <w:r w:rsidRPr="00E17370">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Quincuagésimo quinto.</w:t>
      </w:r>
      <w:r w:rsidRPr="00E17370">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b/>
          <w:i/>
          <w:sz w:val="22"/>
          <w:szCs w:val="22"/>
        </w:rPr>
        <w:t>Quincuagésimo séptimo.</w:t>
      </w:r>
      <w:r w:rsidRPr="00E1737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C80CAB" w:rsidRPr="00E17370" w:rsidRDefault="00E10F02">
      <w:pPr>
        <w:spacing w:line="276" w:lineRule="auto"/>
        <w:ind w:left="567" w:right="616"/>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rsidR="00C80CAB" w:rsidRPr="00E17370" w:rsidRDefault="00C80CAB">
      <w:pPr>
        <w:spacing w:line="276" w:lineRule="auto"/>
        <w:ind w:left="567" w:right="616"/>
        <w:jc w:val="both"/>
        <w:rPr>
          <w:rFonts w:ascii="Palatino Linotype" w:eastAsia="Palatino Linotype" w:hAnsi="Palatino Linotype" w:cs="Palatino Linotype"/>
          <w:i/>
          <w:sz w:val="22"/>
          <w:szCs w:val="22"/>
        </w:rPr>
      </w:pPr>
    </w:p>
    <w:p w:rsidR="00C80CAB" w:rsidRPr="00E17370" w:rsidRDefault="00E10F02">
      <w:pPr>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lastRenderedPageBreak/>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rsidR="00C80CAB" w:rsidRPr="00E17370" w:rsidRDefault="00C80CAB">
      <w:pPr>
        <w:spacing w:line="360" w:lineRule="auto"/>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b/>
        </w:rPr>
      </w:pPr>
      <w:r w:rsidRPr="00E17370">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la persona </w:t>
      </w:r>
      <w:r w:rsidRPr="00E17370">
        <w:rPr>
          <w:rFonts w:ascii="Palatino Linotype" w:eastAsia="Palatino Linotype" w:hAnsi="Palatino Linotype" w:cs="Palatino Linotype"/>
          <w:b/>
        </w:rPr>
        <w:t>RECURRENTE</w:t>
      </w:r>
      <w:r w:rsidRPr="00E17370">
        <w:rPr>
          <w:rFonts w:ascii="Palatino Linotype" w:eastAsia="Palatino Linotype" w:hAnsi="Palatino Linotype" w:cs="Palatino Linotype"/>
        </w:rPr>
        <w:t xml:space="preserve"> dentro del recurso de revisión </w:t>
      </w:r>
      <w:r w:rsidRPr="00E17370">
        <w:rPr>
          <w:rFonts w:ascii="Palatino Linotype" w:eastAsia="Palatino Linotype" w:hAnsi="Palatino Linotype" w:cs="Palatino Linotype"/>
          <w:b/>
        </w:rPr>
        <w:t>02294/INFOEM/IP/RR/2023</w:t>
      </w:r>
      <w:r w:rsidRPr="00E17370">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E17370">
        <w:rPr>
          <w:rFonts w:ascii="Palatino Linotype" w:eastAsia="Palatino Linotype" w:hAnsi="Palatino Linotype" w:cs="Palatino Linotype"/>
          <w:b/>
        </w:rPr>
        <w:t xml:space="preserve"> MODIFICA </w:t>
      </w:r>
      <w:r w:rsidRPr="00E17370">
        <w:rPr>
          <w:rFonts w:ascii="Palatino Linotype" w:eastAsia="Palatino Linotype" w:hAnsi="Palatino Linotype" w:cs="Palatino Linotype"/>
        </w:rPr>
        <w:t xml:space="preserve">la respuesta a la solicitud de información número </w:t>
      </w:r>
      <w:r w:rsidRPr="00E17370">
        <w:rPr>
          <w:rFonts w:ascii="Palatino Linotype" w:eastAsia="Palatino Linotype" w:hAnsi="Palatino Linotype" w:cs="Palatino Linotype"/>
          <w:b/>
        </w:rPr>
        <w:t xml:space="preserve">00065/ATLACOM/IP/2023. </w:t>
      </w:r>
    </w:p>
    <w:p w:rsidR="00C80CAB" w:rsidRPr="00E17370" w:rsidRDefault="00C80CAB">
      <w:pPr>
        <w:spacing w:line="360" w:lineRule="auto"/>
        <w:ind w:right="49"/>
        <w:jc w:val="both"/>
        <w:rPr>
          <w:rFonts w:ascii="Palatino Linotype" w:eastAsia="Palatino Linotype" w:hAnsi="Palatino Linotype" w:cs="Palatino Linotype"/>
          <w:b/>
        </w:rPr>
      </w:pPr>
    </w:p>
    <w:p w:rsidR="00C80CAB" w:rsidRPr="00E17370" w:rsidRDefault="00E10F02">
      <w:pPr>
        <w:tabs>
          <w:tab w:val="left" w:pos="709"/>
        </w:tabs>
        <w:spacing w:line="360" w:lineRule="auto"/>
        <w:jc w:val="both"/>
        <w:rPr>
          <w:rFonts w:ascii="Palatino Linotype" w:eastAsia="Palatino Linotype" w:hAnsi="Palatino Linotype" w:cs="Palatino Linotype"/>
        </w:rPr>
      </w:pPr>
      <w:r w:rsidRPr="00E17370">
        <w:rPr>
          <w:rFonts w:ascii="Palatino Linotype" w:eastAsia="Palatino Linotype" w:hAnsi="Palatino Linotype" w:cs="Palatino Linotype"/>
        </w:rPr>
        <w:t>Así, con fundamento en lo prescrito en los artículos 5 párrafos trigésimo,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C80CAB" w:rsidRPr="00E17370" w:rsidRDefault="00E10F02">
      <w:pPr>
        <w:numPr>
          <w:ilvl w:val="0"/>
          <w:numId w:val="5"/>
        </w:numPr>
        <w:spacing w:line="360" w:lineRule="auto"/>
        <w:ind w:left="567"/>
        <w:jc w:val="center"/>
        <w:rPr>
          <w:rFonts w:ascii="Palatino Linotype" w:eastAsia="Palatino Linotype" w:hAnsi="Palatino Linotype" w:cs="Palatino Linotype"/>
          <w:b/>
        </w:rPr>
      </w:pPr>
      <w:r w:rsidRPr="00E17370">
        <w:rPr>
          <w:rFonts w:ascii="Palatino Linotype" w:eastAsia="Palatino Linotype" w:hAnsi="Palatino Linotype" w:cs="Palatino Linotype"/>
          <w:b/>
        </w:rPr>
        <w:lastRenderedPageBreak/>
        <w:t>R E S U E L V E</w:t>
      </w:r>
    </w:p>
    <w:p w:rsidR="00C80CAB" w:rsidRPr="00E17370" w:rsidRDefault="00C80CAB">
      <w:pPr>
        <w:spacing w:line="360" w:lineRule="auto"/>
        <w:ind w:left="567"/>
        <w:rPr>
          <w:rFonts w:ascii="Palatino Linotype" w:eastAsia="Palatino Linotype" w:hAnsi="Palatino Linotype" w:cs="Palatino Linotype"/>
          <w:b/>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b/>
        </w:rPr>
        <w:t>Primero.</w:t>
      </w:r>
      <w:r w:rsidRPr="00E17370">
        <w:rPr>
          <w:rFonts w:ascii="Palatino Linotype" w:eastAsia="Palatino Linotype" w:hAnsi="Palatino Linotype" w:cs="Palatino Linotype"/>
        </w:rPr>
        <w:t xml:space="preserve"> Resultan </w:t>
      </w:r>
      <w:r w:rsidRPr="00E17370">
        <w:rPr>
          <w:rFonts w:ascii="Palatino Linotype" w:eastAsia="Palatino Linotype" w:hAnsi="Palatino Linotype" w:cs="Palatino Linotype"/>
          <w:b/>
        </w:rPr>
        <w:t>FUNDADOS</w:t>
      </w:r>
      <w:r w:rsidRPr="00E17370">
        <w:rPr>
          <w:rFonts w:ascii="Palatino Linotype" w:eastAsia="Palatino Linotype" w:hAnsi="Palatino Linotype" w:cs="Palatino Linotype"/>
        </w:rPr>
        <w:t xml:space="preserve"> los motivos de inconformidad hechos valer por la persona </w:t>
      </w:r>
      <w:r w:rsidRPr="00E17370">
        <w:rPr>
          <w:rFonts w:ascii="Palatino Linotype" w:eastAsia="Palatino Linotype" w:hAnsi="Palatino Linotype" w:cs="Palatino Linotype"/>
          <w:b/>
        </w:rPr>
        <w:t>RECURRENTE</w:t>
      </w:r>
      <w:r w:rsidRPr="00E17370">
        <w:rPr>
          <w:rFonts w:ascii="Palatino Linotype" w:eastAsia="Palatino Linotype" w:hAnsi="Palatino Linotype" w:cs="Palatino Linotype"/>
        </w:rPr>
        <w:t xml:space="preserve"> en el Recurso de Revisión </w:t>
      </w:r>
      <w:r w:rsidRPr="00E17370">
        <w:rPr>
          <w:rFonts w:ascii="Palatino Linotype" w:eastAsia="Palatino Linotype" w:hAnsi="Palatino Linotype" w:cs="Palatino Linotype"/>
          <w:b/>
        </w:rPr>
        <w:t>02294/INFOEM/IP/RR/2023</w:t>
      </w:r>
      <w:r w:rsidRPr="00E17370">
        <w:rPr>
          <w:rFonts w:ascii="Palatino Linotype" w:eastAsia="Palatino Linotype" w:hAnsi="Palatino Linotype" w:cs="Palatino Linotype"/>
        </w:rPr>
        <w:t xml:space="preserve">, por lo que, en términos del </w:t>
      </w:r>
      <w:r w:rsidRPr="00E17370">
        <w:rPr>
          <w:rFonts w:ascii="Palatino Linotype" w:eastAsia="Palatino Linotype" w:hAnsi="Palatino Linotype" w:cs="Palatino Linotype"/>
          <w:b/>
        </w:rPr>
        <w:t>Considerando Cuarto</w:t>
      </w:r>
      <w:r w:rsidRPr="00E17370">
        <w:rPr>
          <w:rFonts w:ascii="Palatino Linotype" w:eastAsia="Palatino Linotype" w:hAnsi="Palatino Linotype" w:cs="Palatino Linotype"/>
        </w:rPr>
        <w:t xml:space="preserve"> de esta resolución, se </w:t>
      </w:r>
      <w:r w:rsidRPr="00E17370">
        <w:rPr>
          <w:rFonts w:ascii="Palatino Linotype" w:eastAsia="Palatino Linotype" w:hAnsi="Palatino Linotype" w:cs="Palatino Linotype"/>
          <w:b/>
        </w:rPr>
        <w:t>MODIFICA</w:t>
      </w:r>
      <w:r w:rsidRPr="00E17370">
        <w:rPr>
          <w:rFonts w:ascii="Palatino Linotype" w:eastAsia="Palatino Linotype" w:hAnsi="Palatino Linotype" w:cs="Palatino Linotype"/>
        </w:rPr>
        <w:t xml:space="preserve"> la respuesta emitida por el </w:t>
      </w:r>
      <w:r w:rsidRPr="00E17370">
        <w:rPr>
          <w:rFonts w:ascii="Palatino Linotype" w:eastAsia="Palatino Linotype" w:hAnsi="Palatino Linotype" w:cs="Palatino Linotype"/>
          <w:b/>
        </w:rPr>
        <w:t>SUJETO OBLIGADO</w:t>
      </w:r>
      <w:r w:rsidRPr="00E17370">
        <w:rPr>
          <w:rFonts w:ascii="Palatino Linotype" w:eastAsia="Palatino Linotype" w:hAnsi="Palatino Linotype" w:cs="Palatino Linotype"/>
        </w:rPr>
        <w:t>.</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b/>
        </w:rPr>
        <w:t>Segundo</w:t>
      </w:r>
      <w:r w:rsidRPr="00E17370">
        <w:rPr>
          <w:rFonts w:ascii="Palatino Linotype" w:eastAsia="Palatino Linotype" w:hAnsi="Palatino Linotype" w:cs="Palatino Linotype"/>
        </w:rPr>
        <w:t xml:space="preserve">. Se </w:t>
      </w:r>
      <w:r w:rsidRPr="00E17370">
        <w:rPr>
          <w:rFonts w:ascii="Palatino Linotype" w:eastAsia="Palatino Linotype" w:hAnsi="Palatino Linotype" w:cs="Palatino Linotype"/>
          <w:b/>
        </w:rPr>
        <w:t>ORDENA</w:t>
      </w:r>
      <w:r w:rsidRPr="00E17370">
        <w:rPr>
          <w:rFonts w:ascii="Palatino Linotype" w:eastAsia="Palatino Linotype" w:hAnsi="Palatino Linotype" w:cs="Palatino Linotype"/>
        </w:rPr>
        <w:t xml:space="preserve"> al </w:t>
      </w:r>
      <w:r w:rsidRPr="00E17370">
        <w:rPr>
          <w:rFonts w:ascii="Palatino Linotype" w:eastAsia="Palatino Linotype" w:hAnsi="Palatino Linotype" w:cs="Palatino Linotype"/>
          <w:b/>
        </w:rPr>
        <w:t>SUJETO OBLIGADO</w:t>
      </w:r>
      <w:r w:rsidRPr="00E17370">
        <w:rPr>
          <w:rFonts w:ascii="Palatino Linotype" w:eastAsia="Palatino Linotype" w:hAnsi="Palatino Linotype" w:cs="Palatino Linotype"/>
        </w:rPr>
        <w:t xml:space="preserve"> a que, en términos del </w:t>
      </w:r>
      <w:r w:rsidRPr="00E17370">
        <w:rPr>
          <w:rFonts w:ascii="Palatino Linotype" w:eastAsia="Palatino Linotype" w:hAnsi="Palatino Linotype" w:cs="Palatino Linotype"/>
          <w:b/>
        </w:rPr>
        <w:t>Considerando Cuarto</w:t>
      </w:r>
      <w:r w:rsidRPr="00E17370">
        <w:rPr>
          <w:rFonts w:ascii="Palatino Linotype" w:eastAsia="Palatino Linotype" w:hAnsi="Palatino Linotype" w:cs="Palatino Linotype"/>
        </w:rPr>
        <w:t xml:space="preserve">, haga entrega, vía Sistema de Acceso a la Información Mexiquense, en versión pública correcta, la siguiente información: </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E17370">
        <w:rPr>
          <w:rFonts w:ascii="Palatino Linotype" w:eastAsia="Palatino Linotype" w:hAnsi="Palatino Linotype" w:cs="Palatino Linotype"/>
          <w:sz w:val="22"/>
          <w:szCs w:val="22"/>
        </w:rPr>
        <w:t xml:space="preserve">Actas de Cabildo de los años 2010 y 2011 remitidas en informe justificado. </w:t>
      </w:r>
    </w:p>
    <w:p w:rsidR="00C80CAB" w:rsidRPr="00E17370" w:rsidRDefault="00C80CAB">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rsidR="00C80CAB" w:rsidRPr="00E17370" w:rsidRDefault="00E10F02">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r w:rsidRPr="00E17370">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C80CAB" w:rsidRPr="00E17370" w:rsidRDefault="00C80CAB">
      <w:pPr>
        <w:tabs>
          <w:tab w:val="left" w:pos="8400"/>
        </w:tabs>
        <w:spacing w:line="360" w:lineRule="auto"/>
        <w:ind w:right="-28"/>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b/>
        </w:rPr>
        <w:t>Tercero.</w:t>
      </w:r>
      <w:r w:rsidRPr="00E17370">
        <w:rPr>
          <w:rFonts w:ascii="Palatino Linotype" w:eastAsia="Palatino Linotype" w:hAnsi="Palatino Linotype" w:cs="Palatino Linotype"/>
        </w:rPr>
        <w:t xml:space="preserve"> </w:t>
      </w:r>
      <w:r w:rsidRPr="00E17370">
        <w:rPr>
          <w:rFonts w:ascii="Palatino Linotype" w:eastAsia="Palatino Linotype" w:hAnsi="Palatino Linotype" w:cs="Palatino Linotype"/>
          <w:b/>
        </w:rPr>
        <w:t xml:space="preserve">Notifíquese </w:t>
      </w:r>
      <w:r w:rsidRPr="00E17370">
        <w:rPr>
          <w:rFonts w:ascii="Palatino Linotype" w:eastAsia="Palatino Linotype" w:hAnsi="Palatino Linotype" w:cs="Palatino Linotype"/>
        </w:rPr>
        <w:t>la presente resolución al T</w:t>
      </w:r>
      <w:r w:rsidRPr="00E17370">
        <w:rPr>
          <w:rFonts w:ascii="Palatino Linotype" w:eastAsia="Palatino Linotype" w:hAnsi="Palatino Linotype" w:cs="Palatino Linotype"/>
          <w:b/>
        </w:rPr>
        <w:t xml:space="preserve">itular de la Unidad de Transparencia </w:t>
      </w:r>
      <w:r w:rsidRPr="00E17370">
        <w:rPr>
          <w:rFonts w:ascii="Palatino Linotype" w:eastAsia="Palatino Linotype" w:hAnsi="Palatino Linotype" w:cs="Palatino Linotype"/>
        </w:rPr>
        <w:t xml:space="preserve">del </w:t>
      </w:r>
      <w:r w:rsidRPr="00E17370">
        <w:rPr>
          <w:rFonts w:ascii="Palatino Linotype" w:eastAsia="Palatino Linotype" w:hAnsi="Palatino Linotype" w:cs="Palatino Linotype"/>
          <w:b/>
        </w:rPr>
        <w:t>SUJETO OBLIGADO</w:t>
      </w:r>
      <w:r w:rsidRPr="00E17370">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w:t>
      </w:r>
      <w:r w:rsidRPr="00E17370">
        <w:rPr>
          <w:rFonts w:ascii="Palatino Linotype" w:eastAsia="Palatino Linotype" w:hAnsi="Palatino Linotype" w:cs="Palatino Linotype"/>
        </w:rPr>
        <w:lastRenderedPageBreak/>
        <w:t>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rsidR="00C80CAB" w:rsidRPr="00E17370" w:rsidRDefault="00C80CAB">
      <w:pPr>
        <w:spacing w:line="360" w:lineRule="auto"/>
        <w:ind w:right="49"/>
        <w:jc w:val="both"/>
        <w:rPr>
          <w:rFonts w:ascii="Palatino Linotype" w:eastAsia="Palatino Linotype" w:hAnsi="Palatino Linotype" w:cs="Palatino Linotype"/>
          <w:b/>
        </w:rPr>
      </w:pPr>
    </w:p>
    <w:p w:rsidR="00C80CAB" w:rsidRPr="00E17370" w:rsidRDefault="00E10F02">
      <w:pPr>
        <w:spacing w:line="360" w:lineRule="auto"/>
        <w:ind w:right="49"/>
        <w:jc w:val="both"/>
        <w:rPr>
          <w:rFonts w:ascii="Palatino Linotype" w:eastAsia="Palatino Linotype" w:hAnsi="Palatino Linotype" w:cs="Palatino Linotype"/>
          <w:strike/>
        </w:rPr>
      </w:pPr>
      <w:bookmarkStart w:id="8" w:name="_heading=h.4d34og8" w:colFirst="0" w:colLast="0"/>
      <w:bookmarkEnd w:id="8"/>
      <w:r w:rsidRPr="00E17370">
        <w:rPr>
          <w:rFonts w:ascii="Palatino Linotype" w:eastAsia="Palatino Linotype" w:hAnsi="Palatino Linotype" w:cs="Palatino Linotype"/>
          <w:b/>
        </w:rPr>
        <w:t>Cuarto.</w:t>
      </w:r>
      <w:r w:rsidRPr="00E17370">
        <w:rPr>
          <w:rFonts w:ascii="Palatino Linotype" w:eastAsia="Palatino Linotype" w:hAnsi="Palatino Linotype" w:cs="Palatino Linotype"/>
        </w:rPr>
        <w:t xml:space="preserve"> </w:t>
      </w:r>
      <w:r w:rsidRPr="00E17370">
        <w:rPr>
          <w:rFonts w:ascii="Palatino Linotype" w:eastAsia="Palatino Linotype" w:hAnsi="Palatino Linotype" w:cs="Palatino Linotype"/>
          <w:b/>
        </w:rPr>
        <w:t>Notifíquese vía SAIMEX</w:t>
      </w:r>
      <w:r w:rsidRPr="00E17370">
        <w:rPr>
          <w:rFonts w:ascii="Palatino Linotype" w:eastAsia="Palatino Linotype" w:hAnsi="Palatino Linotype" w:cs="Palatino Linotype"/>
        </w:rPr>
        <w:t xml:space="preserve"> a la parte </w:t>
      </w:r>
      <w:r w:rsidRPr="00E17370">
        <w:rPr>
          <w:rFonts w:ascii="Palatino Linotype" w:eastAsia="Palatino Linotype" w:hAnsi="Palatino Linotype" w:cs="Palatino Linotype"/>
          <w:b/>
        </w:rPr>
        <w:t xml:space="preserve">RECURRENTE </w:t>
      </w:r>
      <w:r w:rsidRPr="00E17370">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rsidR="00C80CAB" w:rsidRPr="00E17370" w:rsidRDefault="00C80CAB">
      <w:pPr>
        <w:spacing w:line="360" w:lineRule="auto"/>
        <w:ind w:right="49"/>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b/>
        </w:rPr>
        <w:t>Quinto.</w:t>
      </w:r>
      <w:r w:rsidRPr="00E17370">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E17370">
        <w:rPr>
          <w:rFonts w:ascii="Palatino Linotype" w:eastAsia="Palatino Linotype" w:hAnsi="Palatino Linotype" w:cs="Palatino Linotype"/>
          <w:b/>
        </w:rPr>
        <w:t>SUJETO OBLIGADO</w:t>
      </w:r>
      <w:r w:rsidRPr="00E17370">
        <w:rPr>
          <w:rFonts w:ascii="Palatino Linotype" w:eastAsia="Palatino Linotype" w:hAnsi="Palatino Linotype" w:cs="Palatino Linotype"/>
        </w:rPr>
        <w:t xml:space="preserve"> de manera fundada y motivada, podrá solicitar una ampliación de plazo para el cumplimiento de la presente resolución.</w:t>
      </w:r>
    </w:p>
    <w:p w:rsidR="00C80CAB" w:rsidRPr="00E17370" w:rsidRDefault="00C80CAB">
      <w:pPr>
        <w:spacing w:line="360" w:lineRule="auto"/>
        <w:ind w:right="49"/>
        <w:jc w:val="both"/>
        <w:rPr>
          <w:rFonts w:ascii="Palatino Linotype" w:eastAsia="Palatino Linotype" w:hAnsi="Palatino Linotype" w:cs="Palatino Linotype"/>
        </w:rPr>
      </w:pPr>
    </w:p>
    <w:p w:rsidR="00C90F04" w:rsidRDefault="00E10F02">
      <w:pPr>
        <w:spacing w:line="360" w:lineRule="auto"/>
        <w:ind w:right="49"/>
        <w:jc w:val="both"/>
        <w:rPr>
          <w:rFonts w:ascii="Palatino Linotype" w:eastAsia="Palatino Linotype" w:hAnsi="Palatino Linotype" w:cs="Palatino Linotype"/>
        </w:rPr>
      </w:pPr>
      <w:r w:rsidRPr="00E1737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E17370">
        <w:rPr>
          <w:rFonts w:ascii="Palatino Linotype" w:eastAsia="Palatino Linotype" w:hAnsi="Palatino Linotype" w:cs="Palatino Linotype"/>
        </w:rPr>
        <w:lastRenderedPageBreak/>
        <w:t xml:space="preserve">RAMÍREZ PEÑA; EN LA TRIGÉSIMA SEXTA SESIÓN ORDINARIA CELEBRADA EL TRES DE OCTUBRE DE DOS MIL VEINTITRÉS, ANTE EL SECRETARIO TÉCNICO DEL PLENO ALEXIS TAPIA RAMÍREZ.                      </w:t>
      </w:r>
    </w:p>
    <w:p w:rsidR="00C90F04" w:rsidRDefault="00C90F0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310514</wp:posOffset>
                </wp:positionH>
                <wp:positionV relativeFrom="paragraph">
                  <wp:posOffset>233044</wp:posOffset>
                </wp:positionV>
                <wp:extent cx="5514975" cy="56673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14975" cy="5667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82B76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45pt,18.35pt" to="458.7pt,4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H7uQEAAMUDAAAOAAAAZHJzL2Uyb0RvYy54bWysU9uO0zAQfUfiHyy/0yQL7bJR033oCl4Q&#10;VFw+wOuMG0u+aWya9O8ZO20WARJixYvtsefMzDkz3t5P1rATYNTedbxZ1ZyBk77X7tjxb1/fvXrL&#10;WUzC9cJ4Bx0/Q+T3u5cvtmNo4cYP3vSAjIK42I6h40NKoa2qKAewIq58AEePyqMViUw8Vj2KkaJb&#10;U93U9aYaPfYBvYQY6fZhfuS7El8pkOmTUhESMx2n2lJZsayPea12W9EeUYRBy0sZ4hlVWKEdJV1C&#10;PYgk2HfUv4WyWqKPXqWV9LbySmkJhQOxaepf2HwZRIDChcSJYZEp/r+w8uPpgEz31DvOnLDUoj01&#10;SiaPDPPGmqzRGGJLrnt3wIsVwwEz4UmhzTtRYVPR9bzoClNiki7X6+bN3e2aM0lv683m9jUZFKd6&#10;ggeM6T14y/Kh40a7TFy04vQhptn16kK4XM5cQDmls4HsbNxnUESGUjYFXcYI9gbZSdAACCnBpUKI&#10;UhfvDFPamAVY/x148c9QKCP2L+AFUTJ7lxaw1c7jn7Kn6Vqymv2vCsy8swSPvj+X1hRpaFaKuJe5&#10;zsP4s13gT79v9wMAAP//AwBQSwMEFAAGAAgAAAAhAMlWasbiAAAACQEAAA8AAABkcnMvZG93bnJl&#10;di54bWxMj0FPwkAQhe8m/ofNmHiTLZUArd0SQkJEEkNEEzwu3bGtdGeb7kLLv3c86e1N3st732SL&#10;wTbigp2vHSkYjyIQSIUzNZUKPt7XD3MQPmgyunGECq7oYZHf3mQ6Na6nN7zsQym4hHyqFVQhtKmU&#10;vqjQaj9yLRJ7X66zOvDZldJ0uudy28g4iqbS6pp4odItriosTvuzVfDabTar5fb6TbtP2x/i7WH3&#10;MjwrdX83LJ9ABBzCXxh+8RkdcmY6ujMZLxoFk3nCSQWP0xkI9pPxbALiyCJOYpB5Jv9/kP8AAAD/&#10;/wMAUEsBAi0AFAAGAAgAAAAhALaDOJL+AAAA4QEAABMAAAAAAAAAAAAAAAAAAAAAAFtDb250ZW50&#10;X1R5cGVzXS54bWxQSwECLQAUAAYACAAAACEAOP0h/9YAAACUAQAACwAAAAAAAAAAAAAAAAAvAQAA&#10;X3JlbHMvLnJlbHNQSwECLQAUAAYACAAAACEAGCCx+7kBAADFAwAADgAAAAAAAAAAAAAAAAAuAgAA&#10;ZHJzL2Uyb0RvYy54bWxQSwECLQAUAAYACAAAACEAyVZqxuIAAAAJAQAADwAAAAAAAAAAAAAAAAAT&#10;BAAAZHJzL2Rvd25yZXYueG1sUEsFBgAAAAAEAAQA8wAAACIFAAAAAA==&#10;" strokecolor="#5b9bd5 [3204]" strokeweight=".5pt">
                <v:stroke joinstyle="miter"/>
              </v:line>
            </w:pict>
          </mc:Fallback>
        </mc:AlternateContent>
      </w:r>
    </w:p>
    <w:p w:rsidR="00C90F04" w:rsidRDefault="00C90F04">
      <w:pPr>
        <w:spacing w:line="360" w:lineRule="auto"/>
        <w:ind w:right="49"/>
        <w:jc w:val="both"/>
        <w:rPr>
          <w:rFonts w:ascii="Palatino Linotype" w:eastAsia="Palatino Linotype" w:hAnsi="Palatino Linotype" w:cs="Palatino Linotype"/>
        </w:rPr>
      </w:pPr>
    </w:p>
    <w:p w:rsidR="00C80CAB" w:rsidRPr="00E17370" w:rsidRDefault="00E10F02">
      <w:pPr>
        <w:spacing w:line="360" w:lineRule="auto"/>
        <w:ind w:right="49"/>
        <w:jc w:val="both"/>
        <w:rPr>
          <w:rFonts w:ascii="Palatino Linotype" w:eastAsia="Palatino Linotype" w:hAnsi="Palatino Linotype" w:cs="Palatino Linotype"/>
        </w:rPr>
        <w:sectPr w:rsidR="00C80CAB" w:rsidRPr="00E17370">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E17370">
        <w:rPr>
          <w:rFonts w:ascii="Palatino Linotype" w:eastAsia="Palatino Linotype" w:hAnsi="Palatino Linotype" w:cs="Palatino Linotype"/>
        </w:rPr>
        <w:t xml:space="preserve">        </w:t>
      </w:r>
    </w:p>
    <w:p w:rsidR="00C80CAB" w:rsidRPr="00E17370" w:rsidRDefault="00C80CAB">
      <w:pPr>
        <w:spacing w:line="360" w:lineRule="auto"/>
        <w:jc w:val="both"/>
        <w:rPr>
          <w:rFonts w:ascii="Palatino Linotype" w:eastAsia="Palatino Linotype" w:hAnsi="Palatino Linotype" w:cs="Palatino Linotype"/>
        </w:rPr>
      </w:pPr>
    </w:p>
    <w:sectPr w:rsidR="00C80CAB" w:rsidRPr="00E17370">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DC1" w:rsidRDefault="00C56DC1">
      <w:r>
        <w:separator/>
      </w:r>
    </w:p>
  </w:endnote>
  <w:endnote w:type="continuationSeparator" w:id="0">
    <w:p w:rsidR="00C56DC1" w:rsidRDefault="00C5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AB" w:rsidRDefault="00E10F0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41EAF">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41EAF">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C80CAB" w:rsidRDefault="00C80CAB">
    <w:pPr>
      <w:pBdr>
        <w:top w:val="nil"/>
        <w:left w:val="nil"/>
        <w:bottom w:val="nil"/>
        <w:right w:val="nil"/>
        <w:between w:val="nil"/>
      </w:pBdr>
      <w:tabs>
        <w:tab w:val="center" w:pos="4252"/>
        <w:tab w:val="right" w:pos="8504"/>
      </w:tabs>
      <w:rPr>
        <w:color w:val="000000"/>
      </w:rPr>
    </w:pPr>
  </w:p>
  <w:p w:rsidR="00C80CAB" w:rsidRDefault="00C80CA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AB" w:rsidRDefault="00E10F0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41EA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41EAF">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C80CAB" w:rsidRDefault="00C80CA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DC1" w:rsidRDefault="00C56DC1">
      <w:r>
        <w:separator/>
      </w:r>
    </w:p>
  </w:footnote>
  <w:footnote w:type="continuationSeparator" w:id="0">
    <w:p w:rsidR="00C56DC1" w:rsidRDefault="00C56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AB" w:rsidRDefault="00E10F02">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-638174</wp:posOffset>
          </wp:positionH>
          <wp:positionV relativeFrom="paragraph">
            <wp:posOffset>-450214</wp:posOffset>
          </wp:positionV>
          <wp:extent cx="7809876" cy="1016582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528" w:type="dxa"/>
      <w:tblInd w:w="3261" w:type="dxa"/>
      <w:tblLayout w:type="fixed"/>
      <w:tblLook w:val="0400" w:firstRow="0" w:lastRow="0" w:firstColumn="0" w:lastColumn="0" w:noHBand="0" w:noVBand="1"/>
    </w:tblPr>
    <w:tblGrid>
      <w:gridCol w:w="2551"/>
      <w:gridCol w:w="2977"/>
    </w:tblGrid>
    <w:tr w:rsidR="00C80CAB">
      <w:tc>
        <w:tcPr>
          <w:tcW w:w="2551" w:type="dxa"/>
          <w:vAlign w:val="center"/>
        </w:tcPr>
        <w:p w:rsidR="00C80CAB" w:rsidRDefault="00E10F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C80CAB" w:rsidRDefault="00E10F0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02294/INFOEM/IP/RR/2023</w:t>
          </w:r>
        </w:p>
      </w:tc>
    </w:tr>
    <w:tr w:rsidR="00C80CAB">
      <w:trPr>
        <w:trHeight w:val="228"/>
      </w:trPr>
      <w:tc>
        <w:tcPr>
          <w:tcW w:w="2551" w:type="dxa"/>
          <w:vAlign w:val="center"/>
        </w:tcPr>
        <w:p w:rsidR="00C80CAB" w:rsidRDefault="00E10F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C80CAB" w:rsidRDefault="00C80CAB">
          <w:pPr>
            <w:rPr>
              <w:rFonts w:ascii="Palatino Linotype" w:eastAsia="Palatino Linotype" w:hAnsi="Palatino Linotype" w:cs="Palatino Linotype"/>
              <w:b/>
              <w:sz w:val="22"/>
              <w:szCs w:val="22"/>
            </w:rPr>
          </w:pPr>
        </w:p>
      </w:tc>
      <w:tc>
        <w:tcPr>
          <w:tcW w:w="2977" w:type="dxa"/>
          <w:vAlign w:val="center"/>
        </w:tcPr>
        <w:p w:rsidR="00C80CAB" w:rsidRDefault="00E10F0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Atlacomulco</w:t>
          </w:r>
        </w:p>
      </w:tc>
    </w:tr>
    <w:tr w:rsidR="00C80CAB">
      <w:tc>
        <w:tcPr>
          <w:tcW w:w="2551" w:type="dxa"/>
          <w:vAlign w:val="center"/>
        </w:tcPr>
        <w:p w:rsidR="00C80CAB" w:rsidRDefault="00E10F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C80CAB" w:rsidRDefault="00E10F0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80CAB" w:rsidRDefault="00E10F0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AB" w:rsidRDefault="00E10F0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-798193</wp:posOffset>
          </wp:positionH>
          <wp:positionV relativeFrom="paragraph">
            <wp:posOffset>-399413</wp:posOffset>
          </wp:positionV>
          <wp:extent cx="7809876" cy="10165823"/>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C80CAB">
      <w:tc>
        <w:tcPr>
          <w:tcW w:w="2551" w:type="dxa"/>
          <w:vAlign w:val="center"/>
        </w:tcPr>
        <w:p w:rsidR="00C80CAB" w:rsidRDefault="00E10F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C80CAB" w:rsidRDefault="00E10F0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02294/INFOEM/IP/RR/2023 </w:t>
          </w:r>
        </w:p>
      </w:tc>
    </w:tr>
    <w:tr w:rsidR="00C80CAB">
      <w:tc>
        <w:tcPr>
          <w:tcW w:w="2551" w:type="dxa"/>
          <w:vAlign w:val="center"/>
        </w:tcPr>
        <w:p w:rsidR="00C80CAB" w:rsidRDefault="00E10F02">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C80CAB" w:rsidRDefault="00541EAF" w:rsidP="00541EA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 XXX</w:t>
          </w:r>
        </w:p>
      </w:tc>
    </w:tr>
    <w:tr w:rsidR="00C80CAB">
      <w:trPr>
        <w:trHeight w:val="228"/>
      </w:trPr>
      <w:tc>
        <w:tcPr>
          <w:tcW w:w="2551" w:type="dxa"/>
          <w:vAlign w:val="center"/>
        </w:tcPr>
        <w:p w:rsidR="00C80CAB" w:rsidRDefault="00E10F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C80CAB" w:rsidRDefault="00C80CAB">
          <w:pPr>
            <w:rPr>
              <w:rFonts w:ascii="Palatino Linotype" w:eastAsia="Palatino Linotype" w:hAnsi="Palatino Linotype" w:cs="Palatino Linotype"/>
              <w:b/>
              <w:sz w:val="22"/>
              <w:szCs w:val="22"/>
            </w:rPr>
          </w:pPr>
        </w:p>
      </w:tc>
      <w:tc>
        <w:tcPr>
          <w:tcW w:w="3119" w:type="dxa"/>
          <w:vAlign w:val="center"/>
        </w:tcPr>
        <w:p w:rsidR="00C80CAB" w:rsidRDefault="00E10F02">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Atlacomulco</w:t>
          </w:r>
        </w:p>
      </w:tc>
    </w:tr>
    <w:tr w:rsidR="00C80CAB">
      <w:tc>
        <w:tcPr>
          <w:tcW w:w="2551" w:type="dxa"/>
          <w:vAlign w:val="center"/>
        </w:tcPr>
        <w:p w:rsidR="00C80CAB" w:rsidRDefault="00E10F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C80CAB" w:rsidRDefault="00E10F0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80CAB" w:rsidRDefault="00C80CA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AB" w:rsidRDefault="00C80CAB">
    <w:pPr>
      <w:pBdr>
        <w:top w:val="nil"/>
        <w:left w:val="nil"/>
        <w:bottom w:val="nil"/>
        <w:right w:val="nil"/>
        <w:between w:val="nil"/>
      </w:pBdr>
      <w:tabs>
        <w:tab w:val="center" w:pos="4252"/>
        <w:tab w:val="right" w:pos="8504"/>
      </w:tabs>
      <w:jc w:val="both"/>
      <w:rPr>
        <w:rFonts w:ascii="Calibri" w:eastAsia="Calibri" w:hAnsi="Calibri" w:cs="Calibri"/>
        <w:color w:val="000000"/>
      </w:rPr>
    </w:pPr>
  </w:p>
  <w:p w:rsidR="00C80CAB" w:rsidRDefault="00C80CA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E7B70"/>
    <w:multiLevelType w:val="multilevel"/>
    <w:tmpl w:val="B33A2F6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1F01F6"/>
    <w:multiLevelType w:val="multilevel"/>
    <w:tmpl w:val="C994E1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67F618C"/>
    <w:multiLevelType w:val="multilevel"/>
    <w:tmpl w:val="F9CE0C9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D9F78B1"/>
    <w:multiLevelType w:val="multilevel"/>
    <w:tmpl w:val="E9028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94B2D28"/>
    <w:multiLevelType w:val="multilevel"/>
    <w:tmpl w:val="04BE2D50"/>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nsid w:val="69DE2687"/>
    <w:multiLevelType w:val="multilevel"/>
    <w:tmpl w:val="7C9031B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29810D3"/>
    <w:multiLevelType w:val="multilevel"/>
    <w:tmpl w:val="5894A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AB"/>
    <w:rsid w:val="00541EAF"/>
    <w:rsid w:val="0061596B"/>
    <w:rsid w:val="00C56DC1"/>
    <w:rsid w:val="00C80CAB"/>
    <w:rsid w:val="00C90F04"/>
    <w:rsid w:val="00E10F02"/>
    <w:rsid w:val="00E17370"/>
    <w:rsid w:val="00F3316B"/>
    <w:rsid w:val="00F361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9AC92A-444C-4756-BE43-F0A828CF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A120A6"/>
    <w:rPr>
      <w:color w:val="605E5C"/>
      <w:shd w:val="clear" w:color="auto" w:fill="E1DFDD"/>
    </w:rPr>
  </w:style>
  <w:style w:type="paragraph" w:customStyle="1" w:styleId="Default">
    <w:name w:val="Default"/>
    <w:rsid w:val="00C318AC"/>
    <w:pPr>
      <w:autoSpaceDE w:val="0"/>
      <w:autoSpaceDN w:val="0"/>
      <w:adjustRightInd w:val="0"/>
    </w:pPr>
    <w:rPr>
      <w:rFonts w:ascii="Arial" w:eastAsiaTheme="minorHAnsi" w:hAnsi="Arial" w:cs="Arial"/>
      <w:color w:val="000000"/>
      <w:lang w:val="es-MX" w:eastAsia="en-US"/>
    </w:rPr>
  </w:style>
  <w:style w:type="character" w:customStyle="1" w:styleId="Mencinsinresolver4">
    <w:name w:val="Mención sin resolver4"/>
    <w:basedOn w:val="Fuentedeprrafopredeter"/>
    <w:uiPriority w:val="99"/>
    <w:semiHidden/>
    <w:unhideWhenUsed/>
    <w:rsid w:val="003D4C72"/>
    <w:rPr>
      <w:color w:val="605E5C"/>
      <w:shd w:val="clear" w:color="auto" w:fill="E1DFDD"/>
    </w:rPr>
  </w:style>
  <w:style w:type="character" w:customStyle="1" w:styleId="UnresolvedMention">
    <w:name w:val="Unresolved Mention"/>
    <w:basedOn w:val="Fuentedeprrafopredeter"/>
    <w:uiPriority w:val="99"/>
    <w:semiHidden/>
    <w:unhideWhenUsed/>
    <w:rsid w:val="00E222FE"/>
    <w:rPr>
      <w:color w:val="605E5C"/>
      <w:shd w:val="clear" w:color="auto" w:fill="E1DFDD"/>
    </w:r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tqeg4OYHqk4usM4cOXJgUQACg==">CgMxLjAyCWguMWZvYjl0ZTIIaC50eWpjd3QyCWguM2R5NnZrbTIJaC4zem55c2g3MghoLmdqZGd4czIJaC4zMGowemxsMgloLjF0M2g1c2YyCWguNGQzNG9nODgAciExaWJEbnRiUEFvUFA4eWo4ZXR4SWpjS1pZOTdlMkhQVWM=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7698</Words>
  <Characters>42340</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2023-10-04T16:59:00Z</cp:lastPrinted>
  <dcterms:created xsi:type="dcterms:W3CDTF">2023-10-25T20:16:00Z</dcterms:created>
  <dcterms:modified xsi:type="dcterms:W3CDTF">2023-10-25T20:16:00Z</dcterms:modified>
</cp:coreProperties>
</file>