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702" w:rsidRDefault="00404370">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veinticinco de octubre de dos mil veintitrés. </w:t>
      </w:r>
    </w:p>
    <w:p w:rsidR="009B7702" w:rsidRDefault="0040437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w:t>
      </w:r>
      <w:r>
        <w:rPr>
          <w:rFonts w:ascii="Palatino Linotype" w:eastAsia="Palatino Linotype" w:hAnsi="Palatino Linotype" w:cs="Palatino Linotype"/>
          <w:b/>
        </w:rPr>
        <w:t xml:space="preserve"> 05664/INFOEM/IP/RR/2023</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una persona que no proporcionó nombre o seudónimo,</w:t>
      </w:r>
      <w:r>
        <w:rPr>
          <w:rFonts w:ascii="Palatino Linotype" w:eastAsia="Palatino Linotype" w:hAnsi="Palatino Linotype" w:cs="Palatino Linotype"/>
        </w:rPr>
        <w:t xml:space="preserve">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w:t>
      </w:r>
      <w:r>
        <w:rPr>
          <w:rFonts w:ascii="Palatino Linotype" w:eastAsia="Palatino Linotype" w:hAnsi="Palatino Linotype" w:cs="Palatino Linotype"/>
          <w:b/>
        </w:rPr>
        <w:t xml:space="preserve"> Ayuntamiento de Zinacantepec,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9B7702" w:rsidRDefault="00404370">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9B7702" w:rsidRDefault="004043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treinta y uno de julio de dos mil veintitrés,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00880/ZINACANT/IP/2023, </w:t>
      </w:r>
      <w:r>
        <w:rPr>
          <w:rFonts w:ascii="Palatino Linotype" w:eastAsia="Palatino Linotype" w:hAnsi="Palatino Linotype" w:cs="Palatino Linotype"/>
        </w:rPr>
        <w:t xml:space="preserve">mediante la cual requirió la información siguiente: </w:t>
      </w:r>
    </w:p>
    <w:p w:rsidR="009B7702" w:rsidRDefault="00404370">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Pr>
          <w:rFonts w:ascii="Palatino Linotype" w:eastAsia="Palatino Linotype" w:hAnsi="Palatino Linotype" w:cs="Palatino Linotype"/>
          <w:i/>
          <w:sz w:val="22"/>
          <w:szCs w:val="22"/>
        </w:rPr>
        <w:t xml:space="preserve">“Se solicita conocer los </w:t>
      </w:r>
      <w:r>
        <w:rPr>
          <w:rFonts w:ascii="Palatino Linotype" w:eastAsia="Palatino Linotype" w:hAnsi="Palatino Linotype" w:cs="Palatino Linotype"/>
          <w:b/>
          <w:i/>
          <w:sz w:val="22"/>
          <w:szCs w:val="22"/>
        </w:rPr>
        <w:t>nombres de los servidores públicos suplentes</w:t>
      </w:r>
      <w:r>
        <w:rPr>
          <w:rFonts w:ascii="Palatino Linotype" w:eastAsia="Palatino Linotype" w:hAnsi="Palatino Linotype" w:cs="Palatino Linotype"/>
          <w:i/>
          <w:sz w:val="22"/>
          <w:szCs w:val="22"/>
        </w:rPr>
        <w:t xml:space="preserve"> en términos del artículo 45, párrafo segundo de la Ley de Transparencia y Acceso a la Información Pública del Estado de México y Municipios.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 xml:space="preserve">) </w:t>
      </w:r>
    </w:p>
    <w:p w:rsidR="009B7702" w:rsidRDefault="0040437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rsidR="009B7702" w:rsidRDefault="004043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w:t>
      </w:r>
      <w:r>
        <w:rPr>
          <w:rFonts w:ascii="Palatino Linotype" w:eastAsia="Palatino Linotype" w:hAnsi="Palatino Linotype" w:cs="Palatino Linotype"/>
          <w:b/>
        </w:rPr>
        <w:t>de SAIMEX</w:t>
      </w:r>
    </w:p>
    <w:p w:rsidR="009B7702" w:rsidRDefault="00404370">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Pr>
          <w:rFonts w:ascii="Palatino Linotype" w:eastAsia="Palatino Linotype" w:hAnsi="Palatino Linotype" w:cs="Palatino Linotype"/>
          <w:b/>
        </w:rPr>
        <w:lastRenderedPageBreak/>
        <w:t xml:space="preserve">2. Prorroga.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veintiuno de agosto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solicitó prórroga mediante </w:t>
      </w:r>
      <w:r>
        <w:rPr>
          <w:rFonts w:ascii="Palatino Linotype" w:eastAsia="Palatino Linotype" w:hAnsi="Palatino Linotype" w:cs="Palatino Linotype"/>
          <w:b/>
        </w:rPr>
        <w:t xml:space="preserve">SAIMEX, </w:t>
      </w:r>
      <w:r>
        <w:rPr>
          <w:rFonts w:ascii="Palatino Linotype" w:eastAsia="Palatino Linotype" w:hAnsi="Palatino Linotype" w:cs="Palatino Linotype"/>
        </w:rPr>
        <w:t>argumentando lo siguiente:</w:t>
      </w:r>
    </w:p>
    <w:p w:rsidR="009B7702" w:rsidRDefault="00404370">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9B7702" w:rsidRDefault="00404370">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 fundamento en el artículo 163 de la Ley de </w:t>
      </w:r>
      <w:proofErr w:type="spellStart"/>
      <w:r>
        <w:rPr>
          <w:rFonts w:ascii="Palatino Linotype" w:eastAsia="Palatino Linotype" w:hAnsi="Palatino Linotype" w:cs="Palatino Linotype"/>
          <w:i/>
          <w:sz w:val="22"/>
          <w:szCs w:val="22"/>
        </w:rPr>
        <w:t>Transaprencia</w:t>
      </w:r>
      <w:proofErr w:type="spellEnd"/>
      <w:r>
        <w:rPr>
          <w:rFonts w:ascii="Palatino Linotype" w:eastAsia="Palatino Linotype" w:hAnsi="Palatino Linotype" w:cs="Palatino Linotype"/>
          <w:i/>
          <w:sz w:val="22"/>
          <w:szCs w:val="22"/>
        </w:rPr>
        <w:t xml:space="preserve"> y Acceso a la Información Pública del Estado de México y Municipios se aprueba prórroga solicitada a fin de dar cabal cumplimiento al requerimiento...”</w:t>
      </w:r>
    </w:p>
    <w:p w:rsidR="009B7702" w:rsidRDefault="004043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refiere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rsidR="009B7702" w:rsidRDefault="0040437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Respuesta.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treinta de agosto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9B7702" w:rsidRDefault="00404370">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“…informo que los servidores públicos en términos de su requerimiento son los siguiente: 1. </w:t>
      </w:r>
      <w:proofErr w:type="spellStart"/>
      <w:r>
        <w:rPr>
          <w:rFonts w:ascii="Palatino Linotype" w:eastAsia="Palatino Linotype" w:hAnsi="Palatino Linotype" w:cs="Palatino Linotype"/>
          <w:i/>
          <w:sz w:val="22"/>
          <w:szCs w:val="22"/>
        </w:rPr>
        <w:t>Odemaris</w:t>
      </w:r>
      <w:proofErr w:type="spellEnd"/>
      <w:r>
        <w:rPr>
          <w:rFonts w:ascii="Palatino Linotype" w:eastAsia="Palatino Linotype" w:hAnsi="Palatino Linotype" w:cs="Palatino Linotype"/>
          <w:i/>
          <w:sz w:val="22"/>
          <w:szCs w:val="22"/>
        </w:rPr>
        <w:t xml:space="preserve"> Bernal Ordaz 2. Javier Rodrigo Galván Hernández 3. Enrique </w:t>
      </w:r>
      <w:proofErr w:type="spellStart"/>
      <w:r>
        <w:rPr>
          <w:rFonts w:ascii="Palatino Linotype" w:eastAsia="Palatino Linotype" w:hAnsi="Palatino Linotype" w:cs="Palatino Linotype"/>
          <w:i/>
          <w:sz w:val="22"/>
          <w:szCs w:val="22"/>
        </w:rPr>
        <w:t>Vazquez</w:t>
      </w:r>
      <w:proofErr w:type="spellEnd"/>
      <w:r>
        <w:rPr>
          <w:rFonts w:ascii="Palatino Linotype" w:eastAsia="Palatino Linotype" w:hAnsi="Palatino Linotype" w:cs="Palatino Linotype"/>
          <w:i/>
          <w:sz w:val="22"/>
          <w:szCs w:val="22"/>
        </w:rPr>
        <w:t xml:space="preserve"> Castañeda...”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9B7702" w:rsidRDefault="00404370">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4.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el</w:t>
      </w:r>
      <w:r>
        <w:rPr>
          <w:rFonts w:ascii="Palatino Linotype" w:eastAsia="Palatino Linotype" w:hAnsi="Palatino Linotype" w:cs="Palatino Linotype"/>
          <w:b/>
        </w:rPr>
        <w:t xml:space="preserve"> siete de septiembre de dos mil veintitrés,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9B7702" w:rsidRDefault="00404370">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rsidR="009B7702" w:rsidRDefault="00404370">
      <w:pPr>
        <w:tabs>
          <w:tab w:val="left" w:pos="2745"/>
        </w:tabs>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ENTREGA INFORMACIÓN” (sic)</w:t>
      </w:r>
    </w:p>
    <w:p w:rsidR="009B7702" w:rsidRDefault="00404370">
      <w:pPr>
        <w:spacing w:line="360" w:lineRule="auto"/>
        <w:jc w:val="both"/>
        <w:rPr>
          <w:rFonts w:ascii="Palatino Linotype" w:eastAsia="Palatino Linotype" w:hAnsi="Palatino Linotype" w:cs="Palatino Linotype"/>
        </w:rPr>
      </w:pPr>
      <w:bookmarkStart w:id="3" w:name="_heading=h.30j0zll" w:colFirst="0" w:colLast="0"/>
      <w:bookmarkEnd w:id="3"/>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 xml:space="preserve">: </w:t>
      </w:r>
    </w:p>
    <w:p w:rsidR="009B7702" w:rsidRDefault="00404370">
      <w:pPr>
        <w:tabs>
          <w:tab w:val="left" w:pos="2745"/>
        </w:tabs>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ENTREGA INFORMACIÓN" (sic)</w:t>
      </w:r>
    </w:p>
    <w:p w:rsidR="009B7702" w:rsidRDefault="00404370">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5.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9B7702" w:rsidRDefault="004043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doce de septiembre de dos mil veintitrés,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9B7702" w:rsidRDefault="00404370">
      <w:pPr>
        <w:spacing w:before="240" w:after="240" w:line="360" w:lineRule="auto"/>
        <w:jc w:val="both"/>
        <w:rPr>
          <w:rFonts w:ascii="Palatino Linotype" w:eastAsia="Palatino Linotype" w:hAnsi="Palatino Linotype" w:cs="Palatino Linotype"/>
        </w:rPr>
      </w:pPr>
      <w:bookmarkStart w:id="4" w:name="_heading=h.2s8eyo1" w:colFirst="0" w:colLast="0"/>
      <w:bookmarkEnd w:id="4"/>
      <w:r>
        <w:rPr>
          <w:rFonts w:ascii="Palatino Linotype" w:eastAsia="Palatino Linotype" w:hAnsi="Palatino Linotype" w:cs="Palatino Linotype"/>
          <w:b/>
        </w:rPr>
        <w:lastRenderedPageBreak/>
        <w:t>7. Manifestaciones</w:t>
      </w:r>
      <w:r>
        <w:rPr>
          <w:rFonts w:ascii="Palatino Linotype" w:eastAsia="Palatino Linotype" w:hAnsi="Palatino Linotype" w:cs="Palatino Linotype"/>
        </w:rPr>
        <w:t xml:space="preserve">. 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9B7702" w:rsidRDefault="00404370">
      <w:pPr>
        <w:spacing w:before="240" w:after="240" w:line="360" w:lineRule="auto"/>
        <w:jc w:val="both"/>
        <w:rPr>
          <w:rFonts w:ascii="Palatino Linotype" w:eastAsia="Palatino Linotype" w:hAnsi="Palatino Linotype" w:cs="Palatino Linotype"/>
        </w:rPr>
      </w:pPr>
      <w:r>
        <w:rPr>
          <w:noProof/>
        </w:rPr>
        <w:drawing>
          <wp:inline distT="0" distB="0" distL="0" distR="0">
            <wp:extent cx="5612130" cy="1606550"/>
            <wp:effectExtent l="0" t="0" r="0" b="0"/>
            <wp:docPr id="18534815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606550"/>
                    </a:xfrm>
                    <a:prstGeom prst="rect">
                      <a:avLst/>
                    </a:prstGeom>
                    <a:ln/>
                  </pic:spPr>
                </pic:pic>
              </a:graphicData>
            </a:graphic>
          </wp:inline>
        </w:drawing>
      </w:r>
    </w:p>
    <w:p w:rsidR="009B7702" w:rsidRDefault="004043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nueve de octubre de dos mil veintitrés</w:t>
      </w:r>
      <w:r>
        <w:rPr>
          <w:rFonts w:ascii="Palatino Linotype" w:eastAsia="Palatino Linotype" w:hAnsi="Palatino Linotype" w:cs="Palatino Linotype"/>
        </w:rPr>
        <w:t xml:space="preserve"> en términos de la fracción VI del artículo 185 de la Ley de Transparencia y Acceso a la Información Pública del Estado de México y Municipios</w:t>
      </w:r>
    </w:p>
    <w:p w:rsidR="009B7702" w:rsidRDefault="004043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9B7702" w:rsidRDefault="00404370">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9B7702" w:rsidRDefault="004043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rPr>
        <w:lastRenderedPageBreak/>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9B7702" w:rsidRDefault="00404370">
      <w:pPr>
        <w:spacing w:before="240" w:after="240" w:line="360" w:lineRule="auto"/>
        <w:jc w:val="both"/>
        <w:rPr>
          <w:rFonts w:ascii="Palatino Linotype" w:eastAsia="Palatino Linotype" w:hAnsi="Palatino Linotype" w:cs="Palatino Linotype"/>
        </w:rPr>
      </w:pPr>
      <w:bookmarkStart w:id="5" w:name="_heading=h.tyjcwt" w:colFirst="0" w:colLast="0"/>
      <w:bookmarkEnd w:id="5"/>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9B7702" w:rsidRDefault="004043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treinta de agosto de dos mil veintitrés, </w:t>
      </w:r>
      <w:r>
        <w:rPr>
          <w:rFonts w:ascii="Palatino Linotype" w:eastAsia="Palatino Linotype" w:hAnsi="Palatino Linotype" w:cs="Palatino Linotype"/>
        </w:rPr>
        <w:t xml:space="preserve">mientras que el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 xml:space="preserve">siete de septiembre de abril de dos mil veintitrés, </w:t>
      </w:r>
      <w:r>
        <w:rPr>
          <w:rFonts w:ascii="Palatino Linotype" w:eastAsia="Palatino Linotype" w:hAnsi="Palatino Linotype" w:cs="Palatino Linotype"/>
        </w:rPr>
        <w:t>esto es, a los seis días hábiles posteriores en que tuvo conocimiento de la respuesta impugnada.</w:t>
      </w:r>
    </w:p>
    <w:p w:rsidR="009B7702" w:rsidRDefault="00404370">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rPr>
        <w:lastRenderedPageBreak/>
        <w:t xml:space="preserve">Al mismo tiempo,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9B7702" w:rsidRDefault="004043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la persona solicitante </w:t>
      </w:r>
      <w:r>
        <w:rPr>
          <w:rFonts w:ascii="Palatino Linotype" w:eastAsia="Palatino Linotype" w:hAnsi="Palatino Linotype" w:cs="Palatino Linotype"/>
          <w:b/>
        </w:rPr>
        <w:t xml:space="preserve">no proporcionó nombre, </w:t>
      </w:r>
      <w:r>
        <w:rPr>
          <w:rFonts w:ascii="Palatino Linotype" w:eastAsia="Palatino Linotype" w:hAnsi="Palatino Linotype" w:cs="Palatino Linotype"/>
        </w:rPr>
        <w:t>como se advierte en el detalle de seguimiento del SAIMEX,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B7702" w:rsidRDefault="00404370">
      <w:pPr>
        <w:spacing w:before="120" w:after="120"/>
        <w:ind w:left="851" w:right="902"/>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Las solicitudes </w:t>
      </w:r>
      <w:r>
        <w:rPr>
          <w:rFonts w:ascii="Palatino Linotype" w:eastAsia="Palatino Linotype" w:hAnsi="Palatino Linotype" w:cs="Palatino Linotype"/>
          <w:i/>
          <w:sz w:val="22"/>
          <w:szCs w:val="22"/>
        </w:rPr>
        <w:t xml:space="preserve">anónimas, </w:t>
      </w:r>
      <w:r>
        <w:rPr>
          <w:rFonts w:ascii="Palatino Linotype" w:eastAsia="Palatino Linotype" w:hAnsi="Palatino Linotype" w:cs="Palatino Linotype"/>
          <w:b/>
          <w:i/>
          <w:sz w:val="22"/>
          <w:szCs w:val="22"/>
        </w:rPr>
        <w:t>con nombre incompleto</w:t>
      </w:r>
      <w:r>
        <w:rPr>
          <w:rFonts w:ascii="Palatino Linotype" w:eastAsia="Palatino Linotype" w:hAnsi="Palatino Linotype" w:cs="Palatino Linotype"/>
          <w:i/>
          <w:sz w:val="22"/>
          <w:szCs w:val="22"/>
        </w:rPr>
        <w:t xml:space="preserve">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rsidR="009B7702" w:rsidRDefault="004043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rsidR="009B7702" w:rsidRDefault="009B7702">
      <w:pPr>
        <w:tabs>
          <w:tab w:val="left" w:pos="7938"/>
        </w:tabs>
        <w:spacing w:before="240" w:after="240" w:line="360" w:lineRule="auto"/>
        <w:jc w:val="both"/>
        <w:rPr>
          <w:rFonts w:ascii="Palatino Linotype" w:eastAsia="Palatino Linotype" w:hAnsi="Palatino Linotype" w:cs="Palatino Linotype"/>
        </w:rPr>
      </w:pPr>
    </w:p>
    <w:p w:rsidR="009B7702" w:rsidRDefault="004043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se advierte que resulta procedente la interposición del recurso, según lo manifestado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1 del ordenamiento legal citado, que a la letra dice: </w:t>
      </w:r>
    </w:p>
    <w:p w:rsidR="009B7702" w:rsidRDefault="00404370">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9B7702" w:rsidRDefault="00404370">
      <w:pPr>
        <w:spacing w:before="120" w:after="120"/>
        <w:ind w:left="1134"/>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La negativa a la información solicitada;”</w:t>
      </w:r>
    </w:p>
    <w:p w:rsidR="009B7702" w:rsidRDefault="00404370">
      <w:pPr>
        <w:spacing w:before="240" w:after="240" w:line="360" w:lineRule="auto"/>
        <w:jc w:val="both"/>
        <w:rPr>
          <w:rFonts w:ascii="Palatino Linotype" w:eastAsia="Palatino Linotype" w:hAnsi="Palatino Linotype" w:cs="Palatino Linotype"/>
        </w:rPr>
      </w:pPr>
      <w:bookmarkStart w:id="7" w:name="_heading=h.2et92p0" w:colFirst="0" w:colLast="0"/>
      <w:bookmarkEnd w:id="7"/>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rsidR="009B7702" w:rsidRDefault="00404370">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Del análisis de la solicitud de información, motivo del recurso de revisión que ahora se resuelve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información consistente en lo siguiente:</w:t>
      </w:r>
    </w:p>
    <w:p w:rsidR="009B7702" w:rsidRDefault="00404370">
      <w:pPr>
        <w:spacing w:before="240" w:after="240" w:line="360"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rPr>
        <w:t xml:space="preserve">1. Los </w:t>
      </w:r>
      <w:r>
        <w:rPr>
          <w:rFonts w:ascii="Palatino Linotype" w:eastAsia="Palatino Linotype" w:hAnsi="Palatino Linotype" w:cs="Palatino Linotype"/>
          <w:b/>
        </w:rPr>
        <w:t>nombres de los servidores públicos suplentes,</w:t>
      </w:r>
      <w:r>
        <w:rPr>
          <w:rFonts w:ascii="Palatino Linotype" w:eastAsia="Palatino Linotype" w:hAnsi="Palatino Linotype" w:cs="Palatino Linotype"/>
        </w:rPr>
        <w:t xml:space="preserve"> en términos del artículo 45, párrafo segundo de la Ley de Transparencia y Acceso a la Información Pública del Estado de México y Municipios.</w:t>
      </w:r>
    </w:p>
    <w:p w:rsidR="009B7702" w:rsidRDefault="0040437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Cabe mencionar que el párrafo segundo, del artículo 45 de la Ley de Transparencia y Acceso a la Información Pública del Estado de México y Municipios, dispone lo siguiente:</w:t>
      </w:r>
    </w:p>
    <w:p w:rsidR="009B7702" w:rsidRDefault="0040437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45</w:t>
      </w:r>
      <w:r>
        <w:rPr>
          <w:rFonts w:ascii="Palatino Linotype" w:eastAsia="Palatino Linotype" w:hAnsi="Palatino Linotype" w:cs="Palatino Linotype"/>
          <w:i/>
          <w:sz w:val="22"/>
          <w:szCs w:val="22"/>
        </w:rPr>
        <w:t>...</w:t>
      </w:r>
    </w:p>
    <w:p w:rsidR="009B7702" w:rsidRDefault="0040437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w:t>
      </w:r>
      <w:r>
        <w:rPr>
          <w:rFonts w:ascii="Palatino Linotype" w:eastAsia="Palatino Linotype" w:hAnsi="Palatino Linotype" w:cs="Palatino Linotype"/>
          <w:b/>
          <w:i/>
          <w:sz w:val="22"/>
          <w:szCs w:val="22"/>
        </w:rPr>
        <w:t>Los miembros propietarios de los Comités de Transparencia contarán con los suplentes designados,</w:t>
      </w:r>
      <w:r>
        <w:rPr>
          <w:rFonts w:ascii="Palatino Linotype" w:eastAsia="Palatino Linotype" w:hAnsi="Palatino Linotype" w:cs="Palatino Linotype"/>
          <w:i/>
          <w:sz w:val="22"/>
          <w:szCs w:val="22"/>
        </w:rPr>
        <w:t xml:space="preserve"> de conformidad con la normatividad interna de los respectivos sujetos obligados, y deberán corresponder a personas que ocupen cargos de la jerarquía inmediata inferior a la de dichos propietarios.”</w:t>
      </w:r>
    </w:p>
    <w:p w:rsidR="009B7702" w:rsidRDefault="0040437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a través de la Unidad de Transparencia, hizo del conocimiento de la persona solicitante el nombre de los servidores públicos en términos del requerimiento de información.</w:t>
      </w:r>
    </w:p>
    <w:p w:rsidR="009B7702" w:rsidRDefault="004043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obstante, al no estar conforme con los términos de dicha respuesta, la persona solicitante interpuso el recurso de revisión que nos ocupa, mediante el cual manifestó, como motivo de inconformidad que no se le entregó información.</w:t>
      </w:r>
    </w:p>
    <w:p w:rsidR="009B7702" w:rsidRDefault="0040437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 admitido el recurso de revisión, en términos del artículo 185 fracción II</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rsidR="009B7702" w:rsidRDefault="0040437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esta tesitura, de las constancias que integran el expediente electrónico  relacionado con el recurso de revisión materia de estudio, se colige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niega la competencia para conocer de la información solicitada, sino </w:t>
      </w:r>
      <w:r>
        <w:rPr>
          <w:rFonts w:ascii="Palatino Linotype" w:eastAsia="Palatino Linotype" w:hAnsi="Palatino Linotype" w:cs="Palatino Linotype"/>
        </w:rPr>
        <w:lastRenderedPageBreak/>
        <w:t>por el contrario, con la respuesta pronunciada asevera que es competente para conocer de la solicitud de información</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rPr>
        <w:t xml:space="preserve">lo anterior es así, ya que el estudio enunciado tiene por objeto determinar si </w:t>
      </w:r>
      <w:r>
        <w:t>los</w:t>
      </w:r>
      <w:r>
        <w:rPr>
          <w:rFonts w:ascii="Palatino Linotype" w:eastAsia="Palatino Linotype" w:hAnsi="Palatino Linotype" w:cs="Palatino Linotype"/>
        </w:rPr>
        <w:t xml:space="preserve"> Sujeto</w:t>
      </w:r>
      <w:r>
        <w:t>s</w:t>
      </w:r>
      <w:r>
        <w:rPr>
          <w:rFonts w:ascii="Palatino Linotype" w:eastAsia="Palatino Linotype" w:hAnsi="Palatino Linotype" w:cs="Palatino Linotype"/>
        </w:rPr>
        <w:t xml:space="preserve"> Obligado</w:t>
      </w:r>
      <w:r>
        <w:t>s</w:t>
      </w:r>
      <w:r>
        <w:rPr>
          <w:rFonts w:ascii="Palatino Linotype" w:eastAsia="Palatino Linotype" w:hAnsi="Palatino Linotype" w:cs="Palatino Linotype"/>
        </w:rPr>
        <w:t xml:space="preserve"> generan, poseen o administran  la información solicitada, sin embargo, en aquellos casos en que </w:t>
      </w:r>
      <w:r>
        <w:t>e</w:t>
      </w:r>
      <w:r>
        <w:rPr>
          <w:rFonts w:ascii="Palatino Linotype" w:eastAsia="Palatino Linotype" w:hAnsi="Palatino Linotype" w:cs="Palatino Linotype"/>
        </w:rPr>
        <w:t>st</w:t>
      </w:r>
      <w:r>
        <w:t xml:space="preserve">os </w:t>
      </w:r>
      <w:r>
        <w:rPr>
          <w:rFonts w:ascii="Palatino Linotype" w:eastAsia="Palatino Linotype" w:hAnsi="Palatino Linotype" w:cs="Palatino Linotype"/>
        </w:rPr>
        <w:t>ha</w:t>
      </w:r>
      <w:r>
        <w:t>n</w:t>
      </w:r>
      <w:r>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w:t>
      </w:r>
    </w:p>
    <w:p w:rsidR="009B7702" w:rsidRDefault="00404370">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Pr>
          <w:rFonts w:ascii="Palatino Linotype" w:eastAsia="Palatino Linotype" w:hAnsi="Palatino Linotype" w:cs="Palatino Linotype"/>
          <w:i/>
          <w:sz w:val="22"/>
          <w:szCs w:val="22"/>
        </w:rPr>
        <w:t xml:space="preserve"> en los términos de las disposiciones jurídicas aplicables. </w:t>
      </w:r>
    </w:p>
    <w:p w:rsidR="009B7702" w:rsidRDefault="00404370">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9B7702" w:rsidRDefault="0040437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se procede al análisis de los requerimientos planteados por la particular y la respuesta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rsidR="009B7702" w:rsidRDefault="0040437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es preciso recordar que la persona solicitante, requirió se le informara el nombre de los suplentes de los miembros propietarios del Comité de Transparencia, por lo que, para atender el requerimiento de información la Unidad </w:t>
      </w:r>
      <w:r>
        <w:rPr>
          <w:rFonts w:ascii="Palatino Linotype" w:eastAsia="Palatino Linotype" w:hAnsi="Palatino Linotype" w:cs="Palatino Linotype"/>
        </w:rPr>
        <w:lastRenderedPageBreak/>
        <w:t>de Transparencia proporcionó específicamente los nombres de los servidores públicos suplentes.</w:t>
      </w:r>
    </w:p>
    <w:p w:rsidR="009B7702" w:rsidRDefault="0040437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cabe mencionar que la Unidad de Transparencia es la unidad administrativa que tiene a su cargo, entre otras funciones, las de recibir, tramitar y dar respuesta a las solicitudes de acceso a la información; y entregar, en su caso, a los particulares la información solicitada; asimismo, la persona titular de dicha unidad administrativa forma parte integrante del Comité de Transparencia, lo anterior de conformidad con los artículos 46, fracción I y 53, fracciones II y V de la Ley de la Materia, a saber:</w:t>
      </w:r>
    </w:p>
    <w:p w:rsidR="009B7702" w:rsidRDefault="0040437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46</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 xml:space="preserve">sujetos obligados </w:t>
      </w:r>
      <w:r>
        <w:rPr>
          <w:rFonts w:ascii="Palatino Linotype" w:eastAsia="Palatino Linotype" w:hAnsi="Palatino Linotype" w:cs="Palatino Linotype"/>
          <w:b/>
          <w:i/>
          <w:sz w:val="22"/>
          <w:szCs w:val="22"/>
          <w:u w:val="single"/>
        </w:rPr>
        <w:t>integrarán</w:t>
      </w:r>
      <w:r>
        <w:rPr>
          <w:rFonts w:ascii="Palatino Linotype" w:eastAsia="Palatino Linotype" w:hAnsi="Palatino Linotype" w:cs="Palatino Linotype"/>
          <w:b/>
          <w:i/>
          <w:sz w:val="22"/>
          <w:szCs w:val="22"/>
        </w:rPr>
        <w:t xml:space="preserve"> sus Comités de Transparencia de la siguiente forma</w:t>
      </w:r>
      <w:r>
        <w:rPr>
          <w:rFonts w:ascii="Palatino Linotype" w:eastAsia="Palatino Linotype" w:hAnsi="Palatino Linotype" w:cs="Palatino Linotype"/>
          <w:i/>
          <w:sz w:val="22"/>
          <w:szCs w:val="22"/>
        </w:rPr>
        <w:t xml:space="preserve">: </w:t>
      </w:r>
    </w:p>
    <w:p w:rsidR="009B7702" w:rsidRDefault="00404370">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El titular de la unidad de transparencia;</w:t>
      </w:r>
    </w:p>
    <w:p w:rsidR="009B7702" w:rsidRDefault="0040437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responsable del área coordinadora de archivos o equivalente; y </w:t>
      </w:r>
    </w:p>
    <w:p w:rsidR="009B7702" w:rsidRDefault="0040437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El titular del órgano de control interno o equivalente.</w:t>
      </w:r>
    </w:p>
    <w:p w:rsidR="009B7702" w:rsidRDefault="0040437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B7702" w:rsidRDefault="0040437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Las Unidades de Transparencia tendrán las siguientes funciones:</w:t>
      </w:r>
    </w:p>
    <w:p w:rsidR="009B7702" w:rsidRDefault="0040437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B7702" w:rsidRDefault="0040437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Recibir, tramitar y dar respuesta a las solicitudes de acceso a la información;</w:t>
      </w:r>
    </w:p>
    <w:p w:rsidR="009B7702" w:rsidRDefault="0040437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B7702" w:rsidRDefault="0040437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Entregar, en su caso, a los particulares la información solicitada;”</w:t>
      </w:r>
    </w:p>
    <w:p w:rsidR="009B7702" w:rsidRDefault="00404370">
      <w:pPr>
        <w:spacing w:before="240" w:after="360" w:line="360" w:lineRule="auto"/>
        <w:ind w:right="18"/>
        <w:jc w:val="both"/>
        <w:rPr>
          <w:rFonts w:ascii="Palatino Linotype" w:eastAsia="Palatino Linotype" w:hAnsi="Palatino Linotype" w:cs="Palatino Linotype"/>
        </w:rPr>
      </w:pPr>
      <w:bookmarkStart w:id="8" w:name="_heading=h.1fob9te" w:colFirst="0" w:colLast="0"/>
      <w:bookmarkEnd w:id="8"/>
      <w:r>
        <w:rPr>
          <w:rFonts w:ascii="Palatino Linotype" w:eastAsia="Palatino Linotype" w:hAnsi="Palatino Linotype" w:cs="Palatino Linotype"/>
        </w:rPr>
        <w:t xml:space="preserve">En este tenor, debe entenderse que la respuesta a la solicitud fue proporcionada por la servidora pública habilitada competente para generar, administrar o poseer la información de mérito, por lo que, al haber existido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a través del área competente</w:t>
      </w:r>
      <w:r>
        <w:rPr>
          <w:rFonts w:ascii="Palatino Linotype" w:eastAsia="Palatino Linotype" w:hAnsi="Palatino Linotype" w:cs="Palatino Linotype"/>
          <w:b/>
        </w:rPr>
        <w:t>,</w:t>
      </w:r>
      <w:r>
        <w:rPr>
          <w:rFonts w:ascii="Palatino Linotype" w:eastAsia="Palatino Linotype" w:hAnsi="Palatino Linotype" w:cs="Palatino Linotype"/>
        </w:rPr>
        <w:t xml:space="preserve"> respecto de la materia de la </w:t>
      </w:r>
      <w:r>
        <w:rPr>
          <w:rFonts w:ascii="Palatino Linotype" w:eastAsia="Palatino Linotype" w:hAnsi="Palatino Linotype" w:cs="Palatino Linotype"/>
        </w:rPr>
        <w:lastRenderedPageBreak/>
        <w:t>solicitud, este Organismo Garante no está facultado para manifestarse sobre la veracidad de lo expresado por parte de este, pues no existe precepto legal alguno en la Ley de la materia que lo faculte para ello.</w:t>
      </w:r>
    </w:p>
    <w:p w:rsidR="009B7702" w:rsidRDefault="00404370">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9B7702" w:rsidRDefault="00404370">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B7702" w:rsidRDefault="004043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se estima que la solicitud de información ha quedado satisfecha mediante el pronunciamiento emitido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 la Unidad de Transparencia, por lo que se concluye que los motivos de inconformidad de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devienen infundados, siendo procedente </w:t>
      </w:r>
      <w:r>
        <w:rPr>
          <w:rFonts w:ascii="Palatino Linotype" w:eastAsia="Palatino Linotype" w:hAnsi="Palatino Linotype" w:cs="Palatino Linotype"/>
          <w:i/>
        </w:rPr>
        <w:t xml:space="preserve">Confirmar </w:t>
      </w:r>
      <w:r>
        <w:rPr>
          <w:rFonts w:ascii="Palatino Linotype" w:eastAsia="Palatino Linotype" w:hAnsi="Palatino Linotype" w:cs="Palatino Linotype"/>
        </w:rPr>
        <w:t xml:space="preserve">la respuesta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términos del </w:t>
      </w:r>
      <w:r>
        <w:rPr>
          <w:rFonts w:ascii="Palatino Linotype" w:eastAsia="Palatino Linotype" w:hAnsi="Palatino Linotype" w:cs="Palatino Linotype"/>
        </w:rPr>
        <w:lastRenderedPageBreak/>
        <w:t>artículo 186, fracción II de la Ley de Transparencia y Acceso a la Información Pública del Estado de México y Municipios.</w:t>
      </w:r>
    </w:p>
    <w:p w:rsidR="009B7702" w:rsidRDefault="0040437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9B7702" w:rsidRDefault="0040437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9B7702" w:rsidRDefault="00404370">
      <w:pPr>
        <w:spacing w:before="240" w:after="240" w:line="360" w:lineRule="auto"/>
        <w:jc w:val="both"/>
        <w:rPr>
          <w:rFonts w:ascii="Palatino Linotype" w:eastAsia="Palatino Linotype" w:hAnsi="Palatino Linotype" w:cs="Palatino Linotype"/>
        </w:rPr>
      </w:pPr>
      <w:bookmarkStart w:id="9" w:name="_heading=h.26in1rg" w:colFirst="0" w:colLast="0"/>
      <w:bookmarkEnd w:id="9"/>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Son </w:t>
      </w:r>
      <w:r>
        <w:rPr>
          <w:rFonts w:ascii="Palatino Linotype" w:eastAsia="Palatino Linotype" w:hAnsi="Palatino Linotype" w:cs="Palatino Linotype"/>
          <w:b/>
        </w:rPr>
        <w:t>infundadas</w:t>
      </w:r>
      <w:r>
        <w:rPr>
          <w:rFonts w:ascii="Palatino Linotype" w:eastAsia="Palatino Linotype" w:hAnsi="Palatino Linotype" w:cs="Palatino Linotype"/>
        </w:rPr>
        <w:t xml:space="preserv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05664/INFOEM/IP/RR/2023</w:t>
      </w:r>
      <w:r>
        <w:rPr>
          <w:rFonts w:ascii="Palatino Linotype" w:eastAsia="Palatino Linotype" w:hAnsi="Palatino Linotype" w:cs="Palatino Linotype"/>
        </w:rPr>
        <w:t xml:space="preserve">, por lo que, en términos de los argumentos de derecho señalados en el considerando </w:t>
      </w:r>
      <w:r>
        <w:rPr>
          <w:rFonts w:ascii="Palatino Linotype" w:eastAsia="Palatino Linotype" w:hAnsi="Palatino Linotype" w:cs="Palatino Linotype"/>
          <w:b/>
        </w:rPr>
        <w:t>Cuarto</w:t>
      </w:r>
      <w:r>
        <w:rPr>
          <w:rFonts w:ascii="Palatino Linotype" w:eastAsia="Palatino Linotype" w:hAnsi="Palatino Linotype" w:cs="Palatino Linotype"/>
        </w:rPr>
        <w:t>, se</w:t>
      </w:r>
      <w:r>
        <w:rPr>
          <w:rFonts w:ascii="Palatino Linotype" w:eastAsia="Palatino Linotype" w:hAnsi="Palatino Linotype" w:cs="Palatino Linotype"/>
          <w:b/>
        </w:rPr>
        <w:t xml:space="preserve"> Confirma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9B7702" w:rsidRDefault="004043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Notifíquese, </w:t>
      </w:r>
      <w:r>
        <w:rPr>
          <w:rFonts w:ascii="Palatino Linotype" w:eastAsia="Palatino Linotype" w:hAnsi="Palatino Linotype" w:cs="Palatino Linotype"/>
        </w:rPr>
        <w:t xml:space="preserve">al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su conocimiento, la presente resolución.</w:t>
      </w:r>
    </w:p>
    <w:p w:rsidR="009B7702" w:rsidRDefault="004043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 Tercero.  Notifíquese, a</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9B7702" w:rsidRDefault="00404370">
      <w:pPr>
        <w:spacing w:line="360" w:lineRule="auto"/>
        <w:jc w:val="both"/>
        <w:rPr>
          <w:rFonts w:ascii="Palatino Linotype" w:eastAsia="Palatino Linotype" w:hAnsi="Palatino Linotype" w:cs="Palatino Linotype"/>
        </w:rPr>
      </w:pPr>
      <w:bookmarkStart w:id="10" w:name="_heading=h.4d34og8" w:colFirst="0" w:colLast="0"/>
      <w:bookmarkEnd w:id="10"/>
      <w:r>
        <w:rPr>
          <w:rFonts w:ascii="Palatino Linotype" w:eastAsia="Palatino Linotype" w:hAnsi="Palatino Linotype" w:cs="Palatino Linotype"/>
        </w:rPr>
        <w:t xml:space="preserve">ASÍ LO RESUELVE, POR UNANIMIDAD DE VOTOS, EL PLENO DEL INSTITUTO DE TRANSPARENCIA, ACCESO A LA INFORMACIÓN PÚBLICA Y </w:t>
      </w:r>
      <w:r>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TRIGÉSIMO OCTAVA SESIÓN ORDINARIA, CELEBRADA EL VEINTICINCO DE OCTUBRE DE DOS MIL VEINTITRÉS, ANTE EL SECRETARIO TÉCNICO DEL PLENO ALEXIS TAPIA RAMÍREZ.</w:t>
      </w:r>
    </w:p>
    <w:p w:rsidR="00404370" w:rsidRDefault="004043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29602</wp:posOffset>
                </wp:positionV>
                <wp:extent cx="5506948" cy="5126805"/>
                <wp:effectExtent l="38100" t="19050" r="74930" b="93345"/>
                <wp:wrapNone/>
                <wp:docPr id="1" name="Conector recto 1"/>
                <wp:cNvGraphicFramePr/>
                <a:graphic xmlns:a="http://schemas.openxmlformats.org/drawingml/2006/main">
                  <a:graphicData uri="http://schemas.microsoft.com/office/word/2010/wordprocessingShape">
                    <wps:wsp>
                      <wps:cNvCnPr/>
                      <wps:spPr>
                        <a:xfrm>
                          <a:off x="0" y="0"/>
                          <a:ext cx="5506948" cy="512680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A89D2"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4pt,2.35pt" to="816pt,4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" strokecolor="black [3200]" strokeweight="2pt">
                <v:shadow on="t" color="black" opacity="24903f" origin=",.5" offset="0,.55556mm"/>
                <w10:wrap anchorx="margin"/>
              </v:line>
            </w:pict>
          </mc:Fallback>
        </mc:AlternateContent>
      </w:r>
    </w:p>
    <w:p w:rsidR="009B7702" w:rsidRDefault="009B7702">
      <w:pPr>
        <w:spacing w:line="360" w:lineRule="auto"/>
        <w:jc w:val="both"/>
        <w:rPr>
          <w:rFonts w:ascii="Palatino Linotype" w:eastAsia="Palatino Linotype" w:hAnsi="Palatino Linotype" w:cs="Palatino Linotype"/>
        </w:rPr>
      </w:pPr>
    </w:p>
    <w:p w:rsidR="009B7702" w:rsidRDefault="009B7702">
      <w:pPr>
        <w:rPr>
          <w:rFonts w:ascii="Palatino Linotype" w:eastAsia="Palatino Linotype" w:hAnsi="Palatino Linotype" w:cs="Palatino Linotype"/>
        </w:rPr>
      </w:pPr>
    </w:p>
    <w:p w:rsidR="009B7702" w:rsidRDefault="009B7702">
      <w:pPr>
        <w:rPr>
          <w:rFonts w:ascii="Palatino Linotype" w:eastAsia="Palatino Linotype" w:hAnsi="Palatino Linotype" w:cs="Palatino Linotype"/>
        </w:rPr>
      </w:pPr>
    </w:p>
    <w:p w:rsidR="009B7702" w:rsidRDefault="009B7702">
      <w:pPr>
        <w:rPr>
          <w:rFonts w:ascii="Palatino Linotype" w:eastAsia="Palatino Linotype" w:hAnsi="Palatino Linotype" w:cs="Palatino Linotype"/>
        </w:rPr>
      </w:pPr>
    </w:p>
    <w:p w:rsidR="009B7702" w:rsidRDefault="009B7702">
      <w:pPr>
        <w:rPr>
          <w:rFonts w:ascii="Palatino Linotype" w:eastAsia="Palatino Linotype" w:hAnsi="Palatino Linotype" w:cs="Palatino Linotype"/>
        </w:rPr>
      </w:pPr>
    </w:p>
    <w:p w:rsidR="009B7702" w:rsidRDefault="009B7702">
      <w:pPr>
        <w:rPr>
          <w:rFonts w:ascii="Palatino Linotype" w:eastAsia="Palatino Linotype" w:hAnsi="Palatino Linotype" w:cs="Palatino Linotype"/>
        </w:rPr>
      </w:pPr>
    </w:p>
    <w:p w:rsidR="009B7702" w:rsidRDefault="009B7702">
      <w:pPr>
        <w:rPr>
          <w:rFonts w:ascii="Palatino Linotype" w:eastAsia="Palatino Linotype" w:hAnsi="Palatino Linotype" w:cs="Palatino Linotype"/>
        </w:rPr>
      </w:pPr>
    </w:p>
    <w:p w:rsidR="009B7702" w:rsidRDefault="009B7702">
      <w:pPr>
        <w:rPr>
          <w:rFonts w:ascii="Palatino Linotype" w:eastAsia="Palatino Linotype" w:hAnsi="Palatino Linotype" w:cs="Palatino Linotype"/>
        </w:rPr>
      </w:pPr>
    </w:p>
    <w:p w:rsidR="009B7702" w:rsidRDefault="009B7702">
      <w:pPr>
        <w:rPr>
          <w:rFonts w:ascii="Palatino Linotype" w:eastAsia="Palatino Linotype" w:hAnsi="Palatino Linotype" w:cs="Palatino Linotype"/>
        </w:rPr>
      </w:pPr>
    </w:p>
    <w:p w:rsidR="009B7702" w:rsidRDefault="009B7702">
      <w:pPr>
        <w:rPr>
          <w:rFonts w:ascii="Palatino Linotype" w:eastAsia="Palatino Linotype" w:hAnsi="Palatino Linotype" w:cs="Palatino Linotype"/>
        </w:rPr>
      </w:pPr>
    </w:p>
    <w:p w:rsidR="009B7702" w:rsidRDefault="009B7702">
      <w:pPr>
        <w:rPr>
          <w:rFonts w:ascii="Palatino Linotype" w:eastAsia="Palatino Linotype" w:hAnsi="Palatino Linotype" w:cs="Palatino Linotype"/>
        </w:rPr>
      </w:pPr>
    </w:p>
    <w:p w:rsidR="009B7702" w:rsidRDefault="009B7702">
      <w:pPr>
        <w:rPr>
          <w:rFonts w:ascii="Palatino Linotype" w:eastAsia="Palatino Linotype" w:hAnsi="Palatino Linotype" w:cs="Palatino Linotype"/>
        </w:rPr>
      </w:pPr>
    </w:p>
    <w:p w:rsidR="009B7702" w:rsidRDefault="009B7702">
      <w:pPr>
        <w:spacing w:line="360" w:lineRule="auto"/>
        <w:jc w:val="both"/>
        <w:rPr>
          <w:rFonts w:ascii="Palatino Linotype" w:eastAsia="Palatino Linotype" w:hAnsi="Palatino Linotype" w:cs="Palatino Linotype"/>
        </w:rPr>
      </w:pPr>
      <w:bookmarkStart w:id="11" w:name="_heading=h.3rdcrjn" w:colFirst="0" w:colLast="0"/>
      <w:bookmarkEnd w:id="11"/>
    </w:p>
    <w:p w:rsidR="009B7702" w:rsidRDefault="009B7702">
      <w:pPr>
        <w:spacing w:line="360" w:lineRule="auto"/>
        <w:jc w:val="both"/>
        <w:rPr>
          <w:rFonts w:ascii="Palatino Linotype" w:eastAsia="Palatino Linotype" w:hAnsi="Palatino Linotype" w:cs="Palatino Linotype"/>
        </w:rPr>
      </w:pPr>
    </w:p>
    <w:p w:rsidR="009B7702" w:rsidRDefault="009B7702">
      <w:pPr>
        <w:spacing w:line="360" w:lineRule="auto"/>
        <w:jc w:val="both"/>
        <w:rPr>
          <w:rFonts w:ascii="Palatino Linotype" w:eastAsia="Palatino Linotype" w:hAnsi="Palatino Linotype" w:cs="Palatino Linotype"/>
        </w:rPr>
      </w:pPr>
    </w:p>
    <w:p w:rsidR="009B7702" w:rsidRDefault="009B7702">
      <w:pPr>
        <w:spacing w:line="360" w:lineRule="auto"/>
        <w:jc w:val="both"/>
        <w:rPr>
          <w:rFonts w:ascii="Palatino Linotype" w:eastAsia="Palatino Linotype" w:hAnsi="Palatino Linotype" w:cs="Palatino Linotype"/>
        </w:rPr>
      </w:pPr>
      <w:bookmarkStart w:id="12" w:name="_heading=h.1t3h5sf" w:colFirst="0" w:colLast="0"/>
      <w:bookmarkEnd w:id="12"/>
    </w:p>
    <w:p w:rsidR="009B7702" w:rsidRDefault="009B7702">
      <w:pPr>
        <w:spacing w:line="360" w:lineRule="auto"/>
        <w:jc w:val="both"/>
        <w:rPr>
          <w:rFonts w:ascii="Palatino Linotype" w:eastAsia="Palatino Linotype" w:hAnsi="Palatino Linotype" w:cs="Palatino Linotype"/>
        </w:rPr>
      </w:pPr>
    </w:p>
    <w:p w:rsidR="009B7702" w:rsidRDefault="009B7702">
      <w:pPr>
        <w:spacing w:line="360" w:lineRule="auto"/>
        <w:jc w:val="both"/>
        <w:rPr>
          <w:rFonts w:ascii="Palatino Linotype" w:eastAsia="Palatino Linotype" w:hAnsi="Palatino Linotype" w:cs="Palatino Linotype"/>
        </w:rPr>
      </w:pPr>
    </w:p>
    <w:p w:rsidR="009B7702" w:rsidRDefault="009B7702">
      <w:pPr>
        <w:spacing w:line="360" w:lineRule="auto"/>
        <w:jc w:val="both"/>
        <w:rPr>
          <w:rFonts w:ascii="Palatino Linotype" w:eastAsia="Palatino Linotype" w:hAnsi="Palatino Linotype" w:cs="Palatino Linotype"/>
        </w:rPr>
      </w:pPr>
    </w:p>
    <w:p w:rsidR="009B7702" w:rsidRDefault="009B7702">
      <w:pPr>
        <w:spacing w:line="360" w:lineRule="auto"/>
        <w:jc w:val="both"/>
        <w:rPr>
          <w:rFonts w:ascii="Palatino Linotype" w:eastAsia="Palatino Linotype" w:hAnsi="Palatino Linotype" w:cs="Palatino Linotype"/>
        </w:rPr>
      </w:pPr>
    </w:p>
    <w:p w:rsidR="009B7702" w:rsidRDefault="009B7702">
      <w:pPr>
        <w:spacing w:line="360" w:lineRule="auto"/>
        <w:jc w:val="both"/>
        <w:rPr>
          <w:rFonts w:ascii="Palatino Linotype" w:eastAsia="Palatino Linotype" w:hAnsi="Palatino Linotype" w:cs="Palatino Linotype"/>
        </w:rPr>
      </w:pPr>
    </w:p>
    <w:p w:rsidR="009B7702" w:rsidRDefault="009B7702">
      <w:pPr>
        <w:spacing w:line="360" w:lineRule="auto"/>
        <w:jc w:val="both"/>
        <w:rPr>
          <w:rFonts w:ascii="Palatino Linotype" w:eastAsia="Palatino Linotype" w:hAnsi="Palatino Linotype" w:cs="Palatino Linotype"/>
        </w:rPr>
      </w:pPr>
    </w:p>
    <w:p w:rsidR="009B7702" w:rsidRDefault="009B7702">
      <w:pPr>
        <w:spacing w:line="360" w:lineRule="auto"/>
        <w:jc w:val="both"/>
        <w:rPr>
          <w:rFonts w:ascii="Palatino Linotype" w:eastAsia="Palatino Linotype" w:hAnsi="Palatino Linotype" w:cs="Palatino Linotype"/>
        </w:rPr>
      </w:pPr>
    </w:p>
    <w:p w:rsidR="009B7702" w:rsidRDefault="009B7702">
      <w:pPr>
        <w:spacing w:line="360" w:lineRule="auto"/>
        <w:jc w:val="both"/>
        <w:rPr>
          <w:rFonts w:ascii="Palatino Linotype" w:eastAsia="Palatino Linotype" w:hAnsi="Palatino Linotype" w:cs="Palatino Linotype"/>
        </w:rPr>
      </w:pPr>
    </w:p>
    <w:p w:rsidR="009B7702" w:rsidRDefault="009B7702">
      <w:pPr>
        <w:spacing w:line="360" w:lineRule="auto"/>
        <w:jc w:val="both"/>
        <w:rPr>
          <w:rFonts w:ascii="Palatino Linotype" w:eastAsia="Palatino Linotype" w:hAnsi="Palatino Linotype" w:cs="Palatino Linotype"/>
        </w:rPr>
      </w:pPr>
    </w:p>
    <w:p w:rsidR="009B7702" w:rsidRDefault="009B7702">
      <w:pPr>
        <w:spacing w:line="360" w:lineRule="auto"/>
        <w:jc w:val="both"/>
        <w:rPr>
          <w:rFonts w:ascii="Palatino Linotype" w:eastAsia="Palatino Linotype" w:hAnsi="Palatino Linotype" w:cs="Palatino Linotype"/>
        </w:rPr>
      </w:pPr>
    </w:p>
    <w:p w:rsidR="009B7702" w:rsidRDefault="009B7702">
      <w:pPr>
        <w:spacing w:line="360" w:lineRule="auto"/>
        <w:jc w:val="both"/>
        <w:rPr>
          <w:rFonts w:ascii="Palatino Linotype" w:eastAsia="Palatino Linotype" w:hAnsi="Palatino Linotype" w:cs="Palatino Linotype"/>
        </w:rPr>
      </w:pPr>
    </w:p>
    <w:sectPr w:rsidR="009B770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E14" w:rsidRDefault="00531E14">
      <w:r>
        <w:separator/>
      </w:r>
    </w:p>
  </w:endnote>
  <w:endnote w:type="continuationSeparator" w:id="0">
    <w:p w:rsidR="00531E14" w:rsidRDefault="0053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702" w:rsidRDefault="0040437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B1427">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B1427">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rsidR="009B7702" w:rsidRDefault="009B770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702" w:rsidRDefault="0040437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B142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B1427">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rsidR="009B7702" w:rsidRDefault="009B770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E14" w:rsidRDefault="00531E14">
      <w:r>
        <w:separator/>
      </w:r>
    </w:p>
  </w:footnote>
  <w:footnote w:type="continuationSeparator" w:id="0">
    <w:p w:rsidR="00531E14" w:rsidRDefault="00531E14">
      <w:r>
        <w:continuationSeparator/>
      </w:r>
    </w:p>
  </w:footnote>
  <w:footnote w:id="1">
    <w:p w:rsidR="009B7702" w:rsidRDefault="0040437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9B7702" w:rsidRDefault="0040437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702" w:rsidRDefault="00404370">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-1080120</wp:posOffset>
          </wp:positionH>
          <wp:positionV relativeFrom="paragraph">
            <wp:posOffset>-488298</wp:posOffset>
          </wp:positionV>
          <wp:extent cx="7809865" cy="10165715"/>
          <wp:effectExtent l="0" t="0" r="0" b="0"/>
          <wp:wrapNone/>
          <wp:docPr id="18534815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9B7702">
      <w:tc>
        <w:tcPr>
          <w:tcW w:w="2489" w:type="dxa"/>
          <w:shd w:val="clear" w:color="auto" w:fill="auto"/>
        </w:tcPr>
        <w:p w:rsidR="009B7702" w:rsidRDefault="004043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9B7702" w:rsidRDefault="0040437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05664/INFOEM/IP/RR/2023</w:t>
          </w:r>
        </w:p>
      </w:tc>
    </w:tr>
    <w:tr w:rsidR="009B7702">
      <w:trPr>
        <w:trHeight w:val="228"/>
      </w:trPr>
      <w:tc>
        <w:tcPr>
          <w:tcW w:w="2489" w:type="dxa"/>
          <w:shd w:val="clear" w:color="auto" w:fill="auto"/>
          <w:vAlign w:val="center"/>
        </w:tcPr>
        <w:p w:rsidR="009B7702" w:rsidRDefault="004043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9B7702" w:rsidRDefault="0040437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9B7702">
      <w:tc>
        <w:tcPr>
          <w:tcW w:w="2489" w:type="dxa"/>
          <w:shd w:val="clear" w:color="auto" w:fill="auto"/>
          <w:vAlign w:val="center"/>
        </w:tcPr>
        <w:p w:rsidR="009B7702" w:rsidRDefault="0040437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9B7702" w:rsidRDefault="0040437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B7702" w:rsidRDefault="0040437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702" w:rsidRDefault="0040437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-1079498</wp:posOffset>
          </wp:positionH>
          <wp:positionV relativeFrom="paragraph">
            <wp:posOffset>-328928</wp:posOffset>
          </wp:positionV>
          <wp:extent cx="7809865" cy="10165715"/>
          <wp:effectExtent l="0" t="0" r="0" b="0"/>
          <wp:wrapNone/>
          <wp:docPr id="18534815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670" w:type="dxa"/>
      <w:tblInd w:w="3261" w:type="dxa"/>
      <w:tblLayout w:type="fixed"/>
      <w:tblLook w:val="0400" w:firstRow="0" w:lastRow="0" w:firstColumn="0" w:lastColumn="0" w:noHBand="0" w:noVBand="1"/>
    </w:tblPr>
    <w:tblGrid>
      <w:gridCol w:w="2551"/>
      <w:gridCol w:w="3119"/>
    </w:tblGrid>
    <w:tr w:rsidR="009B7702">
      <w:tc>
        <w:tcPr>
          <w:tcW w:w="2551" w:type="dxa"/>
          <w:shd w:val="clear" w:color="auto" w:fill="auto"/>
          <w:vAlign w:val="center"/>
        </w:tcPr>
        <w:p w:rsidR="009B7702" w:rsidRDefault="004043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9B7702" w:rsidRDefault="0040437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05664/INFOEM/IP/RR/2023</w:t>
          </w:r>
        </w:p>
      </w:tc>
    </w:tr>
    <w:tr w:rsidR="009B7702">
      <w:trPr>
        <w:trHeight w:val="130"/>
      </w:trPr>
      <w:tc>
        <w:tcPr>
          <w:tcW w:w="2551" w:type="dxa"/>
          <w:shd w:val="clear" w:color="auto" w:fill="auto"/>
          <w:vAlign w:val="center"/>
        </w:tcPr>
        <w:p w:rsidR="009B7702" w:rsidRDefault="004043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9B7702" w:rsidRDefault="009B7702">
          <w:pPr>
            <w:ind w:left="-45"/>
            <w:jc w:val="both"/>
            <w:rPr>
              <w:rFonts w:ascii="Palatino Linotype" w:eastAsia="Palatino Linotype" w:hAnsi="Palatino Linotype" w:cs="Palatino Linotype"/>
              <w:b/>
              <w:sz w:val="22"/>
              <w:szCs w:val="22"/>
            </w:rPr>
          </w:pPr>
        </w:p>
      </w:tc>
    </w:tr>
    <w:tr w:rsidR="009B7702">
      <w:trPr>
        <w:trHeight w:val="228"/>
      </w:trPr>
      <w:tc>
        <w:tcPr>
          <w:tcW w:w="2551" w:type="dxa"/>
          <w:shd w:val="clear" w:color="auto" w:fill="auto"/>
          <w:vAlign w:val="center"/>
        </w:tcPr>
        <w:p w:rsidR="009B7702" w:rsidRDefault="004043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9B7702" w:rsidRDefault="0040437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9B7702">
      <w:tc>
        <w:tcPr>
          <w:tcW w:w="2551" w:type="dxa"/>
          <w:shd w:val="clear" w:color="auto" w:fill="auto"/>
          <w:vAlign w:val="center"/>
        </w:tcPr>
        <w:p w:rsidR="009B7702" w:rsidRDefault="004043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9B7702" w:rsidRDefault="0040437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B7702" w:rsidRDefault="009B7702">
    <w:pPr>
      <w:pBdr>
        <w:top w:val="nil"/>
        <w:left w:val="nil"/>
        <w:bottom w:val="nil"/>
        <w:right w:val="nil"/>
        <w:between w:val="nil"/>
      </w:pBdr>
      <w:tabs>
        <w:tab w:val="center" w:pos="4252"/>
        <w:tab w:val="right" w:pos="8504"/>
      </w:tabs>
      <w:rPr>
        <w:rFonts w:ascii="Cambria" w:eastAsia="Cambria" w:hAnsi="Cambria" w:cs="Cambria"/>
        <w:color w:val="000000"/>
      </w:rPr>
    </w:pPr>
  </w:p>
  <w:p w:rsidR="009B7702" w:rsidRDefault="009B77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84217"/>
    <w:multiLevelType w:val="multilevel"/>
    <w:tmpl w:val="670A66B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02"/>
    <w:rsid w:val="00036CE8"/>
    <w:rsid w:val="00404370"/>
    <w:rsid w:val="00531E14"/>
    <w:rsid w:val="00594780"/>
    <w:rsid w:val="00963F8E"/>
    <w:rsid w:val="009B7702"/>
    <w:rsid w:val="00FB14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B270B-6A4C-440E-8FDD-EC5B6174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634"/>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3">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3"/>
    <w:tblPr>
      <w:tblStyleRowBandSize w:val="1"/>
      <w:tblStyleColBandSize w:val="1"/>
      <w:tblCellMar>
        <w:top w:w="0" w:type="dxa"/>
        <w:left w:w="115" w:type="dxa"/>
        <w:bottom w:w="0" w:type="dxa"/>
        <w:right w:w="115" w:type="dxa"/>
      </w:tblCellMar>
    </w:tblPr>
  </w:style>
  <w:style w:type="table" w:customStyle="1" w:styleId="3">
    <w:name w:val="3"/>
    <w:basedOn w:val="TableNormal13"/>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3"/>
    <w:tblPr>
      <w:tblStyleRowBandSize w:val="1"/>
      <w:tblStyleColBandSize w:val="1"/>
      <w:tblCellMar>
        <w:top w:w="0" w:type="dxa"/>
        <w:left w:w="115" w:type="dxa"/>
        <w:bottom w:w="0" w:type="dxa"/>
        <w:right w:w="115" w:type="dxa"/>
      </w:tblCellMar>
    </w:tblPr>
  </w:style>
  <w:style w:type="table" w:customStyle="1" w:styleId="1">
    <w:name w:val="1"/>
    <w:basedOn w:val="TableNormal13"/>
    <w:tblPr>
      <w:tblStyleRowBandSize w:val="1"/>
      <w:tblStyleColBandSize w:val="1"/>
      <w:tblCellMar>
        <w:top w:w="0" w:type="dxa"/>
        <w:left w:w="115" w:type="dxa"/>
        <w:bottom w:w="0" w:type="dxa"/>
        <w:right w:w="115" w:type="dxa"/>
      </w:tblCellMar>
    </w:tblPr>
  </w:style>
  <w:style w:type="table" w:customStyle="1" w:styleId="9">
    <w:name w:val="9"/>
    <w:basedOn w:val="TableNormal2"/>
    <w:tblPr>
      <w:tblStyleRowBandSize w:val="1"/>
      <w:tblStyleColBandSize w:val="1"/>
      <w:tblCellMar>
        <w:top w:w="0" w:type="dxa"/>
        <w:left w:w="115" w:type="dxa"/>
        <w:bottom w:w="0" w:type="dxa"/>
        <w:right w:w="115" w:type="dxa"/>
      </w:tblCellMar>
    </w:tblPr>
  </w:style>
  <w:style w:type="table" w:customStyle="1" w:styleId="8">
    <w:name w:val="8"/>
    <w:basedOn w:val="TableNormal2"/>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33">
    <w:name w:val="33"/>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2">
    <w:name w:val="32"/>
    <w:basedOn w:val="TableNormal10"/>
    <w:tblPr>
      <w:tblStyleRowBandSize w:val="1"/>
      <w:tblStyleColBandSize w:val="1"/>
      <w:tblCellMar>
        <w:top w:w="0" w:type="dxa"/>
        <w:left w:w="115" w:type="dxa"/>
        <w:bottom w:w="0" w:type="dxa"/>
        <w:right w:w="115" w:type="dxa"/>
      </w:tblCellMar>
    </w:tblPr>
  </w:style>
  <w:style w:type="table" w:customStyle="1" w:styleId="31">
    <w:name w:val="31"/>
    <w:basedOn w:val="TableNormal10"/>
    <w:tblPr>
      <w:tblStyleRowBandSize w:val="1"/>
      <w:tblStyleColBandSize w:val="1"/>
      <w:tblCellMar>
        <w:top w:w="0" w:type="dxa"/>
        <w:left w:w="115" w:type="dxa"/>
        <w:bottom w:w="0" w:type="dxa"/>
        <w:right w:w="115" w:type="dxa"/>
      </w:tblCellMar>
    </w:tblPr>
  </w:style>
  <w:style w:type="table" w:customStyle="1" w:styleId="30">
    <w:name w:val="30"/>
    <w:basedOn w:val="TableNormal1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9">
    <w:name w:val="29"/>
    <w:basedOn w:val="TableNormal11"/>
    <w:tblPr>
      <w:tblStyleRowBandSize w:val="1"/>
      <w:tblStyleColBandSize w:val="1"/>
      <w:tblCellMar>
        <w:top w:w="0" w:type="dxa"/>
        <w:left w:w="115" w:type="dxa"/>
        <w:bottom w:w="0" w:type="dxa"/>
        <w:right w:w="115" w:type="dxa"/>
      </w:tblCellMar>
    </w:tblPr>
  </w:style>
  <w:style w:type="table" w:customStyle="1" w:styleId="28">
    <w:name w:val="28"/>
    <w:basedOn w:val="TableNormal11"/>
    <w:tblPr>
      <w:tblStyleRowBandSize w:val="1"/>
      <w:tblStyleColBandSize w:val="1"/>
      <w:tblCellMar>
        <w:top w:w="0" w:type="dxa"/>
        <w:left w:w="115" w:type="dxa"/>
        <w:bottom w:w="0" w:type="dxa"/>
        <w:right w:w="115" w:type="dxa"/>
      </w:tblCellMar>
    </w:tblPr>
  </w:style>
  <w:style w:type="table" w:customStyle="1" w:styleId="27">
    <w:name w:val="27"/>
    <w:basedOn w:val="TableNormal1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6">
    <w:name w:val="26"/>
    <w:basedOn w:val="TableNormal12"/>
    <w:tblPr>
      <w:tblStyleRowBandSize w:val="1"/>
      <w:tblStyleColBandSize w:val="1"/>
      <w:tblCellMar>
        <w:top w:w="0" w:type="dxa"/>
        <w:left w:w="115" w:type="dxa"/>
        <w:bottom w:w="0" w:type="dxa"/>
        <w:right w:w="115" w:type="dxa"/>
      </w:tblCellMar>
    </w:tblPr>
  </w:style>
  <w:style w:type="table" w:customStyle="1" w:styleId="25">
    <w:name w:val="25"/>
    <w:basedOn w:val="TableNormal12"/>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character" w:customStyle="1" w:styleId="Mencinsinresolver5">
    <w:name w:val="Mención sin resolver5"/>
    <w:basedOn w:val="Fuentedeprrafopredeter"/>
    <w:uiPriority w:val="99"/>
    <w:semiHidden/>
    <w:unhideWhenUsed/>
    <w:rsid w:val="0038382C"/>
    <w:rPr>
      <w:color w:val="605E5C"/>
      <w:shd w:val="clear" w:color="auto" w:fill="E1DFDD"/>
    </w:rPr>
  </w:style>
  <w:style w:type="paragraph" w:styleId="Saludo">
    <w:name w:val="Salutation"/>
    <w:basedOn w:val="Normal"/>
    <w:next w:val="Normal"/>
    <w:link w:val="SaludoCar"/>
    <w:uiPriority w:val="99"/>
    <w:unhideWhenUsed/>
    <w:rsid w:val="00A3256F"/>
  </w:style>
  <w:style w:type="character" w:customStyle="1" w:styleId="SaludoCar">
    <w:name w:val="Saludo Car"/>
    <w:basedOn w:val="Fuentedeprrafopredeter"/>
    <w:link w:val="Saludo"/>
    <w:uiPriority w:val="99"/>
    <w:rsid w:val="00A3256F"/>
  </w:style>
  <w:style w:type="paragraph" w:styleId="Listaconvietas2">
    <w:name w:val="List Bullet 2"/>
    <w:basedOn w:val="Normal"/>
    <w:uiPriority w:val="99"/>
    <w:unhideWhenUsed/>
    <w:rsid w:val="00A3256F"/>
    <w:pPr>
      <w:tabs>
        <w:tab w:val="num" w:pos="720"/>
      </w:tabs>
      <w:ind w:left="720" w:hanging="720"/>
      <w:contextualSpacing/>
    </w:p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8ociHTlfQ6QK2lNxFWkwaGXl1Q==">CgMxLjAyCGguZ2pkZ3hzMgloLjNkeTZ2a20yCWguMzBqMHpsbDIJaC4yczhleW8xMghoLnR5amN3dDIJaC4zem55c2g3MgloLjJldDkycDAyCWguMWZvYjl0ZTIJaC4yNmluMXJnMgloLjRkMzRvZzgyCWguNGQzNG9nODIJaC4zcmRjcmpuMgloLjF0M2g1c2Y4AHIhMVNFcjVQdUYxeWJ5QkV0RzU1NVMwWkNxX3c3ZUlKRzVm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2965</Words>
  <Characters>16308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2023-10-27T19:34:00Z</cp:lastPrinted>
  <dcterms:created xsi:type="dcterms:W3CDTF">2023-11-08T17:33:00Z</dcterms:created>
  <dcterms:modified xsi:type="dcterms:W3CDTF">2023-11-08T17:33:00Z</dcterms:modified>
</cp:coreProperties>
</file>