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0A91D" w14:textId="77777777" w:rsidR="00737F8A" w:rsidRPr="001F4904" w:rsidRDefault="00737F8A" w:rsidP="00462720">
      <w:pPr>
        <w:spacing w:line="360" w:lineRule="auto"/>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w:t>
      </w:r>
      <w:r w:rsidR="0039289C" w:rsidRPr="001F4904">
        <w:rPr>
          <w:rFonts w:ascii="Palatino Linotype" w:eastAsiaTheme="minorEastAsia" w:hAnsi="Palatino Linotype"/>
          <w:lang w:val="es-ES_tradnl" w:eastAsia="es-ES"/>
        </w:rPr>
        <w:t>tado</w:t>
      </w:r>
      <w:r w:rsidR="00F036FA" w:rsidRPr="001F4904">
        <w:rPr>
          <w:rFonts w:ascii="Palatino Linotype" w:eastAsiaTheme="minorEastAsia" w:hAnsi="Palatino Linotype"/>
          <w:lang w:val="es-ES_tradnl" w:eastAsia="es-ES"/>
        </w:rPr>
        <w:t xml:space="preserve"> de México; de fecha trece</w:t>
      </w:r>
      <w:r w:rsidR="0069712C" w:rsidRPr="001F4904">
        <w:rPr>
          <w:rFonts w:ascii="Palatino Linotype" w:eastAsiaTheme="minorEastAsia" w:hAnsi="Palatino Linotype"/>
          <w:lang w:val="es-ES_tradnl" w:eastAsia="es-ES"/>
        </w:rPr>
        <w:t xml:space="preserve"> (13)</w:t>
      </w:r>
      <w:r w:rsidR="002F2DBD" w:rsidRPr="001F4904">
        <w:rPr>
          <w:rFonts w:ascii="Palatino Linotype" w:eastAsiaTheme="minorEastAsia" w:hAnsi="Palatino Linotype"/>
          <w:lang w:val="es-ES_tradnl" w:eastAsia="es-ES"/>
        </w:rPr>
        <w:t xml:space="preserve"> </w:t>
      </w:r>
      <w:r w:rsidR="0005018D" w:rsidRPr="001F4904">
        <w:rPr>
          <w:rFonts w:ascii="Palatino Linotype" w:eastAsiaTheme="minorEastAsia" w:hAnsi="Palatino Linotype"/>
          <w:lang w:val="es-ES_tradnl" w:eastAsia="es-ES"/>
        </w:rPr>
        <w:t>de diciembre</w:t>
      </w:r>
      <w:r w:rsidRPr="001F4904">
        <w:rPr>
          <w:rFonts w:ascii="Palatino Linotype" w:eastAsiaTheme="minorEastAsia" w:hAnsi="Palatino Linotype"/>
          <w:lang w:val="es-ES_tradnl" w:eastAsia="es-ES"/>
        </w:rPr>
        <w:t xml:space="preserve">  de dos mil veintitrés.</w:t>
      </w:r>
    </w:p>
    <w:p w14:paraId="7A60A91E" w14:textId="77777777" w:rsidR="00737F8A" w:rsidRPr="001F4904" w:rsidRDefault="00737F8A" w:rsidP="00462720">
      <w:pPr>
        <w:spacing w:line="360" w:lineRule="auto"/>
        <w:jc w:val="both"/>
        <w:rPr>
          <w:rFonts w:ascii="Palatino Linotype" w:eastAsiaTheme="minorEastAsia" w:hAnsi="Palatino Linotype"/>
          <w:lang w:val="es-ES_tradnl" w:eastAsia="es-ES"/>
        </w:rPr>
      </w:pPr>
    </w:p>
    <w:p w14:paraId="7A60A91F" w14:textId="29847CA9" w:rsidR="00737F8A" w:rsidRPr="001F4904" w:rsidRDefault="00737F8A" w:rsidP="00462720">
      <w:pPr>
        <w:spacing w:line="360" w:lineRule="auto"/>
        <w:jc w:val="both"/>
        <w:rPr>
          <w:rFonts w:ascii="Palatino Linotype" w:hAnsi="Palatino Linotype"/>
        </w:rPr>
      </w:pPr>
      <w:r w:rsidRPr="001F4904">
        <w:rPr>
          <w:rFonts w:ascii="Palatino Linotype" w:hAnsi="Palatino Linotype"/>
          <w:b/>
        </w:rPr>
        <w:t>VISTO</w:t>
      </w:r>
      <w:r w:rsidR="0005018D" w:rsidRPr="001F4904">
        <w:rPr>
          <w:rFonts w:ascii="Palatino Linotype" w:hAnsi="Palatino Linotype"/>
        </w:rPr>
        <w:t xml:space="preserve"> el expediente electrónico formado</w:t>
      </w:r>
      <w:r w:rsidRPr="001F4904">
        <w:rPr>
          <w:rFonts w:ascii="Palatino Linotype" w:hAnsi="Palatino Linotype"/>
        </w:rPr>
        <w:t xml:space="preserve"> con motivo de</w:t>
      </w:r>
      <w:r w:rsidR="0005018D" w:rsidRPr="001F4904">
        <w:rPr>
          <w:rFonts w:ascii="Palatino Linotype" w:hAnsi="Palatino Linotype"/>
        </w:rPr>
        <w:t>l recurso de revisión</w:t>
      </w:r>
      <w:r w:rsidRPr="001F4904">
        <w:rPr>
          <w:rFonts w:ascii="Palatino Linotype" w:hAnsi="Palatino Linotype"/>
        </w:rPr>
        <w:t xml:space="preserve"> </w:t>
      </w:r>
      <w:r w:rsidR="0005018D" w:rsidRPr="001F4904">
        <w:rPr>
          <w:rFonts w:ascii="Palatino Linotype" w:hAnsi="Palatino Linotype" w:cs="Arial"/>
          <w:b/>
          <w:bCs/>
        </w:rPr>
        <w:t>0</w:t>
      </w:r>
      <w:r w:rsidR="00F036FA" w:rsidRPr="001F4904">
        <w:rPr>
          <w:rFonts w:ascii="Palatino Linotype" w:hAnsi="Palatino Linotype" w:cs="Arial"/>
          <w:b/>
          <w:bCs/>
        </w:rPr>
        <w:t>7503</w:t>
      </w:r>
      <w:r w:rsidR="0005018D" w:rsidRPr="001F4904">
        <w:rPr>
          <w:rFonts w:ascii="Palatino Linotype" w:hAnsi="Palatino Linotype" w:cs="Arial"/>
          <w:b/>
          <w:bCs/>
        </w:rPr>
        <w:t>/INFOEM/IP/RR/2023</w:t>
      </w:r>
      <w:r w:rsidRPr="001F4904">
        <w:rPr>
          <w:rFonts w:ascii="Palatino Linotype" w:hAnsi="Palatino Linotype"/>
          <w:b/>
        </w:rPr>
        <w:t>,</w:t>
      </w:r>
      <w:r w:rsidRPr="001F4904">
        <w:rPr>
          <w:rFonts w:ascii="Palatino Linotype" w:hAnsi="Palatino Linotype" w:cs="Arial"/>
          <w:b/>
          <w:bCs/>
        </w:rPr>
        <w:t xml:space="preserve"> </w:t>
      </w:r>
      <w:r w:rsidRPr="001F4904">
        <w:rPr>
          <w:rFonts w:ascii="Palatino Linotype" w:eastAsiaTheme="minorEastAsia" w:hAnsi="Palatino Linotype"/>
          <w:lang w:val="es-ES_tradnl" w:eastAsia="es-ES"/>
        </w:rPr>
        <w:t xml:space="preserve">promovido por </w:t>
      </w:r>
      <w:r w:rsidR="00BF1967">
        <w:rPr>
          <w:rFonts w:ascii="Palatino Linotype" w:hAnsi="Palatino Linotype"/>
          <w:b/>
          <w:bCs/>
        </w:rPr>
        <w:t>XXX XXX</w:t>
      </w:r>
      <w:r w:rsidRPr="001F4904">
        <w:rPr>
          <w:rFonts w:ascii="Palatino Linotype" w:eastAsiaTheme="minorEastAsia" w:hAnsi="Palatino Linotype"/>
          <w:lang w:val="es-ES" w:eastAsia="es-ES"/>
        </w:rPr>
        <w:t xml:space="preserve">, </w:t>
      </w:r>
      <w:r w:rsidR="00F036FA" w:rsidRPr="001F4904">
        <w:rPr>
          <w:rFonts w:ascii="Palatino Linotype" w:eastAsiaTheme="minorEastAsia" w:hAnsi="Palatino Linotype"/>
          <w:lang w:val="es-ES" w:eastAsia="es-ES"/>
        </w:rPr>
        <w:t xml:space="preserve">a </w:t>
      </w:r>
      <w:r w:rsidRPr="001F4904">
        <w:rPr>
          <w:rFonts w:ascii="Palatino Linotype" w:eastAsiaTheme="minorEastAsia" w:hAnsi="Palatino Linotype"/>
          <w:lang w:val="es-ES" w:eastAsia="es-ES"/>
        </w:rPr>
        <w:t xml:space="preserve">quien en lo </w:t>
      </w:r>
      <w:r w:rsidRPr="001F4904">
        <w:rPr>
          <w:rFonts w:ascii="Palatino Linotype" w:hAnsi="Palatino Linotype"/>
        </w:rPr>
        <w:t xml:space="preserve">sucesivo se identificará como </w:t>
      </w:r>
      <w:r w:rsidRPr="001F4904">
        <w:rPr>
          <w:rFonts w:ascii="Palatino Linotype" w:hAnsi="Palatino Linotype"/>
          <w:b/>
        </w:rPr>
        <w:t xml:space="preserve">EL </w:t>
      </w:r>
      <w:r w:rsidRPr="001F4904">
        <w:rPr>
          <w:rFonts w:ascii="Palatino Linotype" w:hAnsi="Palatino Linotype" w:cs="Arial"/>
          <w:b/>
        </w:rPr>
        <w:t>RECURRENTE</w:t>
      </w:r>
      <w:r w:rsidRPr="001F4904">
        <w:rPr>
          <w:rFonts w:ascii="Palatino Linotype" w:hAnsi="Palatino Linotype" w:cs="Arial"/>
        </w:rPr>
        <w:t>, en contra de la respuesta de</w:t>
      </w:r>
      <w:r w:rsidR="00F036FA" w:rsidRPr="001F4904">
        <w:rPr>
          <w:rFonts w:ascii="Palatino Linotype" w:hAnsi="Palatino Linotype" w:cs="Arial"/>
        </w:rPr>
        <w:t xml:space="preserve"> </w:t>
      </w:r>
      <w:r w:rsidRPr="001F4904">
        <w:rPr>
          <w:rFonts w:ascii="Palatino Linotype" w:hAnsi="Palatino Linotype" w:cs="Arial"/>
        </w:rPr>
        <w:t>l</w:t>
      </w:r>
      <w:r w:rsidR="00F036FA" w:rsidRPr="001F4904">
        <w:rPr>
          <w:rFonts w:ascii="Palatino Linotype" w:hAnsi="Palatino Linotype" w:cs="Arial"/>
        </w:rPr>
        <w:t>a</w:t>
      </w:r>
      <w:r w:rsidRPr="001F4904">
        <w:rPr>
          <w:rFonts w:ascii="Palatino Linotype" w:hAnsi="Palatino Linotype" w:cs="Arial"/>
        </w:rPr>
        <w:t xml:space="preserve"> </w:t>
      </w:r>
      <w:r w:rsidR="00F036FA" w:rsidRPr="001F4904">
        <w:rPr>
          <w:rFonts w:ascii="Palatino Linotype" w:hAnsi="Palatino Linotype" w:cs="Arial"/>
          <w:b/>
          <w:bCs/>
        </w:rPr>
        <w:t>Secretaría de Seguridad</w:t>
      </w:r>
      <w:r w:rsidR="000B3187" w:rsidRPr="001F4904">
        <w:rPr>
          <w:rFonts w:ascii="Palatino Linotype" w:hAnsi="Palatino Linotype" w:cs="Arial"/>
          <w:b/>
          <w:bCs/>
        </w:rPr>
        <w:t xml:space="preserve">, </w:t>
      </w:r>
      <w:r w:rsidRPr="001F4904">
        <w:rPr>
          <w:rFonts w:ascii="Palatino Linotype" w:hAnsi="Palatino Linotype"/>
        </w:rPr>
        <w:t xml:space="preserve">en </w:t>
      </w:r>
      <w:r w:rsidR="0069712C" w:rsidRPr="001F4904">
        <w:rPr>
          <w:rFonts w:ascii="Palatino Linotype" w:hAnsi="Palatino Linotype"/>
        </w:rPr>
        <w:t>adelante</w:t>
      </w:r>
      <w:r w:rsidRPr="001F4904">
        <w:rPr>
          <w:rFonts w:ascii="Palatino Linotype" w:hAnsi="Palatino Linotype"/>
        </w:rPr>
        <w:t xml:space="preserve"> el</w:t>
      </w:r>
      <w:r w:rsidRPr="001F4904">
        <w:rPr>
          <w:rFonts w:ascii="Palatino Linotype" w:hAnsi="Palatino Linotype"/>
          <w:b/>
        </w:rPr>
        <w:t xml:space="preserve"> SUJETO OBLIGADO</w:t>
      </w:r>
      <w:r w:rsidRPr="001F4904">
        <w:rPr>
          <w:rFonts w:ascii="Palatino Linotype" w:hAnsi="Palatino Linotype"/>
        </w:rPr>
        <w:t>, se procede a dictar la presente resolución, con base en los siguientes:</w:t>
      </w:r>
    </w:p>
    <w:p w14:paraId="7A60A920" w14:textId="77777777" w:rsidR="00737F8A" w:rsidRPr="001F4904" w:rsidRDefault="00737F8A" w:rsidP="00462720">
      <w:pPr>
        <w:spacing w:line="360" w:lineRule="auto"/>
        <w:jc w:val="both"/>
        <w:rPr>
          <w:rFonts w:ascii="Palatino Linotype" w:hAnsi="Palatino Linotype"/>
        </w:rPr>
      </w:pPr>
    </w:p>
    <w:p w14:paraId="7A60A921" w14:textId="77777777" w:rsidR="00737F8A" w:rsidRPr="001F4904" w:rsidRDefault="00737F8A" w:rsidP="00462720">
      <w:pPr>
        <w:keepNext/>
        <w:keepLines/>
        <w:spacing w:line="360" w:lineRule="auto"/>
        <w:jc w:val="center"/>
        <w:outlineLvl w:val="0"/>
        <w:rPr>
          <w:rFonts w:ascii="Palatino Linotype" w:eastAsiaTheme="majorEastAsia" w:hAnsi="Palatino Linotype" w:cstheme="majorBidi"/>
          <w:b/>
        </w:rPr>
      </w:pPr>
      <w:bookmarkStart w:id="0" w:name="_Toc83301633"/>
      <w:r w:rsidRPr="001F4904">
        <w:rPr>
          <w:rFonts w:ascii="Palatino Linotype" w:eastAsiaTheme="majorEastAsia" w:hAnsi="Palatino Linotype" w:cstheme="majorBidi"/>
          <w:b/>
        </w:rPr>
        <w:t>ANTECEDENTES</w:t>
      </w:r>
      <w:bookmarkEnd w:id="0"/>
    </w:p>
    <w:p w14:paraId="7A60A922" w14:textId="77777777" w:rsidR="00737F8A" w:rsidRPr="001F4904" w:rsidRDefault="00737F8A" w:rsidP="00462720">
      <w:pPr>
        <w:spacing w:line="360" w:lineRule="auto"/>
        <w:rPr>
          <w:rFonts w:ascii="Palatino Linotype" w:eastAsiaTheme="minorEastAsia" w:hAnsi="Palatino Linotype"/>
        </w:rPr>
      </w:pPr>
    </w:p>
    <w:p w14:paraId="7A60A923" w14:textId="77777777" w:rsidR="000B3187" w:rsidRPr="001F4904" w:rsidRDefault="000B3187" w:rsidP="00462720">
      <w:pPr>
        <w:numPr>
          <w:ilvl w:val="0"/>
          <w:numId w:val="1"/>
        </w:numPr>
        <w:spacing w:line="360" w:lineRule="auto"/>
        <w:ind w:left="0" w:firstLine="0"/>
        <w:contextualSpacing/>
        <w:jc w:val="both"/>
        <w:rPr>
          <w:rFonts w:ascii="Palatino Linotype" w:eastAsia="Calibri" w:hAnsi="Palatino Linotype" w:cs="Arial"/>
          <w:lang w:val="es-ES" w:eastAsia="es-ES"/>
        </w:rPr>
      </w:pPr>
      <w:r w:rsidRPr="001F4904">
        <w:rPr>
          <w:rFonts w:ascii="Palatino Linotype" w:eastAsia="Calibri" w:hAnsi="Palatino Linotype" w:cs="Arial"/>
          <w:lang w:val="es-ES" w:eastAsia="es-ES"/>
        </w:rPr>
        <w:t xml:space="preserve">El día </w:t>
      </w:r>
      <w:r w:rsidRPr="001F4904">
        <w:rPr>
          <w:rFonts w:ascii="Palatino Linotype" w:eastAsia="Calibri" w:hAnsi="Palatino Linotype" w:cs="Arial"/>
          <w:b/>
          <w:lang w:val="es-ES" w:eastAsia="es-ES"/>
        </w:rPr>
        <w:t xml:space="preserve"> </w:t>
      </w:r>
      <w:r w:rsidR="00F036FA" w:rsidRPr="001F4904">
        <w:rPr>
          <w:rFonts w:ascii="Palatino Linotype" w:eastAsia="Calibri" w:hAnsi="Palatino Linotype" w:cs="Arial"/>
          <w:b/>
          <w:lang w:val="es-ES" w:eastAsia="es-ES"/>
        </w:rPr>
        <w:t>cuatro de octubre</w:t>
      </w:r>
      <w:r w:rsidR="0005018D" w:rsidRPr="001F4904">
        <w:rPr>
          <w:rFonts w:ascii="Palatino Linotype" w:eastAsia="Calibri" w:hAnsi="Palatino Linotype" w:cs="Arial"/>
          <w:b/>
          <w:lang w:val="es-ES" w:eastAsia="es-ES"/>
        </w:rPr>
        <w:t xml:space="preserve"> de dos mil veintitrés</w:t>
      </w:r>
      <w:r w:rsidRPr="001F4904">
        <w:rPr>
          <w:rFonts w:ascii="Palatino Linotype" w:eastAsia="Calibri" w:hAnsi="Palatino Linotype" w:cs="Arial"/>
          <w:b/>
          <w:lang w:val="es-ES" w:eastAsia="es-ES"/>
        </w:rPr>
        <w:t xml:space="preserve">, </w:t>
      </w:r>
      <w:r w:rsidR="00847975" w:rsidRPr="001F4904">
        <w:rPr>
          <w:rFonts w:ascii="Palatino Linotype" w:eastAsia="Calibri" w:hAnsi="Palatino Linotype" w:cs="Arial"/>
          <w:lang w:val="es-ES" w:eastAsia="es-ES"/>
        </w:rPr>
        <w:t>se presentaron</w:t>
      </w:r>
      <w:r w:rsidRPr="001F4904">
        <w:rPr>
          <w:rFonts w:ascii="Palatino Linotype" w:eastAsia="Calibri" w:hAnsi="Palatino Linotype" w:cs="Arial"/>
          <w:lang w:val="es-ES" w:eastAsia="es-ES"/>
        </w:rPr>
        <w:t xml:space="preserve"> ante el </w:t>
      </w:r>
      <w:r w:rsidRPr="001F4904">
        <w:rPr>
          <w:rFonts w:ascii="Palatino Linotype" w:eastAsia="Calibri" w:hAnsi="Palatino Linotype" w:cs="Arial"/>
          <w:b/>
          <w:lang w:val="es-ES" w:eastAsia="es-ES"/>
        </w:rPr>
        <w:t>SUJETO OBLIGADO</w:t>
      </w:r>
      <w:r w:rsidRPr="001F4904">
        <w:rPr>
          <w:rFonts w:ascii="Palatino Linotype" w:eastAsia="Calibri" w:hAnsi="Palatino Linotype" w:cs="Arial"/>
          <w:lang w:val="es-ES" w:eastAsia="es-ES"/>
        </w:rPr>
        <w:t xml:space="preserve"> vía </w:t>
      </w:r>
      <w:r w:rsidRPr="001F4904">
        <w:rPr>
          <w:rFonts w:ascii="Palatino Linotype" w:eastAsia="Calibri" w:hAnsi="Palatino Linotype" w:cs="Arial"/>
          <w:b/>
          <w:lang w:val="es-ES" w:eastAsia="es-ES"/>
        </w:rPr>
        <w:t>SAIMEX</w:t>
      </w:r>
      <w:r w:rsidRPr="001F4904">
        <w:rPr>
          <w:rFonts w:ascii="Palatino Linotype" w:eastAsia="Calibri" w:hAnsi="Palatino Linotype" w:cs="Arial"/>
          <w:lang w:val="es-ES" w:eastAsia="es-ES"/>
        </w:rPr>
        <w:t>, la</w:t>
      </w:r>
      <w:r w:rsidR="00847975" w:rsidRPr="001F4904">
        <w:rPr>
          <w:rFonts w:ascii="Palatino Linotype" w:eastAsia="Calibri" w:hAnsi="Palatino Linotype" w:cs="Arial"/>
          <w:lang w:val="es-ES" w:eastAsia="es-ES"/>
        </w:rPr>
        <w:t>s</w:t>
      </w:r>
      <w:r w:rsidRPr="001F4904">
        <w:rPr>
          <w:rFonts w:ascii="Palatino Linotype" w:eastAsia="Calibri" w:hAnsi="Palatino Linotype" w:cs="Arial"/>
          <w:lang w:val="es-ES" w:eastAsia="es-ES"/>
        </w:rPr>
        <w:t xml:space="preserve"> solicitud</w:t>
      </w:r>
      <w:r w:rsidR="00847975" w:rsidRPr="001F4904">
        <w:rPr>
          <w:rFonts w:ascii="Palatino Linotype" w:eastAsia="Calibri" w:hAnsi="Palatino Linotype" w:cs="Arial"/>
          <w:lang w:val="es-ES" w:eastAsia="es-ES"/>
        </w:rPr>
        <w:t>es</w:t>
      </w:r>
      <w:r w:rsidRPr="001F4904">
        <w:rPr>
          <w:rFonts w:ascii="Palatino Linotype" w:eastAsia="Calibri" w:hAnsi="Palatino Linotype" w:cs="Arial"/>
          <w:lang w:val="es-ES" w:eastAsia="es-ES"/>
        </w:rPr>
        <w:t xml:space="preserve"> de información pública registrada con el número</w:t>
      </w:r>
      <w:r w:rsidRPr="001F4904">
        <w:rPr>
          <w:rFonts w:ascii="Palatino Linotype" w:eastAsia="Calibri" w:hAnsi="Palatino Linotype" w:cs="Arial"/>
          <w:b/>
          <w:bCs/>
          <w:lang w:val="es-ES" w:eastAsia="es-ES"/>
        </w:rPr>
        <w:t xml:space="preserve"> </w:t>
      </w:r>
      <w:r w:rsidRPr="001F4904">
        <w:rPr>
          <w:rFonts w:ascii="Palatino Linotype" w:eastAsia="Calibri" w:hAnsi="Palatino Linotype" w:cs="Arial"/>
          <w:b/>
          <w:bCs/>
          <w:lang w:eastAsia="es-ES"/>
        </w:rPr>
        <w:t> </w:t>
      </w:r>
      <w:r w:rsidR="00F036FA" w:rsidRPr="001F4904">
        <w:rPr>
          <w:rFonts w:ascii="Palatino Linotype" w:eastAsia="Calibri" w:hAnsi="Palatino Linotype" w:cs="Arial"/>
          <w:b/>
          <w:bCs/>
          <w:lang w:eastAsia="es-ES"/>
        </w:rPr>
        <w:t>00625/SSEM/IP/2023</w:t>
      </w:r>
      <w:r w:rsidR="0069712C" w:rsidRPr="001F4904">
        <w:rPr>
          <w:rFonts w:ascii="Palatino Linotype" w:eastAsia="Calibri" w:hAnsi="Palatino Linotype" w:cs="Arial"/>
          <w:b/>
          <w:bCs/>
          <w:lang w:eastAsia="es-ES"/>
        </w:rPr>
        <w:t>,</w:t>
      </w:r>
      <w:r w:rsidR="0005018D" w:rsidRPr="001F4904">
        <w:rPr>
          <w:rFonts w:ascii="Palatino Linotype" w:eastAsia="Calibri" w:hAnsi="Palatino Linotype" w:cs="Arial"/>
          <w:b/>
          <w:bCs/>
          <w:lang w:eastAsia="es-ES"/>
        </w:rPr>
        <w:t xml:space="preserve"> </w:t>
      </w:r>
      <w:r w:rsidR="0069712C" w:rsidRPr="001F4904">
        <w:rPr>
          <w:rFonts w:ascii="Palatino Linotype" w:hAnsi="Palatino Linotype" w:cs="Arial"/>
          <w:bCs/>
          <w:lang w:eastAsia="es-ES"/>
        </w:rPr>
        <w:t>en el que</w:t>
      </w:r>
      <w:r w:rsidRPr="001F4904">
        <w:rPr>
          <w:rFonts w:ascii="Palatino Linotype" w:eastAsia="Calibri" w:hAnsi="Palatino Linotype" w:cs="Arial"/>
          <w:lang w:val="es-ES" w:eastAsia="es-ES"/>
        </w:rPr>
        <w:t xml:space="preserve"> solicitó la siguiente información:</w:t>
      </w:r>
    </w:p>
    <w:p w14:paraId="7A60A924" w14:textId="77777777" w:rsidR="00737F8A" w:rsidRPr="001F4904" w:rsidRDefault="00737F8A" w:rsidP="00462720">
      <w:pPr>
        <w:spacing w:line="360" w:lineRule="auto"/>
        <w:contextualSpacing/>
        <w:jc w:val="both"/>
        <w:rPr>
          <w:rFonts w:ascii="Palatino Linotype" w:hAnsi="Palatino Linotype" w:cs="Arial"/>
          <w:lang w:val="es-ES" w:eastAsia="es-ES"/>
        </w:rPr>
      </w:pPr>
    </w:p>
    <w:p w14:paraId="7A60A925" w14:textId="77777777" w:rsidR="000B3187" w:rsidRPr="001F4904" w:rsidRDefault="000B3187" w:rsidP="00462720">
      <w:pPr>
        <w:pStyle w:val="Prrafodelista"/>
        <w:spacing w:line="360" w:lineRule="auto"/>
        <w:ind w:left="567" w:right="567"/>
        <w:jc w:val="both"/>
        <w:rPr>
          <w:rFonts w:ascii="Palatino Linotype" w:hAnsi="Palatino Linotype"/>
          <w:i/>
          <w:color w:val="000000"/>
          <w:sz w:val="24"/>
        </w:rPr>
      </w:pPr>
      <w:r w:rsidRPr="001F4904">
        <w:rPr>
          <w:rFonts w:ascii="Palatino Linotype" w:hAnsi="Palatino Linotype"/>
          <w:i/>
          <w:color w:val="000000"/>
          <w:sz w:val="24"/>
        </w:rPr>
        <w:t>“</w:t>
      </w:r>
      <w:r w:rsidR="00F036FA" w:rsidRPr="001F4904">
        <w:rPr>
          <w:rFonts w:ascii="Palatino Linotype" w:hAnsi="Palatino Linotype"/>
          <w:i/>
          <w:color w:val="000000"/>
          <w:sz w:val="24"/>
        </w:rPr>
        <w:t xml:space="preserve">Estimados, SAIMEX Cordial saludo, Mediante la presente quiero solicitar los siguientes datos para fines de investigación. La solicitud se trata de datos de las llamadas de emergencia por violencia contra la mujer y violencia intrafamiliar al número 911, desde el año 2000 hasta el año presente o en su defecto, todos los años para los que existan datos disponibles. Los datos pueden estar a nivel individual y anonimizados (es decir, eliminando cualquier información que permita identificar a la víctima y sólo manteniendo las variables de interés) o agregados al nivel municipio-día. Solicito la base de datos en formato Excel, .csv o similar. Las variables de interés son las siguientes: FECHA (día, mes, año) de ocurrencia o </w:t>
      </w:r>
      <w:r w:rsidR="00F036FA" w:rsidRPr="001F4904">
        <w:rPr>
          <w:rFonts w:ascii="Palatino Linotype" w:hAnsi="Palatino Linotype"/>
          <w:i/>
          <w:color w:val="000000"/>
          <w:sz w:val="24"/>
        </w:rPr>
        <w:lastRenderedPageBreak/>
        <w:t>registro, además, y MUNICIPIO de ocurrencia o registro, y TIPO de delito: abuso sexual, acoso u hostigamiento sexual, violación, violencia de pareja, violencia familiar. Se solicita también total general (es decir todas las llamadas por día y municipio independientemente de si es violencia contra la mujer) y el total de todas las formas de violencia contra la mujer. Es de gran ayuda que la información esté completa, es decir, que se envíe la información para los 125 municipios que tiene esta entidad. Gracias de antemano por su colaboración y por el gran trabajo que hace esta entidad pública.</w:t>
      </w:r>
      <w:r w:rsidRPr="001F4904">
        <w:rPr>
          <w:rFonts w:ascii="Palatino Linotype" w:hAnsi="Palatino Linotype"/>
          <w:i/>
          <w:color w:val="000000"/>
          <w:sz w:val="24"/>
        </w:rPr>
        <w:t>”</w:t>
      </w:r>
      <w:r w:rsidR="001217CB" w:rsidRPr="001F4904">
        <w:rPr>
          <w:rFonts w:ascii="Palatino Linotype" w:hAnsi="Palatino Linotype"/>
          <w:i/>
          <w:color w:val="000000"/>
          <w:sz w:val="24"/>
        </w:rPr>
        <w:t>(Sic)</w:t>
      </w:r>
    </w:p>
    <w:p w14:paraId="7A60A926" w14:textId="77777777" w:rsidR="00847975" w:rsidRPr="001F4904" w:rsidRDefault="00847975" w:rsidP="00462720">
      <w:pPr>
        <w:pStyle w:val="Prrafodelista"/>
        <w:spacing w:line="360" w:lineRule="auto"/>
        <w:ind w:left="1069" w:right="567"/>
        <w:jc w:val="both"/>
        <w:rPr>
          <w:rFonts w:ascii="Palatino Linotype" w:hAnsi="Palatino Linotype"/>
          <w:i/>
          <w:color w:val="000000"/>
          <w:sz w:val="24"/>
        </w:rPr>
      </w:pPr>
    </w:p>
    <w:p w14:paraId="7A60A927" w14:textId="77777777" w:rsidR="00847975" w:rsidRPr="001F4904" w:rsidRDefault="00847975" w:rsidP="00462720">
      <w:pPr>
        <w:pStyle w:val="Prrafodelista"/>
        <w:numPr>
          <w:ilvl w:val="0"/>
          <w:numId w:val="17"/>
        </w:numPr>
        <w:spacing w:line="360" w:lineRule="auto"/>
        <w:ind w:left="709" w:right="474"/>
        <w:jc w:val="both"/>
        <w:rPr>
          <w:rFonts w:ascii="Palatino Linotype" w:eastAsia="Calibri" w:hAnsi="Palatino Linotype" w:cs="Arial"/>
          <w:sz w:val="24"/>
        </w:rPr>
      </w:pPr>
      <w:r w:rsidRPr="001F4904">
        <w:rPr>
          <w:rFonts w:ascii="Palatino Linotype" w:eastAsia="Calibri" w:hAnsi="Palatino Linotype" w:cs="Arial"/>
          <w:b/>
          <w:sz w:val="24"/>
        </w:rPr>
        <w:t>Modalidad de entrega</w:t>
      </w:r>
      <w:r w:rsidRPr="001F4904">
        <w:rPr>
          <w:rFonts w:ascii="Palatino Linotype" w:eastAsia="Calibri" w:hAnsi="Palatino Linotype" w:cs="Arial"/>
          <w:sz w:val="24"/>
        </w:rPr>
        <w:t xml:space="preserve">: </w:t>
      </w:r>
      <w:r w:rsidR="0039289C" w:rsidRPr="001F4904">
        <w:rPr>
          <w:rFonts w:ascii="Palatino Linotype" w:eastAsia="Calibri" w:hAnsi="Palatino Linotype" w:cs="Arial"/>
          <w:sz w:val="24"/>
        </w:rPr>
        <w:t>Vía SAIMEX</w:t>
      </w:r>
      <w:r w:rsidRPr="001F4904">
        <w:rPr>
          <w:rFonts w:ascii="Palatino Linotype" w:hAnsi="Palatino Linotype"/>
          <w:color w:val="222222"/>
          <w:sz w:val="24"/>
        </w:rPr>
        <w:t>.</w:t>
      </w:r>
    </w:p>
    <w:p w14:paraId="7A60A928" w14:textId="77777777" w:rsidR="00737F8A" w:rsidRPr="001F4904" w:rsidRDefault="00737F8A" w:rsidP="00462720">
      <w:pPr>
        <w:spacing w:line="360" w:lineRule="auto"/>
        <w:contextualSpacing/>
        <w:jc w:val="both"/>
        <w:rPr>
          <w:rFonts w:ascii="Palatino Linotype" w:eastAsia="Calibri" w:hAnsi="Palatino Linotype"/>
          <w:lang w:val="es-ES" w:eastAsia="es-ES"/>
        </w:rPr>
      </w:pPr>
    </w:p>
    <w:p w14:paraId="7A60A929" w14:textId="77777777" w:rsidR="00737F8A" w:rsidRPr="001F4904" w:rsidRDefault="00737F8A" w:rsidP="00462720">
      <w:pPr>
        <w:numPr>
          <w:ilvl w:val="0"/>
          <w:numId w:val="1"/>
        </w:numPr>
        <w:spacing w:line="360" w:lineRule="auto"/>
        <w:ind w:left="0" w:firstLine="0"/>
        <w:contextualSpacing/>
        <w:jc w:val="both"/>
        <w:rPr>
          <w:rFonts w:ascii="Palatino Linotype" w:eastAsia="Calibri" w:hAnsi="Palatino Linotype"/>
          <w:lang w:val="es-ES" w:eastAsia="es-ES"/>
        </w:rPr>
      </w:pPr>
      <w:r w:rsidRPr="001F4904">
        <w:rPr>
          <w:rFonts w:ascii="Palatino Linotype" w:eastAsiaTheme="minorEastAsia" w:hAnsi="Palatino Linotype"/>
          <w:lang w:val="es-ES_tradnl" w:eastAsia="es-ES"/>
        </w:rPr>
        <w:t xml:space="preserve">El </w:t>
      </w:r>
      <w:r w:rsidR="00F036FA" w:rsidRPr="001F4904">
        <w:rPr>
          <w:rFonts w:ascii="Palatino Linotype" w:eastAsia="Calibri" w:hAnsi="Palatino Linotype" w:cs="Arial"/>
          <w:lang w:val="es-ES" w:eastAsia="es-ES"/>
        </w:rPr>
        <w:t>veinticinco</w:t>
      </w:r>
      <w:r w:rsidR="00F036FA" w:rsidRPr="001F4904">
        <w:rPr>
          <w:rFonts w:ascii="Palatino Linotype" w:eastAsiaTheme="minorEastAsia" w:hAnsi="Palatino Linotype"/>
          <w:b/>
          <w:lang w:eastAsia="es-ES"/>
        </w:rPr>
        <w:t xml:space="preserve"> de octu</w:t>
      </w:r>
      <w:r w:rsidR="00FC6B43" w:rsidRPr="001F4904">
        <w:rPr>
          <w:rFonts w:ascii="Palatino Linotype" w:eastAsiaTheme="minorEastAsia" w:hAnsi="Palatino Linotype"/>
          <w:b/>
          <w:lang w:eastAsia="es-ES"/>
        </w:rPr>
        <w:t>bre</w:t>
      </w:r>
      <w:r w:rsidR="00847975" w:rsidRPr="001F4904">
        <w:rPr>
          <w:rFonts w:ascii="Palatino Linotype" w:eastAsiaTheme="minorEastAsia" w:hAnsi="Palatino Linotype"/>
          <w:b/>
          <w:lang w:eastAsia="es-ES"/>
        </w:rPr>
        <w:t xml:space="preserve"> de dos mil veintidós</w:t>
      </w:r>
      <w:r w:rsidRPr="001F4904">
        <w:rPr>
          <w:rFonts w:ascii="Palatino Linotype" w:eastAsiaTheme="minorEastAsia" w:hAnsi="Palatino Linotype"/>
          <w:lang w:val="es-ES_tradnl" w:eastAsia="es-ES"/>
        </w:rPr>
        <w:t xml:space="preserve">, </w:t>
      </w:r>
      <w:r w:rsidRPr="001F4904">
        <w:rPr>
          <w:rFonts w:ascii="Palatino Linotype" w:eastAsia="Calibri" w:hAnsi="Palatino Linotype"/>
          <w:lang w:val="es-ES" w:eastAsia="es-ES"/>
        </w:rPr>
        <w:t xml:space="preserve">el </w:t>
      </w:r>
      <w:r w:rsidRPr="001F4904">
        <w:rPr>
          <w:rFonts w:ascii="Palatino Linotype" w:eastAsia="Calibri" w:hAnsi="Palatino Linotype" w:cs="Arial"/>
          <w:b/>
          <w:lang w:val="es-AR" w:eastAsia="es-ES"/>
        </w:rPr>
        <w:t>SUJETO OBLIGADO</w:t>
      </w:r>
      <w:r w:rsidRPr="001F4904">
        <w:rPr>
          <w:rFonts w:ascii="Palatino Linotype" w:eastAsia="Calibri" w:hAnsi="Palatino Linotype" w:cs="Arial"/>
          <w:b/>
          <w:i/>
          <w:lang w:val="es-AR" w:eastAsia="es-ES"/>
        </w:rPr>
        <w:t xml:space="preserve"> </w:t>
      </w:r>
      <w:r w:rsidRPr="001F4904">
        <w:rPr>
          <w:rFonts w:ascii="Palatino Linotype" w:hAnsi="Palatino Linotype" w:cs="Arial"/>
          <w:lang w:val="es-ES" w:eastAsia="es-ES"/>
        </w:rPr>
        <w:t xml:space="preserve">dio respuesta a </w:t>
      </w:r>
      <w:r w:rsidR="00BD7DCB" w:rsidRPr="001F4904">
        <w:rPr>
          <w:rFonts w:ascii="Palatino Linotype" w:hAnsi="Palatino Linotype" w:cs="Arial"/>
          <w:lang w:val="es-ES" w:eastAsia="es-ES"/>
        </w:rPr>
        <w:t>las solicitudes</w:t>
      </w:r>
      <w:r w:rsidRPr="001F4904">
        <w:rPr>
          <w:rFonts w:ascii="Palatino Linotype" w:hAnsi="Palatino Linotype" w:cs="Arial"/>
          <w:lang w:val="es-ES" w:eastAsia="es-ES"/>
        </w:rPr>
        <w:t xml:space="preserve"> de información </w:t>
      </w:r>
      <w:r w:rsidR="00BD7DCB" w:rsidRPr="001F4904">
        <w:rPr>
          <w:rFonts w:ascii="Palatino Linotype" w:hAnsi="Palatino Linotype" w:cs="Arial"/>
          <w:lang w:val="es-ES" w:eastAsia="es-ES"/>
        </w:rPr>
        <w:t xml:space="preserve">a través de los archivos electrónicos denominados </w:t>
      </w:r>
      <w:r w:rsidR="00BD7DCB" w:rsidRPr="001F4904">
        <w:rPr>
          <w:rFonts w:ascii="Palatino Linotype" w:eastAsia="Calibri" w:hAnsi="Palatino Linotype"/>
          <w:b/>
          <w:i/>
          <w:lang w:val="es-ES" w:eastAsia="es-ES"/>
        </w:rPr>
        <w:t>Respuesta 625.pdf</w:t>
      </w:r>
      <w:r w:rsidR="00BD7DCB" w:rsidRPr="001F4904">
        <w:rPr>
          <w:rFonts w:ascii="Palatino Linotype" w:eastAsia="Calibri" w:hAnsi="Palatino Linotype"/>
          <w:lang w:val="es-ES" w:eastAsia="es-ES"/>
        </w:rPr>
        <w:t xml:space="preserve"> y </w:t>
      </w:r>
      <w:r w:rsidR="00BD7DCB" w:rsidRPr="001F4904">
        <w:rPr>
          <w:rFonts w:ascii="Palatino Linotype" w:eastAsia="Calibri" w:hAnsi="Palatino Linotype"/>
          <w:b/>
          <w:i/>
          <w:lang w:val="es-ES" w:eastAsia="es-ES"/>
        </w:rPr>
        <w:t>TOTAL GENERAL OK 625.xlsx</w:t>
      </w:r>
      <w:r w:rsidR="00BD7DCB" w:rsidRPr="001F4904">
        <w:rPr>
          <w:rFonts w:ascii="Palatino Linotype" w:eastAsia="Calibri" w:hAnsi="Palatino Linotype"/>
          <w:lang w:val="es-ES" w:eastAsia="es-ES"/>
        </w:rPr>
        <w:t>, cuyo contenido general es el siguiente</w:t>
      </w:r>
      <w:r w:rsidRPr="001F4904">
        <w:rPr>
          <w:rFonts w:ascii="Palatino Linotype" w:hAnsi="Palatino Linotype" w:cs="Arial"/>
          <w:lang w:val="es-ES" w:eastAsia="es-ES"/>
        </w:rPr>
        <w:t>:</w:t>
      </w:r>
    </w:p>
    <w:p w14:paraId="7A60A92A" w14:textId="77777777" w:rsidR="00F036FA" w:rsidRPr="001F4904" w:rsidRDefault="00F036FA" w:rsidP="00462720">
      <w:pPr>
        <w:spacing w:line="360" w:lineRule="auto"/>
        <w:contextualSpacing/>
        <w:jc w:val="both"/>
        <w:rPr>
          <w:rFonts w:ascii="Palatino Linotype" w:eastAsia="Calibri" w:hAnsi="Palatino Linotype"/>
          <w:lang w:val="es-ES" w:eastAsia="es-ES"/>
        </w:rPr>
      </w:pPr>
    </w:p>
    <w:p w14:paraId="7A60A92B" w14:textId="77777777" w:rsidR="00BD7DCB" w:rsidRPr="001F4904" w:rsidRDefault="00BD7DCB" w:rsidP="00462720">
      <w:pPr>
        <w:spacing w:line="360" w:lineRule="auto"/>
        <w:contextualSpacing/>
        <w:jc w:val="center"/>
        <w:rPr>
          <w:rFonts w:ascii="Palatino Linotype" w:eastAsia="Calibri" w:hAnsi="Palatino Linotype"/>
          <w:lang w:val="es-ES" w:eastAsia="es-ES"/>
        </w:rPr>
      </w:pPr>
      <w:r w:rsidRPr="001F4904">
        <w:rPr>
          <w:rFonts w:ascii="Palatino Linotype" w:eastAsia="Calibri" w:hAnsi="Palatino Linotype"/>
          <w:noProof/>
        </w:rPr>
        <w:lastRenderedPageBreak/>
        <w:drawing>
          <wp:inline distT="0" distB="0" distL="0" distR="0" wp14:anchorId="7A60AA12" wp14:editId="7A60AA13">
            <wp:extent cx="5556250" cy="6097723"/>
            <wp:effectExtent l="19050" t="19050" r="2540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9599" cy="6101398"/>
                    </a:xfrm>
                    <a:prstGeom prst="rect">
                      <a:avLst/>
                    </a:prstGeom>
                    <a:noFill/>
                    <a:ln>
                      <a:solidFill>
                        <a:schemeClr val="tx1"/>
                      </a:solidFill>
                    </a:ln>
                  </pic:spPr>
                </pic:pic>
              </a:graphicData>
            </a:graphic>
          </wp:inline>
        </w:drawing>
      </w:r>
    </w:p>
    <w:p w14:paraId="7A60A92C" w14:textId="77777777" w:rsidR="00BD7DCB" w:rsidRPr="001F4904" w:rsidRDefault="00BD7DCB" w:rsidP="00462720">
      <w:pPr>
        <w:spacing w:line="360" w:lineRule="auto"/>
        <w:contextualSpacing/>
        <w:jc w:val="center"/>
        <w:rPr>
          <w:rFonts w:ascii="Palatino Linotype" w:eastAsia="Calibri" w:hAnsi="Palatino Linotype"/>
          <w:lang w:val="es-ES" w:eastAsia="es-ES"/>
        </w:rPr>
      </w:pPr>
      <w:r w:rsidRPr="001F4904">
        <w:rPr>
          <w:rFonts w:ascii="Palatino Linotype" w:eastAsia="Calibri" w:hAnsi="Palatino Linotype"/>
          <w:noProof/>
        </w:rPr>
        <w:lastRenderedPageBreak/>
        <w:drawing>
          <wp:inline distT="0" distB="0" distL="0" distR="0" wp14:anchorId="7A60AA14" wp14:editId="7A60AA15">
            <wp:extent cx="5435600" cy="5315343"/>
            <wp:effectExtent l="19050" t="19050" r="1270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285" cy="5319924"/>
                    </a:xfrm>
                    <a:prstGeom prst="rect">
                      <a:avLst/>
                    </a:prstGeom>
                    <a:noFill/>
                    <a:ln>
                      <a:solidFill>
                        <a:schemeClr val="tx1"/>
                      </a:solidFill>
                    </a:ln>
                  </pic:spPr>
                </pic:pic>
              </a:graphicData>
            </a:graphic>
          </wp:inline>
        </w:drawing>
      </w:r>
    </w:p>
    <w:p w14:paraId="7A60A92D" w14:textId="77777777" w:rsidR="00BD7DCB" w:rsidRPr="001F4904" w:rsidRDefault="00BD7DCB" w:rsidP="00462720">
      <w:pPr>
        <w:spacing w:line="360" w:lineRule="auto"/>
        <w:contextualSpacing/>
        <w:jc w:val="center"/>
        <w:rPr>
          <w:rFonts w:ascii="Palatino Linotype" w:eastAsia="Calibri" w:hAnsi="Palatino Linotype"/>
          <w:lang w:val="es-ES" w:eastAsia="es-ES"/>
        </w:rPr>
      </w:pPr>
    </w:p>
    <w:p w14:paraId="7A60A92E" w14:textId="77777777" w:rsidR="00BD7DCB" w:rsidRPr="001F4904" w:rsidRDefault="00BD7DCB" w:rsidP="00462720">
      <w:pPr>
        <w:spacing w:line="360" w:lineRule="auto"/>
        <w:contextualSpacing/>
        <w:jc w:val="center"/>
        <w:rPr>
          <w:rFonts w:ascii="Palatino Linotype" w:eastAsia="Calibri" w:hAnsi="Palatino Linotype"/>
          <w:lang w:val="es-ES" w:eastAsia="es-ES"/>
        </w:rPr>
      </w:pPr>
    </w:p>
    <w:p w14:paraId="7A60A92F" w14:textId="77777777" w:rsidR="00BD7DCB" w:rsidRPr="001F4904" w:rsidRDefault="00BD7DCB" w:rsidP="00462720">
      <w:pPr>
        <w:spacing w:line="360" w:lineRule="auto"/>
        <w:contextualSpacing/>
        <w:jc w:val="center"/>
        <w:rPr>
          <w:rFonts w:ascii="Palatino Linotype" w:eastAsia="Calibri" w:hAnsi="Palatino Linotype"/>
          <w:lang w:val="es-ES" w:eastAsia="es-ES"/>
        </w:rPr>
      </w:pPr>
    </w:p>
    <w:p w14:paraId="7A60A930" w14:textId="77777777" w:rsidR="00BD7DCB" w:rsidRPr="001F4904" w:rsidRDefault="00BD7DCB" w:rsidP="00462720">
      <w:pPr>
        <w:spacing w:line="360" w:lineRule="auto"/>
        <w:contextualSpacing/>
        <w:jc w:val="center"/>
        <w:rPr>
          <w:rFonts w:ascii="Palatino Linotype" w:eastAsia="Calibri" w:hAnsi="Palatino Linotype"/>
          <w:lang w:val="es-ES" w:eastAsia="es-ES"/>
        </w:rPr>
      </w:pPr>
    </w:p>
    <w:p w14:paraId="7A60A931" w14:textId="77777777" w:rsidR="007A2898" w:rsidRPr="001F4904" w:rsidRDefault="007A2898" w:rsidP="00462720">
      <w:pPr>
        <w:spacing w:line="360" w:lineRule="auto"/>
        <w:ind w:right="-28"/>
        <w:jc w:val="both"/>
        <w:rPr>
          <w:rFonts w:ascii="Palatino Linotype" w:hAnsi="Palatino Linotype"/>
          <w:bCs/>
        </w:rPr>
      </w:pPr>
    </w:p>
    <w:p w14:paraId="7A60A932" w14:textId="77777777" w:rsidR="00BD7DCB" w:rsidRPr="001F4904" w:rsidRDefault="00BD7DCB" w:rsidP="00462720">
      <w:pPr>
        <w:spacing w:line="360" w:lineRule="auto"/>
        <w:ind w:right="-28"/>
        <w:jc w:val="both"/>
        <w:rPr>
          <w:rFonts w:ascii="Palatino Linotype" w:hAnsi="Palatino Linotype"/>
          <w:bCs/>
        </w:rPr>
      </w:pPr>
    </w:p>
    <w:p w14:paraId="7A60A933" w14:textId="77777777" w:rsidR="00BD7DCB" w:rsidRPr="001F4904" w:rsidRDefault="00BD7DCB" w:rsidP="00462720">
      <w:pPr>
        <w:spacing w:line="360" w:lineRule="auto"/>
        <w:ind w:right="-28"/>
        <w:jc w:val="both"/>
        <w:rPr>
          <w:rFonts w:ascii="Palatino Linotype" w:hAnsi="Palatino Linotype"/>
          <w:bCs/>
        </w:rPr>
        <w:sectPr w:rsidR="00BD7DCB" w:rsidRPr="001F4904" w:rsidSect="00737F8A">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pPr>
    </w:p>
    <w:p w14:paraId="7A60A934" w14:textId="77777777" w:rsidR="00BD7DCB" w:rsidRPr="001F4904" w:rsidRDefault="00BD7DCB" w:rsidP="00462720">
      <w:pPr>
        <w:spacing w:line="360" w:lineRule="auto"/>
        <w:ind w:right="-28"/>
        <w:jc w:val="both"/>
        <w:rPr>
          <w:rFonts w:ascii="Palatino Linotype" w:hAnsi="Palatino Linotype"/>
          <w:bCs/>
        </w:rPr>
      </w:pPr>
      <w:r w:rsidRPr="001F4904">
        <w:rPr>
          <w:rFonts w:ascii="Palatino Linotype" w:hAnsi="Palatino Linotype"/>
          <w:bCs/>
          <w:noProof/>
        </w:rPr>
        <w:lastRenderedPageBreak/>
        <w:drawing>
          <wp:inline distT="0" distB="0" distL="0" distR="0" wp14:anchorId="7A60AA16" wp14:editId="7A60AA17">
            <wp:extent cx="8451850" cy="3662665"/>
            <wp:effectExtent l="19050" t="19050" r="2540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3087" cy="3667535"/>
                    </a:xfrm>
                    <a:prstGeom prst="rect">
                      <a:avLst/>
                    </a:prstGeom>
                    <a:noFill/>
                    <a:ln>
                      <a:solidFill>
                        <a:schemeClr val="tx1"/>
                      </a:solidFill>
                    </a:ln>
                  </pic:spPr>
                </pic:pic>
              </a:graphicData>
            </a:graphic>
          </wp:inline>
        </w:drawing>
      </w:r>
    </w:p>
    <w:p w14:paraId="7A60A935" w14:textId="77777777" w:rsidR="00BD7DCB" w:rsidRPr="001F4904" w:rsidRDefault="00BD7DCB" w:rsidP="00462720">
      <w:pPr>
        <w:spacing w:line="360" w:lineRule="auto"/>
        <w:ind w:right="-28"/>
        <w:jc w:val="both"/>
        <w:rPr>
          <w:rFonts w:ascii="Palatino Linotype" w:hAnsi="Palatino Linotype"/>
          <w:bCs/>
        </w:rPr>
      </w:pPr>
    </w:p>
    <w:p w14:paraId="7A60A936" w14:textId="77777777" w:rsidR="00BD7DCB" w:rsidRPr="001F4904" w:rsidRDefault="00BD7DCB" w:rsidP="00462720">
      <w:pPr>
        <w:spacing w:line="360" w:lineRule="auto"/>
        <w:ind w:right="-28"/>
        <w:jc w:val="both"/>
        <w:rPr>
          <w:rFonts w:ascii="Palatino Linotype" w:hAnsi="Palatino Linotype"/>
          <w:bCs/>
        </w:rPr>
      </w:pPr>
    </w:p>
    <w:p w14:paraId="7A60A937" w14:textId="77777777" w:rsidR="00BD7DCB" w:rsidRPr="001F4904" w:rsidRDefault="00BD7DCB" w:rsidP="00462720">
      <w:pPr>
        <w:spacing w:line="360" w:lineRule="auto"/>
        <w:ind w:right="-28"/>
        <w:jc w:val="both"/>
        <w:rPr>
          <w:rFonts w:ascii="Palatino Linotype" w:hAnsi="Palatino Linotype"/>
          <w:bCs/>
        </w:rPr>
      </w:pPr>
    </w:p>
    <w:p w14:paraId="7A60A938" w14:textId="77777777" w:rsidR="00BD7DCB" w:rsidRPr="001F4904" w:rsidRDefault="00BD7DCB" w:rsidP="00462720">
      <w:pPr>
        <w:spacing w:line="360" w:lineRule="auto"/>
        <w:ind w:right="-28"/>
        <w:jc w:val="both"/>
        <w:rPr>
          <w:rFonts w:ascii="Palatino Linotype" w:hAnsi="Palatino Linotype"/>
          <w:bCs/>
        </w:rPr>
        <w:sectPr w:rsidR="00BD7DCB" w:rsidRPr="001F4904" w:rsidSect="00BD7DCB">
          <w:pgSz w:w="15840" w:h="12240" w:orient="landscape"/>
          <w:pgMar w:top="1588" w:right="79" w:bottom="1610" w:left="1418" w:header="709" w:footer="919" w:gutter="0"/>
          <w:pgNumType w:start="1"/>
          <w:cols w:space="708"/>
          <w:titlePg/>
          <w:docGrid w:linePitch="360"/>
        </w:sectPr>
      </w:pPr>
    </w:p>
    <w:p w14:paraId="7A60A939" w14:textId="77777777" w:rsidR="00737F8A" w:rsidRPr="001F4904" w:rsidRDefault="00452118" w:rsidP="00462720">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F4904">
        <w:rPr>
          <w:rFonts w:ascii="Palatino Linotype" w:eastAsia="Calibri" w:hAnsi="Palatino Linotype" w:cs="Arial"/>
          <w:lang w:val="es-AR" w:eastAsia="es-ES"/>
        </w:rPr>
        <w:lastRenderedPageBreak/>
        <w:t>Inconforme con lo anterior, e</w:t>
      </w:r>
      <w:r w:rsidR="00737F8A" w:rsidRPr="001F4904">
        <w:rPr>
          <w:rFonts w:ascii="Palatino Linotype" w:eastAsia="Calibri" w:hAnsi="Palatino Linotype" w:cs="Arial"/>
          <w:lang w:val="es-AR" w:eastAsia="es-ES"/>
        </w:rPr>
        <w:t xml:space="preserve">l </w:t>
      </w:r>
      <w:r w:rsidR="00BD7DCB" w:rsidRPr="001F4904">
        <w:rPr>
          <w:rFonts w:ascii="Palatino Linotype" w:eastAsia="Calibri" w:hAnsi="Palatino Linotype" w:cs="Arial"/>
          <w:b/>
          <w:lang w:val="es-AR" w:eastAsia="es-ES"/>
        </w:rPr>
        <w:t>veintiséis</w:t>
      </w:r>
      <w:r w:rsidR="007A2898" w:rsidRPr="001F4904">
        <w:rPr>
          <w:rFonts w:ascii="Palatino Linotype" w:eastAsia="Calibri" w:hAnsi="Palatino Linotype" w:cs="Arial"/>
          <w:b/>
          <w:lang w:val="es-AR" w:eastAsia="es-ES"/>
        </w:rPr>
        <w:t xml:space="preserve"> de </w:t>
      </w:r>
      <w:r w:rsidR="00BD7DCB" w:rsidRPr="001F4904">
        <w:rPr>
          <w:rFonts w:ascii="Palatino Linotype" w:eastAsia="Calibri" w:hAnsi="Palatino Linotype" w:cs="Arial"/>
          <w:b/>
          <w:lang w:val="es-AR" w:eastAsia="es-ES"/>
        </w:rPr>
        <w:t>octu</w:t>
      </w:r>
      <w:r w:rsidR="007A2898" w:rsidRPr="001F4904">
        <w:rPr>
          <w:rFonts w:ascii="Palatino Linotype" w:eastAsia="Calibri" w:hAnsi="Palatino Linotype" w:cs="Arial"/>
          <w:b/>
          <w:lang w:val="es-AR" w:eastAsia="es-ES"/>
        </w:rPr>
        <w:t>bre</w:t>
      </w:r>
      <w:r w:rsidR="006F597E" w:rsidRPr="001F4904">
        <w:rPr>
          <w:rFonts w:ascii="Palatino Linotype" w:eastAsia="Calibri" w:hAnsi="Palatino Linotype" w:cs="Arial"/>
          <w:b/>
          <w:lang w:val="es-AR" w:eastAsia="es-ES"/>
        </w:rPr>
        <w:t xml:space="preserve"> </w:t>
      </w:r>
      <w:r w:rsidR="007A2898" w:rsidRPr="001F4904">
        <w:rPr>
          <w:rFonts w:ascii="Palatino Linotype" w:eastAsia="Calibri" w:hAnsi="Palatino Linotype" w:cs="Arial"/>
          <w:b/>
          <w:lang w:val="es-AR" w:eastAsia="es-ES"/>
        </w:rPr>
        <w:t>de dos mil veintitrés</w:t>
      </w:r>
      <w:r w:rsidR="00737F8A" w:rsidRPr="001F4904">
        <w:rPr>
          <w:rFonts w:ascii="Palatino Linotype" w:hAnsi="Palatino Linotype" w:cs="Arial"/>
          <w:b/>
          <w:lang w:val="es-ES" w:eastAsia="es-ES"/>
        </w:rPr>
        <w:t>,</w:t>
      </w:r>
      <w:r w:rsidR="00737F8A" w:rsidRPr="001F4904">
        <w:rPr>
          <w:rFonts w:ascii="Palatino Linotype" w:hAnsi="Palatino Linotype" w:cs="Arial"/>
          <w:lang w:val="es-ES" w:eastAsia="es-ES"/>
        </w:rPr>
        <w:t xml:space="preserve"> </w:t>
      </w:r>
      <w:r w:rsidR="00737F8A" w:rsidRPr="001F4904">
        <w:rPr>
          <w:rFonts w:ascii="Palatino Linotype" w:eastAsiaTheme="minorEastAsia" w:hAnsi="Palatino Linotype"/>
          <w:b/>
          <w:lang w:val="es-ES_tradnl" w:eastAsia="es-ES"/>
        </w:rPr>
        <w:t>EL RECURRENTE</w:t>
      </w:r>
      <w:r w:rsidR="007A2898" w:rsidRPr="001F4904">
        <w:rPr>
          <w:rFonts w:ascii="Palatino Linotype" w:hAnsi="Palatino Linotype" w:cs="Arial"/>
          <w:lang w:val="es-ES" w:eastAsia="es-ES"/>
        </w:rPr>
        <w:t xml:space="preserve"> interpuso el recurso</w:t>
      </w:r>
      <w:r w:rsidR="00737F8A" w:rsidRPr="001F4904">
        <w:rPr>
          <w:rFonts w:ascii="Palatino Linotype" w:hAnsi="Palatino Linotype" w:cs="Arial"/>
          <w:lang w:val="es-ES" w:eastAsia="es-ES"/>
        </w:rPr>
        <w:t xml:space="preserve"> de revisión</w:t>
      </w:r>
      <w:r w:rsidR="00D911B0" w:rsidRPr="001F4904">
        <w:rPr>
          <w:rFonts w:ascii="Palatino Linotype" w:hAnsi="Palatino Linotype" w:cs="Arial"/>
          <w:lang w:val="es-ES" w:eastAsia="es-ES"/>
        </w:rPr>
        <w:t xml:space="preserve"> </w:t>
      </w:r>
      <w:r w:rsidR="00BD7DCB" w:rsidRPr="001F4904">
        <w:rPr>
          <w:rFonts w:ascii="Palatino Linotype" w:hAnsi="Palatino Linotype"/>
          <w:b/>
        </w:rPr>
        <w:t>07503/INFOEM/IP/RR/2023</w:t>
      </w:r>
      <w:r w:rsidR="007A2898" w:rsidRPr="001F4904">
        <w:rPr>
          <w:rFonts w:ascii="Palatino Linotype" w:hAnsi="Palatino Linotype"/>
        </w:rPr>
        <w:t xml:space="preserve">, </w:t>
      </w:r>
      <w:r w:rsidR="00737F8A" w:rsidRPr="001F4904">
        <w:rPr>
          <w:rFonts w:ascii="Palatino Linotype" w:hAnsi="Palatino Linotype" w:cs="Arial"/>
          <w:lang w:val="es-ES" w:eastAsia="es-ES"/>
        </w:rPr>
        <w:t>en contr</w:t>
      </w:r>
      <w:bookmarkStart w:id="1" w:name="_Toc462307683"/>
      <w:bookmarkStart w:id="2" w:name="_Toc472427085"/>
      <w:bookmarkStart w:id="3" w:name="_Toc472500652"/>
      <w:r w:rsidR="00737F8A" w:rsidRPr="001F4904">
        <w:rPr>
          <w:rFonts w:ascii="Palatino Linotype" w:hAnsi="Palatino Linotype" w:cs="Arial"/>
          <w:lang w:val="es-ES" w:eastAsia="es-ES"/>
        </w:rPr>
        <w:t>a de las res</w:t>
      </w:r>
      <w:r w:rsidR="007A2898" w:rsidRPr="001F4904">
        <w:rPr>
          <w:rFonts w:ascii="Palatino Linotype" w:hAnsi="Palatino Linotype" w:cs="Arial"/>
          <w:lang w:val="es-ES" w:eastAsia="es-ES"/>
        </w:rPr>
        <w:t>puesta</w:t>
      </w:r>
      <w:r w:rsidR="00737F8A" w:rsidRPr="001F4904">
        <w:rPr>
          <w:rFonts w:ascii="Palatino Linotype" w:hAnsi="Palatino Linotype" w:cs="Arial"/>
          <w:lang w:val="es-ES" w:eastAsia="es-ES"/>
        </w:rPr>
        <w:t>, señalando como:</w:t>
      </w:r>
    </w:p>
    <w:p w14:paraId="7A60A93A" w14:textId="77777777" w:rsidR="006F597E" w:rsidRPr="001F4904" w:rsidRDefault="006F597E" w:rsidP="00462720">
      <w:pPr>
        <w:spacing w:line="360" w:lineRule="auto"/>
        <w:contextualSpacing/>
        <w:jc w:val="both"/>
        <w:rPr>
          <w:rFonts w:ascii="Palatino Linotype" w:eastAsiaTheme="minorEastAsia" w:hAnsi="Palatino Linotype" w:cs="Arial"/>
          <w:b/>
          <w:i/>
          <w:sz w:val="22"/>
          <w:lang w:val="es-ES_tradnl" w:eastAsia="es-ES"/>
        </w:rPr>
      </w:pPr>
    </w:p>
    <w:p w14:paraId="7A60A93B" w14:textId="77777777" w:rsidR="00737F8A" w:rsidRPr="001F4904" w:rsidRDefault="00737F8A" w:rsidP="00462720">
      <w:pPr>
        <w:spacing w:line="360" w:lineRule="auto"/>
        <w:ind w:left="567" w:right="567"/>
        <w:contextualSpacing/>
        <w:jc w:val="both"/>
        <w:rPr>
          <w:rFonts w:ascii="Palatino Linotype" w:hAnsi="Palatino Linotype"/>
          <w:i/>
          <w:color w:val="000000"/>
          <w:sz w:val="22"/>
        </w:rPr>
      </w:pPr>
      <w:r w:rsidRPr="001F4904">
        <w:rPr>
          <w:rFonts w:ascii="Palatino Linotype" w:eastAsiaTheme="minorEastAsia" w:hAnsi="Palatino Linotype"/>
          <w:b/>
          <w:sz w:val="22"/>
          <w:lang w:val="es-ES_tradnl" w:eastAsia="es-ES"/>
        </w:rPr>
        <w:t>Acto impugnado</w:t>
      </w:r>
      <w:r w:rsidRPr="001F4904">
        <w:rPr>
          <w:rFonts w:ascii="Palatino Linotype" w:eastAsiaTheme="minorEastAsia" w:hAnsi="Palatino Linotype"/>
          <w:b/>
          <w:i/>
          <w:sz w:val="22"/>
          <w:lang w:val="es-ES_tradnl" w:eastAsia="es-ES"/>
        </w:rPr>
        <w:t>:</w:t>
      </w:r>
      <w:r w:rsidRPr="001F4904">
        <w:rPr>
          <w:rFonts w:ascii="Palatino Linotype" w:hAnsi="Palatino Linotype"/>
          <w:i/>
          <w:color w:val="000000"/>
          <w:sz w:val="22"/>
        </w:rPr>
        <w:t xml:space="preserve"> “</w:t>
      </w:r>
      <w:r w:rsidR="00BD7DCB" w:rsidRPr="001F4904">
        <w:rPr>
          <w:rFonts w:ascii="Palatino Linotype" w:hAnsi="Palatino Linotype"/>
          <w:i/>
          <w:color w:val="000000"/>
          <w:sz w:val="22"/>
        </w:rPr>
        <w:t>La información no cumple con los criterios de la solicitud</w:t>
      </w:r>
      <w:r w:rsidRPr="001F4904">
        <w:rPr>
          <w:rFonts w:ascii="Palatino Linotype" w:hAnsi="Palatino Linotype"/>
          <w:i/>
          <w:color w:val="000000"/>
          <w:sz w:val="22"/>
        </w:rPr>
        <w:t xml:space="preserve">” (Sic) </w:t>
      </w:r>
    </w:p>
    <w:p w14:paraId="7A60A93C" w14:textId="77777777" w:rsidR="00737F8A" w:rsidRPr="001F4904" w:rsidRDefault="00737F8A" w:rsidP="00462720">
      <w:pPr>
        <w:spacing w:line="360" w:lineRule="auto"/>
        <w:ind w:left="567" w:right="567"/>
        <w:contextualSpacing/>
        <w:jc w:val="both"/>
        <w:rPr>
          <w:rFonts w:ascii="Palatino Linotype" w:eastAsia="Calibri" w:hAnsi="Palatino Linotype" w:cs="Arial"/>
          <w:i/>
          <w:sz w:val="22"/>
          <w:lang w:val="es-ES" w:eastAsia="es-ES"/>
        </w:rPr>
      </w:pPr>
    </w:p>
    <w:p w14:paraId="7A60A93D" w14:textId="77777777" w:rsidR="006F597E" w:rsidRPr="001F4904" w:rsidRDefault="00737F8A" w:rsidP="00462720">
      <w:pPr>
        <w:spacing w:line="360" w:lineRule="auto"/>
        <w:ind w:left="567" w:right="567"/>
        <w:contextualSpacing/>
        <w:jc w:val="both"/>
        <w:rPr>
          <w:rFonts w:ascii="Palatino Linotype" w:hAnsi="Palatino Linotype"/>
          <w:i/>
          <w:color w:val="000000"/>
          <w:sz w:val="22"/>
        </w:rPr>
      </w:pPr>
      <w:r w:rsidRPr="001F4904">
        <w:rPr>
          <w:rFonts w:ascii="Palatino Linotype" w:eastAsiaTheme="minorEastAsia" w:hAnsi="Palatino Linotype"/>
          <w:b/>
          <w:sz w:val="22"/>
          <w:lang w:val="es-ES_tradnl" w:eastAsia="es-ES"/>
        </w:rPr>
        <w:t>Razones o Motivos de inconformidad:</w:t>
      </w:r>
      <w:r w:rsidRPr="001F4904">
        <w:rPr>
          <w:rFonts w:ascii="Palatino Linotype" w:eastAsiaTheme="majorEastAsia" w:hAnsi="Palatino Linotype" w:cstheme="majorBidi"/>
          <w:b/>
          <w:color w:val="2E74B5" w:themeColor="accent1" w:themeShade="BF"/>
          <w:sz w:val="22"/>
          <w:lang w:val="es-ES" w:eastAsia="es-ES"/>
        </w:rPr>
        <w:t xml:space="preserve"> </w:t>
      </w:r>
      <w:r w:rsidRPr="001F4904">
        <w:rPr>
          <w:rFonts w:ascii="Palatino Linotype" w:eastAsiaTheme="majorEastAsia" w:hAnsi="Palatino Linotype" w:cstheme="majorBidi"/>
          <w:i/>
          <w:sz w:val="22"/>
          <w:lang w:val="es-ES" w:eastAsia="es-ES"/>
        </w:rPr>
        <w:t>“</w:t>
      </w:r>
      <w:r w:rsidR="00BD7DCB" w:rsidRPr="001F4904">
        <w:rPr>
          <w:rFonts w:ascii="Palatino Linotype" w:eastAsiaTheme="majorEastAsia" w:hAnsi="Palatino Linotype" w:cstheme="majorBidi"/>
          <w:i/>
          <w:sz w:val="22"/>
          <w:lang w:eastAsia="es-ES"/>
        </w:rPr>
        <w:t>Agradezco la respuesta y los datos. Sin embargo, para la investigación es muy importante saber la fecha de cada llamada, es decir el día, mes y año en que se recibió cada llamada. Los datos agregados no sirven de mucho. Es necesario tener las fechas completas y no los totales por mes, pues así ya tenemos toda la información del resto de los municipios del país. ¿Es posible poder contar con la información como se está solicitando?</w:t>
      </w:r>
      <w:r w:rsidRPr="001F4904">
        <w:rPr>
          <w:rFonts w:ascii="Palatino Linotype" w:hAnsi="Palatino Linotype"/>
          <w:i/>
          <w:color w:val="000000"/>
          <w:sz w:val="22"/>
        </w:rPr>
        <w:t>” (Sic)</w:t>
      </w:r>
      <w:bookmarkEnd w:id="1"/>
      <w:bookmarkEnd w:id="2"/>
      <w:bookmarkEnd w:id="3"/>
    </w:p>
    <w:p w14:paraId="7A60A93E" w14:textId="77777777" w:rsidR="000A73EB" w:rsidRPr="001F4904" w:rsidRDefault="000A73EB" w:rsidP="00462720">
      <w:pPr>
        <w:spacing w:line="360" w:lineRule="auto"/>
        <w:ind w:right="567"/>
        <w:contextualSpacing/>
        <w:jc w:val="both"/>
        <w:rPr>
          <w:rFonts w:ascii="Palatino Linotype" w:hAnsi="Palatino Linotype"/>
          <w:i/>
          <w:color w:val="000000"/>
        </w:rPr>
      </w:pPr>
    </w:p>
    <w:p w14:paraId="7A60A93F" w14:textId="77777777" w:rsidR="00737F8A" w:rsidRPr="001F4904" w:rsidRDefault="000A73EB" w:rsidP="00462720">
      <w:pPr>
        <w:numPr>
          <w:ilvl w:val="0"/>
          <w:numId w:val="1"/>
        </w:numPr>
        <w:spacing w:line="360" w:lineRule="auto"/>
        <w:ind w:left="0" w:firstLine="0"/>
        <w:contextualSpacing/>
        <w:jc w:val="both"/>
        <w:rPr>
          <w:rFonts w:ascii="Palatino Linotype" w:eastAsia="Calibri" w:hAnsi="Palatino Linotype" w:cs="Arial"/>
          <w:color w:val="000000" w:themeColor="text1"/>
          <w:lang w:val="es-AR" w:eastAsia="es-ES"/>
        </w:rPr>
      </w:pPr>
      <w:r w:rsidRPr="001F4904">
        <w:rPr>
          <w:rFonts w:ascii="Palatino Linotype" w:hAnsi="Palatino Linotype" w:cs="Arial"/>
          <w:color w:val="000000" w:themeColor="text1"/>
          <w:lang w:val="es-ES" w:eastAsia="es-ES"/>
        </w:rPr>
        <w:t xml:space="preserve">Se registró </w:t>
      </w:r>
      <w:r w:rsidR="00737F8A" w:rsidRPr="001F4904">
        <w:rPr>
          <w:rFonts w:ascii="Palatino Linotype" w:hAnsi="Palatino Linotype" w:cs="Arial"/>
          <w:color w:val="000000" w:themeColor="text1"/>
          <w:lang w:val="es-ES" w:eastAsia="es-ES"/>
        </w:rPr>
        <w:t>bajo el número</w:t>
      </w:r>
      <w:r w:rsidR="00452118" w:rsidRPr="001F4904">
        <w:rPr>
          <w:rFonts w:ascii="Palatino Linotype" w:hAnsi="Palatino Linotype" w:cs="Arial"/>
          <w:color w:val="000000" w:themeColor="text1"/>
          <w:lang w:val="es-ES" w:eastAsia="es-ES"/>
        </w:rPr>
        <w:t xml:space="preserve"> </w:t>
      </w:r>
      <w:r w:rsidR="00BD7DCB" w:rsidRPr="001F4904">
        <w:rPr>
          <w:rFonts w:ascii="Palatino Linotype" w:hAnsi="Palatino Linotype"/>
          <w:b/>
          <w:bCs/>
          <w:color w:val="000000" w:themeColor="text1"/>
        </w:rPr>
        <w:t>07503/INFOEM/IP/RR/2023</w:t>
      </w:r>
      <w:r w:rsidR="00737F8A" w:rsidRPr="001F4904">
        <w:rPr>
          <w:rFonts w:ascii="Palatino Linotype" w:eastAsiaTheme="minorEastAsia" w:hAnsi="Palatino Linotype" w:cs="Arial"/>
          <w:bCs/>
          <w:color w:val="000000" w:themeColor="text1"/>
          <w:lang w:val="es-ES_tradnl" w:eastAsia="es-ES"/>
        </w:rPr>
        <w:t>, asimismo</w:t>
      </w:r>
      <w:r w:rsidR="00452118" w:rsidRPr="001F4904">
        <w:rPr>
          <w:rFonts w:ascii="Palatino Linotype" w:eastAsiaTheme="minorEastAsia" w:hAnsi="Palatino Linotype" w:cs="Arial"/>
          <w:bCs/>
          <w:color w:val="000000" w:themeColor="text1"/>
          <w:lang w:val="es-ES_tradnl" w:eastAsia="es-ES"/>
        </w:rPr>
        <w:t>,</w:t>
      </w:r>
      <w:r w:rsidR="00737F8A" w:rsidRPr="001F4904">
        <w:rPr>
          <w:rFonts w:ascii="Palatino Linotype" w:eastAsiaTheme="minorEastAsia" w:hAnsi="Palatino Linotype" w:cs="Arial"/>
          <w:bCs/>
          <w:color w:val="000000" w:themeColor="text1"/>
          <w:lang w:val="es-ES_tradnl" w:eastAsia="es-ES"/>
        </w:rPr>
        <w:t xml:space="preserve"> con fundamento en lo dispuesto por el </w:t>
      </w:r>
      <w:r w:rsidR="00737F8A" w:rsidRPr="001F4904">
        <w:rPr>
          <w:rFonts w:ascii="Palatino Linotype" w:eastAsia="Calibri" w:hAnsi="Palatino Linotype" w:cs="Arial"/>
          <w:color w:val="000000" w:themeColor="text1"/>
          <w:lang w:val="es-ES" w:eastAsia="es-ES"/>
        </w:rPr>
        <w:t xml:space="preserve">artículo 185 fracción I de la </w:t>
      </w:r>
      <w:r w:rsidR="00737F8A" w:rsidRPr="001F4904">
        <w:rPr>
          <w:rFonts w:ascii="Palatino Linotype" w:eastAsia="Calibri" w:hAnsi="Palatino Linotype" w:cs="Arial"/>
          <w:b/>
          <w:color w:val="000000" w:themeColor="text1"/>
          <w:lang w:val="es-ES" w:eastAsia="es-ES"/>
        </w:rPr>
        <w:t xml:space="preserve">Ley de Transparencia y Acceso a la Información Pública del Estado de México y Municipios </w:t>
      </w:r>
      <w:r w:rsidR="00737F8A" w:rsidRPr="001F4904">
        <w:rPr>
          <w:rFonts w:ascii="Palatino Linotype" w:hAnsi="Palatino Linotype" w:cs="Arial"/>
          <w:color w:val="000000" w:themeColor="text1"/>
          <w:lang w:val="es-ES" w:eastAsia="es-ES"/>
        </w:rPr>
        <w:t xml:space="preserve">se turnó a la </w:t>
      </w:r>
      <w:r w:rsidR="00737F8A" w:rsidRPr="001F4904">
        <w:rPr>
          <w:rFonts w:ascii="Palatino Linotype" w:hAnsi="Palatino Linotype" w:cs="Arial"/>
          <w:b/>
          <w:color w:val="000000" w:themeColor="text1"/>
          <w:lang w:val="es-ES" w:eastAsia="es-ES"/>
        </w:rPr>
        <w:t xml:space="preserve">Comisionada María del Rosario Mejía Ayala, </w:t>
      </w:r>
      <w:r w:rsidR="0069712C" w:rsidRPr="001F4904">
        <w:rPr>
          <w:rFonts w:ascii="Palatino Linotype" w:hAnsi="Palatino Linotype" w:cs="Arial"/>
          <w:color w:val="000000" w:themeColor="text1"/>
          <w:lang w:val="es-ES" w:eastAsia="es-ES"/>
        </w:rPr>
        <w:t>para</w:t>
      </w:r>
      <w:r w:rsidR="00737F8A" w:rsidRPr="001F4904">
        <w:rPr>
          <w:rFonts w:ascii="Palatino Linotype" w:hAnsi="Palatino Linotype" w:cs="Arial"/>
          <w:color w:val="000000" w:themeColor="text1"/>
          <w:lang w:val="es-ES" w:eastAsia="es-ES"/>
        </w:rPr>
        <w:t xml:space="preserve"> </w:t>
      </w:r>
      <w:r w:rsidR="00737F8A" w:rsidRPr="001F4904">
        <w:rPr>
          <w:rFonts w:ascii="Palatino Linotype" w:hAnsi="Palatino Linotype" w:cs="Arial"/>
          <w:color w:val="000000" w:themeColor="text1"/>
          <w:lang w:eastAsia="es-ES"/>
        </w:rPr>
        <w:t xml:space="preserve">su análisis. </w:t>
      </w:r>
    </w:p>
    <w:p w14:paraId="7A60A940" w14:textId="77777777" w:rsidR="00737F8A" w:rsidRPr="001F4904" w:rsidRDefault="00737F8A" w:rsidP="00462720">
      <w:pPr>
        <w:spacing w:line="360" w:lineRule="auto"/>
        <w:contextualSpacing/>
        <w:jc w:val="both"/>
        <w:rPr>
          <w:rFonts w:ascii="Palatino Linotype" w:eastAsia="Calibri" w:hAnsi="Palatino Linotype" w:cs="Arial"/>
          <w:lang w:val="es-AR" w:eastAsia="es-ES"/>
        </w:rPr>
      </w:pPr>
    </w:p>
    <w:p w14:paraId="7A60A941" w14:textId="77777777" w:rsidR="00A24F5A" w:rsidRPr="001F4904" w:rsidRDefault="00AF5756" w:rsidP="00462720">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1F4904">
        <w:rPr>
          <w:rFonts w:ascii="Palatino Linotype" w:eastAsia="Calibri" w:hAnsi="Palatino Linotype" w:cs="Arial"/>
          <w:lang w:val="es-ES" w:eastAsia="es-ES"/>
        </w:rPr>
        <w:t>La</w:t>
      </w:r>
      <w:r w:rsidR="00737F8A" w:rsidRPr="001F4904">
        <w:rPr>
          <w:rFonts w:ascii="Palatino Linotype" w:eastAsia="Calibri" w:hAnsi="Palatino Linotype" w:cs="Arial"/>
          <w:lang w:val="es-ES" w:eastAsia="es-ES"/>
        </w:rPr>
        <w:t xml:space="preserve"> Comisionad</w:t>
      </w:r>
      <w:r w:rsidRPr="001F4904">
        <w:rPr>
          <w:rFonts w:ascii="Palatino Linotype" w:eastAsia="Calibri" w:hAnsi="Palatino Linotype" w:cs="Arial"/>
          <w:lang w:val="es-ES" w:eastAsia="es-ES"/>
        </w:rPr>
        <w:t>a</w:t>
      </w:r>
      <w:r w:rsidR="00737F8A" w:rsidRPr="001F4904">
        <w:rPr>
          <w:rFonts w:ascii="Palatino Linotype" w:eastAsia="Calibri" w:hAnsi="Palatino Linotype" w:cs="Arial"/>
          <w:lang w:val="es-ES" w:eastAsia="es-ES"/>
        </w:rPr>
        <w:t xml:space="preserve"> Ponente con fundamento en l</w:t>
      </w:r>
      <w:r w:rsidR="00D10B35" w:rsidRPr="001F4904">
        <w:rPr>
          <w:rFonts w:ascii="Palatino Linotype" w:eastAsia="Calibri" w:hAnsi="Palatino Linotype" w:cs="Arial"/>
          <w:lang w:val="es-ES" w:eastAsia="es-ES"/>
        </w:rPr>
        <w:t xml:space="preserve">o dispuesto por el artículo 18 </w:t>
      </w:r>
      <w:r w:rsidR="00737F8A" w:rsidRPr="001F4904">
        <w:rPr>
          <w:rFonts w:ascii="Palatino Linotype" w:eastAsia="Calibri" w:hAnsi="Palatino Linotype" w:cs="Arial"/>
          <w:lang w:val="es-ES" w:eastAsia="es-ES"/>
        </w:rPr>
        <w:t>fracción II de la ley de la materia, a tra</w:t>
      </w:r>
      <w:r w:rsidR="00D10B35" w:rsidRPr="001F4904">
        <w:rPr>
          <w:rFonts w:ascii="Palatino Linotype" w:eastAsia="Calibri" w:hAnsi="Palatino Linotype" w:cs="Arial"/>
          <w:lang w:val="es-ES" w:eastAsia="es-ES"/>
        </w:rPr>
        <w:t>vés del</w:t>
      </w:r>
      <w:r w:rsidR="00452118" w:rsidRPr="001F4904">
        <w:rPr>
          <w:rFonts w:ascii="Palatino Linotype" w:eastAsia="Calibri" w:hAnsi="Palatino Linotype" w:cs="Arial"/>
          <w:lang w:val="es-ES" w:eastAsia="es-ES"/>
        </w:rPr>
        <w:t xml:space="preserve"> acuerdo de a</w:t>
      </w:r>
      <w:r w:rsidR="000A73EB" w:rsidRPr="001F4904">
        <w:rPr>
          <w:rFonts w:ascii="Palatino Linotype" w:eastAsia="Calibri" w:hAnsi="Palatino Linotype" w:cs="Arial"/>
          <w:lang w:val="es-ES" w:eastAsia="es-ES"/>
        </w:rPr>
        <w:t>dmisión de fecha</w:t>
      </w:r>
      <w:r w:rsidR="004252E4" w:rsidRPr="001F4904">
        <w:rPr>
          <w:rFonts w:ascii="Palatino Linotype" w:eastAsia="Calibri" w:hAnsi="Palatino Linotype" w:cs="Arial"/>
          <w:b/>
          <w:lang w:val="es-ES" w:eastAsia="es-ES"/>
        </w:rPr>
        <w:t xml:space="preserve"> treinta</w:t>
      </w:r>
      <w:r w:rsidR="000A73EB" w:rsidRPr="001F4904">
        <w:rPr>
          <w:rFonts w:ascii="Palatino Linotype" w:eastAsia="Calibri" w:hAnsi="Palatino Linotype" w:cs="Arial"/>
          <w:b/>
          <w:lang w:val="es-ES" w:eastAsia="es-ES"/>
        </w:rPr>
        <w:t xml:space="preserve"> de </w:t>
      </w:r>
      <w:r w:rsidR="004252E4" w:rsidRPr="001F4904">
        <w:rPr>
          <w:rFonts w:ascii="Palatino Linotype" w:eastAsia="Calibri" w:hAnsi="Palatino Linotype" w:cs="Arial"/>
          <w:b/>
          <w:lang w:val="es-ES" w:eastAsia="es-ES"/>
        </w:rPr>
        <w:t>octu</w:t>
      </w:r>
      <w:r w:rsidR="000A73EB" w:rsidRPr="001F4904">
        <w:rPr>
          <w:rFonts w:ascii="Palatino Linotype" w:eastAsia="Calibri" w:hAnsi="Palatino Linotype" w:cs="Arial"/>
          <w:b/>
          <w:lang w:val="es-ES" w:eastAsia="es-ES"/>
        </w:rPr>
        <w:t>bre de dos mil veintitrés</w:t>
      </w:r>
      <w:r w:rsidR="00737F8A" w:rsidRPr="001F4904">
        <w:rPr>
          <w:rFonts w:ascii="Palatino Linotype" w:eastAsia="Calibri" w:hAnsi="Palatino Linotype" w:cs="Arial"/>
          <w:b/>
          <w:lang w:val="es-ES" w:eastAsia="es-ES"/>
        </w:rPr>
        <w:t>,</w:t>
      </w:r>
      <w:r w:rsidR="00452118" w:rsidRPr="001F4904">
        <w:rPr>
          <w:rFonts w:ascii="Palatino Linotype" w:eastAsia="Calibri" w:hAnsi="Palatino Linotype" w:cs="Arial"/>
          <w:lang w:val="es-ES" w:eastAsia="es-ES"/>
        </w:rPr>
        <w:t xml:space="preserve"> </w:t>
      </w:r>
      <w:r w:rsidR="00737F8A" w:rsidRPr="001F4904">
        <w:rPr>
          <w:rFonts w:ascii="Palatino Linotype" w:eastAsia="Calibri" w:hAnsi="Palatino Linotype" w:cs="Arial"/>
          <w:lang w:val="es-ES" w:eastAsia="es-ES"/>
        </w:rPr>
        <w:t xml:space="preserve">puso a disposición de las partes el expediente electrónico </w:t>
      </w:r>
      <w:r w:rsidR="00737F8A" w:rsidRPr="001F4904">
        <w:rPr>
          <w:rFonts w:ascii="Palatino Linotype" w:eastAsia="Calibri" w:hAnsi="Palatino Linotype" w:cs="Arial"/>
          <w:lang w:val="es-ES_tradnl" w:eastAsia="es-ES"/>
        </w:rPr>
        <w:t xml:space="preserve">vía </w:t>
      </w:r>
      <w:r w:rsidR="00737F8A" w:rsidRPr="001F4904">
        <w:rPr>
          <w:rFonts w:ascii="Palatino Linotype" w:eastAsia="Calibri" w:hAnsi="Palatino Linotype" w:cs="Arial"/>
          <w:b/>
          <w:lang w:val="es-ES" w:eastAsia="es-ES"/>
        </w:rPr>
        <w:t xml:space="preserve">SAIMEX </w:t>
      </w:r>
      <w:r w:rsidR="00737F8A" w:rsidRPr="001F4904">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37F8A" w:rsidRPr="001F4904">
        <w:rPr>
          <w:rFonts w:ascii="Palatino Linotype" w:eastAsia="Calibri" w:hAnsi="Palatino Linotype" w:cs="Arial"/>
          <w:b/>
          <w:lang w:val="es-ES" w:eastAsia="es-ES"/>
        </w:rPr>
        <w:t>SUJETO OBLIGADO</w:t>
      </w:r>
      <w:r w:rsidR="00737F8A" w:rsidRPr="001F4904">
        <w:rPr>
          <w:rFonts w:ascii="Palatino Linotype" w:eastAsia="Calibri" w:hAnsi="Palatino Linotype" w:cs="Arial"/>
          <w:lang w:val="es-ES" w:eastAsia="es-ES"/>
        </w:rPr>
        <w:t xml:space="preserve"> presentara el informe justificado procedente. </w:t>
      </w:r>
    </w:p>
    <w:p w14:paraId="7A60A942" w14:textId="77777777" w:rsidR="00A24F5A" w:rsidRPr="001F4904" w:rsidRDefault="00A24F5A" w:rsidP="00462720">
      <w:pPr>
        <w:pStyle w:val="Prrafodelista"/>
        <w:spacing w:line="360" w:lineRule="auto"/>
        <w:rPr>
          <w:rFonts w:ascii="Palatino Linotype" w:eastAsia="Calibri" w:hAnsi="Palatino Linotype" w:cs="Arial"/>
          <w:sz w:val="24"/>
          <w:lang w:val="es-ES" w:eastAsia="es-ES"/>
        </w:rPr>
      </w:pPr>
    </w:p>
    <w:p w14:paraId="7A60A943" w14:textId="77777777" w:rsidR="00AF5756" w:rsidRPr="001F4904" w:rsidRDefault="00AF5756" w:rsidP="00462720">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1F4904">
        <w:rPr>
          <w:rFonts w:ascii="Palatino Linotype" w:eastAsia="Calibri" w:hAnsi="Palatino Linotype" w:cs="Arial"/>
          <w:lang w:val="es-ES" w:eastAsia="es-ES"/>
        </w:rPr>
        <w:lastRenderedPageBreak/>
        <w:t>E</w:t>
      </w:r>
      <w:r w:rsidR="000A73EB" w:rsidRPr="001F4904">
        <w:rPr>
          <w:rFonts w:ascii="Palatino Linotype" w:eastAsia="Calibri" w:hAnsi="Palatino Linotype" w:cs="Arial"/>
          <w:lang w:val="es-ES" w:eastAsia="es-ES"/>
        </w:rPr>
        <w:t xml:space="preserve">l </w:t>
      </w:r>
      <w:r w:rsidR="001D2223" w:rsidRPr="001F4904">
        <w:rPr>
          <w:rFonts w:ascii="Palatino Linotype" w:eastAsia="Calibri" w:hAnsi="Palatino Linotype" w:cs="Arial"/>
          <w:lang w:val="es-ES" w:eastAsia="es-ES"/>
        </w:rPr>
        <w:t xml:space="preserve"> </w:t>
      </w:r>
      <w:r w:rsidR="00A24F5A" w:rsidRPr="001F4904">
        <w:rPr>
          <w:rFonts w:ascii="Palatino Linotype" w:eastAsia="Calibri" w:hAnsi="Palatino Linotype" w:cs="Arial"/>
          <w:b/>
          <w:lang w:val="es-ES" w:eastAsia="es-ES"/>
        </w:rPr>
        <w:t>SUJETO OBLIGADO</w:t>
      </w:r>
      <w:r w:rsidRPr="001F4904">
        <w:rPr>
          <w:rFonts w:ascii="Palatino Linotype" w:eastAsia="Calibri" w:hAnsi="Palatino Linotype" w:cs="Arial"/>
          <w:b/>
          <w:lang w:val="es-ES" w:eastAsia="es-ES"/>
        </w:rPr>
        <w:t xml:space="preserve"> </w:t>
      </w:r>
      <w:r w:rsidRPr="001F4904">
        <w:rPr>
          <w:rFonts w:ascii="Palatino Linotype" w:eastAsia="Calibri" w:hAnsi="Palatino Linotype" w:cs="Arial"/>
          <w:lang w:val="es-ES" w:eastAsia="es-ES"/>
        </w:rPr>
        <w:t xml:space="preserve">en fecha nueve de noviembre de dos mil veintitrés, rindió su informe justificado, el cual se hizo del conocimiento de la parte recurrente mediante acuerdo de fecha seis de diciembre del año en curso, cuyo contenido </w:t>
      </w:r>
      <w:r w:rsidRPr="001F4904">
        <w:rPr>
          <w:rFonts w:ascii="Palatino Linotype" w:eastAsia="Calibri" w:hAnsi="Palatino Linotype" w:cs="Arial"/>
          <w:i/>
          <w:lang w:val="es-ES" w:eastAsia="es-ES"/>
        </w:rPr>
        <w:t>grosso modo</w:t>
      </w:r>
      <w:r w:rsidRPr="001F4904">
        <w:rPr>
          <w:rFonts w:ascii="Palatino Linotype" w:eastAsia="Calibri" w:hAnsi="Palatino Linotype" w:cs="Arial"/>
          <w:lang w:val="es-ES" w:eastAsia="es-ES"/>
        </w:rPr>
        <w:t>, es el siguiente:</w:t>
      </w:r>
    </w:p>
    <w:p w14:paraId="7A60A944" w14:textId="77777777" w:rsidR="00AF5756" w:rsidRPr="001F4904" w:rsidRDefault="00AF5756" w:rsidP="00462720">
      <w:pPr>
        <w:spacing w:line="360" w:lineRule="auto"/>
        <w:contextualSpacing/>
        <w:jc w:val="center"/>
        <w:rPr>
          <w:rFonts w:ascii="Palatino Linotype" w:eastAsiaTheme="minorEastAsia" w:hAnsi="Palatino Linotype" w:cstheme="minorBidi"/>
          <w:color w:val="000000"/>
          <w:lang w:val="es-ES_tradnl" w:eastAsia="es-ES"/>
        </w:rPr>
      </w:pPr>
      <w:r w:rsidRPr="001F4904">
        <w:rPr>
          <w:rFonts w:ascii="Palatino Linotype" w:eastAsiaTheme="minorEastAsia" w:hAnsi="Palatino Linotype" w:cstheme="minorBidi"/>
          <w:noProof/>
          <w:color w:val="000000"/>
        </w:rPr>
        <w:drawing>
          <wp:inline distT="0" distB="0" distL="0" distR="0" wp14:anchorId="7A60AA18" wp14:editId="7A60AA19">
            <wp:extent cx="4863347" cy="5391150"/>
            <wp:effectExtent l="19050" t="19050" r="139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792" cy="5449286"/>
                    </a:xfrm>
                    <a:prstGeom prst="rect">
                      <a:avLst/>
                    </a:prstGeom>
                    <a:noFill/>
                    <a:ln>
                      <a:solidFill>
                        <a:schemeClr val="tx1"/>
                      </a:solidFill>
                    </a:ln>
                  </pic:spPr>
                </pic:pic>
              </a:graphicData>
            </a:graphic>
          </wp:inline>
        </w:drawing>
      </w:r>
    </w:p>
    <w:p w14:paraId="7A60A945" w14:textId="77777777" w:rsidR="00AF5756" w:rsidRPr="001F4904" w:rsidRDefault="00AF5756" w:rsidP="00462720">
      <w:pPr>
        <w:spacing w:line="360" w:lineRule="auto"/>
        <w:jc w:val="center"/>
        <w:rPr>
          <w:rFonts w:ascii="Palatino Linotype" w:eastAsia="Calibri" w:hAnsi="Palatino Linotype" w:cs="Arial"/>
          <w:b/>
          <w:lang w:val="es-ES" w:eastAsia="es-ES"/>
        </w:rPr>
      </w:pPr>
      <w:r w:rsidRPr="001F4904">
        <w:rPr>
          <w:rFonts w:ascii="Palatino Linotype" w:eastAsia="Calibri" w:hAnsi="Palatino Linotype" w:cs="Arial"/>
          <w:b/>
          <w:noProof/>
        </w:rPr>
        <w:lastRenderedPageBreak/>
        <w:drawing>
          <wp:inline distT="0" distB="0" distL="0" distR="0" wp14:anchorId="7A60AA1A" wp14:editId="7A60AA1B">
            <wp:extent cx="5467350" cy="5988050"/>
            <wp:effectExtent l="19050" t="19050" r="1905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021" cy="5992071"/>
                    </a:xfrm>
                    <a:prstGeom prst="rect">
                      <a:avLst/>
                    </a:prstGeom>
                    <a:noFill/>
                    <a:ln>
                      <a:solidFill>
                        <a:schemeClr val="tx1"/>
                      </a:solidFill>
                    </a:ln>
                  </pic:spPr>
                </pic:pic>
              </a:graphicData>
            </a:graphic>
          </wp:inline>
        </w:drawing>
      </w:r>
    </w:p>
    <w:p w14:paraId="7A60A946" w14:textId="77777777" w:rsidR="00AF5756" w:rsidRPr="001F4904" w:rsidRDefault="00AF5756" w:rsidP="00462720">
      <w:pPr>
        <w:spacing w:line="360" w:lineRule="auto"/>
        <w:jc w:val="center"/>
        <w:rPr>
          <w:rFonts w:ascii="Palatino Linotype" w:eastAsia="Calibri" w:hAnsi="Palatino Linotype" w:cs="Arial"/>
          <w:b/>
          <w:lang w:val="es-ES" w:eastAsia="es-ES"/>
        </w:rPr>
      </w:pPr>
    </w:p>
    <w:p w14:paraId="7A60A947" w14:textId="77777777" w:rsidR="00AF5756" w:rsidRPr="001F4904" w:rsidRDefault="00AF5756" w:rsidP="00462720">
      <w:pPr>
        <w:spacing w:line="360" w:lineRule="auto"/>
        <w:jc w:val="center"/>
        <w:rPr>
          <w:rFonts w:ascii="Palatino Linotype" w:eastAsia="Calibri" w:hAnsi="Palatino Linotype" w:cs="Arial"/>
          <w:b/>
          <w:lang w:val="es-ES" w:eastAsia="es-ES"/>
        </w:rPr>
      </w:pPr>
      <w:r w:rsidRPr="001F4904">
        <w:rPr>
          <w:rFonts w:ascii="Palatino Linotype" w:eastAsia="Calibri" w:hAnsi="Palatino Linotype" w:cs="Arial"/>
          <w:b/>
          <w:noProof/>
        </w:rPr>
        <w:lastRenderedPageBreak/>
        <w:drawing>
          <wp:inline distT="0" distB="0" distL="0" distR="0" wp14:anchorId="7A60AA1C" wp14:editId="7A60AA1D">
            <wp:extent cx="5410200" cy="5829595"/>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2603" cy="5832184"/>
                    </a:xfrm>
                    <a:prstGeom prst="rect">
                      <a:avLst/>
                    </a:prstGeom>
                    <a:noFill/>
                    <a:ln>
                      <a:solidFill>
                        <a:schemeClr val="tx1"/>
                      </a:solidFill>
                    </a:ln>
                  </pic:spPr>
                </pic:pic>
              </a:graphicData>
            </a:graphic>
          </wp:inline>
        </w:drawing>
      </w:r>
    </w:p>
    <w:p w14:paraId="7A60A948" w14:textId="77777777" w:rsidR="00AF5756" w:rsidRPr="001F4904" w:rsidRDefault="00AF5756" w:rsidP="00462720">
      <w:pPr>
        <w:spacing w:line="360" w:lineRule="auto"/>
        <w:rPr>
          <w:rFonts w:ascii="Palatino Linotype" w:eastAsia="Calibri" w:hAnsi="Palatino Linotype" w:cs="Arial"/>
          <w:b/>
          <w:lang w:val="es-ES" w:eastAsia="es-ES"/>
        </w:rPr>
      </w:pPr>
    </w:p>
    <w:p w14:paraId="7A60A949" w14:textId="77777777" w:rsidR="00737F8A" w:rsidRPr="001F4904" w:rsidRDefault="00AF5756" w:rsidP="00462720">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1F4904">
        <w:rPr>
          <w:rFonts w:ascii="Palatino Linotype" w:eastAsia="Calibri" w:hAnsi="Palatino Linotype" w:cs="Arial"/>
          <w:lang w:val="es-ES" w:eastAsia="es-ES"/>
        </w:rPr>
        <w:t>Por su</w:t>
      </w:r>
      <w:r w:rsidR="000A73EB" w:rsidRPr="001F4904">
        <w:rPr>
          <w:rFonts w:ascii="Palatino Linotype" w:eastAsia="Calibri" w:hAnsi="Palatino Linotype" w:cs="Arial"/>
          <w:b/>
          <w:lang w:val="es-ES" w:eastAsia="es-ES"/>
        </w:rPr>
        <w:t xml:space="preserve"> </w:t>
      </w:r>
      <w:r w:rsidRPr="001F4904">
        <w:rPr>
          <w:rFonts w:ascii="Palatino Linotype" w:eastAsia="Calibri" w:hAnsi="Palatino Linotype" w:cs="Arial"/>
          <w:lang w:val="es-ES" w:eastAsia="es-ES"/>
        </w:rPr>
        <w:t>parte</w:t>
      </w:r>
      <w:r w:rsidR="00A24F5A" w:rsidRPr="001F4904">
        <w:rPr>
          <w:rFonts w:ascii="Palatino Linotype" w:eastAsia="Calibri" w:hAnsi="Palatino Linotype" w:cs="Arial"/>
          <w:lang w:val="es-ES" w:eastAsia="es-ES"/>
        </w:rPr>
        <w:t xml:space="preserve"> </w:t>
      </w:r>
      <w:r w:rsidR="000A73EB" w:rsidRPr="001F4904">
        <w:rPr>
          <w:rFonts w:ascii="Palatino Linotype" w:eastAsiaTheme="minorEastAsia" w:hAnsi="Palatino Linotype"/>
          <w:lang w:val="es-ES_tradnl" w:eastAsia="es-ES"/>
        </w:rPr>
        <w:t>el</w:t>
      </w:r>
      <w:r w:rsidR="00A24F5A" w:rsidRPr="001F4904">
        <w:rPr>
          <w:rFonts w:ascii="Palatino Linotype" w:eastAsia="Calibri" w:hAnsi="Palatino Linotype" w:cs="Arial"/>
          <w:lang w:val="es-ES" w:eastAsia="es-ES"/>
        </w:rPr>
        <w:t xml:space="preserve"> </w:t>
      </w:r>
      <w:r w:rsidR="00A24F5A" w:rsidRPr="001F4904">
        <w:rPr>
          <w:rFonts w:ascii="Palatino Linotype" w:eastAsia="Calibri" w:hAnsi="Palatino Linotype" w:cs="Arial"/>
          <w:b/>
          <w:lang w:val="es-ES" w:eastAsia="es-ES"/>
        </w:rPr>
        <w:t xml:space="preserve">RECURRENTE </w:t>
      </w:r>
      <w:r w:rsidRPr="001F4904">
        <w:rPr>
          <w:rFonts w:ascii="Palatino Linotype" w:eastAsia="Calibri" w:hAnsi="Palatino Linotype" w:cs="Arial"/>
          <w:lang w:val="es-ES" w:eastAsia="es-ES"/>
        </w:rPr>
        <w:t>en fechas ocho de noviembre y seis de diciembre de dos mil veintitrés, realizó manifestaciones que a su derecho convino de la siguiente manera:</w:t>
      </w:r>
    </w:p>
    <w:p w14:paraId="7A60A94A" w14:textId="77777777" w:rsidR="00AF5756" w:rsidRPr="001F4904" w:rsidRDefault="00AF5756" w:rsidP="00462720">
      <w:pPr>
        <w:spacing w:line="360" w:lineRule="auto"/>
        <w:contextualSpacing/>
        <w:jc w:val="both"/>
        <w:rPr>
          <w:rFonts w:ascii="Palatino Linotype" w:eastAsiaTheme="minorEastAsia" w:hAnsi="Palatino Linotype" w:cstheme="minorBidi"/>
          <w:i/>
          <w:color w:val="000000"/>
          <w:lang w:val="es-ES_tradnl" w:eastAsia="es-ES"/>
        </w:rPr>
      </w:pPr>
    </w:p>
    <w:p w14:paraId="7A60A94B" w14:textId="3DBFEE69" w:rsidR="00A52DB1" w:rsidRPr="001F4904" w:rsidRDefault="00496617" w:rsidP="00462720">
      <w:pPr>
        <w:spacing w:line="360" w:lineRule="auto"/>
        <w:contextualSpacing/>
        <w:jc w:val="center"/>
        <w:rPr>
          <w:rFonts w:ascii="Palatino Linotype" w:eastAsiaTheme="minorEastAsia" w:hAnsi="Palatino Linotype" w:cstheme="minorBidi"/>
          <w:i/>
          <w:color w:val="000000"/>
          <w:lang w:val="es-ES_tradnl" w:eastAsia="es-ES"/>
        </w:rPr>
      </w:pPr>
      <w:r w:rsidRPr="00496617">
        <w:rPr>
          <w:rFonts w:ascii="Palatino Linotype" w:eastAsiaTheme="minorEastAsia" w:hAnsi="Palatino Linotype" w:cstheme="minorBidi"/>
          <w:i/>
          <w:color w:val="000000"/>
          <w:lang w:val="es-ES_tradnl" w:eastAsia="es-ES"/>
        </w:rPr>
        <w:lastRenderedPageBreak/>
        <w:drawing>
          <wp:inline distT="0" distB="0" distL="0" distR="0" wp14:anchorId="0729F85B" wp14:editId="70297619">
            <wp:extent cx="4363059" cy="44392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059" cy="4439270"/>
                    </a:xfrm>
                    <a:prstGeom prst="rect">
                      <a:avLst/>
                    </a:prstGeom>
                  </pic:spPr>
                </pic:pic>
              </a:graphicData>
            </a:graphic>
          </wp:inline>
        </w:drawing>
      </w:r>
    </w:p>
    <w:p w14:paraId="7A60A94C" w14:textId="77777777" w:rsidR="00A52DB1" w:rsidRPr="001F4904" w:rsidRDefault="00A52DB1" w:rsidP="00462720">
      <w:pPr>
        <w:spacing w:line="360" w:lineRule="auto"/>
        <w:contextualSpacing/>
        <w:jc w:val="center"/>
        <w:rPr>
          <w:rFonts w:ascii="Palatino Linotype" w:eastAsiaTheme="minorEastAsia" w:hAnsi="Palatino Linotype" w:cstheme="minorBidi"/>
          <w:i/>
          <w:color w:val="000000"/>
          <w:lang w:val="es-ES_tradnl" w:eastAsia="es-ES"/>
        </w:rPr>
      </w:pPr>
      <w:r w:rsidRPr="001F4904">
        <w:rPr>
          <w:rFonts w:ascii="Palatino Linotype" w:eastAsiaTheme="minorEastAsia" w:hAnsi="Palatino Linotype" w:cstheme="minorBidi"/>
          <w:i/>
          <w:noProof/>
          <w:color w:val="000000"/>
        </w:rPr>
        <w:drawing>
          <wp:inline distT="0" distB="0" distL="0" distR="0" wp14:anchorId="7A60AA20" wp14:editId="7A60AA21">
            <wp:extent cx="5695950" cy="3048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304800"/>
                    </a:xfrm>
                    <a:prstGeom prst="rect">
                      <a:avLst/>
                    </a:prstGeom>
                    <a:noFill/>
                    <a:ln>
                      <a:solidFill>
                        <a:schemeClr val="tx1"/>
                      </a:solidFill>
                    </a:ln>
                  </pic:spPr>
                </pic:pic>
              </a:graphicData>
            </a:graphic>
          </wp:inline>
        </w:drawing>
      </w:r>
    </w:p>
    <w:p w14:paraId="7A60A94D" w14:textId="77777777" w:rsidR="003A2640" w:rsidRPr="001F4904" w:rsidRDefault="003A2640" w:rsidP="00462720">
      <w:pPr>
        <w:spacing w:line="360" w:lineRule="auto"/>
        <w:contextualSpacing/>
        <w:jc w:val="both"/>
        <w:rPr>
          <w:rFonts w:ascii="Palatino Linotype" w:eastAsiaTheme="minorEastAsia" w:hAnsi="Palatino Linotype" w:cstheme="minorBidi"/>
          <w:i/>
          <w:color w:val="000000"/>
          <w:lang w:val="es-ES_tradnl" w:eastAsia="es-ES"/>
        </w:rPr>
      </w:pPr>
    </w:p>
    <w:p w14:paraId="7A60A94E" w14:textId="77777777" w:rsidR="003A2640"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El </w:t>
      </w:r>
      <w:r w:rsidR="00A52DB1" w:rsidRPr="001F4904">
        <w:rPr>
          <w:rFonts w:ascii="Palatino Linotype" w:eastAsiaTheme="minorEastAsia" w:hAnsi="Palatino Linotype"/>
          <w:b/>
          <w:lang w:val="es-ES_tradnl" w:eastAsia="es-ES"/>
        </w:rPr>
        <w:t>siete</w:t>
      </w:r>
      <w:r w:rsidR="003A2640" w:rsidRPr="001F4904">
        <w:rPr>
          <w:rFonts w:ascii="Palatino Linotype" w:eastAsiaTheme="minorEastAsia" w:hAnsi="Palatino Linotype"/>
          <w:b/>
          <w:lang w:val="es-ES_tradnl" w:eastAsia="es-ES"/>
        </w:rPr>
        <w:t xml:space="preserve"> de </w:t>
      </w:r>
      <w:r w:rsidR="00A52DB1" w:rsidRPr="001F4904">
        <w:rPr>
          <w:rFonts w:ascii="Palatino Linotype" w:eastAsiaTheme="minorEastAsia" w:hAnsi="Palatino Linotype"/>
          <w:b/>
          <w:lang w:val="es-ES_tradnl" w:eastAsia="es-ES"/>
        </w:rPr>
        <w:t>dic</w:t>
      </w:r>
      <w:r w:rsidR="003A2640" w:rsidRPr="001F4904">
        <w:rPr>
          <w:rFonts w:ascii="Palatino Linotype" w:eastAsiaTheme="minorEastAsia" w:hAnsi="Palatino Linotype"/>
          <w:b/>
          <w:lang w:val="es-ES_tradnl" w:eastAsia="es-ES"/>
        </w:rPr>
        <w:t xml:space="preserve">iembre </w:t>
      </w:r>
      <w:r w:rsidR="001D2223" w:rsidRPr="001F4904">
        <w:rPr>
          <w:rFonts w:ascii="Palatino Linotype" w:eastAsiaTheme="minorEastAsia" w:hAnsi="Palatino Linotype"/>
          <w:b/>
          <w:lang w:val="es-ES_tradnl" w:eastAsia="es-ES"/>
        </w:rPr>
        <w:t>de dos mil veintitré</w:t>
      </w:r>
      <w:r w:rsidR="00D10B35" w:rsidRPr="001F4904">
        <w:rPr>
          <w:rFonts w:ascii="Palatino Linotype" w:eastAsiaTheme="minorEastAsia" w:hAnsi="Palatino Linotype"/>
          <w:b/>
          <w:lang w:val="es-ES_tradnl" w:eastAsia="es-ES"/>
        </w:rPr>
        <w:t>s</w:t>
      </w:r>
      <w:r w:rsidRPr="001F4904">
        <w:rPr>
          <w:rFonts w:ascii="Palatino Linotype" w:eastAsiaTheme="minorEastAsia" w:hAnsi="Palatino Linotype"/>
          <w:lang w:val="es-ES_tradnl" w:eastAsia="es-ES"/>
        </w:rPr>
        <w:t>, se notificó el acuerdo mediante el cual se aprobó la ampliación de plazo para emitir resolución.</w:t>
      </w:r>
      <w:r w:rsidR="00A52DB1" w:rsidRPr="001F4904">
        <w:rPr>
          <w:rFonts w:ascii="Palatino Linotype" w:eastAsiaTheme="minorEastAsia" w:hAnsi="Palatino Linotype"/>
          <w:lang w:val="es-ES_tradnl" w:eastAsia="es-ES"/>
        </w:rPr>
        <w:t xml:space="preserve"> En ese sentido es necesario realizar las siguientes precisiones.</w:t>
      </w:r>
      <w:r w:rsidRPr="001F4904">
        <w:rPr>
          <w:rFonts w:ascii="Palatino Linotype" w:eastAsiaTheme="minorEastAsia" w:hAnsi="Palatino Linotype"/>
          <w:lang w:val="es-ES_tradnl" w:eastAsia="es-ES"/>
        </w:rPr>
        <w:t xml:space="preserve"> </w:t>
      </w:r>
    </w:p>
    <w:p w14:paraId="7A60A94F"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0" w14:textId="77777777" w:rsidR="00737F8A" w:rsidRPr="001F4904" w:rsidRDefault="00A52DB1"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Que este</w:t>
      </w:r>
      <w:r w:rsidR="00737F8A" w:rsidRPr="001F4904">
        <w:rPr>
          <w:rFonts w:ascii="Palatino Linotype" w:eastAsiaTheme="minorEastAsia" w:hAnsi="Palatino Linotype"/>
          <w:lang w:val="es-ES_tradnl" w:eastAsia="es-ES"/>
        </w:rPr>
        <w:t xml:space="preserv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w:t>
      </w:r>
      <w:r w:rsidR="00737F8A" w:rsidRPr="001F4904">
        <w:rPr>
          <w:rFonts w:ascii="Palatino Linotype" w:eastAsiaTheme="minorEastAsia" w:hAnsi="Palatino Linotype"/>
          <w:lang w:val="es-ES_tradnl" w:eastAsia="es-ES"/>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A60A951"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2"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60A953"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4"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60A955"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6"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A60A957"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8"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7A60A959"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A" w14:textId="77777777" w:rsidR="00737F8A" w:rsidRPr="001F4904" w:rsidRDefault="00737F8A" w:rsidP="00462720">
      <w:pPr>
        <w:spacing w:line="360" w:lineRule="auto"/>
        <w:ind w:left="851"/>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sz w:val="22"/>
          <w:lang w:val="es-ES_tradnl" w:eastAsia="es-ES"/>
        </w:rPr>
        <w:t xml:space="preserve">a) </w:t>
      </w:r>
      <w:r w:rsidR="0069712C" w:rsidRPr="001F4904">
        <w:rPr>
          <w:rFonts w:ascii="Palatino Linotype" w:eastAsiaTheme="minorEastAsia" w:hAnsi="Palatino Linotype"/>
          <w:sz w:val="22"/>
          <w:lang w:val="es-ES_tradnl" w:eastAsia="es-ES"/>
        </w:rPr>
        <w:t xml:space="preserve"> </w:t>
      </w:r>
      <w:r w:rsidRPr="001F4904">
        <w:rPr>
          <w:rFonts w:ascii="Palatino Linotype" w:eastAsiaTheme="minorEastAsia" w:hAnsi="Palatino Linotype"/>
          <w:sz w:val="22"/>
          <w:lang w:val="es-ES_tradnl" w:eastAsia="es-ES"/>
        </w:rPr>
        <w:t xml:space="preserve">Complejidad del Asunto: La complejidad de la prueba, la pluralidad de sujetos procesales, el tiempo transcurrido, las características y contexto del recurso. </w:t>
      </w:r>
    </w:p>
    <w:p w14:paraId="7A60A95B" w14:textId="77777777" w:rsidR="00737F8A" w:rsidRPr="001F4904" w:rsidRDefault="00737F8A" w:rsidP="00462720">
      <w:pPr>
        <w:spacing w:line="360" w:lineRule="auto"/>
        <w:ind w:left="851"/>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sz w:val="22"/>
          <w:lang w:val="es-ES_tradnl" w:eastAsia="es-ES"/>
        </w:rPr>
        <w:t xml:space="preserve">b) </w:t>
      </w:r>
      <w:r w:rsidR="0069712C" w:rsidRPr="001F4904">
        <w:rPr>
          <w:rFonts w:ascii="Palatino Linotype" w:eastAsiaTheme="minorEastAsia" w:hAnsi="Palatino Linotype"/>
          <w:sz w:val="22"/>
          <w:lang w:val="es-ES_tradnl" w:eastAsia="es-ES"/>
        </w:rPr>
        <w:t xml:space="preserve">  </w:t>
      </w:r>
      <w:r w:rsidRPr="001F4904">
        <w:rPr>
          <w:rFonts w:ascii="Palatino Linotype" w:eastAsiaTheme="minorEastAsia" w:hAnsi="Palatino Linotype"/>
          <w:sz w:val="22"/>
          <w:lang w:val="es-ES_tradnl" w:eastAsia="es-ES"/>
        </w:rPr>
        <w:t>Actividad Procesal del interesado. Acciones u omisiones del interesado.</w:t>
      </w:r>
    </w:p>
    <w:p w14:paraId="7A60A95C" w14:textId="77777777" w:rsidR="00737F8A" w:rsidRPr="001F4904" w:rsidRDefault="00737F8A" w:rsidP="00462720">
      <w:pPr>
        <w:spacing w:line="360" w:lineRule="auto"/>
        <w:ind w:left="851"/>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sz w:val="22"/>
          <w:lang w:val="es-ES_tradnl" w:eastAsia="es-ES"/>
        </w:rPr>
        <w:t>c) Conducta de la Autoridad: Las Acciones u omisiones realizadas en el procedimiento. Así como si la autoridad actuó con la debida diligencia.</w:t>
      </w:r>
    </w:p>
    <w:p w14:paraId="7A60A95D" w14:textId="77777777" w:rsidR="00737F8A" w:rsidRPr="001F4904" w:rsidRDefault="00737F8A" w:rsidP="00462720">
      <w:pPr>
        <w:spacing w:line="360" w:lineRule="auto"/>
        <w:ind w:left="851"/>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sz w:val="22"/>
          <w:lang w:val="es-ES_tradnl" w:eastAsia="es-ES"/>
        </w:rPr>
        <w:t xml:space="preserve">d) </w:t>
      </w:r>
      <w:r w:rsidR="0069712C" w:rsidRPr="001F4904">
        <w:rPr>
          <w:rFonts w:ascii="Palatino Linotype" w:eastAsiaTheme="minorEastAsia" w:hAnsi="Palatino Linotype"/>
          <w:sz w:val="22"/>
          <w:lang w:val="es-ES_tradnl" w:eastAsia="es-ES"/>
        </w:rPr>
        <w:t xml:space="preserve"> </w:t>
      </w:r>
      <w:r w:rsidRPr="001F4904">
        <w:rPr>
          <w:rFonts w:ascii="Palatino Linotype" w:eastAsiaTheme="minorEastAsia" w:hAnsi="Palatino Linotype"/>
          <w:sz w:val="22"/>
          <w:lang w:val="es-ES_tradnl" w:eastAsia="es-ES"/>
        </w:rPr>
        <w:t>La afectación generada en la situación jurídica de la persona involucrada en el proceso: Violación a sus derechos humanos.</w:t>
      </w:r>
    </w:p>
    <w:p w14:paraId="7A60A95E"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5F"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60A960"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61"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1F4904">
        <w:rPr>
          <w:rFonts w:ascii="Palatino Linotype" w:eastAsiaTheme="minorEastAsia" w:hAnsi="Palatino Linotype"/>
          <w:i/>
          <w:lang w:val="es-ES_tradnl" w:eastAsia="es-ES"/>
        </w:rPr>
        <w:t>“TÉRMINOS PROCESALES. PARA DETERMINAR SI UN FUNCIONARIO JUDICIAL ACTUÓ INDEBIDAMENTE POR NO RESPETARLOS SE DEBE ATENDER AL PRESUPUESTO QUE CONSIDERÓ EL LEGISLADOR AL FIJARLOS Y LAS CARACTERÍSTICAS DEL CASO.”</w:t>
      </w:r>
      <w:r w:rsidRPr="001F4904">
        <w:rPr>
          <w:rFonts w:ascii="Palatino Linotype" w:eastAsiaTheme="minorEastAsia" w:hAnsi="Palatino Linotype"/>
          <w:lang w:val="es-ES_tradnl" w:eastAsia="es-ES"/>
        </w:rPr>
        <w:t>, visible en la Gaceta del Seminario Judicial de la Federación con el registro digital 205635.</w:t>
      </w:r>
    </w:p>
    <w:p w14:paraId="7A60A962" w14:textId="77777777" w:rsidR="0069712C" w:rsidRPr="001F4904" w:rsidRDefault="0069712C" w:rsidP="0069712C">
      <w:pPr>
        <w:pStyle w:val="Prrafodelista"/>
        <w:rPr>
          <w:rFonts w:ascii="Palatino Linotype" w:eastAsiaTheme="minorEastAsia" w:hAnsi="Palatino Linotype"/>
          <w:lang w:val="es-ES_tradnl" w:eastAsia="es-ES"/>
        </w:rPr>
      </w:pPr>
    </w:p>
    <w:p w14:paraId="7A60A963" w14:textId="77777777" w:rsidR="0069712C" w:rsidRPr="001F4904" w:rsidRDefault="0069712C" w:rsidP="0069712C">
      <w:pPr>
        <w:spacing w:line="360" w:lineRule="auto"/>
        <w:contextualSpacing/>
        <w:jc w:val="both"/>
        <w:rPr>
          <w:rFonts w:ascii="Palatino Linotype" w:eastAsiaTheme="minorEastAsia" w:hAnsi="Palatino Linotype"/>
          <w:lang w:val="es-ES_tradnl" w:eastAsia="es-ES"/>
        </w:rPr>
      </w:pPr>
    </w:p>
    <w:p w14:paraId="7A60A964"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60A965"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66"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7A60A967"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68"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7A60A969" w14:textId="77777777" w:rsidR="00737F8A" w:rsidRPr="001F4904" w:rsidRDefault="00737F8A" w:rsidP="00462720">
      <w:pPr>
        <w:spacing w:line="360" w:lineRule="auto"/>
        <w:contextualSpacing/>
        <w:jc w:val="both"/>
        <w:rPr>
          <w:rFonts w:ascii="Palatino Linotype" w:eastAsiaTheme="minorEastAsia" w:hAnsi="Palatino Linotype"/>
          <w:sz w:val="22"/>
          <w:lang w:val="es-ES_tradnl" w:eastAsia="es-ES"/>
        </w:rPr>
      </w:pPr>
    </w:p>
    <w:p w14:paraId="7A60A96A" w14:textId="77777777" w:rsidR="00737F8A" w:rsidRPr="001F4904" w:rsidRDefault="00737F8A" w:rsidP="00462720">
      <w:pPr>
        <w:spacing w:line="360" w:lineRule="auto"/>
        <w:ind w:left="851" w:right="822"/>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i/>
          <w:sz w:val="22"/>
          <w:lang w:val="es-ES_tradnl" w:eastAsia="es-ES"/>
        </w:rPr>
        <w:t>“PLAZO RAZONABLE PARA RESOLVER. DIMENSIÓN Y EFECTOS DE ESTE CONCEPTO CUANDO SE ADUCE EXCESIVA CARGA DE TRABAJO.”</w:t>
      </w:r>
      <w:r w:rsidRPr="001F4904">
        <w:rPr>
          <w:rFonts w:ascii="Palatino Linotype" w:eastAsiaTheme="minorEastAsia" w:hAnsi="Palatino Linotype"/>
          <w:sz w:val="22"/>
          <w:lang w:val="es-ES_tradnl" w:eastAsia="es-ES"/>
        </w:rPr>
        <w:t xml:space="preserve"> consultable en el Seminario Judicial de la Federación y su gaceta, con el registro digital 2002351.</w:t>
      </w:r>
    </w:p>
    <w:p w14:paraId="7A60A96B" w14:textId="77777777" w:rsidR="00737F8A" w:rsidRPr="001F4904" w:rsidRDefault="00737F8A" w:rsidP="00462720">
      <w:pPr>
        <w:spacing w:line="360" w:lineRule="auto"/>
        <w:ind w:left="851" w:right="822"/>
        <w:contextualSpacing/>
        <w:jc w:val="both"/>
        <w:rPr>
          <w:rFonts w:ascii="Palatino Linotype" w:eastAsiaTheme="minorEastAsia" w:hAnsi="Palatino Linotype"/>
          <w:b/>
          <w:sz w:val="22"/>
          <w:lang w:val="es-ES_tradnl" w:eastAsia="es-ES"/>
        </w:rPr>
      </w:pPr>
    </w:p>
    <w:p w14:paraId="7A60A96C" w14:textId="77777777" w:rsidR="00737F8A" w:rsidRPr="001F4904" w:rsidRDefault="00737F8A" w:rsidP="00462720">
      <w:pPr>
        <w:spacing w:line="360" w:lineRule="auto"/>
        <w:ind w:left="851" w:right="822"/>
        <w:contextualSpacing/>
        <w:jc w:val="both"/>
        <w:rPr>
          <w:rFonts w:ascii="Palatino Linotype" w:eastAsiaTheme="minorEastAsia" w:hAnsi="Palatino Linotype"/>
          <w:sz w:val="22"/>
          <w:lang w:val="es-ES_tradnl" w:eastAsia="es-ES"/>
        </w:rPr>
      </w:pPr>
      <w:r w:rsidRPr="001F4904">
        <w:rPr>
          <w:rFonts w:ascii="Palatino Linotype" w:eastAsiaTheme="minorEastAsia" w:hAnsi="Palatino Linotype"/>
          <w:i/>
          <w:sz w:val="22"/>
          <w:lang w:val="es-ES_tradnl" w:eastAsia="es-ES"/>
        </w:rPr>
        <w:lastRenderedPageBreak/>
        <w:t>“PLAZO RAZONABLE PARA RESOLVER. CONCEPTO Y ELEMENTOS QUE LO INTEGRAN A LA LUZ DEL DERECHO INTERNACIONAL DE LOS DERECHOS HUMANOS.”</w:t>
      </w:r>
      <w:r w:rsidRPr="001F4904">
        <w:rPr>
          <w:rFonts w:ascii="Palatino Linotype" w:eastAsiaTheme="minorEastAsia" w:hAnsi="Palatino Linotype"/>
          <w:sz w:val="22"/>
          <w:lang w:val="es-ES_tradnl" w:eastAsia="es-ES"/>
        </w:rPr>
        <w:t>, visible en el Seminario Judicial de la Federación y su gaceta, con el registro digital 2002350.</w:t>
      </w:r>
    </w:p>
    <w:p w14:paraId="7A60A96D"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6E" w14:textId="77777777" w:rsidR="00737F8A" w:rsidRPr="001F4904" w:rsidRDefault="00737F8A" w:rsidP="0046272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7A60A96F" w14:textId="77777777" w:rsidR="00391381" w:rsidRPr="001F4904" w:rsidRDefault="00391381" w:rsidP="00462720">
      <w:pPr>
        <w:spacing w:line="360" w:lineRule="auto"/>
        <w:contextualSpacing/>
        <w:jc w:val="both"/>
        <w:rPr>
          <w:rFonts w:ascii="Palatino Linotype" w:eastAsiaTheme="minorEastAsia" w:hAnsi="Palatino Linotype"/>
          <w:lang w:val="es-ES_tradnl" w:eastAsia="es-ES"/>
        </w:rPr>
      </w:pPr>
    </w:p>
    <w:p w14:paraId="7A60A970" w14:textId="77777777" w:rsidR="00737F8A" w:rsidRPr="001F4904" w:rsidRDefault="00600ADF" w:rsidP="00462720">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F4904">
        <w:rPr>
          <w:rFonts w:ascii="Palatino Linotype" w:eastAsiaTheme="minorEastAsia" w:hAnsi="Palatino Linotype"/>
          <w:lang w:val="es-ES_tradnl" w:eastAsia="es-ES"/>
        </w:rPr>
        <w:t>La</w:t>
      </w:r>
      <w:r w:rsidR="00737F8A" w:rsidRPr="001F4904">
        <w:rPr>
          <w:rFonts w:ascii="Palatino Linotype" w:eastAsiaTheme="minorEastAsia" w:hAnsi="Palatino Linotype"/>
          <w:lang w:val="es-ES_tradnl" w:eastAsia="es-ES"/>
        </w:rPr>
        <w:t xml:space="preserve"> Comisionad</w:t>
      </w:r>
      <w:r w:rsidRPr="001F4904">
        <w:rPr>
          <w:rFonts w:ascii="Palatino Linotype" w:eastAsiaTheme="minorEastAsia" w:hAnsi="Palatino Linotype"/>
          <w:lang w:val="es-ES_tradnl" w:eastAsia="es-ES"/>
        </w:rPr>
        <w:t>a</w:t>
      </w:r>
      <w:r w:rsidR="00737F8A" w:rsidRPr="001F4904">
        <w:rPr>
          <w:rFonts w:ascii="Palatino Linotype" w:eastAsiaTheme="minorEastAsia" w:hAnsi="Palatino Linotype"/>
          <w:lang w:val="es-ES_tradnl" w:eastAsia="es-ES"/>
        </w:rPr>
        <w:t xml:space="preserve"> Ponente decretó el cierre de instrucción</w:t>
      </w:r>
      <w:r w:rsidR="00737F8A" w:rsidRPr="001F4904">
        <w:rPr>
          <w:rFonts w:ascii="Palatino Linotype" w:eastAsiaTheme="minorEastAsia" w:hAnsi="Palatino Linotype" w:cs="Arial"/>
          <w:lang w:val="es-ES_tradnl" w:eastAsia="es-ES"/>
        </w:rPr>
        <w:t xml:space="preserve"> </w:t>
      </w:r>
      <w:r w:rsidR="00B35B63" w:rsidRPr="001F4904">
        <w:rPr>
          <w:rFonts w:ascii="Palatino Linotype" w:eastAsiaTheme="minorEastAsia" w:hAnsi="Palatino Linotype"/>
          <w:lang w:val="es-ES_tradnl" w:eastAsia="es-ES"/>
        </w:rPr>
        <w:t>median</w:t>
      </w:r>
      <w:r w:rsidR="003A2640" w:rsidRPr="001F4904">
        <w:rPr>
          <w:rFonts w:ascii="Palatino Linotype" w:eastAsiaTheme="minorEastAsia" w:hAnsi="Palatino Linotype"/>
          <w:lang w:val="es-ES_tradnl" w:eastAsia="es-ES"/>
        </w:rPr>
        <w:t xml:space="preserve">te el acuerdo de </w:t>
      </w:r>
      <w:r w:rsidR="00A52DB1" w:rsidRPr="001F4904">
        <w:rPr>
          <w:rFonts w:ascii="Palatino Linotype" w:eastAsiaTheme="minorEastAsia" w:hAnsi="Palatino Linotype"/>
          <w:lang w:val="es-ES_tradnl" w:eastAsia="es-ES"/>
        </w:rPr>
        <w:t>doce de diciembre</w:t>
      </w:r>
      <w:r w:rsidR="003C38C6" w:rsidRPr="001F4904">
        <w:rPr>
          <w:rFonts w:ascii="Palatino Linotype" w:eastAsiaTheme="minorEastAsia" w:hAnsi="Palatino Linotype"/>
          <w:lang w:val="es-ES_tradnl" w:eastAsia="es-ES"/>
        </w:rPr>
        <w:t xml:space="preserve"> de dos mil veintitrés y --------------------------------------------</w:t>
      </w:r>
      <w:r w:rsidR="00A52DB1" w:rsidRPr="001F4904">
        <w:rPr>
          <w:rFonts w:ascii="Palatino Linotype" w:eastAsiaTheme="minorEastAsia" w:hAnsi="Palatino Linotype"/>
          <w:lang w:val="es-ES_tradnl" w:eastAsia="es-ES"/>
        </w:rPr>
        <w:t>----------</w:t>
      </w:r>
    </w:p>
    <w:p w14:paraId="7A60A971" w14:textId="77777777" w:rsidR="003C38C6" w:rsidRPr="001F4904" w:rsidRDefault="003C38C6" w:rsidP="00462720">
      <w:pPr>
        <w:spacing w:line="360" w:lineRule="auto"/>
        <w:contextualSpacing/>
        <w:jc w:val="both"/>
        <w:rPr>
          <w:rFonts w:ascii="Palatino Linotype" w:eastAsiaTheme="minorEastAsia" w:hAnsi="Palatino Linotype"/>
          <w:b/>
          <w:u w:val="single"/>
          <w:lang w:val="es-ES_tradnl" w:eastAsia="es-ES"/>
        </w:rPr>
      </w:pPr>
    </w:p>
    <w:p w14:paraId="7A60A972" w14:textId="77777777" w:rsidR="00737F8A" w:rsidRPr="001F4904" w:rsidRDefault="00737F8A" w:rsidP="00462720">
      <w:pPr>
        <w:keepNext/>
        <w:keepLines/>
        <w:spacing w:line="360" w:lineRule="auto"/>
        <w:jc w:val="center"/>
        <w:outlineLvl w:val="0"/>
        <w:rPr>
          <w:rFonts w:ascii="Palatino Linotype" w:eastAsiaTheme="majorEastAsia" w:hAnsi="Palatino Linotype" w:cstheme="majorBidi"/>
        </w:rPr>
      </w:pPr>
      <w:bookmarkStart w:id="4" w:name="_Toc83301634"/>
      <w:r w:rsidRPr="001F4904">
        <w:rPr>
          <w:rFonts w:ascii="Palatino Linotype" w:eastAsiaTheme="majorEastAsia" w:hAnsi="Palatino Linotype" w:cstheme="majorBidi"/>
          <w:b/>
        </w:rPr>
        <w:t>CONSIDERANDO</w:t>
      </w:r>
      <w:bookmarkEnd w:id="4"/>
      <w:r w:rsidRPr="001F4904">
        <w:rPr>
          <w:rFonts w:ascii="Palatino Linotype" w:eastAsiaTheme="majorEastAsia" w:hAnsi="Palatino Linotype" w:cstheme="majorBidi"/>
          <w:b/>
        </w:rPr>
        <w:t xml:space="preserve"> </w:t>
      </w:r>
    </w:p>
    <w:p w14:paraId="7A60A973" w14:textId="77777777" w:rsidR="00737F8A" w:rsidRPr="001F4904" w:rsidRDefault="00737F8A" w:rsidP="00462720">
      <w:pPr>
        <w:spacing w:line="360" w:lineRule="auto"/>
        <w:rPr>
          <w:rFonts w:ascii="Palatino Linotype" w:eastAsiaTheme="minorEastAsia" w:hAnsi="Palatino Linotype"/>
        </w:rPr>
      </w:pPr>
    </w:p>
    <w:p w14:paraId="7A60A974" w14:textId="77777777" w:rsidR="00737F8A" w:rsidRPr="001F4904" w:rsidRDefault="00737F8A" w:rsidP="00462720">
      <w:pPr>
        <w:keepNext/>
        <w:keepLines/>
        <w:spacing w:line="360" w:lineRule="auto"/>
        <w:outlineLvl w:val="1"/>
        <w:rPr>
          <w:rFonts w:ascii="Palatino Linotype" w:eastAsiaTheme="majorEastAsia" w:hAnsi="Palatino Linotype" w:cstheme="majorBidi"/>
          <w:b/>
        </w:rPr>
      </w:pPr>
      <w:bookmarkStart w:id="5" w:name="_Toc83301635"/>
      <w:r w:rsidRPr="001F4904">
        <w:rPr>
          <w:rFonts w:ascii="Palatino Linotype" w:eastAsiaTheme="majorEastAsia" w:hAnsi="Palatino Linotype" w:cstheme="majorBidi"/>
          <w:b/>
        </w:rPr>
        <w:t>PRIMERO. De la competencia</w:t>
      </w:r>
      <w:bookmarkEnd w:id="5"/>
    </w:p>
    <w:p w14:paraId="7A60A975" w14:textId="77777777" w:rsidR="00737F8A" w:rsidRPr="001F4904" w:rsidRDefault="00737F8A" w:rsidP="00462720">
      <w:pPr>
        <w:pStyle w:val="Prrafodelista"/>
        <w:numPr>
          <w:ilvl w:val="0"/>
          <w:numId w:val="1"/>
        </w:numPr>
        <w:spacing w:line="360" w:lineRule="auto"/>
        <w:ind w:left="0" w:firstLine="0"/>
        <w:jc w:val="both"/>
        <w:rPr>
          <w:rFonts w:ascii="Palatino Linotype" w:hAnsi="Palatino Linotype"/>
          <w:sz w:val="24"/>
        </w:rPr>
      </w:pPr>
      <w:r w:rsidRPr="001F4904">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A60A976" w14:textId="77777777" w:rsidR="00737F8A" w:rsidRPr="001F4904" w:rsidRDefault="00737F8A" w:rsidP="00462720">
      <w:pPr>
        <w:spacing w:line="360" w:lineRule="auto"/>
        <w:contextualSpacing/>
        <w:jc w:val="both"/>
        <w:rPr>
          <w:rFonts w:ascii="Palatino Linotype" w:eastAsiaTheme="minorEastAsia" w:hAnsi="Palatino Linotype"/>
          <w:lang w:val="es-ES_tradnl" w:eastAsia="es-ES"/>
        </w:rPr>
      </w:pPr>
    </w:p>
    <w:p w14:paraId="7A60A977" w14:textId="77777777" w:rsidR="00737F8A" w:rsidRPr="001F4904" w:rsidRDefault="00737F8A" w:rsidP="00462720">
      <w:pPr>
        <w:keepNext/>
        <w:keepLines/>
        <w:spacing w:line="360" w:lineRule="auto"/>
        <w:outlineLvl w:val="1"/>
        <w:rPr>
          <w:rFonts w:ascii="Palatino Linotype" w:eastAsiaTheme="majorEastAsia" w:hAnsi="Palatino Linotype" w:cstheme="majorBidi"/>
          <w:b/>
        </w:rPr>
      </w:pPr>
      <w:bookmarkStart w:id="6" w:name="_Toc83301636"/>
      <w:r w:rsidRPr="001F4904">
        <w:rPr>
          <w:rFonts w:ascii="Palatino Linotype" w:eastAsiaTheme="majorEastAsia" w:hAnsi="Palatino Linotype" w:cstheme="majorBidi"/>
          <w:b/>
        </w:rPr>
        <w:t>SEGUNDO. De la oportunidad y procedencia.</w:t>
      </w:r>
      <w:bookmarkEnd w:id="6"/>
    </w:p>
    <w:p w14:paraId="7A60A978" w14:textId="77777777" w:rsidR="00391381" w:rsidRPr="001F4904" w:rsidRDefault="00391381" w:rsidP="00462720">
      <w:pPr>
        <w:numPr>
          <w:ilvl w:val="0"/>
          <w:numId w:val="1"/>
        </w:numPr>
        <w:spacing w:line="360" w:lineRule="auto"/>
        <w:ind w:left="0" w:right="48" w:firstLine="0"/>
        <w:contextualSpacing/>
        <w:jc w:val="both"/>
        <w:rPr>
          <w:rFonts w:ascii="Palatino Linotype" w:hAnsi="Palatino Linotype"/>
        </w:rPr>
      </w:pPr>
      <w:r w:rsidRPr="001F4904">
        <w:rPr>
          <w:rFonts w:ascii="Palatino Linotype" w:eastAsia="Calibri" w:hAnsi="Palatino Linotype" w:cs="Arial"/>
        </w:rPr>
        <w:t xml:space="preserve">El medio de impugnación fue presentado a través del </w:t>
      </w:r>
      <w:r w:rsidRPr="001F4904">
        <w:rPr>
          <w:rFonts w:ascii="Palatino Linotype" w:eastAsia="Calibri" w:hAnsi="Palatino Linotype" w:cs="Arial"/>
          <w:b/>
        </w:rPr>
        <w:t>SAIMEX,</w:t>
      </w:r>
      <w:r w:rsidRPr="001F490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F4904">
        <w:rPr>
          <w:rFonts w:ascii="Palatino Linotype" w:eastAsia="Calibri" w:hAnsi="Palatino Linotype" w:cs="Arial"/>
          <w:b/>
        </w:rPr>
        <w:t>SUJETO OBLIGADO</w:t>
      </w:r>
      <w:r w:rsidR="003A2640" w:rsidRPr="001F4904">
        <w:rPr>
          <w:rFonts w:ascii="Palatino Linotype" w:eastAsia="Calibri" w:hAnsi="Palatino Linotype" w:cs="Arial"/>
        </w:rPr>
        <w:t xml:space="preserve"> entregó respuesta el día </w:t>
      </w:r>
      <w:r w:rsidR="00A52DB1" w:rsidRPr="001F4904">
        <w:rPr>
          <w:rFonts w:ascii="Palatino Linotype" w:eastAsia="Calibri" w:hAnsi="Palatino Linotype" w:cs="Arial"/>
        </w:rPr>
        <w:t>veinticinco</w:t>
      </w:r>
      <w:r w:rsidR="003A2640" w:rsidRPr="001F4904">
        <w:rPr>
          <w:rFonts w:ascii="Palatino Linotype" w:eastAsia="Calibri" w:hAnsi="Palatino Linotype" w:cs="Arial"/>
        </w:rPr>
        <w:t xml:space="preserve"> de </w:t>
      </w:r>
      <w:r w:rsidR="00A52DB1" w:rsidRPr="001F4904">
        <w:rPr>
          <w:rFonts w:ascii="Palatino Linotype" w:eastAsia="Calibri" w:hAnsi="Palatino Linotype" w:cs="Arial"/>
        </w:rPr>
        <w:t>octu</w:t>
      </w:r>
      <w:r w:rsidR="003A2640" w:rsidRPr="001F4904">
        <w:rPr>
          <w:rFonts w:ascii="Palatino Linotype" w:eastAsia="Calibri" w:hAnsi="Palatino Linotype" w:cs="Arial"/>
        </w:rPr>
        <w:t>bre de dos mil veintitrés</w:t>
      </w:r>
      <w:r w:rsidRPr="001F4904">
        <w:rPr>
          <w:rFonts w:ascii="Palatino Linotype" w:eastAsia="Calibri" w:hAnsi="Palatino Linotype" w:cs="Arial"/>
        </w:rPr>
        <w:t xml:space="preserve">, </w:t>
      </w:r>
      <w:r w:rsidRPr="001F4904">
        <w:rPr>
          <w:rFonts w:ascii="Palatino Linotype" w:hAnsi="Palatino Linotype" w:cs="Arial"/>
        </w:rPr>
        <w:t xml:space="preserve">de tal forma que el plazo para interponer el recurso transcurrió </w:t>
      </w:r>
      <w:r w:rsidR="00BC220D" w:rsidRPr="001F4904">
        <w:rPr>
          <w:rFonts w:ascii="Palatino Linotype" w:hAnsi="Palatino Linotype" w:cs="Arial"/>
        </w:rPr>
        <w:t xml:space="preserve">del día </w:t>
      </w:r>
      <w:r w:rsidR="00A52DB1" w:rsidRPr="001F4904">
        <w:rPr>
          <w:rFonts w:ascii="Palatino Linotype" w:hAnsi="Palatino Linotype" w:cs="Arial"/>
        </w:rPr>
        <w:t>veintiséis de octubre</w:t>
      </w:r>
      <w:r w:rsidR="00BC220D" w:rsidRPr="001F4904">
        <w:rPr>
          <w:rFonts w:ascii="Palatino Linotype" w:hAnsi="Palatino Linotype" w:cs="Arial"/>
        </w:rPr>
        <w:t xml:space="preserve"> al </w:t>
      </w:r>
      <w:r w:rsidR="003A7A1D" w:rsidRPr="001F4904">
        <w:rPr>
          <w:rFonts w:ascii="Palatino Linotype" w:hAnsi="Palatino Linotype" w:cs="Arial"/>
        </w:rPr>
        <w:t>quince</w:t>
      </w:r>
      <w:r w:rsidR="00BC220D" w:rsidRPr="001F4904">
        <w:rPr>
          <w:rFonts w:ascii="Palatino Linotype" w:hAnsi="Palatino Linotype" w:cs="Arial"/>
        </w:rPr>
        <w:t xml:space="preserve"> de </w:t>
      </w:r>
      <w:r w:rsidR="003A7A1D" w:rsidRPr="001F4904">
        <w:rPr>
          <w:rFonts w:ascii="Palatino Linotype" w:hAnsi="Palatino Linotype" w:cs="Arial"/>
        </w:rPr>
        <w:t>nov</w:t>
      </w:r>
      <w:r w:rsidR="00BC220D" w:rsidRPr="001F4904">
        <w:rPr>
          <w:rFonts w:ascii="Palatino Linotype" w:hAnsi="Palatino Linotype" w:cs="Arial"/>
        </w:rPr>
        <w:t>iembre de dos mil veintitrés</w:t>
      </w:r>
      <w:r w:rsidRPr="001F4904">
        <w:rPr>
          <w:rFonts w:ascii="Palatino Linotype" w:hAnsi="Palatino Linotype" w:cs="Arial"/>
        </w:rPr>
        <w:t xml:space="preserve">; en consecuencia, si el particular presentó su inconformidad el día </w:t>
      </w:r>
      <w:r w:rsidR="003A7A1D" w:rsidRPr="001F4904">
        <w:rPr>
          <w:rFonts w:ascii="Palatino Linotype" w:hAnsi="Palatino Linotype" w:cs="Arial"/>
        </w:rPr>
        <w:t>veintiséis de octubre del dos mil veintitrés</w:t>
      </w:r>
      <w:r w:rsidRPr="001F4904">
        <w:rPr>
          <w:rFonts w:ascii="Palatino Linotype" w:hAnsi="Palatino Linotype" w:cs="Arial"/>
        </w:rPr>
        <w:t xml:space="preserve">, </w:t>
      </w:r>
      <w:r w:rsidR="003A7A1D" w:rsidRPr="001F4904">
        <w:rPr>
          <w:rFonts w:ascii="Palatino Linotype" w:hAnsi="Palatino Linotype" w:cs="Arial"/>
        </w:rPr>
        <w:t xml:space="preserve">es decir que </w:t>
      </w:r>
      <w:r w:rsidRPr="001F4904">
        <w:rPr>
          <w:rFonts w:ascii="Palatino Linotype" w:hAnsi="Palatino Linotype" w:cs="Arial"/>
        </w:rPr>
        <w:t xml:space="preserve">se encuentra dentro de los márgenes temporales previstos en el artículo 178 de la </w:t>
      </w:r>
      <w:r w:rsidRPr="001F4904">
        <w:rPr>
          <w:rFonts w:ascii="Palatino Linotype" w:hAnsi="Palatino Linotype" w:cs="Arial"/>
          <w:b/>
        </w:rPr>
        <w:t xml:space="preserve">Ley de Transparencia y Acceso a la Información Pública del Estado de México y Municipios </w:t>
      </w:r>
      <w:r w:rsidRPr="001F4904">
        <w:rPr>
          <w:rFonts w:ascii="Palatino Linotype" w:hAnsi="Palatino Linotype" w:cs="Arial"/>
        </w:rPr>
        <w:t xml:space="preserve">vigente. </w:t>
      </w:r>
    </w:p>
    <w:p w14:paraId="7A60A979" w14:textId="77777777" w:rsidR="00D54C54" w:rsidRPr="001F4904" w:rsidRDefault="00D54C54" w:rsidP="00462720">
      <w:pPr>
        <w:spacing w:line="360" w:lineRule="auto"/>
        <w:ind w:right="48"/>
        <w:contextualSpacing/>
        <w:jc w:val="both"/>
        <w:rPr>
          <w:rFonts w:ascii="Palatino Linotype" w:hAnsi="Palatino Linotype"/>
        </w:rPr>
      </w:pPr>
    </w:p>
    <w:p w14:paraId="7A60A97A" w14:textId="77777777" w:rsidR="003A7A1D" w:rsidRPr="001F4904" w:rsidRDefault="003A7A1D" w:rsidP="00462720">
      <w:pPr>
        <w:pStyle w:val="Prrafodelista"/>
        <w:numPr>
          <w:ilvl w:val="0"/>
          <w:numId w:val="1"/>
        </w:numPr>
        <w:spacing w:line="360" w:lineRule="auto"/>
        <w:ind w:left="0" w:firstLine="0"/>
        <w:jc w:val="both"/>
        <w:rPr>
          <w:rFonts w:ascii="Palatino Linotype" w:hAnsi="Palatino Linotype"/>
          <w:color w:val="000000" w:themeColor="text1"/>
          <w:sz w:val="24"/>
        </w:rPr>
      </w:pPr>
      <w:r w:rsidRPr="001F4904">
        <w:rPr>
          <w:rFonts w:ascii="Palatino Linotype" w:hAnsi="Palatino Linotype"/>
          <w:color w:val="000000" w:themeColor="text1"/>
          <w:sz w:val="24"/>
        </w:rPr>
        <w:t xml:space="preserve">Por otro lado, de la revisión al expediente electrónico del SAIMEX se desprende que la </w:t>
      </w:r>
      <w:r w:rsidRPr="001F4904">
        <w:rPr>
          <w:rFonts w:ascii="Palatino Linotype" w:eastAsia="Calibri" w:hAnsi="Palatino Linotype" w:cs="Arial"/>
          <w:color w:val="000000" w:themeColor="text1"/>
          <w:sz w:val="24"/>
        </w:rPr>
        <w:t>parte</w:t>
      </w:r>
      <w:r w:rsidRPr="001F4904">
        <w:rPr>
          <w:rFonts w:ascii="Palatino Linotype" w:hAnsi="Palatino Linotype"/>
          <w:color w:val="000000" w:themeColor="text1"/>
          <w:sz w:val="24"/>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A60A97B" w14:textId="77777777" w:rsidR="0069712C" w:rsidRPr="001F4904" w:rsidRDefault="0069712C" w:rsidP="0069712C">
      <w:pPr>
        <w:pStyle w:val="Prrafodelista"/>
        <w:rPr>
          <w:rFonts w:ascii="Palatino Linotype" w:hAnsi="Palatino Linotype"/>
          <w:color w:val="000000" w:themeColor="text1"/>
          <w:sz w:val="24"/>
        </w:rPr>
      </w:pPr>
    </w:p>
    <w:p w14:paraId="7A60A97C" w14:textId="77777777" w:rsidR="0069712C" w:rsidRPr="001F4904" w:rsidRDefault="0069712C" w:rsidP="0069712C">
      <w:pPr>
        <w:spacing w:line="360" w:lineRule="auto"/>
        <w:jc w:val="both"/>
        <w:rPr>
          <w:rFonts w:ascii="Palatino Linotype" w:hAnsi="Palatino Linotype"/>
          <w:color w:val="000000" w:themeColor="text1"/>
        </w:rPr>
      </w:pPr>
    </w:p>
    <w:p w14:paraId="7A60A97D" w14:textId="77777777" w:rsidR="003A7A1D" w:rsidRPr="001F4904" w:rsidRDefault="003A7A1D" w:rsidP="00462720">
      <w:pPr>
        <w:pStyle w:val="Prrafodelista"/>
        <w:numPr>
          <w:ilvl w:val="0"/>
          <w:numId w:val="1"/>
        </w:numPr>
        <w:spacing w:line="360" w:lineRule="auto"/>
        <w:ind w:left="0" w:firstLine="0"/>
        <w:jc w:val="both"/>
        <w:rPr>
          <w:rFonts w:ascii="Palatino Linotype" w:hAnsi="Palatino Linotype"/>
          <w:color w:val="000000" w:themeColor="text1"/>
          <w:sz w:val="24"/>
        </w:rPr>
      </w:pPr>
      <w:r w:rsidRPr="001F4904">
        <w:rPr>
          <w:rFonts w:ascii="Palatino Linotype" w:hAnsi="Palatino Linotype"/>
          <w:color w:val="000000" w:themeColor="text1"/>
          <w:sz w:val="24"/>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A60A97E" w14:textId="77777777" w:rsidR="003A7A1D" w:rsidRPr="001F4904" w:rsidRDefault="003A7A1D" w:rsidP="00462720">
      <w:pPr>
        <w:pStyle w:val="Prrafodelista"/>
        <w:spacing w:line="360" w:lineRule="auto"/>
        <w:rPr>
          <w:rFonts w:ascii="Palatino Linotype" w:hAnsi="Palatino Linotype"/>
          <w:color w:val="000000" w:themeColor="text1"/>
          <w:sz w:val="24"/>
        </w:rPr>
      </w:pPr>
    </w:p>
    <w:p w14:paraId="7A60A97F" w14:textId="77777777" w:rsidR="003A7A1D" w:rsidRPr="001F4904" w:rsidRDefault="003A7A1D" w:rsidP="00462720">
      <w:pPr>
        <w:pStyle w:val="Prrafodelista"/>
        <w:numPr>
          <w:ilvl w:val="0"/>
          <w:numId w:val="1"/>
        </w:numPr>
        <w:spacing w:line="360" w:lineRule="auto"/>
        <w:ind w:left="0" w:firstLine="0"/>
        <w:jc w:val="both"/>
        <w:rPr>
          <w:rFonts w:ascii="Palatino Linotype" w:hAnsi="Palatino Linotype"/>
          <w:color w:val="000000" w:themeColor="text1"/>
          <w:sz w:val="24"/>
        </w:rPr>
      </w:pPr>
      <w:r w:rsidRPr="001F4904">
        <w:rPr>
          <w:rFonts w:ascii="Palatino Linotype" w:hAnsi="Palatino Linotype"/>
          <w:color w:val="000000" w:themeColor="text1"/>
          <w:sz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A60A980" w14:textId="77777777" w:rsidR="003A7A1D" w:rsidRPr="001F4904" w:rsidRDefault="003A7A1D" w:rsidP="00462720">
      <w:pPr>
        <w:pStyle w:val="Prrafodelista"/>
        <w:spacing w:line="360" w:lineRule="auto"/>
        <w:rPr>
          <w:rFonts w:ascii="Palatino Linotype" w:hAnsi="Palatino Linotype"/>
          <w:color w:val="000000" w:themeColor="text1"/>
          <w:sz w:val="24"/>
        </w:rPr>
      </w:pPr>
    </w:p>
    <w:p w14:paraId="7A60A981" w14:textId="77777777" w:rsidR="003A7A1D" w:rsidRPr="001F4904" w:rsidRDefault="003A7A1D" w:rsidP="00462720">
      <w:pPr>
        <w:pStyle w:val="Prrafodelista"/>
        <w:numPr>
          <w:ilvl w:val="0"/>
          <w:numId w:val="1"/>
        </w:numPr>
        <w:spacing w:line="360" w:lineRule="auto"/>
        <w:ind w:left="0" w:firstLine="0"/>
        <w:jc w:val="both"/>
        <w:rPr>
          <w:rFonts w:ascii="Palatino Linotype" w:hAnsi="Palatino Linotype"/>
          <w:color w:val="000000" w:themeColor="text1"/>
          <w:sz w:val="24"/>
        </w:rPr>
      </w:pPr>
      <w:r w:rsidRPr="001F4904">
        <w:rPr>
          <w:rFonts w:ascii="Palatino Linotype" w:hAnsi="Palatino Linotype"/>
          <w:color w:val="000000" w:themeColor="text1"/>
          <w:sz w:val="24"/>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A60A982" w14:textId="77777777" w:rsidR="003A7A1D" w:rsidRPr="001F4904" w:rsidRDefault="003A7A1D" w:rsidP="00462720">
      <w:pPr>
        <w:pStyle w:val="Prrafodelista"/>
        <w:spacing w:line="360" w:lineRule="auto"/>
        <w:rPr>
          <w:rFonts w:ascii="Palatino Linotype" w:hAnsi="Palatino Linotype"/>
          <w:color w:val="000000" w:themeColor="text1"/>
          <w:sz w:val="24"/>
        </w:rPr>
      </w:pPr>
    </w:p>
    <w:p w14:paraId="7A60A983" w14:textId="77777777" w:rsidR="003A7A1D" w:rsidRPr="001F4904" w:rsidRDefault="003A7A1D" w:rsidP="00462720">
      <w:pPr>
        <w:pStyle w:val="Prrafodelista"/>
        <w:numPr>
          <w:ilvl w:val="0"/>
          <w:numId w:val="1"/>
        </w:numPr>
        <w:spacing w:line="360" w:lineRule="auto"/>
        <w:ind w:left="0" w:firstLine="0"/>
        <w:jc w:val="both"/>
        <w:rPr>
          <w:rFonts w:ascii="Palatino Linotype" w:hAnsi="Palatino Linotype"/>
          <w:sz w:val="24"/>
        </w:rPr>
      </w:pPr>
      <w:r w:rsidRPr="001F4904">
        <w:rPr>
          <w:rFonts w:ascii="Palatino Linotype" w:hAnsi="Palatino Linotype"/>
          <w:color w:val="000000" w:themeColor="text1"/>
          <w:sz w:val="24"/>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7A60A984" w14:textId="77777777" w:rsidR="003A7A1D" w:rsidRPr="001F4904" w:rsidRDefault="003A7A1D" w:rsidP="00462720">
      <w:pPr>
        <w:pStyle w:val="Prrafodelista"/>
        <w:spacing w:line="360" w:lineRule="auto"/>
        <w:rPr>
          <w:rFonts w:ascii="Palatino Linotype" w:eastAsia="Calibri" w:hAnsi="Palatino Linotype" w:cs="Arial"/>
          <w:sz w:val="24"/>
          <w:lang w:val="es-ES_tradnl" w:eastAsia="es-ES"/>
        </w:rPr>
      </w:pPr>
    </w:p>
    <w:p w14:paraId="7A60A985" w14:textId="77777777" w:rsidR="00FC4351" w:rsidRPr="001F4904" w:rsidRDefault="00FC4351"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A60A986" w14:textId="77777777" w:rsidR="00FC4351" w:rsidRPr="001F4904" w:rsidRDefault="00FC4351" w:rsidP="00462720">
      <w:pPr>
        <w:spacing w:line="360" w:lineRule="auto"/>
        <w:ind w:right="49"/>
        <w:jc w:val="both"/>
        <w:rPr>
          <w:rFonts w:ascii="Palatino Linotype" w:eastAsia="MS Gothic" w:hAnsi="Palatino Linotype" w:cstheme="majorBidi"/>
          <w:b/>
          <w:lang w:val="es-ES_tradnl" w:eastAsia="es-ES"/>
        </w:rPr>
      </w:pPr>
      <w:bookmarkStart w:id="7" w:name="_Toc65713731"/>
      <w:bookmarkStart w:id="8" w:name="_Toc94119614"/>
    </w:p>
    <w:p w14:paraId="7A60A987" w14:textId="77777777" w:rsidR="00FC4351" w:rsidRPr="001F4904" w:rsidRDefault="00FC4351" w:rsidP="00462720">
      <w:pPr>
        <w:spacing w:line="360" w:lineRule="auto"/>
        <w:ind w:right="49"/>
        <w:jc w:val="both"/>
        <w:rPr>
          <w:rFonts w:ascii="Palatino Linotype" w:eastAsia="MS Gothic" w:hAnsi="Palatino Linotype" w:cstheme="majorBidi"/>
          <w:b/>
          <w:lang w:eastAsia="es-ES"/>
        </w:rPr>
      </w:pPr>
      <w:r w:rsidRPr="001F4904">
        <w:rPr>
          <w:rFonts w:ascii="Palatino Linotype" w:eastAsia="MS Gothic" w:hAnsi="Palatino Linotype" w:cstheme="majorBidi"/>
          <w:b/>
          <w:lang w:val="es-ES_tradnl" w:eastAsia="es-ES"/>
        </w:rPr>
        <w:t xml:space="preserve">TERCERO. </w:t>
      </w:r>
      <w:bookmarkEnd w:id="7"/>
      <w:bookmarkEnd w:id="8"/>
      <w:r w:rsidR="00946A13" w:rsidRPr="001F4904">
        <w:rPr>
          <w:rFonts w:ascii="Palatino Linotype" w:eastAsia="MS Gothic" w:hAnsi="Palatino Linotype" w:cstheme="majorBidi"/>
          <w:b/>
          <w:lang w:val="es-ES_tradnl" w:eastAsia="es-ES"/>
        </w:rPr>
        <w:t>De las causales de sobreseimiento</w:t>
      </w:r>
    </w:p>
    <w:p w14:paraId="7A60A988" w14:textId="77777777" w:rsidR="00ED20EE" w:rsidRPr="001F4904" w:rsidRDefault="00FC4351" w:rsidP="00462720">
      <w:pPr>
        <w:numPr>
          <w:ilvl w:val="0"/>
          <w:numId w:val="1"/>
        </w:numPr>
        <w:spacing w:line="360" w:lineRule="auto"/>
        <w:ind w:left="0" w:right="49" w:firstLine="0"/>
        <w:contextualSpacing/>
        <w:jc w:val="both"/>
        <w:rPr>
          <w:rFonts w:ascii="Palatino Linotype" w:hAnsi="Palatino Linotype"/>
          <w:i/>
          <w:color w:val="000000"/>
        </w:rPr>
      </w:pPr>
      <w:r w:rsidRPr="001F4904">
        <w:rPr>
          <w:rFonts w:ascii="Palatino Linotype" w:eastAsia="MS Gothic" w:hAnsi="Palatino Linotype" w:cstheme="majorBidi"/>
          <w:lang w:eastAsia="es-ES"/>
        </w:rPr>
        <w:t xml:space="preserve">El particular </w:t>
      </w:r>
      <w:r w:rsidRPr="001F4904">
        <w:rPr>
          <w:rFonts w:ascii="Palatino Linotype" w:eastAsia="Calibri" w:hAnsi="Palatino Linotype" w:cs="Arial"/>
          <w:lang w:val="es-ES_tradnl" w:eastAsia="es-ES"/>
        </w:rPr>
        <w:t>solicitó</w:t>
      </w:r>
      <w:r w:rsidRPr="001F4904">
        <w:rPr>
          <w:rFonts w:ascii="Palatino Linotype" w:eastAsia="MS Gothic" w:hAnsi="Palatino Linotype" w:cstheme="majorBidi"/>
          <w:lang w:eastAsia="es-ES"/>
        </w:rPr>
        <w:t xml:space="preserve"> </w:t>
      </w:r>
      <w:r w:rsidR="003A7A1D" w:rsidRPr="001F4904">
        <w:rPr>
          <w:rFonts w:ascii="Palatino Linotype" w:eastAsia="MS Gothic" w:hAnsi="Palatino Linotype" w:cstheme="majorBidi"/>
          <w:lang w:eastAsia="es-ES"/>
        </w:rPr>
        <w:t>de la Secretaría de Seguridad, la</w:t>
      </w:r>
      <w:r w:rsidRPr="001F4904">
        <w:rPr>
          <w:rFonts w:ascii="Palatino Linotype" w:eastAsia="MS Gothic" w:hAnsi="Palatino Linotype" w:cstheme="majorBidi"/>
          <w:lang w:eastAsia="es-ES"/>
        </w:rPr>
        <w:t xml:space="preserve"> </w:t>
      </w:r>
      <w:r w:rsidR="003A7A1D" w:rsidRPr="001F4904">
        <w:rPr>
          <w:rFonts w:ascii="Palatino Linotype" w:eastAsia="MS Gothic" w:hAnsi="Palatino Linotype" w:cstheme="majorBidi"/>
          <w:lang w:eastAsia="es-ES"/>
        </w:rPr>
        <w:t>información que a continuación se desagrega:</w:t>
      </w:r>
    </w:p>
    <w:p w14:paraId="7A60A989" w14:textId="77777777" w:rsidR="003A7A1D" w:rsidRPr="001F4904" w:rsidRDefault="003A7A1D" w:rsidP="00462720">
      <w:pPr>
        <w:spacing w:line="360" w:lineRule="auto"/>
        <w:ind w:right="49"/>
        <w:contextualSpacing/>
        <w:jc w:val="both"/>
        <w:rPr>
          <w:rFonts w:ascii="Palatino Linotype" w:hAnsi="Palatino Linotype"/>
          <w:i/>
          <w:color w:val="000000"/>
          <w:sz w:val="22"/>
        </w:rPr>
      </w:pPr>
    </w:p>
    <w:p w14:paraId="7A60A98A" w14:textId="77777777" w:rsidR="001A728C" w:rsidRPr="001F4904" w:rsidRDefault="001A728C" w:rsidP="00462720">
      <w:pPr>
        <w:spacing w:line="360" w:lineRule="auto"/>
        <w:ind w:left="426" w:right="537"/>
        <w:contextualSpacing/>
        <w:jc w:val="both"/>
        <w:rPr>
          <w:rFonts w:ascii="Palatino Linotype" w:hAnsi="Palatino Linotype"/>
          <w:color w:val="000000"/>
          <w:sz w:val="22"/>
        </w:rPr>
      </w:pPr>
      <w:r w:rsidRPr="001F4904">
        <w:rPr>
          <w:rFonts w:ascii="Palatino Linotype" w:hAnsi="Palatino Linotype"/>
          <w:color w:val="000000"/>
          <w:sz w:val="22"/>
        </w:rPr>
        <w:t>De las llamadas de emergencia por violencia contra la mujer y violencia intrafamiliar al número 911, desde el año 2000 hasta el año presente o en su defecto, todos los años para los que existan datos disponibles, al nivel municipio-día, en formato Excel, csv o similar:</w:t>
      </w:r>
    </w:p>
    <w:p w14:paraId="7A60A98B" w14:textId="77777777" w:rsidR="001A728C" w:rsidRPr="001F4904" w:rsidRDefault="001A728C" w:rsidP="00462720">
      <w:pPr>
        <w:pStyle w:val="Prrafodelista"/>
        <w:numPr>
          <w:ilvl w:val="0"/>
          <w:numId w:val="17"/>
        </w:numPr>
        <w:spacing w:line="360" w:lineRule="auto"/>
        <w:ind w:right="537"/>
        <w:jc w:val="both"/>
        <w:rPr>
          <w:rFonts w:ascii="Palatino Linotype" w:hAnsi="Palatino Linotype"/>
          <w:color w:val="000000"/>
        </w:rPr>
      </w:pPr>
      <w:r w:rsidRPr="001F4904">
        <w:rPr>
          <w:rFonts w:ascii="Palatino Linotype" w:hAnsi="Palatino Linotype"/>
          <w:color w:val="000000"/>
        </w:rPr>
        <w:t>FECHA (día, mes, año) de ocurrencia o registro;</w:t>
      </w:r>
    </w:p>
    <w:p w14:paraId="7A60A98C" w14:textId="77777777" w:rsidR="001A728C" w:rsidRPr="001F4904" w:rsidRDefault="001A728C" w:rsidP="00462720">
      <w:pPr>
        <w:pStyle w:val="Prrafodelista"/>
        <w:numPr>
          <w:ilvl w:val="0"/>
          <w:numId w:val="17"/>
        </w:numPr>
        <w:spacing w:line="360" w:lineRule="auto"/>
        <w:ind w:right="537"/>
        <w:jc w:val="both"/>
        <w:rPr>
          <w:rFonts w:ascii="Palatino Linotype" w:hAnsi="Palatino Linotype"/>
          <w:color w:val="000000"/>
        </w:rPr>
      </w:pPr>
      <w:r w:rsidRPr="001F4904">
        <w:rPr>
          <w:rFonts w:ascii="Palatino Linotype" w:hAnsi="Palatino Linotype"/>
          <w:color w:val="000000"/>
        </w:rPr>
        <w:t>MUNICIPIO de ocurrencia o registro; y</w:t>
      </w:r>
    </w:p>
    <w:p w14:paraId="7A60A98D" w14:textId="77777777" w:rsidR="001A728C" w:rsidRPr="001F4904" w:rsidRDefault="001A728C" w:rsidP="00462720">
      <w:pPr>
        <w:pStyle w:val="Prrafodelista"/>
        <w:numPr>
          <w:ilvl w:val="0"/>
          <w:numId w:val="17"/>
        </w:numPr>
        <w:spacing w:line="360" w:lineRule="auto"/>
        <w:ind w:right="537"/>
        <w:jc w:val="both"/>
        <w:rPr>
          <w:rFonts w:ascii="Palatino Linotype" w:hAnsi="Palatino Linotype"/>
          <w:color w:val="000000"/>
        </w:rPr>
      </w:pPr>
      <w:r w:rsidRPr="001F4904">
        <w:rPr>
          <w:rFonts w:ascii="Palatino Linotype" w:hAnsi="Palatino Linotype"/>
          <w:color w:val="000000"/>
        </w:rPr>
        <w:t xml:space="preserve">TIPO de delito: abuso sexual, acoso u hostigamiento sexual, violación, violencia de pareja, violencia familiar. </w:t>
      </w:r>
    </w:p>
    <w:p w14:paraId="7A60A98E" w14:textId="77777777" w:rsidR="001A728C" w:rsidRPr="001F4904" w:rsidRDefault="001A728C" w:rsidP="00462720">
      <w:pPr>
        <w:spacing w:line="360" w:lineRule="auto"/>
        <w:ind w:left="426" w:right="537"/>
        <w:contextualSpacing/>
        <w:jc w:val="both"/>
        <w:rPr>
          <w:rFonts w:ascii="Palatino Linotype" w:hAnsi="Palatino Linotype"/>
          <w:color w:val="000000"/>
          <w:sz w:val="22"/>
        </w:rPr>
      </w:pPr>
      <w:r w:rsidRPr="001F4904">
        <w:rPr>
          <w:rFonts w:ascii="Palatino Linotype" w:hAnsi="Palatino Linotype"/>
          <w:color w:val="000000"/>
          <w:sz w:val="22"/>
        </w:rPr>
        <w:t>Total general de llamadas por día y municipio con independientemente de si es violencia contra la mujer) y el total de todas las formas de violencia contra la mujer.</w:t>
      </w:r>
    </w:p>
    <w:p w14:paraId="7A60A98F" w14:textId="77777777" w:rsidR="00ED20EE" w:rsidRPr="001F4904" w:rsidRDefault="00ED20EE" w:rsidP="00462720">
      <w:pPr>
        <w:spacing w:line="360" w:lineRule="auto"/>
        <w:ind w:right="49"/>
        <w:contextualSpacing/>
        <w:jc w:val="both"/>
        <w:rPr>
          <w:rFonts w:ascii="Palatino Linotype" w:hAnsi="Palatino Linotype"/>
          <w:i/>
          <w:color w:val="000000"/>
          <w:sz w:val="22"/>
        </w:rPr>
      </w:pPr>
    </w:p>
    <w:p w14:paraId="7A60A990" w14:textId="77777777" w:rsidR="00452085" w:rsidRPr="001F4904" w:rsidRDefault="00FC4351" w:rsidP="00462720">
      <w:pPr>
        <w:numPr>
          <w:ilvl w:val="0"/>
          <w:numId w:val="1"/>
        </w:numPr>
        <w:spacing w:line="360" w:lineRule="auto"/>
        <w:ind w:left="0" w:right="49" w:firstLine="0"/>
        <w:contextualSpacing/>
        <w:jc w:val="both"/>
        <w:rPr>
          <w:rFonts w:ascii="Palatino Linotype" w:hAnsi="Palatino Linotype"/>
          <w:i/>
          <w:color w:val="000000"/>
        </w:rPr>
      </w:pPr>
      <w:r w:rsidRPr="001F4904">
        <w:rPr>
          <w:rFonts w:ascii="Palatino Linotype" w:eastAsia="MS Gothic" w:hAnsi="Palatino Linotype" w:cstheme="majorBidi"/>
          <w:lang w:eastAsia="es-ES"/>
        </w:rPr>
        <w:lastRenderedPageBreak/>
        <w:t>Inconforme con la respuesta el particular</w:t>
      </w:r>
      <w:r w:rsidR="00452085" w:rsidRPr="001F4904">
        <w:rPr>
          <w:rFonts w:ascii="Palatino Linotype" w:eastAsia="MS Gothic" w:hAnsi="Palatino Linotype" w:cstheme="majorBidi"/>
          <w:lang w:eastAsia="es-ES"/>
        </w:rPr>
        <w:t xml:space="preserve"> interpuso </w:t>
      </w:r>
      <w:r w:rsidR="001A728C" w:rsidRPr="001F4904">
        <w:rPr>
          <w:rFonts w:ascii="Palatino Linotype" w:eastAsia="MS Gothic" w:hAnsi="Palatino Linotype" w:cstheme="majorBidi"/>
          <w:lang w:eastAsia="es-ES"/>
        </w:rPr>
        <w:t>el recurso</w:t>
      </w:r>
      <w:r w:rsidR="00452085" w:rsidRPr="001F4904">
        <w:rPr>
          <w:rFonts w:ascii="Palatino Linotype" w:eastAsia="MS Gothic" w:hAnsi="Palatino Linotype" w:cstheme="majorBidi"/>
          <w:lang w:eastAsia="es-ES"/>
        </w:rPr>
        <w:t xml:space="preserve"> de revisión exponiendo</w:t>
      </w:r>
      <w:r w:rsidR="00452085" w:rsidRPr="001F4904">
        <w:rPr>
          <w:rFonts w:ascii="Palatino Linotype" w:eastAsia="MS Gothic" w:hAnsi="Palatino Linotype" w:cstheme="majorBidi"/>
          <w:i/>
          <w:lang w:eastAsia="es-ES"/>
        </w:rPr>
        <w:t xml:space="preserve"> </w:t>
      </w:r>
      <w:r w:rsidR="00ED20EE" w:rsidRPr="001F4904">
        <w:rPr>
          <w:rFonts w:ascii="Palatino Linotype" w:hAnsi="Palatino Linotype"/>
          <w:color w:val="000000"/>
        </w:rPr>
        <w:t xml:space="preserve">como </w:t>
      </w:r>
      <w:r w:rsidR="00ED20EE" w:rsidRPr="001F4904">
        <w:rPr>
          <w:rFonts w:ascii="Palatino Linotype" w:eastAsia="MS Gothic" w:hAnsi="Palatino Linotype" w:cstheme="majorBidi"/>
          <w:lang w:eastAsia="es-ES"/>
        </w:rPr>
        <w:t>acto</w:t>
      </w:r>
      <w:r w:rsidR="00ED20EE" w:rsidRPr="001F4904">
        <w:rPr>
          <w:rFonts w:ascii="Palatino Linotype" w:hAnsi="Palatino Linotype"/>
          <w:color w:val="000000"/>
        </w:rPr>
        <w:t xml:space="preserve"> impugnado </w:t>
      </w:r>
      <w:r w:rsidR="001A728C" w:rsidRPr="001F4904">
        <w:rPr>
          <w:rFonts w:ascii="Palatino Linotype" w:hAnsi="Palatino Linotype"/>
          <w:i/>
          <w:color w:val="000000"/>
        </w:rPr>
        <w:t>grosso modo</w:t>
      </w:r>
      <w:r w:rsidR="001A728C" w:rsidRPr="001F4904">
        <w:rPr>
          <w:rFonts w:ascii="Palatino Linotype" w:hAnsi="Palatino Linotype"/>
          <w:color w:val="000000"/>
        </w:rPr>
        <w:t xml:space="preserve"> la entrega de la información incompleta; toda vez que no se entregó el día, mes y año en que se recibió cada llamada.</w:t>
      </w:r>
    </w:p>
    <w:p w14:paraId="7A60A991" w14:textId="77777777" w:rsidR="001A728C" w:rsidRPr="001F4904" w:rsidRDefault="001A728C" w:rsidP="00462720">
      <w:pPr>
        <w:spacing w:line="360" w:lineRule="auto"/>
        <w:ind w:right="49"/>
        <w:contextualSpacing/>
        <w:jc w:val="both"/>
        <w:rPr>
          <w:rFonts w:ascii="Palatino Linotype" w:hAnsi="Palatino Linotype"/>
          <w:i/>
          <w:color w:val="000000"/>
        </w:rPr>
      </w:pPr>
    </w:p>
    <w:p w14:paraId="7A60A992" w14:textId="77777777" w:rsidR="001A728C" w:rsidRPr="001F4904" w:rsidRDefault="001A728C" w:rsidP="00462720">
      <w:pPr>
        <w:numPr>
          <w:ilvl w:val="0"/>
          <w:numId w:val="1"/>
        </w:numPr>
        <w:spacing w:line="360" w:lineRule="auto"/>
        <w:ind w:left="0" w:right="49" w:firstLine="0"/>
        <w:contextualSpacing/>
        <w:jc w:val="both"/>
        <w:rPr>
          <w:rFonts w:ascii="Palatino Linotype" w:hAnsi="Palatino Linotype"/>
          <w:i/>
          <w:color w:val="000000"/>
        </w:rPr>
      </w:pPr>
      <w:r w:rsidRPr="001F4904">
        <w:rPr>
          <w:rFonts w:ascii="Palatino Linotype" w:hAnsi="Palatino Linotype"/>
          <w:color w:val="000000"/>
        </w:rPr>
        <w:t>Luego entonces, al solo impugnar los rubros de referencia, se advierte que existen actos consentidos respecto del resto de rubros que integraron la solicitud de información primigenia.</w:t>
      </w:r>
    </w:p>
    <w:p w14:paraId="7A60A993" w14:textId="77777777" w:rsidR="001A728C" w:rsidRPr="001F4904" w:rsidRDefault="001A728C" w:rsidP="00462720">
      <w:pPr>
        <w:pStyle w:val="Prrafodelista"/>
        <w:spacing w:line="360" w:lineRule="auto"/>
        <w:rPr>
          <w:rFonts w:ascii="Palatino Linotype" w:hAnsi="Palatino Linotype"/>
          <w:i/>
          <w:color w:val="000000"/>
          <w:sz w:val="24"/>
        </w:rPr>
      </w:pPr>
    </w:p>
    <w:p w14:paraId="7A60A994"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 xml:space="preserve">Por tal circunstancia, no se </w:t>
      </w:r>
      <w:r w:rsidRPr="001F4904">
        <w:rPr>
          <w:rFonts w:ascii="Palatino Linotype" w:hAnsi="Palatino Linotype"/>
          <w:color w:val="000000"/>
        </w:rPr>
        <w:t>hará</w:t>
      </w:r>
      <w:r w:rsidRPr="001F4904">
        <w:rPr>
          <w:rFonts w:ascii="Palatino Linotype" w:eastAsiaTheme="minorEastAsia" w:hAnsi="Palatino Linotype"/>
          <w:lang w:val="es-ES_tradnl" w:eastAsia="es-ES"/>
        </w:rPr>
        <w:t xml:space="preserve"> pronunciamiento sobre la información entregada por </w:t>
      </w:r>
      <w:r w:rsidRPr="001F4904">
        <w:rPr>
          <w:rFonts w:ascii="Palatino Linotype" w:eastAsiaTheme="minorEastAsia" w:hAnsi="Palatino Linotype"/>
          <w:b/>
          <w:lang w:val="es-ES_tradnl" w:eastAsia="es-ES"/>
        </w:rPr>
        <w:t xml:space="preserve">el SUJETO OBLIGADO </w:t>
      </w:r>
      <w:r w:rsidRPr="001F4904">
        <w:rPr>
          <w:rFonts w:ascii="Palatino Linotype" w:eastAsiaTheme="minorEastAsia" w:hAnsi="Palatino Linotype"/>
          <w:lang w:val="es-ES_tradnl" w:eastAsia="es-ES"/>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7A60A995" w14:textId="77777777" w:rsidR="0069712C" w:rsidRPr="001F4904" w:rsidRDefault="0069712C" w:rsidP="0069712C">
      <w:pPr>
        <w:pStyle w:val="Prrafodelista"/>
        <w:rPr>
          <w:rFonts w:ascii="Palatino Linotype" w:eastAsiaTheme="minorEastAsia" w:hAnsi="Palatino Linotype"/>
          <w:lang w:val="es-ES_tradnl" w:eastAsia="es-ES"/>
        </w:rPr>
      </w:pPr>
    </w:p>
    <w:p w14:paraId="7A60A996"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Sirve de sustento, la tesis jurisprudencial número VI.3o.C. J/60, publicada en el Semanario Judicial de la Federación y su Gaceta bajo el número de registro 176,608 que a la letra dice:</w:t>
      </w:r>
    </w:p>
    <w:p w14:paraId="7A60A997" w14:textId="77777777" w:rsidR="001A728C" w:rsidRPr="001F4904" w:rsidRDefault="001A728C" w:rsidP="00462720">
      <w:pPr>
        <w:spacing w:line="360" w:lineRule="auto"/>
        <w:ind w:right="49"/>
        <w:contextualSpacing/>
        <w:jc w:val="both"/>
        <w:rPr>
          <w:rFonts w:ascii="Palatino Linotype" w:eastAsiaTheme="minorEastAsia" w:hAnsi="Palatino Linotype"/>
          <w:sz w:val="22"/>
          <w:lang w:val="es-ES_tradnl" w:eastAsia="es-ES"/>
        </w:rPr>
      </w:pPr>
    </w:p>
    <w:p w14:paraId="7A60A998" w14:textId="77777777" w:rsidR="001A728C" w:rsidRPr="001F4904" w:rsidRDefault="001A728C" w:rsidP="00462720">
      <w:pPr>
        <w:pStyle w:val="Prrafodelista"/>
        <w:spacing w:line="360" w:lineRule="auto"/>
        <w:ind w:left="644" w:right="616"/>
        <w:jc w:val="both"/>
        <w:rPr>
          <w:rFonts w:ascii="Palatino Linotype" w:eastAsiaTheme="minorEastAsia" w:hAnsi="Palatino Linotype"/>
          <w:i/>
          <w:lang w:val="es-ES_tradnl" w:eastAsia="es-ES"/>
        </w:rPr>
      </w:pPr>
      <w:r w:rsidRPr="001F4904">
        <w:rPr>
          <w:rFonts w:ascii="Palatino Linotype" w:eastAsiaTheme="minorEastAsia" w:hAnsi="Palatino Linotype"/>
          <w:b/>
          <w:bCs/>
          <w:i/>
          <w:lang w:val="es-ES_tradnl" w:eastAsia="es-ES"/>
        </w:rPr>
        <w:lastRenderedPageBreak/>
        <w:t xml:space="preserve">“ACTOS CONSENTIDOS. SON LOS QUE NO SE IMPUGNAN MEDIANTE EL RECURSO IDÓNEO. </w:t>
      </w:r>
      <w:r w:rsidRPr="001F4904">
        <w:rPr>
          <w:rFonts w:ascii="Palatino Linotype" w:eastAsiaTheme="minorEastAsia" w:hAnsi="Palatino Linotype"/>
          <w:i/>
          <w:lang w:val="es-ES_tradnl"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60A999" w14:textId="77777777" w:rsidR="001A728C" w:rsidRPr="001F4904" w:rsidRDefault="001A728C" w:rsidP="00462720">
      <w:pPr>
        <w:pStyle w:val="Prrafodelista"/>
        <w:spacing w:line="360" w:lineRule="auto"/>
        <w:ind w:left="644"/>
        <w:rPr>
          <w:rFonts w:ascii="Palatino Linotype" w:eastAsiaTheme="minorEastAsia" w:hAnsi="Palatino Linotype"/>
          <w:i/>
          <w:sz w:val="24"/>
          <w:lang w:val="es-ES_tradnl" w:eastAsia="es-ES"/>
        </w:rPr>
      </w:pPr>
    </w:p>
    <w:p w14:paraId="7A60A99A"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Lo anterior es así, debido a que cuando el particular</w:t>
      </w:r>
      <w:r w:rsidRPr="001F4904">
        <w:rPr>
          <w:rFonts w:ascii="Palatino Linotype" w:eastAsiaTheme="minorEastAsia" w:hAnsi="Palatino Linotype"/>
          <w:b/>
          <w:lang w:val="es-ES_tradnl" w:eastAsia="es-ES"/>
        </w:rPr>
        <w:t xml:space="preserve"> </w:t>
      </w:r>
      <w:r w:rsidRPr="001F4904">
        <w:rPr>
          <w:rFonts w:ascii="Palatino Linotype" w:eastAsiaTheme="minorEastAsia" w:hAnsi="Palatino Linotype"/>
          <w:lang w:val="es-ES_tradnl" w:eastAsia="es-ES"/>
        </w:rPr>
        <w:t xml:space="preserve">impugnó la respuesta del </w:t>
      </w:r>
      <w:r w:rsidRPr="001F4904">
        <w:rPr>
          <w:rFonts w:ascii="Palatino Linotype" w:eastAsiaTheme="minorEastAsia" w:hAnsi="Palatino Linotype"/>
          <w:b/>
          <w:lang w:val="es-ES_tradnl" w:eastAsia="es-ES"/>
        </w:rPr>
        <w:t>SUJETO OBLIGADO</w:t>
      </w:r>
      <w:r w:rsidRPr="001F4904">
        <w:rPr>
          <w:rFonts w:ascii="Palatino Linotype" w:eastAsiaTheme="minorEastAsia" w:hAnsi="Palatino Linotype"/>
          <w:lang w:val="es-ES_tradnl" w:eastAsia="es-ES"/>
        </w:rPr>
        <w:t xml:space="preserve">, y no expresó razón o motivo de inconformidad en contra de todos los rubros solicitados, dichos rubros deben declararse atendidos, pues se entiende que </w:t>
      </w:r>
      <w:r w:rsidRPr="001F4904">
        <w:rPr>
          <w:rFonts w:ascii="Palatino Linotype" w:eastAsiaTheme="minorEastAsia" w:hAnsi="Palatino Linotype"/>
          <w:b/>
          <w:lang w:val="es-ES_tradnl" w:eastAsia="es-ES"/>
        </w:rPr>
        <w:t>EL RECURRENTE</w:t>
      </w:r>
      <w:r w:rsidRPr="001F4904">
        <w:rPr>
          <w:rFonts w:ascii="Palatino Linotype" w:eastAsiaTheme="minorEastAsia" w:hAnsi="Palatino Linotype"/>
          <w:lang w:val="es-ES_tradnl" w:eastAsia="es-ES"/>
        </w:rPr>
        <w:t xml:space="preserve"> está conforme con la respuesta proporcionada por </w:t>
      </w:r>
      <w:r w:rsidRPr="001F4904">
        <w:rPr>
          <w:rFonts w:ascii="Palatino Linotype" w:eastAsiaTheme="minorEastAsia" w:hAnsi="Palatino Linotype"/>
          <w:b/>
          <w:lang w:val="es-ES_tradnl" w:eastAsia="es-ES"/>
        </w:rPr>
        <w:t>EL SUJETO OBLIGADO,</w:t>
      </w:r>
      <w:r w:rsidRPr="001F4904">
        <w:rPr>
          <w:rFonts w:ascii="Palatino Linotype" w:eastAsiaTheme="minorEastAsia" w:hAnsi="Palatino Linotype"/>
          <w:lang w:val="es-ES_tradnl" w:eastAsia="es-ES"/>
        </w:rPr>
        <w:t xml:space="preserve"> al no contravenir la misma. </w:t>
      </w:r>
    </w:p>
    <w:p w14:paraId="7A60A99B" w14:textId="77777777" w:rsidR="001D1967" w:rsidRPr="001F4904" w:rsidRDefault="001D1967" w:rsidP="00462720">
      <w:pPr>
        <w:spacing w:line="360" w:lineRule="auto"/>
        <w:ind w:right="49"/>
        <w:contextualSpacing/>
        <w:jc w:val="both"/>
        <w:rPr>
          <w:rFonts w:ascii="Palatino Linotype" w:eastAsiaTheme="minorEastAsia" w:hAnsi="Palatino Linotype"/>
          <w:lang w:val="es-ES_tradnl" w:eastAsia="es-ES"/>
        </w:rPr>
      </w:pPr>
    </w:p>
    <w:p w14:paraId="7A60A99C"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t>Atento a ello, es importante traer a contexto la Tesis Jurisprudencial Número 3ª./J.7/91, Publicada en el Semanario Judicial de la Federación y su Gaceta bajo el número de registro 174,177, que establece lo siguiente:</w:t>
      </w:r>
    </w:p>
    <w:p w14:paraId="7A60A99D" w14:textId="77777777" w:rsidR="001A728C" w:rsidRPr="001F4904" w:rsidRDefault="001A728C" w:rsidP="00462720">
      <w:pPr>
        <w:pStyle w:val="Prrafodelista"/>
        <w:spacing w:line="360" w:lineRule="auto"/>
        <w:rPr>
          <w:rFonts w:ascii="Palatino Linotype" w:eastAsiaTheme="minorEastAsia" w:hAnsi="Palatino Linotype"/>
          <w:lang w:val="es-ES_tradnl" w:eastAsia="es-ES"/>
        </w:rPr>
      </w:pPr>
    </w:p>
    <w:p w14:paraId="7A60A99E" w14:textId="77777777" w:rsidR="001A728C" w:rsidRPr="001F4904" w:rsidRDefault="001A728C" w:rsidP="00462720">
      <w:pPr>
        <w:pStyle w:val="Prrafodelista"/>
        <w:spacing w:line="360" w:lineRule="auto"/>
        <w:ind w:left="644" w:right="616"/>
        <w:jc w:val="both"/>
        <w:rPr>
          <w:rFonts w:ascii="Palatino Linotype" w:eastAsiaTheme="minorEastAsia" w:hAnsi="Palatino Linotype"/>
          <w:bCs/>
          <w:i/>
          <w:iCs/>
          <w:lang w:val="es-ES_tradnl" w:eastAsia="es-ES"/>
        </w:rPr>
      </w:pPr>
      <w:r w:rsidRPr="001F4904">
        <w:rPr>
          <w:rFonts w:ascii="Palatino Linotype" w:eastAsiaTheme="minorEastAsia" w:hAnsi="Palatino Linotype"/>
          <w:b/>
          <w:i/>
          <w:lang w:val="es-ES_tradnl" w:eastAsia="es-ES"/>
        </w:rPr>
        <w:t xml:space="preserve">“REVISIÓN EN AMPARO. LOS RESOLUTIVOS NO COMBATIDOS DEBEN DECLARARSE FIRMES. </w:t>
      </w:r>
      <w:r w:rsidRPr="001F4904">
        <w:rPr>
          <w:rFonts w:ascii="Palatino Linotype" w:eastAsiaTheme="minorEastAsia" w:hAnsi="Palatino Linotype"/>
          <w:bCs/>
          <w:i/>
          <w:iCs/>
          <w:lang w:val="es-ES_tradnl" w:eastAsia="es-E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1F4904">
        <w:rPr>
          <w:rFonts w:ascii="Palatino Linotype" w:eastAsiaTheme="minorEastAsia" w:hAnsi="Palatino Linotype"/>
          <w:i/>
          <w:lang w:val="es-ES_tradnl" w:eastAsia="es-ES"/>
        </w:rPr>
        <w:t>todos</w:t>
      </w:r>
      <w:r w:rsidRPr="001F4904">
        <w:rPr>
          <w:rFonts w:ascii="Palatino Linotype" w:eastAsiaTheme="minorEastAsia" w:hAnsi="Palatino Linotype"/>
          <w:bCs/>
          <w:i/>
          <w:iCs/>
          <w:lang w:val="es-ES_tradnl" w:eastAsia="es-E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A60A99F" w14:textId="77777777" w:rsidR="001A728C" w:rsidRPr="001F4904" w:rsidRDefault="001A728C" w:rsidP="00462720">
      <w:pPr>
        <w:pStyle w:val="Prrafodelista"/>
        <w:spacing w:line="360" w:lineRule="auto"/>
        <w:ind w:left="644" w:right="616"/>
        <w:jc w:val="both"/>
        <w:rPr>
          <w:rFonts w:ascii="Palatino Linotype" w:eastAsiaTheme="minorEastAsia" w:hAnsi="Palatino Linotype"/>
          <w:bCs/>
          <w:i/>
          <w:iCs/>
          <w:lang w:val="es-ES_tradnl" w:eastAsia="es-ES"/>
        </w:rPr>
      </w:pPr>
    </w:p>
    <w:p w14:paraId="7A60A9A0"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F4904">
        <w:rPr>
          <w:rFonts w:ascii="Palatino Linotype" w:eastAsiaTheme="minorEastAsia" w:hAnsi="Palatino Linotype"/>
          <w:lang w:val="es-ES_tradnl" w:eastAsia="es-ES"/>
        </w:rPr>
        <w:lastRenderedPageBreak/>
        <w:t>Para mayor precisión a lo aquí expuesto, lo anterior guarda relación toda vez que en el caso de que el</w:t>
      </w:r>
      <w:r w:rsidRPr="001F4904">
        <w:rPr>
          <w:rFonts w:ascii="Palatino Linotype" w:eastAsiaTheme="minorEastAsia" w:hAnsi="Palatino Linotype"/>
          <w:b/>
          <w:lang w:val="es-ES_tradnl" w:eastAsia="es-ES"/>
        </w:rPr>
        <w:t xml:space="preserve"> </w:t>
      </w:r>
      <w:r w:rsidRPr="001F4904">
        <w:rPr>
          <w:rFonts w:ascii="Palatino Linotype" w:eastAsiaTheme="minorEastAsia" w:hAnsi="Palatino Linotype"/>
          <w:lang w:val="es-ES_tradnl" w:eastAsia="es-ES"/>
        </w:rPr>
        <w:t xml:space="preserve">ahora </w:t>
      </w:r>
      <w:r w:rsidRPr="001F4904">
        <w:rPr>
          <w:rFonts w:ascii="Palatino Linotype" w:eastAsiaTheme="minorEastAsia" w:hAnsi="Palatino Linotype"/>
          <w:b/>
          <w:lang w:val="es-ES_tradnl" w:eastAsia="es-ES"/>
        </w:rPr>
        <w:t>RECURRENTE</w:t>
      </w:r>
      <w:r w:rsidRPr="001F4904">
        <w:rPr>
          <w:rFonts w:ascii="Palatino Linotype" w:eastAsiaTheme="minorEastAsia" w:hAnsi="Palatino Linotype"/>
          <w:lang w:val="es-ES_tradnl" w:eastAsia="es-ES"/>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7A60A9A1" w14:textId="77777777" w:rsidR="001A728C" w:rsidRPr="001F4904" w:rsidRDefault="001A728C" w:rsidP="00462720">
      <w:pPr>
        <w:pStyle w:val="Prrafodelista"/>
        <w:spacing w:line="360" w:lineRule="auto"/>
        <w:ind w:left="644"/>
        <w:rPr>
          <w:rFonts w:ascii="Palatino Linotype" w:eastAsiaTheme="minorEastAsia" w:hAnsi="Palatino Linotype"/>
          <w:bCs/>
          <w:lang w:eastAsia="es-ES"/>
        </w:rPr>
      </w:pPr>
    </w:p>
    <w:p w14:paraId="7A60A9A2" w14:textId="77777777" w:rsidR="001A728C" w:rsidRPr="001F4904" w:rsidRDefault="001A728C" w:rsidP="00462720">
      <w:pPr>
        <w:pStyle w:val="Prrafodelista"/>
        <w:spacing w:line="360" w:lineRule="auto"/>
        <w:ind w:left="644" w:right="618"/>
        <w:jc w:val="both"/>
        <w:rPr>
          <w:rFonts w:ascii="Palatino Linotype" w:eastAsiaTheme="minorEastAsia" w:hAnsi="Palatino Linotype"/>
          <w:bCs/>
          <w:i/>
          <w:lang w:eastAsia="es-ES"/>
        </w:rPr>
      </w:pPr>
      <w:r w:rsidRPr="001F4904">
        <w:rPr>
          <w:rFonts w:ascii="Palatino Linotype" w:eastAsiaTheme="minorEastAsia" w:hAnsi="Palatino Linotype"/>
          <w:b/>
          <w:bCs/>
          <w:i/>
          <w:lang w:eastAsia="es-ES"/>
        </w:rPr>
        <w:t xml:space="preserve">“Actos consentidos tácitamente. Improcedencia de su análisis. </w:t>
      </w:r>
      <w:r w:rsidRPr="001F4904">
        <w:rPr>
          <w:rFonts w:ascii="Palatino Linotype" w:eastAsiaTheme="minorEastAsia" w:hAnsi="Palatino Linotype"/>
          <w:bCs/>
          <w:i/>
          <w:lang w:eastAsia="es-E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A60A9A3" w14:textId="77777777" w:rsidR="001A728C" w:rsidRPr="001F4904" w:rsidRDefault="001A728C" w:rsidP="00462720">
      <w:pPr>
        <w:pStyle w:val="Prrafodelista"/>
        <w:spacing w:line="360" w:lineRule="auto"/>
        <w:ind w:left="644"/>
        <w:rPr>
          <w:rFonts w:ascii="Palatino Linotype" w:eastAsiaTheme="minorEastAsia" w:hAnsi="Palatino Linotype"/>
          <w:bCs/>
          <w:iCs/>
          <w:sz w:val="24"/>
          <w:lang w:eastAsia="es-ES"/>
        </w:rPr>
      </w:pPr>
    </w:p>
    <w:p w14:paraId="7A60A9A4" w14:textId="77777777" w:rsidR="001A728C" w:rsidRPr="001F4904" w:rsidRDefault="001A728C" w:rsidP="00462720">
      <w:pPr>
        <w:numPr>
          <w:ilvl w:val="0"/>
          <w:numId w:val="1"/>
        </w:numPr>
        <w:spacing w:line="360" w:lineRule="auto"/>
        <w:ind w:left="0" w:right="49" w:firstLine="0"/>
        <w:contextualSpacing/>
        <w:jc w:val="both"/>
        <w:rPr>
          <w:rFonts w:ascii="Palatino Linotype" w:eastAsiaTheme="minorEastAsia" w:hAnsi="Palatino Linotype"/>
          <w:bCs/>
          <w:strike/>
          <w:lang w:eastAsia="es-ES"/>
        </w:rPr>
      </w:pPr>
      <w:r w:rsidRPr="001F4904">
        <w:rPr>
          <w:rFonts w:ascii="Palatino Linotype" w:eastAsiaTheme="minorEastAsia" w:hAnsi="Palatino Linotype"/>
          <w:lang w:eastAsia="es-ES"/>
        </w:rPr>
        <w:t xml:space="preserve">Conforme al </w:t>
      </w:r>
      <w:r w:rsidRPr="001F4904">
        <w:rPr>
          <w:rFonts w:ascii="Palatino Linotype" w:eastAsiaTheme="minorEastAsia" w:hAnsi="Palatino Linotype"/>
          <w:lang w:val="es-ES_tradnl" w:eastAsia="es-ES"/>
        </w:rPr>
        <w:t>Criterio</w:t>
      </w:r>
      <w:r w:rsidRPr="001F4904">
        <w:rPr>
          <w:rFonts w:ascii="Palatino Linotype" w:eastAsiaTheme="minorEastAsia" w:hAnsi="Palatino Linotype"/>
          <w:lang w:eastAsia="es-ES"/>
        </w:rPr>
        <w:t xml:space="preserve"> establecido y a todo lo antes expuesto, es improcedente para este Órgano Garante entrar al análisis de las partes de la respuesta del </w:t>
      </w:r>
      <w:r w:rsidRPr="001F4904">
        <w:rPr>
          <w:rFonts w:ascii="Palatino Linotype" w:eastAsiaTheme="minorEastAsia" w:hAnsi="Palatino Linotype"/>
          <w:b/>
          <w:lang w:eastAsia="es-ES"/>
        </w:rPr>
        <w:t>SUJETO OBLIGADO</w:t>
      </w:r>
      <w:r w:rsidRPr="001F4904">
        <w:rPr>
          <w:rFonts w:ascii="Palatino Linotype" w:eastAsiaTheme="minorEastAsia" w:hAnsi="Palatino Linotype"/>
          <w:lang w:eastAsia="es-ES"/>
        </w:rPr>
        <w:t xml:space="preserve"> que no fueron impugnadas por el Recurrente</w:t>
      </w:r>
      <w:r w:rsidRPr="001F4904">
        <w:rPr>
          <w:rFonts w:ascii="Palatino Linotype" w:eastAsiaTheme="minorEastAsia" w:hAnsi="Palatino Linotype"/>
          <w:bCs/>
          <w:lang w:eastAsia="es-ES"/>
        </w:rPr>
        <w:t>; por lo que, en el presente caso, se tiene por consentida la parte de la solicitud donde se requiere.</w:t>
      </w:r>
    </w:p>
    <w:p w14:paraId="7A60A9A5" w14:textId="77777777" w:rsidR="001A728C" w:rsidRPr="001F4904" w:rsidRDefault="001A728C" w:rsidP="00462720">
      <w:pPr>
        <w:spacing w:line="360" w:lineRule="auto"/>
        <w:ind w:right="49"/>
        <w:contextualSpacing/>
        <w:jc w:val="both"/>
        <w:rPr>
          <w:rFonts w:ascii="Palatino Linotype" w:hAnsi="Palatino Linotype"/>
          <w:i/>
          <w:color w:val="000000"/>
        </w:rPr>
      </w:pPr>
    </w:p>
    <w:p w14:paraId="7A60A9A6" w14:textId="77777777" w:rsidR="0093317B" w:rsidRPr="001F4904" w:rsidRDefault="0093317B" w:rsidP="00462720">
      <w:pPr>
        <w:pStyle w:val="Prrafodelista"/>
        <w:numPr>
          <w:ilvl w:val="0"/>
          <w:numId w:val="23"/>
        </w:numPr>
        <w:spacing w:line="360" w:lineRule="auto"/>
        <w:ind w:right="49"/>
        <w:jc w:val="both"/>
        <w:rPr>
          <w:rFonts w:ascii="Palatino Linotype" w:hAnsi="Palatino Linotype"/>
          <w:color w:val="000000"/>
          <w:sz w:val="24"/>
        </w:rPr>
      </w:pPr>
      <w:r w:rsidRPr="001F4904">
        <w:rPr>
          <w:rFonts w:ascii="Palatino Linotype" w:hAnsi="Palatino Linotype"/>
          <w:color w:val="000000"/>
          <w:sz w:val="24"/>
        </w:rPr>
        <w:t>Día, mes y año en que se recibió cada llamada</w:t>
      </w:r>
    </w:p>
    <w:p w14:paraId="7A60A9A7" w14:textId="77777777" w:rsidR="0093317B" w:rsidRPr="001F4904" w:rsidRDefault="0093317B" w:rsidP="0046272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1F4904">
        <w:rPr>
          <w:rFonts w:ascii="Palatino Linotype" w:eastAsia="MS Gothic" w:hAnsi="Palatino Linotype" w:cstheme="majorBidi"/>
          <w:lang w:eastAsia="es-ES"/>
        </w:rPr>
        <w:t>Al respecto, se confirma que es información que ciertamente fue solicitada desde la solicitud de información inicial; asimismo que del archivo remitido en respuesta se desprende que efectivamente no obran los rubros de referencia, sino únicamente el total global</w:t>
      </w:r>
      <w:r w:rsidR="001D1967" w:rsidRPr="001F4904">
        <w:rPr>
          <w:rFonts w:ascii="Palatino Linotype" w:eastAsia="MS Gothic" w:hAnsi="Palatino Linotype" w:cstheme="majorBidi"/>
          <w:lang w:eastAsia="es-ES"/>
        </w:rPr>
        <w:t xml:space="preserve"> por municipios, año e incidente. De modo tal que resultan procedentes las razones o motivos de inconformidad.</w:t>
      </w:r>
    </w:p>
    <w:p w14:paraId="7A60A9A8" w14:textId="77777777" w:rsidR="00462720" w:rsidRPr="001F4904" w:rsidRDefault="00462720" w:rsidP="00462720">
      <w:pPr>
        <w:spacing w:line="360" w:lineRule="auto"/>
        <w:ind w:right="49"/>
        <w:contextualSpacing/>
        <w:jc w:val="both"/>
        <w:rPr>
          <w:rFonts w:ascii="Palatino Linotype" w:eastAsia="MS Gothic" w:hAnsi="Palatino Linotype" w:cstheme="majorBidi"/>
          <w:lang w:eastAsia="es-ES"/>
        </w:rPr>
      </w:pPr>
    </w:p>
    <w:p w14:paraId="7A60A9A9" w14:textId="77777777" w:rsidR="001D1967" w:rsidRPr="001F4904" w:rsidRDefault="001D1967" w:rsidP="00462720">
      <w:pPr>
        <w:numPr>
          <w:ilvl w:val="0"/>
          <w:numId w:val="1"/>
        </w:numPr>
        <w:spacing w:line="360" w:lineRule="auto"/>
        <w:ind w:left="0" w:right="49" w:firstLine="0"/>
        <w:contextualSpacing/>
        <w:jc w:val="both"/>
        <w:rPr>
          <w:rFonts w:ascii="Palatino Linotype" w:hAnsi="Palatino Linotype"/>
          <w:color w:val="000000"/>
        </w:rPr>
      </w:pPr>
      <w:r w:rsidRPr="001F4904">
        <w:rPr>
          <w:rFonts w:ascii="Palatino Linotype" w:eastAsia="MS Gothic" w:hAnsi="Palatino Linotype" w:cstheme="majorBidi"/>
          <w:lang w:eastAsia="es-ES"/>
        </w:rPr>
        <w:t xml:space="preserve">No obstante, en un hecho posterior a la interposición del recurso de revisión como lo es la etapa de manifestaciones, en calidad de informe justificado, el </w:t>
      </w:r>
      <w:r w:rsidRPr="001F4904">
        <w:rPr>
          <w:rFonts w:ascii="Palatino Linotype" w:eastAsia="MS Gothic" w:hAnsi="Palatino Linotype" w:cstheme="majorBidi"/>
          <w:b/>
          <w:lang w:eastAsia="es-ES"/>
        </w:rPr>
        <w:t xml:space="preserve">SUJETO OBLIGADO </w:t>
      </w:r>
      <w:r w:rsidRPr="001F4904">
        <w:rPr>
          <w:rFonts w:ascii="Palatino Linotype" w:eastAsia="MS Gothic" w:hAnsi="Palatino Linotype" w:cstheme="majorBidi"/>
          <w:lang w:eastAsia="es-ES"/>
        </w:rPr>
        <w:t xml:space="preserve">modificó su respuesta inicial al remitir una nueva base de datos de la cual se desprenden los rubros requeridos, relativos a </w:t>
      </w:r>
      <w:r w:rsidRPr="001F4904">
        <w:rPr>
          <w:rFonts w:ascii="Palatino Linotype" w:hAnsi="Palatino Linotype"/>
          <w:color w:val="000000"/>
        </w:rPr>
        <w:t>día, mes y año en que se recibió cada llamada, como se observa del siguiente ejemplo:</w:t>
      </w:r>
    </w:p>
    <w:p w14:paraId="7A60A9AA" w14:textId="77777777" w:rsidR="001D1967" w:rsidRPr="001F4904" w:rsidRDefault="001D1967" w:rsidP="00462720">
      <w:pPr>
        <w:spacing w:line="360" w:lineRule="auto"/>
        <w:ind w:right="49"/>
        <w:contextualSpacing/>
        <w:jc w:val="both"/>
        <w:rPr>
          <w:rFonts w:ascii="Palatino Linotype" w:hAnsi="Palatino Linotype"/>
          <w:color w:val="000000"/>
        </w:rPr>
      </w:pPr>
    </w:p>
    <w:p w14:paraId="7A60A9AB" w14:textId="77777777" w:rsidR="001D1967" w:rsidRPr="001F4904" w:rsidRDefault="001D1967" w:rsidP="00462720">
      <w:pPr>
        <w:spacing w:line="360" w:lineRule="auto"/>
        <w:ind w:right="49"/>
        <w:contextualSpacing/>
        <w:jc w:val="center"/>
        <w:rPr>
          <w:rFonts w:ascii="Palatino Linotype" w:hAnsi="Palatino Linotype"/>
          <w:color w:val="000000"/>
        </w:rPr>
      </w:pPr>
      <w:r w:rsidRPr="001F4904">
        <w:rPr>
          <w:rFonts w:ascii="Palatino Linotype" w:hAnsi="Palatino Linotype"/>
          <w:noProof/>
          <w:color w:val="000000"/>
        </w:rPr>
        <w:drawing>
          <wp:inline distT="0" distB="0" distL="0" distR="0" wp14:anchorId="7A60AA22" wp14:editId="7A60AA23">
            <wp:extent cx="5276850" cy="986491"/>
            <wp:effectExtent l="19050" t="19050" r="1905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594" cy="989995"/>
                    </a:xfrm>
                    <a:prstGeom prst="rect">
                      <a:avLst/>
                    </a:prstGeom>
                    <a:noFill/>
                    <a:ln>
                      <a:solidFill>
                        <a:schemeClr val="tx1"/>
                      </a:solidFill>
                    </a:ln>
                  </pic:spPr>
                </pic:pic>
              </a:graphicData>
            </a:graphic>
          </wp:inline>
        </w:drawing>
      </w:r>
    </w:p>
    <w:p w14:paraId="7A60A9AC" w14:textId="77777777" w:rsidR="001D1967" w:rsidRPr="001F4904" w:rsidRDefault="001D1967" w:rsidP="00462720">
      <w:pPr>
        <w:spacing w:line="360" w:lineRule="auto"/>
        <w:ind w:right="49"/>
        <w:contextualSpacing/>
        <w:jc w:val="center"/>
        <w:rPr>
          <w:rFonts w:ascii="Palatino Linotype" w:hAnsi="Palatino Linotype"/>
          <w:color w:val="000000"/>
        </w:rPr>
      </w:pPr>
    </w:p>
    <w:p w14:paraId="7A60A9AD" w14:textId="77777777" w:rsidR="001D1967" w:rsidRPr="001F4904" w:rsidRDefault="001D1967" w:rsidP="0046272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1F4904">
        <w:rPr>
          <w:rFonts w:ascii="Palatino Linotype" w:eastAsia="MS Gothic" w:hAnsi="Palatino Linotype" w:cstheme="majorBidi"/>
          <w:lang w:eastAsia="es-ES"/>
        </w:rPr>
        <w:t xml:space="preserve">De lo anterior, se aprecia que constan el día, mes y año, así como el año, municipio y tipo de incidente. Con lo anterior, se considera que el </w:t>
      </w:r>
      <w:r w:rsidRPr="001F4904">
        <w:rPr>
          <w:rFonts w:ascii="Palatino Linotype" w:eastAsia="MS Gothic" w:hAnsi="Palatino Linotype" w:cstheme="majorBidi"/>
          <w:b/>
          <w:lang w:eastAsia="es-ES"/>
        </w:rPr>
        <w:t>SUJETO OBLIGADO</w:t>
      </w:r>
      <w:r w:rsidRPr="001F4904">
        <w:rPr>
          <w:rFonts w:ascii="Palatino Linotype" w:eastAsia="MS Gothic" w:hAnsi="Palatino Linotype" w:cstheme="majorBidi"/>
          <w:lang w:eastAsia="es-ES"/>
        </w:rPr>
        <w:t xml:space="preserve"> colma la solicitud combatida al ser entregada la información requerida, misma que consta en datos abiertos como fuera requerida por el particular en su solicitud de información.</w:t>
      </w:r>
    </w:p>
    <w:p w14:paraId="7A60A9AE" w14:textId="77777777" w:rsidR="001D1967" w:rsidRPr="001F4904" w:rsidRDefault="001D1967" w:rsidP="00462720">
      <w:pPr>
        <w:spacing w:line="360" w:lineRule="auto"/>
        <w:ind w:right="49"/>
        <w:contextualSpacing/>
        <w:jc w:val="both"/>
        <w:rPr>
          <w:rFonts w:ascii="Palatino Linotype" w:eastAsia="MS Gothic" w:hAnsi="Palatino Linotype" w:cstheme="majorBidi"/>
          <w:lang w:eastAsia="es-ES"/>
        </w:rPr>
      </w:pPr>
    </w:p>
    <w:p w14:paraId="7A60A9AF" w14:textId="77777777" w:rsidR="00CF42A6" w:rsidRPr="001F4904" w:rsidRDefault="00CF42A6" w:rsidP="00462720">
      <w:pPr>
        <w:pStyle w:val="Prrafodelista"/>
        <w:numPr>
          <w:ilvl w:val="0"/>
          <w:numId w:val="1"/>
        </w:numPr>
        <w:tabs>
          <w:tab w:val="left" w:pos="284"/>
        </w:tabs>
        <w:spacing w:line="360" w:lineRule="auto"/>
        <w:ind w:left="0" w:firstLine="0"/>
        <w:jc w:val="both"/>
        <w:rPr>
          <w:rFonts w:ascii="Palatino Linotype" w:hAnsi="Palatino Linotype"/>
          <w:color w:val="000000"/>
          <w:sz w:val="24"/>
        </w:rPr>
      </w:pPr>
      <w:r w:rsidRPr="001F4904">
        <w:rPr>
          <w:rFonts w:ascii="Palatino Linotype" w:eastAsia="MS Gothic" w:hAnsi="Palatino Linotype" w:cstheme="majorBidi"/>
          <w:sz w:val="24"/>
          <w:lang w:eastAsia="es-ES"/>
        </w:rPr>
        <w:t xml:space="preserve">Por otro lado, </w:t>
      </w:r>
      <w:r w:rsidRPr="001F4904">
        <w:rPr>
          <w:rFonts w:ascii="Palatino Linotype" w:hAnsi="Palatino Linotype" w:cs="Arial"/>
          <w:sz w:val="24"/>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Pr="001F4904">
        <w:rPr>
          <w:rFonts w:ascii="Palatino Linotype" w:hAnsi="Palatino Linotype"/>
          <w:i/>
          <w:color w:val="000000"/>
          <w:sz w:val="24"/>
        </w:rPr>
        <w:t>máxime</w:t>
      </w:r>
      <w:r w:rsidRPr="001F4904">
        <w:rPr>
          <w:rFonts w:ascii="Palatino Linotype" w:hAnsi="Palatino Linotype"/>
          <w:color w:val="000000"/>
          <w:sz w:val="24"/>
        </w:rPr>
        <w:t xml:space="preserve"> que al momento que ponen a disposición ésta, la misma tiene el carácter oficial y se presume veraz, tan es así que la misma queda registrada en el Sistema de Acceso a la Información Mexiquense (SAIMEX).</w:t>
      </w:r>
    </w:p>
    <w:p w14:paraId="7A60A9B0" w14:textId="77777777" w:rsidR="00462720" w:rsidRPr="001F4904" w:rsidRDefault="00462720" w:rsidP="00462720">
      <w:pPr>
        <w:pStyle w:val="Prrafodelista"/>
        <w:rPr>
          <w:rFonts w:ascii="Palatino Linotype" w:hAnsi="Palatino Linotype"/>
          <w:color w:val="000000"/>
          <w:sz w:val="24"/>
        </w:rPr>
      </w:pPr>
    </w:p>
    <w:p w14:paraId="7A60A9B1" w14:textId="77777777" w:rsidR="00CF42A6" w:rsidRPr="001F4904" w:rsidRDefault="00CF42A6" w:rsidP="00462720">
      <w:pPr>
        <w:pStyle w:val="Default"/>
        <w:numPr>
          <w:ilvl w:val="0"/>
          <w:numId w:val="1"/>
        </w:numPr>
        <w:tabs>
          <w:tab w:val="left" w:pos="284"/>
        </w:tabs>
        <w:spacing w:line="360" w:lineRule="auto"/>
        <w:ind w:left="0" w:firstLine="0"/>
        <w:jc w:val="both"/>
        <w:rPr>
          <w:rFonts w:ascii="Palatino Linotype" w:hAnsi="Palatino Linotype"/>
        </w:rPr>
      </w:pPr>
      <w:r w:rsidRPr="001F4904">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14:paraId="7A60A9B2" w14:textId="77777777" w:rsidR="00CF42A6" w:rsidRPr="001F4904" w:rsidRDefault="00CF42A6" w:rsidP="00462720">
      <w:pPr>
        <w:pStyle w:val="Default"/>
        <w:spacing w:line="360" w:lineRule="auto"/>
        <w:ind w:left="851" w:right="850"/>
        <w:jc w:val="both"/>
        <w:rPr>
          <w:rFonts w:ascii="Palatino Linotype" w:hAnsi="Palatino Linotype"/>
          <w:i/>
          <w:sz w:val="22"/>
        </w:rPr>
      </w:pPr>
      <w:r w:rsidRPr="001F4904">
        <w:rPr>
          <w:rFonts w:ascii="Palatino Linotype" w:hAnsi="Palatino Linotype"/>
          <w:i/>
          <w:sz w:val="22"/>
        </w:rPr>
        <w:t xml:space="preserve">El Instituto Federal de Acceso a la Información y Protección de Datos </w:t>
      </w:r>
      <w:r w:rsidRPr="001F4904">
        <w:rPr>
          <w:rFonts w:ascii="Palatino Linotype" w:hAnsi="Palatino Linotype"/>
          <w:b/>
          <w:i/>
          <w:sz w:val="22"/>
        </w:rPr>
        <w:t>no cuenta con facultades para pronunciarse respecto de la veracidad de los documentos proporcionados por los sujetos obligados.</w:t>
      </w:r>
      <w:r w:rsidRPr="001F490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A60A9B3" w14:textId="77777777" w:rsidR="00CF42A6" w:rsidRPr="001F4904" w:rsidRDefault="00CF42A6" w:rsidP="00462720">
      <w:pPr>
        <w:pStyle w:val="Default"/>
        <w:spacing w:line="360" w:lineRule="auto"/>
        <w:ind w:left="851" w:right="850"/>
        <w:jc w:val="both"/>
        <w:rPr>
          <w:rFonts w:ascii="Palatino Linotype" w:hAnsi="Palatino Linotype"/>
          <w:i/>
        </w:rPr>
      </w:pPr>
    </w:p>
    <w:p w14:paraId="7A60A9B4" w14:textId="77777777" w:rsidR="00CF42A6" w:rsidRPr="001F4904" w:rsidRDefault="00CF42A6" w:rsidP="00462720">
      <w:pPr>
        <w:pStyle w:val="Prrafodelista"/>
        <w:numPr>
          <w:ilvl w:val="0"/>
          <w:numId w:val="1"/>
        </w:numPr>
        <w:spacing w:line="360" w:lineRule="auto"/>
        <w:ind w:left="0" w:firstLine="0"/>
        <w:jc w:val="both"/>
        <w:rPr>
          <w:rFonts w:ascii="Palatino Linotype" w:hAnsi="Palatino Linotype" w:cs="Arial"/>
          <w:sz w:val="24"/>
        </w:rPr>
      </w:pPr>
      <w:r w:rsidRPr="001F4904">
        <w:rPr>
          <w:rFonts w:ascii="Palatino Linotype" w:hAnsi="Palatino Linotype" w:cs="Arial"/>
          <w:sz w:val="24"/>
        </w:rPr>
        <w:t xml:space="preserve">Así mismo, la </w:t>
      </w:r>
      <w:r w:rsidRPr="001F4904">
        <w:rPr>
          <w:rFonts w:ascii="Palatino Linotype" w:hAnsi="Palatino Linotype" w:cs="Arial"/>
          <w:b/>
          <w:sz w:val="24"/>
        </w:rPr>
        <w:t>Ley de Transparencia y Acceso a la Información Pública del Estado de México y Municipios</w:t>
      </w:r>
      <w:r w:rsidRPr="001F4904">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A60A9B5" w14:textId="77777777" w:rsidR="00CF42A6" w:rsidRPr="001F4904" w:rsidRDefault="00CF42A6" w:rsidP="00462720">
      <w:pPr>
        <w:pStyle w:val="Prrafodelista"/>
        <w:spacing w:line="360" w:lineRule="auto"/>
        <w:ind w:left="0"/>
        <w:jc w:val="both"/>
        <w:rPr>
          <w:rFonts w:ascii="Palatino Linotype" w:hAnsi="Palatino Linotype" w:cs="Arial"/>
          <w:sz w:val="24"/>
        </w:rPr>
      </w:pPr>
    </w:p>
    <w:p w14:paraId="7A60A9B6" w14:textId="77777777" w:rsidR="00CF42A6" w:rsidRPr="001F4904" w:rsidRDefault="00CF42A6" w:rsidP="00462720">
      <w:pPr>
        <w:pStyle w:val="Prrafodelista"/>
        <w:spacing w:line="360" w:lineRule="auto"/>
        <w:ind w:left="644" w:right="902"/>
        <w:jc w:val="both"/>
        <w:rPr>
          <w:rFonts w:ascii="Palatino Linotype" w:hAnsi="Palatino Linotype" w:cs="Arial"/>
          <w:b/>
          <w:i/>
        </w:rPr>
      </w:pPr>
      <w:r w:rsidRPr="001F4904">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F4904">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A60A9B7" w14:textId="77777777" w:rsidR="00CF42A6" w:rsidRPr="001F4904" w:rsidRDefault="00CF42A6" w:rsidP="00462720">
      <w:pPr>
        <w:spacing w:line="360" w:lineRule="auto"/>
        <w:ind w:right="902"/>
        <w:jc w:val="both"/>
        <w:rPr>
          <w:rFonts w:ascii="Palatino Linotype" w:hAnsi="Palatino Linotype" w:cs="Arial"/>
          <w:b/>
          <w:i/>
        </w:rPr>
      </w:pPr>
    </w:p>
    <w:p w14:paraId="7A60A9B8" w14:textId="77777777" w:rsidR="00CF42A6" w:rsidRPr="001F4904" w:rsidRDefault="00CF42A6" w:rsidP="00462720">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1F4904">
        <w:rPr>
          <w:rFonts w:ascii="Palatino Linotype" w:hAnsi="Palatino Linotype" w:cs="Arial"/>
          <w:noProof/>
          <w:sz w:val="24"/>
        </w:rPr>
        <w:t xml:space="preserve">Numerales que compelen al </w:t>
      </w:r>
      <w:r w:rsidRPr="001F4904">
        <w:rPr>
          <w:rFonts w:ascii="Palatino Linotype" w:hAnsi="Palatino Linotype" w:cs="Arial"/>
          <w:b/>
          <w:noProof/>
          <w:sz w:val="24"/>
        </w:rPr>
        <w:t>SUJETO OBLIGADO</w:t>
      </w:r>
      <w:r w:rsidRPr="001F4904">
        <w:rPr>
          <w:rFonts w:ascii="Palatino Linotype" w:hAnsi="Palatino Linotype" w:cs="Arial"/>
          <w:noProof/>
          <w:sz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1F4904">
        <w:rPr>
          <w:rFonts w:ascii="Palatino Linotype" w:eastAsia="MS Gothic" w:hAnsi="Palatino Linotype" w:cstheme="majorBidi"/>
          <w:sz w:val="24"/>
          <w:lang w:eastAsia="es-ES"/>
        </w:rPr>
        <w:t>.</w:t>
      </w:r>
    </w:p>
    <w:p w14:paraId="7A60A9B9" w14:textId="77777777" w:rsidR="00CF42A6" w:rsidRPr="001F4904" w:rsidRDefault="00CF42A6" w:rsidP="00462720">
      <w:pPr>
        <w:pStyle w:val="Prrafodelista"/>
        <w:tabs>
          <w:tab w:val="left" w:pos="284"/>
        </w:tabs>
        <w:spacing w:line="360" w:lineRule="auto"/>
        <w:ind w:left="0" w:right="51"/>
        <w:jc w:val="both"/>
        <w:rPr>
          <w:rFonts w:ascii="Palatino Linotype" w:hAnsi="Palatino Linotype" w:cs="Arial"/>
          <w:noProof/>
          <w:sz w:val="24"/>
        </w:rPr>
      </w:pPr>
    </w:p>
    <w:p w14:paraId="7A60A9BA" w14:textId="77777777" w:rsidR="00CF42A6" w:rsidRPr="001F4904" w:rsidRDefault="00CF42A6" w:rsidP="0069712C">
      <w:pPr>
        <w:pStyle w:val="Prrafodelista"/>
        <w:numPr>
          <w:ilvl w:val="0"/>
          <w:numId w:val="1"/>
        </w:numPr>
        <w:spacing w:line="360" w:lineRule="auto"/>
        <w:ind w:left="0" w:firstLine="0"/>
        <w:jc w:val="both"/>
        <w:rPr>
          <w:rFonts w:ascii="Palatino Linotype" w:hAnsi="Palatino Linotype"/>
          <w:lang w:val="es-ES" w:eastAsia="es-ES"/>
        </w:rPr>
      </w:pPr>
      <w:r w:rsidRPr="001F4904">
        <w:rPr>
          <w:rFonts w:ascii="Palatino Linotype" w:hAnsi="Palatino Linotype"/>
          <w:lang w:eastAsia="es-ES"/>
        </w:rPr>
        <w:t xml:space="preserve">Así, </w:t>
      </w:r>
      <w:r w:rsidRPr="001F4904">
        <w:rPr>
          <w:rFonts w:ascii="Palatino Linotype" w:hAnsi="Palatino Linotype"/>
          <w:lang w:val="es-ES_tradnl" w:eastAsia="es-ES"/>
        </w:rPr>
        <w:t xml:space="preserve">por lo que hace a las causas de sobreseimiento contenidas en la fracción III del artículo 192 de la </w:t>
      </w:r>
      <w:r w:rsidRPr="001F4904">
        <w:rPr>
          <w:rFonts w:ascii="Palatino Linotype" w:hAnsi="Palatino Linotype"/>
          <w:b/>
          <w:lang w:val="es-ES_tradnl" w:eastAsia="es-ES"/>
        </w:rPr>
        <w:t>Ley de Transparencia y Acceso a la Información Pública del Estado de México y Municipios</w:t>
      </w:r>
      <w:r w:rsidRPr="001F4904">
        <w:rPr>
          <w:rFonts w:ascii="Palatino Linotype" w:hAnsi="Palatino Linotype"/>
          <w:lang w:val="es-ES_tradnl" w:eastAsia="es-ES"/>
        </w:rPr>
        <w:t xml:space="preserve">, es oportuno señalar que estos requisitos privilegian la existencia de elementos de fondo, tales como el desistimiento o fallecimiento del </w:t>
      </w:r>
      <w:r w:rsidRPr="001F4904">
        <w:rPr>
          <w:rFonts w:ascii="Palatino Linotype" w:hAnsi="Palatino Linotype"/>
          <w:b/>
          <w:lang w:val="es-ES_tradnl" w:eastAsia="es-ES"/>
        </w:rPr>
        <w:t>RECURRENTE</w:t>
      </w:r>
      <w:r w:rsidRPr="001F4904">
        <w:rPr>
          <w:rFonts w:ascii="Palatino Linotype" w:hAnsi="Palatino Linotype"/>
          <w:lang w:val="es-ES_tradnl" w:eastAsia="es-ES"/>
        </w:rPr>
        <w:t xml:space="preserve"> o que el </w:t>
      </w:r>
      <w:r w:rsidRPr="001F4904">
        <w:rPr>
          <w:rFonts w:ascii="Palatino Linotype" w:hAnsi="Palatino Linotype"/>
          <w:b/>
          <w:lang w:val="es-ES_tradnl" w:eastAsia="es-ES"/>
        </w:rPr>
        <w:t>SUJETO OBLIGADO</w:t>
      </w:r>
      <w:r w:rsidRPr="001F4904">
        <w:rPr>
          <w:rFonts w:ascii="Palatino Linotype" w:hAnsi="Palatino Linotype"/>
          <w:lang w:val="es-ES_tradnl" w:eastAsia="es-ES"/>
        </w:rPr>
        <w:t xml:space="preserve"> </w:t>
      </w:r>
      <w:r w:rsidRPr="001F4904">
        <w:rPr>
          <w:rFonts w:ascii="Palatino Linotype" w:hAnsi="Palatino Linotype"/>
          <w:b/>
          <w:u w:val="single"/>
          <w:lang w:val="es-ES_tradnl" w:eastAsia="es-ES"/>
        </w:rPr>
        <w:t>modifique o revoque el acto</w:t>
      </w:r>
      <w:r w:rsidRPr="001F4904">
        <w:rPr>
          <w:rFonts w:ascii="Palatino Linotype" w:hAnsi="Palatino Linotype"/>
          <w:lang w:val="es-ES_tradnl" w:eastAsia="es-ES"/>
        </w:rPr>
        <w:t>; de ahí que la actualización de alguno de éstos trae como consecuencia que el medio de impugnación se concluya sin que se analice el objeto de estudio planteado, es decir se sobresea.</w:t>
      </w:r>
    </w:p>
    <w:p w14:paraId="7A60A9BB" w14:textId="77777777" w:rsidR="00CF42A6" w:rsidRPr="001F4904" w:rsidRDefault="00CF42A6" w:rsidP="00462720">
      <w:pPr>
        <w:spacing w:line="360" w:lineRule="auto"/>
        <w:contextualSpacing/>
        <w:jc w:val="both"/>
        <w:rPr>
          <w:rFonts w:ascii="Palatino Linotype" w:hAnsi="Palatino Linotype"/>
          <w:lang w:val="es-ES" w:eastAsia="es-ES"/>
        </w:rPr>
      </w:pPr>
    </w:p>
    <w:p w14:paraId="7A60A9BC"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 w:eastAsia="es-ES"/>
        </w:rPr>
      </w:pPr>
      <w:r w:rsidRPr="001F4904">
        <w:rPr>
          <w:rFonts w:ascii="Palatino Linotype" w:hAnsi="Palatino Linotype"/>
          <w:lang w:val="es-ES_tradnl" w:eastAsia="es-ES"/>
        </w:rPr>
        <w:lastRenderedPageBreak/>
        <w:t xml:space="preserve">Para los efectos de esta resolución, es oportuno precisar los alcances jurídicos de la fracción III de la disposición legal transcrita. Así, procede el sobreseimiento del recurso de revisión cuando el </w:t>
      </w:r>
      <w:r w:rsidRPr="001F4904">
        <w:rPr>
          <w:rFonts w:ascii="Palatino Linotype" w:hAnsi="Palatino Linotype"/>
          <w:b/>
          <w:lang w:val="es-ES_tradnl" w:eastAsia="es-ES"/>
        </w:rPr>
        <w:t>SUJETO OBLIGADO</w:t>
      </w:r>
      <w:r w:rsidRPr="001F4904">
        <w:rPr>
          <w:rFonts w:ascii="Palatino Linotype" w:hAnsi="Palatino Linotype"/>
          <w:lang w:val="es-ES_tradnl" w:eastAsia="es-ES"/>
        </w:rPr>
        <w:t>:</w:t>
      </w:r>
    </w:p>
    <w:p w14:paraId="7A60A9BD" w14:textId="77777777" w:rsidR="00CF42A6" w:rsidRPr="001F4904" w:rsidRDefault="00CF42A6" w:rsidP="00462720">
      <w:pPr>
        <w:spacing w:line="360" w:lineRule="auto"/>
        <w:contextualSpacing/>
        <w:jc w:val="both"/>
        <w:rPr>
          <w:rFonts w:ascii="Palatino Linotype" w:hAnsi="Palatino Linotype"/>
          <w:lang w:val="es-ES" w:eastAsia="es-ES"/>
        </w:rPr>
      </w:pPr>
    </w:p>
    <w:p w14:paraId="7A60A9BE" w14:textId="77777777" w:rsidR="00CF42A6" w:rsidRPr="001F4904" w:rsidRDefault="00CF42A6" w:rsidP="00462720">
      <w:pPr>
        <w:numPr>
          <w:ilvl w:val="0"/>
          <w:numId w:val="13"/>
        </w:numPr>
        <w:spacing w:line="360" w:lineRule="auto"/>
        <w:ind w:left="567" w:right="616" w:firstLine="0"/>
        <w:contextualSpacing/>
        <w:jc w:val="both"/>
        <w:rPr>
          <w:rFonts w:ascii="Palatino Linotype" w:eastAsiaTheme="minorEastAsia" w:hAnsi="Palatino Linotype" w:cs="Arial"/>
          <w:sz w:val="22"/>
          <w:lang w:val="es-ES_tradnl" w:eastAsia="es-ES"/>
        </w:rPr>
      </w:pPr>
      <w:r w:rsidRPr="001F4904">
        <w:rPr>
          <w:rFonts w:ascii="Palatino Linotype" w:eastAsiaTheme="minorEastAsia" w:hAnsi="Palatino Linotype" w:cs="Arial"/>
          <w:b/>
          <w:sz w:val="22"/>
          <w:lang w:val="es-ES_tradnl" w:eastAsia="es-ES"/>
        </w:rPr>
        <w:t>Modifique el acto impugnado:</w:t>
      </w:r>
      <w:r w:rsidRPr="001F4904">
        <w:rPr>
          <w:rFonts w:ascii="Palatino Linotype" w:eastAsiaTheme="minorEastAsia" w:hAnsi="Palatino Linotype" w:cs="Arial"/>
          <w:sz w:val="22"/>
          <w:lang w:val="es-ES_tradnl" w:eastAsia="es-ES"/>
        </w:rPr>
        <w:t xml:space="preserve"> Se actualiza cuando el </w:t>
      </w:r>
      <w:r w:rsidRPr="001F4904">
        <w:rPr>
          <w:rFonts w:ascii="Palatino Linotype" w:eastAsiaTheme="minorEastAsia" w:hAnsi="Palatino Linotype" w:cs="Arial"/>
          <w:b/>
          <w:sz w:val="22"/>
          <w:lang w:val="es-ES_tradnl" w:eastAsia="es-ES"/>
        </w:rPr>
        <w:t>SUJETO OBLIGADO</w:t>
      </w:r>
      <w:r w:rsidRPr="001F4904">
        <w:rPr>
          <w:rFonts w:ascii="Palatino Linotype" w:eastAsiaTheme="minorEastAsia" w:hAnsi="Palatino Linotype" w:cs="Arial"/>
          <w:sz w:val="22"/>
          <w:lang w:val="es-ES_tradnl" w:eastAsia="es-ES"/>
        </w:rPr>
        <w:t xml:space="preserve"> después de haber otorgado una respuesta y hasta antes de dictada la resolución del recurso de revisión, emite una diversa en la que subsane las deficiencias que hubiera tenido.</w:t>
      </w:r>
    </w:p>
    <w:p w14:paraId="7A60A9BF" w14:textId="77777777" w:rsidR="00CF42A6" w:rsidRPr="001F4904" w:rsidRDefault="00CF42A6" w:rsidP="00462720">
      <w:pPr>
        <w:spacing w:line="360" w:lineRule="auto"/>
        <w:ind w:left="1068" w:right="567"/>
        <w:contextualSpacing/>
        <w:jc w:val="both"/>
        <w:rPr>
          <w:rFonts w:ascii="Palatino Linotype" w:eastAsiaTheme="minorEastAsia" w:hAnsi="Palatino Linotype" w:cs="Arial"/>
          <w:sz w:val="22"/>
          <w:lang w:val="es-ES_tradnl" w:eastAsia="es-ES"/>
        </w:rPr>
      </w:pPr>
    </w:p>
    <w:p w14:paraId="7A60A9C0" w14:textId="77777777" w:rsidR="00CF42A6" w:rsidRPr="001F4904" w:rsidRDefault="00CF42A6" w:rsidP="00462720">
      <w:pPr>
        <w:numPr>
          <w:ilvl w:val="0"/>
          <w:numId w:val="13"/>
        </w:numPr>
        <w:spacing w:line="360" w:lineRule="auto"/>
        <w:ind w:left="567" w:right="616" w:firstLine="0"/>
        <w:contextualSpacing/>
        <w:jc w:val="both"/>
        <w:rPr>
          <w:rFonts w:ascii="Palatino Linotype" w:eastAsiaTheme="minorEastAsia" w:hAnsi="Palatino Linotype" w:cs="Arial"/>
          <w:sz w:val="22"/>
          <w:lang w:val="es-ES_tradnl" w:eastAsia="es-ES"/>
        </w:rPr>
      </w:pPr>
      <w:r w:rsidRPr="001F4904">
        <w:rPr>
          <w:rFonts w:ascii="Palatino Linotype" w:eastAsiaTheme="minorEastAsia" w:hAnsi="Palatino Linotype" w:cs="Arial"/>
          <w:b/>
          <w:sz w:val="22"/>
          <w:lang w:val="es-ES_tradnl" w:eastAsia="es-ES"/>
        </w:rPr>
        <w:t>Revoque el acto impugnado:</w:t>
      </w:r>
      <w:r w:rsidRPr="001F4904">
        <w:rPr>
          <w:rFonts w:ascii="Palatino Linotype" w:eastAsiaTheme="minorEastAsia" w:hAnsi="Palatino Linotype" w:cs="Arial"/>
          <w:sz w:val="22"/>
          <w:lang w:val="es-ES_tradnl" w:eastAsia="es-ES"/>
        </w:rPr>
        <w:t xml:space="preserve"> En este supuesto, el </w:t>
      </w:r>
      <w:r w:rsidRPr="001F4904">
        <w:rPr>
          <w:rFonts w:ascii="Palatino Linotype" w:eastAsiaTheme="minorEastAsia" w:hAnsi="Palatino Linotype" w:cs="Arial"/>
          <w:b/>
          <w:sz w:val="22"/>
          <w:lang w:val="es-ES_tradnl" w:eastAsia="es-ES"/>
        </w:rPr>
        <w:t>SUJETO OBLIGADO</w:t>
      </w:r>
      <w:r w:rsidRPr="001F4904">
        <w:rPr>
          <w:rFonts w:ascii="Palatino Linotype" w:eastAsiaTheme="minorEastAsia" w:hAnsi="Palatino Linotype" w:cs="Arial"/>
          <w:sz w:val="22"/>
          <w:lang w:val="es-ES_tradnl" w:eastAsia="es-ES"/>
        </w:rPr>
        <w:t xml:space="preserve"> deja sin efectos la primera respuesta y en su lugar emite otra que satisfaga lo solicitado por el particular en un primer momento.</w:t>
      </w:r>
    </w:p>
    <w:p w14:paraId="7A60A9C1" w14:textId="77777777" w:rsidR="00CF42A6" w:rsidRPr="001F4904" w:rsidRDefault="00CF42A6" w:rsidP="00462720">
      <w:pPr>
        <w:spacing w:line="360" w:lineRule="auto"/>
        <w:ind w:right="616"/>
        <w:contextualSpacing/>
        <w:jc w:val="both"/>
        <w:rPr>
          <w:rFonts w:ascii="Palatino Linotype" w:eastAsiaTheme="minorEastAsia" w:hAnsi="Palatino Linotype" w:cs="Arial"/>
          <w:lang w:val="es-ES_tradnl" w:eastAsia="es-ES"/>
        </w:rPr>
      </w:pPr>
    </w:p>
    <w:p w14:paraId="7A60A9C2" w14:textId="77777777" w:rsidR="00CF42A6" w:rsidRPr="001F4904" w:rsidRDefault="00CF42A6" w:rsidP="0069712C">
      <w:pPr>
        <w:pStyle w:val="Prrafodelista"/>
        <w:numPr>
          <w:ilvl w:val="0"/>
          <w:numId w:val="1"/>
        </w:numPr>
        <w:spacing w:line="360" w:lineRule="auto"/>
        <w:ind w:left="0" w:firstLine="0"/>
        <w:jc w:val="both"/>
        <w:rPr>
          <w:rFonts w:ascii="Palatino Linotype" w:hAnsi="Palatino Linotype"/>
          <w:sz w:val="24"/>
          <w:lang w:val="es-ES_tradnl" w:eastAsia="es-ES"/>
        </w:rPr>
      </w:pPr>
      <w:r w:rsidRPr="001F4904">
        <w:rPr>
          <w:rFonts w:ascii="Palatino Linotype" w:hAnsi="Palatino Linotype"/>
          <w:sz w:val="24"/>
          <w:lang w:val="es-ES_tradnl" w:eastAsia="es-ES"/>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A60A9C3" w14:textId="77777777" w:rsidR="00CF42A6" w:rsidRPr="001F4904" w:rsidRDefault="00CF42A6" w:rsidP="00462720">
      <w:pPr>
        <w:spacing w:line="360" w:lineRule="auto"/>
        <w:contextualSpacing/>
        <w:jc w:val="both"/>
        <w:rPr>
          <w:rFonts w:ascii="Palatino Linotype" w:hAnsi="Palatino Linotype"/>
          <w:lang w:val="es-ES_tradnl" w:eastAsia="es-ES"/>
        </w:rPr>
      </w:pPr>
    </w:p>
    <w:p w14:paraId="7A60A9C4"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 xml:space="preserve">En el presente asunto, este Pleno advierte que el </w:t>
      </w:r>
      <w:r w:rsidRPr="001F4904">
        <w:rPr>
          <w:rFonts w:ascii="Palatino Linotype" w:hAnsi="Palatino Linotype"/>
          <w:b/>
          <w:lang w:val="es-ES_tradnl" w:eastAsia="es-ES"/>
        </w:rPr>
        <w:t>SUJETO OBLIGADO</w:t>
      </w:r>
      <w:r w:rsidRPr="001F4904">
        <w:rPr>
          <w:rFonts w:ascii="Palatino Linotype" w:hAnsi="Palatino Linotype"/>
          <w:lang w:val="es-ES_tradnl" w:eastAsia="es-ES"/>
        </w:rPr>
        <w:t xml:space="preserve"> con la información enviada a través del informe de justificación, </w:t>
      </w:r>
      <w:r w:rsidRPr="001F4904">
        <w:rPr>
          <w:rFonts w:ascii="Palatino Linotype" w:hAnsi="Palatino Linotype"/>
          <w:b/>
          <w:lang w:val="es-ES_tradnl" w:eastAsia="es-ES"/>
        </w:rPr>
        <w:t>modifica</w:t>
      </w:r>
      <w:r w:rsidRPr="001F4904">
        <w:rPr>
          <w:rFonts w:ascii="Palatino Linotype" w:hAnsi="Palatino Linotype"/>
          <w:lang w:val="es-ES_tradnl" w:eastAsia="es-ES"/>
        </w:rPr>
        <w:t xml:space="preserve"> el acto que le dio origen al recurso de revisión, lo que trae como consecuencia que el mismo quede sin materia, actualizándose de este modo, la hipótesis jurídica contenida en la fracción III del citado artículo.</w:t>
      </w:r>
    </w:p>
    <w:p w14:paraId="7A60A9C5" w14:textId="77777777" w:rsidR="00CF42A6" w:rsidRPr="001F4904" w:rsidRDefault="00CF42A6" w:rsidP="00462720">
      <w:pPr>
        <w:spacing w:line="360" w:lineRule="auto"/>
        <w:ind w:left="720"/>
        <w:contextualSpacing/>
        <w:rPr>
          <w:rFonts w:ascii="Palatino Linotype" w:hAnsi="Palatino Linotype"/>
          <w:lang w:val="es-ES_tradnl" w:eastAsia="es-ES"/>
        </w:rPr>
      </w:pPr>
    </w:p>
    <w:p w14:paraId="7A60A9C6"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F4904">
        <w:rPr>
          <w:rFonts w:ascii="Palatino Linotype" w:hAnsi="Palatino Linotype"/>
          <w:b/>
          <w:lang w:val="es-ES_tradnl" w:eastAsia="es-ES"/>
        </w:rPr>
        <w:t>SUJETOS OBLIGADOS</w:t>
      </w:r>
      <w:r w:rsidRPr="001F4904">
        <w:rPr>
          <w:rFonts w:ascii="Palatino Linotype" w:hAnsi="Palatino Linotype"/>
          <w:lang w:val="es-ES_tradnl" w:eastAsia="es-ES"/>
        </w:rPr>
        <w:t xml:space="preserve"> o la negativa de entrega de la misma, derivada de la solicitud de información pública.</w:t>
      </w:r>
    </w:p>
    <w:p w14:paraId="7A60A9C7" w14:textId="77777777" w:rsidR="00CF42A6" w:rsidRPr="001F4904" w:rsidRDefault="00CF42A6" w:rsidP="00462720">
      <w:pPr>
        <w:spacing w:line="360" w:lineRule="auto"/>
        <w:ind w:left="720"/>
        <w:contextualSpacing/>
        <w:rPr>
          <w:rFonts w:ascii="Palatino Linotype" w:hAnsi="Palatino Linotype"/>
          <w:lang w:val="es-ES_tradnl" w:eastAsia="es-ES"/>
        </w:rPr>
      </w:pPr>
    </w:p>
    <w:p w14:paraId="7A60A9C8"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 xml:space="preserve">De este modo, cuando el </w:t>
      </w:r>
      <w:r w:rsidRPr="001F4904">
        <w:rPr>
          <w:rFonts w:ascii="Palatino Linotype" w:hAnsi="Palatino Linotype"/>
          <w:b/>
          <w:lang w:val="es-ES_tradnl" w:eastAsia="es-ES"/>
        </w:rPr>
        <w:t xml:space="preserve">SUJETO OBLIGADO, </w:t>
      </w:r>
      <w:r w:rsidRPr="001F4904">
        <w:rPr>
          <w:rFonts w:ascii="Palatino Linotype" w:hAnsi="Palatino Linotype"/>
          <w:lang w:val="es-ES_tradnl" w:eastAsia="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F4904">
        <w:rPr>
          <w:rFonts w:ascii="Palatino Linotype" w:hAnsi="Palatino Linotype"/>
          <w:i/>
          <w:lang w:val="es-ES_tradnl" w:eastAsia="es-ES"/>
        </w:rPr>
        <w:t>litis</w:t>
      </w:r>
      <w:r w:rsidRPr="001F4904">
        <w:rPr>
          <w:rFonts w:ascii="Palatino Linotype" w:hAnsi="Palatino Linotype"/>
          <w:lang w:val="es-ES_tradnl" w:eastAsia="es-ES"/>
        </w:rPr>
        <w:t xml:space="preserve"> planteada, debido a que la afectación en su esfera de derechos fue restituida por la propia autoridad que emitió el acto motivo de impugnación.</w:t>
      </w:r>
    </w:p>
    <w:p w14:paraId="7A60A9C9" w14:textId="77777777" w:rsidR="00CF42A6" w:rsidRPr="001F4904" w:rsidRDefault="00CF42A6" w:rsidP="00462720">
      <w:pPr>
        <w:spacing w:line="360" w:lineRule="auto"/>
        <w:ind w:left="720"/>
        <w:contextualSpacing/>
        <w:rPr>
          <w:rFonts w:ascii="Palatino Linotype" w:hAnsi="Palatino Linotype"/>
          <w:lang w:val="es-ES_tradnl" w:eastAsia="es-ES"/>
        </w:rPr>
      </w:pPr>
    </w:p>
    <w:p w14:paraId="7A60A9CA"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Sirve de sustento a lo anterior la siguiente jurisprudencia por contradicción, cuyo rubro, texto y datos de identificación son los siguientes:</w:t>
      </w:r>
    </w:p>
    <w:p w14:paraId="7A60A9CB" w14:textId="77777777" w:rsidR="00CF42A6" w:rsidRPr="001F4904" w:rsidRDefault="00CF42A6" w:rsidP="00462720">
      <w:pPr>
        <w:spacing w:line="360" w:lineRule="auto"/>
        <w:ind w:left="567" w:right="616"/>
        <w:contextualSpacing/>
        <w:jc w:val="both"/>
        <w:rPr>
          <w:rFonts w:ascii="Palatino Linotype" w:hAnsi="Palatino Linotype"/>
          <w:lang w:val="es-ES_tradnl" w:eastAsia="es-ES"/>
        </w:rPr>
      </w:pPr>
    </w:p>
    <w:p w14:paraId="7A60A9CC" w14:textId="77777777" w:rsidR="00CF42A6" w:rsidRPr="001F4904" w:rsidRDefault="00CF42A6" w:rsidP="00462720">
      <w:pPr>
        <w:spacing w:line="360" w:lineRule="auto"/>
        <w:ind w:left="567" w:right="616"/>
        <w:contextualSpacing/>
        <w:jc w:val="both"/>
        <w:rPr>
          <w:rFonts w:ascii="Palatino Linotype" w:hAnsi="Palatino Linotype"/>
          <w:i/>
          <w:sz w:val="22"/>
          <w:lang w:val="es-ES_tradnl" w:eastAsia="es-ES"/>
        </w:rPr>
      </w:pPr>
      <w:r w:rsidRPr="001F4904">
        <w:rPr>
          <w:rFonts w:ascii="Palatino Linotype" w:hAnsi="Palatino Linotype"/>
          <w:b/>
          <w:i/>
          <w:sz w:val="22"/>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w:t>
      </w:r>
      <w:r w:rsidRPr="001F4904">
        <w:rPr>
          <w:rFonts w:ascii="Palatino Linotype" w:hAnsi="Palatino Linotype"/>
          <w:b/>
          <w:i/>
          <w:sz w:val="22"/>
          <w:lang w:val="es-ES_tradnl" w:eastAsia="es-ES"/>
        </w:rPr>
        <w:lastRenderedPageBreak/>
        <w:t>PROCEDA.</w:t>
      </w:r>
      <w:r w:rsidRPr="001F4904">
        <w:rPr>
          <w:rFonts w:ascii="Palatino Linotype" w:hAnsi="Palatino Linotype"/>
          <w:i/>
          <w:sz w:val="22"/>
          <w:lang w:val="es-ES_tradnl" w:eastAsia="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A60A9CD" w14:textId="77777777" w:rsidR="00CF42A6" w:rsidRPr="001F4904" w:rsidRDefault="00CF42A6" w:rsidP="00462720">
      <w:pPr>
        <w:spacing w:line="360" w:lineRule="auto"/>
        <w:ind w:left="708"/>
        <w:contextualSpacing/>
        <w:jc w:val="both"/>
        <w:rPr>
          <w:rFonts w:ascii="Palatino Linotype" w:hAnsi="Palatino Linotype"/>
          <w:i/>
          <w:lang w:val="es-ES_tradnl" w:eastAsia="es-ES"/>
        </w:rPr>
      </w:pPr>
    </w:p>
    <w:p w14:paraId="7A60A9CE"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La anterior jurisprudencia resulta aplicable al presente asunto, en dos aspectos:</w:t>
      </w:r>
    </w:p>
    <w:p w14:paraId="7A60A9CF" w14:textId="77777777" w:rsidR="00CF42A6" w:rsidRPr="001F4904" w:rsidRDefault="00CF42A6" w:rsidP="00462720">
      <w:pPr>
        <w:spacing w:line="360" w:lineRule="auto"/>
        <w:ind w:left="426"/>
        <w:contextualSpacing/>
        <w:jc w:val="both"/>
        <w:rPr>
          <w:rFonts w:ascii="Palatino Linotype" w:hAnsi="Palatino Linotype"/>
          <w:sz w:val="22"/>
          <w:lang w:val="es-ES_tradnl" w:eastAsia="es-ES"/>
        </w:rPr>
      </w:pPr>
    </w:p>
    <w:p w14:paraId="7A60A9D0" w14:textId="77777777" w:rsidR="00CF42A6" w:rsidRPr="001F4904" w:rsidRDefault="00CF42A6" w:rsidP="00462720">
      <w:pPr>
        <w:numPr>
          <w:ilvl w:val="0"/>
          <w:numId w:val="15"/>
        </w:numPr>
        <w:spacing w:line="360" w:lineRule="auto"/>
        <w:ind w:left="709" w:right="616" w:hanging="283"/>
        <w:contextualSpacing/>
        <w:jc w:val="both"/>
        <w:rPr>
          <w:rFonts w:ascii="Palatino Linotype" w:hAnsi="Palatino Linotype"/>
          <w:sz w:val="22"/>
          <w:lang w:val="es-ES_tradnl" w:eastAsia="es-ES"/>
        </w:rPr>
      </w:pPr>
      <w:r w:rsidRPr="001F4904">
        <w:rPr>
          <w:rFonts w:ascii="Palatino Linotype" w:hAnsi="Palatino Linotype"/>
          <w:b/>
          <w:sz w:val="22"/>
          <w:lang w:val="es-ES_tradnl" w:eastAsia="es-ES"/>
        </w:rPr>
        <w:t>La cesación de los efectos perniciosos del acto de autoridad:</w:t>
      </w:r>
      <w:r w:rsidRPr="001F4904">
        <w:rPr>
          <w:rFonts w:ascii="Palatino Linotype" w:hAnsi="Palatino Linotype"/>
          <w:sz w:val="22"/>
          <w:lang w:val="es-ES_tradnl" w:eastAsia="es-ES"/>
        </w:rPr>
        <w:t xml:space="preserve"> Al respecto, la Ley de Transparencia contempla la figura jurídica del sobreseimiento cuando el </w:t>
      </w:r>
      <w:r w:rsidRPr="001F4904">
        <w:rPr>
          <w:rFonts w:ascii="Palatino Linotype" w:hAnsi="Palatino Linotype"/>
          <w:b/>
          <w:sz w:val="22"/>
          <w:lang w:val="es-ES_tradnl" w:eastAsia="es-ES"/>
        </w:rPr>
        <w:t>SUJETO OBLIGADO</w:t>
      </w:r>
      <w:r w:rsidRPr="001F4904">
        <w:rPr>
          <w:rFonts w:ascii="Palatino Linotype" w:hAnsi="Palatino Linotype"/>
          <w:sz w:val="22"/>
          <w:lang w:val="es-ES_tradnl" w:eastAsia="es-ES"/>
        </w:rPr>
        <w:t xml:space="preserve"> de </w:t>
      </w:r>
      <w:r w:rsidRPr="001F4904">
        <w:rPr>
          <w:rFonts w:ascii="Palatino Linotype" w:hAnsi="Palatino Linotype"/>
          <w:i/>
          <w:sz w:val="22"/>
          <w:lang w:val="es-ES_tradnl" w:eastAsia="es-ES"/>
        </w:rPr>
        <w:t>motu proprio</w:t>
      </w:r>
      <w:r w:rsidRPr="001F4904">
        <w:rPr>
          <w:rFonts w:ascii="Palatino Linotype" w:hAnsi="Palatino Linotype"/>
          <w:sz w:val="22"/>
          <w:lang w:val="es-ES_tradnl" w:eastAsia="es-ES"/>
        </w:rPr>
        <w:t xml:space="preserve"> modifica o revoca de tal manera el acto motivo de la impugnación que lo deja sin materia; es decir, cesan los efectos de éste y el derecho de acceso a la información pública se encuentra satisfecho.</w:t>
      </w:r>
    </w:p>
    <w:p w14:paraId="7A60A9D1" w14:textId="77777777" w:rsidR="00462720" w:rsidRPr="001F4904" w:rsidRDefault="00462720" w:rsidP="00462720">
      <w:pPr>
        <w:spacing w:line="360" w:lineRule="auto"/>
        <w:ind w:left="709" w:right="616" w:hanging="283"/>
        <w:contextualSpacing/>
        <w:jc w:val="both"/>
        <w:rPr>
          <w:rFonts w:ascii="Palatino Linotype" w:hAnsi="Palatino Linotype"/>
          <w:sz w:val="22"/>
          <w:lang w:val="es-ES_tradnl" w:eastAsia="es-ES"/>
        </w:rPr>
      </w:pPr>
    </w:p>
    <w:p w14:paraId="7A60A9D2" w14:textId="77777777" w:rsidR="00CF42A6" w:rsidRPr="001F4904" w:rsidRDefault="00CF42A6" w:rsidP="00462720">
      <w:pPr>
        <w:numPr>
          <w:ilvl w:val="0"/>
          <w:numId w:val="15"/>
        </w:numPr>
        <w:spacing w:line="360" w:lineRule="auto"/>
        <w:ind w:left="709" w:right="616" w:hanging="283"/>
        <w:contextualSpacing/>
        <w:jc w:val="both"/>
        <w:rPr>
          <w:rFonts w:ascii="Palatino Linotype" w:hAnsi="Palatino Linotype"/>
          <w:sz w:val="22"/>
          <w:lang w:val="es-ES_tradnl" w:eastAsia="es-ES"/>
        </w:rPr>
      </w:pPr>
      <w:r w:rsidRPr="001F4904">
        <w:rPr>
          <w:rFonts w:ascii="Palatino Linotype" w:hAnsi="Palatino Linotype"/>
          <w:b/>
          <w:sz w:val="22"/>
          <w:lang w:val="es-ES_tradnl" w:eastAsia="es-ES"/>
        </w:rPr>
        <w:t>El momento procesal para modificar el acto impugnado:</w:t>
      </w:r>
      <w:r w:rsidRPr="001F4904">
        <w:rPr>
          <w:rFonts w:ascii="Palatino Linotype" w:hAnsi="Palatino Linotype"/>
          <w:sz w:val="22"/>
          <w:lang w:val="es-ES_tradnl" w:eastAsia="es-ES"/>
        </w:rPr>
        <w:t xml:space="preserve"> Para que se actualice el sobreseimiento de un recurso de revisión, el </w:t>
      </w:r>
      <w:r w:rsidRPr="001F4904">
        <w:rPr>
          <w:rFonts w:ascii="Palatino Linotype" w:hAnsi="Palatino Linotype"/>
          <w:b/>
          <w:sz w:val="22"/>
          <w:lang w:val="es-ES_tradnl" w:eastAsia="es-ES"/>
        </w:rPr>
        <w:t>SUJETO OBLIGADO</w:t>
      </w:r>
      <w:r w:rsidRPr="001F4904">
        <w:rPr>
          <w:rFonts w:ascii="Palatino Linotype" w:hAnsi="Palatino Linotype"/>
          <w:sz w:val="22"/>
          <w:lang w:val="es-ES_tradnl" w:eastAsia="es-ES"/>
        </w:rPr>
        <w:t xml:space="preserve"> puede entregar o completar la información al momento de rendir su informe de justificación o </w:t>
      </w:r>
      <w:r w:rsidRPr="001F4904">
        <w:rPr>
          <w:rFonts w:ascii="Palatino Linotype" w:hAnsi="Palatino Linotype"/>
          <w:b/>
          <w:sz w:val="22"/>
          <w:u w:val="single"/>
          <w:lang w:val="es-ES_tradnl" w:eastAsia="es-ES"/>
        </w:rPr>
        <w:t>posteriormente</w:t>
      </w:r>
      <w:r w:rsidRPr="001F4904">
        <w:rPr>
          <w:rFonts w:ascii="Palatino Linotype" w:hAnsi="Palatino Linotype"/>
          <w:sz w:val="22"/>
          <w:lang w:val="es-ES_tradnl" w:eastAsia="es-ES"/>
        </w:rPr>
        <w:t xml:space="preserve"> a éste, siempre y cuando el Pleno del Instituto no haya dictado resolución definitiva.</w:t>
      </w:r>
    </w:p>
    <w:p w14:paraId="7A60A9D3" w14:textId="77777777" w:rsidR="00CF42A6" w:rsidRPr="001F4904" w:rsidRDefault="00CF42A6" w:rsidP="00462720">
      <w:pPr>
        <w:spacing w:line="360" w:lineRule="auto"/>
        <w:contextualSpacing/>
        <w:jc w:val="both"/>
        <w:rPr>
          <w:rFonts w:ascii="Palatino Linotype" w:hAnsi="Palatino Linotype"/>
          <w:lang w:val="es-ES_tradnl" w:eastAsia="es-ES"/>
        </w:rPr>
      </w:pPr>
    </w:p>
    <w:p w14:paraId="7A60A9D4"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 xml:space="preserve">Eduardo Pallares, en su artículo </w:t>
      </w:r>
      <w:r w:rsidRPr="001F4904">
        <w:rPr>
          <w:rFonts w:ascii="Palatino Linotype" w:hAnsi="Palatino Linotype"/>
          <w:i/>
          <w:lang w:val="es-ES_tradnl" w:eastAsia="es-ES"/>
        </w:rPr>
        <w:t>“La caducidad y el sobreseimiento en el amparo”</w:t>
      </w:r>
      <w:r w:rsidRPr="001F4904">
        <w:rPr>
          <w:rFonts w:ascii="Palatino Linotype" w:hAnsi="Palatino Linotype"/>
          <w:lang w:val="es-ES_tradnl" w:eastAsia="es-ES"/>
        </w:rPr>
        <w:t xml:space="preserve">, cita la definición de Aguilera Paz, aduciendo que se </w:t>
      </w:r>
      <w:r w:rsidRPr="001F4904">
        <w:rPr>
          <w:rFonts w:ascii="Palatino Linotype" w:hAnsi="Palatino Linotype"/>
          <w:i/>
          <w:lang w:val="es-ES_tradnl" w:eastAsia="es-ES"/>
        </w:rPr>
        <w:t>“...entiende por sobreseimiento en el tecnicismo forense, el hecho de cesar en el procedimiento o curso de la causa, por no existir méritos bastantes para entrar en un juicio o para entablar la contienda judicial que debe ser objeto del mismo...”</w:t>
      </w:r>
      <w:r w:rsidRPr="001F4904">
        <w:rPr>
          <w:rFonts w:ascii="Palatino Linotype" w:hAnsi="Palatino Linotype"/>
          <w:lang w:val="es-ES_tradnl" w:eastAsia="es-ES"/>
        </w:rPr>
        <w:t>. Asimismo señala que existe el sobreseimiento provisional y el definitivo</w:t>
      </w:r>
      <w:r w:rsidRPr="001F4904">
        <w:rPr>
          <w:rFonts w:ascii="Palatino Linotype" w:hAnsi="Palatino Linotype"/>
          <w:i/>
          <w:lang w:val="es-ES_tradnl" w:eastAsia="es-ES"/>
        </w:rPr>
        <w:t>: “...el definitivo es una verdadera sentencia que pone fin al juicio, y que una vez dictada, produce cosa juzgada, mientras que el provisorio tiene por efectos suspender la prosecución de la causa...”</w:t>
      </w:r>
    </w:p>
    <w:p w14:paraId="7A60A9D5" w14:textId="77777777" w:rsidR="00CF42A6" w:rsidRPr="001F4904" w:rsidRDefault="00CF42A6" w:rsidP="00462720">
      <w:pPr>
        <w:spacing w:line="360" w:lineRule="auto"/>
        <w:contextualSpacing/>
        <w:jc w:val="both"/>
        <w:rPr>
          <w:rFonts w:ascii="Palatino Linotype" w:hAnsi="Palatino Linotype"/>
          <w:lang w:val="es-ES_tradnl" w:eastAsia="es-ES"/>
        </w:rPr>
      </w:pPr>
    </w:p>
    <w:p w14:paraId="7A60A9D6"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Consecuentemente, por lo que hace a los motivos de inconformidad, los mismos devienen inatendibles por actualizarse la figura del sobreseimiento, máxime que se ha dado cumplimiento al derecho de acceso a la información.</w:t>
      </w:r>
    </w:p>
    <w:p w14:paraId="7A60A9D7" w14:textId="77777777" w:rsidR="00CF42A6" w:rsidRPr="001F4904" w:rsidRDefault="00CF42A6" w:rsidP="00462720">
      <w:pPr>
        <w:spacing w:line="360" w:lineRule="auto"/>
        <w:contextualSpacing/>
        <w:jc w:val="both"/>
        <w:rPr>
          <w:rFonts w:ascii="Palatino Linotype" w:hAnsi="Palatino Linotype"/>
          <w:lang w:val="es-ES_tradnl" w:eastAsia="es-ES"/>
        </w:rPr>
      </w:pPr>
    </w:p>
    <w:p w14:paraId="7A60A9D8"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ES_tradnl" w:eastAsia="es-ES"/>
        </w:rPr>
        <w:t xml:space="preserve">Por lo que para que se actualice el sobreseimiento de un recurso de revisión, el </w:t>
      </w:r>
      <w:r w:rsidRPr="001F4904">
        <w:rPr>
          <w:rFonts w:ascii="Palatino Linotype" w:hAnsi="Palatino Linotype"/>
          <w:b/>
          <w:lang w:val="es-ES_tradnl" w:eastAsia="es-ES"/>
        </w:rPr>
        <w:t>SUJETO OBLIGADO</w:t>
      </w:r>
      <w:r w:rsidRPr="001F4904">
        <w:rPr>
          <w:rFonts w:ascii="Palatino Linotype" w:hAnsi="Palatino Linotype"/>
          <w:lang w:val="es-ES_tradnl" w:eastAsia="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A60A9D9" w14:textId="77777777" w:rsidR="00CF42A6" w:rsidRPr="001F4904" w:rsidRDefault="00CF42A6" w:rsidP="00462720">
      <w:pPr>
        <w:spacing w:line="360" w:lineRule="auto"/>
        <w:jc w:val="both"/>
        <w:rPr>
          <w:rFonts w:ascii="Palatino Linotype" w:hAnsi="Palatino Linotype"/>
          <w:lang w:val="es-ES_tradnl" w:eastAsia="es-ES"/>
        </w:rPr>
      </w:pPr>
    </w:p>
    <w:p w14:paraId="7A60A9DA" w14:textId="77777777" w:rsidR="00CF42A6" w:rsidRPr="001F4904" w:rsidRDefault="00CF42A6" w:rsidP="0069712C">
      <w:pPr>
        <w:numPr>
          <w:ilvl w:val="0"/>
          <w:numId w:val="1"/>
        </w:numPr>
        <w:spacing w:line="360" w:lineRule="auto"/>
        <w:ind w:left="0" w:firstLine="0"/>
        <w:contextualSpacing/>
        <w:jc w:val="both"/>
        <w:rPr>
          <w:rFonts w:ascii="Palatino Linotype" w:hAnsi="Palatino Linotype"/>
          <w:lang w:val="es-ES_tradnl" w:eastAsia="es-ES"/>
        </w:rPr>
      </w:pPr>
      <w:r w:rsidRPr="001F4904">
        <w:rPr>
          <w:rFonts w:ascii="Palatino Linotype" w:hAnsi="Palatino Linotype"/>
          <w:lang w:val="es-CO" w:eastAsia="es-ES"/>
        </w:rPr>
        <w:t xml:space="preserve">Bajo ese tenor y en términos del artículo 186 fracción I este Pleno determina el </w:t>
      </w:r>
      <w:r w:rsidRPr="001F4904">
        <w:rPr>
          <w:rFonts w:ascii="Palatino Linotype" w:hAnsi="Palatino Linotype"/>
          <w:b/>
          <w:lang w:val="es-CO" w:eastAsia="es-ES"/>
        </w:rPr>
        <w:t xml:space="preserve">SOBRESEIMIENTO </w:t>
      </w:r>
      <w:r w:rsidRPr="001F4904">
        <w:rPr>
          <w:rFonts w:ascii="Palatino Linotype" w:hAnsi="Palatino Linotype"/>
          <w:lang w:val="es-CO" w:eastAsia="es-ES"/>
        </w:rPr>
        <w:t>del presente recurso de revisión, toda vez que la afectación al derecho de acceso a la información pública establecido constitucionalmente a favor del particular, ha sido resarcida.</w:t>
      </w:r>
    </w:p>
    <w:p w14:paraId="7A60A9DB" w14:textId="77777777" w:rsidR="003C38C6" w:rsidRPr="001F4904" w:rsidRDefault="003C38C6" w:rsidP="00462720">
      <w:pPr>
        <w:pStyle w:val="Prrafodelista"/>
        <w:tabs>
          <w:tab w:val="left" w:pos="284"/>
        </w:tabs>
        <w:spacing w:line="360" w:lineRule="auto"/>
        <w:ind w:left="0" w:right="51"/>
        <w:jc w:val="both"/>
        <w:rPr>
          <w:rFonts w:ascii="Palatino Linotype" w:hAnsi="Palatino Linotype"/>
          <w:color w:val="000000" w:themeColor="text1"/>
          <w:sz w:val="24"/>
        </w:rPr>
      </w:pPr>
    </w:p>
    <w:p w14:paraId="7A60A9DC" w14:textId="77777777" w:rsidR="005F6D06" w:rsidRPr="001F4904" w:rsidRDefault="005F6D06" w:rsidP="00462720">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1F4904">
        <w:rPr>
          <w:rFonts w:ascii="Palatino Linotype" w:eastAsia="Calibri" w:hAnsi="Palatino Linotype"/>
          <w:sz w:val="24"/>
        </w:rPr>
        <w:lastRenderedPageBreak/>
        <w:t xml:space="preserve">Por lo anteriormente expuesto y fundado, este </w:t>
      </w:r>
      <w:r w:rsidRPr="001F4904">
        <w:rPr>
          <w:rFonts w:ascii="Palatino Linotype" w:eastAsia="Calibri" w:hAnsi="Palatino Linotype"/>
          <w:b/>
          <w:bCs/>
          <w:sz w:val="24"/>
        </w:rPr>
        <w:t>ÓRGANO GARANTE</w:t>
      </w:r>
      <w:r w:rsidRPr="001F4904">
        <w:rPr>
          <w:rFonts w:ascii="Palatino Linotype" w:eastAsia="Calibri" w:hAnsi="Palatino Linotype"/>
          <w:sz w:val="24"/>
        </w:rPr>
        <w:t xml:space="preserve"> emite los siguientes:</w:t>
      </w:r>
    </w:p>
    <w:p w14:paraId="7A60A9DD" w14:textId="77777777" w:rsidR="005F6D06" w:rsidRPr="001F4904" w:rsidRDefault="005F6D06" w:rsidP="00462720">
      <w:pPr>
        <w:spacing w:line="360" w:lineRule="auto"/>
        <w:contextualSpacing/>
        <w:jc w:val="both"/>
        <w:rPr>
          <w:rFonts w:ascii="Palatino Linotype" w:eastAsia="Calibri" w:hAnsi="Palatino Linotype"/>
        </w:rPr>
      </w:pPr>
    </w:p>
    <w:p w14:paraId="7A60A9DE" w14:textId="77777777" w:rsidR="005F6D06" w:rsidRPr="001F4904" w:rsidRDefault="005F6D06" w:rsidP="00462720">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1F4904">
        <w:rPr>
          <w:rFonts w:ascii="Palatino Linotype" w:eastAsiaTheme="majorEastAsia" w:hAnsi="Palatino Linotype" w:cstheme="majorBidi"/>
          <w:b/>
          <w:color w:val="000000" w:themeColor="text1"/>
          <w:lang w:eastAsia="en-US"/>
        </w:rPr>
        <w:t>R E S O L U T I V O S</w:t>
      </w:r>
    </w:p>
    <w:p w14:paraId="7A60A9DF" w14:textId="77777777" w:rsidR="005F6D06" w:rsidRPr="001F4904" w:rsidRDefault="005F6D06" w:rsidP="00462720">
      <w:pPr>
        <w:spacing w:line="360" w:lineRule="auto"/>
        <w:ind w:right="48"/>
        <w:jc w:val="both"/>
        <w:rPr>
          <w:rFonts w:ascii="Palatino Linotype" w:hAnsi="Palatino Linotype" w:cs="Arial"/>
          <w:b/>
        </w:rPr>
      </w:pPr>
    </w:p>
    <w:p w14:paraId="7A60A9E0" w14:textId="77777777" w:rsidR="00CF42A6" w:rsidRPr="001F4904" w:rsidRDefault="00CF42A6" w:rsidP="00462720">
      <w:pPr>
        <w:pStyle w:val="Sinespaciado"/>
        <w:spacing w:line="360" w:lineRule="auto"/>
        <w:jc w:val="both"/>
        <w:rPr>
          <w:rFonts w:ascii="Palatino Linotype" w:hAnsi="Palatino Linotype"/>
          <w:sz w:val="24"/>
          <w:szCs w:val="24"/>
        </w:rPr>
      </w:pPr>
      <w:r w:rsidRPr="001F4904">
        <w:rPr>
          <w:rFonts w:ascii="Palatino Linotype" w:hAnsi="Palatino Linotype"/>
          <w:b/>
          <w:sz w:val="24"/>
          <w:szCs w:val="24"/>
        </w:rPr>
        <w:t xml:space="preserve">PRIMERO. </w:t>
      </w:r>
      <w:r w:rsidRPr="001F4904">
        <w:rPr>
          <w:rFonts w:ascii="Palatino Linotype" w:hAnsi="Palatino Linotype"/>
          <w:sz w:val="24"/>
          <w:szCs w:val="24"/>
        </w:rPr>
        <w:t xml:space="preserve">Se </w:t>
      </w:r>
      <w:r w:rsidRPr="001F4904">
        <w:rPr>
          <w:rFonts w:ascii="Palatino Linotype" w:hAnsi="Palatino Linotype"/>
          <w:b/>
          <w:sz w:val="24"/>
          <w:szCs w:val="24"/>
        </w:rPr>
        <w:t>SOBRESEE</w:t>
      </w:r>
      <w:r w:rsidRPr="001F4904">
        <w:rPr>
          <w:rFonts w:ascii="Palatino Linotype" w:hAnsi="Palatino Linotype"/>
          <w:sz w:val="24"/>
          <w:szCs w:val="24"/>
        </w:rPr>
        <w:t xml:space="preserve"> el Recurso de Revisión número </w:t>
      </w:r>
      <w:r w:rsidRPr="001F4904">
        <w:rPr>
          <w:rFonts w:ascii="Palatino Linotype" w:hAnsi="Palatino Linotype" w:cs="Arial"/>
          <w:b/>
          <w:bCs/>
          <w:sz w:val="24"/>
          <w:szCs w:val="24"/>
        </w:rPr>
        <w:t>07503/INFOEM/IP/RR/2023</w:t>
      </w:r>
      <w:r w:rsidRPr="001F4904">
        <w:rPr>
          <w:rFonts w:ascii="Palatino Linotype" w:hAnsi="Palatino Linotype"/>
          <w:sz w:val="24"/>
          <w:szCs w:val="24"/>
        </w:rPr>
        <w:t xml:space="preserve">, </w:t>
      </w:r>
      <w:r w:rsidR="00462720" w:rsidRPr="001F4904">
        <w:rPr>
          <w:rFonts w:ascii="Palatino Linotype" w:hAnsi="Palatino Linotype"/>
          <w:sz w:val="24"/>
          <w:szCs w:val="24"/>
        </w:rPr>
        <w:t xml:space="preserve">conforme al artículo 192 fracción III, </w:t>
      </w:r>
      <w:r w:rsidRPr="001F4904">
        <w:rPr>
          <w:rFonts w:ascii="Palatino Linotype" w:hAnsi="Palatino Linotype"/>
          <w:sz w:val="24"/>
          <w:szCs w:val="24"/>
        </w:rPr>
        <w:t>porque al modificar la respuesta</w:t>
      </w:r>
      <w:r w:rsidR="00462720" w:rsidRPr="001F4904">
        <w:rPr>
          <w:rFonts w:ascii="Palatino Linotype" w:hAnsi="Palatino Linotype"/>
          <w:sz w:val="24"/>
          <w:szCs w:val="24"/>
        </w:rPr>
        <w:t>,</w:t>
      </w:r>
      <w:r w:rsidRPr="001F4904">
        <w:rPr>
          <w:rFonts w:ascii="Palatino Linotype" w:hAnsi="Palatino Linotype"/>
          <w:sz w:val="24"/>
          <w:szCs w:val="24"/>
        </w:rPr>
        <w:t xml:space="preserve"> el recurso de revisión qued</w:t>
      </w:r>
      <w:r w:rsidR="0069712C" w:rsidRPr="001F4904">
        <w:rPr>
          <w:rFonts w:ascii="Palatino Linotype" w:hAnsi="Palatino Linotype"/>
          <w:sz w:val="24"/>
          <w:szCs w:val="24"/>
        </w:rPr>
        <w:t>ó sin materia en términos del  c</w:t>
      </w:r>
      <w:r w:rsidRPr="001F4904">
        <w:rPr>
          <w:rFonts w:ascii="Palatino Linotype" w:hAnsi="Palatino Linotype"/>
          <w:sz w:val="24"/>
          <w:szCs w:val="24"/>
        </w:rPr>
        <w:t xml:space="preserve">onsiderando </w:t>
      </w:r>
      <w:r w:rsidRPr="001F4904">
        <w:rPr>
          <w:rFonts w:ascii="Palatino Linotype" w:hAnsi="Palatino Linotype"/>
          <w:b/>
          <w:sz w:val="24"/>
          <w:szCs w:val="24"/>
        </w:rPr>
        <w:t>TERCERO</w:t>
      </w:r>
      <w:r w:rsidRPr="001F4904">
        <w:rPr>
          <w:rFonts w:ascii="Palatino Linotype" w:hAnsi="Palatino Linotype"/>
          <w:sz w:val="24"/>
          <w:szCs w:val="24"/>
        </w:rPr>
        <w:t xml:space="preserve"> de la presente resolución.</w:t>
      </w:r>
    </w:p>
    <w:p w14:paraId="7A60A9E1" w14:textId="77777777" w:rsidR="00CF42A6" w:rsidRPr="001F4904" w:rsidRDefault="00CF42A6" w:rsidP="00462720">
      <w:pPr>
        <w:pStyle w:val="Sinespaciado"/>
        <w:spacing w:line="360" w:lineRule="auto"/>
        <w:jc w:val="both"/>
        <w:rPr>
          <w:rFonts w:ascii="Palatino Linotype" w:hAnsi="Palatino Linotype"/>
          <w:sz w:val="24"/>
          <w:szCs w:val="24"/>
        </w:rPr>
      </w:pPr>
    </w:p>
    <w:p w14:paraId="7A60A9E2" w14:textId="77777777" w:rsidR="00CF42A6" w:rsidRPr="001F4904" w:rsidRDefault="00CF42A6" w:rsidP="00462720">
      <w:pPr>
        <w:pStyle w:val="Sinespaciado"/>
        <w:spacing w:line="360" w:lineRule="auto"/>
        <w:jc w:val="both"/>
        <w:rPr>
          <w:rFonts w:ascii="Palatino Linotype" w:eastAsia="Calibri" w:hAnsi="Palatino Linotype" w:cs="Arial"/>
          <w:b/>
          <w:bCs/>
          <w:sz w:val="24"/>
          <w:szCs w:val="24"/>
          <w:lang w:val="es-ES"/>
        </w:rPr>
      </w:pPr>
      <w:r w:rsidRPr="001F4904">
        <w:rPr>
          <w:rFonts w:ascii="Palatino Linotype" w:eastAsia="Calibri" w:hAnsi="Palatino Linotype" w:cs="Arial"/>
          <w:b/>
          <w:bCs/>
          <w:sz w:val="24"/>
          <w:szCs w:val="24"/>
          <w:lang w:val="es-ES"/>
        </w:rPr>
        <w:t xml:space="preserve">SEGUNDO. </w:t>
      </w:r>
      <w:r w:rsidRPr="001F4904">
        <w:rPr>
          <w:rFonts w:ascii="Palatino Linotype" w:hAnsi="Palatino Linotype"/>
          <w:b/>
          <w:bCs/>
          <w:color w:val="222222"/>
          <w:sz w:val="24"/>
          <w:szCs w:val="24"/>
          <w:lang w:val="es-ES"/>
        </w:rPr>
        <w:t>Notifíquese</w:t>
      </w:r>
      <w:r w:rsidRPr="001F4904">
        <w:rPr>
          <w:rFonts w:ascii="Palatino Linotype" w:eastAsia="Calibri" w:hAnsi="Palatino Linotype" w:cs="Arial"/>
          <w:b/>
          <w:bCs/>
          <w:sz w:val="24"/>
          <w:szCs w:val="24"/>
          <w:lang w:val="es-ES"/>
        </w:rPr>
        <w:t xml:space="preserve"> </w:t>
      </w:r>
      <w:r w:rsidRPr="001F4904">
        <w:rPr>
          <w:rFonts w:ascii="Palatino Linotype" w:eastAsia="Calibri" w:hAnsi="Palatino Linotype" w:cs="Arial"/>
          <w:bCs/>
          <w:sz w:val="24"/>
          <w:szCs w:val="24"/>
          <w:lang w:val="es-ES"/>
        </w:rPr>
        <w:t xml:space="preserve">a través del Sistema de Acceso a la Información Mexiquense </w:t>
      </w:r>
      <w:r w:rsidRPr="001F4904">
        <w:rPr>
          <w:rFonts w:ascii="Palatino Linotype" w:eastAsia="Calibri" w:hAnsi="Palatino Linotype" w:cs="Arial"/>
          <w:b/>
          <w:bCs/>
          <w:sz w:val="24"/>
          <w:szCs w:val="24"/>
          <w:lang w:val="es-ES"/>
        </w:rPr>
        <w:t xml:space="preserve">(SAIMEX) </w:t>
      </w:r>
      <w:r w:rsidRPr="001F4904">
        <w:rPr>
          <w:rFonts w:ascii="Palatino Linotype" w:eastAsia="Calibri" w:hAnsi="Palatino Linotype" w:cs="Arial"/>
          <w:bCs/>
          <w:sz w:val="24"/>
          <w:szCs w:val="24"/>
          <w:lang w:val="es-ES"/>
        </w:rPr>
        <w:t>la presente resolución al Titular de la Unidad de Transparencia del</w:t>
      </w:r>
      <w:r w:rsidRPr="001F4904">
        <w:rPr>
          <w:rFonts w:ascii="Palatino Linotype" w:eastAsia="Calibri" w:hAnsi="Palatino Linotype" w:cs="Arial"/>
          <w:b/>
          <w:bCs/>
          <w:sz w:val="24"/>
          <w:szCs w:val="24"/>
          <w:lang w:val="es-ES"/>
        </w:rPr>
        <w:t xml:space="preserve"> SUJETO OBLIGADO. </w:t>
      </w:r>
    </w:p>
    <w:p w14:paraId="7A60A9E3" w14:textId="77777777" w:rsidR="00CF42A6" w:rsidRPr="001F4904" w:rsidRDefault="00CF42A6" w:rsidP="00462720">
      <w:pPr>
        <w:pStyle w:val="Sinespaciado"/>
        <w:spacing w:line="360" w:lineRule="auto"/>
        <w:jc w:val="both"/>
        <w:rPr>
          <w:rFonts w:ascii="Palatino Linotype" w:eastAsia="Palatino Linotype" w:hAnsi="Palatino Linotype" w:cs="Palatino Linotype"/>
          <w:b/>
          <w:sz w:val="24"/>
          <w:szCs w:val="24"/>
        </w:rPr>
      </w:pPr>
    </w:p>
    <w:p w14:paraId="7A60A9E4" w14:textId="77777777" w:rsidR="00CF42A6" w:rsidRPr="001F4904" w:rsidRDefault="00CF42A6" w:rsidP="00462720">
      <w:pPr>
        <w:pStyle w:val="Sinespaciado"/>
        <w:spacing w:line="360" w:lineRule="auto"/>
        <w:jc w:val="both"/>
        <w:rPr>
          <w:rFonts w:ascii="Palatino Linotype" w:hAnsi="Palatino Linotype"/>
          <w:color w:val="222222"/>
          <w:sz w:val="24"/>
          <w:szCs w:val="24"/>
          <w:lang w:val="es-ES" w:eastAsia="es-MX"/>
        </w:rPr>
      </w:pPr>
      <w:r w:rsidRPr="001F4904">
        <w:rPr>
          <w:rFonts w:ascii="Palatino Linotype" w:hAnsi="Palatino Linotype" w:cs="Arial"/>
          <w:b/>
          <w:sz w:val="24"/>
          <w:szCs w:val="24"/>
        </w:rPr>
        <w:t xml:space="preserve">TERCERO. </w:t>
      </w:r>
      <w:r w:rsidRPr="001F4904">
        <w:rPr>
          <w:rFonts w:ascii="Palatino Linotype" w:hAnsi="Palatino Linotype"/>
          <w:b/>
          <w:bCs/>
          <w:color w:val="222222"/>
          <w:sz w:val="24"/>
          <w:szCs w:val="24"/>
          <w:lang w:val="es-ES"/>
        </w:rPr>
        <w:t xml:space="preserve">Notifíquese </w:t>
      </w:r>
      <w:r w:rsidRPr="001F4904">
        <w:rPr>
          <w:rFonts w:ascii="Palatino Linotype" w:hAnsi="Palatino Linotype"/>
          <w:bCs/>
          <w:color w:val="222222"/>
          <w:sz w:val="24"/>
          <w:szCs w:val="24"/>
          <w:lang w:val="es-ES"/>
        </w:rPr>
        <w:t xml:space="preserve">al </w:t>
      </w:r>
      <w:r w:rsidRPr="001F4904">
        <w:rPr>
          <w:rFonts w:ascii="Palatino Linotype" w:hAnsi="Palatino Linotype"/>
          <w:b/>
          <w:sz w:val="24"/>
          <w:szCs w:val="24"/>
        </w:rPr>
        <w:t xml:space="preserve">RECURRENTE </w:t>
      </w:r>
      <w:r w:rsidRPr="001F4904">
        <w:rPr>
          <w:rFonts w:ascii="Palatino Linotype" w:hAnsi="Palatino Linotype"/>
          <w:color w:val="222222"/>
          <w:sz w:val="24"/>
          <w:szCs w:val="24"/>
          <w:lang w:val="es-ES" w:eastAsia="es-MX"/>
        </w:rPr>
        <w:t>la presente resolución, vía SAIMEX.</w:t>
      </w:r>
    </w:p>
    <w:p w14:paraId="7A60A9E5" w14:textId="77777777" w:rsidR="00CF42A6" w:rsidRPr="001F4904" w:rsidRDefault="00CF42A6" w:rsidP="00462720">
      <w:pPr>
        <w:pStyle w:val="Sinespaciado"/>
        <w:spacing w:line="360" w:lineRule="auto"/>
        <w:jc w:val="both"/>
        <w:rPr>
          <w:rFonts w:ascii="Palatino Linotype" w:hAnsi="Palatino Linotype"/>
          <w:color w:val="222222"/>
          <w:sz w:val="24"/>
          <w:szCs w:val="24"/>
          <w:lang w:val="es-ES" w:eastAsia="es-MX"/>
        </w:rPr>
      </w:pPr>
    </w:p>
    <w:p w14:paraId="7A60A9E6" w14:textId="77777777" w:rsidR="00CF42A6" w:rsidRPr="001F4904" w:rsidRDefault="00CF42A6" w:rsidP="00462720">
      <w:pPr>
        <w:shd w:val="clear" w:color="auto" w:fill="FFFFFF"/>
        <w:spacing w:line="360" w:lineRule="auto"/>
        <w:jc w:val="both"/>
        <w:rPr>
          <w:rFonts w:ascii="Palatino Linotype" w:eastAsia="MS Mincho" w:hAnsi="Palatino Linotype"/>
          <w:lang w:val="es-ES"/>
        </w:rPr>
      </w:pPr>
      <w:r w:rsidRPr="001F4904">
        <w:rPr>
          <w:rFonts w:ascii="Palatino Linotype" w:eastAsia="MS Mincho" w:hAnsi="Palatino Linotype"/>
          <w:b/>
        </w:rPr>
        <w:t>CUARTO.</w:t>
      </w:r>
      <w:r w:rsidRPr="001F4904">
        <w:rPr>
          <w:rFonts w:ascii="Palatino Linotype" w:eastAsia="MS Mincho" w:hAnsi="Palatino Linotype"/>
        </w:rPr>
        <w:t xml:space="preserve"> </w:t>
      </w:r>
      <w:r w:rsidRPr="001F4904">
        <w:rPr>
          <w:rFonts w:ascii="Palatino Linotype" w:eastAsia="MS Mincho" w:hAnsi="Palatino Linotype"/>
          <w:lang w:val="es-ES"/>
        </w:rPr>
        <w:t xml:space="preserve">Se hace del conocimiento del </w:t>
      </w:r>
      <w:r w:rsidRPr="001F4904">
        <w:rPr>
          <w:rFonts w:ascii="Palatino Linotype" w:hAnsi="Palatino Linotype"/>
          <w:b/>
        </w:rPr>
        <w:t xml:space="preserve">RECURRENTE </w:t>
      </w:r>
      <w:r w:rsidRPr="001F4904">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1F4904">
        <w:rPr>
          <w:rFonts w:ascii="Palatino Linotype" w:eastAsia="MS Mincho" w:hAnsi="Palatino Linotype"/>
          <w:bCs/>
          <w:lang w:val="es-ES"/>
        </w:rPr>
        <w:t>vía juicio de amparo</w:t>
      </w:r>
      <w:r w:rsidRPr="001F4904">
        <w:rPr>
          <w:rFonts w:ascii="Palatino Linotype" w:eastAsia="MS Mincho" w:hAnsi="Palatino Linotype"/>
          <w:lang w:val="es-ES"/>
        </w:rPr>
        <w:t xml:space="preserve"> en los términos de las leyes aplicables.</w:t>
      </w:r>
    </w:p>
    <w:p w14:paraId="7A60A9E7" w14:textId="77777777" w:rsidR="00462720" w:rsidRPr="001F4904" w:rsidRDefault="00462720" w:rsidP="00462720">
      <w:pPr>
        <w:shd w:val="clear" w:color="auto" w:fill="FFFFFF"/>
        <w:spacing w:line="360" w:lineRule="auto"/>
        <w:jc w:val="both"/>
        <w:rPr>
          <w:rFonts w:ascii="Palatino Linotype" w:eastAsia="MS Mincho" w:hAnsi="Palatino Linotype"/>
          <w:lang w:val="es-ES"/>
        </w:rPr>
      </w:pPr>
    </w:p>
    <w:p w14:paraId="7A60A9E8" w14:textId="77777777" w:rsidR="003E1522" w:rsidRDefault="003E1522" w:rsidP="003E1522">
      <w:pPr>
        <w:spacing w:before="240" w:after="240" w:line="360" w:lineRule="auto"/>
        <w:ind w:firstLine="1"/>
        <w:jc w:val="both"/>
        <w:rPr>
          <w:rStyle w:val="Referenciasutil"/>
          <w:rFonts w:ascii="Palatino Linotype" w:eastAsiaTheme="majorEastAsia" w:hAnsi="Palatino Linotype"/>
          <w:color w:val="auto"/>
        </w:rPr>
      </w:pPr>
      <w:bookmarkStart w:id="9" w:name="_Hlk129792997"/>
      <w:r w:rsidRPr="001F4904">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w:t>
      </w:r>
      <w:r w:rsidRPr="001F4904">
        <w:rPr>
          <w:rStyle w:val="Referenciasutil"/>
          <w:rFonts w:ascii="Palatino Linotype" w:eastAsiaTheme="majorEastAsia" w:hAnsi="Palatino Linotype"/>
          <w:color w:val="auto"/>
        </w:rPr>
        <w:lastRenderedPageBreak/>
        <w:t>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(13) DE DICIEMBRE DE DOS MIL VEINTITRÉS, ANTE EL SECRETARIO TÉCNICO DEL PLENO ALEXIS TAPIA RAMÍREZ.</w:t>
      </w:r>
      <w:r w:rsidRPr="00BC5669">
        <w:rPr>
          <w:rStyle w:val="Referenciasutil"/>
          <w:rFonts w:ascii="Palatino Linotype" w:eastAsiaTheme="majorEastAsia" w:hAnsi="Palatino Linotype"/>
          <w:color w:val="auto"/>
        </w:rPr>
        <w:t xml:space="preserve"> </w:t>
      </w:r>
      <w:bookmarkEnd w:id="9"/>
    </w:p>
    <w:p w14:paraId="7A60A9E9" w14:textId="77777777" w:rsidR="00737F8A" w:rsidRDefault="00737F8A" w:rsidP="00462720">
      <w:pPr>
        <w:spacing w:line="360" w:lineRule="auto"/>
        <w:ind w:right="49"/>
        <w:jc w:val="both"/>
        <w:rPr>
          <w:rFonts w:ascii="Palatino Linotype" w:eastAsiaTheme="minorEastAsia" w:hAnsi="Palatino Linotype" w:cs="Arial"/>
          <w:lang w:val="es-ES_tradnl" w:eastAsia="es-ES"/>
        </w:rPr>
      </w:pPr>
    </w:p>
    <w:p w14:paraId="7A60A9EA"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EB"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EC"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ED"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EE"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EF"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0"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1"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2"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3"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4"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5"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6"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7"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8"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9"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A"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B"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C"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D" w14:textId="77777777" w:rsidR="003E1522" w:rsidRDefault="003E1522" w:rsidP="00462720">
      <w:pPr>
        <w:spacing w:line="360" w:lineRule="auto"/>
        <w:ind w:right="49"/>
        <w:jc w:val="both"/>
        <w:rPr>
          <w:rFonts w:ascii="Palatino Linotype" w:eastAsiaTheme="minorEastAsia" w:hAnsi="Palatino Linotype" w:cs="Arial"/>
          <w:lang w:val="es-ES_tradnl" w:eastAsia="es-ES"/>
        </w:rPr>
      </w:pPr>
    </w:p>
    <w:p w14:paraId="7A60A9FE" w14:textId="77777777" w:rsidR="003E1522" w:rsidRPr="0069712C" w:rsidRDefault="003E1522" w:rsidP="00462720">
      <w:pPr>
        <w:spacing w:line="360" w:lineRule="auto"/>
        <w:ind w:right="49"/>
        <w:jc w:val="both"/>
        <w:rPr>
          <w:rFonts w:ascii="Palatino Linotype" w:eastAsiaTheme="minorEastAsia" w:hAnsi="Palatino Linotype" w:cs="Arial"/>
          <w:lang w:val="es-ES_tradnl" w:eastAsia="es-ES"/>
        </w:rPr>
      </w:pPr>
    </w:p>
    <w:p w14:paraId="7A60A9FF"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0"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1"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2"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3"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4" w14:textId="77777777" w:rsidR="00737F8A" w:rsidRPr="0069712C" w:rsidRDefault="00737F8A" w:rsidP="00462720">
      <w:pPr>
        <w:spacing w:line="360" w:lineRule="auto"/>
        <w:ind w:right="49"/>
        <w:jc w:val="both"/>
        <w:rPr>
          <w:rFonts w:ascii="Palatino Linotype" w:eastAsiaTheme="minorEastAsia" w:hAnsi="Palatino Linotype" w:cs="Arial"/>
          <w:lang w:val="es-ES_tradnl" w:eastAsia="es-ES"/>
        </w:rPr>
      </w:pPr>
    </w:p>
    <w:p w14:paraId="7A60AA05" w14:textId="77777777" w:rsidR="00737F8A" w:rsidRPr="0069712C" w:rsidRDefault="00737F8A" w:rsidP="00462720">
      <w:pPr>
        <w:spacing w:line="360" w:lineRule="auto"/>
        <w:rPr>
          <w:rFonts w:ascii="Palatino Linotype" w:hAnsi="Palatino Linotype"/>
        </w:rPr>
      </w:pPr>
    </w:p>
    <w:p w14:paraId="7A60AA06" w14:textId="77777777" w:rsidR="00737F8A" w:rsidRPr="0069712C" w:rsidRDefault="00737F8A" w:rsidP="00462720">
      <w:pPr>
        <w:spacing w:line="360" w:lineRule="auto"/>
        <w:rPr>
          <w:rFonts w:ascii="Palatino Linotype" w:hAnsi="Palatino Linotype"/>
        </w:rPr>
      </w:pPr>
    </w:p>
    <w:p w14:paraId="7A60AA07" w14:textId="77777777" w:rsidR="00737F8A" w:rsidRPr="0069712C" w:rsidRDefault="00737F8A" w:rsidP="00462720">
      <w:pPr>
        <w:spacing w:line="360" w:lineRule="auto"/>
        <w:rPr>
          <w:rFonts w:ascii="Palatino Linotype" w:hAnsi="Palatino Linotype"/>
        </w:rPr>
      </w:pPr>
    </w:p>
    <w:p w14:paraId="7A60AA08" w14:textId="77777777" w:rsidR="00737F8A" w:rsidRPr="0069712C" w:rsidRDefault="00737F8A" w:rsidP="00462720">
      <w:pPr>
        <w:spacing w:line="360" w:lineRule="auto"/>
        <w:rPr>
          <w:rFonts w:ascii="Palatino Linotype" w:hAnsi="Palatino Linotype"/>
        </w:rPr>
      </w:pPr>
    </w:p>
    <w:p w14:paraId="7A60AA09" w14:textId="77777777" w:rsidR="00737F8A" w:rsidRPr="0069712C" w:rsidRDefault="00737F8A" w:rsidP="00462720">
      <w:pPr>
        <w:spacing w:line="360" w:lineRule="auto"/>
        <w:rPr>
          <w:rFonts w:ascii="Palatino Linotype" w:hAnsi="Palatino Linotype"/>
        </w:rPr>
      </w:pPr>
    </w:p>
    <w:p w14:paraId="7A60AA0A" w14:textId="77777777" w:rsidR="00737F8A" w:rsidRPr="0069712C" w:rsidRDefault="00737F8A" w:rsidP="00462720">
      <w:pPr>
        <w:spacing w:line="360" w:lineRule="auto"/>
        <w:rPr>
          <w:rFonts w:ascii="Palatino Linotype" w:hAnsi="Palatino Linotype"/>
        </w:rPr>
      </w:pPr>
    </w:p>
    <w:p w14:paraId="7A60AA0B" w14:textId="77777777" w:rsidR="00737F8A" w:rsidRPr="0069712C" w:rsidRDefault="00737F8A" w:rsidP="00462720">
      <w:pPr>
        <w:spacing w:line="360" w:lineRule="auto"/>
        <w:rPr>
          <w:rFonts w:ascii="Palatino Linotype" w:hAnsi="Palatino Linotype"/>
        </w:rPr>
      </w:pPr>
    </w:p>
    <w:p w14:paraId="7A60AA0C" w14:textId="77777777" w:rsidR="00737F8A" w:rsidRPr="0069712C" w:rsidRDefault="00737F8A" w:rsidP="00462720">
      <w:pPr>
        <w:spacing w:line="360" w:lineRule="auto"/>
        <w:rPr>
          <w:rFonts w:ascii="Palatino Linotype" w:hAnsi="Palatino Linotype"/>
        </w:rPr>
      </w:pPr>
    </w:p>
    <w:p w14:paraId="7A60AA0D" w14:textId="77777777" w:rsidR="00737F8A" w:rsidRPr="0069712C" w:rsidRDefault="00737F8A" w:rsidP="00462720">
      <w:pPr>
        <w:spacing w:line="360" w:lineRule="auto"/>
        <w:rPr>
          <w:rFonts w:ascii="Palatino Linotype" w:hAnsi="Palatino Linotype"/>
        </w:rPr>
      </w:pPr>
    </w:p>
    <w:p w14:paraId="7A60AA0E" w14:textId="77777777" w:rsidR="00737F8A" w:rsidRPr="0069712C" w:rsidRDefault="00737F8A" w:rsidP="00462720">
      <w:pPr>
        <w:spacing w:line="360" w:lineRule="auto"/>
        <w:rPr>
          <w:rFonts w:ascii="Palatino Linotype" w:hAnsi="Palatino Linotype"/>
        </w:rPr>
      </w:pPr>
    </w:p>
    <w:p w14:paraId="7A60AA0F" w14:textId="77777777" w:rsidR="00737F8A" w:rsidRPr="0069712C" w:rsidRDefault="00737F8A" w:rsidP="00462720">
      <w:pPr>
        <w:spacing w:line="360" w:lineRule="auto"/>
        <w:rPr>
          <w:rFonts w:ascii="Palatino Linotype" w:hAnsi="Palatino Linotype"/>
        </w:rPr>
      </w:pPr>
    </w:p>
    <w:p w14:paraId="7A60AA10" w14:textId="77777777" w:rsidR="00737F8A" w:rsidRPr="0069712C" w:rsidRDefault="00737F8A" w:rsidP="00462720">
      <w:pPr>
        <w:spacing w:line="360" w:lineRule="auto"/>
        <w:rPr>
          <w:rFonts w:ascii="Palatino Linotype" w:hAnsi="Palatino Linotype"/>
        </w:rPr>
      </w:pPr>
    </w:p>
    <w:p w14:paraId="7A60AA11" w14:textId="77777777" w:rsidR="00737F8A" w:rsidRPr="0069712C" w:rsidRDefault="00737F8A" w:rsidP="00462720">
      <w:pPr>
        <w:spacing w:line="360" w:lineRule="auto"/>
        <w:rPr>
          <w:rFonts w:ascii="Palatino Linotype" w:hAnsi="Palatino Linotype"/>
        </w:rPr>
      </w:pPr>
    </w:p>
    <w:sectPr w:rsidR="00737F8A" w:rsidRPr="0069712C" w:rsidSect="00BD7DCB">
      <w:pgSz w:w="12240" w:h="15840"/>
      <w:pgMar w:top="238" w:right="1610"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17A6" w14:textId="77777777" w:rsidR="00113E3D" w:rsidRDefault="00113E3D" w:rsidP="00737F8A">
      <w:r>
        <w:separator/>
      </w:r>
    </w:p>
  </w:endnote>
  <w:endnote w:type="continuationSeparator" w:id="0">
    <w:p w14:paraId="3C33582E" w14:textId="77777777" w:rsidR="00113E3D" w:rsidRDefault="00113E3D"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AA37"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3E1522">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E1522">
      <w:rPr>
        <w:b/>
        <w:bCs/>
        <w:noProof/>
      </w:rPr>
      <w:t>30</w:t>
    </w:r>
    <w:r>
      <w:rPr>
        <w:b/>
        <w:bCs/>
      </w:rPr>
      <w:fldChar w:fldCharType="end"/>
    </w:r>
  </w:p>
  <w:p w14:paraId="7A60AA38" w14:textId="77777777" w:rsidR="00685EAA" w:rsidRDefault="00685E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AA4A"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3E152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E1522">
      <w:rPr>
        <w:b/>
        <w:bCs/>
        <w:noProof/>
      </w:rPr>
      <w:t>30</w:t>
    </w:r>
    <w:r>
      <w:rPr>
        <w:b/>
        <w:bCs/>
      </w:rPr>
      <w:fldChar w:fldCharType="end"/>
    </w:r>
  </w:p>
  <w:p w14:paraId="7A60AA4B" w14:textId="77777777" w:rsidR="00685EAA" w:rsidRDefault="00685E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DB2B6" w14:textId="77777777" w:rsidR="00113E3D" w:rsidRDefault="00113E3D" w:rsidP="00737F8A">
      <w:r>
        <w:separator/>
      </w:r>
    </w:p>
  </w:footnote>
  <w:footnote w:type="continuationSeparator" w:id="0">
    <w:p w14:paraId="4CB8A9CC" w14:textId="77777777" w:rsidR="00113E3D" w:rsidRDefault="00113E3D" w:rsidP="00737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AA28" w14:textId="77777777" w:rsidR="00685EAA" w:rsidRDefault="00113E3D">
    <w:pPr>
      <w:pStyle w:val="Encabezado"/>
    </w:pPr>
    <w:r>
      <w:rPr>
        <w:noProof/>
      </w:rPr>
      <w:pict w14:anchorId="7A60A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685EAA" w:rsidRPr="005C106F" w14:paraId="7A60AA35" w14:textId="77777777" w:rsidTr="00737F8A">
      <w:trPr>
        <w:trHeight w:val="1435"/>
      </w:trPr>
      <w:tc>
        <w:tcPr>
          <w:tcW w:w="2268" w:type="dxa"/>
          <w:shd w:val="clear" w:color="auto" w:fill="auto"/>
        </w:tcPr>
        <w:p w14:paraId="7A60AA29" w14:textId="77777777" w:rsidR="00685EAA" w:rsidRPr="005C106F" w:rsidRDefault="00685EAA" w:rsidP="00737F8A">
          <w:pPr>
            <w:tabs>
              <w:tab w:val="right" w:pos="4273"/>
            </w:tabs>
            <w:rPr>
              <w:rFonts w:ascii="Garamond" w:eastAsia="Calibri" w:hAnsi="Garamond"/>
              <w:sz w:val="16"/>
              <w:szCs w:val="16"/>
              <w:lang w:eastAsia="en-US"/>
            </w:rPr>
          </w:pPr>
        </w:p>
      </w:tc>
      <w:tc>
        <w:tcPr>
          <w:tcW w:w="6946" w:type="dxa"/>
          <w:shd w:val="clear" w:color="auto" w:fill="auto"/>
        </w:tcPr>
        <w:tbl>
          <w:tblPr>
            <w:tblW w:w="6089" w:type="dxa"/>
            <w:tblInd w:w="1026" w:type="dxa"/>
            <w:tblLayout w:type="fixed"/>
            <w:tblLook w:val="0420" w:firstRow="1" w:lastRow="0" w:firstColumn="0" w:lastColumn="0" w:noHBand="0" w:noVBand="1"/>
          </w:tblPr>
          <w:tblGrid>
            <w:gridCol w:w="2551"/>
            <w:gridCol w:w="3538"/>
          </w:tblGrid>
          <w:tr w:rsidR="00685EAA" w14:paraId="7A60AA2C" w14:textId="77777777" w:rsidTr="0069712C">
            <w:trPr>
              <w:trHeight w:val="150"/>
            </w:trPr>
            <w:tc>
              <w:tcPr>
                <w:tcW w:w="2551" w:type="dxa"/>
                <w:shd w:val="clear" w:color="auto" w:fill="auto"/>
              </w:tcPr>
              <w:p w14:paraId="7A60AA2A" w14:textId="77777777" w:rsidR="00685EAA" w:rsidRPr="00020E73" w:rsidRDefault="00685EAA" w:rsidP="000B318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538" w:type="dxa"/>
                <w:shd w:val="clear" w:color="auto" w:fill="auto"/>
              </w:tcPr>
              <w:p w14:paraId="7A60AA2B" w14:textId="77777777" w:rsidR="00685EAA" w:rsidRPr="0069712C" w:rsidRDefault="0024576B" w:rsidP="000B3187">
                <w:pPr>
                  <w:rPr>
                    <w:sz w:val="22"/>
                    <w:szCs w:val="22"/>
                  </w:rPr>
                </w:pPr>
                <w:r w:rsidRPr="0069712C">
                  <w:rPr>
                    <w:bCs/>
                    <w:sz w:val="22"/>
                    <w:szCs w:val="22"/>
                  </w:rPr>
                  <w:t>07503/INFOEM/IP/RR/2023</w:t>
                </w:r>
              </w:p>
            </w:tc>
          </w:tr>
          <w:tr w:rsidR="00685EAA" w:rsidRPr="00537748" w14:paraId="7A60AA2F" w14:textId="77777777" w:rsidTr="0069712C">
            <w:trPr>
              <w:trHeight w:val="295"/>
            </w:trPr>
            <w:tc>
              <w:tcPr>
                <w:tcW w:w="2551" w:type="dxa"/>
                <w:shd w:val="clear" w:color="auto" w:fill="auto"/>
              </w:tcPr>
              <w:p w14:paraId="7A60AA2D" w14:textId="77777777" w:rsidR="00685EAA" w:rsidRPr="00020E73" w:rsidRDefault="00685EAA" w:rsidP="000B318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538" w:type="dxa"/>
                <w:shd w:val="clear" w:color="auto" w:fill="auto"/>
              </w:tcPr>
              <w:p w14:paraId="7A60AA2E" w14:textId="77777777" w:rsidR="00685EAA" w:rsidRPr="0069712C" w:rsidRDefault="00462720" w:rsidP="000B3187">
                <w:pPr>
                  <w:rPr>
                    <w:sz w:val="22"/>
                    <w:szCs w:val="22"/>
                  </w:rPr>
                </w:pPr>
                <w:r w:rsidRPr="0069712C">
                  <w:rPr>
                    <w:rFonts w:ascii="Palatino Linotype" w:hAnsi="Palatino Linotype" w:cs="Arial"/>
                    <w:bCs/>
                    <w:sz w:val="22"/>
                    <w:szCs w:val="22"/>
                  </w:rPr>
                  <w:t>Secretaría de Seguridad</w:t>
                </w:r>
              </w:p>
            </w:tc>
          </w:tr>
          <w:tr w:rsidR="00685EAA" w14:paraId="7A60AA33" w14:textId="77777777" w:rsidTr="0069712C">
            <w:trPr>
              <w:trHeight w:val="295"/>
            </w:trPr>
            <w:tc>
              <w:tcPr>
                <w:tcW w:w="2551" w:type="dxa"/>
                <w:shd w:val="clear" w:color="auto" w:fill="auto"/>
              </w:tcPr>
              <w:p w14:paraId="7A60AA30" w14:textId="77777777" w:rsidR="00685EAA" w:rsidRPr="00020E73" w:rsidRDefault="00685EAA" w:rsidP="0046272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 xml:space="preserve">Comisionada </w:t>
                </w:r>
                <w:r w:rsidR="00462720">
                  <w:rPr>
                    <w:rFonts w:ascii="Palatino Linotype" w:eastAsia="Calibri" w:hAnsi="Palatino Linotype" w:cs="Tahoma"/>
                    <w:b/>
                    <w:sz w:val="22"/>
                    <w:szCs w:val="22"/>
                    <w:lang w:val="es-ES" w:eastAsia="en-US"/>
                  </w:rPr>
                  <w:t>P</w:t>
                </w:r>
                <w:r>
                  <w:rPr>
                    <w:rFonts w:ascii="Palatino Linotype" w:eastAsia="Calibri" w:hAnsi="Palatino Linotype" w:cs="Tahoma"/>
                    <w:b/>
                    <w:sz w:val="22"/>
                    <w:szCs w:val="22"/>
                    <w:lang w:val="es-ES" w:eastAsia="en-US"/>
                  </w:rPr>
                  <w:t>onente</w:t>
                </w:r>
                <w:r w:rsidRPr="00020E73">
                  <w:rPr>
                    <w:rFonts w:ascii="Palatino Linotype" w:eastAsia="Calibri" w:hAnsi="Palatino Linotype" w:cs="Tahoma"/>
                    <w:b/>
                    <w:sz w:val="22"/>
                    <w:szCs w:val="22"/>
                    <w:lang w:val="es-ES" w:eastAsia="en-US"/>
                  </w:rPr>
                  <w:t>:</w:t>
                </w:r>
              </w:p>
            </w:tc>
            <w:tc>
              <w:tcPr>
                <w:tcW w:w="3538" w:type="dxa"/>
                <w:shd w:val="clear" w:color="auto" w:fill="auto"/>
              </w:tcPr>
              <w:p w14:paraId="7A60AA31" w14:textId="77777777" w:rsidR="00685EAA" w:rsidRPr="0069712C" w:rsidRDefault="0005018D" w:rsidP="00737F8A">
                <w:pPr>
                  <w:tabs>
                    <w:tab w:val="right" w:pos="8838"/>
                  </w:tabs>
                  <w:ind w:left="-108" w:right="171"/>
                  <w:jc w:val="both"/>
                  <w:rPr>
                    <w:rFonts w:ascii="Palatino Linotype" w:eastAsia="Calibri" w:hAnsi="Palatino Linotype" w:cs="Tahoma"/>
                    <w:sz w:val="22"/>
                    <w:szCs w:val="22"/>
                    <w:lang w:val="es-ES" w:eastAsia="en-US"/>
                  </w:rPr>
                </w:pPr>
                <w:r w:rsidRPr="0069712C">
                  <w:rPr>
                    <w:rFonts w:ascii="Palatino Linotype" w:eastAsia="Calibri" w:hAnsi="Palatino Linotype" w:cs="Tahoma"/>
                    <w:sz w:val="22"/>
                    <w:szCs w:val="22"/>
                    <w:lang w:val="es-ES" w:eastAsia="en-US"/>
                  </w:rPr>
                  <w:t xml:space="preserve">  </w:t>
                </w:r>
                <w:r w:rsidR="00685EAA" w:rsidRPr="0069712C">
                  <w:rPr>
                    <w:rFonts w:ascii="Palatino Linotype" w:eastAsia="Calibri" w:hAnsi="Palatino Linotype" w:cs="Tahoma"/>
                    <w:sz w:val="22"/>
                    <w:szCs w:val="22"/>
                    <w:lang w:val="es-ES" w:eastAsia="en-US"/>
                  </w:rPr>
                  <w:t>María del Rosario Mejía Ayala</w:t>
                </w:r>
              </w:p>
              <w:p w14:paraId="7A60AA32" w14:textId="77777777" w:rsidR="00685EAA" w:rsidRPr="0069712C" w:rsidRDefault="00685EAA" w:rsidP="00737F8A">
                <w:pPr>
                  <w:tabs>
                    <w:tab w:val="right" w:pos="8838"/>
                  </w:tabs>
                  <w:ind w:left="-108" w:right="171"/>
                  <w:jc w:val="both"/>
                  <w:rPr>
                    <w:rFonts w:ascii="Palatino Linotype" w:eastAsia="Calibri" w:hAnsi="Palatino Linotype" w:cs="Tahoma"/>
                    <w:sz w:val="22"/>
                    <w:szCs w:val="22"/>
                    <w:lang w:val="es-ES" w:eastAsia="en-US"/>
                  </w:rPr>
                </w:pPr>
              </w:p>
            </w:tc>
          </w:tr>
        </w:tbl>
        <w:p w14:paraId="7A60AA34" w14:textId="77777777" w:rsidR="00685EAA" w:rsidRPr="005C106F" w:rsidRDefault="00685EAA" w:rsidP="00737F8A">
          <w:pPr>
            <w:tabs>
              <w:tab w:val="right" w:pos="8838"/>
            </w:tabs>
            <w:ind w:left="-28"/>
            <w:jc w:val="both"/>
            <w:rPr>
              <w:rFonts w:ascii="Arial" w:eastAsia="Calibri" w:hAnsi="Arial" w:cs="Arial"/>
              <w:b/>
              <w:sz w:val="22"/>
              <w:szCs w:val="22"/>
              <w:lang w:eastAsia="en-US"/>
            </w:rPr>
          </w:pPr>
        </w:p>
      </w:tc>
    </w:tr>
  </w:tbl>
  <w:p w14:paraId="7A60AA36" w14:textId="77777777" w:rsidR="00685EAA" w:rsidRPr="00443C6B" w:rsidRDefault="00113E3D" w:rsidP="00737F8A">
    <w:pPr>
      <w:pStyle w:val="Encabezado"/>
      <w:rPr>
        <w:sz w:val="14"/>
      </w:rPr>
    </w:pPr>
    <w:r>
      <w:rPr>
        <w:rFonts w:ascii="Garamond" w:eastAsia="Calibri" w:hAnsi="Garamond"/>
        <w:noProof/>
        <w:sz w:val="16"/>
        <w:szCs w:val="16"/>
      </w:rPr>
      <w:pict w14:anchorId="7A60A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6.8pt;margin-top:-114.15pt;width:589.8pt;height:768pt;z-index:-251656704;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685EAA" w:rsidRPr="00330DA7" w14:paraId="7A60AA48" w14:textId="77777777" w:rsidTr="00737F8A">
      <w:trPr>
        <w:trHeight w:val="1435"/>
      </w:trPr>
      <w:tc>
        <w:tcPr>
          <w:tcW w:w="2268" w:type="dxa"/>
          <w:shd w:val="clear" w:color="auto" w:fill="auto"/>
        </w:tcPr>
        <w:p w14:paraId="7A60AA39" w14:textId="77777777" w:rsidR="00685EAA" w:rsidRPr="00330DA7" w:rsidRDefault="00685EAA" w:rsidP="00737F8A">
          <w:pPr>
            <w:tabs>
              <w:tab w:val="right" w:pos="4273"/>
            </w:tabs>
            <w:rPr>
              <w:rFonts w:ascii="Garamond" w:eastAsia="Calibri" w:hAnsi="Garamond"/>
              <w:sz w:val="22"/>
              <w:szCs w:val="22"/>
              <w:lang w:eastAsia="en-US"/>
            </w:rPr>
          </w:pPr>
        </w:p>
      </w:tc>
      <w:tc>
        <w:tcPr>
          <w:tcW w:w="6804" w:type="dxa"/>
          <w:shd w:val="clear" w:color="auto" w:fill="auto"/>
        </w:tcPr>
        <w:tbl>
          <w:tblPr>
            <w:tblW w:w="5948" w:type="dxa"/>
            <w:tblInd w:w="1168" w:type="dxa"/>
            <w:tblLayout w:type="fixed"/>
            <w:tblLook w:val="0420" w:firstRow="1" w:lastRow="0" w:firstColumn="0" w:lastColumn="0" w:noHBand="0" w:noVBand="1"/>
          </w:tblPr>
          <w:tblGrid>
            <w:gridCol w:w="2444"/>
            <w:gridCol w:w="3504"/>
          </w:tblGrid>
          <w:tr w:rsidR="00685EAA" w:rsidRPr="00330DA7" w14:paraId="7A60AA3C" w14:textId="77777777" w:rsidTr="0069712C">
            <w:trPr>
              <w:trHeight w:val="144"/>
            </w:trPr>
            <w:tc>
              <w:tcPr>
                <w:tcW w:w="2444" w:type="dxa"/>
                <w:shd w:val="clear" w:color="auto" w:fill="auto"/>
              </w:tcPr>
              <w:p w14:paraId="7A60AA3A" w14:textId="77777777" w:rsidR="00685EAA" w:rsidRPr="0069712C" w:rsidRDefault="00685EAA" w:rsidP="000B3187">
                <w:pPr>
                  <w:tabs>
                    <w:tab w:val="right" w:pos="8838"/>
                  </w:tabs>
                  <w:ind w:left="-264" w:right="-105" w:firstLine="195"/>
                  <w:rPr>
                    <w:rFonts w:ascii="Palatino Linotype" w:eastAsia="Calibri" w:hAnsi="Palatino Linotype" w:cs="Tahoma"/>
                    <w:b/>
                    <w:sz w:val="22"/>
                    <w:szCs w:val="22"/>
                    <w:lang w:val="es-ES" w:eastAsia="en-US"/>
                  </w:rPr>
                </w:pPr>
                <w:r w:rsidRPr="0069712C">
                  <w:rPr>
                    <w:rFonts w:ascii="Palatino Linotype" w:eastAsia="Calibri" w:hAnsi="Palatino Linotype" w:cs="Tahoma"/>
                    <w:b/>
                    <w:sz w:val="22"/>
                    <w:szCs w:val="22"/>
                    <w:lang w:val="es-ES" w:eastAsia="en-US"/>
                  </w:rPr>
                  <w:t>Recurso de Revisión:</w:t>
                </w:r>
              </w:p>
            </w:tc>
            <w:tc>
              <w:tcPr>
                <w:tcW w:w="3504" w:type="dxa"/>
                <w:shd w:val="clear" w:color="auto" w:fill="auto"/>
              </w:tcPr>
              <w:p w14:paraId="7A60AA3B" w14:textId="77777777" w:rsidR="00685EAA" w:rsidRPr="0069712C" w:rsidRDefault="0024576B" w:rsidP="0069712C">
                <w:pPr>
                  <w:rPr>
                    <w:rFonts w:ascii="Palatino Linotype" w:hAnsi="Palatino Linotype" w:cs="Arial"/>
                    <w:bCs/>
                    <w:sz w:val="22"/>
                    <w:szCs w:val="22"/>
                  </w:rPr>
                </w:pPr>
                <w:r w:rsidRPr="0069712C">
                  <w:rPr>
                    <w:rFonts w:ascii="Palatino Linotype" w:hAnsi="Palatino Linotype" w:cs="Arial"/>
                    <w:bCs/>
                    <w:sz w:val="22"/>
                    <w:szCs w:val="22"/>
                  </w:rPr>
                  <w:t>07503/INFOEM/IP/RR/2023</w:t>
                </w:r>
              </w:p>
            </w:tc>
          </w:tr>
          <w:tr w:rsidR="00685EAA" w:rsidRPr="00330DA7" w14:paraId="7A60AA3F" w14:textId="77777777" w:rsidTr="0069712C">
            <w:trPr>
              <w:trHeight w:val="144"/>
            </w:trPr>
            <w:tc>
              <w:tcPr>
                <w:tcW w:w="2444" w:type="dxa"/>
                <w:shd w:val="clear" w:color="auto" w:fill="auto"/>
              </w:tcPr>
              <w:p w14:paraId="7A60AA3D" w14:textId="77777777" w:rsidR="00685EAA" w:rsidRPr="0069712C" w:rsidRDefault="00685EAA" w:rsidP="000B3187">
                <w:pPr>
                  <w:tabs>
                    <w:tab w:val="right" w:pos="8838"/>
                  </w:tabs>
                  <w:ind w:left="-74" w:right="-105"/>
                  <w:rPr>
                    <w:rFonts w:ascii="Palatino Linotype" w:eastAsia="Calibri" w:hAnsi="Palatino Linotype" w:cs="Tahoma"/>
                    <w:b/>
                    <w:sz w:val="22"/>
                    <w:szCs w:val="22"/>
                    <w:lang w:val="es-ES" w:eastAsia="en-US"/>
                  </w:rPr>
                </w:pPr>
                <w:r w:rsidRPr="0069712C">
                  <w:rPr>
                    <w:rFonts w:ascii="Palatino Linotype" w:eastAsia="Calibri" w:hAnsi="Palatino Linotype" w:cs="Tahoma"/>
                    <w:b/>
                    <w:sz w:val="22"/>
                    <w:szCs w:val="22"/>
                    <w:lang w:val="es-ES" w:eastAsia="en-US"/>
                  </w:rPr>
                  <w:t>Recurrente:</w:t>
                </w:r>
              </w:p>
            </w:tc>
            <w:tc>
              <w:tcPr>
                <w:tcW w:w="3504" w:type="dxa"/>
                <w:shd w:val="clear" w:color="auto" w:fill="auto"/>
              </w:tcPr>
              <w:p w14:paraId="7A60AA3E" w14:textId="1361BF38" w:rsidR="00685EAA" w:rsidRPr="0069712C" w:rsidRDefault="00BF1967" w:rsidP="0069712C">
                <w:pPr>
                  <w:rPr>
                    <w:rFonts w:ascii="Palatino Linotype" w:hAnsi="Palatino Linotype" w:cs="Arial"/>
                    <w:bCs/>
                    <w:sz w:val="22"/>
                    <w:szCs w:val="22"/>
                  </w:rPr>
                </w:pPr>
                <w:r>
                  <w:rPr>
                    <w:rFonts w:ascii="Palatino Linotype" w:hAnsi="Palatino Linotype" w:cs="Arial"/>
                    <w:bCs/>
                    <w:sz w:val="22"/>
                    <w:szCs w:val="22"/>
                  </w:rPr>
                  <w:t>XXX XXX</w:t>
                </w:r>
              </w:p>
            </w:tc>
          </w:tr>
          <w:tr w:rsidR="00685EAA" w:rsidRPr="00330DA7" w14:paraId="7A60AA42" w14:textId="77777777" w:rsidTr="0069712C">
            <w:trPr>
              <w:trHeight w:val="283"/>
            </w:trPr>
            <w:tc>
              <w:tcPr>
                <w:tcW w:w="2444" w:type="dxa"/>
                <w:shd w:val="clear" w:color="auto" w:fill="auto"/>
              </w:tcPr>
              <w:p w14:paraId="7A60AA40" w14:textId="77777777" w:rsidR="00685EAA" w:rsidRPr="0069712C" w:rsidRDefault="00685EAA" w:rsidP="000B3187">
                <w:pPr>
                  <w:tabs>
                    <w:tab w:val="right" w:pos="8838"/>
                  </w:tabs>
                  <w:ind w:left="-74" w:right="-105"/>
                  <w:rPr>
                    <w:rFonts w:ascii="Palatino Linotype" w:eastAsia="Calibri" w:hAnsi="Palatino Linotype" w:cs="Tahoma"/>
                    <w:b/>
                    <w:sz w:val="22"/>
                    <w:szCs w:val="22"/>
                    <w:lang w:val="es-ES" w:eastAsia="en-US"/>
                  </w:rPr>
                </w:pPr>
                <w:r w:rsidRPr="0069712C">
                  <w:rPr>
                    <w:rFonts w:ascii="Palatino Linotype" w:eastAsia="Calibri" w:hAnsi="Palatino Linotype" w:cs="Tahoma"/>
                    <w:b/>
                    <w:sz w:val="22"/>
                    <w:szCs w:val="22"/>
                    <w:lang w:val="es-ES" w:eastAsia="en-US"/>
                  </w:rPr>
                  <w:t>Sujeto Obligado:</w:t>
                </w:r>
              </w:p>
            </w:tc>
            <w:tc>
              <w:tcPr>
                <w:tcW w:w="3504" w:type="dxa"/>
                <w:shd w:val="clear" w:color="auto" w:fill="auto"/>
              </w:tcPr>
              <w:p w14:paraId="7A60AA41" w14:textId="77777777" w:rsidR="00685EAA" w:rsidRPr="0069712C" w:rsidRDefault="00F036FA" w:rsidP="0069712C">
                <w:pPr>
                  <w:rPr>
                    <w:rFonts w:ascii="Palatino Linotype" w:hAnsi="Palatino Linotype" w:cs="Arial"/>
                    <w:bCs/>
                    <w:sz w:val="22"/>
                    <w:szCs w:val="22"/>
                  </w:rPr>
                </w:pPr>
                <w:r w:rsidRPr="0069712C">
                  <w:rPr>
                    <w:rFonts w:ascii="Palatino Linotype" w:hAnsi="Palatino Linotype" w:cs="Arial"/>
                    <w:bCs/>
                    <w:sz w:val="22"/>
                    <w:szCs w:val="22"/>
                  </w:rPr>
                  <w:t>Secretaría de Seguridad</w:t>
                </w:r>
              </w:p>
            </w:tc>
          </w:tr>
          <w:tr w:rsidR="00685EAA" w:rsidRPr="00330DA7" w14:paraId="7A60AA46" w14:textId="77777777" w:rsidTr="0069712C">
            <w:trPr>
              <w:trHeight w:val="283"/>
            </w:trPr>
            <w:tc>
              <w:tcPr>
                <w:tcW w:w="2444" w:type="dxa"/>
                <w:shd w:val="clear" w:color="auto" w:fill="auto"/>
              </w:tcPr>
              <w:p w14:paraId="7A60AA43" w14:textId="77777777" w:rsidR="00685EAA" w:rsidRPr="0069712C" w:rsidRDefault="00462720" w:rsidP="00737F8A">
                <w:pPr>
                  <w:tabs>
                    <w:tab w:val="right" w:pos="8838"/>
                  </w:tabs>
                  <w:ind w:left="-74" w:right="-105"/>
                  <w:rPr>
                    <w:rFonts w:ascii="Palatino Linotype" w:eastAsia="Calibri" w:hAnsi="Palatino Linotype" w:cs="Tahoma"/>
                    <w:b/>
                    <w:sz w:val="22"/>
                    <w:szCs w:val="22"/>
                    <w:lang w:val="es-ES" w:eastAsia="en-US"/>
                  </w:rPr>
                </w:pPr>
                <w:r w:rsidRPr="0069712C">
                  <w:rPr>
                    <w:rFonts w:ascii="Palatino Linotype" w:eastAsia="Calibri" w:hAnsi="Palatino Linotype" w:cs="Tahoma"/>
                    <w:b/>
                    <w:sz w:val="22"/>
                    <w:szCs w:val="22"/>
                    <w:lang w:val="es-ES" w:eastAsia="en-US"/>
                  </w:rPr>
                  <w:t>Comisionada P</w:t>
                </w:r>
                <w:r w:rsidR="00685EAA" w:rsidRPr="0069712C">
                  <w:rPr>
                    <w:rFonts w:ascii="Palatino Linotype" w:eastAsia="Calibri" w:hAnsi="Palatino Linotype" w:cs="Tahoma"/>
                    <w:b/>
                    <w:sz w:val="22"/>
                    <w:szCs w:val="22"/>
                    <w:lang w:val="es-ES" w:eastAsia="en-US"/>
                  </w:rPr>
                  <w:t>onente:</w:t>
                </w:r>
              </w:p>
            </w:tc>
            <w:tc>
              <w:tcPr>
                <w:tcW w:w="3504" w:type="dxa"/>
                <w:shd w:val="clear" w:color="auto" w:fill="auto"/>
              </w:tcPr>
              <w:p w14:paraId="7A60AA44" w14:textId="77777777" w:rsidR="00685EAA" w:rsidRPr="0069712C" w:rsidRDefault="00685EAA" w:rsidP="0069712C">
                <w:pPr>
                  <w:rPr>
                    <w:rFonts w:ascii="Palatino Linotype" w:hAnsi="Palatino Linotype" w:cs="Arial"/>
                    <w:bCs/>
                    <w:sz w:val="22"/>
                    <w:szCs w:val="22"/>
                  </w:rPr>
                </w:pPr>
                <w:r w:rsidRPr="0069712C">
                  <w:rPr>
                    <w:rFonts w:ascii="Palatino Linotype" w:hAnsi="Palatino Linotype" w:cs="Arial"/>
                    <w:bCs/>
                    <w:sz w:val="22"/>
                    <w:szCs w:val="22"/>
                  </w:rPr>
                  <w:t>María del Rosario Mejía Ayala</w:t>
                </w:r>
              </w:p>
              <w:p w14:paraId="7A60AA45" w14:textId="77777777" w:rsidR="00685EAA" w:rsidRPr="0069712C" w:rsidRDefault="00685EAA" w:rsidP="0069712C">
                <w:pPr>
                  <w:rPr>
                    <w:rFonts w:ascii="Palatino Linotype" w:hAnsi="Palatino Linotype" w:cs="Arial"/>
                    <w:bCs/>
                    <w:sz w:val="22"/>
                    <w:szCs w:val="22"/>
                  </w:rPr>
                </w:pPr>
              </w:p>
            </w:tc>
          </w:tr>
        </w:tbl>
        <w:p w14:paraId="7A60AA47" w14:textId="77777777" w:rsidR="00685EAA" w:rsidRPr="00330DA7" w:rsidRDefault="00685EAA" w:rsidP="00737F8A">
          <w:pPr>
            <w:tabs>
              <w:tab w:val="right" w:pos="8838"/>
            </w:tabs>
            <w:ind w:left="-28"/>
            <w:jc w:val="both"/>
            <w:rPr>
              <w:rFonts w:ascii="Arial" w:eastAsia="Calibri" w:hAnsi="Arial" w:cs="Arial"/>
              <w:b/>
              <w:sz w:val="22"/>
              <w:szCs w:val="22"/>
              <w:lang w:eastAsia="en-US"/>
            </w:rPr>
          </w:pPr>
        </w:p>
      </w:tc>
    </w:tr>
  </w:tbl>
  <w:p w14:paraId="7A60AA49" w14:textId="77777777" w:rsidR="00685EAA" w:rsidRPr="00827FA0" w:rsidRDefault="00113E3D" w:rsidP="00737F8A">
    <w:pPr>
      <w:pStyle w:val="Encabezado"/>
      <w:rPr>
        <w:sz w:val="2"/>
        <w:szCs w:val="22"/>
      </w:rPr>
    </w:pPr>
    <w:r>
      <w:rPr>
        <w:noProof/>
        <w:sz w:val="2"/>
        <w:szCs w:val="22"/>
      </w:rPr>
      <w:pict w14:anchorId="7A60A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33BF3"/>
    <w:multiLevelType w:val="hybridMultilevel"/>
    <w:tmpl w:val="58E01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E5AFB"/>
    <w:multiLevelType w:val="hybridMultilevel"/>
    <w:tmpl w:val="221270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A84A3D"/>
    <w:multiLevelType w:val="hybridMultilevel"/>
    <w:tmpl w:val="915293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6"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CD4EBABC"/>
    <w:lvl w:ilvl="0" w:tplc="6B7CCCDE">
      <w:start w:val="1"/>
      <w:numFmt w:val="decimal"/>
      <w:lvlText w:val="%1."/>
      <w:lvlJc w:val="left"/>
      <w:pPr>
        <w:ind w:left="644" w:hanging="360"/>
      </w:pPr>
      <w:rPr>
        <w:rFonts w:ascii="Palatino Linotype" w:hAnsi="Palatino Linotype" w:hint="default"/>
        <w:b/>
        <w:i w:val="0"/>
        <w:strike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2" w15:restartNumberingAfterBreak="0">
    <w:nsid w:val="3BCC2E9B"/>
    <w:multiLevelType w:val="hybridMultilevel"/>
    <w:tmpl w:val="7AAA424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616099"/>
    <w:multiLevelType w:val="hybridMultilevel"/>
    <w:tmpl w:val="C5CA65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9"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1D6DB5"/>
    <w:multiLevelType w:val="hybridMultilevel"/>
    <w:tmpl w:val="C5EC6918"/>
    <w:lvl w:ilvl="0" w:tplc="09D4628A">
      <w:start w:val="1"/>
      <w:numFmt w:val="decimal"/>
      <w:lvlText w:val="%1)"/>
      <w:lvlJc w:val="left"/>
      <w:pPr>
        <w:ind w:left="2286" w:hanging="360"/>
      </w:pPr>
      <w:rPr>
        <w:rFonts w:hint="default"/>
      </w:rPr>
    </w:lvl>
    <w:lvl w:ilvl="1" w:tplc="080A0019" w:tentative="1">
      <w:start w:val="1"/>
      <w:numFmt w:val="lowerLetter"/>
      <w:lvlText w:val="%2."/>
      <w:lvlJc w:val="left"/>
      <w:pPr>
        <w:ind w:left="3006" w:hanging="360"/>
      </w:pPr>
    </w:lvl>
    <w:lvl w:ilvl="2" w:tplc="080A001B" w:tentative="1">
      <w:start w:val="1"/>
      <w:numFmt w:val="lowerRoman"/>
      <w:lvlText w:val="%3."/>
      <w:lvlJc w:val="right"/>
      <w:pPr>
        <w:ind w:left="3726" w:hanging="180"/>
      </w:pPr>
    </w:lvl>
    <w:lvl w:ilvl="3" w:tplc="080A000F" w:tentative="1">
      <w:start w:val="1"/>
      <w:numFmt w:val="decimal"/>
      <w:lvlText w:val="%4."/>
      <w:lvlJc w:val="left"/>
      <w:pPr>
        <w:ind w:left="4446" w:hanging="360"/>
      </w:pPr>
    </w:lvl>
    <w:lvl w:ilvl="4" w:tplc="080A0019" w:tentative="1">
      <w:start w:val="1"/>
      <w:numFmt w:val="lowerLetter"/>
      <w:lvlText w:val="%5."/>
      <w:lvlJc w:val="left"/>
      <w:pPr>
        <w:ind w:left="5166" w:hanging="360"/>
      </w:pPr>
    </w:lvl>
    <w:lvl w:ilvl="5" w:tplc="080A001B" w:tentative="1">
      <w:start w:val="1"/>
      <w:numFmt w:val="lowerRoman"/>
      <w:lvlText w:val="%6."/>
      <w:lvlJc w:val="right"/>
      <w:pPr>
        <w:ind w:left="5886" w:hanging="180"/>
      </w:pPr>
    </w:lvl>
    <w:lvl w:ilvl="6" w:tplc="080A000F" w:tentative="1">
      <w:start w:val="1"/>
      <w:numFmt w:val="decimal"/>
      <w:lvlText w:val="%7."/>
      <w:lvlJc w:val="left"/>
      <w:pPr>
        <w:ind w:left="6606" w:hanging="360"/>
      </w:pPr>
    </w:lvl>
    <w:lvl w:ilvl="7" w:tplc="080A0019" w:tentative="1">
      <w:start w:val="1"/>
      <w:numFmt w:val="lowerLetter"/>
      <w:lvlText w:val="%8."/>
      <w:lvlJc w:val="left"/>
      <w:pPr>
        <w:ind w:left="7326" w:hanging="360"/>
      </w:pPr>
    </w:lvl>
    <w:lvl w:ilvl="8" w:tplc="080A001B" w:tentative="1">
      <w:start w:val="1"/>
      <w:numFmt w:val="lowerRoman"/>
      <w:lvlText w:val="%9."/>
      <w:lvlJc w:val="right"/>
      <w:pPr>
        <w:ind w:left="8046" w:hanging="180"/>
      </w:pPr>
    </w:lvl>
  </w:abstractNum>
  <w:abstractNum w:abstractNumId="21" w15:restartNumberingAfterBreak="0">
    <w:nsid w:val="7A6B237A"/>
    <w:multiLevelType w:val="hybridMultilevel"/>
    <w:tmpl w:val="6032FA28"/>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2"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16cid:durableId="311835769">
    <w:abstractNumId w:val="9"/>
  </w:num>
  <w:num w:numId="2" w16cid:durableId="1772240659">
    <w:abstractNumId w:val="7"/>
  </w:num>
  <w:num w:numId="3" w16cid:durableId="920141781">
    <w:abstractNumId w:val="14"/>
  </w:num>
  <w:num w:numId="4" w16cid:durableId="1185511352">
    <w:abstractNumId w:val="15"/>
  </w:num>
  <w:num w:numId="5" w16cid:durableId="1781144244">
    <w:abstractNumId w:val="1"/>
  </w:num>
  <w:num w:numId="6" w16cid:durableId="1048068996">
    <w:abstractNumId w:val="6"/>
  </w:num>
  <w:num w:numId="7" w16cid:durableId="1547347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148350">
    <w:abstractNumId w:val="16"/>
  </w:num>
  <w:num w:numId="9" w16cid:durableId="1527206618">
    <w:abstractNumId w:val="0"/>
  </w:num>
  <w:num w:numId="10" w16cid:durableId="1119881342">
    <w:abstractNumId w:val="5"/>
  </w:num>
  <w:num w:numId="11" w16cid:durableId="1878548055">
    <w:abstractNumId w:val="22"/>
  </w:num>
  <w:num w:numId="12" w16cid:durableId="2107996638">
    <w:abstractNumId w:val="19"/>
  </w:num>
  <w:num w:numId="13" w16cid:durableId="838041065">
    <w:abstractNumId w:val="23"/>
  </w:num>
  <w:num w:numId="14" w16cid:durableId="1740712945">
    <w:abstractNumId w:val="10"/>
  </w:num>
  <w:num w:numId="15" w16cid:durableId="54554535">
    <w:abstractNumId w:val="8"/>
  </w:num>
  <w:num w:numId="16" w16cid:durableId="1666666044">
    <w:abstractNumId w:val="13"/>
  </w:num>
  <w:num w:numId="17" w16cid:durableId="1706756849">
    <w:abstractNumId w:val="17"/>
  </w:num>
  <w:num w:numId="18" w16cid:durableId="779034695">
    <w:abstractNumId w:val="21"/>
  </w:num>
  <w:num w:numId="19" w16cid:durableId="1320110690">
    <w:abstractNumId w:val="20"/>
  </w:num>
  <w:num w:numId="20" w16cid:durableId="343098656">
    <w:abstractNumId w:val="3"/>
  </w:num>
  <w:num w:numId="21" w16cid:durableId="487331513">
    <w:abstractNumId w:val="4"/>
  </w:num>
  <w:num w:numId="22" w16cid:durableId="1211041307">
    <w:abstractNumId w:val="12"/>
  </w:num>
  <w:num w:numId="23" w16cid:durableId="668943527">
    <w:abstractNumId w:val="2"/>
  </w:num>
  <w:num w:numId="24" w16cid:durableId="205066537">
    <w:abstractNumId w:val="18"/>
  </w:num>
  <w:num w:numId="25" w16cid:durableId="14052229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8A"/>
    <w:rsid w:val="00007A3C"/>
    <w:rsid w:val="00014924"/>
    <w:rsid w:val="000228A0"/>
    <w:rsid w:val="0005018D"/>
    <w:rsid w:val="000708C8"/>
    <w:rsid w:val="00084E0D"/>
    <w:rsid w:val="00096C10"/>
    <w:rsid w:val="000A73EB"/>
    <w:rsid w:val="000B3187"/>
    <w:rsid w:val="000C37CF"/>
    <w:rsid w:val="000F27E2"/>
    <w:rsid w:val="00104351"/>
    <w:rsid w:val="00113E3D"/>
    <w:rsid w:val="001217CB"/>
    <w:rsid w:val="00141E1F"/>
    <w:rsid w:val="00156995"/>
    <w:rsid w:val="0017374A"/>
    <w:rsid w:val="00190EF2"/>
    <w:rsid w:val="001A728C"/>
    <w:rsid w:val="001C2DF7"/>
    <w:rsid w:val="001C4FCC"/>
    <w:rsid w:val="001D1967"/>
    <w:rsid w:val="001D2223"/>
    <w:rsid w:val="001E731B"/>
    <w:rsid w:val="001F4904"/>
    <w:rsid w:val="00201F40"/>
    <w:rsid w:val="00214EBE"/>
    <w:rsid w:val="00244F62"/>
    <w:rsid w:val="0024576B"/>
    <w:rsid w:val="0028715F"/>
    <w:rsid w:val="002E2BC8"/>
    <w:rsid w:val="002E2CAC"/>
    <w:rsid w:val="002F2DBD"/>
    <w:rsid w:val="00345D64"/>
    <w:rsid w:val="00364D27"/>
    <w:rsid w:val="00364E1F"/>
    <w:rsid w:val="00370232"/>
    <w:rsid w:val="00391381"/>
    <w:rsid w:val="0039289C"/>
    <w:rsid w:val="00397694"/>
    <w:rsid w:val="003A2640"/>
    <w:rsid w:val="003A4B1C"/>
    <w:rsid w:val="003A7A1D"/>
    <w:rsid w:val="003C38C6"/>
    <w:rsid w:val="003E0F59"/>
    <w:rsid w:val="003E1522"/>
    <w:rsid w:val="003F56EB"/>
    <w:rsid w:val="00400372"/>
    <w:rsid w:val="004252E4"/>
    <w:rsid w:val="00452085"/>
    <w:rsid w:val="00452118"/>
    <w:rsid w:val="00462720"/>
    <w:rsid w:val="00496617"/>
    <w:rsid w:val="004C01FD"/>
    <w:rsid w:val="004E2538"/>
    <w:rsid w:val="00506957"/>
    <w:rsid w:val="0052339C"/>
    <w:rsid w:val="00537748"/>
    <w:rsid w:val="005413F5"/>
    <w:rsid w:val="0054279A"/>
    <w:rsid w:val="00575658"/>
    <w:rsid w:val="00581997"/>
    <w:rsid w:val="00587789"/>
    <w:rsid w:val="005B5936"/>
    <w:rsid w:val="005E06CD"/>
    <w:rsid w:val="005E30ED"/>
    <w:rsid w:val="005F6D06"/>
    <w:rsid w:val="00600ADF"/>
    <w:rsid w:val="00601EDD"/>
    <w:rsid w:val="00616A92"/>
    <w:rsid w:val="006300FA"/>
    <w:rsid w:val="0066364C"/>
    <w:rsid w:val="00685E72"/>
    <w:rsid w:val="00685EAA"/>
    <w:rsid w:val="0069712C"/>
    <w:rsid w:val="006D1967"/>
    <w:rsid w:val="006F597E"/>
    <w:rsid w:val="00712748"/>
    <w:rsid w:val="00733FC7"/>
    <w:rsid w:val="00737F8A"/>
    <w:rsid w:val="007475E2"/>
    <w:rsid w:val="0076490B"/>
    <w:rsid w:val="0076643E"/>
    <w:rsid w:val="007926AC"/>
    <w:rsid w:val="007A2898"/>
    <w:rsid w:val="007B2BB2"/>
    <w:rsid w:val="008153ED"/>
    <w:rsid w:val="008264BE"/>
    <w:rsid w:val="00847975"/>
    <w:rsid w:val="00862842"/>
    <w:rsid w:val="00865A83"/>
    <w:rsid w:val="008A531D"/>
    <w:rsid w:val="008C64D9"/>
    <w:rsid w:val="008E3D5B"/>
    <w:rsid w:val="0093317B"/>
    <w:rsid w:val="00935FE6"/>
    <w:rsid w:val="0094519F"/>
    <w:rsid w:val="00946A13"/>
    <w:rsid w:val="00951411"/>
    <w:rsid w:val="00996E1C"/>
    <w:rsid w:val="009A54DA"/>
    <w:rsid w:val="009A6F5B"/>
    <w:rsid w:val="009D3602"/>
    <w:rsid w:val="009E1179"/>
    <w:rsid w:val="00A24F5A"/>
    <w:rsid w:val="00A35AD2"/>
    <w:rsid w:val="00A452BE"/>
    <w:rsid w:val="00A52DB1"/>
    <w:rsid w:val="00A9237E"/>
    <w:rsid w:val="00AD1840"/>
    <w:rsid w:val="00AF0E6F"/>
    <w:rsid w:val="00AF5756"/>
    <w:rsid w:val="00B14794"/>
    <w:rsid w:val="00B2226E"/>
    <w:rsid w:val="00B35B63"/>
    <w:rsid w:val="00B43946"/>
    <w:rsid w:val="00B669FC"/>
    <w:rsid w:val="00B97B95"/>
    <w:rsid w:val="00BA697F"/>
    <w:rsid w:val="00BC220D"/>
    <w:rsid w:val="00BD7DCB"/>
    <w:rsid w:val="00BE54F4"/>
    <w:rsid w:val="00BF1967"/>
    <w:rsid w:val="00BF4C86"/>
    <w:rsid w:val="00C029E5"/>
    <w:rsid w:val="00C41017"/>
    <w:rsid w:val="00C60AFC"/>
    <w:rsid w:val="00CA6F58"/>
    <w:rsid w:val="00CD3CF0"/>
    <w:rsid w:val="00CF42A6"/>
    <w:rsid w:val="00D10B35"/>
    <w:rsid w:val="00D13DEB"/>
    <w:rsid w:val="00D1496A"/>
    <w:rsid w:val="00D50CE8"/>
    <w:rsid w:val="00D54C54"/>
    <w:rsid w:val="00D83D00"/>
    <w:rsid w:val="00D911B0"/>
    <w:rsid w:val="00DF505C"/>
    <w:rsid w:val="00E14CCC"/>
    <w:rsid w:val="00E27B9D"/>
    <w:rsid w:val="00E4761D"/>
    <w:rsid w:val="00E63492"/>
    <w:rsid w:val="00EA25F5"/>
    <w:rsid w:val="00ED20EE"/>
    <w:rsid w:val="00F01E71"/>
    <w:rsid w:val="00F036FA"/>
    <w:rsid w:val="00F1679C"/>
    <w:rsid w:val="00F22F94"/>
    <w:rsid w:val="00F257E1"/>
    <w:rsid w:val="00F64E8D"/>
    <w:rsid w:val="00F712C0"/>
    <w:rsid w:val="00F751CA"/>
    <w:rsid w:val="00FC4351"/>
    <w:rsid w:val="00FC6B43"/>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0A91D"/>
  <w15:chartTrackingRefBased/>
  <w15:docId w15:val="{17EAB3B1-1FE5-447D-9281-EEDDD7B5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F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con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E2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3E152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5316">
      <w:bodyDiv w:val="1"/>
      <w:marLeft w:val="0"/>
      <w:marRight w:val="0"/>
      <w:marTop w:val="0"/>
      <w:marBottom w:val="0"/>
      <w:divBdr>
        <w:top w:val="none" w:sz="0" w:space="0" w:color="auto"/>
        <w:left w:val="none" w:sz="0" w:space="0" w:color="auto"/>
        <w:bottom w:val="none" w:sz="0" w:space="0" w:color="auto"/>
        <w:right w:val="none" w:sz="0" w:space="0" w:color="auto"/>
      </w:divBdr>
      <w:divsChild>
        <w:div w:id="916011089">
          <w:marLeft w:val="0"/>
          <w:marRight w:val="0"/>
          <w:marTop w:val="0"/>
          <w:marBottom w:val="0"/>
          <w:divBdr>
            <w:top w:val="none" w:sz="0" w:space="0" w:color="auto"/>
            <w:left w:val="none" w:sz="0" w:space="0" w:color="auto"/>
            <w:bottom w:val="none" w:sz="0" w:space="0" w:color="auto"/>
            <w:right w:val="none" w:sz="0" w:space="0" w:color="auto"/>
          </w:divBdr>
        </w:div>
      </w:divsChild>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DEB7D-2DE7-425F-A53A-980A31E9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30</Pages>
  <Words>5021</Words>
  <Characters>27619</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9</cp:revision>
  <dcterms:created xsi:type="dcterms:W3CDTF">2023-12-07T00:03:00Z</dcterms:created>
  <dcterms:modified xsi:type="dcterms:W3CDTF">2024-01-25T18:22:00Z</dcterms:modified>
</cp:coreProperties>
</file>