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5EE" w:rsidRPr="008A1ABA" w:rsidRDefault="008070F3">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8A1AB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primero de febrero de dos mil veintitrés. </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VISTO</w:t>
      </w:r>
      <w:r w:rsidRPr="008A1ABA">
        <w:rPr>
          <w:rFonts w:ascii="Palatino Linotype" w:eastAsia="Palatino Linotype" w:hAnsi="Palatino Linotype" w:cs="Palatino Linotype"/>
        </w:rPr>
        <w:t xml:space="preserve"> el expediente formado con motivo del recurso de revisión </w:t>
      </w:r>
      <w:r w:rsidRPr="008A1ABA">
        <w:rPr>
          <w:rFonts w:ascii="Palatino Linotype" w:eastAsia="Palatino Linotype" w:hAnsi="Palatino Linotype" w:cs="Palatino Linotype"/>
          <w:b/>
        </w:rPr>
        <w:t>11159/INFOEM/IP/RR/2022</w:t>
      </w:r>
      <w:r w:rsidRPr="008A1ABA">
        <w:rPr>
          <w:rFonts w:ascii="Palatino Linotype" w:eastAsia="Palatino Linotype" w:hAnsi="Palatino Linotype" w:cs="Palatino Linotype"/>
        </w:rPr>
        <w:t xml:space="preserve">, interpuesto por </w:t>
      </w:r>
      <w:r w:rsidR="00B200E2">
        <w:rPr>
          <w:rFonts w:ascii="Palatino Linotype" w:eastAsia="Palatino Linotype" w:hAnsi="Palatino Linotype" w:cs="Palatino Linotype"/>
          <w:b/>
        </w:rPr>
        <w:t>XXXXXXX XXXXXXXXX XXXXXXX</w:t>
      </w:r>
      <w:bookmarkStart w:id="1" w:name="_GoBack"/>
      <w:bookmarkEnd w:id="1"/>
      <w:r w:rsidRPr="008A1ABA">
        <w:rPr>
          <w:rFonts w:ascii="Palatino Linotype" w:eastAsia="Palatino Linotype" w:hAnsi="Palatino Linotype" w:cs="Palatino Linotype"/>
        </w:rPr>
        <w:t xml:space="preserve"> quien en lo sucesivo</w:t>
      </w:r>
      <w:r w:rsidRPr="008A1ABA">
        <w:rPr>
          <w:rFonts w:ascii="Palatino Linotype" w:eastAsia="Palatino Linotype" w:hAnsi="Palatino Linotype" w:cs="Palatino Linotype"/>
          <w:b/>
        </w:rPr>
        <w:t xml:space="preserve"> </w:t>
      </w:r>
      <w:r w:rsidRPr="008A1ABA">
        <w:rPr>
          <w:rFonts w:ascii="Palatino Linotype" w:eastAsia="Palatino Linotype" w:hAnsi="Palatino Linotype" w:cs="Palatino Linotype"/>
        </w:rPr>
        <w:t xml:space="preserve">será identificado en su calidad de </w:t>
      </w:r>
      <w:r w:rsidRPr="008A1ABA">
        <w:rPr>
          <w:rFonts w:ascii="Palatino Linotype" w:eastAsia="Palatino Linotype" w:hAnsi="Palatino Linotype" w:cs="Palatino Linotype"/>
          <w:b/>
        </w:rPr>
        <w:t>Recurrente,</w:t>
      </w:r>
      <w:r w:rsidRPr="008A1ABA">
        <w:rPr>
          <w:rFonts w:ascii="Palatino Linotype" w:eastAsia="Palatino Linotype" w:hAnsi="Palatino Linotype" w:cs="Palatino Linotype"/>
        </w:rPr>
        <w:t xml:space="preserve"> en contra de la respuesta del </w:t>
      </w:r>
      <w:r w:rsidRPr="008A1ABA">
        <w:rPr>
          <w:rFonts w:ascii="Palatino Linotype" w:eastAsia="Palatino Linotype" w:hAnsi="Palatino Linotype" w:cs="Palatino Linotype"/>
          <w:b/>
        </w:rPr>
        <w:t xml:space="preserve">Instituto de Transparencia, Acceso a la Información Pública y Protección de Datos Personales del Estado de México y Municipios, </w:t>
      </w:r>
      <w:r w:rsidRPr="008A1ABA">
        <w:rPr>
          <w:rFonts w:ascii="Palatino Linotype" w:eastAsia="Palatino Linotype" w:hAnsi="Palatino Linotype" w:cs="Palatino Linotype"/>
        </w:rPr>
        <w:t xml:space="preserve">en lo sucesivo el </w:t>
      </w:r>
      <w:r w:rsidRPr="008A1ABA">
        <w:rPr>
          <w:rFonts w:ascii="Palatino Linotype" w:eastAsia="Palatino Linotype" w:hAnsi="Palatino Linotype" w:cs="Palatino Linotype"/>
          <w:b/>
        </w:rPr>
        <w:t xml:space="preserve">Sujeto Obligado, </w:t>
      </w:r>
      <w:r w:rsidRPr="008A1ABA">
        <w:rPr>
          <w:rFonts w:ascii="Palatino Linotype" w:eastAsia="Palatino Linotype" w:hAnsi="Palatino Linotype" w:cs="Palatino Linotype"/>
        </w:rPr>
        <w:t xml:space="preserve">se procede a dictar la presente resolución con base en los siguientes: </w:t>
      </w:r>
    </w:p>
    <w:p w:rsidR="006515EE" w:rsidRPr="008A1ABA" w:rsidRDefault="008070F3">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8A1ABA">
        <w:rPr>
          <w:rFonts w:ascii="Palatino Linotype" w:eastAsia="Palatino Linotype" w:hAnsi="Palatino Linotype" w:cs="Palatino Linotype"/>
          <w:b/>
        </w:rPr>
        <w:t>I. A N T E C E D E N T E S</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1. Solicitud de acceso a la información.</w:t>
      </w:r>
      <w:r w:rsidRPr="008A1ABA">
        <w:rPr>
          <w:rFonts w:ascii="Palatino Linotype" w:eastAsia="Palatino Linotype" w:hAnsi="Palatino Linotype" w:cs="Palatino Linotype"/>
        </w:rPr>
        <w:t xml:space="preserve"> El </w:t>
      </w:r>
      <w:r w:rsidRPr="008A1ABA">
        <w:rPr>
          <w:rFonts w:ascii="Palatino Linotype" w:eastAsia="Palatino Linotype" w:hAnsi="Palatino Linotype" w:cs="Palatino Linotype"/>
          <w:b/>
        </w:rPr>
        <w:t>once de mayo de dos mil veintidós,</w:t>
      </w:r>
      <w:r w:rsidRPr="008A1ABA">
        <w:rPr>
          <w:rFonts w:ascii="Palatino Linotype" w:eastAsia="Palatino Linotype" w:hAnsi="Palatino Linotype" w:cs="Palatino Linotype"/>
        </w:rPr>
        <w:t xml:space="preserve"> la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presentó a través del Sistema de Acceso a la Información Mexiquense (</w:t>
      </w:r>
      <w:r w:rsidRPr="008A1ABA">
        <w:rPr>
          <w:rFonts w:ascii="Palatino Linotype" w:eastAsia="Palatino Linotype" w:hAnsi="Palatino Linotype" w:cs="Palatino Linotype"/>
          <w:b/>
        </w:rPr>
        <w:t>SAIMEX),</w:t>
      </w:r>
      <w:r w:rsidRPr="008A1ABA">
        <w:rPr>
          <w:rFonts w:ascii="Palatino Linotype" w:eastAsia="Palatino Linotype" w:hAnsi="Palatino Linotype" w:cs="Palatino Linotype"/>
        </w:rPr>
        <w:t xml:space="preserve"> la solicitud de acceso a la información pública registrada con el número </w:t>
      </w:r>
      <w:r w:rsidRPr="008A1ABA">
        <w:rPr>
          <w:rFonts w:ascii="Palatino Linotype" w:eastAsia="Palatino Linotype" w:hAnsi="Palatino Linotype" w:cs="Palatino Linotype"/>
          <w:b/>
        </w:rPr>
        <w:t xml:space="preserve">00547/INFOEM/IP/2022, </w:t>
      </w:r>
      <w:r w:rsidRPr="008A1ABA">
        <w:rPr>
          <w:rFonts w:ascii="Palatino Linotype" w:eastAsia="Palatino Linotype" w:hAnsi="Palatino Linotype" w:cs="Palatino Linotype"/>
        </w:rPr>
        <w:t xml:space="preserve">mediante la cual requirió la información siguiente: </w:t>
      </w:r>
    </w:p>
    <w:p w:rsidR="006515EE" w:rsidRPr="008A1ABA" w:rsidRDefault="008070F3" w:rsidP="00EE72D7">
      <w:pPr>
        <w:spacing w:before="240" w:after="240"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sidRPr="008A1ABA">
        <w:rPr>
          <w:rFonts w:ascii="Palatino Linotype" w:eastAsia="Palatino Linotype" w:hAnsi="Palatino Linotype" w:cs="Palatino Linotype"/>
          <w:i/>
          <w:sz w:val="22"/>
          <w:szCs w:val="22"/>
        </w:rPr>
        <w:t xml:space="preserve">“En versión pública todos los acuerdos de cumplimiento. Incompleto u extemporáneo que la contraloría de </w:t>
      </w:r>
      <w:proofErr w:type="spellStart"/>
      <w:r w:rsidRPr="008A1ABA">
        <w:rPr>
          <w:rFonts w:ascii="Palatino Linotype" w:eastAsia="Palatino Linotype" w:hAnsi="Palatino Linotype" w:cs="Palatino Linotype"/>
          <w:i/>
          <w:sz w:val="22"/>
          <w:szCs w:val="22"/>
        </w:rPr>
        <w:t>infoem</w:t>
      </w:r>
      <w:proofErr w:type="spellEnd"/>
      <w:r w:rsidRPr="008A1ABA">
        <w:rPr>
          <w:rFonts w:ascii="Palatino Linotype" w:eastAsia="Palatino Linotype" w:hAnsi="Palatino Linotype" w:cs="Palatino Linotype"/>
          <w:i/>
          <w:sz w:val="22"/>
          <w:szCs w:val="22"/>
        </w:rPr>
        <w:t xml:space="preserve"> ha emitido de 2021 a la fecha al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Acuses de notificación que le realizan a l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al sujeto obligado pues la unidad de transparencia oculta todo son corruptos Acciones de mejora que el </w:t>
      </w:r>
      <w:proofErr w:type="spellStart"/>
      <w:r w:rsidRPr="008A1ABA">
        <w:rPr>
          <w:rFonts w:ascii="Palatino Linotype" w:eastAsia="Palatino Linotype" w:hAnsi="Palatino Linotype" w:cs="Palatino Linotype"/>
          <w:i/>
          <w:sz w:val="22"/>
          <w:szCs w:val="22"/>
        </w:rPr>
        <w:t>infoem</w:t>
      </w:r>
      <w:proofErr w:type="spellEnd"/>
      <w:r w:rsidRPr="008A1ABA">
        <w:rPr>
          <w:rFonts w:ascii="Palatino Linotype" w:eastAsia="Palatino Linotype" w:hAnsi="Palatino Linotype" w:cs="Palatino Linotype"/>
          <w:i/>
          <w:sz w:val="22"/>
          <w:szCs w:val="22"/>
        </w:rPr>
        <w:t xml:space="preserve"> le ha realizado a la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para que no oculte información Cuantos solicitudes de prórroga </w:t>
      </w:r>
      <w:r w:rsidRPr="008A1ABA">
        <w:rPr>
          <w:rFonts w:ascii="Palatino Linotype" w:eastAsia="Palatino Linotype" w:hAnsi="Palatino Linotype" w:cs="Palatino Linotype"/>
          <w:i/>
          <w:sz w:val="22"/>
          <w:szCs w:val="22"/>
        </w:rPr>
        <w:lastRenderedPageBreak/>
        <w:t xml:space="preserve">ha emitido la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desde 2019 a la fecha para entregar información Sanciones que le han impuesto al fiscal como sujeto obligado por la </w:t>
      </w:r>
      <w:proofErr w:type="spellStart"/>
      <w:r w:rsidRPr="008A1ABA">
        <w:rPr>
          <w:rFonts w:ascii="Palatino Linotype" w:eastAsia="Palatino Linotype" w:hAnsi="Palatino Linotype" w:cs="Palatino Linotype"/>
          <w:i/>
          <w:sz w:val="22"/>
          <w:szCs w:val="22"/>
        </w:rPr>
        <w:t>violacion</w:t>
      </w:r>
      <w:proofErr w:type="spellEnd"/>
      <w:r w:rsidRPr="008A1ABA">
        <w:rPr>
          <w:rFonts w:ascii="Palatino Linotype" w:eastAsia="Palatino Linotype" w:hAnsi="Palatino Linotype" w:cs="Palatino Linotype"/>
          <w:i/>
          <w:sz w:val="22"/>
          <w:szCs w:val="22"/>
        </w:rPr>
        <w:t xml:space="preserve"> de ocultamiento de información pública Sanciones de revisiones oficiosas que la han impuesto a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por no tener actualizad la información de </w:t>
      </w:r>
      <w:proofErr w:type="spellStart"/>
      <w:r w:rsidRPr="008A1ABA">
        <w:rPr>
          <w:rFonts w:ascii="Palatino Linotype" w:eastAsia="Palatino Linotype" w:hAnsi="Palatino Linotype" w:cs="Palatino Linotype"/>
          <w:i/>
          <w:sz w:val="22"/>
          <w:szCs w:val="22"/>
        </w:rPr>
        <w:t>ipomex</w:t>
      </w:r>
      <w:proofErr w:type="spellEnd"/>
      <w:r w:rsidRPr="008A1ABA">
        <w:rPr>
          <w:rFonts w:ascii="Palatino Linotype" w:eastAsia="Palatino Linotype" w:hAnsi="Palatino Linotype" w:cs="Palatino Linotype"/>
          <w:i/>
          <w:sz w:val="22"/>
          <w:szCs w:val="22"/>
        </w:rPr>
        <w:t xml:space="preserve"> Sanciones impuestas a la o el titular de la unidad de transparencia.” (Sic)</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Modalidad de Entrega:</w:t>
      </w:r>
      <w:r w:rsidRPr="008A1ABA">
        <w:rPr>
          <w:rFonts w:ascii="Palatino Linotype" w:eastAsia="Palatino Linotype" w:hAnsi="Palatino Linotype" w:cs="Palatino Linotype"/>
        </w:rPr>
        <w:t xml:space="preserve"> A través del Sistema de Acceso a la Información Mexiquense (SAIMEX).</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 xml:space="preserve">2. Respuesta. </w:t>
      </w:r>
      <w:r w:rsidRPr="008A1ABA">
        <w:rPr>
          <w:rFonts w:ascii="Palatino Linotype" w:eastAsia="Palatino Linotype" w:hAnsi="Palatino Linotype" w:cs="Palatino Linotype"/>
        </w:rPr>
        <w:t xml:space="preserve"> El </w:t>
      </w:r>
      <w:r w:rsidRPr="008A1ABA">
        <w:rPr>
          <w:rFonts w:ascii="Palatino Linotype" w:eastAsia="Palatino Linotype" w:hAnsi="Palatino Linotype" w:cs="Palatino Linotype"/>
          <w:b/>
        </w:rPr>
        <w:t>primero de junio de dos mil veintidós</w:t>
      </w:r>
      <w:r w:rsidRPr="008A1ABA">
        <w:rPr>
          <w:rFonts w:ascii="Palatino Linotype" w:eastAsia="Palatino Linotype" w:hAnsi="Palatino Linotype" w:cs="Palatino Linotype"/>
        </w:rPr>
        <w:t xml:space="preserve">,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respondió a la solicitud de información en los términos siguientes:</w:t>
      </w:r>
    </w:p>
    <w:p w:rsidR="006515EE" w:rsidRPr="008A1ABA" w:rsidRDefault="008070F3">
      <w:pPr>
        <w:spacing w:before="240" w:after="240"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“Con fundamento en el artículo 53 fracción II de la Ley de Transparencia y Acceso a la Información Pública del Estado de México y Municipios, se adjunta la respuesta a su solicitud de información pública</w:t>
      </w:r>
      <w:r w:rsidRPr="008A1ABA">
        <w:rPr>
          <w:rFonts w:ascii="Palatino Linotype" w:eastAsia="Palatino Linotype" w:hAnsi="Palatino Linotype" w:cs="Palatino Linotype"/>
          <w:b/>
          <w:i/>
          <w:sz w:val="22"/>
          <w:szCs w:val="22"/>
        </w:rPr>
        <w:t>.” (</w:t>
      </w:r>
      <w:r w:rsidRPr="008A1ABA">
        <w:rPr>
          <w:rFonts w:ascii="Palatino Linotype" w:eastAsia="Palatino Linotype" w:hAnsi="Palatino Linotype" w:cs="Palatino Linotype"/>
          <w:i/>
          <w:sz w:val="22"/>
          <w:szCs w:val="22"/>
        </w:rPr>
        <w:t>Sic)</w:t>
      </w: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Pronunciamiento al que  el </w:t>
      </w:r>
      <w:r w:rsidRPr="008A1ABA">
        <w:rPr>
          <w:rFonts w:ascii="Palatino Linotype" w:eastAsia="Palatino Linotype" w:hAnsi="Palatino Linotype" w:cs="Palatino Linotype"/>
          <w:b/>
        </w:rPr>
        <w:t xml:space="preserve">Sujeto Obligado </w:t>
      </w:r>
      <w:r w:rsidRPr="008A1ABA">
        <w:rPr>
          <w:rFonts w:ascii="Palatino Linotype" w:eastAsia="Palatino Linotype" w:hAnsi="Palatino Linotype" w:cs="Palatino Linotype"/>
        </w:rPr>
        <w:t xml:space="preserve">adjuntó los archivos electrónicos descritos en el siguiente orden: </w:t>
      </w: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b/>
          <w:i/>
        </w:rPr>
        <w:t xml:space="preserve">RespuestaSolicitud00547CIOCV.pdf: </w:t>
      </w:r>
      <w:r w:rsidRPr="008A1ABA">
        <w:rPr>
          <w:rFonts w:ascii="Palatino Linotype" w:eastAsia="Palatino Linotype" w:hAnsi="Palatino Linotype" w:cs="Palatino Linotype"/>
        </w:rPr>
        <w:t xml:space="preserve">Memorándum número INFOEM/CI-OCV/0277/2022 de fecha treinta de mayo de dos mil veintidós, suscrito y signado por el Contralor Interno y Titular del Órgano de Control y Vigilancia por medio del cual informó que no localizó sanciones impuestas a la Fiscalía General de Justicia del Estado de México y Municipios, por no tener actualizada la información en IPOMEX; así como, sanciones impuestas a la Titular de la Unidad de transparencia; por lo tanto resulta improcedente la entrega de tal información, toda vez que no </w:t>
      </w:r>
      <w:r w:rsidRPr="008A1ABA">
        <w:rPr>
          <w:rFonts w:ascii="Palatino Linotype" w:eastAsia="Palatino Linotype" w:hAnsi="Palatino Linotype" w:cs="Palatino Linotype"/>
        </w:rPr>
        <w:lastRenderedPageBreak/>
        <w:t xml:space="preserve">cuenta con la misma. Por cuanto hace al resto de los requerimientos, manifestó que no es competente para generar, administrar o poseer la información. </w:t>
      </w:r>
    </w:p>
    <w:p w:rsidR="006515EE" w:rsidRPr="008A1ABA" w:rsidRDefault="008070F3">
      <w:pPr>
        <w:spacing w:before="240" w:after="240" w:line="360" w:lineRule="auto"/>
        <w:ind w:right="49"/>
        <w:jc w:val="both"/>
        <w:rPr>
          <w:rFonts w:ascii="Palatino Linotype" w:eastAsia="Palatino Linotype" w:hAnsi="Palatino Linotype" w:cs="Palatino Linotype"/>
          <w:b/>
        </w:rPr>
      </w:pPr>
      <w:r w:rsidRPr="008A1ABA">
        <w:rPr>
          <w:rFonts w:ascii="Palatino Linotype" w:eastAsia="Palatino Linotype" w:hAnsi="Palatino Linotype" w:cs="Palatino Linotype"/>
          <w:b/>
          <w:i/>
        </w:rPr>
        <w:t xml:space="preserve">RespuestaSolicitud00547UT.pdf: </w:t>
      </w:r>
      <w:r w:rsidRPr="008A1ABA">
        <w:rPr>
          <w:rFonts w:ascii="Palatino Linotype" w:eastAsia="Palatino Linotype" w:hAnsi="Palatino Linotype" w:cs="Palatino Linotype"/>
        </w:rPr>
        <w:t xml:space="preserve">Oficio número INFOEM/UT/425/2022 de fecha treinta y uno de mayo de dos mil veintidós, suscrito y signado por el Titular de la Unidad de Transparencia, por medio del cual remitió la respuesta del Contralor Interno y Titular del Órgano de Control y Vigilancia y puso a disposición de la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 xml:space="preserve">el Sistema de Acceso a la Información Mexiquense (SAIMEX) y el procedimiento para registrarse y solicitar la información a la Fiscalía General de Justicia del Estado de México. </w:t>
      </w:r>
    </w:p>
    <w:p w:rsidR="006515EE" w:rsidRPr="008A1ABA" w:rsidRDefault="008070F3">
      <w:pPr>
        <w:spacing w:before="240" w:after="240" w:line="360" w:lineRule="auto"/>
        <w:ind w:right="49"/>
        <w:jc w:val="both"/>
        <w:rPr>
          <w:rFonts w:ascii="Palatino Linotype" w:eastAsia="Palatino Linotype" w:hAnsi="Palatino Linotype" w:cs="Palatino Linotype"/>
          <w:b/>
          <w:i/>
        </w:rPr>
      </w:pPr>
      <w:r w:rsidRPr="008A1ABA">
        <w:rPr>
          <w:rFonts w:ascii="Palatino Linotype" w:eastAsia="Palatino Linotype" w:hAnsi="Palatino Linotype" w:cs="Palatino Linotype"/>
          <w:b/>
        </w:rPr>
        <w:t xml:space="preserve">3. Interposición del recurso de revisión.  </w:t>
      </w:r>
      <w:r w:rsidRPr="008A1ABA">
        <w:rPr>
          <w:rFonts w:ascii="Palatino Linotype" w:eastAsia="Palatino Linotype" w:hAnsi="Palatino Linotype" w:cs="Palatino Linotype"/>
        </w:rPr>
        <w:t xml:space="preserve">El </w:t>
      </w:r>
      <w:r w:rsidRPr="008A1ABA">
        <w:rPr>
          <w:rFonts w:ascii="Palatino Linotype" w:eastAsia="Palatino Linotype" w:hAnsi="Palatino Linotype" w:cs="Palatino Linotype"/>
          <w:b/>
        </w:rPr>
        <w:t xml:space="preserve">siete de junio de dos mil veintidós </w:t>
      </w:r>
      <w:r w:rsidRPr="008A1ABA">
        <w:rPr>
          <w:rFonts w:ascii="Palatino Linotype" w:eastAsia="Palatino Linotype" w:hAnsi="Palatino Linotype" w:cs="Palatino Linotype"/>
        </w:rPr>
        <w:t xml:space="preserve">la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inconforme con la respuesta, interpuso el recurso de revisión en el que expresó lo siguiente:</w:t>
      </w:r>
    </w:p>
    <w:p w:rsidR="006515EE" w:rsidRPr="008A1ABA" w:rsidRDefault="008070F3">
      <w:pPr>
        <w:spacing w:before="240" w:after="240" w:line="360" w:lineRule="auto"/>
        <w:ind w:right="49"/>
        <w:jc w:val="both"/>
        <w:rPr>
          <w:rFonts w:ascii="Palatino Linotype" w:eastAsia="Palatino Linotype" w:hAnsi="Palatino Linotype" w:cs="Palatino Linotype"/>
          <w:i/>
          <w:sz w:val="2"/>
          <w:szCs w:val="2"/>
        </w:rPr>
      </w:pPr>
      <w:r w:rsidRPr="008A1ABA">
        <w:rPr>
          <w:rFonts w:ascii="Palatino Linotype" w:eastAsia="Palatino Linotype" w:hAnsi="Palatino Linotype" w:cs="Palatino Linotype"/>
          <w:b/>
        </w:rPr>
        <w:t xml:space="preserve">Acto impugnado: </w:t>
      </w:r>
    </w:p>
    <w:p w:rsidR="006515EE" w:rsidRPr="008A1ABA" w:rsidRDefault="008070F3">
      <w:pPr>
        <w:spacing w:before="240" w:after="240"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 xml:space="preserve">“Niegan información, porque la contraloría de </w:t>
      </w:r>
      <w:proofErr w:type="spellStart"/>
      <w:r w:rsidRPr="008A1ABA">
        <w:rPr>
          <w:rFonts w:ascii="Palatino Linotype" w:eastAsia="Palatino Linotype" w:hAnsi="Palatino Linotype" w:cs="Palatino Linotype"/>
          <w:i/>
          <w:sz w:val="22"/>
          <w:szCs w:val="22"/>
        </w:rPr>
        <w:t>infoem</w:t>
      </w:r>
      <w:proofErr w:type="spellEnd"/>
      <w:r w:rsidRPr="008A1ABA">
        <w:rPr>
          <w:rFonts w:ascii="Palatino Linotype" w:eastAsia="Palatino Linotype" w:hAnsi="Palatino Linotype" w:cs="Palatino Linotype"/>
          <w:i/>
          <w:sz w:val="22"/>
          <w:szCs w:val="22"/>
        </w:rPr>
        <w:t xml:space="preserve"> emite acuerdo de cumplimento e incumplimiento por lo que genera la información que se peticiona al tener conocimiento de cuantos oficios se han emitido año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(Sic)</w:t>
      </w:r>
    </w:p>
    <w:p w:rsidR="006515EE" w:rsidRPr="008A1ABA" w:rsidRDefault="008070F3">
      <w:pPr>
        <w:spacing w:before="240" w:after="240" w:line="360" w:lineRule="auto"/>
        <w:ind w:right="616"/>
        <w:jc w:val="both"/>
        <w:rPr>
          <w:rFonts w:ascii="Palatino Linotype" w:eastAsia="Palatino Linotype" w:hAnsi="Palatino Linotype" w:cs="Palatino Linotype"/>
          <w:b/>
          <w:sz w:val="22"/>
          <w:szCs w:val="22"/>
        </w:rPr>
      </w:pPr>
      <w:r w:rsidRPr="008A1ABA">
        <w:rPr>
          <w:rFonts w:ascii="Palatino Linotype" w:eastAsia="Palatino Linotype" w:hAnsi="Palatino Linotype" w:cs="Palatino Linotype"/>
          <w:b/>
        </w:rPr>
        <w:t>Razones o motivos de inconformidad</w:t>
      </w:r>
      <w:r w:rsidRPr="008A1ABA">
        <w:rPr>
          <w:rFonts w:ascii="Palatino Linotype" w:eastAsia="Palatino Linotype" w:hAnsi="Palatino Linotype" w:cs="Palatino Linotype"/>
          <w:b/>
          <w:sz w:val="22"/>
          <w:szCs w:val="22"/>
        </w:rPr>
        <w:t xml:space="preserve">: </w:t>
      </w:r>
    </w:p>
    <w:p w:rsidR="006515EE" w:rsidRPr="008A1ABA" w:rsidRDefault="008070F3">
      <w:pPr>
        <w:spacing w:before="240" w:after="240"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 xml:space="preserve">“Niegan información por no querer trabajar ellos generan el acuerdo de </w:t>
      </w:r>
      <w:r w:rsidRPr="008A1ABA">
        <w:rPr>
          <w:rFonts w:ascii="Palatino Linotype" w:eastAsia="Palatino Linotype" w:hAnsi="Palatino Linotype" w:cs="Palatino Linotype"/>
          <w:b/>
          <w:i/>
          <w:sz w:val="22"/>
          <w:szCs w:val="22"/>
          <w:u w:val="single"/>
        </w:rPr>
        <w:t>cumplimiento o incumpliendo a la entrega de información</w:t>
      </w:r>
      <w:r w:rsidRPr="008A1ABA">
        <w:rPr>
          <w:rFonts w:ascii="Palatino Linotype" w:eastAsia="Palatino Linotype" w:hAnsi="Palatino Linotype" w:cs="Palatino Linotype"/>
          <w:i/>
          <w:sz w:val="22"/>
          <w:szCs w:val="22"/>
        </w:rPr>
        <w:t xml:space="preserve"> por lo que obra en sus archivos y plataformas lo solicitado. " (Sic)</w:t>
      </w:r>
    </w:p>
    <w:p w:rsidR="006515EE" w:rsidRPr="008A1ABA" w:rsidRDefault="006515EE">
      <w:pPr>
        <w:spacing w:before="240" w:after="240" w:line="360" w:lineRule="auto"/>
        <w:jc w:val="both"/>
        <w:rPr>
          <w:rFonts w:ascii="Palatino Linotype" w:eastAsia="Palatino Linotype" w:hAnsi="Palatino Linotype" w:cs="Palatino Linotype"/>
          <w:sz w:val="2"/>
          <w:szCs w:val="2"/>
        </w:rPr>
      </w:pP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lastRenderedPageBreak/>
        <w:t>4. Turno.</w:t>
      </w:r>
      <w:r w:rsidRPr="008A1ABA">
        <w:rPr>
          <w:rFonts w:ascii="Palatino Linotype" w:eastAsia="Palatino Linotype" w:hAnsi="Palatino Linotype" w:cs="Palatino Linotype"/>
          <w:b/>
          <w:sz w:val="28"/>
          <w:szCs w:val="28"/>
        </w:rPr>
        <w:t xml:space="preserve"> </w:t>
      </w:r>
      <w:r w:rsidRPr="008A1AB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A1ABA">
        <w:rPr>
          <w:rFonts w:ascii="Palatino Linotype" w:eastAsia="Palatino Linotype" w:hAnsi="Palatino Linotype" w:cs="Palatino Linotype"/>
          <w:b/>
        </w:rPr>
        <w:t xml:space="preserve">Guadalupe Ramírez Peña, </w:t>
      </w:r>
      <w:r w:rsidRPr="008A1ABA">
        <w:rPr>
          <w:rFonts w:ascii="Palatino Linotype" w:eastAsia="Palatino Linotype" w:hAnsi="Palatino Linotype" w:cs="Palatino Linotype"/>
        </w:rPr>
        <w:t xml:space="preserve">a efecto de que analizara sobre su admisión o su </w:t>
      </w:r>
      <w:proofErr w:type="spellStart"/>
      <w:r w:rsidRPr="008A1ABA">
        <w:rPr>
          <w:rFonts w:ascii="Palatino Linotype" w:eastAsia="Palatino Linotype" w:hAnsi="Palatino Linotype" w:cs="Palatino Linotype"/>
        </w:rPr>
        <w:t>desechamiento</w:t>
      </w:r>
      <w:proofErr w:type="spellEnd"/>
      <w:r w:rsidRPr="008A1ABA">
        <w:rPr>
          <w:rFonts w:ascii="Palatino Linotype" w:eastAsia="Palatino Linotype" w:hAnsi="Palatino Linotype" w:cs="Palatino Linotype"/>
        </w:rPr>
        <w:t>.</w:t>
      </w:r>
    </w:p>
    <w:p w:rsidR="006515EE" w:rsidRPr="008A1ABA" w:rsidRDefault="008070F3">
      <w:pPr>
        <w:spacing w:before="240" w:after="240" w:line="360" w:lineRule="auto"/>
        <w:jc w:val="both"/>
        <w:rPr>
          <w:rFonts w:ascii="Palatino Linotype" w:eastAsia="Palatino Linotype" w:hAnsi="Palatino Linotype" w:cs="Palatino Linotype"/>
          <w:b/>
        </w:rPr>
      </w:pPr>
      <w:r w:rsidRPr="008A1ABA">
        <w:rPr>
          <w:rFonts w:ascii="Palatino Linotype" w:eastAsia="Palatino Linotype" w:hAnsi="Palatino Linotype" w:cs="Palatino Linotype"/>
          <w:b/>
        </w:rPr>
        <w:t>5.</w:t>
      </w:r>
      <w:r w:rsidRPr="008A1ABA">
        <w:rPr>
          <w:rFonts w:ascii="Palatino Linotype" w:eastAsia="Palatino Linotype" w:hAnsi="Palatino Linotype" w:cs="Palatino Linotype"/>
          <w:b/>
          <w:i/>
        </w:rPr>
        <w:t xml:space="preserve"> </w:t>
      </w:r>
      <w:r w:rsidRPr="008A1ABA">
        <w:rPr>
          <w:rFonts w:ascii="Palatino Linotype" w:eastAsia="Palatino Linotype" w:hAnsi="Palatino Linotype" w:cs="Palatino Linotype"/>
          <w:b/>
        </w:rPr>
        <w:t>Admisión del Recurso de revisión.</w:t>
      </w:r>
      <w:r w:rsidRPr="008A1ABA">
        <w:rPr>
          <w:rFonts w:ascii="Palatino Linotype" w:eastAsia="Palatino Linotype" w:hAnsi="Palatino Linotype" w:cs="Palatino Linotype"/>
          <w:sz w:val="28"/>
          <w:szCs w:val="28"/>
        </w:rPr>
        <w:t xml:space="preserve"> El</w:t>
      </w:r>
      <w:r w:rsidRPr="008A1ABA">
        <w:rPr>
          <w:rFonts w:ascii="Palatino Linotype" w:eastAsia="Palatino Linotype" w:hAnsi="Palatino Linotype" w:cs="Palatino Linotype"/>
          <w:b/>
        </w:rPr>
        <w:t xml:space="preserve"> diez de junio de dos mil veintidós, </w:t>
      </w:r>
      <w:r w:rsidRPr="008A1AB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presentara su informe justificado.</w:t>
      </w:r>
    </w:p>
    <w:p w:rsidR="006515EE" w:rsidRPr="008A1ABA" w:rsidRDefault="008070F3">
      <w:pPr>
        <w:widowControl w:val="0"/>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6. Manifestaciones</w:t>
      </w:r>
      <w:r w:rsidRPr="008A1ABA">
        <w:rPr>
          <w:rFonts w:ascii="Palatino Linotype" w:eastAsia="Palatino Linotype" w:hAnsi="Palatino Linotype" w:cs="Palatino Linotype"/>
        </w:rPr>
        <w:t xml:space="preserve">. El </w:t>
      </w:r>
      <w:r w:rsidRPr="008A1ABA">
        <w:rPr>
          <w:rFonts w:ascii="Palatino Linotype" w:eastAsia="Palatino Linotype" w:hAnsi="Palatino Linotype" w:cs="Palatino Linotype"/>
          <w:b/>
        </w:rPr>
        <w:t xml:space="preserve">veintiuno de junio de dos mil veintidós y el diecisiete, dieciocho y diecinueve de enero de dos mil veintitrés </w:t>
      </w:r>
      <w:r w:rsidRPr="008A1ABA">
        <w:rPr>
          <w:rFonts w:ascii="Palatino Linotype" w:eastAsia="Palatino Linotype" w:hAnsi="Palatino Linotype" w:cs="Palatino Linotype"/>
        </w:rPr>
        <w:t xml:space="preserve">el </w:t>
      </w:r>
      <w:r w:rsidRPr="008A1ABA">
        <w:rPr>
          <w:rFonts w:ascii="Palatino Linotype" w:eastAsia="Palatino Linotype" w:hAnsi="Palatino Linotype" w:cs="Palatino Linotype"/>
          <w:b/>
        </w:rPr>
        <w:t xml:space="preserve">Sujeto Obligado </w:t>
      </w:r>
      <w:r w:rsidRPr="008A1ABA">
        <w:rPr>
          <w:rFonts w:ascii="Palatino Linotype" w:eastAsia="Palatino Linotype" w:hAnsi="Palatino Linotype" w:cs="Palatino Linotype"/>
        </w:rPr>
        <w:t xml:space="preserve">rindió su informe justificado consistente en los siguientes documentos: </w:t>
      </w:r>
    </w:p>
    <w:p w:rsidR="006515EE" w:rsidRPr="008A1ABA" w:rsidRDefault="008070F3">
      <w:pPr>
        <w:widowControl w:val="0"/>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b/>
        </w:rPr>
      </w:pPr>
      <w:r w:rsidRPr="008A1ABA">
        <w:rPr>
          <w:rFonts w:ascii="Palatino Linotype" w:eastAsia="Palatino Linotype" w:hAnsi="Palatino Linotype" w:cs="Palatino Linotype"/>
          <w:b/>
          <w:i/>
        </w:rPr>
        <w:t>Oficio Requerimiento Informe RR 11159-2022 CIOCV.pdf:</w:t>
      </w:r>
      <w:r w:rsidRPr="008A1ABA">
        <w:rPr>
          <w:rFonts w:ascii="Palatino Linotype" w:eastAsia="Palatino Linotype" w:hAnsi="Palatino Linotype" w:cs="Palatino Linotype"/>
          <w:b/>
        </w:rPr>
        <w:t xml:space="preserve"> </w:t>
      </w:r>
      <w:r w:rsidRPr="008A1ABA">
        <w:rPr>
          <w:rFonts w:ascii="Palatino Linotype" w:eastAsia="Palatino Linotype" w:hAnsi="Palatino Linotype" w:cs="Palatino Linotype"/>
        </w:rPr>
        <w:t xml:space="preserve">Oficio número INFOEM/UT/181/2022 de fecha trece de junio de dos  mil veintidós, dirigido a la Contraloría Interna y Órgano de Control y Vigilancia  por medio del cual hizo de su conocimiento la interposición del recurso de revisión de mérito y requirió a Servidor Público Habilitado para que rindiera su informe </w:t>
      </w:r>
      <w:r w:rsidRPr="008A1ABA">
        <w:rPr>
          <w:rFonts w:ascii="Palatino Linotype" w:eastAsia="Palatino Linotype" w:hAnsi="Palatino Linotype" w:cs="Palatino Linotype"/>
        </w:rPr>
        <w:lastRenderedPageBreak/>
        <w:t xml:space="preserve">justificado.  </w:t>
      </w:r>
    </w:p>
    <w:p w:rsidR="006515EE" w:rsidRPr="008A1ABA" w:rsidRDefault="008070F3">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8A1ABA">
        <w:rPr>
          <w:rFonts w:ascii="Palatino Linotype" w:eastAsia="Palatino Linotype" w:hAnsi="Palatino Linotype" w:cs="Palatino Linotype"/>
          <w:b/>
          <w:i/>
        </w:rPr>
        <w:t xml:space="preserve">IJ del RR 11159-2022 solicitud 547-22.pdf: </w:t>
      </w:r>
      <w:r w:rsidRPr="008A1ABA">
        <w:rPr>
          <w:rFonts w:ascii="Palatino Linotype" w:eastAsia="Palatino Linotype" w:hAnsi="Palatino Linotype" w:cs="Palatino Linotype"/>
        </w:rPr>
        <w:t xml:space="preserve">Memorándum número INFOEM/CI-OCV/0349/2022 de fecha quince de junio de dos mil veintidós, suscrito y signado por el Contralor Interno y Titular del Órgano de Control y Vigilancia, mediante el cual ratificó la respuesta inicial. </w:t>
      </w:r>
    </w:p>
    <w:p w:rsidR="006515EE" w:rsidRPr="008A1ABA" w:rsidRDefault="008070F3">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8A1ABA">
        <w:rPr>
          <w:rFonts w:ascii="Palatino Linotype" w:eastAsia="Palatino Linotype" w:hAnsi="Palatino Linotype" w:cs="Palatino Linotype"/>
          <w:b/>
          <w:i/>
        </w:rPr>
        <w:t xml:space="preserve">InformeJustificadoRecurso11159UT.pdf:  </w:t>
      </w:r>
      <w:r w:rsidRPr="008A1ABA">
        <w:rPr>
          <w:rFonts w:ascii="Palatino Linotype" w:eastAsia="Palatino Linotype" w:hAnsi="Palatino Linotype" w:cs="Palatino Linotype"/>
        </w:rPr>
        <w:t xml:space="preserve">Oficio número INFOEM/UT/532/2022 de fecha veintiuno de junio de dos mil veintidós, suscrito y signado por el Titular de la Unidad de Transparencia por el que rindió su informe justificado en el que ratifica la respuesta inicial. </w:t>
      </w:r>
    </w:p>
    <w:p w:rsidR="006515EE" w:rsidRPr="008A1ABA" w:rsidRDefault="008070F3">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ACUERDOS SOLICITUD 00547-2022 FGJ.zip: </w:t>
      </w:r>
      <w:r w:rsidRPr="008A1ABA">
        <w:rPr>
          <w:rFonts w:ascii="Palatino Linotype" w:eastAsia="Palatino Linotype" w:hAnsi="Palatino Linotype" w:cs="Palatino Linotype"/>
        </w:rPr>
        <w:t xml:space="preserve">Carpeta comprimida en la que se identifican los siguientes documentos: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Acuerdos sin datos personales: </w:t>
      </w:r>
      <w:r w:rsidRPr="008A1ABA">
        <w:rPr>
          <w:rFonts w:ascii="Palatino Linotype" w:eastAsia="Palatino Linotype" w:hAnsi="Palatino Linotype" w:cs="Palatino Linotype"/>
        </w:rPr>
        <w:t xml:space="preserve">Carpeta en la que se advierten integrados 61 documentos consistentes en acuerdos de cumplimiento extemporáneo, acuerdos de cumplimiento y acuerdos de incumplimiento emitidos por la Dirección de Cumplimientos de la Secretaría Técnica del Pleno a la Fiscalía General de Justicia del Estado de México.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Acuerdos versión pública: </w:t>
      </w:r>
      <w:r w:rsidRPr="008A1ABA">
        <w:rPr>
          <w:rFonts w:ascii="Palatino Linotype" w:eastAsia="Palatino Linotype" w:hAnsi="Palatino Linotype" w:cs="Palatino Linotype"/>
        </w:rPr>
        <w:t>Contiene la versión pública de 10 acuerdos de cumplimiento extemporáneo, acuerdos de cumplimiento y acuerdos de incumplimiento emitidos por la Dirección de Cumplimientos de la Secretaría Técnica del Pleno a la Fiscalía General de Justicia del Estado de México.</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00547-2022 Cuadro de Clasificación de la Información.pdf: </w:t>
      </w:r>
      <w:r w:rsidRPr="008A1ABA">
        <w:rPr>
          <w:rFonts w:ascii="Palatino Linotype" w:eastAsia="Palatino Linotype" w:hAnsi="Palatino Linotype" w:cs="Palatino Linotype"/>
        </w:rPr>
        <w:t xml:space="preserve">Documento </w:t>
      </w:r>
      <w:r w:rsidRPr="008A1ABA">
        <w:rPr>
          <w:rFonts w:ascii="Palatino Linotype" w:eastAsia="Palatino Linotype" w:hAnsi="Palatino Linotype" w:cs="Palatino Linotype"/>
        </w:rPr>
        <w:lastRenderedPageBreak/>
        <w:t xml:space="preserve">integrado por cinco páginas que contiene el cuadro de clasificación sobre la versión pública de la información para dar atención a la solicitud 0547/INFOEM/IP/2022.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RES-03-INFOEM-EXT-COMT-44a-2022.pdf: </w:t>
      </w:r>
      <w:r w:rsidRPr="008A1ABA">
        <w:rPr>
          <w:rFonts w:ascii="Palatino Linotype" w:eastAsia="Palatino Linotype" w:hAnsi="Palatino Linotype" w:cs="Palatino Linotype"/>
        </w:rPr>
        <w:t xml:space="preserve">Se trata de la Resolución número RES/03/INFOEM/EXT/COMT/44ª/2022 emitida por el Comité de Transparencia el quince de diciembre de dos mil veintidós, por medio de la cual se confirmó la clasificación parcial como confidencial de la información concerniente a nombre de solicitantes y/o particulares y clave única de registro de población, de los acuerdos enviados como alcance a la respuesta otorgada inicialmente a la solicitud de información pública número </w:t>
      </w:r>
      <w:r w:rsidRPr="008A1ABA">
        <w:rPr>
          <w:rFonts w:ascii="Palatino Linotype" w:eastAsia="Palatino Linotype" w:hAnsi="Palatino Linotype" w:cs="Palatino Linotype"/>
          <w:b/>
        </w:rPr>
        <w:t xml:space="preserve">00547/INFOEM/IP/2022. </w:t>
      </w:r>
    </w:p>
    <w:p w:rsidR="006515EE" w:rsidRPr="008A1ABA" w:rsidRDefault="008070F3">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DGJV.zip: </w:t>
      </w:r>
      <w:r w:rsidRPr="008A1ABA">
        <w:rPr>
          <w:rFonts w:ascii="Palatino Linotype" w:eastAsia="Palatino Linotype" w:hAnsi="Palatino Linotype" w:cs="Palatino Linotype"/>
        </w:rPr>
        <w:t xml:space="preserve">Carpeta integrada por los siguientes archivos: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Anexos: </w:t>
      </w:r>
      <w:r w:rsidRPr="008A1ABA">
        <w:rPr>
          <w:rFonts w:ascii="Palatino Linotype" w:eastAsia="Palatino Linotype" w:hAnsi="Palatino Linotype" w:cs="Palatino Linotype"/>
        </w:rPr>
        <w:t xml:space="preserve">Contiene acuerdos de cumplimiento y correos electrónicos de la Dirección General Jurídica y de Verificación Subdirección Jurídica y Verificación emitidos y enviados a la Fiscalía General de Justicia del Estado de México.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MM.INFOEM.DGJV.0008.2023.pdf: </w:t>
      </w:r>
      <w:proofErr w:type="spellStart"/>
      <w:r w:rsidRPr="008A1ABA">
        <w:rPr>
          <w:rFonts w:ascii="Palatino Linotype" w:eastAsia="Palatino Linotype" w:hAnsi="Palatino Linotype" w:cs="Palatino Linotype"/>
        </w:rPr>
        <w:t>Memorandum</w:t>
      </w:r>
      <w:proofErr w:type="spellEnd"/>
      <w:r w:rsidRPr="008A1ABA">
        <w:rPr>
          <w:rFonts w:ascii="Palatino Linotype" w:eastAsia="Palatino Linotype" w:hAnsi="Palatino Linotype" w:cs="Palatino Linotype"/>
        </w:rPr>
        <w:t xml:space="preserve"> MM/INFOEM/DGJV/0008/2023, suscrito y signado por el Director General Jurídico y de Verificación del INFOEM, por medio del cual informó que  únicamente se cuenta con información correspondiente a la Verificación Virtual Oficiosa del ejercicio 2021 realizada a la Fiscalía General de Justicia del Estado de México, toda vez que la verificación del </w:t>
      </w:r>
      <w:r w:rsidRPr="008A1ABA">
        <w:rPr>
          <w:rFonts w:ascii="Palatino Linotype" w:eastAsia="Palatino Linotype" w:hAnsi="Palatino Linotype" w:cs="Palatino Linotype"/>
        </w:rPr>
        <w:lastRenderedPageBreak/>
        <w:t xml:space="preserve">ejercicio 2022 se llevó a cabo en fecha veintitrés de septiembre de dos mil veintidós; asimismo, hizo del conocimiento que no recibió denuncia alguna interpuesta en contra del Sujeto Obligado. </w:t>
      </w:r>
    </w:p>
    <w:p w:rsidR="006515EE" w:rsidRPr="008A1ABA" w:rsidRDefault="008070F3">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RES-03-INFOEM-EXT-COMT-44a-2022</w:t>
      </w:r>
      <w:proofErr w:type="gramStart"/>
      <w:r w:rsidRPr="008A1ABA">
        <w:rPr>
          <w:rFonts w:ascii="Palatino Linotype" w:eastAsia="Palatino Linotype" w:hAnsi="Palatino Linotype" w:cs="Palatino Linotype"/>
          <w:b/>
          <w:i/>
        </w:rPr>
        <w:t>..</w:t>
      </w:r>
      <w:proofErr w:type="gramEnd"/>
      <w:r w:rsidRPr="008A1ABA">
        <w:rPr>
          <w:rFonts w:ascii="Palatino Linotype" w:eastAsia="Palatino Linotype" w:hAnsi="Palatino Linotype" w:cs="Palatino Linotype"/>
          <w:b/>
          <w:i/>
        </w:rPr>
        <w:t xml:space="preserve">pdf: </w:t>
      </w:r>
      <w:r w:rsidRPr="008A1ABA">
        <w:rPr>
          <w:rFonts w:ascii="Palatino Linotype" w:eastAsia="Palatino Linotype" w:hAnsi="Palatino Linotype" w:cs="Palatino Linotype"/>
        </w:rPr>
        <w:t xml:space="preserve">Contiene la resolución emitida por el Comité de Transparencia de fecha quince de diciembre de dos mil veintidós, previamente descrita. </w:t>
      </w:r>
    </w:p>
    <w:p w:rsidR="006515EE" w:rsidRPr="008A1ABA" w:rsidRDefault="008070F3">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Alcance RR1159-2022 DGPDP.zip. </w:t>
      </w:r>
      <w:r w:rsidRPr="008A1ABA">
        <w:rPr>
          <w:rFonts w:ascii="Palatino Linotype" w:eastAsia="Palatino Linotype" w:hAnsi="Palatino Linotype" w:cs="Palatino Linotype"/>
        </w:rPr>
        <w:t xml:space="preserve">Carpeta conformada por los siguientes archivos: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Acuses FGJEM: </w:t>
      </w:r>
      <w:r w:rsidRPr="008A1ABA">
        <w:rPr>
          <w:rFonts w:ascii="Palatino Linotype" w:eastAsia="Palatino Linotype" w:hAnsi="Palatino Linotype" w:cs="Palatino Linotype"/>
        </w:rPr>
        <w:t xml:space="preserve">Se advierten seis oficios, suscritos y signados por el Director General de Protección de Datos Personales por medio de los cuales notificó las determinaciones de distintos procedimientos de investigación.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proofErr w:type="spellStart"/>
      <w:r w:rsidRPr="008A1ABA">
        <w:rPr>
          <w:rFonts w:ascii="Palatino Linotype" w:eastAsia="Palatino Linotype" w:hAnsi="Palatino Linotype" w:cs="Palatino Linotype"/>
          <w:b/>
          <w:i/>
        </w:rPr>
        <w:t>CuadrodeClasificación</w:t>
      </w:r>
      <w:proofErr w:type="spellEnd"/>
      <w:r w:rsidRPr="008A1ABA">
        <w:rPr>
          <w:rFonts w:ascii="Palatino Linotype" w:eastAsia="Palatino Linotype" w:hAnsi="Palatino Linotype" w:cs="Palatino Linotype"/>
          <w:b/>
          <w:i/>
        </w:rPr>
        <w:t xml:space="preserve"> RR11159 Sol 547-2022.pdf: </w:t>
      </w:r>
      <w:r w:rsidRPr="008A1ABA">
        <w:rPr>
          <w:rFonts w:ascii="Palatino Linotype" w:eastAsia="Palatino Linotype" w:hAnsi="Palatino Linotype" w:cs="Palatino Linotype"/>
        </w:rPr>
        <w:t xml:space="preserve">Contiene el cuadro de clasificación de los acuses de notificación realizados a la Fiscalía General de Justicia del Estado de México. </w:t>
      </w: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r w:rsidRPr="008A1ABA">
        <w:rPr>
          <w:rFonts w:ascii="Palatino Linotype" w:eastAsia="Palatino Linotype" w:hAnsi="Palatino Linotype" w:cs="Palatino Linotype"/>
          <w:b/>
          <w:i/>
        </w:rPr>
        <w:t xml:space="preserve">RES-05-INFOEM-ORD-COMT-02a-2023.page.pdf: </w:t>
      </w:r>
      <w:r w:rsidRPr="008A1ABA">
        <w:rPr>
          <w:rFonts w:ascii="Palatino Linotype" w:eastAsia="Palatino Linotype" w:hAnsi="Palatino Linotype" w:cs="Palatino Linotype"/>
        </w:rPr>
        <w:t xml:space="preserve">Se trata de la Resolución RES/05/INFOEM/ORD/COMT/02ª/2023 de fecha dieciocho de enero de dos mil veintitrés por medio del cual se confirmó la clasificación parcial como confidencial de la información concerniente al nombre de particular contenido en un oficio enviado en alcance a la respuesta otorgada; aprobándose la versión pública propuesta. </w:t>
      </w:r>
    </w:p>
    <w:p w:rsidR="0077228E" w:rsidRPr="008A1ABA" w:rsidRDefault="0077228E" w:rsidP="0077228E">
      <w:pPr>
        <w:widowControl w:val="0"/>
        <w:pBdr>
          <w:top w:val="nil"/>
          <w:left w:val="nil"/>
          <w:bottom w:val="nil"/>
          <w:right w:val="nil"/>
          <w:between w:val="nil"/>
        </w:pBdr>
        <w:spacing w:line="360" w:lineRule="auto"/>
        <w:ind w:left="1080"/>
        <w:jc w:val="both"/>
        <w:rPr>
          <w:rFonts w:ascii="Palatino Linotype" w:eastAsia="Palatino Linotype" w:hAnsi="Palatino Linotype" w:cs="Palatino Linotype"/>
          <w:b/>
          <w:i/>
        </w:rPr>
      </w:pPr>
    </w:p>
    <w:p w:rsidR="006515EE" w:rsidRPr="008A1ABA" w:rsidRDefault="008070F3">
      <w:pPr>
        <w:widowControl w:val="0"/>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i/>
        </w:rPr>
      </w:pPr>
      <w:proofErr w:type="spellStart"/>
      <w:r w:rsidRPr="008A1ABA">
        <w:rPr>
          <w:rFonts w:ascii="Palatino Linotype" w:eastAsia="Palatino Linotype" w:hAnsi="Palatino Linotype" w:cs="Palatino Linotype"/>
          <w:b/>
          <w:i/>
        </w:rPr>
        <w:lastRenderedPageBreak/>
        <w:t>RespuestaDGPDP</w:t>
      </w:r>
      <w:proofErr w:type="spellEnd"/>
      <w:r w:rsidRPr="008A1ABA">
        <w:rPr>
          <w:rFonts w:ascii="Palatino Linotype" w:eastAsia="Palatino Linotype" w:hAnsi="Palatino Linotype" w:cs="Palatino Linotype"/>
          <w:b/>
          <w:i/>
        </w:rPr>
        <w:t xml:space="preserve">. </w:t>
      </w:r>
      <w:r w:rsidRPr="008A1ABA">
        <w:rPr>
          <w:rFonts w:ascii="Palatino Linotype" w:eastAsia="Palatino Linotype" w:hAnsi="Palatino Linotype" w:cs="Palatino Linotype"/>
        </w:rPr>
        <w:t xml:space="preserve">Oficio número INFOEM/DGPDP/2/2023 de fecha diez de enero de dos mil veintitrés, suscrito y signado por el Director General de Protección de Datos  Personales por medio del cual informó que no existen acuerdos de cumplimiento y/o incumplimiento, en el periodo solicitado correspondientes a la Fiscalía General de Justicia del Estado de México; sin embargo remitió los acuses de notificación realizados dentro del periodo solicitado. </w:t>
      </w:r>
    </w:p>
    <w:p w:rsidR="006515EE" w:rsidRPr="008A1ABA" w:rsidRDefault="006515EE">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b/>
          <w:i/>
        </w:rPr>
      </w:pPr>
    </w:p>
    <w:p w:rsidR="006515EE" w:rsidRPr="008A1ABA" w:rsidRDefault="008070F3">
      <w:pPr>
        <w:widowControl w:val="0"/>
        <w:pBdr>
          <w:top w:val="nil"/>
          <w:left w:val="nil"/>
          <w:bottom w:val="nil"/>
          <w:right w:val="nil"/>
          <w:between w:val="nil"/>
        </w:pBdr>
        <w:spacing w:after="240" w:line="360" w:lineRule="auto"/>
        <w:ind w:left="720"/>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Documentos que el veinticuatro de noviembre de dos mil veintidós y el veintitrés de enero de dos mil veintitrés se pusieron a la vista de la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 xml:space="preserve">para su conocimiento. </w:t>
      </w:r>
    </w:p>
    <w:p w:rsidR="006515EE" w:rsidRPr="008A1ABA" w:rsidRDefault="008070F3">
      <w:pPr>
        <w:widowControl w:val="0"/>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7.</w:t>
      </w:r>
      <w:r w:rsidRPr="008A1ABA">
        <w:rPr>
          <w:rFonts w:ascii="Palatino Linotype" w:eastAsia="Palatino Linotype" w:hAnsi="Palatino Linotype" w:cs="Palatino Linotype"/>
        </w:rPr>
        <w:t xml:space="preserve"> </w:t>
      </w:r>
      <w:r w:rsidRPr="008A1ABA">
        <w:rPr>
          <w:rFonts w:ascii="Palatino Linotype" w:eastAsia="Palatino Linotype" w:hAnsi="Palatino Linotype" w:cs="Palatino Linotype"/>
          <w:b/>
        </w:rPr>
        <w:t xml:space="preserve">Ampliación del plazo para emitir resolución. </w:t>
      </w:r>
      <w:r w:rsidRPr="008A1ABA">
        <w:rPr>
          <w:rFonts w:ascii="Palatino Linotype" w:eastAsia="Palatino Linotype" w:hAnsi="Palatino Linotype" w:cs="Palatino Linotype"/>
        </w:rPr>
        <w:t xml:space="preserve">El </w:t>
      </w:r>
      <w:r w:rsidRPr="008A1ABA">
        <w:rPr>
          <w:rFonts w:ascii="Palatino Linotype" w:eastAsia="Palatino Linotype" w:hAnsi="Palatino Linotype" w:cs="Palatino Linotype"/>
          <w:b/>
        </w:rPr>
        <w:t>veinticuatro de noviembre de dos mil veintidós</w:t>
      </w:r>
      <w:r w:rsidRPr="008A1ABA">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8A1ABA">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6515EE" w:rsidRPr="008A1ABA" w:rsidRDefault="008070F3">
      <w:pPr>
        <w:spacing w:before="240" w:after="240" w:line="360" w:lineRule="auto"/>
        <w:jc w:val="both"/>
        <w:rPr>
          <w:rFonts w:ascii="Palatino Linotype" w:eastAsia="Palatino Linotype" w:hAnsi="Palatino Linotype" w:cs="Palatino Linotype"/>
          <w:strike/>
        </w:rPr>
      </w:pPr>
      <w:r w:rsidRPr="008A1AB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6515EE" w:rsidRPr="008A1ABA" w:rsidRDefault="008070F3">
      <w:pPr>
        <w:numPr>
          <w:ilvl w:val="0"/>
          <w:numId w:val="3"/>
        </w:num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rsidR="006515EE" w:rsidRPr="008A1ABA" w:rsidRDefault="008070F3">
      <w:pPr>
        <w:numPr>
          <w:ilvl w:val="0"/>
          <w:numId w:val="3"/>
        </w:num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Actividad Procesal del interesado. Acciones u omisiones del interesado.</w:t>
      </w:r>
    </w:p>
    <w:p w:rsidR="006515EE" w:rsidRPr="008A1ABA" w:rsidRDefault="008070F3">
      <w:pPr>
        <w:numPr>
          <w:ilvl w:val="0"/>
          <w:numId w:val="3"/>
        </w:num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Conducta de la Autoridad: Las Acciones u omisiones realizadas en el procedimiento. Así como si la autoridad actuó con la debida diligencia.</w:t>
      </w:r>
    </w:p>
    <w:p w:rsidR="006515EE" w:rsidRPr="008A1ABA" w:rsidRDefault="008070F3">
      <w:pPr>
        <w:spacing w:before="240" w:after="240" w:line="360" w:lineRule="auto"/>
        <w:ind w:left="567"/>
        <w:jc w:val="both"/>
        <w:rPr>
          <w:rFonts w:ascii="Palatino Linotype" w:eastAsia="Palatino Linotype" w:hAnsi="Palatino Linotype" w:cs="Palatino Linotype"/>
        </w:rPr>
      </w:pPr>
      <w:r w:rsidRPr="008A1ABA">
        <w:rPr>
          <w:rFonts w:ascii="Palatino Linotype" w:eastAsia="Palatino Linotype" w:hAnsi="Palatino Linotype" w:cs="Palatino Linotype"/>
        </w:rPr>
        <w:t>d) La afectación generada en la situación jurídica de la persona involucrada en el proceso: Violación a sus derechos humanos.</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515EE" w:rsidRPr="008A1ABA" w:rsidRDefault="008070F3">
      <w:pPr>
        <w:spacing w:before="240" w:after="240" w:line="360" w:lineRule="auto"/>
        <w:jc w:val="both"/>
        <w:rPr>
          <w:rFonts w:ascii="Palatino Linotype" w:eastAsia="Palatino Linotype" w:hAnsi="Palatino Linotype" w:cs="Palatino Linotype"/>
          <w:b/>
        </w:rPr>
      </w:pPr>
      <w:r w:rsidRPr="008A1ABA">
        <w:rPr>
          <w:rFonts w:ascii="Palatino Linotype" w:eastAsia="Palatino Linotype" w:hAnsi="Palatino Linotype" w:cs="Palatino Linotype"/>
        </w:rPr>
        <w:t>Argumento que encuentra sustento en la jurisprudencia P</w:t>
      </w:r>
      <w:proofErr w:type="gramStart"/>
      <w:r w:rsidRPr="008A1ABA">
        <w:rPr>
          <w:rFonts w:ascii="Palatino Linotype" w:eastAsia="Palatino Linotype" w:hAnsi="Palatino Linotype" w:cs="Palatino Linotype"/>
        </w:rPr>
        <w:t>./</w:t>
      </w:r>
      <w:proofErr w:type="gramEnd"/>
      <w:r w:rsidRPr="008A1ABA">
        <w:rPr>
          <w:rFonts w:ascii="Palatino Linotype" w:eastAsia="Palatino Linotype" w:hAnsi="Palatino Linotype" w:cs="Palatino Linotype"/>
        </w:rPr>
        <w:t xml:space="preserve">J. 32/92 emitida por el Pleno de la Suprema Corte de Justicia de la Nación de rubro </w:t>
      </w:r>
      <w:r w:rsidRPr="008A1ABA">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8A1ABA">
        <w:rPr>
          <w:rFonts w:ascii="Palatino Linotype" w:eastAsia="Palatino Linotype" w:hAnsi="Palatino Linotype" w:cs="Palatino Linotype"/>
          <w:i/>
        </w:rPr>
        <w:lastRenderedPageBreak/>
        <w:t>CARACTERÍSTICAS DEL CASO.”</w:t>
      </w:r>
      <w:r w:rsidRPr="008A1ABA">
        <w:rPr>
          <w:rFonts w:ascii="Palatino Linotype" w:eastAsia="Palatino Linotype" w:hAnsi="Palatino Linotype" w:cs="Palatino Linotype"/>
        </w:rPr>
        <w:t>, visible en la Gaceta del Seminario Judicial de la Federación con el registro digital 205635.</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 </w:t>
      </w:r>
      <w:r w:rsidRPr="008A1ABA">
        <w:rPr>
          <w:rFonts w:ascii="Palatino Linotype" w:eastAsia="Palatino Linotype" w:hAnsi="Palatino Linotype" w:cs="Palatino Linotype"/>
          <w:i/>
        </w:rPr>
        <w:t>“PLAZO RAZONABLE PARA RESOLVER. DIMENSIÓN Y EFECTOS DE ESTE CONCEPTO CUANDO SE ADUCE EXCESIVA CARGA DE TRABAJO.”</w:t>
      </w:r>
      <w:r w:rsidRPr="008A1ABA">
        <w:rPr>
          <w:rFonts w:ascii="Palatino Linotype" w:eastAsia="Palatino Linotype" w:hAnsi="Palatino Linotype" w:cs="Palatino Linotype"/>
        </w:rPr>
        <w:t xml:space="preserve"> consultable en el Seminario Judicial de la Federación y su gaceta, con el registro digital 2002351.</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i/>
        </w:rPr>
        <w:t xml:space="preserve">“PLAZO RAZONABLE PARA RESOLVER. CONCEPTO Y ELEMENTOS QUE LO INTEGRAN A LA LUZ DEL DERECHO INTERNACIONAL DE LOS DERECHOS </w:t>
      </w:r>
      <w:r w:rsidRPr="008A1ABA">
        <w:rPr>
          <w:rFonts w:ascii="Palatino Linotype" w:eastAsia="Palatino Linotype" w:hAnsi="Palatino Linotype" w:cs="Palatino Linotype"/>
          <w:i/>
        </w:rPr>
        <w:lastRenderedPageBreak/>
        <w:t>HUMANOS.”</w:t>
      </w:r>
      <w:r w:rsidRPr="008A1ABA">
        <w:rPr>
          <w:rFonts w:ascii="Palatino Linotype" w:eastAsia="Palatino Linotype" w:hAnsi="Palatino Linotype" w:cs="Palatino Linotype"/>
        </w:rPr>
        <w:t>, visible en el Seminario Judicial de la Federación y su gaceta, con el registro digital 2002350.</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 xml:space="preserve">8. Cierre de instrucción. </w:t>
      </w:r>
      <w:r w:rsidRPr="008A1AB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CA5432" w:rsidRPr="008A1ABA">
        <w:rPr>
          <w:rFonts w:ascii="Palatino Linotype" w:eastAsia="Palatino Linotype" w:hAnsi="Palatino Linotype" w:cs="Palatino Linotype"/>
          <w:b/>
        </w:rPr>
        <w:t>treinta y uno</w:t>
      </w:r>
      <w:r w:rsidRPr="008A1ABA">
        <w:rPr>
          <w:rFonts w:ascii="Palatino Linotype" w:eastAsia="Palatino Linotype" w:hAnsi="Palatino Linotype" w:cs="Palatino Linotype"/>
          <w:b/>
        </w:rPr>
        <w:t xml:space="preserve"> de enero de dos mil veintitrés</w:t>
      </w:r>
      <w:r w:rsidRPr="008A1AB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6515EE" w:rsidRPr="008A1ABA" w:rsidRDefault="008070F3">
      <w:pPr>
        <w:widowControl w:val="0"/>
        <w:spacing w:before="240" w:after="240" w:line="360" w:lineRule="auto"/>
        <w:jc w:val="both"/>
        <w:rPr>
          <w:rFonts w:ascii="Palatino Linotype" w:eastAsia="Palatino Linotype" w:hAnsi="Palatino Linotype" w:cs="Palatino Linotype"/>
          <w:b/>
        </w:rPr>
      </w:pPr>
      <w:r w:rsidRPr="008A1ABA">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8A1ABA">
        <w:rPr>
          <w:rFonts w:ascii="Palatino Linotype" w:eastAsia="Palatino Linotype" w:hAnsi="Palatino Linotype" w:cs="Palatino Linotype"/>
          <w:b/>
        </w:rPr>
        <w:t xml:space="preserve"> </w:t>
      </w:r>
    </w:p>
    <w:p w:rsidR="006515EE" w:rsidRPr="008A1ABA" w:rsidRDefault="008070F3">
      <w:pPr>
        <w:widowControl w:val="0"/>
        <w:spacing w:before="240" w:after="240" w:line="360" w:lineRule="auto"/>
        <w:jc w:val="center"/>
        <w:rPr>
          <w:rFonts w:ascii="Palatino Linotype" w:eastAsia="Palatino Linotype" w:hAnsi="Palatino Linotype" w:cs="Palatino Linotype"/>
          <w:b/>
        </w:rPr>
      </w:pPr>
      <w:r w:rsidRPr="008A1ABA">
        <w:rPr>
          <w:rFonts w:ascii="Palatino Linotype" w:eastAsia="Palatino Linotype" w:hAnsi="Palatino Linotype" w:cs="Palatino Linotype"/>
          <w:b/>
        </w:rPr>
        <w:t>II. C O N S I D E R A N D O S</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Primero. Competencia.</w:t>
      </w:r>
      <w:r w:rsidRPr="008A1AB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8A1ABA">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515EE" w:rsidRPr="008A1ABA" w:rsidRDefault="008070F3">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8A1ABA">
        <w:rPr>
          <w:rFonts w:ascii="Palatino Linotype" w:eastAsia="Palatino Linotype" w:hAnsi="Palatino Linotype" w:cs="Palatino Linotype"/>
          <w:b/>
        </w:rPr>
        <w:t xml:space="preserve">Segundo. Oportunidad y </w:t>
      </w:r>
      <w:proofErr w:type="spellStart"/>
      <w:r w:rsidRPr="008A1ABA">
        <w:rPr>
          <w:rFonts w:ascii="Palatino Linotype" w:eastAsia="Palatino Linotype" w:hAnsi="Palatino Linotype" w:cs="Palatino Linotype"/>
          <w:b/>
        </w:rPr>
        <w:t>Procedibilidad</w:t>
      </w:r>
      <w:proofErr w:type="spellEnd"/>
      <w:r w:rsidRPr="008A1ABA">
        <w:rPr>
          <w:rFonts w:ascii="Palatino Linotype" w:eastAsia="Palatino Linotype" w:hAnsi="Palatino Linotype" w:cs="Palatino Linotype"/>
          <w:b/>
        </w:rPr>
        <w:t xml:space="preserve"> del Recurso de Revisión</w:t>
      </w:r>
      <w:r w:rsidRPr="008A1ABA">
        <w:rPr>
          <w:rFonts w:ascii="Palatino Linotype" w:eastAsia="Palatino Linotype" w:hAnsi="Palatino Linotype" w:cs="Palatino Linotype"/>
        </w:rPr>
        <w:t xml:space="preserve">. Previo al estudio del fondo del asunto, se procede a analizar los requisitos de oportunidad y </w:t>
      </w:r>
      <w:proofErr w:type="spellStart"/>
      <w:r w:rsidRPr="008A1ABA">
        <w:rPr>
          <w:rFonts w:ascii="Palatino Linotype" w:eastAsia="Palatino Linotype" w:hAnsi="Palatino Linotype" w:cs="Palatino Linotype"/>
        </w:rPr>
        <w:t>procedibilidad</w:t>
      </w:r>
      <w:proofErr w:type="spellEnd"/>
      <w:r w:rsidRPr="008A1AB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respondió a la solicitud de información el </w:t>
      </w:r>
      <w:r w:rsidRPr="008A1ABA">
        <w:rPr>
          <w:rFonts w:ascii="Palatino Linotype" w:eastAsia="Palatino Linotype" w:hAnsi="Palatino Linotype" w:cs="Palatino Linotype"/>
          <w:b/>
        </w:rPr>
        <w:t xml:space="preserve">primero de junio de dos mil veintidós, </w:t>
      </w:r>
      <w:r w:rsidRPr="008A1ABA">
        <w:rPr>
          <w:rFonts w:ascii="Palatino Linotype" w:eastAsia="Palatino Linotype" w:hAnsi="Palatino Linotype" w:cs="Palatino Linotype"/>
        </w:rPr>
        <w:t xml:space="preserve">mientras que el recurso de revisión se interpuso el </w:t>
      </w:r>
      <w:r w:rsidRPr="008A1ABA">
        <w:rPr>
          <w:rFonts w:ascii="Palatino Linotype" w:eastAsia="Palatino Linotype" w:hAnsi="Palatino Linotype" w:cs="Palatino Linotype"/>
          <w:b/>
        </w:rPr>
        <w:t>siete de junio de dos mil veintidós</w:t>
      </w:r>
      <w:r w:rsidRPr="008A1ABA">
        <w:rPr>
          <w:rFonts w:ascii="Palatino Linotype" w:eastAsia="Palatino Linotype" w:hAnsi="Palatino Linotype" w:cs="Palatino Linotype"/>
        </w:rPr>
        <w:t>, esto es, el cuarto día hábil posterior en que tuvo conocimiento de la respuesta impugnada.</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En este sentido, al considerar la fecha en que se formuló la solicitud y la fecha en que respondió a esta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6515EE" w:rsidRPr="008A1ABA" w:rsidRDefault="008070F3">
      <w:pPr>
        <w:spacing w:before="240" w:after="240" w:line="360" w:lineRule="auto"/>
        <w:jc w:val="both"/>
        <w:rPr>
          <w:rFonts w:ascii="Palatino Linotype" w:eastAsia="Palatino Linotype" w:hAnsi="Palatino Linotype" w:cs="Palatino Linotype"/>
          <w:b/>
        </w:rPr>
      </w:pPr>
      <w:r w:rsidRPr="008A1ABA">
        <w:rPr>
          <w:rFonts w:ascii="Palatino Linotype" w:eastAsia="Palatino Linotype" w:hAnsi="Palatino Linotype" w:cs="Palatino Linotype"/>
        </w:rPr>
        <w:lastRenderedPageBreak/>
        <w:t>Asimismo, se acreditan los elementos formales exigidos por el artículo 180 de la Ley de Transparencia y Acceso a la Información Pública del Estado de México y Municipios, en atención a que fueron presentados mediante el formato visible en el</w:t>
      </w:r>
      <w:r w:rsidRPr="008A1ABA">
        <w:rPr>
          <w:rFonts w:ascii="Palatino Linotype" w:eastAsia="Palatino Linotype" w:hAnsi="Palatino Linotype" w:cs="Palatino Linotype"/>
          <w:b/>
        </w:rPr>
        <w:t xml:space="preserve"> SAIMEX. </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Finalmente, se advierte que resulta procedente la interposición del recurso, según lo manifestado por la </w:t>
      </w:r>
      <w:r w:rsidRPr="008A1ABA">
        <w:rPr>
          <w:rFonts w:ascii="Palatino Linotype" w:eastAsia="Palatino Linotype" w:hAnsi="Palatino Linotype" w:cs="Palatino Linotype"/>
          <w:b/>
        </w:rPr>
        <w:t>Recurrente</w:t>
      </w:r>
      <w:r w:rsidRPr="008A1ABA">
        <w:rPr>
          <w:rFonts w:ascii="Palatino Linotype" w:eastAsia="Palatino Linotype" w:hAnsi="Palatino Linotype" w:cs="Palatino Linotype"/>
        </w:rPr>
        <w:t xml:space="preserve"> en sus motivos de inconformidad, de acuerdo al artículo 179, fracción I del ordenamiento legal citado, que a la letra dice: </w:t>
      </w:r>
    </w:p>
    <w:p w:rsidR="006515EE" w:rsidRPr="008A1ABA" w:rsidRDefault="008070F3">
      <w:pPr>
        <w:tabs>
          <w:tab w:val="left" w:pos="7088"/>
        </w:tabs>
        <w:spacing w:before="240" w:after="240"/>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w:t>
      </w:r>
      <w:r w:rsidRPr="008A1ABA">
        <w:rPr>
          <w:rFonts w:ascii="Palatino Linotype" w:eastAsia="Palatino Linotype" w:hAnsi="Palatino Linotype" w:cs="Palatino Linotype"/>
          <w:b/>
          <w:i/>
          <w:sz w:val="22"/>
          <w:szCs w:val="22"/>
        </w:rPr>
        <w:t>Artículo 179.</w:t>
      </w:r>
      <w:r w:rsidRPr="008A1AB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6515EE" w:rsidRPr="008A1ABA" w:rsidRDefault="008070F3">
      <w:pPr>
        <w:tabs>
          <w:tab w:val="left" w:pos="7088"/>
        </w:tabs>
        <w:spacing w:before="240" w:after="240"/>
        <w:ind w:left="993"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I. La negativa a la información solicitada;</w:t>
      </w:r>
    </w:p>
    <w:p w:rsidR="006515EE" w:rsidRPr="008A1ABA" w:rsidRDefault="008070F3">
      <w:pPr>
        <w:tabs>
          <w:tab w:val="left" w:pos="7088"/>
        </w:tabs>
        <w:spacing w:before="240" w:after="240"/>
        <w:ind w:left="993"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w:t>
      </w:r>
      <w:r w:rsidRPr="008A1ABA">
        <w:rPr>
          <w:rFonts w:ascii="Palatino Linotype" w:eastAsia="Palatino Linotype" w:hAnsi="Palatino Linotype" w:cs="Palatino Linotype"/>
          <w:i/>
          <w:sz w:val="22"/>
          <w:szCs w:val="22"/>
        </w:rPr>
        <w:t>”</w:t>
      </w: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Tercero. Análisis de las causales de sobreseimiento del recurso de revisión.</w:t>
      </w:r>
      <w:r w:rsidRPr="008A1ABA">
        <w:rPr>
          <w:rFonts w:ascii="Calibri" w:eastAsia="Calibri" w:hAnsi="Calibri" w:cs="Calibri"/>
        </w:rPr>
        <w:t xml:space="preserve"> </w:t>
      </w:r>
      <w:r w:rsidRPr="008A1ABA">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8A1ABA">
        <w:rPr>
          <w:rFonts w:ascii="Palatino Linotype" w:eastAsia="Palatino Linotype" w:hAnsi="Palatino Linotype" w:cs="Palatino Linotype"/>
        </w:rPr>
        <w:t>procedibilidad</w:t>
      </w:r>
      <w:proofErr w:type="spellEnd"/>
      <w:r w:rsidRPr="008A1ABA">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515EE" w:rsidRPr="008A1ABA" w:rsidRDefault="006515EE">
      <w:pPr>
        <w:spacing w:line="360" w:lineRule="auto"/>
        <w:jc w:val="both"/>
        <w:rPr>
          <w:rFonts w:ascii="Calibri" w:eastAsia="Calibri" w:hAnsi="Calibri" w:cs="Calibri"/>
        </w:rPr>
      </w:pPr>
    </w:p>
    <w:p w:rsidR="006515EE" w:rsidRPr="008A1ABA" w:rsidRDefault="008070F3">
      <w:pPr>
        <w:spacing w:line="360" w:lineRule="auto"/>
        <w:jc w:val="both"/>
        <w:rPr>
          <w:rFonts w:ascii="Calibri" w:eastAsia="Calibri" w:hAnsi="Calibri" w:cs="Calibri"/>
        </w:rPr>
      </w:pPr>
      <w:r w:rsidRPr="008A1ABA">
        <w:rPr>
          <w:rFonts w:ascii="Palatino Linotype" w:eastAsia="Palatino Linotype" w:hAnsi="Palatino Linotype" w:cs="Palatino Linotype"/>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6515EE" w:rsidRPr="008A1ABA" w:rsidRDefault="006515EE">
      <w:pPr>
        <w:spacing w:after="160" w:line="256" w:lineRule="auto"/>
        <w:rPr>
          <w:rFonts w:ascii="Calibri" w:eastAsia="Calibri" w:hAnsi="Calibri" w:cs="Calibri"/>
        </w:rPr>
      </w:pPr>
    </w:p>
    <w:p w:rsidR="006515EE" w:rsidRPr="008A1ABA" w:rsidRDefault="008070F3">
      <w:pPr>
        <w:spacing w:line="360" w:lineRule="auto"/>
        <w:ind w:right="51"/>
        <w:jc w:val="both"/>
        <w:rPr>
          <w:rFonts w:ascii="Palatino Linotype" w:eastAsia="Palatino Linotype" w:hAnsi="Palatino Linotype" w:cs="Palatino Linotype"/>
        </w:rPr>
      </w:pPr>
      <w:r w:rsidRPr="008A1ABA">
        <w:rPr>
          <w:rFonts w:ascii="Palatino Linotype" w:eastAsia="Palatino Linotype" w:hAnsi="Palatino Linotype" w:cs="Palatino Linotype"/>
        </w:rPr>
        <w:t>De manera preliminar en el caso concreto conviene analizar si se actualiza alguna de las causales de sobreseimiento del recurso de revisión.</w:t>
      </w:r>
    </w:p>
    <w:p w:rsidR="006515EE" w:rsidRPr="008A1ABA" w:rsidRDefault="006515EE">
      <w:pPr>
        <w:spacing w:line="360" w:lineRule="auto"/>
        <w:ind w:right="51"/>
        <w:jc w:val="both"/>
        <w:rPr>
          <w:rFonts w:ascii="Palatino Linotype" w:eastAsia="Palatino Linotype" w:hAnsi="Palatino Linotype" w:cs="Palatino Linotype"/>
        </w:rPr>
      </w:pPr>
    </w:p>
    <w:p w:rsidR="006515EE" w:rsidRPr="008A1ABA" w:rsidRDefault="008070F3">
      <w:pPr>
        <w:spacing w:line="360" w:lineRule="auto"/>
        <w:ind w:right="51"/>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le proporcione información consistente en lo siguiente:</w:t>
      </w:r>
    </w:p>
    <w:p w:rsidR="006515EE" w:rsidRPr="008A1ABA" w:rsidRDefault="006515EE">
      <w:pPr>
        <w:spacing w:line="360" w:lineRule="auto"/>
        <w:jc w:val="both"/>
        <w:rPr>
          <w:rFonts w:ascii="Palatino Linotype" w:eastAsia="Palatino Linotype" w:hAnsi="Palatino Linotype" w:cs="Palatino Linotype"/>
          <w:b/>
        </w:rPr>
      </w:pPr>
    </w:p>
    <w:p w:rsidR="006515EE" w:rsidRPr="008A1ABA" w:rsidRDefault="008070F3">
      <w:pPr>
        <w:spacing w:line="276" w:lineRule="auto"/>
        <w:ind w:left="567" w:right="848"/>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 xml:space="preserve">“En versión pública todos los acuerdos de cumplimiento. Incompleto u extemporáneo que la contraloría de </w:t>
      </w:r>
      <w:proofErr w:type="spellStart"/>
      <w:r w:rsidRPr="008A1ABA">
        <w:rPr>
          <w:rFonts w:ascii="Palatino Linotype" w:eastAsia="Palatino Linotype" w:hAnsi="Palatino Linotype" w:cs="Palatino Linotype"/>
          <w:i/>
          <w:sz w:val="22"/>
          <w:szCs w:val="22"/>
        </w:rPr>
        <w:t>infoem</w:t>
      </w:r>
      <w:proofErr w:type="spellEnd"/>
      <w:r w:rsidRPr="008A1ABA">
        <w:rPr>
          <w:rFonts w:ascii="Palatino Linotype" w:eastAsia="Palatino Linotype" w:hAnsi="Palatino Linotype" w:cs="Palatino Linotype"/>
          <w:i/>
          <w:sz w:val="22"/>
          <w:szCs w:val="22"/>
        </w:rPr>
        <w:t xml:space="preserve"> ha emitido de 2021 a la fecha al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Acuses de notificación que le realizan a l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al sujeto obligado pues la unidad de transparencia oculta todo son corruptos Acciones de mejora que el </w:t>
      </w:r>
      <w:proofErr w:type="spellStart"/>
      <w:r w:rsidRPr="008A1ABA">
        <w:rPr>
          <w:rFonts w:ascii="Palatino Linotype" w:eastAsia="Palatino Linotype" w:hAnsi="Palatino Linotype" w:cs="Palatino Linotype"/>
          <w:i/>
          <w:sz w:val="22"/>
          <w:szCs w:val="22"/>
        </w:rPr>
        <w:t>infoem</w:t>
      </w:r>
      <w:proofErr w:type="spellEnd"/>
      <w:r w:rsidRPr="008A1ABA">
        <w:rPr>
          <w:rFonts w:ascii="Palatino Linotype" w:eastAsia="Palatino Linotype" w:hAnsi="Palatino Linotype" w:cs="Palatino Linotype"/>
          <w:i/>
          <w:sz w:val="22"/>
          <w:szCs w:val="22"/>
        </w:rPr>
        <w:t xml:space="preserve"> le ha realizado a la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para que no oculte información Cuantos solicitudes de prórroga ha emitido la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desde 2019 a la fecha para entregar información Sanciones que le </w:t>
      </w:r>
      <w:r w:rsidRPr="008A1ABA">
        <w:rPr>
          <w:rFonts w:ascii="Palatino Linotype" w:eastAsia="Palatino Linotype" w:hAnsi="Palatino Linotype" w:cs="Palatino Linotype"/>
          <w:i/>
          <w:sz w:val="22"/>
          <w:szCs w:val="22"/>
        </w:rPr>
        <w:lastRenderedPageBreak/>
        <w:t xml:space="preserve">han impuesto al fiscal como sujeto obligado por la </w:t>
      </w:r>
      <w:proofErr w:type="spellStart"/>
      <w:r w:rsidRPr="008A1ABA">
        <w:rPr>
          <w:rFonts w:ascii="Palatino Linotype" w:eastAsia="Palatino Linotype" w:hAnsi="Palatino Linotype" w:cs="Palatino Linotype"/>
          <w:i/>
          <w:sz w:val="22"/>
          <w:szCs w:val="22"/>
        </w:rPr>
        <w:t>violacion</w:t>
      </w:r>
      <w:proofErr w:type="spellEnd"/>
      <w:r w:rsidRPr="008A1ABA">
        <w:rPr>
          <w:rFonts w:ascii="Palatino Linotype" w:eastAsia="Palatino Linotype" w:hAnsi="Palatino Linotype" w:cs="Palatino Linotype"/>
          <w:i/>
          <w:sz w:val="22"/>
          <w:szCs w:val="22"/>
        </w:rPr>
        <w:t xml:space="preserve"> de ocultamiento de información pública Sanciones de revisiones oficiosas que la han impuesto a </w:t>
      </w:r>
      <w:proofErr w:type="spellStart"/>
      <w:r w:rsidRPr="008A1ABA">
        <w:rPr>
          <w:rFonts w:ascii="Palatino Linotype" w:eastAsia="Palatino Linotype" w:hAnsi="Palatino Linotype" w:cs="Palatino Linotype"/>
          <w:i/>
          <w:sz w:val="22"/>
          <w:szCs w:val="22"/>
        </w:rPr>
        <w:t>fgjem</w:t>
      </w:r>
      <w:proofErr w:type="spellEnd"/>
      <w:r w:rsidRPr="008A1ABA">
        <w:rPr>
          <w:rFonts w:ascii="Palatino Linotype" w:eastAsia="Palatino Linotype" w:hAnsi="Palatino Linotype" w:cs="Palatino Linotype"/>
          <w:i/>
          <w:sz w:val="22"/>
          <w:szCs w:val="22"/>
        </w:rPr>
        <w:t xml:space="preserve"> por no tener actualizad la información de </w:t>
      </w:r>
      <w:proofErr w:type="spellStart"/>
      <w:r w:rsidRPr="008A1ABA">
        <w:rPr>
          <w:rFonts w:ascii="Palatino Linotype" w:eastAsia="Palatino Linotype" w:hAnsi="Palatino Linotype" w:cs="Palatino Linotype"/>
          <w:i/>
          <w:sz w:val="22"/>
          <w:szCs w:val="22"/>
        </w:rPr>
        <w:t>ipomex</w:t>
      </w:r>
      <w:proofErr w:type="spellEnd"/>
      <w:r w:rsidRPr="008A1ABA">
        <w:rPr>
          <w:rFonts w:ascii="Palatino Linotype" w:eastAsia="Palatino Linotype" w:hAnsi="Palatino Linotype" w:cs="Palatino Linotype"/>
          <w:i/>
          <w:sz w:val="22"/>
          <w:szCs w:val="22"/>
        </w:rPr>
        <w:t xml:space="preserve"> Sanciones impuestas a la o el titular de la unidad de transparencia”. (Sic)</w:t>
      </w:r>
    </w:p>
    <w:p w:rsidR="006515EE" w:rsidRPr="008A1ABA" w:rsidRDefault="006515EE">
      <w:pPr>
        <w:spacing w:line="276" w:lineRule="auto"/>
        <w:ind w:left="567" w:right="848"/>
        <w:jc w:val="both"/>
        <w:rPr>
          <w:rFonts w:ascii="Palatino Linotype" w:eastAsia="Palatino Linotype" w:hAnsi="Palatino Linotype" w:cs="Palatino Linotype"/>
          <w:i/>
          <w:sz w:val="22"/>
          <w:szCs w:val="22"/>
        </w:rPr>
      </w:pP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En respuesta, el </w:t>
      </w:r>
      <w:r w:rsidRPr="008A1ABA">
        <w:rPr>
          <w:rFonts w:ascii="Palatino Linotype" w:eastAsia="Palatino Linotype" w:hAnsi="Palatino Linotype" w:cs="Palatino Linotype"/>
          <w:b/>
        </w:rPr>
        <w:t xml:space="preserve">Sujeto Obligado </w:t>
      </w:r>
      <w:r w:rsidRPr="008A1ABA">
        <w:rPr>
          <w:rFonts w:ascii="Palatino Linotype" w:eastAsia="Palatino Linotype" w:hAnsi="Palatino Linotype" w:cs="Palatino Linotype"/>
        </w:rPr>
        <w:t>por conducto del Contralor Interno y Titular del Órgano de Control y Vigilancia informó que no localizó sancione impuestas a la Fiscalía General de Justicia del Estado de México y Municipios, por no tener actualizada la información en IPOMEX; así como, sanciones impuestas a la Titular de la Unidad de transparencia; por lo tanto resulta improcedente la entrega de tal información, toda vez que no cuenta con la misma. Por cuanto hace al resto de los requerimientos, manifestó que no es competente para generar, administrar o poseer la información, tal como se advierte a continuación:</w:t>
      </w: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noProof/>
          <w:lang w:val="es-MX"/>
        </w:rPr>
        <w:lastRenderedPageBreak/>
        <w:drawing>
          <wp:inline distT="0" distB="0" distL="0" distR="0" wp14:anchorId="348CDC64" wp14:editId="1AEFBC7A">
            <wp:extent cx="5612130" cy="6606540"/>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6606540"/>
                    </a:xfrm>
                    <a:prstGeom prst="rect">
                      <a:avLst/>
                    </a:prstGeom>
                    <a:ln/>
                  </pic:spPr>
                </pic:pic>
              </a:graphicData>
            </a:graphic>
          </wp:inline>
        </w:drawing>
      </w: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lastRenderedPageBreak/>
        <w:t xml:space="preserve">Conocida la respuesta por el particular, al no estar conforme con los términos de la misma, presentó el recurso de revisión que nos ocupa, mediante el cual señaló como motivo de inconformidad: </w:t>
      </w:r>
      <w:r w:rsidRPr="008A1ABA">
        <w:rPr>
          <w:rFonts w:ascii="Palatino Linotype" w:eastAsia="Palatino Linotype" w:hAnsi="Palatino Linotype" w:cs="Palatino Linotype"/>
          <w:i/>
        </w:rPr>
        <w:t>“Niegan información por no querer trabajar ellos generan el acuerdo de cumplimiento o incumpliendo a la entrega de información por lo que obra en sus archivos y plataformas lo solicitado.”. (Sic)</w:t>
      </w:r>
    </w:p>
    <w:p w:rsidR="006515EE" w:rsidRPr="008A1ABA" w:rsidRDefault="008070F3">
      <w:pPr>
        <w:spacing w:before="240" w:after="36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En este entendido cuando se impugna la respuesta proporcionada por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y el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no expresa Razón o Motivo de Inconformidad en contra de todos los rubros solicitados, dichos rubros deben declararse atendidos, pues se entiende que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6515EE" w:rsidRPr="008A1ABA" w:rsidRDefault="008070F3">
      <w:pPr>
        <w:spacing w:before="240" w:after="360"/>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 xml:space="preserve">“REVISIÓN EN AMPARO. LOS RESOLUTIVOS NO COMBATIDOS DEBEN DECLARARSE FIRMES. </w:t>
      </w:r>
      <w:r w:rsidRPr="008A1AB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Consecuentemente, se reitera, que la parte de la respuesta que no fue impugnada debe declararse consentida por la parte Recurrente, toda vez que no se realizaron manifestaciones de inconformidad, por lo que no pueden producirse efectos </w:t>
      </w:r>
      <w:r w:rsidRPr="008A1ABA">
        <w:rPr>
          <w:rFonts w:ascii="Palatino Linotype" w:eastAsia="Palatino Linotype" w:hAnsi="Palatino Linotype" w:cs="Palatino Linotype"/>
        </w:rPr>
        <w:lastRenderedPageBreak/>
        <w:t xml:space="preserve">jurídicos tendentes a revocar, confirmar o modificar el acto reclamado ya que se infiere un consentimiento ante la falta de impugnación eficaz. </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6515EE" w:rsidRPr="008A1ABA" w:rsidRDefault="008070F3">
      <w:pPr>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mallCaps/>
          <w:sz w:val="22"/>
          <w:szCs w:val="22"/>
        </w:rPr>
        <w:t xml:space="preserve">“ACTOS CONSENTIDOS. SON LOS QUE NO SE IMPUGNAN MEDIANTE EL RECURSO IDÓNEO. </w:t>
      </w:r>
      <w:r w:rsidRPr="008A1AB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515EE" w:rsidRPr="008A1ABA" w:rsidRDefault="006515EE">
      <w:pPr>
        <w:spacing w:line="360" w:lineRule="auto"/>
        <w:jc w:val="both"/>
        <w:rPr>
          <w:rFonts w:ascii="Palatino Linotype" w:eastAsia="Palatino Linotype" w:hAnsi="Palatino Linotype" w:cs="Palatino Linotype"/>
        </w:rPr>
      </w:pP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En este sentido, el estudio en el presente asunto, versará sobre el análisis de los puntos sobre los cuales se inconformó el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al momento de interponer el Medio de Impugnación; es decir, los acuerdos de cumplimiento, incumplimiento y extemporáneos emitidos a la Fiscalía General de Justicia del Estado de México del primero de enero de dos mil veintiuno al once de mayo de dos mil veintidós.</w:t>
      </w: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En este contexto, resulta de suma importancia en primer término invocar el contenido de los artículos 162, 163, 164 y 165 de la Ley de Transparencia y Acceso a la Información Pública del Estado de México y Municipios, que rezan así:</w:t>
      </w:r>
    </w:p>
    <w:p w:rsidR="006515EE" w:rsidRPr="008A1ABA" w:rsidRDefault="008070F3">
      <w:pPr>
        <w:spacing w:after="120"/>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“Artículo 162.</w:t>
      </w:r>
      <w:r w:rsidRPr="008A1ABA">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w:t>
      </w:r>
      <w:r w:rsidRPr="008A1ABA">
        <w:rPr>
          <w:rFonts w:ascii="Palatino Linotype" w:eastAsia="Palatino Linotype" w:hAnsi="Palatino Linotype" w:cs="Palatino Linotype"/>
          <w:i/>
          <w:sz w:val="22"/>
          <w:szCs w:val="22"/>
        </w:rPr>
        <w:lastRenderedPageBreak/>
        <w:t xml:space="preserve">funciones, con el objeto de que realicen una búsqueda exhaustiva y razonable de la información solicitada.  </w:t>
      </w:r>
    </w:p>
    <w:p w:rsidR="006515EE" w:rsidRPr="008A1ABA" w:rsidRDefault="008070F3">
      <w:pPr>
        <w:spacing w:after="120"/>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Artículo 163.</w:t>
      </w:r>
      <w:r w:rsidRPr="008A1ABA">
        <w:rPr>
          <w:rFonts w:ascii="Palatino Linotype" w:eastAsia="Palatino Linotype" w:hAnsi="Palatino Linotype" w:cs="Palatino Linotype"/>
          <w:i/>
          <w:sz w:val="22"/>
          <w:szCs w:val="22"/>
        </w:rPr>
        <w:t xml:space="preserve"> La </w:t>
      </w:r>
      <w:r w:rsidRPr="008A1ABA">
        <w:rPr>
          <w:rFonts w:ascii="Palatino Linotype" w:eastAsia="Palatino Linotype" w:hAnsi="Palatino Linotype" w:cs="Palatino Linotype"/>
          <w:b/>
          <w:i/>
          <w:sz w:val="22"/>
          <w:szCs w:val="22"/>
        </w:rPr>
        <w:t>Unidad de Transparencia deberá notificar la respuesta a la solicitud al interesado en el menor tiempo posible</w:t>
      </w:r>
      <w:r w:rsidRPr="008A1ABA">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rsidR="006515EE" w:rsidRPr="008A1ABA" w:rsidRDefault="008070F3">
      <w:pPr>
        <w:spacing w:after="120"/>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6515EE" w:rsidRPr="008A1ABA" w:rsidRDefault="008070F3">
      <w:pPr>
        <w:spacing w:after="120"/>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Artículo 164.</w:t>
      </w:r>
      <w:r w:rsidRPr="008A1AB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6515EE" w:rsidRPr="008A1ABA" w:rsidRDefault="008070F3">
      <w:pPr>
        <w:spacing w:after="120"/>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 xml:space="preserve">En cualquier caso, se deberá fundar y motivar la necesidad de ofrecer otras modalidades.  </w:t>
      </w:r>
    </w:p>
    <w:p w:rsidR="006515EE" w:rsidRPr="008A1ABA" w:rsidRDefault="008070F3">
      <w:pPr>
        <w:spacing w:after="120"/>
        <w:ind w:left="851" w:right="90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Artículo 165.</w:t>
      </w:r>
      <w:r w:rsidRPr="008A1AB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6515EE" w:rsidRPr="008A1ABA" w:rsidRDefault="008070F3">
      <w:pPr>
        <w:spacing w:before="240" w:after="24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Siendo la Unidad de Transparencia la responsable de hacer las notificaciones correspondientes, además de llevar a cabo las gestiones necesarias para facilitar el acceso a la información.</w:t>
      </w: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lastRenderedPageBreak/>
        <w:t xml:space="preserve">Es así que, de las constancias que integran el Sistema de Acceso a la Información Mexiquense (SAIMEX) se desprende que el Titular de la Unidad de Transparencia turnó la solicitud de información a las áreas competentes que pueden o deben contar con la documentación solicitada; tan es así, que  a través del informe justificado remitió las documentales proporcionadas por la Dirección de Cumplimientos de la Secretaría Técnica del Pleno, la Dirección General Jurídica y de Verificación Subdirección Jurídica y Verificación y  la Director General de Protección de Datos Personales; información que es procedente analizar con el objeto de determinar si se colmaron los requerimientos sobre los cuales se inconformó la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al momento de interponer el recurso de revisión de mérito.</w:t>
      </w:r>
    </w:p>
    <w:p w:rsidR="006515EE" w:rsidRPr="008A1ABA" w:rsidRDefault="006515EE">
      <w:pPr>
        <w:spacing w:line="360" w:lineRule="auto"/>
        <w:jc w:val="both"/>
        <w:rPr>
          <w:rFonts w:ascii="Palatino Linotype" w:eastAsia="Palatino Linotype" w:hAnsi="Palatino Linotype" w:cs="Palatino Linotype"/>
        </w:rPr>
      </w:pP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 xml:space="preserve"> </w:t>
      </w:r>
      <w:r w:rsidRPr="008A1ABA">
        <w:rPr>
          <w:rFonts w:ascii="Palatino Linotype" w:eastAsia="Palatino Linotype" w:hAnsi="Palatino Linotype" w:cs="Palatino Linotype"/>
        </w:rPr>
        <w:t xml:space="preserve">Cabe referir que de conformidad con dispuesto en los artículos 19 fracción XXVI, 23, fracciones XIV y XV y 24 fracción XI del Reglamento Interior del Instituto de Transparencia, Acceso a la Información Pública y Protección de Datos Personales del Estado de México y Municipios, corresponde a la Secretaría Técnica del Pleno, la Dirección General Jurídica y de Verificación Subdirección Jurídica y Verificación y a la Director General de Protección de Datos Personales  las siguientes funciones: </w:t>
      </w:r>
    </w:p>
    <w:p w:rsidR="006515EE" w:rsidRPr="008A1ABA" w:rsidRDefault="006515EE">
      <w:pPr>
        <w:spacing w:line="360" w:lineRule="auto"/>
        <w:jc w:val="both"/>
        <w:rPr>
          <w:rFonts w:ascii="Palatino Linotype" w:eastAsia="Palatino Linotype" w:hAnsi="Palatino Linotype" w:cs="Palatino Linotype"/>
        </w:rPr>
      </w:pPr>
    </w:p>
    <w:p w:rsidR="006515EE" w:rsidRPr="008A1ABA" w:rsidRDefault="006515EE">
      <w:pPr>
        <w:spacing w:line="360" w:lineRule="auto"/>
        <w:jc w:val="both"/>
        <w:rPr>
          <w:rFonts w:ascii="Palatino Linotype" w:eastAsia="Palatino Linotype" w:hAnsi="Palatino Linotype" w:cs="Palatino Linotype"/>
        </w:rPr>
      </w:pPr>
    </w:p>
    <w:p w:rsidR="006515EE" w:rsidRPr="008A1ABA" w:rsidRDefault="008070F3">
      <w:pPr>
        <w:spacing w:line="360" w:lineRule="auto"/>
        <w:ind w:left="851" w:right="616"/>
        <w:jc w:val="center"/>
        <w:rPr>
          <w:rFonts w:ascii="Palatino Linotype" w:eastAsia="Palatino Linotype" w:hAnsi="Palatino Linotype" w:cs="Palatino Linotype"/>
          <w:b/>
          <w:i/>
          <w:sz w:val="22"/>
          <w:szCs w:val="22"/>
        </w:rPr>
      </w:pPr>
      <w:r w:rsidRPr="008A1ABA">
        <w:rPr>
          <w:rFonts w:ascii="Palatino Linotype" w:eastAsia="Palatino Linotype" w:hAnsi="Palatino Linotype" w:cs="Palatino Linotype"/>
          <w:b/>
          <w:i/>
          <w:sz w:val="22"/>
          <w:szCs w:val="22"/>
        </w:rPr>
        <w:t>De la Secretaría Técnica del Pleno</w:t>
      </w:r>
    </w:p>
    <w:p w:rsidR="006515EE" w:rsidRPr="008A1ABA" w:rsidRDefault="008070F3">
      <w:pPr>
        <w:spacing w:line="360"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w:t>
      </w:r>
      <w:r w:rsidRPr="008A1ABA">
        <w:rPr>
          <w:rFonts w:ascii="Palatino Linotype" w:eastAsia="Palatino Linotype" w:hAnsi="Palatino Linotype" w:cs="Palatino Linotype"/>
          <w:b/>
          <w:i/>
          <w:sz w:val="22"/>
          <w:szCs w:val="22"/>
        </w:rPr>
        <w:t>Artículo 19</w:t>
      </w:r>
      <w:r w:rsidRPr="008A1ABA">
        <w:rPr>
          <w:rFonts w:ascii="Palatino Linotype" w:eastAsia="Palatino Linotype" w:hAnsi="Palatino Linotype" w:cs="Palatino Linotype"/>
          <w:i/>
          <w:sz w:val="22"/>
          <w:szCs w:val="22"/>
        </w:rPr>
        <w:t xml:space="preserve">. Corresponde a la Secretaría Técnica del Pleno ejercer las atribuciones siguientes: </w:t>
      </w:r>
    </w:p>
    <w:p w:rsidR="006515EE" w:rsidRPr="008A1ABA" w:rsidRDefault="008070F3">
      <w:pPr>
        <w:spacing w:line="360" w:lineRule="auto"/>
        <w:ind w:left="851" w:right="616"/>
        <w:jc w:val="both"/>
      </w:pPr>
      <w:r w:rsidRPr="008A1ABA">
        <w:rPr>
          <w:rFonts w:ascii="Palatino Linotype" w:eastAsia="Palatino Linotype" w:hAnsi="Palatino Linotype" w:cs="Palatino Linotype"/>
          <w:i/>
          <w:sz w:val="22"/>
          <w:szCs w:val="22"/>
        </w:rPr>
        <w:lastRenderedPageBreak/>
        <w:t>…</w:t>
      </w:r>
      <w:r w:rsidRPr="008A1ABA">
        <w:t xml:space="preserve"> </w:t>
      </w:r>
    </w:p>
    <w:p w:rsidR="006515EE" w:rsidRPr="008A1ABA" w:rsidRDefault="008070F3">
      <w:pPr>
        <w:spacing w:line="276" w:lineRule="auto"/>
        <w:ind w:left="851" w:right="616"/>
        <w:jc w:val="both"/>
        <w:rPr>
          <w:rFonts w:ascii="Palatino Linotype" w:eastAsia="Palatino Linotype" w:hAnsi="Palatino Linotype" w:cs="Palatino Linotype"/>
          <w:i/>
          <w:sz w:val="22"/>
          <w:szCs w:val="22"/>
        </w:rPr>
      </w:pPr>
      <w:bookmarkStart w:id="5" w:name="_heading=h.30j0zll" w:colFirst="0" w:colLast="0"/>
      <w:bookmarkEnd w:id="5"/>
      <w:r w:rsidRPr="008A1ABA">
        <w:rPr>
          <w:rFonts w:ascii="Palatino Linotype" w:eastAsia="Palatino Linotype" w:hAnsi="Palatino Linotype" w:cs="Palatino Linotype"/>
          <w:i/>
          <w:sz w:val="22"/>
          <w:szCs w:val="22"/>
        </w:rPr>
        <w:t xml:space="preserve">XXVI. </w:t>
      </w:r>
      <w:r w:rsidRPr="008A1ABA">
        <w:rPr>
          <w:rFonts w:ascii="Palatino Linotype" w:eastAsia="Palatino Linotype" w:hAnsi="Palatino Linotype" w:cs="Palatino Linotype"/>
          <w:b/>
          <w:i/>
          <w:sz w:val="22"/>
          <w:szCs w:val="22"/>
          <w:u w:val="single"/>
        </w:rPr>
        <w:t>Vigilar el cumplimiento que los Sujetos Obligados deben observar en la atención de las resoluciones de los recursos de revisión y emitir los acuerdos correspondientes</w:t>
      </w:r>
      <w:r w:rsidRPr="008A1ABA">
        <w:rPr>
          <w:rFonts w:ascii="Palatino Linotype" w:eastAsia="Palatino Linotype" w:hAnsi="Palatino Linotype" w:cs="Palatino Linotype"/>
          <w:i/>
          <w:sz w:val="22"/>
          <w:szCs w:val="22"/>
        </w:rPr>
        <w:t xml:space="preserve">; </w:t>
      </w:r>
    </w:p>
    <w:p w:rsidR="006515EE" w:rsidRPr="008A1ABA" w:rsidRDefault="006515EE">
      <w:pPr>
        <w:spacing w:line="360" w:lineRule="auto"/>
        <w:ind w:left="851" w:right="616"/>
        <w:jc w:val="both"/>
        <w:rPr>
          <w:rFonts w:ascii="Palatino Linotype" w:eastAsia="Palatino Linotype" w:hAnsi="Palatino Linotype" w:cs="Palatino Linotype"/>
          <w:i/>
          <w:sz w:val="22"/>
          <w:szCs w:val="22"/>
        </w:rPr>
      </w:pPr>
    </w:p>
    <w:p w:rsidR="006515EE" w:rsidRPr="008A1ABA" w:rsidRDefault="008070F3">
      <w:pPr>
        <w:spacing w:line="360" w:lineRule="auto"/>
        <w:ind w:left="851" w:right="616"/>
        <w:jc w:val="center"/>
        <w:rPr>
          <w:rFonts w:ascii="Palatino Linotype" w:eastAsia="Palatino Linotype" w:hAnsi="Palatino Linotype" w:cs="Palatino Linotype"/>
          <w:b/>
          <w:i/>
          <w:sz w:val="22"/>
          <w:szCs w:val="22"/>
        </w:rPr>
      </w:pPr>
      <w:r w:rsidRPr="008A1ABA">
        <w:rPr>
          <w:rFonts w:ascii="Palatino Linotype" w:eastAsia="Palatino Linotype" w:hAnsi="Palatino Linotype" w:cs="Palatino Linotype"/>
          <w:b/>
          <w:i/>
          <w:sz w:val="22"/>
          <w:szCs w:val="22"/>
        </w:rPr>
        <w:t>De la Dirección General Jurídica y de Verificación</w:t>
      </w:r>
    </w:p>
    <w:p w:rsidR="006515EE" w:rsidRPr="008A1ABA" w:rsidRDefault="008070F3">
      <w:pPr>
        <w:spacing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Artículo 23</w:t>
      </w:r>
      <w:r w:rsidRPr="008A1ABA">
        <w:rPr>
          <w:rFonts w:ascii="Palatino Linotype" w:eastAsia="Palatino Linotype" w:hAnsi="Palatino Linotype" w:cs="Palatino Linotype"/>
          <w:i/>
          <w:sz w:val="22"/>
          <w:szCs w:val="22"/>
        </w:rPr>
        <w:t>. Corresponde a la Dirección General Jurídica y de Verificación ejercer las atribuciones siguientes:</w:t>
      </w:r>
    </w:p>
    <w:p w:rsidR="006515EE" w:rsidRPr="008A1ABA" w:rsidRDefault="008070F3">
      <w:pPr>
        <w:spacing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 xml:space="preserve">XIV. Ordenar y practicar verificaciones a los portales de internet de los Sujetos Obligados, </w:t>
      </w:r>
      <w:r w:rsidRPr="008A1ABA">
        <w:rPr>
          <w:rFonts w:ascii="Palatino Linotype" w:eastAsia="Palatino Linotype" w:hAnsi="Palatino Linotype" w:cs="Palatino Linotype"/>
          <w:b/>
          <w:i/>
          <w:sz w:val="22"/>
          <w:szCs w:val="22"/>
          <w:u w:val="single"/>
        </w:rPr>
        <w:t xml:space="preserve">para revisar y constatar el debido cumplimiento de las obligaciones de transparencia, </w:t>
      </w:r>
      <w:r w:rsidRPr="008A1ABA">
        <w:rPr>
          <w:rFonts w:ascii="Palatino Linotype" w:eastAsia="Palatino Linotype" w:hAnsi="Palatino Linotype" w:cs="Palatino Linotype"/>
          <w:i/>
          <w:sz w:val="22"/>
          <w:szCs w:val="22"/>
        </w:rPr>
        <w:t xml:space="preserve">en los términos que establecen las Leyes de la Materia, lineamientos y demás disposiciones jurídicas aplicables. Asimismo, informar mensualmente al Pleno las verificaciones realizadas a los portales de transparencia de los Sujetos Obligados; </w:t>
      </w:r>
    </w:p>
    <w:p w:rsidR="006515EE" w:rsidRPr="008A1ABA" w:rsidRDefault="008070F3">
      <w:pPr>
        <w:spacing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 xml:space="preserve">XV. </w:t>
      </w:r>
      <w:r w:rsidRPr="008A1ABA">
        <w:rPr>
          <w:rFonts w:ascii="Palatino Linotype" w:eastAsia="Palatino Linotype" w:hAnsi="Palatino Linotype" w:cs="Palatino Linotype"/>
          <w:b/>
          <w:i/>
          <w:sz w:val="22"/>
          <w:szCs w:val="22"/>
          <w:u w:val="single"/>
        </w:rPr>
        <w:t>Calificar el desempeño de los Sujetos Obligados en el cumplimiento de las obligaciones de transparencia que publiquen</w:t>
      </w:r>
      <w:r w:rsidRPr="008A1ABA">
        <w:rPr>
          <w:rFonts w:ascii="Palatino Linotype" w:eastAsia="Palatino Linotype" w:hAnsi="Palatino Linotype" w:cs="Palatino Linotype"/>
          <w:i/>
          <w:sz w:val="22"/>
          <w:szCs w:val="22"/>
        </w:rPr>
        <w:t>, en términos de los lineamientos que expida el Instituto y demás disposiciones jurídicas aplicables, así como elaborar la estadística e informes de dicha actividad;</w:t>
      </w:r>
    </w:p>
    <w:p w:rsidR="006515EE" w:rsidRPr="008A1ABA" w:rsidRDefault="008070F3">
      <w:pPr>
        <w:spacing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w:t>
      </w:r>
    </w:p>
    <w:p w:rsidR="006515EE" w:rsidRPr="008A1ABA" w:rsidRDefault="008070F3">
      <w:pPr>
        <w:spacing w:line="276" w:lineRule="auto"/>
        <w:ind w:left="851" w:right="616"/>
        <w:jc w:val="center"/>
        <w:rPr>
          <w:rFonts w:ascii="Palatino Linotype" w:eastAsia="Palatino Linotype" w:hAnsi="Palatino Linotype" w:cs="Palatino Linotype"/>
          <w:b/>
          <w:i/>
          <w:sz w:val="22"/>
          <w:szCs w:val="22"/>
        </w:rPr>
      </w:pPr>
      <w:r w:rsidRPr="008A1ABA">
        <w:rPr>
          <w:rFonts w:ascii="Palatino Linotype" w:eastAsia="Palatino Linotype" w:hAnsi="Palatino Linotype" w:cs="Palatino Linotype"/>
          <w:b/>
          <w:i/>
          <w:sz w:val="22"/>
          <w:szCs w:val="22"/>
        </w:rPr>
        <w:t>De la Dirección General de Protección de Datos Personales</w:t>
      </w:r>
    </w:p>
    <w:p w:rsidR="006515EE" w:rsidRPr="008A1ABA" w:rsidRDefault="008070F3">
      <w:pPr>
        <w:spacing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Artículo 24. Corresponde a la Dirección General de Protección de Datos Personales ejercer las atribuciones siguientes:</w:t>
      </w:r>
    </w:p>
    <w:p w:rsidR="006515EE" w:rsidRPr="008A1ABA" w:rsidRDefault="008070F3">
      <w:pPr>
        <w:spacing w:line="276" w:lineRule="auto"/>
        <w:ind w:left="851" w:right="616"/>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w:t>
      </w:r>
    </w:p>
    <w:p w:rsidR="006515EE" w:rsidRPr="008A1ABA" w:rsidRDefault="008070F3">
      <w:pPr>
        <w:spacing w:line="276" w:lineRule="auto"/>
        <w:ind w:left="851" w:right="616"/>
        <w:jc w:val="both"/>
        <w:rPr>
          <w:rFonts w:ascii="Palatino Linotype" w:eastAsia="Palatino Linotype" w:hAnsi="Palatino Linotype" w:cs="Palatino Linotype"/>
          <w:b/>
          <w:i/>
          <w:sz w:val="22"/>
          <w:szCs w:val="22"/>
        </w:rPr>
      </w:pPr>
      <w:r w:rsidRPr="008A1ABA">
        <w:rPr>
          <w:rFonts w:ascii="Palatino Linotype" w:eastAsia="Palatino Linotype" w:hAnsi="Palatino Linotype" w:cs="Palatino Linotype"/>
          <w:i/>
          <w:sz w:val="22"/>
          <w:szCs w:val="22"/>
        </w:rPr>
        <w:t xml:space="preserve">XI. </w:t>
      </w:r>
      <w:r w:rsidRPr="008A1ABA">
        <w:rPr>
          <w:rFonts w:ascii="Palatino Linotype" w:eastAsia="Palatino Linotype" w:hAnsi="Palatino Linotype" w:cs="Palatino Linotype"/>
          <w:b/>
          <w:i/>
          <w:sz w:val="22"/>
          <w:szCs w:val="22"/>
          <w:u w:val="single"/>
        </w:rPr>
        <w:t>Instaurar procedimientos de investigación derivados de posibles violaciones a la seguridad de los datos personales, y en su caso, determinar la práctica de verificaciones</w:t>
      </w:r>
      <w:r w:rsidRPr="008A1ABA">
        <w:rPr>
          <w:rFonts w:ascii="Palatino Linotype" w:eastAsia="Palatino Linotype" w:hAnsi="Palatino Linotype" w:cs="Palatino Linotype"/>
          <w:i/>
          <w:sz w:val="22"/>
          <w:szCs w:val="22"/>
        </w:rPr>
        <w:t>;</w:t>
      </w:r>
    </w:p>
    <w:p w:rsidR="006515EE" w:rsidRPr="008A1ABA" w:rsidRDefault="008070F3">
      <w:pPr>
        <w:spacing w:line="360" w:lineRule="auto"/>
        <w:jc w:val="both"/>
        <w:rPr>
          <w:rFonts w:ascii="Palatino Linotype" w:eastAsia="Palatino Linotype" w:hAnsi="Palatino Linotype" w:cs="Palatino Linotype"/>
        </w:rPr>
      </w:pPr>
      <w:r w:rsidRPr="008A1ABA">
        <w:rPr>
          <w:noProof/>
          <w:lang w:val="es-MX"/>
        </w:rPr>
        <mc:AlternateContent>
          <mc:Choice Requires="wps">
            <w:drawing>
              <wp:anchor distT="0" distB="0" distL="114300" distR="114300" simplePos="0" relativeHeight="251658240" behindDoc="0" locked="0" layoutInCell="1" hidden="0" allowOverlap="1" wp14:anchorId="7A1E471E" wp14:editId="769B4FF1">
                <wp:simplePos x="0" y="0"/>
                <wp:positionH relativeFrom="column">
                  <wp:posOffset>330200</wp:posOffset>
                </wp:positionH>
                <wp:positionV relativeFrom="paragraph">
                  <wp:posOffset>3035300</wp:posOffset>
                </wp:positionV>
                <wp:extent cx="9525" cy="25400"/>
                <wp:effectExtent l="0" t="0" r="0" b="0"/>
                <wp:wrapNone/>
                <wp:docPr id="34" name="Conector recto de flecha 34"/>
                <wp:cNvGraphicFramePr/>
                <a:graphic xmlns:a="http://schemas.openxmlformats.org/drawingml/2006/main">
                  <a:graphicData uri="http://schemas.microsoft.com/office/word/2010/wordprocessingShape">
                    <wps:wsp>
                      <wps:cNvCnPr/>
                      <wps:spPr>
                        <a:xfrm>
                          <a:off x="3993450" y="3775238"/>
                          <a:ext cx="2705100" cy="9525"/>
                        </a:xfrm>
                        <a:prstGeom prst="straightConnector1">
                          <a:avLst/>
                        </a:prstGeom>
                        <a:noFill/>
                        <a:ln w="25400" cap="flat" cmpd="sng">
                          <a:solidFill>
                            <a:schemeClr val="accent2"/>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330200</wp:posOffset>
                </wp:positionH>
                <wp:positionV relativeFrom="paragraph">
                  <wp:posOffset>3035300</wp:posOffset>
                </wp:positionV>
                <wp:extent cx="9525" cy="25400"/>
                <wp:effectExtent b="0" l="0" r="0" t="0"/>
                <wp:wrapNone/>
                <wp:docPr id="3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525" cy="25400"/>
                        </a:xfrm>
                        <a:prstGeom prst="rect"/>
                        <a:ln/>
                      </pic:spPr>
                    </pic:pic>
                  </a:graphicData>
                </a:graphic>
              </wp:anchor>
            </w:drawing>
          </mc:Fallback>
        </mc:AlternateContent>
      </w:r>
      <w:r w:rsidRPr="008A1ABA">
        <w:rPr>
          <w:noProof/>
          <w:lang w:val="es-MX"/>
        </w:rPr>
        <mc:AlternateContent>
          <mc:Choice Requires="wps">
            <w:drawing>
              <wp:anchor distT="0" distB="0" distL="114300" distR="114300" simplePos="0" relativeHeight="251659264" behindDoc="0" locked="0" layoutInCell="1" hidden="0" allowOverlap="1" wp14:anchorId="3F56CF1B" wp14:editId="005410B6">
                <wp:simplePos x="0" y="0"/>
                <wp:positionH relativeFrom="column">
                  <wp:posOffset>431800</wp:posOffset>
                </wp:positionH>
                <wp:positionV relativeFrom="paragraph">
                  <wp:posOffset>3721100</wp:posOffset>
                </wp:positionV>
                <wp:extent cx="0" cy="25400"/>
                <wp:effectExtent l="0" t="0" r="0" b="0"/>
                <wp:wrapNone/>
                <wp:docPr id="35" name="Conector recto de flecha 35"/>
                <wp:cNvGraphicFramePr/>
                <a:graphic xmlns:a="http://schemas.openxmlformats.org/drawingml/2006/main">
                  <a:graphicData uri="http://schemas.microsoft.com/office/word/2010/wordprocessingShape">
                    <wps:wsp>
                      <wps:cNvCnPr/>
                      <wps:spPr>
                        <a:xfrm>
                          <a:off x="2831400" y="3780000"/>
                          <a:ext cx="5029200" cy="0"/>
                        </a:xfrm>
                        <a:prstGeom prst="straightConnector1">
                          <a:avLst/>
                        </a:prstGeom>
                        <a:noFill/>
                        <a:ln w="25400" cap="flat" cmpd="sng">
                          <a:solidFill>
                            <a:schemeClr val="accent2"/>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http://schemas.microsoft.com/office/drawing/2014/chartex">
            <w:drawing>
              <wp:anchor allowOverlap="1" behindDoc="0" distB="0" distT="0" distL="114300" distR="114300" hidden="0" layoutInCell="1" locked="0" relativeHeight="0" simplePos="0">
                <wp:simplePos x="0" y="0"/>
                <wp:positionH relativeFrom="column">
                  <wp:posOffset>431800</wp:posOffset>
                </wp:positionH>
                <wp:positionV relativeFrom="paragraph">
                  <wp:posOffset>3721100</wp:posOffset>
                </wp:positionV>
                <wp:extent cx="0" cy="25400"/>
                <wp:effectExtent b="0" l="0" r="0" t="0"/>
                <wp:wrapNone/>
                <wp:docPr id="3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25400"/>
                        </a:xfrm>
                        <a:prstGeom prst="rect"/>
                        <a:ln/>
                      </pic:spPr>
                    </pic:pic>
                  </a:graphicData>
                </a:graphic>
              </wp:anchor>
            </w:drawing>
          </mc:Fallback>
        </mc:AlternateContent>
      </w: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En este entendido, de los preceptos normativos previamente citados se concluye que la Secretaría Técnica del Pleno, la Dirección General Jurídica y de Verificación </w:t>
      </w:r>
      <w:r w:rsidRPr="008A1ABA">
        <w:rPr>
          <w:rFonts w:ascii="Palatino Linotype" w:eastAsia="Palatino Linotype" w:hAnsi="Palatino Linotype" w:cs="Palatino Linotype"/>
        </w:rPr>
        <w:lastRenderedPageBreak/>
        <w:t>Subdirección Jurídica y Verificación y a la Director General de Protección de Datos Personales, de acuerdo con las facultades atribuciones conferidas por el Reglamento Interior vigente son quienes generan los acuerdos de cumplimiento, incumplimiento y extemporáneas; así como determinar el cumplimiento o incumplimiento en la publicación de obligaciones de transparencia común; así como, determinaciones derivadas de procedimientos de investigación por posibles violaciones a la seguridad de los dato personales.</w:t>
      </w:r>
    </w:p>
    <w:p w:rsidR="006515EE" w:rsidRPr="008A1ABA" w:rsidRDefault="006515EE">
      <w:pPr>
        <w:spacing w:line="360" w:lineRule="auto"/>
        <w:jc w:val="both"/>
        <w:rPr>
          <w:rFonts w:ascii="Palatino Linotype" w:eastAsia="Palatino Linotype" w:hAnsi="Palatino Linotype" w:cs="Palatino Linotype"/>
        </w:rPr>
      </w:pP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Acotado lo anterior,  de las constancias que integran el expediente electrónico del recurso de revisión de mérito, se tiene que la Secretaría Técnica del Pleno remitió acuerdos de cumplimiento, cumplimiento extemporáneo e incumplimiento emitidos a la Fiscalía General </w:t>
      </w:r>
      <w:r w:rsidR="00E55081" w:rsidRPr="008A1ABA">
        <w:rPr>
          <w:rFonts w:ascii="Palatino Linotype" w:eastAsia="Palatino Linotype" w:hAnsi="Palatino Linotype" w:cs="Palatino Linotype"/>
        </w:rPr>
        <w:t xml:space="preserve">de Justicia del Estado de México del año dos mil veintiuno y dos mil </w:t>
      </w:r>
      <w:proofErr w:type="spellStart"/>
      <w:r w:rsidR="00E55081" w:rsidRPr="008A1ABA">
        <w:rPr>
          <w:rFonts w:ascii="Palatino Linotype" w:eastAsia="Palatino Linotype" w:hAnsi="Palatino Linotype" w:cs="Palatino Linotype"/>
        </w:rPr>
        <w:t>veintidos</w:t>
      </w:r>
      <w:proofErr w:type="spellEnd"/>
      <w:r w:rsidRPr="008A1ABA">
        <w:rPr>
          <w:rFonts w:ascii="Palatino Linotype" w:eastAsia="Palatino Linotype" w:hAnsi="Palatino Linotype" w:cs="Palatino Linotype"/>
        </w:rPr>
        <w:t>; por su parte la Dirección General Jurídica y de Verificación Subdirección Jurídica y Verificación remitió el acuerdo de cumplimiento y correos electrónicos relacionados con la verificación virtual oficiosa realizada al Portal de Información Pública de Oficio (IPOMEX) en el año dos mil veintiuno</w:t>
      </w:r>
      <w:r w:rsidR="00064173" w:rsidRPr="008A1ABA">
        <w:rPr>
          <w:rFonts w:ascii="Palatino Linotype" w:eastAsia="Palatino Linotype" w:hAnsi="Palatino Linotype" w:cs="Palatino Linotype"/>
        </w:rPr>
        <w:t xml:space="preserve"> </w:t>
      </w:r>
      <w:r w:rsidR="00776B5C" w:rsidRPr="008A1ABA">
        <w:rPr>
          <w:rFonts w:ascii="Palatino Linotype" w:eastAsia="Palatino Linotype" w:hAnsi="Palatino Linotype" w:cs="Palatino Linotype"/>
        </w:rPr>
        <w:t>y en agregó que la verificación correspondiente al ejercicio dos mil veintidós se llevó a cabo el veintitrés de septiembre de dos mil veintidós; fecha posterior a la presentación de la solicitud;</w:t>
      </w:r>
      <w:r w:rsidR="00E55081" w:rsidRPr="008A1ABA">
        <w:rPr>
          <w:rFonts w:ascii="Palatino Linotype" w:eastAsia="Palatino Linotype" w:hAnsi="Palatino Linotype" w:cs="Palatino Linotype"/>
        </w:rPr>
        <w:t xml:space="preserve"> </w:t>
      </w:r>
      <w:r w:rsidRPr="008A1ABA">
        <w:rPr>
          <w:rFonts w:ascii="Palatino Linotype" w:eastAsia="Palatino Linotype" w:hAnsi="Palatino Linotype" w:cs="Palatino Linotype"/>
        </w:rPr>
        <w:t>y finalmente, la Dirección General de Protección de Datos Personales entregó seis oficios por medio de los cuales notificó las determinaciones de distintos procedimientos de investigación iniciados en contra de la Fiscalía General de Justicia del Estado de México</w:t>
      </w:r>
      <w:r w:rsidR="00064173" w:rsidRPr="008A1ABA">
        <w:rPr>
          <w:rFonts w:ascii="Palatino Linotype" w:eastAsia="Palatino Linotype" w:hAnsi="Palatino Linotype" w:cs="Palatino Linotype"/>
        </w:rPr>
        <w:t xml:space="preserve"> </w:t>
      </w:r>
      <w:r w:rsidR="00552DDA" w:rsidRPr="008A1ABA">
        <w:rPr>
          <w:rFonts w:ascii="Palatino Linotype" w:eastAsia="Palatino Linotype" w:hAnsi="Palatino Linotype" w:cs="Palatino Linotype"/>
        </w:rPr>
        <w:t xml:space="preserve">en el periodo solicitado. </w:t>
      </w:r>
      <w:r w:rsidRPr="008A1ABA">
        <w:rPr>
          <w:rFonts w:ascii="Palatino Linotype" w:eastAsia="Palatino Linotype" w:hAnsi="Palatino Linotype" w:cs="Palatino Linotype"/>
        </w:rPr>
        <w:t xml:space="preserve"> </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lastRenderedPageBreak/>
        <w:t>En este sentido, es importante referir que los Sujetos Obligados tienen el deber de atender las solicitudes de acceso a la información pública que se les haga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6515EE" w:rsidRPr="008A1ABA" w:rsidRDefault="008070F3">
      <w:pPr>
        <w:ind w:left="567" w:right="758"/>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i/>
          <w:sz w:val="22"/>
          <w:szCs w:val="22"/>
        </w:rPr>
        <w:t>“</w:t>
      </w:r>
      <w:r w:rsidRPr="008A1ABA">
        <w:rPr>
          <w:rFonts w:ascii="Palatino Linotype" w:eastAsia="Palatino Linotype" w:hAnsi="Palatino Linotype" w:cs="Palatino Linotype"/>
          <w:b/>
          <w:i/>
          <w:sz w:val="22"/>
          <w:szCs w:val="22"/>
        </w:rPr>
        <w:t>Artículo 12.-</w:t>
      </w:r>
      <w:r w:rsidRPr="008A1AB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515EE" w:rsidRPr="008A1ABA" w:rsidRDefault="008070F3">
      <w:pPr>
        <w:ind w:left="567" w:right="758"/>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A1ABA">
        <w:rPr>
          <w:rFonts w:ascii="Palatino Linotype" w:eastAsia="Palatino Linotype" w:hAnsi="Palatino Linotype" w:cs="Palatino Linotype"/>
          <w:i/>
          <w:sz w:val="22"/>
          <w:szCs w:val="22"/>
        </w:rPr>
        <w:t xml:space="preserve">. </w:t>
      </w:r>
      <w:r w:rsidRPr="008A1AB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6515EE" w:rsidRPr="008A1ABA" w:rsidRDefault="006515EE">
      <w:pPr>
        <w:spacing w:line="360" w:lineRule="auto"/>
        <w:ind w:right="-93"/>
        <w:jc w:val="both"/>
        <w:rPr>
          <w:rFonts w:ascii="Palatino Linotype" w:eastAsia="Palatino Linotype" w:hAnsi="Palatino Linotype" w:cs="Palatino Linotype"/>
        </w:rPr>
      </w:pP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sucedió en el presente caso una vez atendidos en respuesta e informe justificado los requerimientos formulados por la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 xml:space="preserve"> </w:t>
      </w:r>
    </w:p>
    <w:p w:rsidR="006515EE" w:rsidRPr="008A1ABA" w:rsidRDefault="006515EE">
      <w:pPr>
        <w:spacing w:line="360" w:lineRule="auto"/>
        <w:jc w:val="both"/>
        <w:rPr>
          <w:rFonts w:ascii="Palatino Linotype" w:eastAsia="Palatino Linotype" w:hAnsi="Palatino Linotype" w:cs="Palatino Linotype"/>
        </w:rPr>
      </w:pPr>
    </w:p>
    <w:p w:rsidR="006515EE" w:rsidRPr="008A1ABA" w:rsidRDefault="008070F3">
      <w:pP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lastRenderedPageBreak/>
        <w:t xml:space="preserve">En este entendido y toda vez que el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 xml:space="preserve">tiene a su disposición la información requerida, la obligación de acceso a la información se tiene por cumplida de conformidad con lo dispuesto en el artículo 166 de la Ley de Transparencia de la Entidad que es del tenor literal siguiente: </w:t>
      </w:r>
    </w:p>
    <w:p w:rsidR="006515EE" w:rsidRPr="008A1ABA" w:rsidRDefault="006515EE">
      <w:pPr>
        <w:spacing w:line="360" w:lineRule="auto"/>
        <w:jc w:val="both"/>
        <w:rPr>
          <w:rFonts w:ascii="Palatino Linotype" w:eastAsia="Palatino Linotype" w:hAnsi="Palatino Linotype" w:cs="Palatino Linotype"/>
        </w:rPr>
      </w:pPr>
    </w:p>
    <w:p w:rsidR="006515EE" w:rsidRPr="008A1ABA" w:rsidRDefault="008070F3">
      <w:pPr>
        <w:pBdr>
          <w:top w:val="nil"/>
          <w:left w:val="nil"/>
          <w:bottom w:val="nil"/>
          <w:right w:val="nil"/>
          <w:between w:val="nil"/>
        </w:pBdr>
        <w:spacing w:before="240" w:after="240" w:line="276" w:lineRule="auto"/>
        <w:ind w:left="851" w:right="850"/>
        <w:jc w:val="both"/>
        <w:rPr>
          <w:rFonts w:ascii="Palatino Linotype" w:eastAsia="Palatino Linotype" w:hAnsi="Palatino Linotype" w:cs="Palatino Linotype"/>
          <w:i/>
          <w:sz w:val="22"/>
          <w:szCs w:val="22"/>
        </w:rPr>
      </w:pPr>
      <w:r w:rsidRPr="008A1ABA">
        <w:rPr>
          <w:rFonts w:ascii="Palatino Linotype" w:eastAsia="Palatino Linotype" w:hAnsi="Palatino Linotype" w:cs="Palatino Linotype"/>
          <w:b/>
          <w:i/>
          <w:sz w:val="22"/>
          <w:szCs w:val="22"/>
        </w:rPr>
        <w:t>“Artículo 166.</w:t>
      </w:r>
      <w:r w:rsidRPr="008A1ABA">
        <w:rPr>
          <w:rFonts w:ascii="Palatino Linotype" w:eastAsia="Palatino Linotype" w:hAnsi="Palatino Linotype" w:cs="Palatino Linotype"/>
          <w:i/>
          <w:sz w:val="22"/>
          <w:szCs w:val="22"/>
        </w:rPr>
        <w:t xml:space="preserve"> </w:t>
      </w:r>
      <w:r w:rsidRPr="008A1ABA">
        <w:rPr>
          <w:rFonts w:ascii="Palatino Linotype" w:eastAsia="Palatino Linotype" w:hAnsi="Palatino Linotype" w:cs="Palatino Linotype"/>
          <w:b/>
          <w:i/>
          <w:sz w:val="22"/>
          <w:szCs w:val="22"/>
          <w:u w:val="single"/>
        </w:rPr>
        <w:t>La obligación de acceso a la información pública se tendrá por cumplida cuando el solicitante tenga a su disposición la información requerida</w:t>
      </w:r>
      <w:r w:rsidRPr="008A1ABA">
        <w:rPr>
          <w:rFonts w:ascii="Palatino Linotype" w:eastAsia="Palatino Linotype" w:hAnsi="Palatino Linotype" w:cs="Palatino Linotype"/>
          <w:i/>
          <w:sz w:val="22"/>
          <w:szCs w:val="22"/>
        </w:rPr>
        <w:t>, o cuando realice la consulta de la misma en el lugar en el que ésta se localice.</w:t>
      </w:r>
    </w:p>
    <w:p w:rsidR="006515EE" w:rsidRPr="008A1ABA" w:rsidRDefault="008070F3">
      <w:pPr>
        <w:pBdr>
          <w:top w:val="nil"/>
          <w:left w:val="nil"/>
          <w:bottom w:val="nil"/>
          <w:right w:val="nil"/>
          <w:between w:val="nil"/>
        </w:pBdr>
        <w:spacing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Aunado a lo anterior,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6515EE" w:rsidRPr="008A1ABA" w:rsidRDefault="008070F3">
      <w:pPr>
        <w:pBdr>
          <w:top w:val="nil"/>
          <w:left w:val="nil"/>
          <w:bottom w:val="nil"/>
          <w:right w:val="nil"/>
          <w:between w:val="nil"/>
        </w:pBdr>
        <w:spacing w:before="240" w:after="360"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Sirviendo de apoyo a lo anterior por analogía, el criterio 31-10 emitido por el ahora Instituto Nacional de Transparencia, Acceso a la Información y Protección de Datos Personales, que a la letra dice:</w:t>
      </w:r>
    </w:p>
    <w:p w:rsidR="006515EE" w:rsidRPr="008A1ABA" w:rsidRDefault="008070F3">
      <w:pPr>
        <w:spacing w:before="240" w:after="360" w:line="276" w:lineRule="auto"/>
        <w:ind w:left="567" w:right="616"/>
        <w:jc w:val="both"/>
        <w:rPr>
          <w:rFonts w:ascii="Palatino Linotype" w:eastAsia="Palatino Linotype" w:hAnsi="Palatino Linotype" w:cs="Palatino Linotype"/>
          <w:sz w:val="22"/>
          <w:szCs w:val="22"/>
        </w:rPr>
      </w:pPr>
      <w:r w:rsidRPr="008A1ABA">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w:t>
      </w:r>
      <w:r w:rsidRPr="008A1ABA">
        <w:rPr>
          <w:rFonts w:ascii="Palatino Linotype" w:eastAsia="Palatino Linotype" w:hAnsi="Palatino Linotype" w:cs="Palatino Linotype"/>
          <w:i/>
          <w:sz w:val="22"/>
          <w:szCs w:val="22"/>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515EE" w:rsidRPr="008A1ABA" w:rsidRDefault="008070F3">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El tal sentido, este Organismo Garante tiene por satisfechos los requerimientos sobre los cuales se inconformó la </w:t>
      </w:r>
      <w:r w:rsidRPr="008A1ABA">
        <w:rPr>
          <w:rFonts w:ascii="Palatino Linotype" w:eastAsia="Palatino Linotype" w:hAnsi="Palatino Linotype" w:cs="Palatino Linotype"/>
          <w:b/>
        </w:rPr>
        <w:t xml:space="preserve">Recurrente </w:t>
      </w:r>
      <w:r w:rsidRPr="008A1ABA">
        <w:rPr>
          <w:rFonts w:ascii="Palatino Linotype" w:eastAsia="Palatino Linotype" w:hAnsi="Palatino Linotype" w:cs="Palatino Linotype"/>
        </w:rPr>
        <w:t xml:space="preserve">al momento de interponer el Recurso de Revisión;  ya que a través del informe justificado el </w:t>
      </w:r>
      <w:r w:rsidRPr="008A1ABA">
        <w:rPr>
          <w:rFonts w:ascii="Palatino Linotype" w:eastAsia="Palatino Linotype" w:hAnsi="Palatino Linotype" w:cs="Palatino Linotype"/>
          <w:b/>
        </w:rPr>
        <w:t xml:space="preserve">Sujeto Obligado </w:t>
      </w:r>
      <w:r w:rsidRPr="008A1ABA">
        <w:rPr>
          <w:rFonts w:ascii="Palatino Linotype" w:eastAsia="Palatino Linotype" w:hAnsi="Palatino Linotype" w:cs="Palatino Linotype"/>
        </w:rPr>
        <w:t xml:space="preserve">entregó la información que omitió proporcionar en respuesta a la solicitud de información. </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t>En consecuencia, ante la información adicional y precisa remitida vía informe justificado, conviene hacer alusión a lo que señala el artículo 192, fracción III de la Ley de Transparencia y Acceso a la Información Pública del Estado de México y Municipios vigente, a saber:</w:t>
      </w:r>
    </w:p>
    <w:p w:rsidR="006515EE" w:rsidRPr="008A1ABA" w:rsidRDefault="008070F3">
      <w:pPr>
        <w:pBdr>
          <w:top w:val="nil"/>
          <w:left w:val="nil"/>
          <w:bottom w:val="nil"/>
          <w:right w:val="nil"/>
          <w:between w:val="nil"/>
        </w:pBdr>
        <w:spacing w:before="240" w:after="240"/>
        <w:ind w:left="851" w:right="900"/>
        <w:jc w:val="both"/>
      </w:pPr>
      <w:r w:rsidRPr="008A1ABA">
        <w:rPr>
          <w:rFonts w:ascii="Palatino Linotype" w:eastAsia="Palatino Linotype" w:hAnsi="Palatino Linotype" w:cs="Palatino Linotype"/>
          <w:i/>
          <w:sz w:val="22"/>
          <w:szCs w:val="22"/>
        </w:rPr>
        <w:t>“</w:t>
      </w:r>
      <w:r w:rsidRPr="008A1ABA">
        <w:rPr>
          <w:rFonts w:ascii="Palatino Linotype" w:eastAsia="Palatino Linotype" w:hAnsi="Palatino Linotype" w:cs="Palatino Linotype"/>
          <w:b/>
          <w:i/>
          <w:sz w:val="22"/>
          <w:szCs w:val="22"/>
        </w:rPr>
        <w:t>Artículo 192</w:t>
      </w:r>
      <w:r w:rsidRPr="008A1ABA">
        <w:rPr>
          <w:rFonts w:ascii="Palatino Linotype" w:eastAsia="Palatino Linotype" w:hAnsi="Palatino Linotype" w:cs="Palatino Linotype"/>
          <w:i/>
          <w:sz w:val="22"/>
          <w:szCs w:val="22"/>
        </w:rPr>
        <w:t xml:space="preserve">. </w:t>
      </w:r>
      <w:r w:rsidRPr="008A1ABA">
        <w:rPr>
          <w:rFonts w:ascii="Palatino Linotype" w:eastAsia="Palatino Linotype" w:hAnsi="Palatino Linotype" w:cs="Palatino Linotype"/>
          <w:b/>
          <w:i/>
          <w:sz w:val="22"/>
          <w:szCs w:val="22"/>
        </w:rPr>
        <w:t>El recurso será sobreseído</w:t>
      </w:r>
      <w:r w:rsidRPr="008A1ABA">
        <w:rPr>
          <w:rFonts w:ascii="Palatino Linotype" w:eastAsia="Palatino Linotype" w:hAnsi="Palatino Linotype" w:cs="Palatino Linotype"/>
          <w:i/>
          <w:sz w:val="22"/>
          <w:szCs w:val="22"/>
        </w:rPr>
        <w:t xml:space="preserve">, </w:t>
      </w:r>
      <w:r w:rsidRPr="008A1ABA">
        <w:rPr>
          <w:rFonts w:ascii="Palatino Linotype" w:eastAsia="Palatino Linotype" w:hAnsi="Palatino Linotype" w:cs="Palatino Linotype"/>
          <w:b/>
          <w:i/>
          <w:sz w:val="22"/>
          <w:szCs w:val="22"/>
        </w:rPr>
        <w:t>en todo o en parte,</w:t>
      </w:r>
      <w:r w:rsidRPr="008A1ABA">
        <w:rPr>
          <w:rFonts w:ascii="Palatino Linotype" w:eastAsia="Palatino Linotype" w:hAnsi="Palatino Linotype" w:cs="Palatino Linotype"/>
          <w:i/>
          <w:sz w:val="22"/>
          <w:szCs w:val="22"/>
        </w:rPr>
        <w:t xml:space="preserve"> </w:t>
      </w:r>
      <w:r w:rsidRPr="008A1ABA">
        <w:rPr>
          <w:rFonts w:ascii="Palatino Linotype" w:eastAsia="Palatino Linotype" w:hAnsi="Palatino Linotype" w:cs="Palatino Linotype"/>
          <w:b/>
          <w:i/>
          <w:sz w:val="22"/>
          <w:szCs w:val="22"/>
        </w:rPr>
        <w:t>cuando una vez admitido, se actualicen alguno de los siguientes supuestos</w:t>
      </w:r>
      <w:r w:rsidRPr="008A1ABA">
        <w:rPr>
          <w:rFonts w:ascii="Palatino Linotype" w:eastAsia="Palatino Linotype" w:hAnsi="Palatino Linotype" w:cs="Palatino Linotype"/>
          <w:i/>
          <w:sz w:val="22"/>
          <w:szCs w:val="22"/>
        </w:rPr>
        <w:t>: </w:t>
      </w:r>
    </w:p>
    <w:p w:rsidR="006515EE" w:rsidRPr="008A1ABA" w:rsidRDefault="008070F3">
      <w:pPr>
        <w:pBdr>
          <w:top w:val="nil"/>
          <w:left w:val="nil"/>
          <w:bottom w:val="nil"/>
          <w:right w:val="nil"/>
          <w:between w:val="nil"/>
        </w:pBdr>
        <w:spacing w:before="240" w:after="240"/>
        <w:ind w:left="1134" w:right="900"/>
        <w:jc w:val="both"/>
      </w:pPr>
      <w:r w:rsidRPr="008A1ABA">
        <w:rPr>
          <w:rFonts w:ascii="Palatino Linotype" w:eastAsia="Palatino Linotype" w:hAnsi="Palatino Linotype" w:cs="Palatino Linotype"/>
          <w:i/>
          <w:sz w:val="22"/>
          <w:szCs w:val="22"/>
        </w:rPr>
        <w:t>(…)</w:t>
      </w:r>
    </w:p>
    <w:p w:rsidR="006515EE" w:rsidRPr="008A1ABA" w:rsidRDefault="008070F3">
      <w:pPr>
        <w:pBdr>
          <w:top w:val="nil"/>
          <w:left w:val="nil"/>
          <w:bottom w:val="nil"/>
          <w:right w:val="nil"/>
          <w:between w:val="nil"/>
        </w:pBdr>
        <w:spacing w:before="240" w:after="240"/>
        <w:ind w:left="1134" w:right="900"/>
        <w:jc w:val="both"/>
      </w:pPr>
      <w:r w:rsidRPr="008A1ABA">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8A1ABA">
        <w:rPr>
          <w:rFonts w:ascii="Palatino Linotype" w:eastAsia="Palatino Linotype" w:hAnsi="Palatino Linotype" w:cs="Palatino Linotype"/>
          <w:i/>
          <w:sz w:val="22"/>
          <w:szCs w:val="22"/>
        </w:rPr>
        <w:t>”</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lastRenderedPageBreak/>
        <w:t>De lo establecido en el precepto legal citado se advierte que el sobreseimiento del recurso de revisión procede en los siguientes casos:</w:t>
      </w:r>
    </w:p>
    <w:p w:rsidR="006515EE" w:rsidRPr="008A1ABA" w:rsidRDefault="008070F3">
      <w:pPr>
        <w:pBdr>
          <w:top w:val="nil"/>
          <w:left w:val="nil"/>
          <w:bottom w:val="nil"/>
          <w:right w:val="nil"/>
          <w:between w:val="nil"/>
        </w:pBdr>
        <w:spacing w:before="240" w:after="240"/>
        <w:ind w:left="284"/>
        <w:jc w:val="both"/>
      </w:pPr>
      <w:r w:rsidRPr="008A1ABA">
        <w:rPr>
          <w:rFonts w:ascii="Palatino Linotype" w:eastAsia="Palatino Linotype" w:hAnsi="Palatino Linotype" w:cs="Palatino Linotype"/>
        </w:rPr>
        <w:t>a) Cuando el Sujeto Obligado modifique el acto impugnado. </w:t>
      </w:r>
    </w:p>
    <w:p w:rsidR="006515EE" w:rsidRPr="008A1ABA" w:rsidRDefault="008070F3">
      <w:pPr>
        <w:pBdr>
          <w:top w:val="nil"/>
          <w:left w:val="nil"/>
          <w:bottom w:val="nil"/>
          <w:right w:val="nil"/>
          <w:between w:val="nil"/>
        </w:pBdr>
        <w:spacing w:before="240" w:after="240"/>
        <w:ind w:left="284"/>
        <w:jc w:val="both"/>
      </w:pPr>
      <w:r w:rsidRPr="008A1ABA">
        <w:rPr>
          <w:rFonts w:ascii="Palatino Linotype" w:eastAsia="Palatino Linotype" w:hAnsi="Palatino Linotype" w:cs="Palatino Linotype"/>
        </w:rPr>
        <w:t>b) Cuando el Sujeto Obligado revoque el acto impugnado; </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t>Quedando en ambos casos el acto combatido sin materia o sin efectos.</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posterior y en esta subsanó las deficiencias que hubiera tenido, quedando satisfecho el derecho subjetivo accionado por la parte recurrente.</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t xml:space="preserve">En tanto que, un acto impugnado queda sin materia, cuando ha sido satisfecha la pretensión del recurrente de manera que el Sujeto Obligado entrega una respuesta </w:t>
      </w:r>
      <w:r w:rsidRPr="008A1ABA">
        <w:rPr>
          <w:rFonts w:ascii="Palatino Linotype" w:eastAsia="Palatino Linotype" w:hAnsi="Palatino Linotype" w:cs="Palatino Linotype"/>
        </w:rPr>
        <w:lastRenderedPageBreak/>
        <w:t>completa aunque sea posterior a los términos previstos en la ley y mediante ésta concede la información solicitada.</w:t>
      </w:r>
    </w:p>
    <w:p w:rsidR="006515EE" w:rsidRPr="008A1ABA" w:rsidRDefault="008070F3">
      <w:pPr>
        <w:pBdr>
          <w:top w:val="nil"/>
          <w:left w:val="nil"/>
          <w:bottom w:val="nil"/>
          <w:right w:val="nil"/>
          <w:between w:val="nil"/>
        </w:pBdr>
        <w:spacing w:before="240" w:after="240" w:line="360" w:lineRule="auto"/>
        <w:jc w:val="both"/>
      </w:pPr>
      <w:r w:rsidRPr="008A1ABA">
        <w:rPr>
          <w:rFonts w:ascii="Palatino Linotype" w:eastAsia="Palatino Linotype" w:hAnsi="Palatino Linotype" w:cs="Palatino Linotype"/>
        </w:rPr>
        <w:t xml:space="preserve">Ahora bien, en el caso concreto, es evidente que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modificó su respuesta, ya que, a través de su pronunciamiento emitido en la etapa de manifestaciones, proporcionó la información faltante.</w:t>
      </w:r>
    </w:p>
    <w:p w:rsidR="006515EE" w:rsidRPr="008A1ABA" w:rsidRDefault="008070F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De este modo, cuando el </w:t>
      </w:r>
      <w:r w:rsidRPr="008A1ABA">
        <w:rPr>
          <w:rFonts w:ascii="Palatino Linotype" w:eastAsia="Palatino Linotype" w:hAnsi="Palatino Linotype" w:cs="Palatino Linotype"/>
          <w:b/>
        </w:rPr>
        <w:t xml:space="preserve">SUJETO OBLIGADO, </w:t>
      </w:r>
      <w:r w:rsidRPr="008A1ABA">
        <w:rPr>
          <w:rFonts w:ascii="Palatino Linotype" w:eastAsia="Palatino Linotype" w:hAnsi="Palatino Linotype" w:cs="Palatino Linotype"/>
        </w:rPr>
        <w:t xml:space="preserve">antes de que se dicte resolución definitiva, entrega la información solicitada o </w:t>
      </w:r>
      <w:r w:rsidRPr="008A1ABA">
        <w:rPr>
          <w:rFonts w:ascii="Palatino Linotype" w:eastAsia="Palatino Linotype" w:hAnsi="Palatino Linotype" w:cs="Palatino Linotype"/>
          <w:u w:val="single"/>
        </w:rPr>
        <w:t>completa la respuesta que en un primer momento fue incompleta</w:t>
      </w:r>
      <w:r w:rsidRPr="008A1ABA">
        <w:rPr>
          <w:rFonts w:ascii="Palatino Linotype" w:eastAsia="Palatino Linotype" w:hAnsi="Palatino Linotype" w:cs="Palatino Linotype"/>
        </w:rPr>
        <w:t xml:space="preserve"> o no correspondió con lo solicitado; el recurso de revisión que al efecto se haya interpuesto queda sin materia lo que imposibilita el estudio de fondo de la </w:t>
      </w:r>
      <w:proofErr w:type="spellStart"/>
      <w:r w:rsidRPr="008A1ABA">
        <w:rPr>
          <w:rFonts w:ascii="Palatino Linotype" w:eastAsia="Palatino Linotype" w:hAnsi="Palatino Linotype" w:cs="Palatino Linotype"/>
          <w:i/>
        </w:rPr>
        <w:t>litis</w:t>
      </w:r>
      <w:proofErr w:type="spellEnd"/>
      <w:r w:rsidRPr="008A1ABA">
        <w:rPr>
          <w:rFonts w:ascii="Palatino Linotype" w:eastAsia="Palatino Linotype" w:hAnsi="Palatino Linotype" w:cs="Palatino Linotype"/>
        </w:rPr>
        <w:t xml:space="preserve"> planteada, debido a que la afectación en su esfera de derechos fue restituida por la propia autoridad que emitió el acto motivo de impugnación.</w:t>
      </w:r>
    </w:p>
    <w:p w:rsidR="006515EE" w:rsidRPr="008A1ABA" w:rsidRDefault="006515EE">
      <w:pPr>
        <w:pBdr>
          <w:top w:val="nil"/>
          <w:left w:val="nil"/>
          <w:bottom w:val="nil"/>
          <w:right w:val="nil"/>
          <w:between w:val="nil"/>
        </w:pBdr>
        <w:ind w:left="720"/>
        <w:rPr>
          <w:rFonts w:ascii="Palatino Linotype" w:eastAsia="Palatino Linotype" w:hAnsi="Palatino Linotype" w:cs="Palatino Linotype"/>
        </w:rPr>
      </w:pPr>
    </w:p>
    <w:p w:rsidR="006515EE" w:rsidRPr="008A1ABA" w:rsidRDefault="008070F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Por lo tanto, para que se actualice el sobreseimiento de un recurso de revisión,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puede entregar o completar la información al momento de rendir su </w:t>
      </w:r>
      <w:r w:rsidRPr="008A1ABA">
        <w:rPr>
          <w:rFonts w:ascii="Palatino Linotype" w:eastAsia="Palatino Linotype" w:hAnsi="Palatino Linotype" w:cs="Palatino Linotype"/>
          <w:b/>
          <w:u w:val="single"/>
        </w:rPr>
        <w:t>informe de justificación</w:t>
      </w:r>
      <w:r w:rsidRPr="008A1ABA">
        <w:rPr>
          <w:rFonts w:ascii="Palatino Linotype" w:eastAsia="Palatino Linotype" w:hAnsi="Palatino Linotype" w:cs="Palatino Linotype"/>
        </w:rPr>
        <w:t xml:space="preserve"> </w:t>
      </w:r>
      <w:r w:rsidRPr="008A1ABA">
        <w:rPr>
          <w:rFonts w:ascii="Palatino Linotype" w:eastAsia="Palatino Linotype" w:hAnsi="Palatino Linotype" w:cs="Palatino Linotype"/>
          <w:b/>
          <w:u w:val="single"/>
        </w:rPr>
        <w:t>dentro de los siete días</w:t>
      </w:r>
      <w:r w:rsidRPr="008A1ABA">
        <w:rPr>
          <w:rFonts w:ascii="Palatino Linotype" w:eastAsia="Palatino Linotype" w:hAnsi="Palatino Linotype" w:cs="Palatino Linotype"/>
        </w:rPr>
        <w:t xml:space="preserve"> previstos para manifestar lo que a su derecho convenga, </w:t>
      </w:r>
      <w:r w:rsidRPr="008A1ABA">
        <w:rPr>
          <w:rFonts w:ascii="Palatino Linotype" w:eastAsia="Palatino Linotype" w:hAnsi="Palatino Linotype" w:cs="Palatino Linotype"/>
          <w:b/>
          <w:u w:val="single"/>
        </w:rPr>
        <w:t>lo anterior también puede ocurrir si entrega la información después de ese lapso, pero antes del cierre de instrucción</w:t>
      </w:r>
      <w:r w:rsidRPr="008A1ABA">
        <w:rPr>
          <w:rFonts w:ascii="Palatino Linotype" w:eastAsia="Palatino Linotype" w:hAnsi="Palatino Linotype" w:cs="Palatino Linotype"/>
        </w:rPr>
        <w:t xml:space="preserve">. </w:t>
      </w:r>
    </w:p>
    <w:p w:rsidR="006515EE" w:rsidRPr="008A1ABA" w:rsidRDefault="006515EE">
      <w:pPr>
        <w:pBdr>
          <w:top w:val="nil"/>
          <w:left w:val="nil"/>
          <w:bottom w:val="nil"/>
          <w:right w:val="nil"/>
          <w:between w:val="nil"/>
        </w:pBdr>
        <w:ind w:left="720"/>
        <w:rPr>
          <w:rFonts w:ascii="Palatino Linotype" w:eastAsia="Palatino Linotype" w:hAnsi="Palatino Linotype" w:cs="Palatino Linotype"/>
        </w:rPr>
      </w:pPr>
    </w:p>
    <w:p w:rsidR="006515EE" w:rsidRPr="008A1ABA" w:rsidRDefault="008070F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Este Pleno advierte que 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con la información enviada, </w:t>
      </w:r>
      <w:r w:rsidRPr="008A1ABA">
        <w:rPr>
          <w:rFonts w:ascii="Palatino Linotype" w:eastAsia="Palatino Linotype" w:hAnsi="Palatino Linotype" w:cs="Palatino Linotype"/>
          <w:b/>
        </w:rPr>
        <w:t>modifica</w:t>
      </w:r>
      <w:r w:rsidRPr="008A1ABA">
        <w:rPr>
          <w:rFonts w:ascii="Palatino Linotype" w:eastAsia="Palatino Linotype" w:hAnsi="Palatino Linotype" w:cs="Palatino Linotype"/>
        </w:rPr>
        <w:t xml:space="preserve"> </w:t>
      </w:r>
      <w:r w:rsidRPr="008A1ABA">
        <w:rPr>
          <w:rFonts w:ascii="Palatino Linotype" w:eastAsia="Palatino Linotype" w:hAnsi="Palatino Linotype" w:cs="Palatino Linotype"/>
          <w:u w:val="single"/>
        </w:rPr>
        <w:t xml:space="preserve">el acto que le dio origen al recurso de revisión, por lo que trae como consecuencia </w:t>
      </w:r>
      <w:r w:rsidRPr="008A1ABA">
        <w:rPr>
          <w:rFonts w:ascii="Palatino Linotype" w:eastAsia="Palatino Linotype" w:hAnsi="Palatino Linotype" w:cs="Palatino Linotype"/>
          <w:u w:val="single"/>
        </w:rPr>
        <w:lastRenderedPageBreak/>
        <w:t>que el mismo quede sin materia</w:t>
      </w:r>
      <w:r w:rsidRPr="008A1ABA">
        <w:rPr>
          <w:rFonts w:ascii="Palatino Linotype" w:eastAsia="Palatino Linotype" w:hAnsi="Palatino Linotype" w:cs="Palatino Linotype"/>
        </w:rPr>
        <w:t xml:space="preserve">, actualizándose de este modo, la hipótesis jurídica contenida en la </w:t>
      </w:r>
      <w:r w:rsidRPr="008A1ABA">
        <w:rPr>
          <w:rFonts w:ascii="Palatino Linotype" w:eastAsia="Palatino Linotype" w:hAnsi="Palatino Linotype" w:cs="Palatino Linotype"/>
          <w:b/>
        </w:rPr>
        <w:t>fracción III</w:t>
      </w:r>
      <w:r w:rsidRPr="008A1ABA">
        <w:rPr>
          <w:rFonts w:ascii="Palatino Linotype" w:eastAsia="Palatino Linotype" w:hAnsi="Palatino Linotype" w:cs="Palatino Linotype"/>
        </w:rPr>
        <w:t xml:space="preserve"> del citado artículo </w:t>
      </w:r>
      <w:r w:rsidRPr="008A1ABA">
        <w:rPr>
          <w:rFonts w:ascii="Palatino Linotype" w:eastAsia="Palatino Linotype" w:hAnsi="Palatino Linotype" w:cs="Palatino Linotype"/>
          <w:b/>
        </w:rPr>
        <w:t>192</w:t>
      </w:r>
      <w:r w:rsidRPr="008A1ABA">
        <w:rPr>
          <w:rFonts w:ascii="Palatino Linotype" w:eastAsia="Palatino Linotype" w:hAnsi="Palatino Linotype" w:cs="Palatino Linotype"/>
        </w:rPr>
        <w:t>.</w:t>
      </w:r>
    </w:p>
    <w:p w:rsidR="006515EE" w:rsidRPr="008A1ABA" w:rsidRDefault="006515E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6515EE" w:rsidRPr="008A1ABA" w:rsidRDefault="008070F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Así, siendo el </w:t>
      </w:r>
      <w:r w:rsidRPr="008A1ABA">
        <w:rPr>
          <w:rFonts w:ascii="Palatino Linotype" w:eastAsia="Palatino Linotype" w:hAnsi="Palatino Linotype" w:cs="Palatino Linotype"/>
          <w:i/>
        </w:rPr>
        <w:t>sobreseimiento</w:t>
      </w:r>
      <w:r w:rsidRPr="008A1ABA">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la parte Recurrente, este Instituto se encuentra imposibilitado para entrar al estudio de fondo del recurso de revisión, lo anterior con apoyo en la Tesis Aislada del Segundo Tribunal Colegiado del Segundo Distrito, de la Suprema Corte de Justicia de la Nación, registrada con el rubro: </w:t>
      </w:r>
      <w:r w:rsidRPr="008A1ABA">
        <w:rPr>
          <w:rFonts w:ascii="Palatino Linotype" w:eastAsia="Palatino Linotype" w:hAnsi="Palatino Linotype" w:cs="Palatino Linotype"/>
          <w:b/>
        </w:rPr>
        <w:t>SOBRESEIMIENTO, NO PERMITE ENTRAR AL ESTUDIO DE LAS CUESTIONES DE FONDO</w:t>
      </w:r>
    </w:p>
    <w:p w:rsidR="006515EE" w:rsidRPr="008A1ABA" w:rsidRDefault="006515EE">
      <w:pPr>
        <w:tabs>
          <w:tab w:val="left" w:pos="7938"/>
        </w:tabs>
        <w:spacing w:line="360" w:lineRule="auto"/>
        <w:jc w:val="both"/>
        <w:rPr>
          <w:rFonts w:ascii="Palatino Linotype" w:eastAsia="Palatino Linotype" w:hAnsi="Palatino Linotype" w:cs="Palatino Linotype"/>
        </w:rPr>
      </w:pPr>
    </w:p>
    <w:p w:rsidR="006515EE" w:rsidRPr="008A1ABA" w:rsidRDefault="008070F3">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Por lo tanto, en términos del artículo 186 fracción I este Pleno determina el </w:t>
      </w:r>
      <w:r w:rsidRPr="008A1ABA">
        <w:rPr>
          <w:rFonts w:ascii="Palatino Linotype" w:eastAsia="Palatino Linotype" w:hAnsi="Palatino Linotype" w:cs="Palatino Linotype"/>
          <w:b/>
        </w:rPr>
        <w:t xml:space="preserve">Sobreseimiento </w:t>
      </w:r>
      <w:r w:rsidRPr="008A1ABA">
        <w:rPr>
          <w:rFonts w:ascii="Palatino Linotype" w:eastAsia="Palatino Linotype" w:hAnsi="Palatino Linotype" w:cs="Palatino Linotype"/>
        </w:rPr>
        <w:t>del presente recurso de revisión, toda vez que la afectación al derecho de acceso a la información pública establecido constitucionalmente a favor del particular ha sido resarcida al proporcionar la información que ha sido observada por este Organismo Garante.</w:t>
      </w:r>
    </w:p>
    <w:p w:rsidR="006515EE" w:rsidRPr="008A1ABA" w:rsidRDefault="006515EE">
      <w:pPr>
        <w:spacing w:before="240" w:after="240" w:line="360" w:lineRule="auto"/>
        <w:jc w:val="both"/>
        <w:rPr>
          <w:rFonts w:ascii="Palatino Linotype" w:eastAsia="Palatino Linotype" w:hAnsi="Palatino Linotype" w:cs="Palatino Linotype"/>
        </w:rPr>
      </w:pP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8A1ABA">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rsidR="006515EE" w:rsidRPr="008A1ABA" w:rsidRDefault="008070F3">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A1ABA">
        <w:rPr>
          <w:rFonts w:ascii="Palatino Linotype" w:eastAsia="Palatino Linotype" w:hAnsi="Palatino Linotype" w:cs="Palatino Linotype"/>
          <w:b/>
        </w:rPr>
        <w:t>R E S U E L V E:</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Primero.</w:t>
      </w:r>
      <w:r w:rsidRPr="008A1ABA">
        <w:rPr>
          <w:rFonts w:ascii="Palatino Linotype" w:eastAsia="Palatino Linotype" w:hAnsi="Palatino Linotype" w:cs="Palatino Linotype"/>
        </w:rPr>
        <w:t xml:space="preserve"> Se </w:t>
      </w:r>
      <w:r w:rsidRPr="008A1ABA">
        <w:rPr>
          <w:rFonts w:ascii="Palatino Linotype" w:eastAsia="Palatino Linotype" w:hAnsi="Palatino Linotype" w:cs="Palatino Linotype"/>
          <w:b/>
        </w:rPr>
        <w:t>Sobresee</w:t>
      </w:r>
      <w:r w:rsidRPr="008A1ABA">
        <w:rPr>
          <w:rFonts w:ascii="Palatino Linotype" w:eastAsia="Palatino Linotype" w:hAnsi="Palatino Linotype" w:cs="Palatino Linotype"/>
        </w:rPr>
        <w:t xml:space="preserve"> el recurso de revisión número </w:t>
      </w:r>
      <w:r w:rsidRPr="008A1ABA">
        <w:rPr>
          <w:rFonts w:ascii="Palatino Linotype" w:eastAsia="Palatino Linotype" w:hAnsi="Palatino Linotype" w:cs="Palatino Linotype"/>
          <w:b/>
        </w:rPr>
        <w:t>11159/INFOEM/IP/RR/2022,</w:t>
      </w:r>
      <w:r w:rsidRPr="008A1ABA">
        <w:rPr>
          <w:rFonts w:ascii="Palatino Linotype" w:eastAsia="Palatino Linotype" w:hAnsi="Palatino Linotype" w:cs="Palatino Linotype"/>
        </w:rPr>
        <w:t xml:space="preserve"> de conformidad con lo dispuesto en la fracción III del artículo 192 de la Ley de Transparencia de la Entidad, porque al modificar la respuesta a la solicitud de acceso a la información </w:t>
      </w:r>
      <w:r w:rsidRPr="008A1ABA">
        <w:rPr>
          <w:rFonts w:ascii="Palatino Linotype" w:eastAsia="Palatino Linotype" w:hAnsi="Palatino Linotype" w:cs="Palatino Linotype"/>
          <w:b/>
        </w:rPr>
        <w:t>00547/INFOEM/IP/2022</w:t>
      </w:r>
      <w:r w:rsidRPr="008A1ABA">
        <w:rPr>
          <w:rFonts w:ascii="Palatino Linotype" w:eastAsia="Palatino Linotype" w:hAnsi="Palatino Linotype" w:cs="Palatino Linotype"/>
        </w:rPr>
        <w:t xml:space="preserve"> el recurso de revisión quedó sin materia en términos del Considerando Tercero de la presente resolución.</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Segundo</w:t>
      </w:r>
      <w:r w:rsidRPr="008A1ABA">
        <w:rPr>
          <w:rFonts w:ascii="Palatino Linotype" w:eastAsia="Palatino Linotype" w:hAnsi="Palatino Linotype" w:cs="Palatino Linotype"/>
        </w:rPr>
        <w:t xml:space="preserve">. Notifíquese vía SAIMEX, al Titular de la Unidad de Transparencia del </w:t>
      </w:r>
      <w:r w:rsidRPr="008A1ABA">
        <w:rPr>
          <w:rFonts w:ascii="Palatino Linotype" w:eastAsia="Palatino Linotype" w:hAnsi="Palatino Linotype" w:cs="Palatino Linotype"/>
          <w:b/>
        </w:rPr>
        <w:t>SUJETO OBLIGADO</w:t>
      </w:r>
      <w:r w:rsidRPr="008A1ABA">
        <w:rPr>
          <w:rFonts w:ascii="Palatino Linotype" w:eastAsia="Palatino Linotype" w:hAnsi="Palatino Linotype" w:cs="Palatino Linotype"/>
        </w:rPr>
        <w:t xml:space="preserve"> la presente resolución, para su conocimiento. </w:t>
      </w:r>
    </w:p>
    <w:p w:rsidR="006515EE" w:rsidRPr="008A1ABA" w:rsidRDefault="008070F3">
      <w:pPr>
        <w:spacing w:before="240" w:after="240" w:line="360" w:lineRule="auto"/>
        <w:jc w:val="both"/>
        <w:rPr>
          <w:rFonts w:ascii="Palatino Linotype" w:eastAsia="Palatino Linotype" w:hAnsi="Palatino Linotype" w:cs="Palatino Linotype"/>
        </w:rPr>
      </w:pPr>
      <w:r w:rsidRPr="008A1ABA">
        <w:rPr>
          <w:rFonts w:ascii="Palatino Linotype" w:eastAsia="Palatino Linotype" w:hAnsi="Palatino Linotype" w:cs="Palatino Linotype"/>
          <w:b/>
        </w:rPr>
        <w:t>Tercero.</w:t>
      </w:r>
      <w:r w:rsidRPr="008A1ABA">
        <w:rPr>
          <w:rFonts w:ascii="Palatino Linotype" w:eastAsia="Palatino Linotype" w:hAnsi="Palatino Linotype" w:cs="Palatino Linotype"/>
        </w:rPr>
        <w:t xml:space="preserve">  Notifíquese a la </w:t>
      </w:r>
      <w:r w:rsidRPr="008A1ABA">
        <w:rPr>
          <w:rFonts w:ascii="Palatino Linotype" w:eastAsia="Palatino Linotype" w:hAnsi="Palatino Linotype" w:cs="Palatino Linotype"/>
          <w:b/>
        </w:rPr>
        <w:t>Recurrente</w:t>
      </w:r>
      <w:r w:rsidRPr="008A1ABA">
        <w:rPr>
          <w:rFonts w:ascii="Palatino Linotype" w:eastAsia="Palatino Linotype" w:hAnsi="Palatino Linotype" w:cs="Palatino Linotype"/>
        </w:rPr>
        <w:t>,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52DDA" w:rsidRPr="008A1ABA" w:rsidRDefault="00552DDA">
      <w:pPr>
        <w:spacing w:before="240" w:after="240" w:line="360" w:lineRule="auto"/>
        <w:jc w:val="both"/>
        <w:rPr>
          <w:rFonts w:ascii="Palatino Linotype" w:eastAsia="Palatino Linotype" w:hAnsi="Palatino Linotype" w:cs="Palatino Linotype"/>
        </w:rPr>
      </w:pPr>
    </w:p>
    <w:p w:rsidR="00CA5432" w:rsidRPr="008A1ABA" w:rsidRDefault="00CA5432">
      <w:pPr>
        <w:spacing w:before="240" w:after="240" w:line="360" w:lineRule="auto"/>
        <w:jc w:val="both"/>
        <w:rPr>
          <w:rFonts w:ascii="Palatino Linotype" w:eastAsia="Palatino Linotype" w:hAnsi="Palatino Linotype" w:cs="Palatino Linotype"/>
        </w:rPr>
      </w:pPr>
    </w:p>
    <w:p w:rsidR="00CA5432" w:rsidRPr="008A1ABA" w:rsidRDefault="00CA5432">
      <w:pPr>
        <w:spacing w:before="240" w:after="240" w:line="360" w:lineRule="auto"/>
        <w:jc w:val="both"/>
        <w:rPr>
          <w:rFonts w:ascii="Palatino Linotype" w:eastAsia="Palatino Linotype" w:hAnsi="Palatino Linotype" w:cs="Palatino Linotype"/>
        </w:rPr>
      </w:pPr>
    </w:p>
    <w:p w:rsidR="006515EE" w:rsidRPr="008A1ABA" w:rsidRDefault="008070F3">
      <w:pPr>
        <w:spacing w:before="240" w:after="240" w:line="360" w:lineRule="auto"/>
        <w:jc w:val="both"/>
        <w:rPr>
          <w:rFonts w:ascii="Palatino Linotype" w:eastAsia="Palatino Linotype" w:hAnsi="Palatino Linotype" w:cs="Palatino Linotype"/>
          <w:sz w:val="20"/>
          <w:szCs w:val="20"/>
        </w:rPr>
      </w:pPr>
      <w:r w:rsidRPr="008A1AB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DE FEBRERO DE DOS MIL VEINTITRÉS, ANTE EL SECRETARIO TÉCNICO DEL PLENO, ALEXIS TAPIA RAMÍREZ.</w:t>
      </w: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p w:rsidR="006515EE" w:rsidRPr="008A1ABA" w:rsidRDefault="006515EE">
      <w:pPr>
        <w:spacing w:before="240" w:after="240"/>
        <w:jc w:val="both"/>
        <w:rPr>
          <w:rFonts w:ascii="Palatino Linotype" w:eastAsia="Palatino Linotype" w:hAnsi="Palatino Linotype" w:cs="Palatino Linotype"/>
          <w:sz w:val="20"/>
          <w:szCs w:val="20"/>
        </w:rPr>
      </w:pPr>
    </w:p>
    <w:sectPr w:rsidR="006515EE" w:rsidRPr="008A1ABA">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CF7" w:rsidRDefault="00F53CF7">
      <w:r>
        <w:separator/>
      </w:r>
    </w:p>
  </w:endnote>
  <w:endnote w:type="continuationSeparator" w:id="0">
    <w:p w:rsidR="00F53CF7" w:rsidRDefault="00F5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EE" w:rsidRDefault="008070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00E2">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00E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515EE" w:rsidRDefault="006515E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EE" w:rsidRDefault="008070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00E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00E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6515EE" w:rsidRDefault="006515E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CF7" w:rsidRDefault="00F53CF7">
      <w:r>
        <w:separator/>
      </w:r>
    </w:p>
  </w:footnote>
  <w:footnote w:type="continuationSeparator" w:id="0">
    <w:p w:rsidR="00F53CF7" w:rsidRDefault="00F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EE" w:rsidRDefault="008070F3">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-396395</wp:posOffset>
          </wp:positionV>
          <wp:extent cx="7809865" cy="10165715"/>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6515EE">
      <w:tc>
        <w:tcPr>
          <w:tcW w:w="2489" w:type="dxa"/>
          <w:shd w:val="clear" w:color="auto" w:fill="auto"/>
        </w:tcPr>
        <w:p w:rsidR="006515EE" w:rsidRDefault="008070F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6515EE" w:rsidRDefault="008070F3">
          <w:pPr>
            <w:ind w:right="175"/>
            <w:jc w:val="both"/>
            <w:rPr>
              <w:rFonts w:ascii="Palatino Linotype" w:eastAsia="Palatino Linotype" w:hAnsi="Palatino Linotype" w:cs="Palatino Linotype"/>
              <w:b/>
            </w:rPr>
          </w:pPr>
          <w:r>
            <w:rPr>
              <w:rFonts w:ascii="Palatino Linotype" w:eastAsia="Palatino Linotype" w:hAnsi="Palatino Linotype" w:cs="Palatino Linotype"/>
              <w:b/>
            </w:rPr>
            <w:t>11159/INFOEM/IP/RR/2022</w:t>
          </w:r>
        </w:p>
      </w:tc>
    </w:tr>
    <w:tr w:rsidR="006515EE">
      <w:trPr>
        <w:trHeight w:val="228"/>
      </w:trPr>
      <w:tc>
        <w:tcPr>
          <w:tcW w:w="2489" w:type="dxa"/>
          <w:shd w:val="clear" w:color="auto" w:fill="auto"/>
          <w:vAlign w:val="center"/>
        </w:tcPr>
        <w:p w:rsidR="006515EE" w:rsidRDefault="008070F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6515EE" w:rsidRDefault="008070F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Instituto de Transparencia, Acceso a la Información Pública y Protección de Datos Personales del Estado de México y Municipios</w:t>
          </w:r>
        </w:p>
      </w:tc>
    </w:tr>
    <w:tr w:rsidR="006515EE">
      <w:trPr>
        <w:trHeight w:val="311"/>
      </w:trPr>
      <w:tc>
        <w:tcPr>
          <w:tcW w:w="2489" w:type="dxa"/>
          <w:shd w:val="clear" w:color="auto" w:fill="auto"/>
          <w:vAlign w:val="center"/>
        </w:tcPr>
        <w:p w:rsidR="006515EE" w:rsidRDefault="008070F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6515EE" w:rsidRDefault="008070F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515EE" w:rsidRDefault="008070F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5EE" w:rsidRDefault="008070F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-699134</wp:posOffset>
          </wp:positionH>
          <wp:positionV relativeFrom="paragraph">
            <wp:posOffset>-644524</wp:posOffset>
          </wp:positionV>
          <wp:extent cx="7809865" cy="10165715"/>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095" w:type="dxa"/>
      <w:tblInd w:w="2762" w:type="dxa"/>
      <w:tblLayout w:type="fixed"/>
      <w:tblLook w:val="0400" w:firstRow="0" w:lastRow="0" w:firstColumn="0" w:lastColumn="0" w:noHBand="0" w:noVBand="1"/>
    </w:tblPr>
    <w:tblGrid>
      <w:gridCol w:w="2551"/>
      <w:gridCol w:w="3544"/>
    </w:tblGrid>
    <w:tr w:rsidR="006515EE">
      <w:tc>
        <w:tcPr>
          <w:tcW w:w="2551" w:type="dxa"/>
          <w:shd w:val="clear" w:color="auto" w:fill="auto"/>
          <w:vAlign w:val="center"/>
        </w:tcPr>
        <w:p w:rsidR="006515EE" w:rsidRDefault="008070F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6515EE" w:rsidRDefault="008070F3">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11159/INFOEM/IP/RR/2022</w:t>
          </w:r>
        </w:p>
      </w:tc>
    </w:tr>
    <w:tr w:rsidR="006515EE">
      <w:trPr>
        <w:trHeight w:val="130"/>
      </w:trPr>
      <w:tc>
        <w:tcPr>
          <w:tcW w:w="2551" w:type="dxa"/>
          <w:shd w:val="clear" w:color="auto" w:fill="auto"/>
          <w:vAlign w:val="center"/>
        </w:tcPr>
        <w:p w:rsidR="006515EE" w:rsidRDefault="008070F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6515EE" w:rsidRDefault="00B200E2" w:rsidP="00B200E2">
          <w:pPr>
            <w:jc w:val="both"/>
            <w:rPr>
              <w:rFonts w:ascii="Palatino Linotype" w:eastAsia="Palatino Linotype" w:hAnsi="Palatino Linotype" w:cs="Palatino Linotype"/>
              <w:b/>
            </w:rPr>
          </w:pPr>
          <w:r>
            <w:rPr>
              <w:rFonts w:ascii="Palatino Linotype" w:eastAsia="Palatino Linotype" w:hAnsi="Palatino Linotype" w:cs="Palatino Linotype"/>
              <w:b/>
            </w:rPr>
            <w:t>XXXXXXX XXXXXXXXX XXXXXXX</w:t>
          </w:r>
        </w:p>
      </w:tc>
    </w:tr>
    <w:tr w:rsidR="006515EE">
      <w:trPr>
        <w:trHeight w:val="228"/>
      </w:trPr>
      <w:tc>
        <w:tcPr>
          <w:tcW w:w="2551" w:type="dxa"/>
          <w:shd w:val="clear" w:color="auto" w:fill="auto"/>
          <w:vAlign w:val="center"/>
        </w:tcPr>
        <w:p w:rsidR="006515EE" w:rsidRDefault="008070F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6515EE" w:rsidRDefault="008070F3">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Instituto de Transparencia, Acceso a la Información Pública y Protección de Datos Personales del Estado de México y Municipios</w:t>
          </w:r>
        </w:p>
      </w:tc>
    </w:tr>
    <w:tr w:rsidR="006515EE">
      <w:tc>
        <w:tcPr>
          <w:tcW w:w="2551" w:type="dxa"/>
          <w:shd w:val="clear" w:color="auto" w:fill="auto"/>
          <w:vAlign w:val="center"/>
        </w:tcPr>
        <w:p w:rsidR="006515EE" w:rsidRDefault="008070F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6515EE" w:rsidRDefault="008070F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6515EE" w:rsidRDefault="006515E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C5E8D"/>
    <w:multiLevelType w:val="multilevel"/>
    <w:tmpl w:val="2EC0CB2A"/>
    <w:lvl w:ilvl="0">
      <w:start w:val="6"/>
      <w:numFmt w:val="bullet"/>
      <w:pStyle w:val="Listaconvietas3"/>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33F86167"/>
    <w:multiLevelType w:val="multilevel"/>
    <w:tmpl w:val="F996A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DF1B8C"/>
    <w:multiLevelType w:val="multilevel"/>
    <w:tmpl w:val="0E6201A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8EE3937"/>
    <w:multiLevelType w:val="multilevel"/>
    <w:tmpl w:val="7E1452F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4D389A"/>
    <w:multiLevelType w:val="multilevel"/>
    <w:tmpl w:val="7702F7DE"/>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EE"/>
    <w:rsid w:val="00064173"/>
    <w:rsid w:val="001A028E"/>
    <w:rsid w:val="001B1490"/>
    <w:rsid w:val="00426A68"/>
    <w:rsid w:val="00435B52"/>
    <w:rsid w:val="004F2AF7"/>
    <w:rsid w:val="00552DDA"/>
    <w:rsid w:val="006515EE"/>
    <w:rsid w:val="0077228E"/>
    <w:rsid w:val="00776B5C"/>
    <w:rsid w:val="008070F3"/>
    <w:rsid w:val="008A1ABA"/>
    <w:rsid w:val="008A7809"/>
    <w:rsid w:val="00B200E2"/>
    <w:rsid w:val="00B95039"/>
    <w:rsid w:val="00CA5432"/>
    <w:rsid w:val="00E55081"/>
    <w:rsid w:val="00EE72D7"/>
    <w:rsid w:val="00F53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A73F3-7EEB-402A-8463-08DF1C5D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2"/>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2">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5"/>
      </w:numPr>
      <w:contextualSpacing/>
    </w:pPr>
  </w:style>
  <w:style w:type="table" w:customStyle="1" w:styleId="a6">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7">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ULYv8Xl2HZ8YUSOXvycRQNTg4Q==">AMUW2mXOBZBiRdoKun959fSLNAB+EVOpE9VoxzgCwjaqiGf3MhecohN5VZrYRJ4cTRF+DiTHTHN0wWN6DsUNGOihQ1tkUN9nkN4lUHFcO9uyZaTiRPZpKGBfp0a31WuK21Bi3n095WGCfDVLa2yPxzJ1cmvbx7HzwSO/FtvizaCWR0T1n37uxBE=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6518</Words>
  <Characters>35852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2023-02-08T18:53:00Z</dcterms:created>
  <dcterms:modified xsi:type="dcterms:W3CDTF">2023-02-08T18:53:00Z</dcterms:modified>
</cp:coreProperties>
</file>