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AAFF"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70120" w:rsidRPr="00A458D9">
        <w:rPr>
          <w:rFonts w:ascii="Palatino Linotype" w:eastAsia="Palatino Linotype" w:hAnsi="Palatino Linotype" w:cs="Palatino Linotype"/>
        </w:rPr>
        <w:t>do de México, de fecha quince</w:t>
      </w:r>
      <w:r w:rsidR="003F6A5A" w:rsidRPr="00A458D9">
        <w:rPr>
          <w:rFonts w:ascii="Palatino Linotype" w:eastAsia="Palatino Linotype" w:hAnsi="Palatino Linotype" w:cs="Palatino Linotype"/>
        </w:rPr>
        <w:t xml:space="preserve"> de marzo</w:t>
      </w:r>
      <w:r w:rsidRPr="00A458D9">
        <w:rPr>
          <w:rFonts w:ascii="Palatino Linotype" w:eastAsia="Palatino Linotype" w:hAnsi="Palatino Linotype" w:cs="Palatino Linotype"/>
        </w:rPr>
        <w:t xml:space="preserve"> del dos mil veintitrés. </w:t>
      </w:r>
    </w:p>
    <w:p w14:paraId="7615CEF3"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Visto</w:t>
      </w:r>
      <w:r w:rsidRPr="00A458D9">
        <w:rPr>
          <w:rFonts w:ascii="Palatino Linotype" w:eastAsia="Palatino Linotype" w:hAnsi="Palatino Linotype" w:cs="Palatino Linotype"/>
        </w:rPr>
        <w:t xml:space="preserve"> el expediente relativo al recurso de revisión </w:t>
      </w:r>
      <w:r w:rsidR="003F6A5A" w:rsidRPr="00A458D9">
        <w:rPr>
          <w:rFonts w:ascii="Palatino Linotype" w:eastAsia="Palatino Linotype" w:hAnsi="Palatino Linotype" w:cs="Palatino Linotype"/>
          <w:b/>
        </w:rPr>
        <w:t>15089</w:t>
      </w:r>
      <w:r w:rsidRPr="00A458D9">
        <w:rPr>
          <w:rFonts w:ascii="Palatino Linotype" w:eastAsia="Palatino Linotype" w:hAnsi="Palatino Linotype" w:cs="Palatino Linotype"/>
          <w:b/>
        </w:rPr>
        <w:t>/INFOEM/IP/RR/2022,</w:t>
      </w:r>
      <w:r w:rsidRPr="00A458D9">
        <w:rPr>
          <w:rFonts w:ascii="Palatino Linotype" w:eastAsia="Palatino Linotype" w:hAnsi="Palatino Linotype" w:cs="Palatino Linotype"/>
        </w:rPr>
        <w:t xml:space="preserve"> interpuesto </w:t>
      </w:r>
      <w:r w:rsidRPr="00A458D9">
        <w:rPr>
          <w:rFonts w:ascii="Palatino Linotype" w:eastAsia="Palatino Linotype" w:hAnsi="Palatino Linotype" w:cs="Palatino Linotype"/>
          <w:b/>
        </w:rPr>
        <w:t>un particular que no proporcionó su nombre</w:t>
      </w:r>
      <w:r w:rsidRPr="00A458D9">
        <w:rPr>
          <w:rFonts w:ascii="Palatino Linotype" w:eastAsia="Palatino Linotype" w:hAnsi="Palatino Linotype" w:cs="Palatino Linotype"/>
        </w:rPr>
        <w:t xml:space="preserve">, en lo sucesivo el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xml:space="preserve"> en contra de la respuesta a su solicitud de información con número de folio </w:t>
      </w:r>
      <w:r w:rsidR="003F6A5A" w:rsidRPr="00A458D9">
        <w:rPr>
          <w:rFonts w:ascii="Palatino Linotype" w:eastAsia="Palatino Linotype" w:hAnsi="Palatino Linotype" w:cs="Palatino Linotype"/>
          <w:b/>
        </w:rPr>
        <w:t>00511/CHIMALHU/IP/2022</w:t>
      </w:r>
      <w:r w:rsidRPr="00A458D9">
        <w:rPr>
          <w:rFonts w:ascii="Palatino Linotype" w:eastAsia="Palatino Linotype" w:hAnsi="Palatino Linotype" w:cs="Palatino Linotype"/>
          <w:b/>
        </w:rPr>
        <w:t>,</w:t>
      </w:r>
      <w:r w:rsidRPr="00A458D9">
        <w:rPr>
          <w:rFonts w:ascii="Palatino Linotype" w:eastAsia="Palatino Linotype" w:hAnsi="Palatino Linotype" w:cs="Palatino Linotype"/>
        </w:rPr>
        <w:t xml:space="preserve"> por </w:t>
      </w:r>
      <w:r w:rsidR="003F6A5A" w:rsidRPr="00A458D9">
        <w:rPr>
          <w:rFonts w:ascii="Palatino Linotype" w:eastAsia="Palatino Linotype" w:hAnsi="Palatino Linotype" w:cs="Palatino Linotype"/>
        </w:rPr>
        <w:t>parte del</w:t>
      </w:r>
      <w:r w:rsidRPr="00A458D9">
        <w:rPr>
          <w:rFonts w:ascii="Palatino Linotype" w:eastAsia="Palatino Linotype" w:hAnsi="Palatino Linotype" w:cs="Palatino Linotype"/>
        </w:rPr>
        <w:t xml:space="preserve"> </w:t>
      </w:r>
      <w:r w:rsidR="003F6A5A" w:rsidRPr="00A458D9">
        <w:rPr>
          <w:rFonts w:ascii="Palatino Linotype" w:eastAsia="Palatino Linotype" w:hAnsi="Palatino Linotype" w:cs="Palatino Linotype"/>
          <w:b/>
        </w:rPr>
        <w:t>Ayuntamiento de Chimalhuacán</w:t>
      </w:r>
      <w:r w:rsidRPr="00A458D9">
        <w:rPr>
          <w:rFonts w:ascii="Palatino Linotype" w:eastAsia="Palatino Linotype" w:hAnsi="Palatino Linotype" w:cs="Palatino Linotype"/>
          <w:b/>
        </w:rPr>
        <w:t>,</w:t>
      </w:r>
      <w:r w:rsidRPr="00A458D9">
        <w:rPr>
          <w:rFonts w:ascii="Palatino Linotype" w:eastAsia="Palatino Linotype" w:hAnsi="Palatino Linotype" w:cs="Palatino Linotype"/>
        </w:rPr>
        <w:t xml:space="preserve"> en lo sucesivo el </w:t>
      </w:r>
      <w:r w:rsidRPr="00A458D9">
        <w:rPr>
          <w:rFonts w:ascii="Palatino Linotype" w:eastAsia="Palatino Linotype" w:hAnsi="Palatino Linotype" w:cs="Palatino Linotype"/>
          <w:b/>
        </w:rPr>
        <w:t xml:space="preserve">SUJETO OBLIGADO; </w:t>
      </w:r>
      <w:r w:rsidRPr="00A458D9">
        <w:rPr>
          <w:rFonts w:ascii="Palatino Linotype" w:eastAsia="Palatino Linotype" w:hAnsi="Palatino Linotype" w:cs="Palatino Linotype"/>
        </w:rPr>
        <w:t>se procede a dictar la presente resolución, con base en los siguientes:</w:t>
      </w:r>
    </w:p>
    <w:p w14:paraId="3DB14A12" w14:textId="77777777" w:rsidR="000B72AC" w:rsidRPr="00A458D9" w:rsidRDefault="00F53D96">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A458D9">
        <w:rPr>
          <w:rFonts w:ascii="Palatino Linotype" w:eastAsia="Palatino Linotype" w:hAnsi="Palatino Linotype" w:cs="Palatino Linotype"/>
          <w:b/>
          <w:color w:val="000000"/>
          <w:sz w:val="22"/>
          <w:szCs w:val="22"/>
        </w:rPr>
        <w:t>A N T E C E D E N T E S:</w:t>
      </w:r>
    </w:p>
    <w:p w14:paraId="55736FE0" w14:textId="77777777" w:rsidR="000B72AC" w:rsidRPr="00A458D9" w:rsidRDefault="00F53D96">
      <w:pPr>
        <w:spacing w:before="240" w:after="240" w:line="360" w:lineRule="auto"/>
        <w:jc w:val="both"/>
        <w:rPr>
          <w:rFonts w:ascii="Palatino Linotype" w:eastAsia="Palatino Linotype" w:hAnsi="Palatino Linotype" w:cs="Palatino Linotype"/>
          <w:b/>
        </w:rPr>
      </w:pPr>
      <w:r w:rsidRPr="00A458D9">
        <w:rPr>
          <w:rFonts w:ascii="Palatino Linotype" w:eastAsia="Palatino Linotype" w:hAnsi="Palatino Linotype" w:cs="Palatino Linotype"/>
          <w:b/>
        </w:rPr>
        <w:t xml:space="preserve">1. Solicitud de acceso a la información. </w:t>
      </w:r>
      <w:r w:rsidR="003F6A5A" w:rsidRPr="00A458D9">
        <w:rPr>
          <w:rFonts w:ascii="Palatino Linotype" w:eastAsia="Palatino Linotype" w:hAnsi="Palatino Linotype" w:cs="Palatino Linotype"/>
        </w:rPr>
        <w:t>Con fecha treinta</w:t>
      </w:r>
      <w:r w:rsidRPr="00A458D9">
        <w:rPr>
          <w:rFonts w:ascii="Palatino Linotype" w:eastAsia="Palatino Linotype" w:hAnsi="Palatino Linotype" w:cs="Palatino Linotype"/>
        </w:rPr>
        <w:t xml:space="preserve"> de agosto del dos mil veintidós, la parte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xml:space="preserve"> formuló solicitud de acceso a información pública al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a través del Sistema de Acceso a la Información Mexiquense, en adelante </w:t>
      </w:r>
      <w:r w:rsidRPr="00A458D9">
        <w:rPr>
          <w:rFonts w:ascii="Palatino Linotype" w:eastAsia="Palatino Linotype" w:hAnsi="Palatino Linotype" w:cs="Palatino Linotype"/>
          <w:b/>
        </w:rPr>
        <w:t>SAIMEX,</w:t>
      </w:r>
      <w:r w:rsidRPr="00A458D9">
        <w:rPr>
          <w:rFonts w:ascii="Palatino Linotype" w:eastAsia="Palatino Linotype" w:hAnsi="Palatino Linotype" w:cs="Palatino Linotype"/>
        </w:rPr>
        <w:t xml:space="preserve"> requiriéndole lo siguiente:</w:t>
      </w:r>
    </w:p>
    <w:p w14:paraId="4897CE53" w14:textId="77777777" w:rsidR="000B72AC" w:rsidRPr="00A458D9" w:rsidRDefault="00F53D96">
      <w:pPr>
        <w:spacing w:before="240" w:after="240"/>
        <w:ind w:left="851" w:right="900"/>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w:t>
      </w:r>
      <w:r w:rsidR="003F6A5A" w:rsidRPr="00A458D9">
        <w:rPr>
          <w:rFonts w:ascii="Palatino Linotype" w:eastAsia="Palatino Linotype" w:hAnsi="Palatino Linotype" w:cs="Palatino Linotype"/>
          <w:i/>
          <w:color w:val="000000"/>
          <w:sz w:val="22"/>
          <w:szCs w:val="22"/>
        </w:rPr>
        <w:t xml:space="preserve">Solicito </w:t>
      </w:r>
      <w:proofErr w:type="gramStart"/>
      <w:r w:rsidR="003F6A5A" w:rsidRPr="00A458D9">
        <w:rPr>
          <w:rFonts w:ascii="Palatino Linotype" w:eastAsia="Palatino Linotype" w:hAnsi="Palatino Linotype" w:cs="Palatino Linotype"/>
          <w:i/>
          <w:color w:val="000000"/>
          <w:sz w:val="22"/>
          <w:szCs w:val="22"/>
        </w:rPr>
        <w:t>el documentos</w:t>
      </w:r>
      <w:proofErr w:type="gramEnd"/>
      <w:r w:rsidR="003F6A5A" w:rsidRPr="00A458D9">
        <w:rPr>
          <w:rFonts w:ascii="Palatino Linotype" w:eastAsia="Palatino Linotype" w:hAnsi="Palatino Linotype" w:cs="Palatino Linotype"/>
          <w:i/>
          <w:color w:val="000000"/>
          <w:sz w:val="22"/>
          <w:szCs w:val="22"/>
        </w:rPr>
        <w:t xml:space="preserve"> donde se haga constar el consentimiento de los locatarios del "Mercado Zaragoza" (ubicado a un costado de Palacio Municipal), para ser re ubicados en el nuevo mercado (ubicado a un costado de las oficinas de "Telmex")</w:t>
      </w:r>
      <w:r w:rsidRPr="00A458D9">
        <w:rPr>
          <w:rFonts w:ascii="Palatino Linotype" w:eastAsia="Palatino Linotype" w:hAnsi="Palatino Linotype" w:cs="Palatino Linotype"/>
          <w:i/>
          <w:color w:val="000000"/>
          <w:sz w:val="22"/>
          <w:szCs w:val="22"/>
        </w:rPr>
        <w:t>” (Sic)</w:t>
      </w:r>
    </w:p>
    <w:p w14:paraId="02D319DA"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Modalidad elegida para la entrega de la información: </w:t>
      </w:r>
      <w:r w:rsidRPr="00A458D9">
        <w:rPr>
          <w:rFonts w:ascii="Palatino Linotype" w:eastAsia="Palatino Linotype" w:hAnsi="Palatino Linotype" w:cs="Palatino Linotype"/>
        </w:rPr>
        <w:t xml:space="preserve">a través del </w:t>
      </w:r>
      <w:r w:rsidRPr="00A458D9">
        <w:rPr>
          <w:rFonts w:ascii="Palatino Linotype" w:eastAsia="Palatino Linotype" w:hAnsi="Palatino Linotype" w:cs="Palatino Linotype"/>
          <w:b/>
        </w:rPr>
        <w:t>SAIMEX</w:t>
      </w:r>
      <w:r w:rsidRPr="00A458D9">
        <w:rPr>
          <w:rFonts w:ascii="Palatino Linotype" w:eastAsia="Palatino Linotype" w:hAnsi="Palatino Linotype" w:cs="Palatino Linotype"/>
        </w:rPr>
        <w:t>.</w:t>
      </w:r>
    </w:p>
    <w:p w14:paraId="77936F8C"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lastRenderedPageBreak/>
        <w:t xml:space="preserve">2. Respuesta. </w:t>
      </w:r>
      <w:r w:rsidRPr="00A458D9">
        <w:rPr>
          <w:rFonts w:ascii="Palatino Linotype" w:eastAsia="Palatino Linotype" w:hAnsi="Palatino Linotype" w:cs="Palatino Linotype"/>
        </w:rPr>
        <w:t>Con fech</w:t>
      </w:r>
      <w:r w:rsidR="003F6A5A" w:rsidRPr="00A458D9">
        <w:rPr>
          <w:rFonts w:ascii="Palatino Linotype" w:eastAsia="Palatino Linotype" w:hAnsi="Palatino Linotype" w:cs="Palatino Linotype"/>
        </w:rPr>
        <w:t>a veintiuno de septiembre</w:t>
      </w:r>
      <w:r w:rsidRPr="00A458D9">
        <w:rPr>
          <w:rFonts w:ascii="Palatino Linotype" w:eastAsia="Palatino Linotype" w:hAnsi="Palatino Linotype" w:cs="Palatino Linotype"/>
        </w:rPr>
        <w:t xml:space="preserve"> de dos mil veintidós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envió su respuesta a la solicitud de acceso a la información a través del SAIMEX, la cual versa como sigue:</w:t>
      </w:r>
    </w:p>
    <w:p w14:paraId="6E2B4645" w14:textId="77777777" w:rsidR="000B72AC" w:rsidRPr="00A458D9" w:rsidRDefault="00F53D96">
      <w:pPr>
        <w:spacing w:before="240"/>
        <w:ind w:left="851" w:right="902"/>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33B1F1" w14:textId="77777777" w:rsidR="000B72AC" w:rsidRPr="00A458D9" w:rsidRDefault="003F6A5A" w:rsidP="003F6A5A">
      <w:pPr>
        <w:spacing w:before="240"/>
        <w:ind w:left="851" w:right="902"/>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De conformidad con los artículos 3, fracción XXXIX y 59, fracciones I, II y III de la Ley de Transparencia y Acceso a la Información Pública del Estado de México y Municipios; me permito comentar a Usted lo siguiente: En atención a la solicitud de información registrada con el folio número 00511/CHIMALHU/IP/2022, ingresada vía Sistema de Acceso a la Información Mexiquense (</w:t>
      </w:r>
      <w:proofErr w:type="spellStart"/>
      <w:r w:rsidRPr="00A458D9">
        <w:rPr>
          <w:rFonts w:ascii="Palatino Linotype" w:eastAsia="Palatino Linotype" w:hAnsi="Palatino Linotype" w:cs="Palatino Linotype"/>
          <w:i/>
          <w:color w:val="000000"/>
          <w:sz w:val="22"/>
          <w:szCs w:val="22"/>
        </w:rPr>
        <w:t>Saimex</w:t>
      </w:r>
      <w:proofErr w:type="spellEnd"/>
      <w:r w:rsidRPr="00A458D9">
        <w:rPr>
          <w:rFonts w:ascii="Palatino Linotype" w:eastAsia="Palatino Linotype" w:hAnsi="Palatino Linotype" w:cs="Palatino Linotype"/>
          <w:i/>
          <w:color w:val="000000"/>
          <w:sz w:val="22"/>
          <w:szCs w:val="22"/>
        </w:rPr>
        <w:t xml:space="preserve">), y turnada a través del sistema referido, Visto que fue el contenido de ambos escritos y a la solicitud de información,”… Solicito el documentos donde se haga constar el consentimiento de los locatarios del “Mercado Zaragoza” ( ubicado a un costado de palacio Municipal), para ser reubicados en el nuevo mercado(ubicado a un costado de las oficinas de “Telmex”…” una vez revisados los archivos físicos y digitales con los que cuenta este Departamento de Mercados a mi cargo, en que en este acto me permito contestar en los siguientes términos. </w:t>
      </w:r>
      <w:r w:rsidRPr="00A458D9">
        <w:rPr>
          <w:rFonts w:ascii="Palatino Linotype" w:eastAsia="Palatino Linotype" w:hAnsi="Palatino Linotype" w:cs="Palatino Linotype"/>
          <w:b/>
          <w:i/>
          <w:color w:val="000000"/>
          <w:sz w:val="22"/>
          <w:szCs w:val="22"/>
        </w:rPr>
        <w:t>Que si bien es cierto la documentación corresponde a este Departamento de Mercados, el mismo refiere a la manifestación de voluntad expresa mediante el nombre, giro, firma de puño y letra, y numero de local, por tal motivo se está ante una clara singularización de los ciudadanos y de la manifestación expresa de cada uno de los contratantes</w:t>
      </w:r>
      <w:r w:rsidRPr="00A458D9">
        <w:rPr>
          <w:rFonts w:ascii="Palatino Linotype" w:eastAsia="Palatino Linotype" w:hAnsi="Palatino Linotype" w:cs="Palatino Linotype"/>
          <w:i/>
          <w:color w:val="000000"/>
          <w:sz w:val="22"/>
          <w:szCs w:val="22"/>
        </w:rPr>
        <w:t xml:space="preserve">. En esa tesitura, la información que proporcionaron los particulares para la realización del acto ante las autoridades municipales se está a lo dispuesto por los artículos 1, 2, 3, 4 fracción VII, 6 y 45 fracción VII de la Ley de protección de Datos Personales en Posesión de Sujetos Obligados del Estado de México y Municipios, que a la letra. “Artículo 6. El Estado garantizará la privacidad de los individuos y velará porque no se incurrirá En conductas que puedan afectarla arbitrariamente… El derecho a la protección de datos personales solamente se limitará por razones de seguridades públicas en términos de la Ley en la materia, disposiciones en orden público, salud pública o para proteger los derechos de terceros. Artículo 45. Las medidas de seguridad adoptadas por el responsable consideran: … VII. Riesgo por el valor potencial cuantitativo o </w:t>
      </w:r>
      <w:r w:rsidRPr="00A458D9">
        <w:rPr>
          <w:rFonts w:ascii="Palatino Linotype" w:eastAsia="Palatino Linotype" w:hAnsi="Palatino Linotype" w:cs="Palatino Linotype"/>
          <w:i/>
          <w:color w:val="000000"/>
          <w:sz w:val="22"/>
          <w:szCs w:val="22"/>
        </w:rPr>
        <w:lastRenderedPageBreak/>
        <w:t>cualitativo que pudieran tener los datos personales tratados para una tercera persona no autorizada para su posesión”. Al no existir más que informar, solicito se tenga por contestado el requerimiento en los términos que se realiza. Y por ser conforme a derecho.</w:t>
      </w:r>
      <w:r w:rsidR="00F53D96" w:rsidRPr="00A458D9">
        <w:rPr>
          <w:rFonts w:ascii="Palatino Linotype" w:eastAsia="Palatino Linotype" w:hAnsi="Palatino Linotype" w:cs="Palatino Linotype"/>
          <w:i/>
          <w:color w:val="000000"/>
          <w:sz w:val="22"/>
          <w:szCs w:val="22"/>
        </w:rPr>
        <w:t xml:space="preserve"> </w:t>
      </w:r>
    </w:p>
    <w:p w14:paraId="133E1B2F" w14:textId="77777777" w:rsidR="000B72AC" w:rsidRPr="00A458D9" w:rsidRDefault="00F53D96">
      <w:pPr>
        <w:ind w:left="851" w:right="902"/>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ATENTAMENTE</w:t>
      </w:r>
    </w:p>
    <w:p w14:paraId="50A58921" w14:textId="77777777" w:rsidR="000B72AC" w:rsidRPr="00A458D9" w:rsidRDefault="003F6A5A">
      <w:pPr>
        <w:ind w:left="851" w:right="902"/>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C. DIANA KAREN GRACIA HERNANDEZ</w:t>
      </w:r>
      <w:r w:rsidR="00F53D96" w:rsidRPr="00A458D9">
        <w:rPr>
          <w:rFonts w:ascii="Palatino Linotype" w:eastAsia="Palatino Linotype" w:hAnsi="Palatino Linotype" w:cs="Palatino Linotype"/>
          <w:i/>
          <w:color w:val="000000"/>
          <w:sz w:val="22"/>
          <w:szCs w:val="22"/>
        </w:rPr>
        <w:t>” (Sic)</w:t>
      </w:r>
    </w:p>
    <w:p w14:paraId="798A9386"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3. Interposición del recurso de revisión. </w:t>
      </w:r>
      <w:r w:rsidRPr="00A458D9">
        <w:rPr>
          <w:rFonts w:ascii="Palatino Linotype" w:eastAsia="Palatino Linotype" w:hAnsi="Palatino Linotype" w:cs="Palatino Linotype"/>
        </w:rPr>
        <w:t xml:space="preserve">Inconforme el solicitante con la respuesta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interpuso recurso de revisión a través</w:t>
      </w:r>
      <w:r w:rsidR="003F6A5A" w:rsidRPr="00A458D9">
        <w:rPr>
          <w:rFonts w:ascii="Palatino Linotype" w:eastAsia="Palatino Linotype" w:hAnsi="Palatino Linotype" w:cs="Palatino Linotype"/>
        </w:rPr>
        <w:t xml:space="preserve"> del SAIMEX en fecha veintisiete de septiembre</w:t>
      </w:r>
      <w:r w:rsidRPr="00A458D9">
        <w:rPr>
          <w:rFonts w:ascii="Palatino Linotype" w:eastAsia="Palatino Linotype" w:hAnsi="Palatino Linotype" w:cs="Palatino Linotype"/>
        </w:rPr>
        <w:t xml:space="preserve"> de dos mil veintidós, a través del cual expresó lo siguiente:</w:t>
      </w:r>
    </w:p>
    <w:p w14:paraId="544A6208" w14:textId="77777777" w:rsidR="000B72AC" w:rsidRPr="00A458D9" w:rsidRDefault="00F53D96">
      <w:pPr>
        <w:spacing w:line="360" w:lineRule="auto"/>
        <w:rPr>
          <w:rFonts w:ascii="Palatino Linotype" w:eastAsia="Palatino Linotype" w:hAnsi="Palatino Linotype" w:cs="Palatino Linotype"/>
          <w:b/>
        </w:rPr>
      </w:pPr>
      <w:r w:rsidRPr="00A458D9">
        <w:rPr>
          <w:rFonts w:ascii="Palatino Linotype" w:eastAsia="Palatino Linotype" w:hAnsi="Palatino Linotype" w:cs="Palatino Linotype"/>
          <w:b/>
        </w:rPr>
        <w:t>a) Acto impugnado.</w:t>
      </w:r>
    </w:p>
    <w:p w14:paraId="449FAB8A" w14:textId="77777777" w:rsidR="000B72AC" w:rsidRPr="00A458D9" w:rsidRDefault="00F53D96">
      <w:pPr>
        <w:spacing w:after="240"/>
        <w:ind w:left="851" w:right="900"/>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w:t>
      </w:r>
      <w:r w:rsidR="003F6A5A" w:rsidRPr="00A458D9">
        <w:rPr>
          <w:rFonts w:ascii="Palatino Linotype" w:eastAsia="Palatino Linotype" w:hAnsi="Palatino Linotype" w:cs="Palatino Linotype"/>
          <w:i/>
          <w:color w:val="000000"/>
          <w:sz w:val="22"/>
          <w:szCs w:val="22"/>
        </w:rPr>
        <w:t>LA RESPUESTA DEL SUJETO OBLIGADO</w:t>
      </w:r>
      <w:r w:rsidRPr="00A458D9">
        <w:rPr>
          <w:rFonts w:ascii="Palatino Linotype" w:eastAsia="Palatino Linotype" w:hAnsi="Palatino Linotype" w:cs="Palatino Linotype"/>
          <w:i/>
          <w:color w:val="000000"/>
          <w:sz w:val="22"/>
          <w:szCs w:val="22"/>
        </w:rPr>
        <w:t>” (Sic)</w:t>
      </w:r>
    </w:p>
    <w:p w14:paraId="3C84B6C8" w14:textId="77777777" w:rsidR="000B72AC" w:rsidRPr="00A458D9" w:rsidRDefault="00F53D96">
      <w:pPr>
        <w:spacing w:line="360" w:lineRule="auto"/>
        <w:jc w:val="both"/>
        <w:rPr>
          <w:rFonts w:ascii="Palatino Linotype" w:eastAsia="Palatino Linotype" w:hAnsi="Palatino Linotype" w:cs="Palatino Linotype"/>
          <w:b/>
        </w:rPr>
      </w:pPr>
      <w:r w:rsidRPr="00A458D9">
        <w:rPr>
          <w:rFonts w:ascii="Palatino Linotype" w:eastAsia="Palatino Linotype" w:hAnsi="Palatino Linotype" w:cs="Palatino Linotype"/>
          <w:b/>
        </w:rPr>
        <w:t>b) Motivos de inconformidad.</w:t>
      </w:r>
    </w:p>
    <w:p w14:paraId="4A64F4D7" w14:textId="77777777" w:rsidR="000B72AC" w:rsidRPr="00A458D9" w:rsidRDefault="00F53D96">
      <w:pPr>
        <w:spacing w:after="240"/>
        <w:ind w:left="851" w:right="900"/>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w:t>
      </w:r>
      <w:r w:rsidR="003F6A5A" w:rsidRPr="00A458D9">
        <w:rPr>
          <w:rFonts w:ascii="Palatino Linotype" w:eastAsia="Palatino Linotype" w:hAnsi="Palatino Linotype" w:cs="Palatino Linotype"/>
          <w:i/>
          <w:color w:val="000000"/>
          <w:sz w:val="22"/>
          <w:szCs w:val="22"/>
        </w:rPr>
        <w:t>LA RESPUESTA DEL SUJETO OBLIGADO NO CONTIENE EL PROCESAMIENTO DE LA INFORMACIÓN EN RELACIÓN A LA CLASIFICACIÓN DE LA INFORMACIÓN</w:t>
      </w:r>
      <w:r w:rsidRPr="00A458D9">
        <w:rPr>
          <w:rFonts w:ascii="Palatino Linotype" w:eastAsia="Palatino Linotype" w:hAnsi="Palatino Linotype" w:cs="Palatino Linotype"/>
          <w:i/>
          <w:color w:val="000000"/>
          <w:sz w:val="22"/>
          <w:szCs w:val="22"/>
        </w:rPr>
        <w:t>” (Sic)</w:t>
      </w:r>
    </w:p>
    <w:p w14:paraId="1E11C24F" w14:textId="77777777" w:rsidR="000B72AC" w:rsidRPr="00A458D9" w:rsidRDefault="00F53D96">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4. Turno. </w:t>
      </w:r>
      <w:r w:rsidRPr="00A458D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3F6A5A" w:rsidRPr="00A458D9">
        <w:rPr>
          <w:rFonts w:ascii="Palatino Linotype" w:eastAsia="Palatino Linotype" w:hAnsi="Palatino Linotype" w:cs="Palatino Linotype"/>
          <w:b/>
        </w:rPr>
        <w:t>15089</w:t>
      </w:r>
      <w:r w:rsidRPr="00A458D9">
        <w:rPr>
          <w:rFonts w:ascii="Palatino Linotype" w:eastAsia="Palatino Linotype" w:hAnsi="Palatino Linotype" w:cs="Palatino Linotype"/>
          <w:b/>
        </w:rPr>
        <w:t xml:space="preserve">/INFOEM/IP/RR/2022, </w:t>
      </w:r>
      <w:r w:rsidRPr="00A458D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A458D9">
        <w:rPr>
          <w:rFonts w:ascii="Palatino Linotype" w:eastAsia="Palatino Linotype" w:hAnsi="Palatino Linotype" w:cs="Palatino Linotype"/>
          <w:b/>
        </w:rPr>
        <w:t>Guadalupe Ramírez Peña</w:t>
      </w:r>
      <w:r w:rsidRPr="00A458D9">
        <w:rPr>
          <w:rFonts w:ascii="Palatino Linotype" w:eastAsia="Palatino Linotype" w:hAnsi="Palatino Linotype" w:cs="Palatino Linotype"/>
        </w:rPr>
        <w:t>, para su análisis, estudio, elaboración del proyecto y presentación ante el Pleno de este Instituto.</w:t>
      </w:r>
    </w:p>
    <w:p w14:paraId="2A582140" w14:textId="77777777" w:rsidR="000B72AC" w:rsidRPr="00A458D9" w:rsidRDefault="000B72AC">
      <w:pPr>
        <w:spacing w:line="360" w:lineRule="auto"/>
        <w:jc w:val="both"/>
        <w:rPr>
          <w:rFonts w:ascii="Palatino Linotype" w:eastAsia="Palatino Linotype" w:hAnsi="Palatino Linotype" w:cs="Palatino Linotype"/>
        </w:rPr>
      </w:pPr>
    </w:p>
    <w:p w14:paraId="120051D8" w14:textId="77777777" w:rsidR="000B72AC" w:rsidRPr="00A458D9" w:rsidRDefault="00F53D96">
      <w:pPr>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5. Admisión del recurso de revisión: </w:t>
      </w:r>
      <w:r w:rsidR="003F6A5A" w:rsidRPr="00A458D9">
        <w:rPr>
          <w:rFonts w:ascii="Palatino Linotype" w:eastAsia="Palatino Linotype" w:hAnsi="Palatino Linotype" w:cs="Palatino Linotype"/>
        </w:rPr>
        <w:t>En fecha treinta de septiembre</w:t>
      </w:r>
      <w:r w:rsidRPr="00A458D9">
        <w:rPr>
          <w:rFonts w:ascii="Palatino Linotype" w:eastAsia="Palatino Linotype" w:hAnsi="Palatino Linotype" w:cs="Palatino Linotype"/>
        </w:rPr>
        <w:t xml:space="preserve"> de dos mil veintidós, la Comisionada ponente, admitió a trámite el recurso de revisión que </w:t>
      </w:r>
      <w:r w:rsidRPr="00A458D9">
        <w:rPr>
          <w:rFonts w:ascii="Palatino Linotype" w:eastAsia="Palatino Linotype" w:hAnsi="Palatino Linotype" w:cs="Palatino Linotype"/>
        </w:rPr>
        <w:lastRenderedPageBreak/>
        <w:t xml:space="preserve">ahora se resuelve, dando un plazo máximo de siete días hábiles para que las partes manifestaran lo que a su derecho resultara conveniente, ofrecieran pruebas, formularan alegatos y el Sujeto Obligado presentara su informe justificado. </w:t>
      </w:r>
    </w:p>
    <w:p w14:paraId="31508AC9"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6. Manifestaciones</w:t>
      </w:r>
      <w:r w:rsidRPr="00A458D9">
        <w:rPr>
          <w:rFonts w:ascii="Palatino Linotype" w:eastAsia="Palatino Linotype" w:hAnsi="Palatino Linotype" w:cs="Palatino Linotype"/>
        </w:rPr>
        <w:t xml:space="preserve">. De las constancias que obran en el expediente electrónico del SAIMEX del Recurso de Revisión </w:t>
      </w:r>
      <w:r w:rsidR="003F6A5A" w:rsidRPr="00A458D9">
        <w:rPr>
          <w:rFonts w:ascii="Palatino Linotype" w:eastAsia="Palatino Linotype" w:hAnsi="Palatino Linotype" w:cs="Palatino Linotype"/>
          <w:b/>
          <w:sz w:val="22"/>
          <w:szCs w:val="22"/>
        </w:rPr>
        <w:t>15089</w:t>
      </w:r>
      <w:r w:rsidRPr="00A458D9">
        <w:rPr>
          <w:rFonts w:ascii="Palatino Linotype" w:eastAsia="Palatino Linotype" w:hAnsi="Palatino Linotype" w:cs="Palatino Linotype"/>
          <w:b/>
          <w:sz w:val="22"/>
          <w:szCs w:val="22"/>
        </w:rPr>
        <w:t xml:space="preserve">/INFOEM/IP/RR/2022, </w:t>
      </w:r>
      <w:r w:rsidRPr="00A458D9">
        <w:rPr>
          <w:rFonts w:ascii="Palatino Linotype" w:eastAsia="Palatino Linotype" w:hAnsi="Palatino Linotype" w:cs="Palatino Linotype"/>
        </w:rPr>
        <w:t xml:space="preserve">se desprende que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no rindió su informe justificado, del mismo modo </w:t>
      </w:r>
      <w:r w:rsidRPr="00A458D9">
        <w:rPr>
          <w:rFonts w:ascii="Palatino Linotype" w:eastAsia="Palatino Linotype" w:hAnsi="Palatino Linotype" w:cs="Palatino Linotype"/>
          <w:b/>
        </w:rPr>
        <w:t>el RECURRENTE</w:t>
      </w:r>
      <w:r w:rsidRPr="00A458D9">
        <w:rPr>
          <w:rFonts w:ascii="Palatino Linotype" w:eastAsia="Palatino Linotype" w:hAnsi="Palatino Linotype" w:cs="Palatino Linotype"/>
        </w:rPr>
        <w:t xml:space="preserve"> fue omitió realizar manifestaciones.</w:t>
      </w:r>
    </w:p>
    <w:p w14:paraId="79E90726" w14:textId="77777777" w:rsidR="000B72AC" w:rsidRPr="00A458D9" w:rsidRDefault="003F6A5A">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A458D9">
        <w:rPr>
          <w:noProof/>
          <w:lang w:val="es-MX" w:eastAsia="es-MX"/>
        </w:rPr>
        <w:drawing>
          <wp:inline distT="0" distB="0" distL="0" distR="0" wp14:anchorId="30349600" wp14:editId="6C6B4302">
            <wp:extent cx="5600700" cy="166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08" t="15372" r="14781" b="52063"/>
                    <a:stretch/>
                  </pic:blipFill>
                  <pic:spPr bwMode="auto">
                    <a:xfrm>
                      <a:off x="0" y="0"/>
                      <a:ext cx="5600700" cy="1663700"/>
                    </a:xfrm>
                    <a:prstGeom prst="rect">
                      <a:avLst/>
                    </a:prstGeom>
                    <a:ln>
                      <a:noFill/>
                    </a:ln>
                    <a:extLst>
                      <a:ext uri="{53640926-AAD7-44D8-BBD7-CCE9431645EC}">
                        <a14:shadowObscured xmlns:a14="http://schemas.microsoft.com/office/drawing/2010/main"/>
                      </a:ext>
                    </a:extLst>
                  </pic:spPr>
                </pic:pic>
              </a:graphicData>
            </a:graphic>
          </wp:inline>
        </w:drawing>
      </w:r>
    </w:p>
    <w:p w14:paraId="7BC43D9A" w14:textId="77777777" w:rsidR="000B72AC" w:rsidRPr="00A458D9" w:rsidRDefault="00F53D96">
      <w:pPr>
        <w:widowControl w:val="0"/>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7. Ampliación del plazo.</w:t>
      </w:r>
      <w:r w:rsidR="003F6A5A" w:rsidRPr="00A458D9">
        <w:rPr>
          <w:rFonts w:ascii="Palatino Linotype" w:eastAsia="Palatino Linotype" w:hAnsi="Palatino Linotype" w:cs="Palatino Linotype"/>
        </w:rPr>
        <w:t xml:space="preserve"> En fecha veintidós de febrero</w:t>
      </w:r>
      <w:r w:rsidRPr="00A458D9">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327C4671"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A458D9">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64A71C83" w14:textId="77777777" w:rsidR="00293D10" w:rsidRPr="00A458D9" w:rsidRDefault="00293D10">
      <w:pPr>
        <w:spacing w:line="360" w:lineRule="auto"/>
        <w:jc w:val="both"/>
        <w:rPr>
          <w:rFonts w:ascii="Palatino Linotype" w:eastAsia="Palatino Linotype" w:hAnsi="Palatino Linotype" w:cs="Palatino Linotype"/>
        </w:rPr>
      </w:pPr>
    </w:p>
    <w:p w14:paraId="79FDC805"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EF6061" w14:textId="77777777" w:rsidR="000B72AC" w:rsidRPr="00A458D9" w:rsidRDefault="000B72AC">
      <w:pPr>
        <w:spacing w:line="360" w:lineRule="auto"/>
        <w:jc w:val="both"/>
        <w:rPr>
          <w:rFonts w:ascii="Palatino Linotype" w:eastAsia="Palatino Linotype" w:hAnsi="Palatino Linotype" w:cs="Palatino Linotype"/>
        </w:rPr>
      </w:pPr>
    </w:p>
    <w:p w14:paraId="555126C1"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4898D3" w14:textId="77777777" w:rsidR="000B72AC" w:rsidRPr="00A458D9" w:rsidRDefault="000B72AC">
      <w:pPr>
        <w:spacing w:line="360" w:lineRule="auto"/>
        <w:jc w:val="both"/>
        <w:rPr>
          <w:rFonts w:ascii="Palatino Linotype" w:eastAsia="Palatino Linotype" w:hAnsi="Palatino Linotype" w:cs="Palatino Linotype"/>
        </w:rPr>
      </w:pPr>
    </w:p>
    <w:p w14:paraId="6D1BA0E7"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F8BE58" w14:textId="77777777" w:rsidR="000B72AC" w:rsidRPr="00A458D9" w:rsidRDefault="000B72AC">
      <w:pPr>
        <w:spacing w:line="360" w:lineRule="auto"/>
        <w:jc w:val="both"/>
        <w:rPr>
          <w:rFonts w:ascii="Palatino Linotype" w:eastAsia="Palatino Linotype" w:hAnsi="Palatino Linotype" w:cs="Palatino Linotype"/>
        </w:rPr>
      </w:pPr>
    </w:p>
    <w:p w14:paraId="7CAB1CB1" w14:textId="77777777" w:rsidR="000B72AC" w:rsidRPr="00A458D9" w:rsidRDefault="00F53D96">
      <w:pPr>
        <w:spacing w:line="360" w:lineRule="auto"/>
        <w:jc w:val="both"/>
        <w:rPr>
          <w:rFonts w:ascii="Palatino Linotype" w:eastAsia="Palatino Linotype" w:hAnsi="Palatino Linotype" w:cs="Palatino Linotype"/>
          <w:strike/>
          <w:color w:val="FF0000"/>
        </w:rPr>
      </w:pPr>
      <w:r w:rsidRPr="00A458D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B78B3A0" w14:textId="77777777" w:rsidR="000B72AC" w:rsidRPr="00A458D9" w:rsidRDefault="000B72AC">
      <w:pPr>
        <w:spacing w:line="360" w:lineRule="auto"/>
        <w:jc w:val="both"/>
        <w:rPr>
          <w:rFonts w:ascii="Palatino Linotype" w:eastAsia="Palatino Linotype" w:hAnsi="Palatino Linotype" w:cs="Palatino Linotype"/>
        </w:rPr>
      </w:pPr>
    </w:p>
    <w:p w14:paraId="708FEEBE" w14:textId="77777777" w:rsidR="000B72AC" w:rsidRPr="00A458D9" w:rsidRDefault="00F53D96">
      <w:pPr>
        <w:numPr>
          <w:ilvl w:val="0"/>
          <w:numId w:val="2"/>
        </w:num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5CC6E542" w14:textId="77777777" w:rsidR="000B72AC" w:rsidRPr="00A458D9" w:rsidRDefault="000B72AC">
      <w:pPr>
        <w:spacing w:line="360" w:lineRule="auto"/>
        <w:ind w:left="927"/>
        <w:jc w:val="both"/>
        <w:rPr>
          <w:rFonts w:ascii="Palatino Linotype" w:eastAsia="Palatino Linotype" w:hAnsi="Palatino Linotype" w:cs="Palatino Linotype"/>
        </w:rPr>
      </w:pPr>
    </w:p>
    <w:p w14:paraId="55560717" w14:textId="77777777" w:rsidR="000B72AC" w:rsidRPr="00A458D9" w:rsidRDefault="00F53D96">
      <w:pPr>
        <w:numPr>
          <w:ilvl w:val="0"/>
          <w:numId w:val="2"/>
        </w:num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Actividad Procesal del interesado. Acciones u omisiones del interesado.</w:t>
      </w:r>
    </w:p>
    <w:p w14:paraId="605AEFB2" w14:textId="77777777" w:rsidR="000B72AC" w:rsidRPr="00A458D9" w:rsidRDefault="000B72AC">
      <w:pPr>
        <w:spacing w:line="360" w:lineRule="auto"/>
        <w:jc w:val="both"/>
        <w:rPr>
          <w:rFonts w:ascii="Palatino Linotype" w:eastAsia="Palatino Linotype" w:hAnsi="Palatino Linotype" w:cs="Palatino Linotype"/>
        </w:rPr>
      </w:pPr>
    </w:p>
    <w:p w14:paraId="1BAA608D" w14:textId="77777777" w:rsidR="000B72AC" w:rsidRPr="00A458D9" w:rsidRDefault="00F53D96">
      <w:pPr>
        <w:numPr>
          <w:ilvl w:val="0"/>
          <w:numId w:val="2"/>
        </w:num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Conducta de la Autoridad: Las Acciones u omisiones realizadas en el procedimiento. Así como si la autoridad actuó con la debida diligencia.</w:t>
      </w:r>
    </w:p>
    <w:p w14:paraId="7246AF60" w14:textId="77777777" w:rsidR="000B72AC" w:rsidRPr="00A458D9" w:rsidRDefault="000B72AC">
      <w:pPr>
        <w:spacing w:line="360" w:lineRule="auto"/>
        <w:ind w:left="708"/>
        <w:rPr>
          <w:rFonts w:ascii="Palatino Linotype" w:eastAsia="Palatino Linotype" w:hAnsi="Palatino Linotype" w:cs="Palatino Linotype"/>
        </w:rPr>
      </w:pPr>
    </w:p>
    <w:p w14:paraId="1CC2F1E2" w14:textId="77777777" w:rsidR="000B72AC" w:rsidRPr="00A458D9" w:rsidRDefault="00F53D96">
      <w:pPr>
        <w:spacing w:line="360" w:lineRule="auto"/>
        <w:ind w:left="567"/>
        <w:jc w:val="both"/>
        <w:rPr>
          <w:rFonts w:ascii="Palatino Linotype" w:eastAsia="Palatino Linotype" w:hAnsi="Palatino Linotype" w:cs="Palatino Linotype"/>
        </w:rPr>
      </w:pPr>
      <w:r w:rsidRPr="00A458D9">
        <w:rPr>
          <w:rFonts w:ascii="Palatino Linotype" w:eastAsia="Palatino Linotype" w:hAnsi="Palatino Linotype" w:cs="Palatino Linotype"/>
        </w:rPr>
        <w:t>d) La afectación generada en la situación jurídica de la persona involucrada en el proceso: Violación a sus derechos humanos.</w:t>
      </w:r>
    </w:p>
    <w:p w14:paraId="7DC63640" w14:textId="77777777" w:rsidR="000B72AC" w:rsidRPr="00A458D9" w:rsidRDefault="000B72AC">
      <w:pPr>
        <w:spacing w:line="360" w:lineRule="auto"/>
        <w:jc w:val="both"/>
        <w:rPr>
          <w:rFonts w:ascii="Palatino Linotype" w:eastAsia="Palatino Linotype" w:hAnsi="Palatino Linotype" w:cs="Palatino Linotype"/>
        </w:rPr>
      </w:pPr>
    </w:p>
    <w:p w14:paraId="381C3C92"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4C88AE" w14:textId="77777777" w:rsidR="000B72AC" w:rsidRPr="00A458D9" w:rsidRDefault="000B72AC">
      <w:pPr>
        <w:spacing w:line="360" w:lineRule="auto"/>
        <w:jc w:val="both"/>
        <w:rPr>
          <w:rFonts w:ascii="Palatino Linotype" w:eastAsia="Palatino Linotype" w:hAnsi="Palatino Linotype" w:cs="Palatino Linotype"/>
        </w:rPr>
      </w:pPr>
    </w:p>
    <w:p w14:paraId="4924344E" w14:textId="77777777" w:rsidR="000B72AC" w:rsidRPr="00A458D9" w:rsidRDefault="00F53D96">
      <w:pPr>
        <w:spacing w:line="360" w:lineRule="auto"/>
        <w:jc w:val="both"/>
        <w:rPr>
          <w:rFonts w:ascii="Palatino Linotype" w:eastAsia="Palatino Linotype" w:hAnsi="Palatino Linotype" w:cs="Palatino Linotype"/>
          <w:b/>
        </w:rPr>
      </w:pPr>
      <w:r w:rsidRPr="00A458D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458D9">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A458D9">
        <w:rPr>
          <w:rFonts w:ascii="Palatino Linotype" w:eastAsia="Palatino Linotype" w:hAnsi="Palatino Linotype" w:cs="Palatino Linotype"/>
          <w:i/>
        </w:rPr>
        <w:lastRenderedPageBreak/>
        <w:t>CARACTERÍSTICAS DEL CASO.”</w:t>
      </w:r>
      <w:r w:rsidRPr="00A458D9">
        <w:rPr>
          <w:rFonts w:ascii="Palatino Linotype" w:eastAsia="Palatino Linotype" w:hAnsi="Palatino Linotype" w:cs="Palatino Linotype"/>
        </w:rPr>
        <w:t>, visible en la Gaceta del Seminario Judicial de la Federación con el registro digital 205635.</w:t>
      </w:r>
    </w:p>
    <w:p w14:paraId="0CF77DEA" w14:textId="77777777" w:rsidR="000B72AC" w:rsidRPr="00A458D9" w:rsidRDefault="000B72AC">
      <w:pPr>
        <w:spacing w:line="360" w:lineRule="auto"/>
        <w:jc w:val="both"/>
        <w:rPr>
          <w:rFonts w:ascii="Palatino Linotype" w:eastAsia="Palatino Linotype" w:hAnsi="Palatino Linotype" w:cs="Palatino Linotype"/>
        </w:rPr>
      </w:pPr>
    </w:p>
    <w:p w14:paraId="0DA62ADD"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C7243F" w14:textId="77777777" w:rsidR="000B72AC" w:rsidRPr="00A458D9" w:rsidRDefault="000B72AC">
      <w:pPr>
        <w:spacing w:line="360" w:lineRule="auto"/>
        <w:jc w:val="both"/>
        <w:rPr>
          <w:rFonts w:ascii="Palatino Linotype" w:eastAsia="Palatino Linotype" w:hAnsi="Palatino Linotype" w:cs="Palatino Linotype"/>
        </w:rPr>
      </w:pPr>
    </w:p>
    <w:p w14:paraId="04C65510"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7BA07ED" w14:textId="77777777" w:rsidR="000B72AC" w:rsidRPr="00A458D9" w:rsidRDefault="000B72AC">
      <w:pPr>
        <w:spacing w:line="360" w:lineRule="auto"/>
        <w:jc w:val="both"/>
        <w:rPr>
          <w:rFonts w:ascii="Palatino Linotype" w:eastAsia="Palatino Linotype" w:hAnsi="Palatino Linotype" w:cs="Palatino Linotype"/>
        </w:rPr>
      </w:pPr>
    </w:p>
    <w:p w14:paraId="46CEE304"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 </w:t>
      </w:r>
      <w:r w:rsidRPr="00A458D9">
        <w:rPr>
          <w:rFonts w:ascii="Palatino Linotype" w:eastAsia="Palatino Linotype" w:hAnsi="Palatino Linotype" w:cs="Palatino Linotype"/>
          <w:i/>
        </w:rPr>
        <w:t>“PLAZO RAZONABLE PARA RESOLVER. DIMENSIÓN Y EFECTOS DE ESTE CONCEPTO CUANDO SE ADUCE EXCESIVA CARGA DE TRABAJO.”</w:t>
      </w:r>
      <w:r w:rsidRPr="00A458D9">
        <w:rPr>
          <w:rFonts w:ascii="Palatino Linotype" w:eastAsia="Palatino Linotype" w:hAnsi="Palatino Linotype" w:cs="Palatino Linotype"/>
        </w:rPr>
        <w:t xml:space="preserve"> consultable en el Seminario Judicial de la Federación y su gaceta, con el registro digital 2002351.</w:t>
      </w:r>
    </w:p>
    <w:p w14:paraId="09E7FB14" w14:textId="77777777" w:rsidR="000B72AC" w:rsidRPr="00A458D9" w:rsidRDefault="000B72AC">
      <w:pPr>
        <w:spacing w:line="360" w:lineRule="auto"/>
        <w:jc w:val="both"/>
        <w:rPr>
          <w:rFonts w:ascii="Palatino Linotype" w:eastAsia="Palatino Linotype" w:hAnsi="Palatino Linotype" w:cs="Palatino Linotype"/>
          <w:b/>
        </w:rPr>
      </w:pPr>
    </w:p>
    <w:p w14:paraId="2397F3F3"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i/>
        </w:rPr>
        <w:t xml:space="preserve">“PLAZO RAZONABLE PARA RESOLVER. CONCEPTO Y ELEMENTOS QUE LO INTEGRAN A LA LUZ DEL DERECHO INTERNACIONAL DE LOS DERECHOS </w:t>
      </w:r>
      <w:r w:rsidRPr="00A458D9">
        <w:rPr>
          <w:rFonts w:ascii="Palatino Linotype" w:eastAsia="Palatino Linotype" w:hAnsi="Palatino Linotype" w:cs="Palatino Linotype"/>
          <w:i/>
        </w:rPr>
        <w:lastRenderedPageBreak/>
        <w:t>HUMANOS.”</w:t>
      </w:r>
      <w:r w:rsidRPr="00A458D9">
        <w:rPr>
          <w:rFonts w:ascii="Palatino Linotype" w:eastAsia="Palatino Linotype" w:hAnsi="Palatino Linotype" w:cs="Palatino Linotype"/>
        </w:rPr>
        <w:t>, visible en el Seminario Judicial de la Federación y su gaceta, con el registro digital 2002350.</w:t>
      </w:r>
    </w:p>
    <w:p w14:paraId="17768846" w14:textId="77777777" w:rsidR="000B72AC" w:rsidRPr="00A458D9" w:rsidRDefault="000B72AC">
      <w:pPr>
        <w:spacing w:line="360" w:lineRule="auto"/>
        <w:jc w:val="both"/>
        <w:rPr>
          <w:rFonts w:ascii="Palatino Linotype" w:eastAsia="Palatino Linotype" w:hAnsi="Palatino Linotype" w:cs="Palatino Linotype"/>
        </w:rPr>
      </w:pPr>
    </w:p>
    <w:p w14:paraId="3956947C"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98B3595"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8. Cierre de instrucción. </w:t>
      </w:r>
      <w:r w:rsidRPr="00A458D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42B56" w:rsidRPr="00A458D9">
        <w:rPr>
          <w:rFonts w:ascii="Palatino Linotype" w:eastAsia="Palatino Linotype" w:hAnsi="Palatino Linotype" w:cs="Palatino Linotype"/>
          <w:b/>
        </w:rPr>
        <w:t>veintidós de febrero</w:t>
      </w:r>
      <w:r w:rsidRPr="00A458D9">
        <w:rPr>
          <w:rFonts w:ascii="Palatino Linotype" w:eastAsia="Palatino Linotype" w:hAnsi="Palatino Linotype" w:cs="Palatino Linotype"/>
          <w:b/>
        </w:rPr>
        <w:t xml:space="preserve"> de dos mil veintitrés</w:t>
      </w:r>
      <w:r w:rsidRPr="00A458D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C937B7A"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0F4FC2B" w14:textId="77777777" w:rsidR="000B72AC" w:rsidRPr="00A458D9" w:rsidRDefault="00F53D96">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sidRPr="00A458D9">
        <w:rPr>
          <w:rFonts w:ascii="Palatino Linotype" w:eastAsia="Palatino Linotype" w:hAnsi="Palatino Linotype" w:cs="Palatino Linotype"/>
          <w:b/>
          <w:color w:val="000000"/>
          <w:sz w:val="22"/>
          <w:szCs w:val="22"/>
        </w:rPr>
        <w:t>C O N S I D E R A N D O:</w:t>
      </w:r>
    </w:p>
    <w:p w14:paraId="117AD969"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Primero. Competencia. </w:t>
      </w:r>
      <w:r w:rsidRPr="00A458D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A458D9">
        <w:rPr>
          <w:rFonts w:ascii="Palatino Linotype" w:eastAsia="Palatino Linotype" w:hAnsi="Palatino Linotype" w:cs="Palatino Linotype"/>
        </w:rPr>
        <w:lastRenderedPageBreak/>
        <w:t>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0F3582E"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Segundo. Oportunidad y Procedibilidad del Recurso de Revisión</w:t>
      </w:r>
      <w:r w:rsidRPr="00A458D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28A97AF"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proporcionó su respuesta a la solicitud de información el </w:t>
      </w:r>
      <w:r w:rsidR="006C2FA7" w:rsidRPr="00A458D9">
        <w:rPr>
          <w:rFonts w:ascii="Palatino Linotype" w:eastAsia="Palatino Linotype" w:hAnsi="Palatino Linotype" w:cs="Palatino Linotype"/>
        </w:rPr>
        <w:t>veintiuno de septiembre</w:t>
      </w:r>
      <w:r w:rsidRPr="00A458D9">
        <w:rPr>
          <w:rFonts w:ascii="Palatino Linotype" w:eastAsia="Palatino Linotype" w:hAnsi="Palatino Linotype" w:cs="Palatino Linotype"/>
        </w:rPr>
        <w:t xml:space="preserve"> del dos mil veintidós, y el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xml:space="preserve"> presentó su re</w:t>
      </w:r>
      <w:r w:rsidR="006C2FA7" w:rsidRPr="00A458D9">
        <w:rPr>
          <w:rFonts w:ascii="Palatino Linotype" w:eastAsia="Palatino Linotype" w:hAnsi="Palatino Linotype" w:cs="Palatino Linotype"/>
        </w:rPr>
        <w:t>curso de revisión el veintisiete</w:t>
      </w:r>
      <w:r w:rsidRPr="00A458D9">
        <w:rPr>
          <w:rFonts w:ascii="Palatino Linotype" w:eastAsia="Palatino Linotype" w:hAnsi="Palatino Linotype" w:cs="Palatino Linotype"/>
        </w:rPr>
        <w:t xml:space="preserve"> del mis</w:t>
      </w:r>
      <w:r w:rsidR="006C2FA7" w:rsidRPr="00A458D9">
        <w:rPr>
          <w:rFonts w:ascii="Palatino Linotype" w:eastAsia="Palatino Linotype" w:hAnsi="Palatino Linotype" w:cs="Palatino Linotype"/>
        </w:rPr>
        <w:t>mo mes y año, esto es al cuarto</w:t>
      </w:r>
      <w:r w:rsidRPr="00A458D9">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19E9C62E"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Por cuanto hace a la procedibilidad del recurso de revisión, es de suma importancia señalar que la parte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no proporcionó su nombre</w:t>
      </w:r>
      <w:r w:rsidRPr="00A458D9">
        <w:rPr>
          <w:rFonts w:ascii="Palatino Linotype" w:eastAsia="Palatino Linotype" w:hAnsi="Palatino Linotype" w:cs="Palatino Linotype"/>
          <w:b/>
        </w:rPr>
        <w:t>,</w:t>
      </w:r>
      <w:r w:rsidRPr="00A458D9">
        <w:rPr>
          <w:rFonts w:ascii="Palatino Linotype" w:eastAsia="Palatino Linotype" w:hAnsi="Palatino Linotype" w:cs="Palatino Linotype"/>
        </w:rPr>
        <w:t xml:space="preserve"> como se advierte en el detalle de seguimiento del SAIMEX, no obstante lo anterior, no proporcionar </w:t>
      </w:r>
      <w:r w:rsidRPr="00A458D9">
        <w:rPr>
          <w:rFonts w:ascii="Palatino Linotype" w:eastAsia="Palatino Linotype" w:hAnsi="Palatino Linotype" w:cs="Palatino Linotype"/>
        </w:rPr>
        <w:lastRenderedPageBreak/>
        <w:t>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648FA1" w14:textId="77777777" w:rsidR="000B72AC" w:rsidRPr="00A458D9" w:rsidRDefault="00F53D96">
      <w:pPr>
        <w:spacing w:before="240" w:after="240" w:line="276" w:lineRule="auto"/>
        <w:ind w:left="851" w:right="902"/>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 xml:space="preserve">Las solicitudes </w:t>
      </w:r>
      <w:r w:rsidRPr="00A458D9">
        <w:rPr>
          <w:rFonts w:ascii="Palatino Linotype" w:eastAsia="Palatino Linotype" w:hAnsi="Palatino Linotype" w:cs="Palatino Linotype"/>
          <w:i/>
          <w:sz w:val="22"/>
          <w:szCs w:val="22"/>
        </w:rPr>
        <w:t xml:space="preserve">anónimas, con </w:t>
      </w:r>
      <w:r w:rsidRPr="00A458D9">
        <w:rPr>
          <w:rFonts w:ascii="Palatino Linotype" w:eastAsia="Palatino Linotype" w:hAnsi="Palatino Linotype" w:cs="Palatino Linotype"/>
          <w:b/>
          <w:i/>
          <w:sz w:val="22"/>
          <w:szCs w:val="22"/>
        </w:rPr>
        <w:t>nombre incompleto o seudónimo</w:t>
      </w:r>
      <w:r w:rsidRPr="00A458D9">
        <w:rPr>
          <w:rFonts w:ascii="Palatino Linotype" w:eastAsia="Palatino Linotype" w:hAnsi="Palatino Linotype" w:cs="Palatino Linotype"/>
          <w:i/>
          <w:sz w:val="22"/>
          <w:szCs w:val="22"/>
        </w:rPr>
        <w:t xml:space="preserve"> </w:t>
      </w:r>
      <w:r w:rsidRPr="00A458D9">
        <w:rPr>
          <w:rFonts w:ascii="Palatino Linotype" w:eastAsia="Palatino Linotype" w:hAnsi="Palatino Linotype" w:cs="Palatino Linotype"/>
          <w:b/>
          <w:i/>
          <w:sz w:val="22"/>
          <w:szCs w:val="22"/>
        </w:rPr>
        <w:t>serán procedentes para su trámite por parte del sujeto obligado ante quien se presente</w:t>
      </w:r>
      <w:r w:rsidRPr="00A458D9">
        <w:rPr>
          <w:rFonts w:ascii="Palatino Linotype" w:eastAsia="Palatino Linotype" w:hAnsi="Palatino Linotype" w:cs="Palatino Linotype"/>
          <w:i/>
          <w:sz w:val="22"/>
          <w:szCs w:val="22"/>
        </w:rPr>
        <w:t>. No podrá requerirse información adicional con motivo del nombre proporcionado por el solicitante."</w:t>
      </w:r>
    </w:p>
    <w:p w14:paraId="04E6F7D2" w14:textId="77777777" w:rsidR="000B72AC" w:rsidRPr="00A458D9" w:rsidRDefault="00F53D96">
      <w:pPr>
        <w:spacing w:before="240" w:after="240" w:line="360" w:lineRule="auto"/>
        <w:jc w:val="both"/>
        <w:rPr>
          <w:rFonts w:ascii="Palatino Linotype" w:eastAsia="Palatino Linotype" w:hAnsi="Palatino Linotype" w:cs="Palatino Linotype"/>
          <w:color w:val="000000"/>
        </w:rPr>
      </w:pPr>
      <w:r w:rsidRPr="00A458D9">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BBDEF15"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Asimismo, resulta procedente la interposición del recurso de revisión al rubro anotado, toda vez que se actualiza las hipótesis prevista</w:t>
      </w:r>
      <w:r w:rsidR="006C2FA7" w:rsidRPr="00A458D9">
        <w:rPr>
          <w:rFonts w:ascii="Palatino Linotype" w:eastAsia="Palatino Linotype" w:hAnsi="Palatino Linotype" w:cs="Palatino Linotype"/>
        </w:rPr>
        <w:t>s en el artículo 179, fracción II</w:t>
      </w:r>
      <w:r w:rsidRPr="00A458D9">
        <w:rPr>
          <w:rFonts w:ascii="Palatino Linotype" w:eastAsia="Palatino Linotype" w:hAnsi="Palatino Linotype" w:cs="Palatino Linotype"/>
        </w:rPr>
        <w:t xml:space="preserve"> de la ley de la materia, que a la letra dice:</w:t>
      </w:r>
    </w:p>
    <w:p w14:paraId="3089D085" w14:textId="77777777" w:rsidR="000B72AC" w:rsidRPr="00A458D9" w:rsidRDefault="00F53D96">
      <w:pPr>
        <w:ind w:left="1276" w:right="1752"/>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 xml:space="preserve">Artículo 179. </w:t>
      </w:r>
      <w:r w:rsidRPr="00A458D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2115AA1" w14:textId="77777777" w:rsidR="000B72AC" w:rsidRPr="00A458D9" w:rsidRDefault="00F53D96">
      <w:pPr>
        <w:ind w:left="1276" w:right="1752"/>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p>
    <w:p w14:paraId="5ECEA3EF" w14:textId="77777777" w:rsidR="000B72AC" w:rsidRPr="00A458D9" w:rsidRDefault="006C2FA7">
      <w:pPr>
        <w:ind w:left="1276" w:right="1752"/>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II. La clasificación</w:t>
      </w:r>
      <w:r w:rsidRPr="00A458D9">
        <w:t xml:space="preserve"> de la información</w:t>
      </w:r>
      <w:r w:rsidR="00F53D96" w:rsidRPr="00A458D9">
        <w:rPr>
          <w:rFonts w:ascii="Palatino Linotype" w:eastAsia="Palatino Linotype" w:hAnsi="Palatino Linotype" w:cs="Palatino Linotype"/>
          <w:i/>
          <w:sz w:val="22"/>
          <w:szCs w:val="22"/>
        </w:rPr>
        <w:t>…” (Sic)</w:t>
      </w:r>
    </w:p>
    <w:p w14:paraId="3873F2AC" w14:textId="77777777" w:rsidR="000B72AC" w:rsidRPr="00A458D9" w:rsidRDefault="000B72AC">
      <w:pPr>
        <w:ind w:left="1276" w:right="1752"/>
        <w:jc w:val="both"/>
        <w:rPr>
          <w:i/>
          <w:sz w:val="22"/>
          <w:szCs w:val="22"/>
        </w:rPr>
      </w:pPr>
    </w:p>
    <w:p w14:paraId="53318B12"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Tercero. Materia de Revisión</w:t>
      </w:r>
      <w:r w:rsidRPr="00A458D9">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A458D9">
        <w:rPr>
          <w:rFonts w:ascii="Palatino Linotype" w:eastAsia="Palatino Linotype" w:hAnsi="Palatino Linotype" w:cs="Palatino Linotype"/>
          <w:b/>
        </w:rPr>
        <w:t xml:space="preserve">verificar si la respuesta otorgada por el SUJETO OBLIGADO es adecuada y </w:t>
      </w:r>
      <w:r w:rsidRPr="00A458D9">
        <w:rPr>
          <w:rFonts w:ascii="Palatino Linotype" w:eastAsia="Palatino Linotype" w:hAnsi="Palatino Linotype" w:cs="Palatino Linotype"/>
          <w:b/>
        </w:rPr>
        <w:lastRenderedPageBreak/>
        <w:t xml:space="preserve">suficiente para satisfacer el derecho de acceso a la información pública </w:t>
      </w:r>
      <w:r w:rsidRPr="00A458D9">
        <w:rPr>
          <w:rFonts w:ascii="Palatino Linotype" w:eastAsia="Palatino Linotype" w:hAnsi="Palatino Linotype" w:cs="Palatino Linotype"/>
        </w:rPr>
        <w:t xml:space="preserve">de la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o en su defecto, en caso de ser procedente, ordenar la entrega de información.</w:t>
      </w:r>
      <w:r w:rsidR="00293D10" w:rsidRPr="00A458D9">
        <w:rPr>
          <w:rFonts w:ascii="Palatino Linotype" w:eastAsia="Palatino Linotype" w:hAnsi="Palatino Linotype" w:cs="Palatino Linotype"/>
        </w:rPr>
        <w:t xml:space="preserve"> </w:t>
      </w:r>
    </w:p>
    <w:p w14:paraId="2EB12288" w14:textId="77777777" w:rsidR="000B72AC" w:rsidRPr="00A458D9" w:rsidRDefault="000B72AC">
      <w:pPr>
        <w:spacing w:line="360" w:lineRule="auto"/>
        <w:jc w:val="both"/>
        <w:rPr>
          <w:rFonts w:ascii="Palatino Linotype" w:eastAsia="Palatino Linotype" w:hAnsi="Palatino Linotype" w:cs="Palatino Linotype"/>
        </w:rPr>
      </w:pPr>
    </w:p>
    <w:p w14:paraId="5C8691F2" w14:textId="77777777" w:rsidR="000B72AC" w:rsidRPr="00A458D9" w:rsidRDefault="00F53D96">
      <w:pPr>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Cuarto. Estudio de fondo del asunto. </w:t>
      </w:r>
      <w:r w:rsidRPr="00A458D9">
        <w:rPr>
          <w:rFonts w:ascii="Palatino Linotype" w:eastAsia="Palatino Linotype" w:hAnsi="Palatino Linotype" w:cs="Palatino Linotype"/>
        </w:rPr>
        <w:t xml:space="preserve">Es conveniente analizar si la respuesta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199E940" w14:textId="77777777" w:rsidR="000B72AC" w:rsidRPr="00A458D9" w:rsidRDefault="00F53D96">
      <w:pPr>
        <w:spacing w:before="240"/>
        <w:ind w:left="709" w:right="760"/>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Artículo 4</w:t>
      </w:r>
      <w:r w:rsidRPr="00A458D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960B25" w14:textId="77777777" w:rsidR="000B72AC" w:rsidRPr="00A458D9" w:rsidRDefault="00F53D96">
      <w:pPr>
        <w:ind w:left="709" w:right="760"/>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458D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F3694E9" w14:textId="77777777" w:rsidR="000B72AC" w:rsidRPr="00A458D9" w:rsidRDefault="00F53D96">
      <w:pPr>
        <w:ind w:left="709" w:right="760"/>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458D9">
        <w:rPr>
          <w:rFonts w:ascii="Palatino Linotype" w:eastAsia="Palatino Linotype" w:hAnsi="Palatino Linotype" w:cs="Palatino Linotype"/>
          <w:i/>
          <w:sz w:val="22"/>
          <w:szCs w:val="22"/>
        </w:rPr>
        <w:t>.”(</w:t>
      </w:r>
      <w:proofErr w:type="gramEnd"/>
      <w:r w:rsidRPr="00A458D9">
        <w:rPr>
          <w:rFonts w:ascii="Palatino Linotype" w:eastAsia="Palatino Linotype" w:hAnsi="Palatino Linotype" w:cs="Palatino Linotype"/>
          <w:i/>
          <w:sz w:val="22"/>
          <w:szCs w:val="22"/>
        </w:rPr>
        <w:t>Sic)</w:t>
      </w:r>
    </w:p>
    <w:p w14:paraId="5BFB7BE5" w14:textId="77777777" w:rsidR="000B72AC" w:rsidRPr="00A458D9" w:rsidRDefault="000B72AC">
      <w:pPr>
        <w:spacing w:line="360" w:lineRule="auto"/>
        <w:jc w:val="both"/>
        <w:rPr>
          <w:rFonts w:ascii="Palatino Linotype" w:eastAsia="Palatino Linotype" w:hAnsi="Palatino Linotype" w:cs="Palatino Linotype"/>
        </w:rPr>
      </w:pPr>
    </w:p>
    <w:p w14:paraId="59CCE472"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464C49B" w14:textId="77777777" w:rsidR="000B72AC" w:rsidRPr="00A458D9" w:rsidRDefault="000B72AC">
      <w:pPr>
        <w:spacing w:line="360" w:lineRule="auto"/>
        <w:jc w:val="both"/>
        <w:rPr>
          <w:rFonts w:ascii="Palatino Linotype" w:eastAsia="Palatino Linotype" w:hAnsi="Palatino Linotype" w:cs="Palatino Linotype"/>
        </w:rPr>
      </w:pPr>
    </w:p>
    <w:p w14:paraId="48D723F5" w14:textId="77777777" w:rsidR="000B72AC" w:rsidRPr="00A458D9" w:rsidRDefault="00F53D96">
      <w:pPr>
        <w:ind w:left="567" w:right="758"/>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“Artículo 12.-</w:t>
      </w:r>
      <w:r w:rsidRPr="00A458D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8B49F2" w14:textId="77777777" w:rsidR="000B72AC" w:rsidRPr="00A458D9" w:rsidRDefault="000B72AC">
      <w:pPr>
        <w:ind w:left="567" w:right="758"/>
        <w:jc w:val="both"/>
        <w:rPr>
          <w:rFonts w:ascii="Palatino Linotype" w:eastAsia="Palatino Linotype" w:hAnsi="Palatino Linotype" w:cs="Palatino Linotype"/>
          <w:i/>
          <w:sz w:val="22"/>
          <w:szCs w:val="22"/>
        </w:rPr>
      </w:pPr>
    </w:p>
    <w:p w14:paraId="7AA07784" w14:textId="77777777" w:rsidR="000B72AC" w:rsidRPr="00A458D9" w:rsidRDefault="00F53D96">
      <w:pPr>
        <w:ind w:left="567" w:right="758"/>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458D9">
        <w:rPr>
          <w:rFonts w:ascii="Palatino Linotype" w:eastAsia="Palatino Linotype" w:hAnsi="Palatino Linotype" w:cs="Palatino Linotype"/>
          <w:i/>
          <w:sz w:val="22"/>
          <w:szCs w:val="22"/>
        </w:rPr>
        <w:t xml:space="preserve">. </w:t>
      </w:r>
      <w:r w:rsidRPr="00A458D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9160267" w14:textId="77777777" w:rsidR="000B72AC" w:rsidRPr="00A458D9" w:rsidRDefault="000B72AC">
      <w:pPr>
        <w:spacing w:line="360" w:lineRule="auto"/>
        <w:ind w:right="-93"/>
        <w:jc w:val="both"/>
        <w:rPr>
          <w:rFonts w:ascii="Palatino Linotype" w:eastAsia="Palatino Linotype" w:hAnsi="Palatino Linotype" w:cs="Palatino Linotype"/>
          <w:color w:val="000000"/>
        </w:rPr>
      </w:pPr>
    </w:p>
    <w:p w14:paraId="5C67341C" w14:textId="77777777" w:rsidR="000B72AC" w:rsidRPr="00A458D9" w:rsidRDefault="00F53D96">
      <w:pPr>
        <w:spacing w:line="360" w:lineRule="auto"/>
        <w:ind w:right="-93"/>
        <w:jc w:val="both"/>
        <w:rPr>
          <w:rFonts w:ascii="Palatino Linotype" w:eastAsia="Palatino Linotype" w:hAnsi="Palatino Linotype" w:cs="Palatino Linotype"/>
          <w:color w:val="000000"/>
        </w:rPr>
      </w:pPr>
      <w:r w:rsidRPr="00A458D9">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A458D9">
        <w:rPr>
          <w:rFonts w:ascii="Palatino Linotype" w:eastAsia="Palatino Linotype" w:hAnsi="Palatino Linotype" w:cs="Palatino Linotype"/>
        </w:rPr>
        <w:t>sólo</w:t>
      </w:r>
      <w:r w:rsidRPr="00A458D9">
        <w:rPr>
          <w:rFonts w:ascii="Palatino Linotype" w:eastAsia="Palatino Linotype" w:hAnsi="Palatino Linotype" w:cs="Palatino Linotype"/>
          <w:color w:val="000000"/>
        </w:rPr>
        <w:t xml:space="preserve"> se </w:t>
      </w:r>
      <w:r w:rsidRPr="00A458D9">
        <w:rPr>
          <w:rFonts w:ascii="Palatino Linotype" w:eastAsia="Palatino Linotype" w:hAnsi="Palatino Linotype" w:cs="Palatino Linotype"/>
        </w:rPr>
        <w:t>concretarán</w:t>
      </w:r>
      <w:r w:rsidRPr="00A458D9">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7E46F866" w14:textId="77777777" w:rsidR="000B72AC" w:rsidRPr="00A458D9" w:rsidRDefault="000B72AC">
      <w:pPr>
        <w:spacing w:line="360" w:lineRule="auto"/>
        <w:ind w:right="-93"/>
        <w:jc w:val="both"/>
        <w:rPr>
          <w:rFonts w:ascii="Palatino Linotype" w:eastAsia="Palatino Linotype" w:hAnsi="Palatino Linotype" w:cs="Palatino Linotype"/>
          <w:color w:val="000000"/>
        </w:rPr>
      </w:pPr>
    </w:p>
    <w:p w14:paraId="03B46648" w14:textId="77777777" w:rsidR="000B72AC" w:rsidRPr="00A458D9" w:rsidRDefault="00F53D96">
      <w:pPr>
        <w:spacing w:line="360" w:lineRule="auto"/>
        <w:jc w:val="both"/>
        <w:rPr>
          <w:rFonts w:ascii="Palatino Linotype" w:eastAsia="Palatino Linotype" w:hAnsi="Palatino Linotype" w:cs="Palatino Linotype"/>
          <w:b/>
          <w:color w:val="000000"/>
        </w:rPr>
      </w:pPr>
      <w:r w:rsidRPr="00A458D9">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sidRPr="00A458D9">
        <w:rPr>
          <w:rFonts w:ascii="Palatino Linotype" w:eastAsia="Palatino Linotype" w:hAnsi="Palatino Linotype" w:cs="Palatino Linotype"/>
          <w:b/>
          <w:color w:val="000000"/>
        </w:rPr>
        <w:t xml:space="preserve"> </w:t>
      </w:r>
    </w:p>
    <w:p w14:paraId="3AC48A22" w14:textId="77777777" w:rsidR="000B72AC" w:rsidRPr="00A458D9" w:rsidRDefault="000B72AC">
      <w:pPr>
        <w:ind w:left="851" w:right="850"/>
        <w:jc w:val="both"/>
        <w:rPr>
          <w:rFonts w:ascii="Palatino Linotype" w:eastAsia="Palatino Linotype" w:hAnsi="Palatino Linotype" w:cs="Palatino Linotype"/>
          <w:color w:val="000000"/>
        </w:rPr>
      </w:pPr>
    </w:p>
    <w:p w14:paraId="20F41A1D" w14:textId="77777777" w:rsidR="000B72AC" w:rsidRPr="00A458D9" w:rsidRDefault="00F53D96">
      <w:pPr>
        <w:ind w:left="851" w:right="901"/>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w:t>
      </w:r>
      <w:r w:rsidRPr="00A458D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A458D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F9A8341" w14:textId="77777777" w:rsidR="000B72AC" w:rsidRPr="00A458D9" w:rsidRDefault="00F53D96">
      <w:pPr>
        <w:ind w:left="851" w:right="901"/>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i/>
          <w:color w:val="000000"/>
          <w:sz w:val="22"/>
          <w:szCs w:val="22"/>
        </w:rPr>
        <w:t xml:space="preserve">Resoluciones: </w:t>
      </w:r>
    </w:p>
    <w:p w14:paraId="75AA41B5" w14:textId="77777777" w:rsidR="000B72AC" w:rsidRPr="00A458D9" w:rsidRDefault="00F53D96">
      <w:pPr>
        <w:ind w:left="851" w:right="901"/>
        <w:jc w:val="both"/>
        <w:rPr>
          <w:rFonts w:ascii="Palatino Linotype" w:eastAsia="Palatino Linotype" w:hAnsi="Palatino Linotype" w:cs="Palatino Linotype"/>
          <w:i/>
          <w:color w:val="000000"/>
          <w:sz w:val="22"/>
          <w:szCs w:val="22"/>
        </w:rPr>
      </w:pPr>
      <w:r w:rsidRPr="00A458D9">
        <w:rPr>
          <w:rFonts w:ascii="Symbol" w:eastAsia="Symbol" w:hAnsi="Symbol" w:cs="Symbol"/>
          <w:i/>
          <w:color w:val="000000"/>
          <w:sz w:val="22"/>
          <w:szCs w:val="22"/>
        </w:rPr>
        <w:t>∙</w:t>
      </w:r>
      <w:r w:rsidRPr="00A458D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1FA7A894" w14:textId="77777777" w:rsidR="000B72AC" w:rsidRPr="00A458D9" w:rsidRDefault="00F53D96">
      <w:pPr>
        <w:ind w:left="851" w:right="901"/>
        <w:jc w:val="both"/>
        <w:rPr>
          <w:rFonts w:ascii="Palatino Linotype" w:eastAsia="Palatino Linotype" w:hAnsi="Palatino Linotype" w:cs="Palatino Linotype"/>
          <w:i/>
          <w:color w:val="000000"/>
          <w:sz w:val="22"/>
          <w:szCs w:val="22"/>
        </w:rPr>
      </w:pPr>
      <w:r w:rsidRPr="00A458D9">
        <w:rPr>
          <w:rFonts w:ascii="Symbol" w:eastAsia="Symbol" w:hAnsi="Symbol" w:cs="Symbol"/>
          <w:i/>
          <w:color w:val="000000"/>
          <w:sz w:val="22"/>
          <w:szCs w:val="22"/>
        </w:rPr>
        <w:t>∙</w:t>
      </w:r>
      <w:r w:rsidRPr="00A458D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DFAF7ED" w14:textId="77777777" w:rsidR="000B72AC" w:rsidRPr="00A458D9" w:rsidRDefault="00F53D96">
      <w:pPr>
        <w:ind w:left="851" w:right="901"/>
        <w:jc w:val="both"/>
        <w:rPr>
          <w:rFonts w:ascii="Palatino Linotype" w:eastAsia="Palatino Linotype" w:hAnsi="Palatino Linotype" w:cs="Palatino Linotype"/>
          <w:i/>
          <w:color w:val="000000"/>
          <w:sz w:val="22"/>
          <w:szCs w:val="22"/>
        </w:rPr>
      </w:pPr>
      <w:r w:rsidRPr="00A458D9">
        <w:rPr>
          <w:rFonts w:ascii="Symbol" w:eastAsia="Symbol" w:hAnsi="Symbol" w:cs="Symbol"/>
          <w:i/>
          <w:color w:val="000000"/>
          <w:sz w:val="22"/>
          <w:szCs w:val="22"/>
        </w:rPr>
        <w:t>∙</w:t>
      </w:r>
      <w:r w:rsidRPr="00A458D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A458D9">
        <w:rPr>
          <w:rFonts w:ascii="Palatino Linotype" w:eastAsia="Palatino Linotype" w:hAnsi="Palatino Linotype" w:cs="Palatino Linotype"/>
          <w:i/>
          <w:color w:val="000000"/>
          <w:sz w:val="22"/>
          <w:szCs w:val="22"/>
        </w:rPr>
        <w:t>.”(</w:t>
      </w:r>
      <w:proofErr w:type="gramEnd"/>
      <w:r w:rsidRPr="00A458D9">
        <w:rPr>
          <w:rFonts w:ascii="Palatino Linotype" w:eastAsia="Palatino Linotype" w:hAnsi="Palatino Linotype" w:cs="Palatino Linotype"/>
          <w:i/>
          <w:color w:val="000000"/>
          <w:sz w:val="22"/>
          <w:szCs w:val="22"/>
        </w:rPr>
        <w:t>Sic)</w:t>
      </w:r>
    </w:p>
    <w:p w14:paraId="200627DA" w14:textId="77777777" w:rsidR="000B72AC" w:rsidRPr="00A458D9" w:rsidRDefault="000B72AC">
      <w:pPr>
        <w:spacing w:line="360" w:lineRule="auto"/>
        <w:ind w:right="-93"/>
        <w:jc w:val="both"/>
        <w:rPr>
          <w:rFonts w:ascii="Palatino Linotype" w:eastAsia="Palatino Linotype" w:hAnsi="Palatino Linotype" w:cs="Palatino Linotype"/>
          <w:color w:val="000000"/>
        </w:rPr>
      </w:pPr>
    </w:p>
    <w:p w14:paraId="27338746" w14:textId="77777777" w:rsidR="000B72AC" w:rsidRPr="00A458D9" w:rsidRDefault="00F53D96">
      <w:pPr>
        <w:spacing w:line="360" w:lineRule="auto"/>
        <w:jc w:val="both"/>
        <w:rPr>
          <w:rFonts w:ascii="Palatino Linotype" w:eastAsia="Palatino Linotype" w:hAnsi="Palatino Linotype" w:cs="Palatino Linotype"/>
          <w:color w:val="000000"/>
        </w:rPr>
      </w:pPr>
      <w:r w:rsidRPr="00A458D9">
        <w:rPr>
          <w:rFonts w:ascii="Palatino Linotype" w:eastAsia="Palatino Linotype" w:hAnsi="Palatino Linotype" w:cs="Palatino Linotype"/>
        </w:rPr>
        <w:t xml:space="preserve">En esa tesitura, el artículo 24 en su último párrafo de la Ley de la Materia, dispone que los Sujetos Obligados </w:t>
      </w:r>
      <w:r w:rsidRPr="00A458D9">
        <w:rPr>
          <w:rFonts w:ascii="Palatino Linotype" w:eastAsia="Palatino Linotype" w:hAnsi="Palatino Linotype" w:cs="Palatino Linotype"/>
          <w:color w:val="000000"/>
        </w:rPr>
        <w:t xml:space="preserve">sólo proporcionarán la información pública que </w:t>
      </w:r>
      <w:r w:rsidRPr="00A458D9">
        <w:rPr>
          <w:rFonts w:ascii="Palatino Linotype" w:eastAsia="Palatino Linotype" w:hAnsi="Palatino Linotype" w:cs="Palatino Linotype"/>
        </w:rPr>
        <w:t>generen</w:t>
      </w:r>
      <w:r w:rsidRPr="00A458D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D9614B" w14:textId="77777777" w:rsidR="000B72AC" w:rsidRPr="00A458D9" w:rsidRDefault="000B72AC">
      <w:pPr>
        <w:spacing w:line="360" w:lineRule="auto"/>
        <w:jc w:val="both"/>
        <w:rPr>
          <w:rFonts w:ascii="Palatino Linotype" w:eastAsia="Palatino Linotype" w:hAnsi="Palatino Linotype" w:cs="Palatino Linotype"/>
          <w:color w:val="000000"/>
        </w:rPr>
      </w:pPr>
    </w:p>
    <w:p w14:paraId="7476646B" w14:textId="77777777" w:rsidR="000B72AC" w:rsidRPr="00A458D9" w:rsidRDefault="00F53D96">
      <w:pPr>
        <w:spacing w:line="360" w:lineRule="auto"/>
        <w:ind w:right="49"/>
        <w:jc w:val="both"/>
        <w:rPr>
          <w:rFonts w:ascii="Palatino Linotype" w:eastAsia="Palatino Linotype" w:hAnsi="Palatino Linotype" w:cs="Palatino Linotype"/>
        </w:rPr>
      </w:pPr>
      <w:r w:rsidRPr="00A458D9">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CF7458B" w14:textId="77777777" w:rsidR="000B72AC" w:rsidRPr="00A458D9" w:rsidRDefault="000B72AC">
      <w:pPr>
        <w:spacing w:line="360" w:lineRule="auto"/>
        <w:ind w:right="49"/>
        <w:jc w:val="both"/>
        <w:rPr>
          <w:rFonts w:ascii="Palatino Linotype" w:eastAsia="Palatino Linotype" w:hAnsi="Palatino Linotype" w:cs="Palatino Linotype"/>
        </w:rPr>
      </w:pPr>
    </w:p>
    <w:p w14:paraId="3533DC42"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95A612" w14:textId="77777777" w:rsidR="000B72AC" w:rsidRPr="00A458D9" w:rsidRDefault="000B72AC">
      <w:pPr>
        <w:ind w:left="851" w:right="899"/>
        <w:jc w:val="both"/>
        <w:rPr>
          <w:rFonts w:ascii="Palatino Linotype" w:eastAsia="Palatino Linotype" w:hAnsi="Palatino Linotype" w:cs="Palatino Linotype"/>
          <w:i/>
          <w:sz w:val="22"/>
          <w:szCs w:val="22"/>
        </w:rPr>
      </w:pPr>
    </w:p>
    <w:p w14:paraId="0510CF11" w14:textId="77777777" w:rsidR="000B72AC" w:rsidRPr="00A458D9" w:rsidRDefault="00F53D96">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 xml:space="preserve">Artículo 3. </w:t>
      </w:r>
      <w:r w:rsidRPr="00A458D9">
        <w:rPr>
          <w:rFonts w:ascii="Palatino Linotype" w:eastAsia="Palatino Linotype" w:hAnsi="Palatino Linotype" w:cs="Palatino Linotype"/>
          <w:i/>
          <w:sz w:val="22"/>
          <w:szCs w:val="22"/>
        </w:rPr>
        <w:t>Para los efectos de la presente Ley se entenderá por:</w:t>
      </w:r>
    </w:p>
    <w:p w14:paraId="70E48070" w14:textId="77777777" w:rsidR="000B72AC" w:rsidRPr="00A458D9" w:rsidRDefault="00F53D96">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p>
    <w:p w14:paraId="09202A8C" w14:textId="77777777" w:rsidR="000B72AC" w:rsidRPr="00A458D9" w:rsidRDefault="00F53D96">
      <w:pPr>
        <w:ind w:left="851" w:right="899"/>
        <w:jc w:val="both"/>
        <w:rPr>
          <w:rFonts w:ascii="Palatino Linotype" w:eastAsia="Palatino Linotype" w:hAnsi="Palatino Linotype" w:cs="Palatino Linotype"/>
          <w:i/>
          <w:color w:val="000000"/>
          <w:sz w:val="22"/>
          <w:szCs w:val="22"/>
        </w:rPr>
      </w:pPr>
      <w:r w:rsidRPr="00A458D9">
        <w:rPr>
          <w:rFonts w:ascii="Palatino Linotype" w:eastAsia="Palatino Linotype" w:hAnsi="Palatino Linotype" w:cs="Palatino Linotype"/>
          <w:b/>
          <w:i/>
          <w:color w:val="000000"/>
          <w:sz w:val="22"/>
          <w:szCs w:val="22"/>
        </w:rPr>
        <w:t>XI. Documento:</w:t>
      </w:r>
      <w:r w:rsidRPr="00A458D9">
        <w:rPr>
          <w:rFonts w:ascii="Palatino Linotype" w:eastAsia="Palatino Linotype" w:hAnsi="Palatino Linotype" w:cs="Palatino Linotype"/>
          <w:i/>
          <w:color w:val="000000"/>
          <w:sz w:val="22"/>
          <w:szCs w:val="22"/>
        </w:rPr>
        <w:t xml:space="preserve"> Los expedientes, reportes, estudios, actas</w:t>
      </w:r>
      <w:r w:rsidRPr="00A458D9">
        <w:rPr>
          <w:rFonts w:ascii="Palatino Linotype" w:eastAsia="Palatino Linotype" w:hAnsi="Palatino Linotype" w:cs="Palatino Linotype"/>
          <w:b/>
          <w:i/>
          <w:color w:val="000000"/>
          <w:sz w:val="22"/>
          <w:szCs w:val="22"/>
        </w:rPr>
        <w:t>,</w:t>
      </w:r>
      <w:r w:rsidRPr="00A458D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20CF907"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6BA55EA" w14:textId="77777777" w:rsidR="000B72AC" w:rsidRPr="00A458D9" w:rsidRDefault="00F53D96">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sz w:val="22"/>
          <w:szCs w:val="22"/>
        </w:rPr>
        <w:t>“</w:t>
      </w:r>
      <w:r w:rsidRPr="00A458D9">
        <w:rPr>
          <w:rFonts w:ascii="Palatino Linotype" w:eastAsia="Palatino Linotype" w:hAnsi="Palatino Linotype" w:cs="Palatino Linotype"/>
          <w:b/>
          <w:i/>
          <w:sz w:val="22"/>
          <w:szCs w:val="22"/>
        </w:rPr>
        <w:t>CRITERIO 0002-11</w:t>
      </w:r>
    </w:p>
    <w:p w14:paraId="257EB9B7" w14:textId="77777777" w:rsidR="000B72AC" w:rsidRPr="00A458D9" w:rsidRDefault="00F53D96">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458D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A774CE" w14:textId="77777777" w:rsidR="000B72AC" w:rsidRPr="00A458D9" w:rsidRDefault="00F53D96">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 xml:space="preserve">En </w:t>
      </w:r>
      <w:proofErr w:type="gramStart"/>
      <w:r w:rsidRPr="00A458D9">
        <w:rPr>
          <w:rFonts w:ascii="Palatino Linotype" w:eastAsia="Palatino Linotype" w:hAnsi="Palatino Linotype" w:cs="Palatino Linotype"/>
          <w:i/>
          <w:sz w:val="22"/>
          <w:szCs w:val="22"/>
        </w:rPr>
        <w:t>consecuencia</w:t>
      </w:r>
      <w:proofErr w:type="gramEnd"/>
      <w:r w:rsidRPr="00A458D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838B5B6" w14:textId="77777777" w:rsidR="000B72AC" w:rsidRPr="00A458D9" w:rsidRDefault="00F53D96">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458D9">
        <w:rPr>
          <w:rFonts w:ascii="Palatino Linotype" w:eastAsia="Palatino Linotype" w:hAnsi="Palatino Linotype" w:cs="Palatino Linotype"/>
          <w:i/>
          <w:sz w:val="22"/>
          <w:szCs w:val="22"/>
        </w:rPr>
        <w:t>que</w:t>
      </w:r>
      <w:proofErr w:type="gramEnd"/>
      <w:r w:rsidRPr="00A458D9">
        <w:rPr>
          <w:rFonts w:ascii="Palatino Linotype" w:eastAsia="Palatino Linotype" w:hAnsi="Palatino Linotype" w:cs="Palatino Linotype"/>
          <w:i/>
          <w:sz w:val="22"/>
          <w:szCs w:val="22"/>
        </w:rPr>
        <w:t xml:space="preserve"> en ejercicio de las atribuciones conferidas, sea generada por los Sujetos Obligados;</w:t>
      </w:r>
    </w:p>
    <w:p w14:paraId="329FEDC5" w14:textId="77777777" w:rsidR="000B72AC" w:rsidRPr="00A458D9" w:rsidRDefault="00F53D96">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458D9">
        <w:rPr>
          <w:rFonts w:ascii="Palatino Linotype" w:eastAsia="Palatino Linotype" w:hAnsi="Palatino Linotype" w:cs="Palatino Linotype"/>
          <w:b/>
          <w:i/>
          <w:sz w:val="22"/>
          <w:szCs w:val="22"/>
        </w:rPr>
        <w:t>que</w:t>
      </w:r>
      <w:proofErr w:type="gramEnd"/>
      <w:r w:rsidRPr="00A458D9">
        <w:rPr>
          <w:rFonts w:ascii="Palatino Linotype" w:eastAsia="Palatino Linotype" w:hAnsi="Palatino Linotype" w:cs="Palatino Linotype"/>
          <w:b/>
          <w:i/>
          <w:sz w:val="22"/>
          <w:szCs w:val="22"/>
        </w:rPr>
        <w:t xml:space="preserve"> en ejercicio de las atribuciones conferidas, sea administrada por los Sujetos Obligados, y</w:t>
      </w:r>
    </w:p>
    <w:p w14:paraId="3C7172B6" w14:textId="77777777" w:rsidR="000B72AC" w:rsidRPr="00A458D9" w:rsidRDefault="00F53D96">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458D9">
        <w:rPr>
          <w:rFonts w:ascii="Palatino Linotype" w:eastAsia="Palatino Linotype" w:hAnsi="Palatino Linotype" w:cs="Palatino Linotype"/>
          <w:b/>
          <w:i/>
          <w:sz w:val="22"/>
          <w:szCs w:val="22"/>
        </w:rPr>
        <w:t>que</w:t>
      </w:r>
      <w:proofErr w:type="gramEnd"/>
      <w:r w:rsidRPr="00A458D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74A8948"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Precisado lo anterior, del análisis de la solicitud de información motivo del recurso de revisión que ahora se resuelve, se advierte</w:t>
      </w:r>
      <w:r w:rsidR="006C2FA7" w:rsidRPr="00A458D9">
        <w:rPr>
          <w:rFonts w:ascii="Palatino Linotype" w:eastAsia="Palatino Linotype" w:hAnsi="Palatino Linotype" w:cs="Palatino Linotype"/>
        </w:rPr>
        <w:t xml:space="preserve"> que el particular requirió al Ayuntamiento de Chimalhuacán</w:t>
      </w:r>
      <w:r w:rsidRPr="00A458D9">
        <w:rPr>
          <w:rFonts w:ascii="Palatino Linotype" w:eastAsia="Palatino Linotype" w:hAnsi="Palatino Linotype" w:cs="Palatino Linotype"/>
        </w:rPr>
        <w:t>, lo siguiente:</w:t>
      </w:r>
    </w:p>
    <w:p w14:paraId="31816ED7" w14:textId="77777777" w:rsidR="006C2FA7" w:rsidRPr="00A458D9" w:rsidRDefault="006C2FA7" w:rsidP="006C2FA7">
      <w:pPr>
        <w:pStyle w:val="Prrafodelista"/>
        <w:numPr>
          <w:ilvl w:val="0"/>
          <w:numId w:val="4"/>
        </w:num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lastRenderedPageBreak/>
        <w:t>Documentos donde se haga constar el consentimiento de los locatarios del "Mercado Zaragoza" (ubicado a un costado de Palacio Municipal), para ser re ubicados en el nuevo mercado (ubicado a un costado de las oficinas de "Telmex").</w:t>
      </w:r>
      <w:r w:rsidR="003D6487" w:rsidRPr="00A458D9">
        <w:rPr>
          <w:rFonts w:ascii="Palatino Linotype" w:eastAsia="Palatino Linotype" w:hAnsi="Palatino Linotype" w:cs="Palatino Linotype"/>
        </w:rPr>
        <w:t xml:space="preserve"> </w:t>
      </w:r>
      <w:r w:rsidR="00D02293" w:rsidRPr="00A458D9">
        <w:rPr>
          <w:rFonts w:ascii="Palatino Linotype" w:eastAsia="Palatino Linotype" w:hAnsi="Palatino Linotype" w:cs="Palatino Linotype"/>
        </w:rPr>
        <w:t xml:space="preserve"> </w:t>
      </w:r>
    </w:p>
    <w:p w14:paraId="4D860638" w14:textId="77777777" w:rsidR="00963AD0" w:rsidRPr="00A458D9" w:rsidRDefault="00F53D96">
      <w:pPr>
        <w:spacing w:before="240" w:after="240" w:line="360" w:lineRule="auto"/>
        <w:jc w:val="both"/>
        <w:rPr>
          <w:rFonts w:ascii="Palatino Linotype" w:eastAsia="Palatino Linotype" w:hAnsi="Palatino Linotype" w:cs="Palatino Linotype"/>
          <w:color w:val="FF0000"/>
        </w:rPr>
      </w:pPr>
      <w:r w:rsidRPr="00A458D9">
        <w:rPr>
          <w:rFonts w:ascii="Palatino Linotype" w:eastAsia="Palatino Linotype" w:hAnsi="Palatino Linotype" w:cs="Palatino Linotype"/>
        </w:rPr>
        <w:t xml:space="preserve">Por su parte el </w:t>
      </w:r>
      <w:r w:rsidRPr="00A458D9">
        <w:rPr>
          <w:rFonts w:ascii="Palatino Linotype" w:eastAsia="Palatino Linotype" w:hAnsi="Palatino Linotype" w:cs="Palatino Linotype"/>
          <w:b/>
        </w:rPr>
        <w:t xml:space="preserve">SUJETO OBLIGADO, </w:t>
      </w:r>
      <w:r w:rsidRPr="00A458D9">
        <w:rPr>
          <w:rFonts w:ascii="Palatino Linotype" w:eastAsia="Palatino Linotype" w:hAnsi="Palatino Linotype" w:cs="Palatino Linotype"/>
        </w:rPr>
        <w:t>a través de su</w:t>
      </w:r>
      <w:r w:rsidRPr="00A458D9">
        <w:rPr>
          <w:rFonts w:ascii="Palatino Linotype" w:eastAsia="Palatino Linotype" w:hAnsi="Palatino Linotype" w:cs="Palatino Linotype"/>
          <w:b/>
        </w:rPr>
        <w:t xml:space="preserve"> </w:t>
      </w:r>
      <w:r w:rsidR="00EE43EC" w:rsidRPr="00A458D9">
        <w:rPr>
          <w:rFonts w:ascii="Palatino Linotype" w:eastAsia="Palatino Linotype" w:hAnsi="Palatino Linotype" w:cs="Palatino Linotype"/>
        </w:rPr>
        <w:t xml:space="preserve">Departamento de Mercados informó que si bien es cierto la documentación corresponde a este Departamento de Mercados, el mismo refiere a la manifestación de voluntad expresa mediante el nombre, giro, firma de </w:t>
      </w:r>
      <w:r w:rsidR="00963AD0" w:rsidRPr="00A458D9">
        <w:rPr>
          <w:rFonts w:ascii="Palatino Linotype" w:eastAsia="Palatino Linotype" w:hAnsi="Palatino Linotype" w:cs="Palatino Linotype"/>
        </w:rPr>
        <w:t>puño, letra</w:t>
      </w:r>
      <w:r w:rsidR="00EE43EC" w:rsidRPr="00A458D9">
        <w:rPr>
          <w:rFonts w:ascii="Palatino Linotype" w:eastAsia="Palatino Linotype" w:hAnsi="Palatino Linotype" w:cs="Palatino Linotype"/>
        </w:rPr>
        <w:t xml:space="preserve"> y numero de local, por tal motivo se está ante una clara singularización de los ciudadanos y de la manifestación expresa de cada uno de los contratantes, en esa tesitura, la información que proporcionaron los particulares para la realización del acto a</w:t>
      </w:r>
      <w:r w:rsidR="00963AD0" w:rsidRPr="00A458D9">
        <w:rPr>
          <w:rFonts w:ascii="Palatino Linotype" w:eastAsia="Palatino Linotype" w:hAnsi="Palatino Linotype" w:cs="Palatino Linotype"/>
        </w:rPr>
        <w:t xml:space="preserve">nte las autoridades municipales, debe ser protegida en términos del fundamento legal que señaló; es decir, en lo medular la clasificó como confidencial. </w:t>
      </w:r>
    </w:p>
    <w:p w14:paraId="29A98390"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No conforme el particular con la respuesta, interpone el recurso de revisión en lo medular </w:t>
      </w:r>
      <w:r w:rsidR="00963AD0" w:rsidRPr="00A458D9">
        <w:rPr>
          <w:rFonts w:ascii="Palatino Linotype" w:eastAsia="Palatino Linotype" w:hAnsi="Palatino Linotype" w:cs="Palatino Linotype"/>
        </w:rPr>
        <w:t>por la clasificación de la información.</w:t>
      </w:r>
    </w:p>
    <w:p w14:paraId="6728F065"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Ante la interposición del Recurso de Revisión, el </w:t>
      </w:r>
      <w:r w:rsidRPr="00A458D9">
        <w:rPr>
          <w:rFonts w:ascii="Palatino Linotype" w:eastAsia="Palatino Linotype" w:hAnsi="Palatino Linotype" w:cs="Palatino Linotype"/>
          <w:b/>
        </w:rPr>
        <w:t xml:space="preserve">SUJETO OBLIGADO, </w:t>
      </w:r>
      <w:r w:rsidRPr="00A458D9">
        <w:rPr>
          <w:rFonts w:ascii="Palatino Linotype" w:eastAsia="Palatino Linotype" w:hAnsi="Palatino Linotype" w:cs="Palatino Linotype"/>
        </w:rPr>
        <w:t xml:space="preserve">fue omiso en rendir su informe justificado. </w:t>
      </w:r>
    </w:p>
    <w:p w14:paraId="289B3EAA" w14:textId="77777777" w:rsidR="000B72AC" w:rsidRPr="00A458D9" w:rsidRDefault="00F53D96">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color w:val="000000"/>
        </w:rPr>
        <w:t>Con base en lo precedente</w:t>
      </w:r>
      <w:r w:rsidRPr="00A458D9">
        <w:rPr>
          <w:rFonts w:ascii="Palatino Linotype" w:eastAsia="Palatino Linotype" w:hAnsi="Palatino Linotype" w:cs="Palatino Linotype"/>
        </w:rPr>
        <w:t xml:space="preserve">, se determina que la información proporcionada por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w:t>
      </w:r>
      <w:r w:rsidR="00115FF5" w:rsidRPr="00A458D9">
        <w:rPr>
          <w:rFonts w:ascii="Palatino Linotype" w:eastAsia="Palatino Linotype" w:hAnsi="Palatino Linotype" w:cs="Palatino Linotype"/>
        </w:rPr>
        <w:t>ara revocar</w:t>
      </w:r>
      <w:r w:rsidRPr="00A458D9">
        <w:rPr>
          <w:rFonts w:ascii="Palatino Linotype" w:eastAsia="Palatino Linotype" w:hAnsi="Palatino Linotype" w:cs="Palatino Linotype"/>
        </w:rPr>
        <w:t xml:space="preserve"> la respuesta del </w:t>
      </w:r>
      <w:r w:rsidRPr="00A458D9">
        <w:rPr>
          <w:rFonts w:ascii="Palatino Linotype" w:eastAsia="Palatino Linotype" w:hAnsi="Palatino Linotype" w:cs="Palatino Linotype"/>
          <w:b/>
        </w:rPr>
        <w:t xml:space="preserve">SUJETO </w:t>
      </w:r>
      <w:r w:rsidRPr="00A458D9">
        <w:rPr>
          <w:rFonts w:ascii="Palatino Linotype" w:eastAsia="Palatino Linotype" w:hAnsi="Palatino Linotype" w:cs="Palatino Linotype"/>
          <w:b/>
        </w:rPr>
        <w:lastRenderedPageBreak/>
        <w:t>OBLIGADO</w:t>
      </w:r>
      <w:r w:rsidRPr="00A458D9">
        <w:rPr>
          <w:rFonts w:ascii="Palatino Linotype" w:eastAsia="Palatino Linotype" w:hAnsi="Palatino Linotype" w:cs="Palatino Linotype"/>
        </w:rPr>
        <w:t xml:space="preserve"> en razón de las consideraciones de derecho que a continuación se exponen:</w:t>
      </w:r>
    </w:p>
    <w:p w14:paraId="66BFCFC7" w14:textId="77777777" w:rsidR="00785BD9" w:rsidRPr="00A458D9" w:rsidRDefault="00785BD9" w:rsidP="00785BD9">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Ante todo, se debe resaltar </w:t>
      </w:r>
      <w:proofErr w:type="gramStart"/>
      <w:r w:rsidRPr="00A458D9">
        <w:rPr>
          <w:rFonts w:ascii="Palatino Linotype" w:eastAsia="Palatino Linotype" w:hAnsi="Palatino Linotype" w:cs="Palatino Linotype"/>
        </w:rPr>
        <w:t>que</w:t>
      </w:r>
      <w:proofErr w:type="gramEnd"/>
      <w:r w:rsidRPr="00A458D9">
        <w:rPr>
          <w:rFonts w:ascii="Palatino Linotype" w:eastAsia="Palatino Linotype" w:hAnsi="Palatino Linotype" w:cs="Palatino Linotype"/>
        </w:rPr>
        <w:t xml:space="preserve"> con la manifestación del Departamento de Mercados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en respuesta; éste no niega contar con la información solicitada por el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sino por el contrario al pretender clasificar la información como confidencial, por lo cual, la competencia para generar, posee y administrar la información solicitada, en el caso concreto, se obvia.</w:t>
      </w:r>
    </w:p>
    <w:p w14:paraId="67930532" w14:textId="77777777" w:rsidR="000B72AC" w:rsidRPr="00A458D9" w:rsidRDefault="00785BD9" w:rsidP="00785BD9">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Lo anterior es así, ya que el estudio enunciado tiene por objeto determinar si el </w:t>
      </w:r>
      <w:r w:rsidR="00FB6A23" w:rsidRPr="00A458D9">
        <w:rPr>
          <w:rFonts w:ascii="Palatino Linotype" w:eastAsia="Palatino Linotype" w:hAnsi="Palatino Linotype" w:cs="Palatino Linotype"/>
          <w:b/>
        </w:rPr>
        <w:t>SUJETO OBLIGADO</w:t>
      </w:r>
      <w:r w:rsidR="00FB6A23" w:rsidRPr="00A458D9">
        <w:rPr>
          <w:rFonts w:ascii="Palatino Linotype" w:eastAsia="Palatino Linotype" w:hAnsi="Palatino Linotype" w:cs="Palatino Linotype"/>
        </w:rPr>
        <w:t xml:space="preserve"> </w:t>
      </w:r>
      <w:r w:rsidRPr="00A458D9">
        <w:rPr>
          <w:rFonts w:ascii="Palatino Linotype" w:eastAsia="Palatino Linotype" w:hAnsi="Palatino Linotype" w:cs="Palatino Linotype"/>
        </w:rPr>
        <w:t xml:space="preserve">genera, posee o administra la información solicitada; sin embargo, en aquellos casos en que éste la asume, ello efectivamente está en su poder; por consiguiente, sería ocioso y nada práctico nos conduciría su estudio, ya que se insiste, la información pública solicitada fue asumida por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w:t>
      </w:r>
    </w:p>
    <w:p w14:paraId="0E3B2B54" w14:textId="77777777" w:rsidR="00FB6A23" w:rsidRPr="00A458D9" w:rsidRDefault="00785BD9" w:rsidP="00FB6A23">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Una vez precisado lo anterior, </w:t>
      </w:r>
      <w:r w:rsidR="00E85DFD" w:rsidRPr="00A458D9">
        <w:rPr>
          <w:rFonts w:ascii="Palatino Linotype" w:eastAsia="Palatino Linotype" w:hAnsi="Palatino Linotype" w:cs="Palatino Linotype"/>
        </w:rPr>
        <w:t xml:space="preserve">sobre el ejercicio de actividades comerciales de los locatarios de un mercado, </w:t>
      </w:r>
      <w:r w:rsidR="00FF7E92" w:rsidRPr="00A458D9">
        <w:rPr>
          <w:rFonts w:ascii="Palatino Linotype" w:eastAsia="Palatino Linotype" w:hAnsi="Palatino Linotype" w:cs="Palatino Linotype"/>
        </w:rPr>
        <w:t xml:space="preserve">conviene </w:t>
      </w:r>
      <w:r w:rsidR="00FB6A23" w:rsidRPr="00A458D9">
        <w:rPr>
          <w:rFonts w:ascii="Palatino Linotype" w:eastAsia="Palatino Linotype" w:hAnsi="Palatino Linotype" w:cs="Palatino Linotype"/>
        </w:rPr>
        <w:t xml:space="preserve">a traer lo señalado por los artículos </w:t>
      </w:r>
      <w:r w:rsidR="00FB6A23" w:rsidRPr="00A458D9">
        <w:rPr>
          <w:rFonts w:ascii="Palatino Linotype" w:hAnsi="Palatino Linotype"/>
          <w:lang w:val="es-AR"/>
        </w:rPr>
        <w:t xml:space="preserve">48, fracción XIII Ter y XIII </w:t>
      </w:r>
      <w:proofErr w:type="spellStart"/>
      <w:r w:rsidR="00FB6A23" w:rsidRPr="00A458D9">
        <w:rPr>
          <w:rFonts w:ascii="Palatino Linotype" w:hAnsi="Palatino Linotype"/>
          <w:lang w:val="es-AR"/>
        </w:rPr>
        <w:t>Quáter</w:t>
      </w:r>
      <w:proofErr w:type="spellEnd"/>
      <w:r w:rsidR="00FB6A23" w:rsidRPr="00A458D9">
        <w:rPr>
          <w:rFonts w:ascii="Palatino Linotype" w:hAnsi="Palatino Linotype"/>
          <w:lang w:val="es-AR"/>
        </w:rPr>
        <w:t xml:space="preserve">, artículo 96 </w:t>
      </w:r>
      <w:proofErr w:type="spellStart"/>
      <w:r w:rsidR="00FB6A23" w:rsidRPr="00A458D9">
        <w:rPr>
          <w:rFonts w:ascii="Palatino Linotype" w:hAnsi="Palatino Linotype"/>
          <w:lang w:val="es-AR"/>
        </w:rPr>
        <w:t>Quáter</w:t>
      </w:r>
      <w:proofErr w:type="spellEnd"/>
      <w:r w:rsidR="00FB6A23" w:rsidRPr="00A458D9">
        <w:rPr>
          <w:rFonts w:ascii="Palatino Linotype" w:hAnsi="Palatino Linotype"/>
          <w:lang w:val="es-AR"/>
        </w:rPr>
        <w:t>, fracciones XVIII y XIX, de la Ley Orgánica Municipal del Estado de México, mismos que son del tenor literal siguiente:</w:t>
      </w:r>
    </w:p>
    <w:p w14:paraId="0EF9F908" w14:textId="77777777" w:rsidR="00FB6A23" w:rsidRPr="00A458D9" w:rsidRDefault="00FB6A23" w:rsidP="00FB6A23">
      <w:pPr>
        <w:spacing w:line="360" w:lineRule="auto"/>
        <w:jc w:val="both"/>
        <w:rPr>
          <w:rFonts w:ascii="Palatino Linotype" w:hAnsi="Palatino Linotype"/>
          <w:lang w:val="es-AR"/>
        </w:rPr>
      </w:pPr>
    </w:p>
    <w:p w14:paraId="26D34E45" w14:textId="77777777" w:rsidR="00FB6A23" w:rsidRPr="00A458D9" w:rsidRDefault="00FB6A23" w:rsidP="00FB6A23">
      <w:pPr>
        <w:spacing w:line="276" w:lineRule="auto"/>
        <w:ind w:left="567" w:right="567"/>
        <w:contextualSpacing/>
        <w:jc w:val="both"/>
        <w:rPr>
          <w:rFonts w:ascii="Palatino Linotype" w:hAnsi="Palatino Linotype"/>
          <w:i/>
          <w:sz w:val="22"/>
          <w:szCs w:val="22"/>
          <w:lang w:val="es-AR"/>
        </w:rPr>
      </w:pPr>
      <w:r w:rsidRPr="00A458D9">
        <w:rPr>
          <w:rFonts w:ascii="Palatino Linotype" w:hAnsi="Palatino Linotype"/>
          <w:b/>
          <w:bCs/>
          <w:i/>
          <w:sz w:val="22"/>
          <w:szCs w:val="22"/>
        </w:rPr>
        <w:t xml:space="preserve">“Artículo 48.- </w:t>
      </w:r>
      <w:r w:rsidRPr="00A458D9">
        <w:rPr>
          <w:rFonts w:ascii="Palatino Linotype" w:hAnsi="Palatino Linotype"/>
          <w:b/>
          <w:i/>
          <w:sz w:val="22"/>
          <w:szCs w:val="22"/>
        </w:rPr>
        <w:t>El presidente municipal</w:t>
      </w:r>
      <w:r w:rsidRPr="00A458D9">
        <w:rPr>
          <w:rFonts w:ascii="Palatino Linotype" w:hAnsi="Palatino Linotype"/>
          <w:i/>
          <w:sz w:val="22"/>
          <w:szCs w:val="22"/>
        </w:rPr>
        <w:t xml:space="preserve"> tiene las siguientes atribuciones:</w:t>
      </w:r>
    </w:p>
    <w:p w14:paraId="136E86E9" w14:textId="77777777" w:rsidR="00FB6A23" w:rsidRPr="00A458D9" w:rsidRDefault="00FB6A23" w:rsidP="00FB6A23">
      <w:pPr>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w:t>
      </w:r>
    </w:p>
    <w:p w14:paraId="123A43F5" w14:textId="77777777" w:rsidR="00FB6A23" w:rsidRPr="00A458D9" w:rsidRDefault="00FB6A23" w:rsidP="00FB6A23">
      <w:pPr>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A458D9">
        <w:rPr>
          <w:rFonts w:ascii="Palatino Linotype" w:hAnsi="Palatino Linotype" w:cs="Bookman Old Style"/>
          <w:b/>
          <w:i/>
          <w:color w:val="000000"/>
          <w:sz w:val="22"/>
          <w:szCs w:val="22"/>
        </w:rPr>
        <w:t>XIII Ter. Proponer al ayuntamiento y ejecutar un programa especial para otorgar la licencia provisional de funcionamiento para negocios de bajo riesgo sanitario, ambiental o de protección civil</w:t>
      </w:r>
      <w:r w:rsidRPr="00A458D9">
        <w:rPr>
          <w:rFonts w:ascii="Palatino Linotype" w:hAnsi="Palatino Linotype" w:cs="Bookman Old Style"/>
          <w:i/>
          <w:color w:val="000000"/>
          <w:sz w:val="22"/>
          <w:szCs w:val="22"/>
        </w:rPr>
        <w:t xml:space="preserve">, que autorice el cabildo conforme a la </w:t>
      </w:r>
      <w:r w:rsidRPr="00A458D9">
        <w:rPr>
          <w:rFonts w:ascii="Palatino Linotype" w:hAnsi="Palatino Linotype" w:cs="Bookman Old Style"/>
          <w:i/>
          <w:color w:val="000000"/>
          <w:sz w:val="22"/>
          <w:szCs w:val="22"/>
        </w:rPr>
        <w:lastRenderedPageBreak/>
        <w:t xml:space="preserve">clasificación contenida en el Catálogo Mexiquense de Actividades Industriales, Comerciales y de Servicios de Bajo Riesgo; </w:t>
      </w:r>
    </w:p>
    <w:p w14:paraId="604DC107" w14:textId="77777777" w:rsidR="00FB6A23" w:rsidRPr="00A458D9" w:rsidRDefault="00FB6A23" w:rsidP="00FB6A23">
      <w:pPr>
        <w:spacing w:line="276" w:lineRule="auto"/>
        <w:ind w:left="567" w:right="567"/>
        <w:contextualSpacing/>
        <w:jc w:val="both"/>
        <w:rPr>
          <w:rFonts w:ascii="Palatino Linotype" w:hAnsi="Palatino Linotype"/>
          <w:b/>
          <w:i/>
          <w:sz w:val="22"/>
          <w:szCs w:val="22"/>
        </w:rPr>
      </w:pPr>
      <w:r w:rsidRPr="00A458D9">
        <w:rPr>
          <w:rFonts w:ascii="Palatino Linotype" w:hAnsi="Palatino Linotype" w:cs="Bookman Old Style"/>
          <w:i/>
          <w:color w:val="000000"/>
          <w:sz w:val="22"/>
          <w:szCs w:val="22"/>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de los Servidores Públicos del Estado y Municipios.</w:t>
      </w:r>
    </w:p>
    <w:p w14:paraId="21F31E22" w14:textId="77777777" w:rsidR="00FB6A23" w:rsidRPr="00A458D9" w:rsidRDefault="00FB6A23" w:rsidP="00FB6A23">
      <w:pPr>
        <w:spacing w:line="276" w:lineRule="auto"/>
        <w:ind w:left="567" w:right="567"/>
        <w:contextualSpacing/>
        <w:jc w:val="both"/>
        <w:rPr>
          <w:rFonts w:ascii="Palatino Linotype" w:hAnsi="Palatino Linotype"/>
          <w:b/>
          <w:i/>
          <w:sz w:val="22"/>
          <w:szCs w:val="22"/>
        </w:rPr>
      </w:pPr>
    </w:p>
    <w:p w14:paraId="06D7CA1C"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r w:rsidRPr="00A458D9">
        <w:rPr>
          <w:rFonts w:ascii="Palatino Linotype" w:hAnsi="Palatino Linotype"/>
          <w:i/>
          <w:sz w:val="22"/>
          <w:szCs w:val="22"/>
        </w:rPr>
        <w:t xml:space="preserve">XIII </w:t>
      </w:r>
      <w:proofErr w:type="spellStart"/>
      <w:r w:rsidRPr="00A458D9">
        <w:rPr>
          <w:rFonts w:ascii="Palatino Linotype" w:hAnsi="Palatino Linotype"/>
          <w:i/>
          <w:sz w:val="22"/>
          <w:szCs w:val="22"/>
        </w:rPr>
        <w:t>Quáter</w:t>
      </w:r>
      <w:proofErr w:type="spellEnd"/>
      <w:r w:rsidRPr="00A458D9">
        <w:rPr>
          <w:rFonts w:ascii="Palatino Linotype" w:hAnsi="Palatino Linotype"/>
          <w:i/>
          <w:sz w:val="22"/>
          <w:szCs w:val="22"/>
        </w:rPr>
        <w:t xml:space="preserve">. Expedir o negar licencias o permisos de funcionamiento para unidades económicas, de conformidad con lo previsto en las fracciones XXIV </w:t>
      </w:r>
      <w:proofErr w:type="spellStart"/>
      <w:r w:rsidRPr="00A458D9">
        <w:rPr>
          <w:rFonts w:ascii="Palatino Linotype" w:hAnsi="Palatino Linotype"/>
          <w:i/>
          <w:sz w:val="22"/>
          <w:szCs w:val="22"/>
        </w:rPr>
        <w:t>Quater</w:t>
      </w:r>
      <w:proofErr w:type="spellEnd"/>
      <w:r w:rsidRPr="00A458D9">
        <w:rPr>
          <w:rFonts w:ascii="Palatino Linotype" w:hAnsi="Palatino Linotype"/>
          <w:i/>
          <w:sz w:val="22"/>
          <w:szCs w:val="22"/>
        </w:rPr>
        <w:t xml:space="preserve"> y XXIV Quinques del artículo 31 de la presente Ley.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 </w:t>
      </w:r>
    </w:p>
    <w:p w14:paraId="1F7139CA"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p>
    <w:p w14:paraId="55C2B4E7"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r w:rsidRPr="00A458D9">
        <w:rPr>
          <w:rFonts w:ascii="Palatino Linotype" w:hAnsi="Palatino Linotype"/>
          <w:i/>
          <w:sz w:val="22"/>
          <w:szCs w:val="22"/>
        </w:rPr>
        <w:t xml:space="preserve">Las actividades que cuenten con Evaluación de Impacto Estatal no requerirán la emisión de Dictamen de Giro. La autoridad municipal deberá iniciar los trámites relativos con las autorizaciones, licencias o permisos, a partir de que el solicitante presente el acuerdo de aceptación de la solicitud de Evaluación de Impacto Estatal. </w:t>
      </w:r>
    </w:p>
    <w:p w14:paraId="29A2D670"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p>
    <w:p w14:paraId="67095C54"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r w:rsidRPr="00A458D9">
        <w:rPr>
          <w:rFonts w:ascii="Palatino Linotype" w:hAnsi="Palatino Linotype"/>
          <w:i/>
          <w:sz w:val="22"/>
          <w:szCs w:val="22"/>
        </w:rPr>
        <w:t>Una vez que el solicitante entregue la Evaluación de Impacto Estatal, de ser procedente, podrá obtener la autorización, licencia o permiso correspondiente.;</w:t>
      </w:r>
    </w:p>
    <w:p w14:paraId="6D27F3F4" w14:textId="77777777" w:rsidR="00FB6A23" w:rsidRPr="00A458D9" w:rsidRDefault="00FB6A23" w:rsidP="00FB6A23">
      <w:pPr>
        <w:spacing w:line="276" w:lineRule="auto"/>
        <w:ind w:left="567" w:right="567"/>
        <w:contextualSpacing/>
        <w:jc w:val="both"/>
        <w:rPr>
          <w:rFonts w:ascii="Palatino Linotype" w:hAnsi="Palatino Linotype"/>
          <w:i/>
          <w:sz w:val="22"/>
          <w:szCs w:val="22"/>
        </w:rPr>
      </w:pPr>
      <w:r w:rsidRPr="00A458D9">
        <w:rPr>
          <w:rFonts w:ascii="Palatino Linotype" w:hAnsi="Palatino Linotype"/>
          <w:i/>
          <w:sz w:val="22"/>
          <w:szCs w:val="22"/>
        </w:rPr>
        <w:t>(…)</w:t>
      </w:r>
    </w:p>
    <w:p w14:paraId="30C6D7FE" w14:textId="77777777" w:rsidR="00FB6A23" w:rsidRPr="00A458D9" w:rsidRDefault="00FB6A23" w:rsidP="00FB6A23">
      <w:pPr>
        <w:spacing w:line="276" w:lineRule="auto"/>
        <w:ind w:left="567" w:right="567"/>
        <w:contextualSpacing/>
        <w:jc w:val="both"/>
        <w:rPr>
          <w:rFonts w:ascii="Palatino Linotype" w:hAnsi="Palatino Linotype"/>
          <w:b/>
          <w:i/>
          <w:sz w:val="22"/>
          <w:szCs w:val="22"/>
          <w:lang w:val="es-AR"/>
        </w:rPr>
      </w:pPr>
    </w:p>
    <w:p w14:paraId="57590AF5" w14:textId="77777777" w:rsidR="00FB6A23" w:rsidRPr="00A458D9" w:rsidRDefault="00FB6A23" w:rsidP="00FB6A23">
      <w:pPr>
        <w:spacing w:line="276" w:lineRule="auto"/>
        <w:ind w:left="567" w:right="567"/>
        <w:contextualSpacing/>
        <w:jc w:val="both"/>
        <w:rPr>
          <w:rFonts w:ascii="Palatino Linotype" w:hAnsi="Palatino Linotype"/>
          <w:i/>
          <w:sz w:val="22"/>
          <w:szCs w:val="22"/>
          <w:lang w:val="es-AR"/>
        </w:rPr>
      </w:pPr>
      <w:r w:rsidRPr="00A458D9">
        <w:rPr>
          <w:rFonts w:ascii="Palatino Linotype" w:hAnsi="Palatino Linotype"/>
          <w:b/>
          <w:i/>
          <w:sz w:val="22"/>
          <w:szCs w:val="22"/>
          <w:lang w:val="es-AR"/>
        </w:rPr>
        <w:t xml:space="preserve">Artículo 96 </w:t>
      </w:r>
      <w:proofErr w:type="spellStart"/>
      <w:r w:rsidRPr="00A458D9">
        <w:rPr>
          <w:rFonts w:ascii="Palatino Linotype" w:hAnsi="Palatino Linotype"/>
          <w:b/>
          <w:i/>
          <w:sz w:val="22"/>
          <w:szCs w:val="22"/>
          <w:lang w:val="es-AR"/>
        </w:rPr>
        <w:t>Quáter</w:t>
      </w:r>
      <w:proofErr w:type="spellEnd"/>
      <w:r w:rsidRPr="00A458D9">
        <w:rPr>
          <w:rFonts w:ascii="Palatino Linotype" w:hAnsi="Palatino Linotype"/>
          <w:b/>
          <w:i/>
          <w:sz w:val="22"/>
          <w:szCs w:val="22"/>
          <w:lang w:val="es-AR"/>
        </w:rPr>
        <w:t>. - El Titular de la Dirección de Desarrollo Económico Municipal</w:t>
      </w:r>
      <w:r w:rsidRPr="00A458D9">
        <w:rPr>
          <w:rFonts w:ascii="Palatino Linotype" w:hAnsi="Palatino Linotype"/>
          <w:i/>
          <w:sz w:val="22"/>
          <w:szCs w:val="22"/>
          <w:lang w:val="es-AR"/>
        </w:rPr>
        <w:t xml:space="preserve"> o el Titular de la Unidad Administrativa equivalente, tiene las siguientes atribuciones:</w:t>
      </w:r>
    </w:p>
    <w:p w14:paraId="0E06311F" w14:textId="77777777" w:rsidR="00FB6A23" w:rsidRPr="00A458D9" w:rsidRDefault="00FB6A23" w:rsidP="00FB6A23">
      <w:pPr>
        <w:spacing w:line="276" w:lineRule="auto"/>
        <w:ind w:left="567" w:right="567"/>
        <w:contextualSpacing/>
        <w:jc w:val="both"/>
        <w:rPr>
          <w:rFonts w:ascii="Palatino Linotype" w:hAnsi="Palatino Linotype"/>
          <w:i/>
          <w:sz w:val="22"/>
          <w:szCs w:val="22"/>
          <w:lang w:val="es-AR"/>
        </w:rPr>
      </w:pPr>
      <w:r w:rsidRPr="00A458D9">
        <w:rPr>
          <w:rFonts w:ascii="Palatino Linotype" w:hAnsi="Palatino Linotype"/>
          <w:i/>
          <w:sz w:val="22"/>
          <w:szCs w:val="22"/>
          <w:lang w:val="es-AR"/>
        </w:rPr>
        <w:t>(…)</w:t>
      </w:r>
    </w:p>
    <w:p w14:paraId="1E973D1E" w14:textId="77777777" w:rsidR="00FB6A23" w:rsidRPr="00A458D9" w:rsidRDefault="00FB6A23" w:rsidP="00FB6A23">
      <w:pPr>
        <w:autoSpaceDE w:val="0"/>
        <w:autoSpaceDN w:val="0"/>
        <w:adjustRightInd w:val="0"/>
        <w:spacing w:line="276" w:lineRule="auto"/>
        <w:ind w:left="567" w:right="567"/>
        <w:jc w:val="both"/>
        <w:rPr>
          <w:rFonts w:ascii="Palatino Linotype" w:hAnsi="Palatino Linotype" w:cs="Bookman Old Style"/>
          <w:b/>
          <w:i/>
          <w:color w:val="000000"/>
          <w:sz w:val="22"/>
          <w:szCs w:val="22"/>
        </w:rPr>
      </w:pPr>
      <w:r w:rsidRPr="00A458D9">
        <w:rPr>
          <w:rFonts w:ascii="Palatino Linotype" w:hAnsi="Palatino Linotype" w:cs="Bookman Old Style"/>
          <w:b/>
          <w:i/>
          <w:color w:val="000000"/>
          <w:sz w:val="22"/>
          <w:szCs w:val="22"/>
        </w:rPr>
        <w:t>XVIII.</w:t>
      </w:r>
      <w:r w:rsidRPr="00A458D9">
        <w:rPr>
          <w:rFonts w:ascii="Palatino Linotype" w:hAnsi="Palatino Linotype" w:cs="Bookman Old Style"/>
          <w:i/>
          <w:color w:val="000000"/>
          <w:sz w:val="22"/>
          <w:szCs w:val="22"/>
        </w:rPr>
        <w:t xml:space="preserve"> Conducir la coordinación interinstitucional de las dependencias municipales a las que corresponda </w:t>
      </w:r>
      <w:r w:rsidRPr="00A458D9">
        <w:rPr>
          <w:rFonts w:ascii="Palatino Linotype" w:hAnsi="Palatino Linotype" w:cs="Bookman Old Style"/>
          <w:b/>
          <w:bCs/>
          <w:i/>
          <w:color w:val="000000"/>
          <w:sz w:val="22"/>
          <w:szCs w:val="22"/>
        </w:rPr>
        <w:t>conocer sobre el otorgamiento de permisos y licencias para la apertura y funcionamiento de unidades económicas</w:t>
      </w:r>
      <w:r w:rsidRPr="00A458D9">
        <w:rPr>
          <w:rFonts w:ascii="Palatino Linotype" w:hAnsi="Palatino Linotype" w:cs="Bookman Old Style"/>
          <w:b/>
          <w:i/>
          <w:color w:val="000000"/>
          <w:sz w:val="22"/>
          <w:szCs w:val="22"/>
        </w:rPr>
        <w:t xml:space="preserve">; </w:t>
      </w:r>
    </w:p>
    <w:p w14:paraId="2B106CFC" w14:textId="77777777" w:rsidR="00FB6A23" w:rsidRPr="00A458D9" w:rsidRDefault="00FB6A23" w:rsidP="00FB6A23">
      <w:pPr>
        <w:autoSpaceDE w:val="0"/>
        <w:autoSpaceDN w:val="0"/>
        <w:adjustRightInd w:val="0"/>
        <w:spacing w:line="276" w:lineRule="auto"/>
        <w:ind w:left="567" w:right="567"/>
        <w:jc w:val="both"/>
        <w:rPr>
          <w:rFonts w:ascii="Palatino Linotype" w:hAnsi="Palatino Linotype" w:cs="Bookman Old Style"/>
          <w:i/>
          <w:color w:val="000000"/>
          <w:sz w:val="22"/>
          <w:szCs w:val="22"/>
        </w:rPr>
      </w:pPr>
    </w:p>
    <w:p w14:paraId="3031C528" w14:textId="77777777" w:rsidR="00FB6A23" w:rsidRPr="00A458D9" w:rsidRDefault="00FB6A23" w:rsidP="00FB6A23">
      <w:pPr>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Para tal efecto, deberá garantizar que el otorgamiento de la licencia no esté sujeto al pago de contribuciones ni a donación alguna; la exigencia de cargas tributarias, dádivas o </w:t>
      </w:r>
      <w:r w:rsidRPr="00A458D9">
        <w:rPr>
          <w:rFonts w:ascii="Palatino Linotype" w:hAnsi="Palatino Linotype" w:cs="Bookman Old Style"/>
          <w:i/>
          <w:color w:val="000000"/>
          <w:sz w:val="22"/>
          <w:szCs w:val="22"/>
        </w:rPr>
        <w:lastRenderedPageBreak/>
        <w:t xml:space="preserve">cualquier otro concepto que condicione su expedición será sancionada en términos de la Ley de Responsabilidades Administrativas del Estado de México y Municipios. </w:t>
      </w:r>
    </w:p>
    <w:p w14:paraId="00655F8F" w14:textId="77777777" w:rsidR="00FB6A23" w:rsidRPr="00A458D9" w:rsidRDefault="00FB6A23" w:rsidP="00FB6A23">
      <w:pPr>
        <w:spacing w:line="276" w:lineRule="auto"/>
        <w:ind w:left="567" w:right="567"/>
        <w:contextualSpacing/>
        <w:jc w:val="both"/>
        <w:rPr>
          <w:rFonts w:ascii="Palatino Linotype" w:hAnsi="Palatino Linotype" w:cs="Bookman Old Style"/>
          <w:b/>
          <w:i/>
          <w:color w:val="000000"/>
          <w:sz w:val="22"/>
          <w:szCs w:val="22"/>
        </w:rPr>
      </w:pPr>
    </w:p>
    <w:p w14:paraId="4C0FA420" w14:textId="77777777" w:rsidR="00FB6A23" w:rsidRPr="00A458D9" w:rsidRDefault="00FB6A23" w:rsidP="00FB6A23">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b/>
          <w:i/>
          <w:color w:val="000000"/>
          <w:sz w:val="22"/>
          <w:szCs w:val="22"/>
        </w:rPr>
        <w:t xml:space="preserve">XIX. Operar y actualizar el Registro Municipal de Unidades Económicas de los permisos </w:t>
      </w:r>
      <w:r w:rsidRPr="00A458D9">
        <w:rPr>
          <w:rFonts w:ascii="Palatino Linotype" w:hAnsi="Palatino Linotype" w:cs="Bookman Old Style"/>
          <w:b/>
          <w:bCs/>
          <w:i/>
          <w:color w:val="000000"/>
          <w:sz w:val="22"/>
          <w:szCs w:val="22"/>
        </w:rPr>
        <w:t>o licencias de funcionamiento otorgadas a las unidades económicas respectivas</w:t>
      </w:r>
      <w:r w:rsidRPr="00A458D9">
        <w:rPr>
          <w:rFonts w:ascii="Palatino Linotype" w:hAnsi="Palatino Linotype" w:cs="Bookman Old Style"/>
          <w:i/>
          <w:color w:val="000000"/>
          <w:sz w:val="22"/>
          <w:szCs w:val="22"/>
        </w:rPr>
        <w:t xml:space="preserve">, así como remitir dentro de los cinco días hábiles siguientes los datos generados al Sistema que al efecto integre la Secretaría de Desarrollo Económico, a la Secretaría de Seguridad y a la </w:t>
      </w:r>
      <w:proofErr w:type="gramStart"/>
      <w:r w:rsidRPr="00A458D9">
        <w:rPr>
          <w:rFonts w:ascii="Palatino Linotype" w:hAnsi="Palatino Linotype" w:cs="Bookman Old Style"/>
          <w:i/>
          <w:color w:val="000000"/>
          <w:sz w:val="22"/>
          <w:szCs w:val="22"/>
        </w:rPr>
        <w:t>Fiscalía General</w:t>
      </w:r>
      <w:proofErr w:type="gramEnd"/>
      <w:r w:rsidRPr="00A458D9">
        <w:rPr>
          <w:rFonts w:ascii="Palatino Linotype" w:hAnsi="Palatino Linotype" w:cs="Bookman Old Style"/>
          <w:i/>
          <w:color w:val="000000"/>
          <w:sz w:val="22"/>
          <w:szCs w:val="22"/>
        </w:rPr>
        <w:t xml:space="preserve"> de Justicia del Estado de México, la información respectiva;”</w:t>
      </w:r>
    </w:p>
    <w:p w14:paraId="0F183BCB" w14:textId="77777777" w:rsidR="00FB6A23" w:rsidRPr="00A458D9" w:rsidRDefault="00FB6A23" w:rsidP="00FB6A23">
      <w:pPr>
        <w:rPr>
          <w:lang w:val="es-AR"/>
        </w:rPr>
      </w:pPr>
    </w:p>
    <w:p w14:paraId="2FBA8648" w14:textId="77777777" w:rsidR="00FB6A23" w:rsidRPr="00A458D9" w:rsidRDefault="00FB6A23" w:rsidP="00FB6A23">
      <w:pPr>
        <w:spacing w:before="240" w:line="360" w:lineRule="auto"/>
        <w:jc w:val="both"/>
        <w:rPr>
          <w:rFonts w:ascii="Palatino Linotype" w:hAnsi="Palatino Linotype" w:cs="Arial"/>
        </w:rPr>
      </w:pPr>
      <w:r w:rsidRPr="00A458D9">
        <w:rPr>
          <w:rFonts w:ascii="Palatino Linotype" w:hAnsi="Palatino Linotype"/>
          <w:bCs/>
        </w:rPr>
        <w:t>Por su parte, los artículos 1</w:t>
      </w:r>
      <w:r w:rsidR="0062657D" w:rsidRPr="00A458D9">
        <w:rPr>
          <w:rFonts w:ascii="Palatino Linotype" w:hAnsi="Palatino Linotype"/>
          <w:bCs/>
        </w:rPr>
        <w:t>96 al 199</w:t>
      </w:r>
      <w:r w:rsidR="00725587" w:rsidRPr="00A458D9">
        <w:rPr>
          <w:rFonts w:ascii="Palatino Linotype" w:hAnsi="Palatino Linotype"/>
          <w:bCs/>
        </w:rPr>
        <w:t xml:space="preserve"> y</w:t>
      </w:r>
      <w:r w:rsidR="00B70BCA" w:rsidRPr="00A458D9">
        <w:rPr>
          <w:rFonts w:ascii="Palatino Linotype" w:hAnsi="Palatino Linotype"/>
          <w:bCs/>
        </w:rPr>
        <w:t xml:space="preserve"> 232 al 235</w:t>
      </w:r>
      <w:r w:rsidRPr="00A458D9">
        <w:rPr>
          <w:rFonts w:ascii="Palatino Linotype" w:hAnsi="Palatino Linotype"/>
          <w:bCs/>
        </w:rPr>
        <w:t xml:space="preserve"> d</w:t>
      </w:r>
      <w:r w:rsidRPr="00A458D9">
        <w:rPr>
          <w:rFonts w:ascii="Palatino Linotype" w:hAnsi="Palatino Linotype" w:cs="Arial"/>
        </w:rPr>
        <w:t xml:space="preserve">el Bando Municipal de Chimalhuacán para el año 2022, </w:t>
      </w:r>
      <w:r w:rsidR="00B70BCA" w:rsidRPr="00A458D9">
        <w:rPr>
          <w:rFonts w:ascii="Palatino Linotype" w:hAnsi="Palatino Linotype" w:cs="Arial"/>
        </w:rPr>
        <w:t xml:space="preserve">que </w:t>
      </w:r>
      <w:r w:rsidRPr="00A458D9">
        <w:rPr>
          <w:rFonts w:ascii="Palatino Linotype" w:hAnsi="Palatino Linotype" w:cs="Arial"/>
        </w:rPr>
        <w:t>establecen lo siguiente:</w:t>
      </w:r>
    </w:p>
    <w:p w14:paraId="21BE4017" w14:textId="77777777" w:rsidR="00E85DFD" w:rsidRPr="00A458D9" w:rsidRDefault="00E85DFD" w:rsidP="00FB6A23">
      <w:pPr>
        <w:spacing w:line="276" w:lineRule="auto"/>
        <w:ind w:left="567" w:right="567"/>
        <w:contextualSpacing/>
        <w:jc w:val="both"/>
        <w:rPr>
          <w:rFonts w:ascii="Palatino Linotype" w:hAnsi="Palatino Linotype" w:cs="Bookman Old Style"/>
          <w:i/>
          <w:color w:val="000000"/>
          <w:sz w:val="22"/>
          <w:szCs w:val="22"/>
        </w:rPr>
      </w:pPr>
    </w:p>
    <w:p w14:paraId="1AAD7438" w14:textId="77777777" w:rsidR="00B70BCA" w:rsidRPr="00A458D9" w:rsidRDefault="00B70BCA" w:rsidP="00FB6A23">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w:t>
      </w:r>
      <w:r w:rsidR="00FB6A23" w:rsidRPr="00A458D9">
        <w:rPr>
          <w:rFonts w:ascii="Palatino Linotype" w:hAnsi="Palatino Linotype" w:cs="Bookman Old Style"/>
          <w:b/>
          <w:i/>
          <w:color w:val="000000"/>
          <w:sz w:val="22"/>
          <w:szCs w:val="22"/>
        </w:rPr>
        <w:t>Artículo 196.- Cualquier persona podrá desempeñar actividades comerciales, industriales y de prestación de servicios en el Municipio</w:t>
      </w:r>
      <w:r w:rsidR="00FB6A23" w:rsidRPr="00A458D9">
        <w:rPr>
          <w:rFonts w:ascii="Palatino Linotype" w:hAnsi="Palatino Linotype" w:cs="Bookman Old Style"/>
          <w:i/>
          <w:color w:val="000000"/>
          <w:sz w:val="22"/>
          <w:szCs w:val="22"/>
        </w:rPr>
        <w:t xml:space="preserve">, siempre y cuando haya cumplido con los lineamientos establecidos en el Código Administrativo del Estado de México, la Ley de Competitividad y Ordenamiento Comercial del Estado de México; su Reglamento, el presente Bando, y demás disposiciones jurídicas aplicables al asunto en particular. </w:t>
      </w:r>
    </w:p>
    <w:p w14:paraId="0B505539" w14:textId="77777777" w:rsidR="00B70BCA" w:rsidRPr="00A458D9" w:rsidRDefault="00FB6A23" w:rsidP="00FB6A23">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A</w:t>
      </w:r>
      <w:r w:rsidRPr="00A458D9">
        <w:rPr>
          <w:rFonts w:ascii="Palatino Linotype" w:hAnsi="Palatino Linotype" w:cs="Bookman Old Style"/>
          <w:b/>
          <w:i/>
          <w:color w:val="000000"/>
          <w:sz w:val="22"/>
          <w:szCs w:val="22"/>
        </w:rPr>
        <w:t>rtículo 197.- Las actividades comerciales y la prestación de servicios, podrán realizarse en establecimientos fijos</w:t>
      </w:r>
      <w:r w:rsidRPr="00A458D9">
        <w:rPr>
          <w:rFonts w:ascii="Palatino Linotype" w:hAnsi="Palatino Linotype" w:cs="Bookman Old Style"/>
          <w:i/>
          <w:color w:val="000000"/>
          <w:sz w:val="22"/>
          <w:szCs w:val="22"/>
        </w:rPr>
        <w:t xml:space="preserve">, semifijos y ambulantes y en la vía pública, de manera permanente o temporal, conforme a las disposiciones jurídicas establecidas. </w:t>
      </w:r>
    </w:p>
    <w:p w14:paraId="23E22D1F" w14:textId="77777777" w:rsidR="00FF7E92" w:rsidRPr="00A458D9" w:rsidRDefault="00FF7E92" w:rsidP="00FB6A23">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w:t>
      </w:r>
    </w:p>
    <w:p w14:paraId="36E9C7B1" w14:textId="77777777" w:rsidR="00785BD9" w:rsidRPr="00A458D9" w:rsidRDefault="00FB6A23" w:rsidP="00B70BCA">
      <w:pPr>
        <w:spacing w:line="276" w:lineRule="auto"/>
        <w:ind w:left="567" w:right="567"/>
        <w:contextualSpacing/>
        <w:jc w:val="both"/>
        <w:rPr>
          <w:rFonts w:ascii="Palatino Linotype" w:hAnsi="Palatino Linotype" w:cs="Bookman Old Style"/>
          <w:b/>
          <w:i/>
          <w:color w:val="000000"/>
          <w:sz w:val="22"/>
          <w:szCs w:val="22"/>
        </w:rPr>
      </w:pPr>
      <w:r w:rsidRPr="00A458D9">
        <w:rPr>
          <w:rFonts w:ascii="Palatino Linotype" w:hAnsi="Palatino Linotype" w:cs="Bookman Old Style"/>
          <w:b/>
          <w:i/>
          <w:color w:val="000000"/>
          <w:sz w:val="22"/>
          <w:szCs w:val="22"/>
        </w:rPr>
        <w:t xml:space="preserve">Artículo 199.- En todos los casos para ejercer actividades comerciales, industriales y de prestación de servicios, se requerirá previa autorización de la </w:t>
      </w:r>
      <w:proofErr w:type="gramStart"/>
      <w:r w:rsidRPr="00A458D9">
        <w:rPr>
          <w:rFonts w:ascii="Palatino Linotype" w:hAnsi="Palatino Linotype" w:cs="Bookman Old Style"/>
          <w:b/>
          <w:i/>
          <w:color w:val="000000"/>
          <w:sz w:val="22"/>
          <w:szCs w:val="22"/>
        </w:rPr>
        <w:t>Presidente</w:t>
      </w:r>
      <w:proofErr w:type="gramEnd"/>
      <w:r w:rsidRPr="00A458D9">
        <w:rPr>
          <w:rFonts w:ascii="Palatino Linotype" w:hAnsi="Palatino Linotype" w:cs="Bookman Old Style"/>
          <w:b/>
          <w:i/>
          <w:color w:val="000000"/>
          <w:sz w:val="22"/>
          <w:szCs w:val="22"/>
        </w:rPr>
        <w:t xml:space="preserve"> Municipal. </w:t>
      </w:r>
    </w:p>
    <w:p w14:paraId="419EAB71" w14:textId="77777777" w:rsidR="00725587" w:rsidRPr="00A458D9" w:rsidRDefault="00725587" w:rsidP="0062657D">
      <w:pPr>
        <w:spacing w:line="276" w:lineRule="auto"/>
        <w:ind w:left="567" w:right="567"/>
        <w:contextualSpacing/>
        <w:jc w:val="both"/>
        <w:rPr>
          <w:rFonts w:ascii="Palatino Linotype" w:hAnsi="Palatino Linotype" w:cs="Bookman Old Style"/>
          <w:i/>
          <w:color w:val="000000"/>
          <w:sz w:val="22"/>
          <w:szCs w:val="22"/>
        </w:rPr>
      </w:pPr>
      <w:r w:rsidRPr="00A458D9">
        <w:t>…</w:t>
      </w:r>
    </w:p>
    <w:p w14:paraId="7F23D53B" w14:textId="77777777" w:rsidR="00FF7E92" w:rsidRPr="00A458D9" w:rsidRDefault="00B70BCA" w:rsidP="00B70BCA">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b/>
          <w:i/>
          <w:color w:val="000000"/>
          <w:sz w:val="22"/>
          <w:szCs w:val="22"/>
        </w:rPr>
        <w:t>Artículo 232.- El Ayuntamiento, por conducto del Departamento de Mercados, ejercerá la prestación del servicio público de mercados</w:t>
      </w:r>
      <w:r w:rsidRPr="00A458D9">
        <w:rPr>
          <w:rFonts w:ascii="Palatino Linotype" w:hAnsi="Palatino Linotype" w:cs="Bookman Old Style"/>
          <w:i/>
          <w:color w:val="000000"/>
          <w:sz w:val="22"/>
          <w:szCs w:val="22"/>
        </w:rPr>
        <w:t xml:space="preserve">, estando sujeto, entre otras, a las disposiciones contenidas en el presente Bando y demás disposiciones jurídicas aplicables. </w:t>
      </w:r>
    </w:p>
    <w:p w14:paraId="1CB827B4" w14:textId="77777777" w:rsidR="00B70BCA" w:rsidRPr="00A458D9" w:rsidRDefault="00B70BCA" w:rsidP="00B70BCA">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b/>
          <w:i/>
          <w:color w:val="000000"/>
          <w:sz w:val="22"/>
          <w:szCs w:val="22"/>
        </w:rPr>
        <w:lastRenderedPageBreak/>
        <w:t>Artículo 233.- Corresponde al Ayuntamiento, a través del Departamento de Mercados, la prestación del servicio público de mercados</w:t>
      </w:r>
      <w:r w:rsidRPr="00A458D9">
        <w:rPr>
          <w:rFonts w:ascii="Palatino Linotype" w:hAnsi="Palatino Linotype" w:cs="Bookman Old Style"/>
          <w:i/>
          <w:color w:val="000000"/>
          <w:sz w:val="22"/>
          <w:szCs w:val="22"/>
        </w:rPr>
        <w:t xml:space="preserve">; sin embargo, podrá ser concesionado a particulares en términos de la normatividad aplicable. </w:t>
      </w:r>
    </w:p>
    <w:p w14:paraId="5FD7F430" w14:textId="77777777" w:rsidR="00B70BCA" w:rsidRPr="00A458D9" w:rsidRDefault="00B70BCA" w:rsidP="00B70BCA">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Dicha concesión se realizará a través de una convocatoria pública, en términos de la normatividad aplicable. </w:t>
      </w:r>
    </w:p>
    <w:p w14:paraId="7ABFC06F" w14:textId="77777777" w:rsidR="00B70BCA" w:rsidRPr="00A458D9" w:rsidRDefault="00B70BCA" w:rsidP="00B70BCA">
      <w:pPr>
        <w:spacing w:line="276" w:lineRule="auto"/>
        <w:ind w:left="567" w:right="567"/>
        <w:contextualSpacing/>
        <w:jc w:val="both"/>
        <w:rPr>
          <w:rFonts w:ascii="Palatino Linotype" w:hAnsi="Palatino Linotype" w:cs="Bookman Old Style"/>
          <w:b/>
          <w:i/>
          <w:color w:val="000000"/>
          <w:sz w:val="22"/>
          <w:szCs w:val="22"/>
        </w:rPr>
      </w:pPr>
      <w:r w:rsidRPr="00A458D9">
        <w:rPr>
          <w:rFonts w:ascii="Palatino Linotype" w:hAnsi="Palatino Linotype" w:cs="Bookman Old Style"/>
          <w:b/>
          <w:i/>
          <w:color w:val="000000"/>
          <w:sz w:val="22"/>
          <w:szCs w:val="22"/>
        </w:rPr>
        <w:t xml:space="preserve">Los particulares que resulten beneficiarios </w:t>
      </w:r>
      <w:r w:rsidRPr="00A458D9">
        <w:rPr>
          <w:rFonts w:ascii="Palatino Linotype" w:hAnsi="Palatino Linotype" w:cs="Bookman Old Style"/>
          <w:b/>
          <w:i/>
          <w:color w:val="000000"/>
          <w:sz w:val="22"/>
          <w:szCs w:val="22"/>
          <w:u w:val="single"/>
        </w:rPr>
        <w:t>se les otorgará la concesión</w:t>
      </w:r>
      <w:r w:rsidRPr="00A458D9">
        <w:rPr>
          <w:rFonts w:ascii="Palatino Linotype" w:hAnsi="Palatino Linotype" w:cs="Bookman Old Style"/>
          <w:b/>
          <w:i/>
          <w:color w:val="000000"/>
          <w:sz w:val="22"/>
          <w:szCs w:val="22"/>
        </w:rPr>
        <w:t xml:space="preserve"> a través de un instrumento jurídico, el cual precisará el derecho que tiene el particular a prestar el servicio en los términos y condiciones acordados y la obligación del pago de derechos que por el uso y aprovechamiento de bienes del dominio público genere en términos de lo establecido en el Código Financiero y demás normatividad aplicable, lo anterior sin perjuicio de las contribuciones que se generen por el uso de los servicios públicos a los que se tengan acceso. </w:t>
      </w:r>
    </w:p>
    <w:p w14:paraId="29464ADA" w14:textId="77777777" w:rsidR="00B70BCA" w:rsidRPr="00A458D9" w:rsidRDefault="00B70BCA" w:rsidP="00B70BCA">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Artículo 234.- Cuando de conformidad con las disposiciones jurídicas aplicables, el Ayuntamiento concesione la prestación conjunta del servicio público de mercados, deberá reservarse la planeación, organización, dirección y supervisión correspondiente conforme a las disposiciones que para tal efecto dicte el Ayuntamiento. </w:t>
      </w:r>
    </w:p>
    <w:p w14:paraId="08B24FA9" w14:textId="77777777" w:rsidR="00B70BCA" w:rsidRPr="00A458D9" w:rsidRDefault="00B70BCA" w:rsidP="00B70BCA">
      <w:pPr>
        <w:spacing w:line="276" w:lineRule="auto"/>
        <w:ind w:left="567" w:right="567"/>
        <w:contextualSpacing/>
        <w:jc w:val="both"/>
        <w:rPr>
          <w:rFonts w:ascii="Palatino Linotype" w:hAnsi="Palatino Linotype" w:cs="Bookman Old Style"/>
          <w:b/>
          <w:i/>
          <w:color w:val="000000"/>
          <w:sz w:val="22"/>
          <w:szCs w:val="22"/>
        </w:rPr>
      </w:pPr>
      <w:r w:rsidRPr="00A458D9">
        <w:rPr>
          <w:rFonts w:ascii="Palatino Linotype" w:hAnsi="Palatino Linotype" w:cs="Bookman Old Style"/>
          <w:b/>
          <w:i/>
          <w:color w:val="000000"/>
          <w:sz w:val="22"/>
          <w:szCs w:val="22"/>
        </w:rPr>
        <w:t xml:space="preserve">Artículo 235.- La distribución y disposición de los espacios o locales ubicados en el interior de los mercados serán determinadas por el área competente, atendiendo los proyectos arquitectónicos de los mismos. </w:t>
      </w:r>
    </w:p>
    <w:p w14:paraId="3BA6BE4B" w14:textId="77777777" w:rsidR="00B70BCA" w:rsidRPr="00A458D9" w:rsidRDefault="00B70BCA" w:rsidP="00B70BCA">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b/>
          <w:i/>
          <w:color w:val="000000"/>
          <w:sz w:val="22"/>
          <w:szCs w:val="22"/>
        </w:rPr>
        <w:t>El Departamento de Mercados deberá contar con un padrón de las personas locatarias y un archivo administrativo, los cuales deberá mantener actualizados</w:t>
      </w:r>
      <w:proofErr w:type="gramStart"/>
      <w:r w:rsidRPr="00A458D9">
        <w:rPr>
          <w:rFonts w:ascii="Palatino Linotype" w:hAnsi="Palatino Linotype" w:cs="Bookman Old Style"/>
          <w:i/>
          <w:color w:val="000000"/>
          <w:sz w:val="22"/>
          <w:szCs w:val="22"/>
        </w:rPr>
        <w:t>.”(</w:t>
      </w:r>
      <w:proofErr w:type="gramEnd"/>
      <w:r w:rsidRPr="00A458D9">
        <w:rPr>
          <w:rFonts w:ascii="Palatino Linotype" w:hAnsi="Palatino Linotype" w:cs="Bookman Old Style"/>
          <w:i/>
          <w:color w:val="000000"/>
          <w:sz w:val="22"/>
          <w:szCs w:val="22"/>
        </w:rPr>
        <w:t>Sic)</w:t>
      </w:r>
    </w:p>
    <w:p w14:paraId="06DF0A0F" w14:textId="77777777" w:rsidR="00B70BCA" w:rsidRPr="00A458D9" w:rsidRDefault="00B70BCA" w:rsidP="00785BD9">
      <w:pPr>
        <w:spacing w:before="240" w:line="360" w:lineRule="auto"/>
        <w:jc w:val="both"/>
        <w:rPr>
          <w:rFonts w:ascii="Palatino Linotype" w:hAnsi="Palatino Linotype" w:cs="Arial"/>
        </w:rPr>
      </w:pPr>
      <w:r w:rsidRPr="00A458D9">
        <w:rPr>
          <w:rFonts w:ascii="Palatino Linotype" w:eastAsia="Palatino Linotype" w:hAnsi="Palatino Linotype" w:cs="Palatino Linotype"/>
        </w:rPr>
        <w:t>Preceptos legales, que en su conjunto establecen que todo ciudadano que pretenda realizar actividades económicas, de comercio o prestador de servicio, deberá tener un permiso</w:t>
      </w:r>
      <w:r w:rsidR="00FF7E92" w:rsidRPr="00A458D9">
        <w:rPr>
          <w:rFonts w:ascii="Palatino Linotype" w:eastAsia="Palatino Linotype" w:hAnsi="Palatino Linotype" w:cs="Palatino Linotype"/>
        </w:rPr>
        <w:t xml:space="preserve"> o licencia de funcionamiento</w:t>
      </w:r>
      <w:r w:rsidRPr="00A458D9">
        <w:rPr>
          <w:rFonts w:ascii="Palatino Linotype" w:eastAsia="Palatino Linotype" w:hAnsi="Palatino Linotype" w:cs="Palatino Linotype"/>
        </w:rPr>
        <w:t xml:space="preserve"> expedido por el Presidente Municipal</w:t>
      </w:r>
      <w:r w:rsidR="00725587" w:rsidRPr="00A458D9">
        <w:rPr>
          <w:rFonts w:ascii="Palatino Linotype" w:eastAsia="Palatino Linotype" w:hAnsi="Palatino Linotype" w:cs="Palatino Linotype"/>
        </w:rPr>
        <w:t>, en el presente caso en</w:t>
      </w:r>
      <w:r w:rsidRPr="00A458D9">
        <w:rPr>
          <w:rFonts w:ascii="Palatino Linotype" w:eastAsia="Palatino Linotype" w:hAnsi="Palatino Linotype" w:cs="Palatino Linotype"/>
        </w:rPr>
        <w:t xml:space="preserve"> particular</w:t>
      </w:r>
      <w:r w:rsidR="00725587" w:rsidRPr="00A458D9">
        <w:rPr>
          <w:rFonts w:ascii="Palatino Linotype" w:eastAsia="Palatino Linotype" w:hAnsi="Palatino Linotype" w:cs="Palatino Linotype"/>
        </w:rPr>
        <w:t>,</w:t>
      </w:r>
      <w:r w:rsidRPr="00A458D9">
        <w:rPr>
          <w:rFonts w:ascii="Palatino Linotype" w:eastAsia="Palatino Linotype" w:hAnsi="Palatino Linotype" w:cs="Palatino Linotype"/>
        </w:rPr>
        <w:t xml:space="preserve"> </w:t>
      </w:r>
      <w:r w:rsidR="00725587" w:rsidRPr="00A458D9">
        <w:rPr>
          <w:rFonts w:ascii="Palatino Linotype" w:eastAsia="Palatino Linotype" w:hAnsi="Palatino Linotype" w:cs="Palatino Linotype"/>
        </w:rPr>
        <w:t xml:space="preserve">el comercio </w:t>
      </w:r>
      <w:r w:rsidR="00FF7E92" w:rsidRPr="00A458D9">
        <w:rPr>
          <w:rFonts w:ascii="Palatino Linotype" w:eastAsia="Palatino Linotype" w:hAnsi="Palatino Linotype" w:cs="Palatino Linotype"/>
        </w:rPr>
        <w:t xml:space="preserve">que </w:t>
      </w:r>
      <w:r w:rsidR="00725587" w:rsidRPr="00A458D9">
        <w:rPr>
          <w:rFonts w:ascii="Palatino Linotype" w:eastAsia="Palatino Linotype" w:hAnsi="Palatino Linotype" w:cs="Palatino Linotype"/>
        </w:rPr>
        <w:t xml:space="preserve">se ejerza </w:t>
      </w:r>
      <w:r w:rsidRPr="00A458D9">
        <w:rPr>
          <w:rFonts w:ascii="Palatino Linotype" w:eastAsia="Palatino Linotype" w:hAnsi="Palatino Linotype" w:cs="Palatino Linotype"/>
        </w:rPr>
        <w:t>dentro de los Mercados</w:t>
      </w:r>
      <w:r w:rsidR="00725587" w:rsidRPr="00A458D9">
        <w:rPr>
          <w:rFonts w:ascii="Palatino Linotype" w:eastAsia="Palatino Linotype" w:hAnsi="Palatino Linotype" w:cs="Palatino Linotype"/>
        </w:rPr>
        <w:t>,</w:t>
      </w:r>
      <w:r w:rsidRPr="00A458D9">
        <w:rPr>
          <w:rFonts w:ascii="Palatino Linotype" w:eastAsia="Palatino Linotype" w:hAnsi="Palatino Linotype" w:cs="Palatino Linotype"/>
        </w:rPr>
        <w:t xml:space="preserve"> el Departamento de Mercados</w:t>
      </w:r>
      <w:r w:rsidR="00725587" w:rsidRPr="00A458D9">
        <w:rPr>
          <w:rFonts w:ascii="Palatino Linotype" w:eastAsia="Palatino Linotype" w:hAnsi="Palatino Linotype" w:cs="Palatino Linotype"/>
        </w:rPr>
        <w:t xml:space="preserve"> del </w:t>
      </w:r>
      <w:r w:rsidR="00725587"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perteneciente a la Tesorería Municipal </w:t>
      </w:r>
      <w:r w:rsidR="00725587" w:rsidRPr="00A458D9">
        <w:rPr>
          <w:rFonts w:ascii="Palatino Linotype" w:eastAsia="Palatino Linotype" w:hAnsi="Palatino Linotype" w:cs="Palatino Linotype"/>
        </w:rPr>
        <w:t xml:space="preserve">del Ayuntamiento de Chimalhuacán, </w:t>
      </w:r>
      <w:r w:rsidR="00FF7E92" w:rsidRPr="00A458D9">
        <w:rPr>
          <w:rFonts w:ascii="Palatino Linotype" w:eastAsia="Palatino Linotype" w:hAnsi="Palatino Linotype" w:cs="Palatino Linotype"/>
        </w:rPr>
        <w:t xml:space="preserve">de conformidad con </w:t>
      </w:r>
      <w:r w:rsidR="00725587" w:rsidRPr="00A458D9">
        <w:rPr>
          <w:rFonts w:ascii="Palatino Linotype" w:eastAsia="Palatino Linotype" w:hAnsi="Palatino Linotype" w:cs="Palatino Linotype"/>
        </w:rPr>
        <w:t xml:space="preserve">el artículo 226 </w:t>
      </w:r>
      <w:r w:rsidR="00725587" w:rsidRPr="00A458D9">
        <w:rPr>
          <w:rFonts w:ascii="Palatino Linotype" w:hAnsi="Palatino Linotype" w:cs="Arial"/>
        </w:rPr>
        <w:t>Bando Municipal de Chimalhuacán para el año 2022, que establece:</w:t>
      </w:r>
    </w:p>
    <w:p w14:paraId="35918784" w14:textId="77777777" w:rsidR="0062657D" w:rsidRPr="00A458D9" w:rsidRDefault="0062657D" w:rsidP="00725587">
      <w:pPr>
        <w:spacing w:line="276" w:lineRule="auto"/>
        <w:ind w:left="567" w:right="567"/>
        <w:contextualSpacing/>
        <w:jc w:val="both"/>
        <w:rPr>
          <w:rFonts w:ascii="Palatino Linotype" w:hAnsi="Palatino Linotype" w:cs="Bookman Old Style"/>
          <w:i/>
          <w:color w:val="000000"/>
          <w:sz w:val="22"/>
          <w:szCs w:val="22"/>
        </w:rPr>
      </w:pPr>
    </w:p>
    <w:p w14:paraId="2B0890EC"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lastRenderedPageBreak/>
        <w:t xml:space="preserve">“Artículo 231.- Se les otorgan las facultades legales para ejercer, de manera individual o de manera conjunta, visitas domiciliarias, de inspección o vigilancia con la finalidad de verificar que todos los establecimientos que ejerzan actividades comerciales, industriales, de servicio o de cualquier otro tipo, cumplan con las disposiciones establecidas en el presente Bando Municipal y las que establezcan los demás ordenamientos legales y reglamentos de competencia municipal, para lo cual deberán sustanciar los procedimientos que establece el Código Financiero del Estado de México y Municipios, Código Administrativo del Estado de México y Código de Procedimientos Administrativos del Estado de México; otorgando la garantía de audiencia en los casos que así lo dispongan estos ordenamientos, así como el de imponer las sanciones administrativas que los mismos establecen a las </w:t>
      </w:r>
      <w:r w:rsidRPr="00A458D9">
        <w:rPr>
          <w:rFonts w:ascii="Palatino Linotype" w:hAnsi="Palatino Linotype" w:cs="Bookman Old Style"/>
          <w:b/>
          <w:i/>
          <w:color w:val="000000"/>
          <w:sz w:val="22"/>
          <w:szCs w:val="22"/>
        </w:rPr>
        <w:t>siguientes Dependencias Municipales</w:t>
      </w:r>
      <w:r w:rsidRPr="00A458D9">
        <w:rPr>
          <w:rFonts w:ascii="Palatino Linotype" w:hAnsi="Palatino Linotype" w:cs="Bookman Old Style"/>
          <w:i/>
          <w:color w:val="000000"/>
          <w:sz w:val="22"/>
          <w:szCs w:val="22"/>
        </w:rPr>
        <w:t>:</w:t>
      </w:r>
    </w:p>
    <w:p w14:paraId="02AC6988"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 a) Tesorería Municipal; </w:t>
      </w:r>
    </w:p>
    <w:p w14:paraId="2B5937EF"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1) Departamento de Vía Pública; </w:t>
      </w:r>
    </w:p>
    <w:p w14:paraId="18C3A824"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2) Departamento de Comercio Establecido; </w:t>
      </w:r>
    </w:p>
    <w:p w14:paraId="25162F2B"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3) Departamento de Espectáculos; </w:t>
      </w:r>
    </w:p>
    <w:p w14:paraId="5F1C400A" w14:textId="77777777" w:rsidR="00725587"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4</w:t>
      </w:r>
      <w:r w:rsidRPr="00A458D9">
        <w:rPr>
          <w:rFonts w:ascii="Palatino Linotype" w:hAnsi="Palatino Linotype" w:cs="Bookman Old Style"/>
          <w:b/>
          <w:i/>
          <w:color w:val="000000"/>
          <w:sz w:val="22"/>
          <w:szCs w:val="22"/>
        </w:rPr>
        <w:t>) Departamento de Mercados;</w:t>
      </w:r>
      <w:r w:rsidRPr="00A458D9">
        <w:rPr>
          <w:rFonts w:ascii="Palatino Linotype" w:hAnsi="Palatino Linotype" w:cs="Bookman Old Style"/>
          <w:i/>
          <w:color w:val="000000"/>
          <w:sz w:val="22"/>
          <w:szCs w:val="22"/>
        </w:rPr>
        <w:t xml:space="preserve"> </w:t>
      </w:r>
    </w:p>
    <w:p w14:paraId="59D19B0B" w14:textId="77777777" w:rsidR="0062657D" w:rsidRPr="00A458D9" w:rsidRDefault="00725587"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5) Departamento de Tianguis.</w:t>
      </w:r>
    </w:p>
    <w:p w14:paraId="5935E5E9" w14:textId="77777777" w:rsidR="0062657D" w:rsidRPr="00A458D9" w:rsidRDefault="0062657D"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b) Dirección General de Seguridad Ciudadana y Tránsito Municipal; </w:t>
      </w:r>
    </w:p>
    <w:p w14:paraId="03C21196" w14:textId="77777777" w:rsidR="0062657D" w:rsidRPr="00A458D9" w:rsidRDefault="0062657D"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c) Dirección General de Protección Civil y Bomberos; </w:t>
      </w:r>
    </w:p>
    <w:p w14:paraId="47295739" w14:textId="77777777" w:rsidR="0062657D" w:rsidRPr="00A458D9" w:rsidRDefault="0062657D"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d) Dirección General del Medio Ambiente y Ecología; y </w:t>
      </w:r>
    </w:p>
    <w:p w14:paraId="1803F43C" w14:textId="77777777" w:rsidR="00725587" w:rsidRPr="00A458D9" w:rsidRDefault="0062657D" w:rsidP="00725587">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e) Dirección General de Desarrollo Urbano</w:t>
      </w:r>
      <w:proofErr w:type="gramStart"/>
      <w:r w:rsidRPr="00A458D9">
        <w:rPr>
          <w:rFonts w:ascii="Palatino Linotype" w:hAnsi="Palatino Linotype" w:cs="Bookman Old Style"/>
          <w:i/>
          <w:color w:val="000000"/>
          <w:sz w:val="22"/>
          <w:szCs w:val="22"/>
        </w:rPr>
        <w:t>.</w:t>
      </w:r>
      <w:r w:rsidR="00725587" w:rsidRPr="00A458D9">
        <w:rPr>
          <w:rFonts w:ascii="Palatino Linotype" w:hAnsi="Palatino Linotype" w:cs="Bookman Old Style"/>
          <w:i/>
          <w:color w:val="000000"/>
          <w:sz w:val="22"/>
          <w:szCs w:val="22"/>
        </w:rPr>
        <w:t>”(</w:t>
      </w:r>
      <w:proofErr w:type="gramEnd"/>
      <w:r w:rsidR="00725587" w:rsidRPr="00A458D9">
        <w:rPr>
          <w:rFonts w:ascii="Palatino Linotype" w:hAnsi="Palatino Linotype" w:cs="Bookman Old Style"/>
          <w:i/>
          <w:color w:val="000000"/>
          <w:sz w:val="22"/>
          <w:szCs w:val="22"/>
        </w:rPr>
        <w:t>Sic)</w:t>
      </w:r>
    </w:p>
    <w:p w14:paraId="6ABD630F" w14:textId="77777777" w:rsidR="00725587" w:rsidRPr="00A458D9" w:rsidRDefault="00FF7E92" w:rsidP="00785BD9">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Es</w:t>
      </w:r>
      <w:r w:rsidR="0062657D" w:rsidRPr="00A458D9">
        <w:rPr>
          <w:rFonts w:ascii="Palatino Linotype" w:eastAsia="Palatino Linotype" w:hAnsi="Palatino Linotype" w:cs="Palatino Linotype"/>
        </w:rPr>
        <w:t xml:space="preserve"> el área competente que deberá expedir una concesión al particular beneficiado para ejercer la actividad económica o de comercio dentro del mercado; además que dicho Departamento tendrá la facultad de reubicar a los vendedores en términos de lo señalado por el artículo 223 y 226 del Bando</w:t>
      </w:r>
      <w:r w:rsidR="0062657D" w:rsidRPr="00A458D9">
        <w:rPr>
          <w:rFonts w:ascii="Palatino Linotype" w:hAnsi="Palatino Linotype" w:cs="Arial"/>
        </w:rPr>
        <w:t xml:space="preserve"> Municipal alusivo, que señalan:</w:t>
      </w:r>
    </w:p>
    <w:p w14:paraId="7E8E184D" w14:textId="77777777" w:rsidR="0062657D" w:rsidRPr="00A458D9" w:rsidRDefault="0062657D" w:rsidP="0062657D">
      <w:pPr>
        <w:spacing w:line="276" w:lineRule="auto"/>
        <w:ind w:left="567" w:right="567"/>
        <w:contextualSpacing/>
        <w:jc w:val="both"/>
        <w:rPr>
          <w:rFonts w:ascii="Palatino Linotype" w:hAnsi="Palatino Linotype" w:cs="Bookman Old Style"/>
          <w:b/>
          <w:i/>
          <w:color w:val="000000"/>
          <w:sz w:val="22"/>
          <w:szCs w:val="22"/>
        </w:rPr>
      </w:pPr>
    </w:p>
    <w:p w14:paraId="2C474AB8" w14:textId="77777777" w:rsidR="0062657D" w:rsidRPr="00A458D9" w:rsidRDefault="0062657D" w:rsidP="0062657D">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w:t>
      </w:r>
      <w:r w:rsidRPr="00A458D9">
        <w:rPr>
          <w:rFonts w:ascii="Palatino Linotype" w:hAnsi="Palatino Linotype" w:cs="Bookman Old Style"/>
          <w:b/>
          <w:i/>
          <w:color w:val="000000"/>
          <w:sz w:val="22"/>
          <w:szCs w:val="22"/>
        </w:rPr>
        <w:t>Artículo 223.- Corresponde al Ayuntamiento, a través de la Tesorería Municipal</w:t>
      </w:r>
      <w:r w:rsidRPr="00A458D9">
        <w:rPr>
          <w:rFonts w:ascii="Palatino Linotype" w:hAnsi="Palatino Linotype" w:cs="Bookman Old Style"/>
          <w:i/>
          <w:color w:val="000000"/>
          <w:sz w:val="22"/>
          <w:szCs w:val="22"/>
        </w:rPr>
        <w:t xml:space="preserve">, </w:t>
      </w:r>
      <w:r w:rsidRPr="00A458D9">
        <w:rPr>
          <w:rFonts w:ascii="Palatino Linotype" w:hAnsi="Palatino Linotype" w:cs="Bookman Old Style"/>
          <w:b/>
          <w:i/>
          <w:color w:val="000000"/>
          <w:sz w:val="22"/>
          <w:szCs w:val="22"/>
        </w:rPr>
        <w:t>notificar y recaudar el derecho de vía pública en los mercados</w:t>
      </w:r>
      <w:r w:rsidRPr="00A458D9">
        <w:rPr>
          <w:rFonts w:ascii="Palatino Linotype" w:hAnsi="Palatino Linotype" w:cs="Bookman Old Style"/>
          <w:i/>
          <w:color w:val="000000"/>
          <w:sz w:val="22"/>
          <w:szCs w:val="22"/>
        </w:rPr>
        <w:t xml:space="preserve">, tianguis, puestos fijos y semifijos, así como otros espacios públicos destinados al comercio, </w:t>
      </w:r>
      <w:r w:rsidRPr="00A458D9">
        <w:rPr>
          <w:rFonts w:ascii="Palatino Linotype" w:hAnsi="Palatino Linotype" w:cs="Bookman Old Style"/>
          <w:b/>
          <w:i/>
          <w:color w:val="000000"/>
          <w:sz w:val="22"/>
          <w:szCs w:val="22"/>
        </w:rPr>
        <w:t xml:space="preserve">teniendo en todo momento la facultad para ordenar, retirar y en su </w:t>
      </w:r>
      <w:r w:rsidRPr="00A458D9">
        <w:rPr>
          <w:rFonts w:ascii="Palatino Linotype" w:hAnsi="Palatino Linotype" w:cs="Bookman Old Style"/>
          <w:b/>
          <w:i/>
          <w:color w:val="000000"/>
          <w:sz w:val="22"/>
          <w:szCs w:val="22"/>
        </w:rPr>
        <w:lastRenderedPageBreak/>
        <w:t>caso reubicar a los vendedores</w:t>
      </w:r>
      <w:r w:rsidRPr="00A458D9">
        <w:rPr>
          <w:rFonts w:ascii="Palatino Linotype" w:hAnsi="Palatino Linotype" w:cs="Bookman Old Style"/>
          <w:i/>
          <w:color w:val="000000"/>
          <w:sz w:val="22"/>
          <w:szCs w:val="22"/>
        </w:rPr>
        <w:t>, de conformidad con la normatividad aplicable desde el ámbito de su competencia</w:t>
      </w:r>
    </w:p>
    <w:p w14:paraId="460A3B5A" w14:textId="77777777" w:rsidR="0062657D" w:rsidRPr="00A458D9" w:rsidRDefault="0062657D" w:rsidP="0062657D">
      <w:pPr>
        <w:spacing w:line="276" w:lineRule="auto"/>
        <w:ind w:left="567" w:right="567"/>
        <w:contextualSpacing/>
        <w:jc w:val="both"/>
        <w:rPr>
          <w:rFonts w:ascii="Palatino Linotype" w:hAnsi="Palatino Linotype" w:cs="Bookman Old Style"/>
          <w:b/>
          <w:i/>
          <w:color w:val="000000"/>
          <w:sz w:val="22"/>
          <w:szCs w:val="22"/>
        </w:rPr>
      </w:pPr>
      <w:r w:rsidRPr="00A458D9">
        <w:rPr>
          <w:rFonts w:ascii="Palatino Linotype" w:hAnsi="Palatino Linotype" w:cs="Bookman Old Style"/>
          <w:b/>
          <w:i/>
          <w:color w:val="000000"/>
          <w:sz w:val="22"/>
          <w:szCs w:val="22"/>
        </w:rPr>
        <w:t>…</w:t>
      </w:r>
    </w:p>
    <w:p w14:paraId="1193C29E" w14:textId="77777777" w:rsidR="00B70BCA" w:rsidRPr="00A458D9" w:rsidRDefault="00B70BCA" w:rsidP="0062657D">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Artículo 226.- </w:t>
      </w:r>
      <w:r w:rsidRPr="00A458D9">
        <w:rPr>
          <w:rFonts w:ascii="Palatino Linotype" w:hAnsi="Palatino Linotype" w:cs="Bookman Old Style"/>
          <w:b/>
          <w:i/>
          <w:color w:val="000000"/>
          <w:sz w:val="22"/>
          <w:szCs w:val="22"/>
        </w:rPr>
        <w:t>Corresponde a la Tesorería Municipal, a través de los departamentos correspondientes, ordenar</w:t>
      </w:r>
      <w:r w:rsidRPr="00A458D9">
        <w:rPr>
          <w:rFonts w:ascii="Palatino Linotype" w:hAnsi="Palatino Linotype" w:cs="Bookman Old Style"/>
          <w:i/>
          <w:color w:val="000000"/>
          <w:sz w:val="22"/>
          <w:szCs w:val="22"/>
        </w:rPr>
        <w:t xml:space="preserve"> y controlar el derecho de piso </w:t>
      </w:r>
      <w:r w:rsidRPr="00A458D9">
        <w:rPr>
          <w:rFonts w:ascii="Palatino Linotype" w:hAnsi="Palatino Linotype" w:cs="Bookman Old Style"/>
          <w:b/>
          <w:i/>
          <w:color w:val="000000"/>
          <w:sz w:val="22"/>
          <w:szCs w:val="22"/>
        </w:rPr>
        <w:t>en los mercados</w:t>
      </w:r>
      <w:r w:rsidRPr="00A458D9">
        <w:rPr>
          <w:rFonts w:ascii="Palatino Linotype" w:hAnsi="Palatino Linotype" w:cs="Bookman Old Style"/>
          <w:i/>
          <w:color w:val="000000"/>
          <w:sz w:val="22"/>
          <w:szCs w:val="22"/>
        </w:rPr>
        <w:t xml:space="preserve">, tianguis, puestos fijos y semifijos; así como espacios en vía pública destinados al comercio, teniendo en todo momento </w:t>
      </w:r>
      <w:r w:rsidRPr="00A458D9">
        <w:rPr>
          <w:rFonts w:ascii="Palatino Linotype" w:hAnsi="Palatino Linotype" w:cs="Bookman Old Style"/>
          <w:b/>
          <w:i/>
          <w:color w:val="000000"/>
          <w:sz w:val="22"/>
          <w:szCs w:val="22"/>
        </w:rPr>
        <w:t>la facultad para</w:t>
      </w:r>
      <w:r w:rsidRPr="00A458D9">
        <w:rPr>
          <w:rFonts w:ascii="Palatino Linotype" w:hAnsi="Palatino Linotype" w:cs="Bookman Old Style"/>
          <w:i/>
          <w:color w:val="000000"/>
          <w:sz w:val="22"/>
          <w:szCs w:val="22"/>
        </w:rPr>
        <w:t xml:space="preserve"> recaudar el derecho por el uso y aprovechamiento de la vía pública; así como ordenar, retirar, y en su caso, </w:t>
      </w:r>
      <w:r w:rsidRPr="00A458D9">
        <w:rPr>
          <w:rFonts w:ascii="Palatino Linotype" w:hAnsi="Palatino Linotype" w:cs="Bookman Old Style"/>
          <w:b/>
          <w:i/>
          <w:color w:val="000000"/>
          <w:sz w:val="22"/>
          <w:szCs w:val="22"/>
        </w:rPr>
        <w:t>reubicar a los vendedores</w:t>
      </w:r>
      <w:r w:rsidRPr="00A458D9">
        <w:rPr>
          <w:rFonts w:ascii="Palatino Linotype" w:hAnsi="Palatino Linotype" w:cs="Bookman Old Style"/>
          <w:i/>
          <w:color w:val="000000"/>
          <w:sz w:val="22"/>
          <w:szCs w:val="22"/>
        </w:rPr>
        <w:t xml:space="preserve"> y liberar de objetos que obstruyan el arroyo vehicular, por causas de utilidad pública, de conformidad con el reglamento en la materia</w:t>
      </w:r>
      <w:r w:rsidR="0062657D" w:rsidRPr="00A458D9">
        <w:rPr>
          <w:rFonts w:ascii="Palatino Linotype" w:hAnsi="Palatino Linotype" w:cs="Bookman Old Style"/>
          <w:i/>
          <w:color w:val="000000"/>
          <w:sz w:val="22"/>
          <w:szCs w:val="22"/>
        </w:rPr>
        <w:t>”(Sic)</w:t>
      </w:r>
    </w:p>
    <w:p w14:paraId="6C9DCF7C" w14:textId="77777777" w:rsidR="00AD597A" w:rsidRPr="00A458D9" w:rsidRDefault="00AD597A" w:rsidP="00460B3F">
      <w:pPr>
        <w:spacing w:after="240" w:line="360" w:lineRule="auto"/>
        <w:jc w:val="both"/>
        <w:rPr>
          <w:rFonts w:ascii="Palatino Linotype" w:eastAsia="Palatino Linotype" w:hAnsi="Palatino Linotype" w:cs="Palatino Linotype"/>
        </w:rPr>
      </w:pPr>
    </w:p>
    <w:p w14:paraId="7D2DA8B3" w14:textId="77777777" w:rsidR="00CB384E" w:rsidRPr="00A458D9" w:rsidRDefault="00CB384E" w:rsidP="00460B3F">
      <w:pPr>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Preceptos legales </w:t>
      </w:r>
      <w:proofErr w:type="gramStart"/>
      <w:r w:rsidRPr="00A458D9">
        <w:rPr>
          <w:rFonts w:ascii="Palatino Linotype" w:eastAsia="Palatino Linotype" w:hAnsi="Palatino Linotype" w:cs="Palatino Linotype"/>
        </w:rPr>
        <w:t>que</w:t>
      </w:r>
      <w:proofErr w:type="gramEnd"/>
      <w:r w:rsidRPr="00A458D9">
        <w:rPr>
          <w:rFonts w:ascii="Palatino Linotype" w:eastAsia="Palatino Linotype" w:hAnsi="Palatino Linotype" w:cs="Palatino Linotype"/>
        </w:rPr>
        <w:t xml:space="preserve"> en su conjunto, se establece la facultad del Ayuntamiento Chimalhuacán para expedir </w:t>
      </w:r>
      <w:r w:rsidR="00AD597A" w:rsidRPr="00A458D9">
        <w:rPr>
          <w:rFonts w:ascii="Palatino Linotype" w:eastAsia="Palatino Linotype" w:hAnsi="Palatino Linotype" w:cs="Palatino Linotype"/>
        </w:rPr>
        <w:t>la concesión para prestar el servicio, por el uso y aprovechamiento de bienes del dominio público,</w:t>
      </w:r>
      <w:r w:rsidRPr="00A458D9">
        <w:rPr>
          <w:rFonts w:ascii="Palatino Linotype" w:eastAsia="Palatino Linotype" w:hAnsi="Palatino Linotype" w:cs="Palatino Linotype"/>
        </w:rPr>
        <w:t xml:space="preserve"> a los locatarios de un mercado y de reubicar a los vendedores de dichos mercados.</w:t>
      </w:r>
    </w:p>
    <w:p w14:paraId="5BADE784" w14:textId="77777777" w:rsidR="00E85DFD" w:rsidRPr="00A458D9" w:rsidRDefault="0062657D" w:rsidP="00460B3F">
      <w:pPr>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Acotado lo anterior, </w:t>
      </w:r>
      <w:r w:rsidR="00E85DFD" w:rsidRPr="00A458D9">
        <w:rPr>
          <w:rFonts w:ascii="Palatino Linotype" w:eastAsia="Palatino Linotype" w:hAnsi="Palatino Linotype" w:cs="Palatino Linotype"/>
        </w:rPr>
        <w:t xml:space="preserve">y razón de que el </w:t>
      </w:r>
      <w:r w:rsidR="00E85DFD" w:rsidRPr="00A458D9">
        <w:rPr>
          <w:rFonts w:ascii="Palatino Linotype" w:eastAsia="Palatino Linotype" w:hAnsi="Palatino Linotype" w:cs="Palatino Linotype"/>
          <w:b/>
        </w:rPr>
        <w:t>SUJETO OBLIGADO</w:t>
      </w:r>
      <w:r w:rsidR="00E85DFD" w:rsidRPr="00A458D9">
        <w:rPr>
          <w:rFonts w:ascii="Palatino Linotype" w:eastAsia="Palatino Linotype" w:hAnsi="Palatino Linotype" w:cs="Palatino Linotype"/>
        </w:rPr>
        <w:t>, pretendió clasificar como confidencial los consentimientos, bajo los siguientes argumentos:</w:t>
      </w:r>
    </w:p>
    <w:p w14:paraId="3997A2F9" w14:textId="77777777" w:rsidR="00E85DFD" w:rsidRPr="00A458D9" w:rsidRDefault="00E85DFD" w:rsidP="00E85DFD">
      <w:pPr>
        <w:spacing w:line="276" w:lineRule="auto"/>
        <w:ind w:left="567" w:right="567"/>
        <w:contextualSpacing/>
        <w:jc w:val="both"/>
        <w:rPr>
          <w:rFonts w:ascii="Palatino Linotype" w:hAnsi="Palatino Linotype" w:cs="Bookman Old Style"/>
          <w:i/>
          <w:color w:val="000000"/>
          <w:sz w:val="22"/>
          <w:szCs w:val="22"/>
        </w:rPr>
      </w:pPr>
      <w:r w:rsidRPr="00A458D9">
        <w:rPr>
          <w:rFonts w:ascii="Palatino Linotype" w:hAnsi="Palatino Linotype" w:cs="Bookman Old Style"/>
          <w:i/>
          <w:color w:val="000000"/>
          <w:sz w:val="22"/>
          <w:szCs w:val="22"/>
        </w:rPr>
        <w:t xml:space="preserve">“que si bien es cierto la documentación corresponde a este Departamento de Mercados, el mismo refiere a la manifestación de voluntad expresa mediante el nombre, giro, firma de puño y letra, y numero de local, por tal motivo se está ante una clara singularización de los ciudadanos y de la manifestación expresa de cada uno de los contratantes. En esa tesitura, la información que proporcionaron los particulares para la realización del acto ante las autoridades municipales se está a lo dispuesto por los artículos 1, 2, 3, 4 fracción VII, 6 y 45 fracción VII de la Ley de protección de Datos Personales en Posesión de Sujetos Obligados del Estado de México y Municipios, que a la letra. “Artículo 6. El Estado garantizará la privacidad de los individuos y velará porque no se incurrirá En conductas que puedan afectarla arbitrariamente… El derecho a la protección de datos personales solamente se limitará por razones de seguridades públicas en términos de la Ley en la materia, disposiciones en orden público, salud pública o para proteger los </w:t>
      </w:r>
      <w:r w:rsidRPr="00A458D9">
        <w:rPr>
          <w:rFonts w:ascii="Palatino Linotype" w:hAnsi="Palatino Linotype" w:cs="Bookman Old Style"/>
          <w:i/>
          <w:color w:val="000000"/>
          <w:sz w:val="22"/>
          <w:szCs w:val="22"/>
        </w:rPr>
        <w:lastRenderedPageBreak/>
        <w:t>derechos de terceros. Artículo 45. Las medidas de seguridad adoptadas por el responsable consideran: … VII. Riesgo por el valor potencial cuantitativo o cualitativo que pudieran tener los datos personales tratados para una tercera persona no autorizada para su posesión”. (Sic)</w:t>
      </w:r>
    </w:p>
    <w:p w14:paraId="0953F324" w14:textId="77777777" w:rsidR="00CB384E" w:rsidRPr="00A458D9" w:rsidRDefault="00CB384E" w:rsidP="00460B3F">
      <w:pPr>
        <w:spacing w:after="240" w:line="360" w:lineRule="auto"/>
        <w:contextualSpacing/>
        <w:jc w:val="both"/>
        <w:rPr>
          <w:rFonts w:ascii="Palatino Linotype" w:eastAsia="Palatino Linotype" w:hAnsi="Palatino Linotype" w:cs="Palatino Linotype"/>
        </w:rPr>
      </w:pPr>
    </w:p>
    <w:p w14:paraId="74A366E5" w14:textId="77777777" w:rsidR="00AD597A" w:rsidRPr="00A458D9" w:rsidRDefault="00E85DFD" w:rsidP="00AD597A">
      <w:pPr>
        <w:spacing w:after="120" w:line="360" w:lineRule="auto"/>
        <w:contextualSpacing/>
        <w:jc w:val="both"/>
        <w:rPr>
          <w:rFonts w:ascii="Palatino Linotype" w:hAnsi="Palatino Linotype"/>
        </w:rPr>
      </w:pPr>
      <w:r w:rsidRPr="00A458D9">
        <w:rPr>
          <w:rFonts w:ascii="Palatino Linotype" w:eastAsia="Palatino Linotype" w:hAnsi="Palatino Linotype" w:cs="Palatino Linotype"/>
        </w:rPr>
        <w:t xml:space="preserve">Lo cierto es como se ha visto, los locatarios del mercado </w:t>
      </w:r>
      <w:r w:rsidR="00CB384E" w:rsidRPr="00A458D9">
        <w:rPr>
          <w:rFonts w:ascii="Palatino Linotype" w:eastAsia="Palatino Linotype" w:hAnsi="Palatino Linotype" w:cs="Palatino Linotype"/>
        </w:rPr>
        <w:t xml:space="preserve">"Mercado Zaragoza" debieron obtener una </w:t>
      </w:r>
      <w:r w:rsidR="00AD597A" w:rsidRPr="00A458D9">
        <w:rPr>
          <w:rFonts w:ascii="Palatino Linotype" w:eastAsia="Palatino Linotype" w:hAnsi="Palatino Linotype" w:cs="Palatino Linotype"/>
        </w:rPr>
        <w:t>concesión para la prestación del servicio</w:t>
      </w:r>
      <w:r w:rsidR="00531AC5" w:rsidRPr="00A458D9">
        <w:rPr>
          <w:rFonts w:ascii="Palatino Linotype" w:eastAsia="Palatino Linotype" w:hAnsi="Palatino Linotype" w:cs="Palatino Linotype"/>
        </w:rPr>
        <w:t xml:space="preserve"> de un bien de dominio público que en esta caso es un mercado</w:t>
      </w:r>
      <w:r w:rsidR="00CB384E" w:rsidRPr="00A458D9">
        <w:rPr>
          <w:rFonts w:ascii="Palatino Linotype" w:eastAsia="Palatino Linotype" w:hAnsi="Palatino Linotype" w:cs="Palatino Linotype"/>
        </w:rPr>
        <w:t xml:space="preserve"> y el </w:t>
      </w:r>
      <w:r w:rsidR="00CB384E" w:rsidRPr="00A458D9">
        <w:rPr>
          <w:rFonts w:ascii="Palatino Linotype" w:eastAsia="Palatino Linotype" w:hAnsi="Palatino Linotype" w:cs="Palatino Linotype"/>
          <w:b/>
        </w:rPr>
        <w:t>SUJETO OBLIGADO</w:t>
      </w:r>
      <w:r w:rsidR="00CB384E" w:rsidRPr="00A458D9">
        <w:rPr>
          <w:rFonts w:ascii="Palatino Linotype" w:eastAsia="Palatino Linotype" w:hAnsi="Palatino Linotype" w:cs="Palatino Linotype"/>
        </w:rPr>
        <w:t xml:space="preserve"> considero que el nombre, giro, firma de puño y letra, y número de local que se encuentran dentro de los consentimientos, es un dato personal </w:t>
      </w:r>
      <w:r w:rsidR="00AD597A" w:rsidRPr="00A458D9">
        <w:rPr>
          <w:rFonts w:ascii="Palatino Linotype" w:eastAsia="Palatino Linotype" w:hAnsi="Palatino Linotype" w:cs="Palatino Linotype"/>
        </w:rPr>
        <w:t>que debe ser protegido;</w:t>
      </w:r>
      <w:r w:rsidR="00CB384E" w:rsidRPr="00A458D9">
        <w:rPr>
          <w:rFonts w:ascii="Palatino Linotype" w:eastAsia="Palatino Linotype" w:hAnsi="Palatino Linotype" w:cs="Palatino Linotype"/>
        </w:rPr>
        <w:t xml:space="preserve"> no obstante</w:t>
      </w:r>
      <w:r w:rsidR="00AD597A" w:rsidRPr="00A458D9">
        <w:rPr>
          <w:rFonts w:ascii="Palatino Linotype" w:eastAsia="Palatino Linotype" w:hAnsi="Palatino Linotype" w:cs="Palatino Linotype"/>
        </w:rPr>
        <w:t>,</w:t>
      </w:r>
      <w:r w:rsidR="00CB384E" w:rsidRPr="00A458D9">
        <w:rPr>
          <w:rFonts w:ascii="Palatino Linotype" w:eastAsia="Palatino Linotype" w:hAnsi="Palatino Linotype" w:cs="Palatino Linotype"/>
        </w:rPr>
        <w:t xml:space="preserve"> debido a la naturaleza de las </w:t>
      </w:r>
      <w:r w:rsidR="00AD597A" w:rsidRPr="00A458D9">
        <w:rPr>
          <w:rFonts w:ascii="Palatino Linotype" w:eastAsia="Palatino Linotype" w:hAnsi="Palatino Linotype" w:cs="Palatino Linotype"/>
        </w:rPr>
        <w:t>concesiones</w:t>
      </w:r>
      <w:r w:rsidR="00CB384E" w:rsidRPr="00A458D9">
        <w:rPr>
          <w:rFonts w:ascii="Palatino Linotype" w:eastAsia="Palatino Linotype" w:hAnsi="Palatino Linotype" w:cs="Palatino Linotype"/>
        </w:rPr>
        <w:t>, se advierte que</w:t>
      </w:r>
      <w:r w:rsidR="00AD597A" w:rsidRPr="00A458D9">
        <w:rPr>
          <w:rFonts w:ascii="Palatino Linotype" w:eastAsia="Palatino Linotype" w:hAnsi="Palatino Linotype" w:cs="Palatino Linotype"/>
        </w:rPr>
        <w:t xml:space="preserve"> será pública la información correspondiente a los titulares de aquéllos, debiendo publicarse su objeto, nombre o razón social del titular, vigencia, tipo, términos, condiciones, por así determinarlo el artículo 92 fracción I inciso “f”, de la Ley de la Materia, que señala:</w:t>
      </w:r>
    </w:p>
    <w:p w14:paraId="3BAF4F96" w14:textId="77777777" w:rsidR="00AD597A" w:rsidRPr="00A458D9" w:rsidRDefault="00AD597A" w:rsidP="00AD597A">
      <w:pPr>
        <w:spacing w:before="240" w:after="240" w:line="276" w:lineRule="auto"/>
        <w:ind w:left="567" w:right="567"/>
        <w:jc w:val="both"/>
        <w:rPr>
          <w:rFonts w:ascii="Palatino Linotype" w:hAnsi="Palatino Linotype" w:cs="Arial"/>
          <w:i/>
          <w:sz w:val="22"/>
          <w:szCs w:val="22"/>
        </w:rPr>
      </w:pPr>
      <w:r w:rsidRPr="00A458D9">
        <w:rPr>
          <w:rFonts w:ascii="Palatino Linotype" w:hAnsi="Palatino Linotype" w:cs="Arial"/>
          <w:i/>
          <w:sz w:val="22"/>
          <w:szCs w:val="22"/>
        </w:rPr>
        <w:t xml:space="preserve">“Artículo 92. </w:t>
      </w:r>
      <w:r w:rsidRPr="00A458D9">
        <w:rPr>
          <w:rFonts w:ascii="Palatino Linotype" w:hAnsi="Palatino Linotype" w:cs="Arial"/>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A458D9">
        <w:rPr>
          <w:rFonts w:ascii="Palatino Linotype" w:hAnsi="Palatino Linotype" w:cs="Arial"/>
          <w:i/>
          <w:sz w:val="22"/>
          <w:szCs w:val="22"/>
        </w:rPr>
        <w:t xml:space="preserve">, de los temas, </w:t>
      </w:r>
      <w:r w:rsidRPr="00A458D9">
        <w:rPr>
          <w:rFonts w:ascii="Palatino Linotype" w:hAnsi="Palatino Linotype" w:cs="Arial"/>
          <w:b/>
          <w:i/>
          <w:sz w:val="22"/>
          <w:szCs w:val="22"/>
        </w:rPr>
        <w:t>documentos</w:t>
      </w:r>
      <w:r w:rsidRPr="00A458D9">
        <w:rPr>
          <w:rFonts w:ascii="Palatino Linotype" w:hAnsi="Palatino Linotype" w:cs="Arial"/>
          <w:i/>
          <w:sz w:val="22"/>
          <w:szCs w:val="22"/>
        </w:rPr>
        <w:t xml:space="preserve"> y políticas </w:t>
      </w:r>
      <w:r w:rsidRPr="00A458D9">
        <w:rPr>
          <w:rFonts w:ascii="Palatino Linotype" w:hAnsi="Palatino Linotype" w:cs="Arial"/>
          <w:b/>
          <w:i/>
          <w:sz w:val="22"/>
          <w:szCs w:val="22"/>
        </w:rPr>
        <w:t>que a continuación se señalan</w:t>
      </w:r>
      <w:r w:rsidRPr="00A458D9">
        <w:rPr>
          <w:rFonts w:ascii="Palatino Linotype" w:hAnsi="Palatino Linotype" w:cs="Arial"/>
          <w:i/>
          <w:sz w:val="22"/>
          <w:szCs w:val="22"/>
        </w:rPr>
        <w:t>:</w:t>
      </w:r>
    </w:p>
    <w:p w14:paraId="4F8CF2A6" w14:textId="77777777" w:rsidR="00AD597A" w:rsidRPr="00A458D9" w:rsidRDefault="00AD597A" w:rsidP="00AD597A">
      <w:pPr>
        <w:spacing w:before="240" w:after="240" w:line="276" w:lineRule="auto"/>
        <w:ind w:left="567" w:right="567"/>
        <w:jc w:val="both"/>
        <w:rPr>
          <w:rFonts w:ascii="Palatino Linotype" w:hAnsi="Palatino Linotype" w:cs="Arial"/>
          <w:i/>
          <w:sz w:val="22"/>
          <w:szCs w:val="22"/>
        </w:rPr>
      </w:pPr>
      <w:r w:rsidRPr="00A458D9">
        <w:rPr>
          <w:rFonts w:ascii="Palatino Linotype" w:hAnsi="Palatino Linotype" w:cs="Arial"/>
          <w:b/>
          <w:i/>
          <w:sz w:val="22"/>
          <w:szCs w:val="22"/>
        </w:rPr>
        <w:t>XXXII. Las</w:t>
      </w:r>
      <w:r w:rsidRPr="00A458D9">
        <w:rPr>
          <w:rFonts w:ascii="Palatino Linotype" w:hAnsi="Palatino Linotype" w:cs="Arial"/>
          <w:i/>
          <w:sz w:val="22"/>
          <w:szCs w:val="22"/>
        </w:rPr>
        <w:t xml:space="preserve"> </w:t>
      </w:r>
      <w:r w:rsidRPr="00A458D9">
        <w:rPr>
          <w:rFonts w:ascii="Palatino Linotype" w:hAnsi="Palatino Linotype" w:cs="Arial"/>
          <w:b/>
          <w:i/>
          <w:sz w:val="22"/>
          <w:szCs w:val="22"/>
        </w:rPr>
        <w:t>concesiones</w:t>
      </w:r>
      <w:r w:rsidRPr="00A458D9">
        <w:rPr>
          <w:rFonts w:ascii="Palatino Linotype" w:hAnsi="Palatino Linotype" w:cs="Arial"/>
          <w:i/>
          <w:sz w:val="22"/>
          <w:szCs w:val="22"/>
        </w:rPr>
        <w:t xml:space="preserve">, contratos, convenios, </w:t>
      </w:r>
      <w:r w:rsidRPr="00A458D9">
        <w:rPr>
          <w:rFonts w:ascii="Palatino Linotype" w:hAnsi="Palatino Linotype" w:cs="Arial"/>
          <w:b/>
          <w:i/>
          <w:sz w:val="22"/>
          <w:szCs w:val="22"/>
        </w:rPr>
        <w:t>permisos,</w:t>
      </w:r>
      <w:r w:rsidRPr="00A458D9">
        <w:rPr>
          <w:rFonts w:ascii="Palatino Linotype" w:hAnsi="Palatino Linotype" w:cs="Arial"/>
          <w:i/>
          <w:sz w:val="22"/>
          <w:szCs w:val="22"/>
        </w:rPr>
        <w:t xml:space="preserve"> </w:t>
      </w:r>
      <w:r w:rsidRPr="00A458D9">
        <w:rPr>
          <w:rFonts w:ascii="Palatino Linotype" w:hAnsi="Palatino Linotype" w:cs="Arial"/>
          <w:b/>
          <w:i/>
          <w:sz w:val="22"/>
          <w:szCs w:val="22"/>
        </w:rPr>
        <w:t>licencias</w:t>
      </w:r>
      <w:r w:rsidRPr="00A458D9">
        <w:rPr>
          <w:rFonts w:ascii="Palatino Linotype" w:hAnsi="Palatino Linotype" w:cs="Arial"/>
          <w:i/>
          <w:sz w:val="22"/>
          <w:szCs w:val="22"/>
        </w:rPr>
        <w:t xml:space="preserve"> o autorizaciones otorgados, </w:t>
      </w:r>
      <w:r w:rsidRPr="00A458D9">
        <w:rPr>
          <w:rFonts w:ascii="Palatino Linotype" w:hAnsi="Palatino Linotype" w:cs="Arial"/>
          <w:b/>
          <w:i/>
          <w:sz w:val="22"/>
          <w:szCs w:val="22"/>
        </w:rPr>
        <w:t xml:space="preserve">especificando los titulares de aquéllos, debiendo publicarse su objeto, nombre o razón social del titular, vigencia, tipo, términos, condiciones, </w:t>
      </w:r>
      <w:r w:rsidRPr="00A458D9">
        <w:rPr>
          <w:rFonts w:ascii="Palatino Linotype" w:hAnsi="Palatino Linotype" w:cs="Arial"/>
          <w:i/>
          <w:sz w:val="22"/>
          <w:szCs w:val="22"/>
        </w:rPr>
        <w:t>monto y modificaciones,</w:t>
      </w:r>
      <w:r w:rsidRPr="00A458D9">
        <w:rPr>
          <w:rFonts w:ascii="Palatino Linotype" w:hAnsi="Palatino Linotype" w:cs="Arial"/>
          <w:b/>
          <w:i/>
          <w:sz w:val="22"/>
          <w:szCs w:val="22"/>
        </w:rPr>
        <w:t xml:space="preserve"> así como si el procedimiento involucra el aprovechamiento de bienes, </w:t>
      </w:r>
      <w:r w:rsidRPr="00A458D9">
        <w:rPr>
          <w:rFonts w:ascii="Palatino Linotype" w:hAnsi="Palatino Linotype" w:cs="Arial"/>
          <w:i/>
          <w:sz w:val="22"/>
          <w:szCs w:val="22"/>
        </w:rPr>
        <w:t>servicios y/o recursos</w:t>
      </w:r>
      <w:r w:rsidRPr="00A458D9">
        <w:rPr>
          <w:rFonts w:ascii="Palatino Linotype" w:hAnsi="Palatino Linotype" w:cs="Arial"/>
          <w:b/>
          <w:i/>
          <w:sz w:val="22"/>
          <w:szCs w:val="22"/>
        </w:rPr>
        <w:t xml:space="preserve"> públicos</w:t>
      </w:r>
      <w:r w:rsidRPr="00A458D9">
        <w:rPr>
          <w:rFonts w:ascii="Palatino Linotype" w:hAnsi="Palatino Linotype" w:cs="Arial"/>
          <w:i/>
          <w:sz w:val="22"/>
          <w:szCs w:val="22"/>
        </w:rPr>
        <w:t>…” (Sic)</w:t>
      </w:r>
    </w:p>
    <w:p w14:paraId="6D45BD3E" w14:textId="77777777" w:rsidR="00AD597A" w:rsidRPr="00A458D9" w:rsidRDefault="00AD597A" w:rsidP="00AD597A">
      <w:pPr>
        <w:spacing w:after="120" w:line="360" w:lineRule="auto"/>
        <w:contextualSpacing/>
        <w:jc w:val="both"/>
        <w:rPr>
          <w:noProof/>
          <w:lang w:val="es-MX" w:eastAsia="es-MX"/>
        </w:rPr>
      </w:pPr>
      <w:r w:rsidRPr="00A458D9">
        <w:rPr>
          <w:rFonts w:ascii="Palatino Linotype" w:eastAsia="Palatino Linotype" w:hAnsi="Palatino Linotype" w:cs="Palatino Linotype"/>
        </w:rPr>
        <w:t xml:space="preserve">Lo que se robustece con lo señalado por los Lineamientos Técnicos Generales para la publicación, homologación y estandarización de la información de las </w:t>
      </w:r>
      <w:r w:rsidRPr="00A458D9">
        <w:rPr>
          <w:rFonts w:ascii="Palatino Linotype" w:eastAsia="Palatino Linotype" w:hAnsi="Palatino Linotype" w:cs="Palatino Linotype"/>
        </w:rPr>
        <w:lastRenderedPageBreak/>
        <w:t>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p>
    <w:p w14:paraId="2779E5CA" w14:textId="77777777" w:rsidR="00AD597A" w:rsidRPr="00A458D9" w:rsidRDefault="00AD597A" w:rsidP="00AD597A">
      <w:pPr>
        <w:spacing w:line="360" w:lineRule="auto"/>
        <w:jc w:val="both"/>
        <w:rPr>
          <w:rFonts w:ascii="Palatino Linotype" w:eastAsia="Palatino Linotype" w:hAnsi="Palatino Linotype" w:cs="Palatino Linotype"/>
          <w:b/>
          <w:color w:val="000000"/>
          <w:u w:val="single"/>
        </w:rPr>
      </w:pPr>
      <w:r w:rsidRPr="00A458D9">
        <w:rPr>
          <w:noProof/>
          <w:lang w:val="es-MX" w:eastAsia="es-MX"/>
        </w:rPr>
        <w:drawing>
          <wp:inline distT="0" distB="0" distL="0" distR="0" wp14:anchorId="69F6943B" wp14:editId="33A17E44">
            <wp:extent cx="5321156" cy="5884697"/>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700" t="17931" r="26691" b="12690"/>
                    <a:stretch/>
                  </pic:blipFill>
                  <pic:spPr bwMode="auto">
                    <a:xfrm>
                      <a:off x="0" y="0"/>
                      <a:ext cx="5366179" cy="5934488"/>
                    </a:xfrm>
                    <a:prstGeom prst="rect">
                      <a:avLst/>
                    </a:prstGeom>
                    <a:ln>
                      <a:noFill/>
                    </a:ln>
                    <a:extLst>
                      <a:ext uri="{53640926-AAD7-44D8-BBD7-CCE9431645EC}">
                        <a14:shadowObscured xmlns:a14="http://schemas.microsoft.com/office/drawing/2010/main"/>
                      </a:ext>
                    </a:extLst>
                  </pic:spPr>
                </pic:pic>
              </a:graphicData>
            </a:graphic>
          </wp:inline>
        </w:drawing>
      </w:r>
    </w:p>
    <w:p w14:paraId="0A715060" w14:textId="77777777" w:rsidR="00AD597A" w:rsidRPr="00A458D9" w:rsidRDefault="00AD597A" w:rsidP="00AD597A">
      <w:pPr>
        <w:spacing w:after="120" w:line="360" w:lineRule="auto"/>
        <w:contextualSpacing/>
        <w:jc w:val="both"/>
        <w:rPr>
          <w:rFonts w:ascii="Palatino Linotype" w:hAnsi="Palatino Linotype"/>
        </w:rPr>
      </w:pPr>
    </w:p>
    <w:p w14:paraId="38252C1F" w14:textId="77777777" w:rsidR="00AD597A" w:rsidRPr="00A458D9" w:rsidRDefault="00AD597A" w:rsidP="00AD597A">
      <w:pPr>
        <w:spacing w:after="120" w:line="360" w:lineRule="auto"/>
        <w:contextualSpacing/>
        <w:jc w:val="both"/>
        <w:rPr>
          <w:rFonts w:ascii="Palatino Linotype" w:hAnsi="Palatino Linotype"/>
        </w:rPr>
      </w:pPr>
      <w:r w:rsidRPr="00A458D9">
        <w:rPr>
          <w:noProof/>
          <w:lang w:val="es-MX" w:eastAsia="es-MX"/>
        </w:rPr>
        <w:drawing>
          <wp:inline distT="0" distB="0" distL="0" distR="0" wp14:anchorId="5575C095" wp14:editId="2169F1B7">
            <wp:extent cx="5505292" cy="3006862"/>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481" t="25954" r="25605" b="10859"/>
                    <a:stretch/>
                  </pic:blipFill>
                  <pic:spPr bwMode="auto">
                    <a:xfrm>
                      <a:off x="0" y="0"/>
                      <a:ext cx="5550055" cy="3031310"/>
                    </a:xfrm>
                    <a:prstGeom prst="rect">
                      <a:avLst/>
                    </a:prstGeom>
                    <a:ln>
                      <a:noFill/>
                    </a:ln>
                    <a:extLst>
                      <a:ext uri="{53640926-AAD7-44D8-BBD7-CCE9431645EC}">
                        <a14:shadowObscured xmlns:a14="http://schemas.microsoft.com/office/drawing/2010/main"/>
                      </a:ext>
                    </a:extLst>
                  </pic:spPr>
                </pic:pic>
              </a:graphicData>
            </a:graphic>
          </wp:inline>
        </w:drawing>
      </w:r>
    </w:p>
    <w:p w14:paraId="051A726A" w14:textId="77777777" w:rsidR="00AD597A" w:rsidRPr="00A458D9" w:rsidRDefault="00AD597A" w:rsidP="00460B3F">
      <w:pPr>
        <w:spacing w:after="240" w:line="360" w:lineRule="auto"/>
        <w:contextualSpacing/>
        <w:jc w:val="both"/>
        <w:rPr>
          <w:noProof/>
          <w:lang w:val="es-MX" w:eastAsia="es-MX"/>
        </w:rPr>
      </w:pPr>
    </w:p>
    <w:p w14:paraId="62A3F51E" w14:textId="77777777" w:rsidR="00AD597A" w:rsidRPr="00A458D9" w:rsidRDefault="00AD597A" w:rsidP="00460B3F">
      <w:pPr>
        <w:spacing w:after="240" w:line="360" w:lineRule="auto"/>
        <w:contextualSpacing/>
        <w:jc w:val="both"/>
        <w:rPr>
          <w:rFonts w:ascii="Palatino Linotype" w:eastAsia="Palatino Linotype" w:hAnsi="Palatino Linotype" w:cs="Palatino Linotype"/>
        </w:rPr>
      </w:pPr>
      <w:r w:rsidRPr="00A458D9">
        <w:rPr>
          <w:noProof/>
          <w:lang w:val="es-MX" w:eastAsia="es-MX"/>
        </w:rPr>
        <w:drawing>
          <wp:inline distT="0" distB="0" distL="0" distR="0" wp14:anchorId="786ACE4C" wp14:editId="34792B20">
            <wp:extent cx="5727065" cy="94244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925" t="36989" r="26516" b="48174"/>
                    <a:stretch/>
                  </pic:blipFill>
                  <pic:spPr bwMode="auto">
                    <a:xfrm>
                      <a:off x="0" y="0"/>
                      <a:ext cx="5777241" cy="950706"/>
                    </a:xfrm>
                    <a:prstGeom prst="rect">
                      <a:avLst/>
                    </a:prstGeom>
                    <a:ln>
                      <a:noFill/>
                    </a:ln>
                    <a:extLst>
                      <a:ext uri="{53640926-AAD7-44D8-BBD7-CCE9431645EC}">
                        <a14:shadowObscured xmlns:a14="http://schemas.microsoft.com/office/drawing/2010/main"/>
                      </a:ext>
                    </a:extLst>
                  </pic:spPr>
                </pic:pic>
              </a:graphicData>
            </a:graphic>
          </wp:inline>
        </w:drawing>
      </w:r>
    </w:p>
    <w:p w14:paraId="46FF6AF9" w14:textId="77777777" w:rsidR="00CB384E" w:rsidRPr="00A458D9" w:rsidRDefault="00CB384E" w:rsidP="00460B3F">
      <w:pPr>
        <w:spacing w:after="240" w:line="360" w:lineRule="auto"/>
        <w:contextualSpacing/>
        <w:jc w:val="both"/>
        <w:rPr>
          <w:rFonts w:ascii="Palatino Linotype" w:eastAsia="Palatino Linotype" w:hAnsi="Palatino Linotype" w:cs="Palatino Linotype"/>
        </w:rPr>
      </w:pPr>
    </w:p>
    <w:p w14:paraId="4FB79B96" w14:textId="77777777" w:rsidR="00531AC5" w:rsidRPr="00A458D9" w:rsidRDefault="00531AC5" w:rsidP="00531AC5">
      <w:pPr>
        <w:spacing w:after="120" w:line="360" w:lineRule="auto"/>
        <w:contextualSpacing/>
        <w:jc w:val="both"/>
        <w:rPr>
          <w:rFonts w:ascii="Palatino Linotype" w:eastAsia="Palatino Linotype" w:hAnsi="Palatino Linotype" w:cs="Palatino Linotype"/>
        </w:rPr>
      </w:pPr>
      <w:r w:rsidRPr="00A458D9">
        <w:rPr>
          <w:rFonts w:ascii="Palatino Linotype" w:eastAsia="Palatino Linotype" w:hAnsi="Palatino Linotype" w:cs="Palatino Linotype"/>
        </w:rPr>
        <w:t>De ahí que,</w:t>
      </w:r>
      <w:r w:rsidR="00AD597A" w:rsidRPr="00A458D9">
        <w:rPr>
          <w:rFonts w:ascii="Palatino Linotype" w:eastAsia="Palatino Linotype" w:hAnsi="Palatino Linotype" w:cs="Palatino Linotype"/>
        </w:rPr>
        <w:t xml:space="preserve"> la información correspondiente al </w:t>
      </w:r>
      <w:r w:rsidRPr="00A458D9">
        <w:rPr>
          <w:rFonts w:ascii="Palatino Linotype" w:eastAsia="Palatino Linotype" w:hAnsi="Palatino Linotype" w:cs="Palatino Linotype"/>
        </w:rPr>
        <w:t>nombre, giro y número de local contenidos en los consentimientos de los locatarios del "Mercado Zaragoza" para ser re ubicados en el nuevo mercado ubicado a un costado de las oficinas de "Telmex", se considera por este este Organismo Garante como información pública y</w:t>
      </w:r>
      <w:r w:rsidR="00CB384E" w:rsidRPr="00A458D9">
        <w:rPr>
          <w:rFonts w:ascii="Palatino Linotype" w:eastAsia="Palatino Linotype" w:hAnsi="Palatino Linotype" w:cs="Palatino Linotype"/>
        </w:rPr>
        <w:t xml:space="preserve"> no confidencial como lo asevero el </w:t>
      </w:r>
      <w:r w:rsidR="00CB384E" w:rsidRPr="00A458D9">
        <w:rPr>
          <w:rFonts w:ascii="Palatino Linotype" w:eastAsia="Palatino Linotype" w:hAnsi="Palatino Linotype" w:cs="Palatino Linotype"/>
          <w:b/>
        </w:rPr>
        <w:t>SUJETO OBLIGADO</w:t>
      </w:r>
      <w:r w:rsidR="00CB384E" w:rsidRPr="00A458D9">
        <w:rPr>
          <w:rFonts w:ascii="Palatino Linotype" w:eastAsia="Palatino Linotype" w:hAnsi="Palatino Linotype" w:cs="Palatino Linotype"/>
        </w:rPr>
        <w:t>, en respuesta, ya que tratándose de concesiones, es cri</w:t>
      </w:r>
      <w:r w:rsidRPr="00A458D9">
        <w:rPr>
          <w:rFonts w:ascii="Palatino Linotype" w:eastAsia="Palatino Linotype" w:hAnsi="Palatino Linotype" w:cs="Palatino Linotype"/>
        </w:rPr>
        <w:t>terio</w:t>
      </w:r>
      <w:r w:rsidR="00CB384E" w:rsidRPr="00A458D9">
        <w:rPr>
          <w:rFonts w:ascii="Palatino Linotype" w:eastAsia="Palatino Linotype" w:hAnsi="Palatino Linotype" w:cs="Palatino Linotype"/>
        </w:rPr>
        <w:t>, que el nombre del titular, giro, domicilio del establecimiento y numero de local, es información q</w:t>
      </w:r>
      <w:r w:rsidRPr="00A458D9">
        <w:rPr>
          <w:rFonts w:ascii="Palatino Linotype" w:eastAsia="Palatino Linotype" w:hAnsi="Palatino Linotype" w:cs="Palatino Linotype"/>
        </w:rPr>
        <w:t xml:space="preserve">ue es considerada como pública, </w:t>
      </w:r>
      <w:r w:rsidRPr="00A458D9">
        <w:rPr>
          <w:rFonts w:ascii="Palatino Linotype" w:eastAsia="Palatino Linotype" w:hAnsi="Palatino Linotype" w:cs="Palatino Linotype"/>
        </w:rPr>
        <w:lastRenderedPageBreak/>
        <w:t>con excepción de la firma y domicilio particular de los locatarios en términos de lo señalado por el considerando quinto del presente fallo.</w:t>
      </w:r>
    </w:p>
    <w:p w14:paraId="51D8AE1F" w14:textId="77777777" w:rsidR="00531AC5" w:rsidRPr="00A458D9" w:rsidRDefault="00531AC5" w:rsidP="00531AC5">
      <w:pPr>
        <w:spacing w:after="120" w:line="360" w:lineRule="auto"/>
        <w:contextualSpacing/>
        <w:jc w:val="both"/>
        <w:rPr>
          <w:rFonts w:ascii="Palatino Linotype" w:eastAsia="Palatino Linotype" w:hAnsi="Palatino Linotype" w:cs="Palatino Linotype"/>
        </w:rPr>
      </w:pPr>
    </w:p>
    <w:p w14:paraId="009CB2EF" w14:textId="77777777" w:rsidR="00460B3F" w:rsidRPr="00A458D9" w:rsidRDefault="00531AC5" w:rsidP="00531AC5">
      <w:pPr>
        <w:spacing w:after="120" w:line="360" w:lineRule="auto"/>
        <w:contextualSpacing/>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Luego </w:t>
      </w:r>
      <w:r w:rsidR="0062657D" w:rsidRPr="00A458D9">
        <w:rPr>
          <w:rFonts w:ascii="Palatino Linotype" w:eastAsia="Palatino Linotype" w:hAnsi="Palatino Linotype" w:cs="Palatino Linotype"/>
        </w:rPr>
        <w:t xml:space="preserve"> </w:t>
      </w:r>
      <w:r w:rsidR="00460B3F" w:rsidRPr="00A458D9">
        <w:rPr>
          <w:rFonts w:ascii="Palatino Linotype" w:eastAsia="Palatino Linotype" w:hAnsi="Palatino Linotype" w:cs="Palatino Linotype"/>
        </w:rPr>
        <w:t>entonces</w:t>
      </w:r>
      <w:r w:rsidRPr="00A458D9">
        <w:rPr>
          <w:rFonts w:ascii="Palatino Linotype" w:eastAsia="Palatino Linotype" w:hAnsi="Palatino Linotype" w:cs="Palatino Linotype"/>
        </w:rPr>
        <w:t xml:space="preserve">, </w:t>
      </w:r>
      <w:r w:rsidR="0062657D" w:rsidRPr="00A458D9">
        <w:rPr>
          <w:rFonts w:ascii="Palatino Linotype" w:eastAsia="Palatino Linotype" w:hAnsi="Palatino Linotype" w:cs="Palatino Linotype"/>
        </w:rPr>
        <w:t>los documento</w:t>
      </w:r>
      <w:r w:rsidR="00FF7E92" w:rsidRPr="00A458D9">
        <w:rPr>
          <w:rFonts w:ascii="Palatino Linotype" w:eastAsia="Palatino Linotype" w:hAnsi="Palatino Linotype" w:cs="Palatino Linotype"/>
        </w:rPr>
        <w:t>s</w:t>
      </w:r>
      <w:r w:rsidR="0062657D" w:rsidRPr="00A458D9">
        <w:rPr>
          <w:rFonts w:ascii="Palatino Linotype" w:eastAsia="Palatino Linotype" w:hAnsi="Palatino Linotype" w:cs="Palatino Linotype"/>
        </w:rPr>
        <w:t xml:space="preserve"> en donde conste </w:t>
      </w:r>
      <w:r w:rsidR="00FF7E92" w:rsidRPr="00A458D9">
        <w:rPr>
          <w:rFonts w:ascii="Palatino Linotype" w:eastAsia="Palatino Linotype" w:hAnsi="Palatino Linotype" w:cs="Palatino Linotype"/>
        </w:rPr>
        <w:t>los</w:t>
      </w:r>
      <w:r w:rsidR="00460B3F" w:rsidRPr="00A458D9">
        <w:rPr>
          <w:rFonts w:ascii="Palatino Linotype" w:eastAsia="Palatino Linotype" w:hAnsi="Palatino Linotype" w:cs="Palatino Linotype"/>
        </w:rPr>
        <w:t xml:space="preserve"> consentimiento</w:t>
      </w:r>
      <w:r w:rsidR="00FF7E92" w:rsidRPr="00A458D9">
        <w:rPr>
          <w:rFonts w:ascii="Palatino Linotype" w:eastAsia="Palatino Linotype" w:hAnsi="Palatino Linotype" w:cs="Palatino Linotype"/>
        </w:rPr>
        <w:t>s</w:t>
      </w:r>
      <w:r w:rsidR="00460B3F" w:rsidRPr="00A458D9">
        <w:rPr>
          <w:rFonts w:ascii="Palatino Linotype" w:eastAsia="Palatino Linotype" w:hAnsi="Palatino Linotype" w:cs="Palatino Linotype"/>
        </w:rPr>
        <w:t xml:space="preserve"> de los locatarios del "Mercado Zaragoza" para ser reubicados en el nuevo mercado, es </w:t>
      </w:r>
      <w:r w:rsidR="00FF7E92" w:rsidRPr="00A458D9">
        <w:rPr>
          <w:rFonts w:ascii="Palatino Linotype" w:eastAsia="Palatino Linotype" w:hAnsi="Palatino Linotype" w:cs="Palatino Linotype"/>
        </w:rPr>
        <w:t>información que puede ser entregada en versión pública</w:t>
      </w:r>
      <w:r w:rsidR="00460B3F" w:rsidRPr="00A458D9">
        <w:rPr>
          <w:rFonts w:ascii="Palatino Linotype" w:eastAsia="Palatino Linotype" w:hAnsi="Palatino Linotype" w:cs="Palatino Linotype"/>
        </w:rPr>
        <w:t xml:space="preserve">, máxime que </w:t>
      </w:r>
      <w:proofErr w:type="spellStart"/>
      <w:r w:rsidR="00460B3F" w:rsidRPr="00A458D9">
        <w:rPr>
          <w:rFonts w:ascii="Palatino Linotype" w:eastAsia="Palatino Linotype" w:hAnsi="Palatino Linotype" w:cs="Palatino Linotype"/>
        </w:rPr>
        <w:t>esta</w:t>
      </w:r>
      <w:proofErr w:type="spellEnd"/>
      <w:r w:rsidR="00460B3F" w:rsidRPr="00A458D9">
        <w:rPr>
          <w:rFonts w:ascii="Palatino Linotype" w:eastAsia="Palatino Linotype" w:hAnsi="Palatino Linotype" w:cs="Palatino Linotype"/>
        </w:rPr>
        <w:t xml:space="preserve"> ya fue asumida por el </w:t>
      </w:r>
      <w:r w:rsidR="00460B3F" w:rsidRPr="00A458D9">
        <w:rPr>
          <w:rFonts w:ascii="Palatino Linotype" w:eastAsia="Palatino Linotype" w:hAnsi="Palatino Linotype" w:cs="Palatino Linotype"/>
          <w:b/>
        </w:rPr>
        <w:t>SUJETO OBLIGADO</w:t>
      </w:r>
      <w:r w:rsidR="00460B3F" w:rsidRPr="00A458D9">
        <w:rPr>
          <w:rFonts w:ascii="Palatino Linotype" w:eastAsia="Palatino Linotype" w:hAnsi="Palatino Linotype" w:cs="Palatino Linotype"/>
        </w:rPr>
        <w:t>; en términos de lo señalado por el criterio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891BDF" w14:textId="77777777" w:rsidR="00460B3F" w:rsidRPr="00A458D9" w:rsidRDefault="00460B3F" w:rsidP="00460B3F">
      <w:pPr>
        <w:spacing w:line="360" w:lineRule="auto"/>
        <w:jc w:val="both"/>
        <w:rPr>
          <w:rFonts w:ascii="Palatino Linotype" w:eastAsia="Palatino Linotype" w:hAnsi="Palatino Linotype" w:cs="Palatino Linotype"/>
        </w:rPr>
      </w:pPr>
    </w:p>
    <w:p w14:paraId="24FEF176" w14:textId="77777777" w:rsidR="00460B3F" w:rsidRPr="00A458D9" w:rsidRDefault="00460B3F" w:rsidP="00460B3F">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sz w:val="22"/>
          <w:szCs w:val="22"/>
        </w:rPr>
        <w:t>“</w:t>
      </w:r>
      <w:r w:rsidRPr="00A458D9">
        <w:rPr>
          <w:rFonts w:ascii="Palatino Linotype" w:eastAsia="Palatino Linotype" w:hAnsi="Palatino Linotype" w:cs="Palatino Linotype"/>
          <w:b/>
          <w:i/>
          <w:sz w:val="22"/>
          <w:szCs w:val="22"/>
        </w:rPr>
        <w:t>CRITERIO 0002-11</w:t>
      </w:r>
    </w:p>
    <w:p w14:paraId="63820ABA" w14:textId="77777777" w:rsidR="00460B3F" w:rsidRPr="00A458D9" w:rsidRDefault="00460B3F" w:rsidP="00460B3F">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458D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E27560" w14:textId="77777777" w:rsidR="00460B3F" w:rsidRPr="00A458D9" w:rsidRDefault="00460B3F" w:rsidP="00460B3F">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 xml:space="preserve">En </w:t>
      </w:r>
      <w:proofErr w:type="gramStart"/>
      <w:r w:rsidRPr="00A458D9">
        <w:rPr>
          <w:rFonts w:ascii="Palatino Linotype" w:eastAsia="Palatino Linotype" w:hAnsi="Palatino Linotype" w:cs="Palatino Linotype"/>
          <w:i/>
          <w:sz w:val="22"/>
          <w:szCs w:val="22"/>
        </w:rPr>
        <w:t>consecuencia</w:t>
      </w:r>
      <w:proofErr w:type="gramEnd"/>
      <w:r w:rsidRPr="00A458D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0BD9FF8" w14:textId="77777777" w:rsidR="00460B3F" w:rsidRPr="00A458D9" w:rsidRDefault="00460B3F" w:rsidP="00460B3F">
      <w:pPr>
        <w:ind w:left="851" w:right="89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458D9">
        <w:rPr>
          <w:rFonts w:ascii="Palatino Linotype" w:eastAsia="Palatino Linotype" w:hAnsi="Palatino Linotype" w:cs="Palatino Linotype"/>
          <w:i/>
          <w:sz w:val="22"/>
          <w:szCs w:val="22"/>
        </w:rPr>
        <w:t>que</w:t>
      </w:r>
      <w:proofErr w:type="gramEnd"/>
      <w:r w:rsidRPr="00A458D9">
        <w:rPr>
          <w:rFonts w:ascii="Palatino Linotype" w:eastAsia="Palatino Linotype" w:hAnsi="Palatino Linotype" w:cs="Palatino Linotype"/>
          <w:i/>
          <w:sz w:val="22"/>
          <w:szCs w:val="22"/>
        </w:rPr>
        <w:t xml:space="preserve"> en ejercicio de las atribuciones conferidas, sea generada por los Sujetos Obligados;</w:t>
      </w:r>
    </w:p>
    <w:p w14:paraId="25AEBA7F" w14:textId="77777777" w:rsidR="00460B3F" w:rsidRPr="00A458D9" w:rsidRDefault="00460B3F" w:rsidP="00460B3F">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458D9">
        <w:rPr>
          <w:rFonts w:ascii="Palatino Linotype" w:eastAsia="Palatino Linotype" w:hAnsi="Palatino Linotype" w:cs="Palatino Linotype"/>
          <w:b/>
          <w:i/>
          <w:sz w:val="22"/>
          <w:szCs w:val="22"/>
        </w:rPr>
        <w:t>que</w:t>
      </w:r>
      <w:proofErr w:type="gramEnd"/>
      <w:r w:rsidRPr="00A458D9">
        <w:rPr>
          <w:rFonts w:ascii="Palatino Linotype" w:eastAsia="Palatino Linotype" w:hAnsi="Palatino Linotype" w:cs="Palatino Linotype"/>
          <w:b/>
          <w:i/>
          <w:sz w:val="22"/>
          <w:szCs w:val="22"/>
        </w:rPr>
        <w:t xml:space="preserve"> en ejercicio de las atribuciones conferidas, sea administrada por los Sujetos Obligados, y</w:t>
      </w:r>
    </w:p>
    <w:p w14:paraId="3B3565F7" w14:textId="77777777" w:rsidR="00460B3F" w:rsidRPr="00A458D9" w:rsidRDefault="00460B3F" w:rsidP="00460B3F">
      <w:pPr>
        <w:ind w:left="851" w:right="89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A458D9">
        <w:rPr>
          <w:rFonts w:ascii="Palatino Linotype" w:eastAsia="Palatino Linotype" w:hAnsi="Palatino Linotype" w:cs="Palatino Linotype"/>
          <w:b/>
          <w:i/>
          <w:sz w:val="22"/>
          <w:szCs w:val="22"/>
        </w:rPr>
        <w:t>que</w:t>
      </w:r>
      <w:proofErr w:type="gramEnd"/>
      <w:r w:rsidRPr="00A458D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A9587AE" w14:textId="77777777" w:rsidR="00460B3F" w:rsidRPr="00A458D9" w:rsidRDefault="00460B3F" w:rsidP="0062657D">
      <w:pPr>
        <w:spacing w:after="240" w:line="360" w:lineRule="auto"/>
        <w:jc w:val="both"/>
        <w:rPr>
          <w:rFonts w:ascii="Palatino Linotype" w:eastAsia="Palatino Linotype" w:hAnsi="Palatino Linotype" w:cs="Palatino Linotype"/>
        </w:rPr>
      </w:pPr>
    </w:p>
    <w:p w14:paraId="2582D49C" w14:textId="77777777" w:rsidR="00A01BF7" w:rsidRPr="00A458D9" w:rsidRDefault="00A01BF7" w:rsidP="00A01BF7">
      <w:pPr>
        <w:spacing w:after="240" w:line="360" w:lineRule="auto"/>
        <w:jc w:val="both"/>
        <w:rPr>
          <w:rFonts w:ascii="Palatino Linotype" w:hAnsi="Palatino Linotype"/>
        </w:rPr>
      </w:pPr>
      <w:r w:rsidRPr="00A458D9">
        <w:rPr>
          <w:rFonts w:ascii="Palatino Linotype" w:hAnsi="Palatino Linotype"/>
        </w:rPr>
        <w:t xml:space="preserve">Además,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 </w:t>
      </w:r>
    </w:p>
    <w:p w14:paraId="27233991" w14:textId="77777777" w:rsidR="00A01BF7" w:rsidRPr="00A458D9" w:rsidRDefault="00A01BF7" w:rsidP="00A01BF7">
      <w:pPr>
        <w:spacing w:before="240" w:after="240" w:line="276" w:lineRule="auto"/>
        <w:ind w:left="567" w:right="567"/>
        <w:jc w:val="both"/>
        <w:rPr>
          <w:rFonts w:ascii="Palatino Linotype" w:hAnsi="Palatino Linotype" w:cs="Arial"/>
          <w:i/>
          <w:sz w:val="22"/>
          <w:szCs w:val="22"/>
        </w:rPr>
      </w:pPr>
      <w:r w:rsidRPr="00A458D9">
        <w:rPr>
          <w:rFonts w:ascii="Palatino Linotype" w:hAnsi="Palatino Linotype" w:cs="Arial"/>
          <w:i/>
          <w:sz w:val="22"/>
          <w:szCs w:val="22"/>
        </w:rPr>
        <w:t>“Artículo 18. Los sujetos obligados deberán documentar todo acto que derive del ejercicio de sus facultades, competencias o funciones, considerando desde su origen la eventual publicidad y reutilización de la información que generen.” (Sic)</w:t>
      </w:r>
    </w:p>
    <w:p w14:paraId="0D6441CD" w14:textId="77777777" w:rsidR="001002F2" w:rsidRPr="00A458D9" w:rsidRDefault="001002F2" w:rsidP="001002F2">
      <w:pPr>
        <w:spacing w:after="120" w:line="360" w:lineRule="auto"/>
        <w:contextualSpacing/>
        <w:jc w:val="both"/>
        <w:rPr>
          <w:rFonts w:ascii="Palatino Linotype" w:hAnsi="Palatino Linotype"/>
        </w:rPr>
      </w:pPr>
    </w:p>
    <w:p w14:paraId="5A3D0BF2" w14:textId="77777777" w:rsidR="001002F2" w:rsidRPr="00A458D9" w:rsidRDefault="001002F2" w:rsidP="0062657D">
      <w:pPr>
        <w:spacing w:after="240" w:line="360" w:lineRule="auto"/>
        <w:jc w:val="both"/>
        <w:rPr>
          <w:rFonts w:ascii="Palatino Linotype" w:hAnsi="Palatino Linotype"/>
        </w:rPr>
      </w:pPr>
      <w:r w:rsidRPr="00A458D9">
        <w:rPr>
          <w:rFonts w:ascii="Palatino Linotype" w:hAnsi="Palatino Linotype"/>
        </w:rPr>
        <w:t>Razones por las cuales lo procedente es ordenar el documento en donde consten los consentimiento</w:t>
      </w:r>
      <w:r w:rsidR="0028457E" w:rsidRPr="00A458D9">
        <w:rPr>
          <w:rFonts w:ascii="Palatino Linotype" w:hAnsi="Palatino Linotype"/>
        </w:rPr>
        <w:t>s</w:t>
      </w:r>
      <w:r w:rsidRPr="00A458D9">
        <w:rPr>
          <w:rFonts w:ascii="Palatino Linotype" w:hAnsi="Palatino Linotype"/>
        </w:rPr>
        <w:t xml:space="preserve"> de los locatarios </w:t>
      </w:r>
      <w:r w:rsidR="0028457E" w:rsidRPr="00A458D9">
        <w:rPr>
          <w:rFonts w:ascii="Palatino Linotype" w:hAnsi="Palatino Linotype"/>
        </w:rPr>
        <w:t>del "Mercado Zaragoza" para ser reubicados en el nuevo mercado, indicado en la solicitud, vigente</w:t>
      </w:r>
      <w:r w:rsidR="00F80735" w:rsidRPr="00A458D9">
        <w:rPr>
          <w:rFonts w:ascii="Palatino Linotype" w:hAnsi="Palatino Linotype"/>
        </w:rPr>
        <w:t>s</w:t>
      </w:r>
      <w:r w:rsidR="0028457E" w:rsidRPr="00A458D9">
        <w:rPr>
          <w:rFonts w:ascii="Palatino Linotype" w:hAnsi="Palatino Linotype"/>
        </w:rPr>
        <w:t xml:space="preserve"> al treinta de agosto del año dos mil veintidós y en versión pública conforme a lo señalado en el considerando quinto del presente fallo. </w:t>
      </w:r>
    </w:p>
    <w:p w14:paraId="73001EC6"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Quinto. Versión Pública. </w:t>
      </w:r>
      <w:r w:rsidRPr="00A458D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tendrá que hacer la elaboración de una versión </w:t>
      </w:r>
      <w:r w:rsidRPr="00A458D9">
        <w:rPr>
          <w:rFonts w:ascii="Palatino Linotype" w:eastAsia="Palatino Linotype" w:hAnsi="Palatino Linotype" w:cs="Palatino Linotype"/>
        </w:rPr>
        <w:lastRenderedPageBreak/>
        <w:t>pública de los documentos que vaya entregar para dar cumplimiento a esta resolución, a fin de satisfacer el derecho de acceso a la información pública de la recurrente sin menoscabar el derecho a la protección de los datos personales de terceros.</w:t>
      </w:r>
    </w:p>
    <w:p w14:paraId="66A9864B" w14:textId="77777777" w:rsidR="005E3F40" w:rsidRPr="00A458D9" w:rsidRDefault="005E3F40" w:rsidP="005E3F40">
      <w:pPr>
        <w:spacing w:line="360" w:lineRule="auto"/>
        <w:jc w:val="both"/>
        <w:rPr>
          <w:rFonts w:ascii="Palatino Linotype" w:eastAsia="Palatino Linotype" w:hAnsi="Palatino Linotype" w:cs="Palatino Linotype"/>
        </w:rPr>
      </w:pPr>
    </w:p>
    <w:p w14:paraId="1091C889" w14:textId="77777777" w:rsidR="005E3F40" w:rsidRPr="00A458D9" w:rsidRDefault="005E3F40" w:rsidP="005E3F40">
      <w:pPr>
        <w:spacing w:after="240" w:line="360" w:lineRule="auto"/>
        <w:ind w:right="50"/>
        <w:jc w:val="both"/>
        <w:rPr>
          <w:rFonts w:ascii="Palatino Linotype" w:eastAsia="Palatino Linotype" w:hAnsi="Palatino Linotype" w:cs="Palatino Linotype"/>
        </w:rPr>
      </w:pPr>
      <w:r w:rsidRPr="00A458D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3C6E8B7" w14:textId="77777777" w:rsidR="005E3F40" w:rsidRPr="00A458D9" w:rsidRDefault="005E3F40" w:rsidP="005E3F40">
      <w:pPr>
        <w:ind w:left="993" w:right="1041"/>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 xml:space="preserve"> “Artículo 3. Para los efectos de la presente Ley se entenderá por:</w:t>
      </w:r>
    </w:p>
    <w:p w14:paraId="40DA901E"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IX. Datos personales:</w:t>
      </w:r>
      <w:r w:rsidRPr="00A458D9">
        <w:rPr>
          <w:rFonts w:ascii="Palatino Linotype" w:eastAsia="Palatino Linotype" w:hAnsi="Palatino Linotype" w:cs="Palatino Linotype"/>
          <w:i/>
          <w:sz w:val="22"/>
          <w:szCs w:val="22"/>
        </w:rPr>
        <w:t xml:space="preserve"> </w:t>
      </w:r>
      <w:r w:rsidRPr="00A458D9">
        <w:rPr>
          <w:rFonts w:ascii="Palatino Linotype" w:eastAsia="Palatino Linotype" w:hAnsi="Palatino Linotype" w:cs="Palatino Linotype"/>
          <w:b/>
          <w:i/>
          <w:sz w:val="22"/>
          <w:szCs w:val="22"/>
        </w:rPr>
        <w:t>La información concerniente a una persona, identificada o identificable</w:t>
      </w:r>
      <w:r w:rsidRPr="00A458D9">
        <w:rPr>
          <w:rFonts w:ascii="Palatino Linotype" w:eastAsia="Palatino Linotype" w:hAnsi="Palatino Linotype" w:cs="Palatino Linotype"/>
          <w:i/>
          <w:sz w:val="22"/>
          <w:szCs w:val="22"/>
        </w:rPr>
        <w:t xml:space="preserve"> según lo dispuesto por la Ley de Protección de Datos Personales del Estado de México;</w:t>
      </w:r>
    </w:p>
    <w:p w14:paraId="1BD7AE5C"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XX. Información clasificada:</w:t>
      </w:r>
      <w:r w:rsidRPr="00A458D9">
        <w:rPr>
          <w:rFonts w:ascii="Palatino Linotype" w:eastAsia="Palatino Linotype" w:hAnsi="Palatino Linotype" w:cs="Palatino Linotype"/>
          <w:i/>
          <w:sz w:val="22"/>
          <w:szCs w:val="22"/>
        </w:rPr>
        <w:t xml:space="preserve"> Aquella considerada por la presente Ley como reservada o confidencial;</w:t>
      </w:r>
    </w:p>
    <w:p w14:paraId="3C48C2A2"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XXXII. Protección de Datos Personales:</w:t>
      </w:r>
      <w:r w:rsidRPr="00A458D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E5F9811"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XLV. Versión pública</w:t>
      </w:r>
      <w:r w:rsidRPr="00A458D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459AE80" w14:textId="77777777" w:rsidR="005E3F40" w:rsidRPr="00A458D9" w:rsidRDefault="005E3F40" w:rsidP="005E3F40">
      <w:pPr>
        <w:ind w:left="993" w:right="1041"/>
        <w:jc w:val="both"/>
        <w:rPr>
          <w:rFonts w:ascii="Palatino Linotype" w:eastAsia="Palatino Linotype" w:hAnsi="Palatino Linotype" w:cs="Palatino Linotype"/>
          <w:i/>
          <w:sz w:val="22"/>
          <w:szCs w:val="22"/>
        </w:rPr>
      </w:pPr>
    </w:p>
    <w:p w14:paraId="3F8834AC"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“Artículo 6.</w:t>
      </w:r>
      <w:r w:rsidRPr="00A458D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75991F5" w14:textId="77777777" w:rsidR="005E3F40" w:rsidRPr="00A458D9" w:rsidRDefault="005E3F40" w:rsidP="005E3F40">
      <w:pPr>
        <w:ind w:left="993" w:right="1041"/>
        <w:jc w:val="both"/>
        <w:rPr>
          <w:rFonts w:ascii="Palatino Linotype" w:eastAsia="Palatino Linotype" w:hAnsi="Palatino Linotype" w:cs="Palatino Linotype"/>
          <w:i/>
          <w:sz w:val="22"/>
          <w:szCs w:val="22"/>
        </w:rPr>
      </w:pPr>
    </w:p>
    <w:p w14:paraId="72415E49" w14:textId="77777777" w:rsidR="005E3F40" w:rsidRPr="00A458D9" w:rsidRDefault="005E3F40" w:rsidP="005E3F40">
      <w:pPr>
        <w:ind w:left="993" w:right="1041"/>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lastRenderedPageBreak/>
        <w:t>“Artículo 137.</w:t>
      </w:r>
      <w:r w:rsidRPr="00A458D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0CB0124"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“Artículo 143</w:t>
      </w:r>
      <w:r w:rsidRPr="00A458D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6F7AE34"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w:t>
      </w:r>
      <w:r w:rsidRPr="00A458D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6E2B87D"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2CC64B5" w14:textId="77777777" w:rsidR="005E3F40" w:rsidRPr="00A458D9" w:rsidRDefault="005E3F40" w:rsidP="005E3F40">
      <w:pPr>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64050AA" w14:textId="77777777" w:rsidR="005E3F40" w:rsidRPr="00A458D9" w:rsidRDefault="005E3F40" w:rsidP="005E3F40">
      <w:pPr>
        <w:ind w:left="993" w:right="1041"/>
        <w:jc w:val="both"/>
        <w:rPr>
          <w:rFonts w:ascii="Palatino Linotype" w:eastAsia="Palatino Linotype" w:hAnsi="Palatino Linotype" w:cs="Palatino Linotype"/>
          <w:i/>
          <w:sz w:val="22"/>
          <w:szCs w:val="22"/>
        </w:rPr>
      </w:pPr>
    </w:p>
    <w:p w14:paraId="4C636C96" w14:textId="77777777" w:rsidR="005E3F40" w:rsidRPr="00A458D9" w:rsidRDefault="005E3F40" w:rsidP="005E3F40">
      <w:pPr>
        <w:spacing w:line="360" w:lineRule="auto"/>
        <w:ind w:right="51"/>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deberá proceder a testar los datos personales que se encuentren contenidos en los documentos a entregar por parte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D49A6BD" w14:textId="77777777" w:rsidR="005E3F40" w:rsidRPr="00A458D9" w:rsidRDefault="005E3F40" w:rsidP="005E3F40">
      <w:pPr>
        <w:spacing w:line="360" w:lineRule="auto"/>
        <w:ind w:right="51"/>
        <w:jc w:val="both"/>
        <w:rPr>
          <w:rFonts w:ascii="Palatino Linotype" w:eastAsia="Palatino Linotype" w:hAnsi="Palatino Linotype" w:cs="Palatino Linotype"/>
        </w:rPr>
      </w:pPr>
    </w:p>
    <w:p w14:paraId="2D8E57E2" w14:textId="77777777" w:rsidR="005E3F40" w:rsidRPr="00A458D9" w:rsidRDefault="005E3F40" w:rsidP="005E3F40">
      <w:pPr>
        <w:spacing w:line="360" w:lineRule="auto"/>
        <w:ind w:right="50"/>
        <w:jc w:val="both"/>
        <w:rPr>
          <w:rFonts w:ascii="Palatino Linotype" w:eastAsia="Palatino Linotype" w:hAnsi="Palatino Linotype" w:cs="Palatino Linotype"/>
        </w:rPr>
      </w:pPr>
      <w:r w:rsidRPr="00A458D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8CE4DEC" w14:textId="77777777" w:rsidR="005E3F40" w:rsidRPr="00A458D9" w:rsidRDefault="005E3F40" w:rsidP="005E3F40">
      <w:pPr>
        <w:spacing w:line="360" w:lineRule="auto"/>
        <w:ind w:right="50"/>
        <w:jc w:val="both"/>
        <w:rPr>
          <w:rFonts w:ascii="Palatino Linotype" w:eastAsia="Palatino Linotype" w:hAnsi="Palatino Linotype" w:cs="Palatino Linotype"/>
        </w:rPr>
      </w:pPr>
    </w:p>
    <w:p w14:paraId="2D9021E4" w14:textId="77777777" w:rsidR="005E3F40" w:rsidRPr="00A458D9" w:rsidRDefault="005E3F40" w:rsidP="005E3F40">
      <w:pPr>
        <w:spacing w:line="360" w:lineRule="auto"/>
        <w:ind w:right="51"/>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A458D9">
        <w:rPr>
          <w:rFonts w:ascii="Palatino Linotype" w:eastAsia="Palatino Linotype" w:hAnsi="Palatino Linotype" w:cs="Palatino Linotype"/>
        </w:rPr>
        <w:t>Responsable</w:t>
      </w:r>
      <w:proofErr w:type="gramEnd"/>
      <w:r w:rsidRPr="00A458D9">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D70E26D" w14:textId="77777777" w:rsidR="005E3F40" w:rsidRPr="00A458D9" w:rsidRDefault="005E3F40" w:rsidP="005E3F40">
      <w:pPr>
        <w:spacing w:line="360" w:lineRule="auto"/>
        <w:ind w:right="51"/>
        <w:jc w:val="both"/>
        <w:rPr>
          <w:rFonts w:ascii="Palatino Linotype" w:eastAsia="Palatino Linotype" w:hAnsi="Palatino Linotype" w:cs="Palatino Linotype"/>
        </w:rPr>
      </w:pPr>
    </w:p>
    <w:p w14:paraId="3EAB24B9"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“Artículo 49.</w:t>
      </w:r>
      <w:r w:rsidRPr="00A458D9">
        <w:rPr>
          <w:rFonts w:ascii="Palatino Linotype" w:eastAsia="Palatino Linotype" w:hAnsi="Palatino Linotype" w:cs="Palatino Linotype"/>
          <w:i/>
          <w:sz w:val="22"/>
          <w:szCs w:val="22"/>
        </w:rPr>
        <w:t xml:space="preserve"> </w:t>
      </w:r>
      <w:r w:rsidRPr="00A458D9">
        <w:rPr>
          <w:rFonts w:ascii="Palatino Linotype" w:eastAsia="Palatino Linotype" w:hAnsi="Palatino Linotype" w:cs="Palatino Linotype"/>
          <w:b/>
          <w:i/>
          <w:sz w:val="22"/>
          <w:szCs w:val="22"/>
        </w:rPr>
        <w:t>Los Comités de Transparencia</w:t>
      </w:r>
      <w:r w:rsidRPr="00A458D9">
        <w:rPr>
          <w:rFonts w:ascii="Palatino Linotype" w:eastAsia="Palatino Linotype" w:hAnsi="Palatino Linotype" w:cs="Palatino Linotype"/>
          <w:i/>
          <w:sz w:val="22"/>
          <w:szCs w:val="22"/>
        </w:rPr>
        <w:t xml:space="preserve"> tendrán las siguientes atribuciones:</w:t>
      </w:r>
    </w:p>
    <w:p w14:paraId="46AC9EBB"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VIII. Aprobar, modificar o revocar la clasificación de la información</w:t>
      </w:r>
      <w:r w:rsidRPr="00A458D9">
        <w:rPr>
          <w:rFonts w:ascii="Palatino Linotype" w:eastAsia="Palatino Linotype" w:hAnsi="Palatino Linotype" w:cs="Palatino Linotype"/>
          <w:i/>
          <w:sz w:val="22"/>
          <w:szCs w:val="22"/>
        </w:rPr>
        <w:t>…”</w:t>
      </w:r>
    </w:p>
    <w:p w14:paraId="67523762"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Artículo 53.</w:t>
      </w:r>
      <w:r w:rsidRPr="00A458D9">
        <w:rPr>
          <w:rFonts w:ascii="Palatino Linotype" w:eastAsia="Palatino Linotype" w:hAnsi="Palatino Linotype" w:cs="Palatino Linotype"/>
          <w:i/>
          <w:sz w:val="22"/>
          <w:szCs w:val="22"/>
        </w:rPr>
        <w:t xml:space="preserve"> Las </w:t>
      </w:r>
      <w:r w:rsidRPr="00A458D9">
        <w:rPr>
          <w:rFonts w:ascii="Palatino Linotype" w:eastAsia="Palatino Linotype" w:hAnsi="Palatino Linotype" w:cs="Palatino Linotype"/>
          <w:b/>
          <w:i/>
          <w:sz w:val="22"/>
          <w:szCs w:val="22"/>
        </w:rPr>
        <w:t>Unidades de Transparencia</w:t>
      </w:r>
      <w:r w:rsidRPr="00A458D9">
        <w:rPr>
          <w:rFonts w:ascii="Palatino Linotype" w:eastAsia="Palatino Linotype" w:hAnsi="Palatino Linotype" w:cs="Palatino Linotype"/>
          <w:i/>
          <w:sz w:val="22"/>
          <w:szCs w:val="22"/>
        </w:rPr>
        <w:t xml:space="preserve"> tendrán las siguientes </w:t>
      </w:r>
      <w:r w:rsidRPr="00A458D9">
        <w:rPr>
          <w:rFonts w:ascii="Palatino Linotype" w:eastAsia="Palatino Linotype" w:hAnsi="Palatino Linotype" w:cs="Palatino Linotype"/>
          <w:b/>
          <w:i/>
          <w:sz w:val="22"/>
          <w:szCs w:val="22"/>
        </w:rPr>
        <w:t>funciones</w:t>
      </w:r>
      <w:r w:rsidRPr="00A458D9">
        <w:rPr>
          <w:rFonts w:ascii="Palatino Linotype" w:eastAsia="Palatino Linotype" w:hAnsi="Palatino Linotype" w:cs="Palatino Linotype"/>
          <w:i/>
          <w:sz w:val="22"/>
          <w:szCs w:val="22"/>
        </w:rPr>
        <w:t>:</w:t>
      </w:r>
    </w:p>
    <w:p w14:paraId="5823A76E"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X. Presentar ante el Comité, el proyecto de clasificación de información</w:t>
      </w:r>
      <w:r w:rsidRPr="00A458D9">
        <w:rPr>
          <w:rFonts w:ascii="Palatino Linotype" w:eastAsia="Palatino Linotype" w:hAnsi="Palatino Linotype" w:cs="Palatino Linotype"/>
          <w:i/>
          <w:sz w:val="22"/>
          <w:szCs w:val="22"/>
        </w:rPr>
        <w:t xml:space="preserve">…” </w:t>
      </w:r>
    </w:p>
    <w:p w14:paraId="6ADB1853"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“Artículo 59.</w:t>
      </w:r>
      <w:r w:rsidRPr="00A458D9">
        <w:rPr>
          <w:rFonts w:ascii="Palatino Linotype" w:eastAsia="Palatino Linotype" w:hAnsi="Palatino Linotype" w:cs="Palatino Linotype"/>
          <w:i/>
          <w:sz w:val="22"/>
          <w:szCs w:val="22"/>
        </w:rPr>
        <w:t xml:space="preserve"> Los </w:t>
      </w:r>
      <w:r w:rsidRPr="00A458D9">
        <w:rPr>
          <w:rFonts w:ascii="Palatino Linotype" w:eastAsia="Palatino Linotype" w:hAnsi="Palatino Linotype" w:cs="Palatino Linotype"/>
          <w:b/>
          <w:i/>
          <w:sz w:val="22"/>
          <w:szCs w:val="22"/>
        </w:rPr>
        <w:t>servidores públicos habilitados</w:t>
      </w:r>
      <w:r w:rsidRPr="00A458D9">
        <w:rPr>
          <w:rFonts w:ascii="Palatino Linotype" w:eastAsia="Palatino Linotype" w:hAnsi="Palatino Linotype" w:cs="Palatino Linotype"/>
          <w:i/>
          <w:sz w:val="22"/>
          <w:szCs w:val="22"/>
        </w:rPr>
        <w:t xml:space="preserve"> tendrán las </w:t>
      </w:r>
      <w:r w:rsidRPr="00A458D9">
        <w:rPr>
          <w:rFonts w:ascii="Palatino Linotype" w:eastAsia="Palatino Linotype" w:hAnsi="Palatino Linotype" w:cs="Palatino Linotype"/>
          <w:b/>
          <w:i/>
          <w:sz w:val="22"/>
          <w:szCs w:val="22"/>
        </w:rPr>
        <w:t>funciones</w:t>
      </w:r>
      <w:r w:rsidRPr="00A458D9">
        <w:rPr>
          <w:rFonts w:ascii="Palatino Linotype" w:eastAsia="Palatino Linotype" w:hAnsi="Palatino Linotype" w:cs="Palatino Linotype"/>
          <w:i/>
          <w:sz w:val="22"/>
          <w:szCs w:val="22"/>
        </w:rPr>
        <w:t xml:space="preserve"> siguientes:</w:t>
      </w:r>
    </w:p>
    <w:p w14:paraId="72412189" w14:textId="77777777" w:rsidR="005E3F40" w:rsidRPr="00A458D9" w:rsidRDefault="005E3F40" w:rsidP="005E3F40">
      <w:pPr>
        <w:ind w:left="992" w:right="1043"/>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458D9">
        <w:rPr>
          <w:rFonts w:ascii="Palatino Linotype" w:eastAsia="Palatino Linotype" w:hAnsi="Palatino Linotype" w:cs="Palatino Linotype"/>
          <w:i/>
          <w:sz w:val="22"/>
          <w:szCs w:val="22"/>
        </w:rPr>
        <w:t>, la cual tendrá los fundamentos y argumentos en que se basa dicha propuesta</w:t>
      </w:r>
      <w:proofErr w:type="gramStart"/>
      <w:r w:rsidRPr="00A458D9">
        <w:rPr>
          <w:rFonts w:ascii="Palatino Linotype" w:eastAsia="Palatino Linotype" w:hAnsi="Palatino Linotype" w:cs="Palatino Linotype"/>
          <w:i/>
          <w:sz w:val="22"/>
          <w:szCs w:val="22"/>
        </w:rPr>
        <w:t>…”(</w:t>
      </w:r>
      <w:proofErr w:type="gramEnd"/>
      <w:r w:rsidRPr="00A458D9">
        <w:rPr>
          <w:rFonts w:ascii="Palatino Linotype" w:eastAsia="Palatino Linotype" w:hAnsi="Palatino Linotype" w:cs="Palatino Linotype"/>
          <w:i/>
          <w:sz w:val="22"/>
          <w:szCs w:val="22"/>
        </w:rPr>
        <w:t>Sic)</w:t>
      </w:r>
    </w:p>
    <w:p w14:paraId="47B06880" w14:textId="77777777" w:rsidR="005E3F40" w:rsidRPr="00A458D9" w:rsidRDefault="005E3F40" w:rsidP="005E3F40">
      <w:pPr>
        <w:ind w:left="992" w:right="1043"/>
        <w:jc w:val="both"/>
        <w:rPr>
          <w:rFonts w:ascii="Palatino Linotype" w:eastAsia="Palatino Linotype" w:hAnsi="Palatino Linotype" w:cs="Palatino Linotype"/>
          <w:i/>
          <w:sz w:val="22"/>
          <w:szCs w:val="22"/>
        </w:rPr>
      </w:pPr>
    </w:p>
    <w:p w14:paraId="55A5C759"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sidRPr="00A458D9">
        <w:rPr>
          <w:rFonts w:ascii="Palatino Linotype" w:eastAsia="Palatino Linotype" w:hAnsi="Palatino Linotype" w:cs="Palatino Linotype"/>
        </w:rPr>
        <w:lastRenderedPageBreak/>
        <w:t xml:space="preserve">Habilitados, de las Unidades de Transparencia y del Comité de Transparencia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3DD7ACC" w14:textId="77777777" w:rsidR="005E3F40" w:rsidRPr="00A458D9" w:rsidRDefault="005E3F40" w:rsidP="005E3F40">
      <w:pPr>
        <w:spacing w:line="360" w:lineRule="auto"/>
        <w:jc w:val="both"/>
        <w:rPr>
          <w:rFonts w:ascii="Palatino Linotype" w:eastAsia="Palatino Linotype" w:hAnsi="Palatino Linotype" w:cs="Palatino Linotype"/>
        </w:rPr>
      </w:pPr>
    </w:p>
    <w:p w14:paraId="72BCB94D"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D1DACF8" w14:textId="77777777" w:rsidR="005E3F40" w:rsidRPr="00A458D9" w:rsidRDefault="005E3F40" w:rsidP="005E3F40">
      <w:pPr>
        <w:spacing w:line="360" w:lineRule="auto"/>
        <w:jc w:val="both"/>
        <w:rPr>
          <w:rFonts w:ascii="Palatino Linotype" w:eastAsia="Palatino Linotype" w:hAnsi="Palatino Linotype" w:cs="Palatino Linotype"/>
        </w:rPr>
      </w:pPr>
    </w:p>
    <w:p w14:paraId="06817273" w14:textId="77777777" w:rsidR="005E3F40" w:rsidRPr="00A458D9" w:rsidRDefault="005E3F40" w:rsidP="005E3F40">
      <w:pPr>
        <w:spacing w:after="240"/>
        <w:ind w:left="993" w:right="1041"/>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r w:rsidRPr="00A458D9">
        <w:rPr>
          <w:rFonts w:ascii="Palatino Linotype" w:eastAsia="Palatino Linotype" w:hAnsi="Palatino Linotype" w:cs="Palatino Linotype"/>
          <w:b/>
          <w:i/>
          <w:sz w:val="22"/>
          <w:szCs w:val="22"/>
        </w:rPr>
        <w:t>Artículo 149.</w:t>
      </w:r>
      <w:r w:rsidRPr="00A458D9">
        <w:rPr>
          <w:rFonts w:ascii="Palatino Linotype" w:eastAsia="Palatino Linotype" w:hAnsi="Palatino Linotype" w:cs="Palatino Linotype"/>
          <w:i/>
          <w:sz w:val="22"/>
          <w:szCs w:val="22"/>
        </w:rPr>
        <w:t xml:space="preserve"> El </w:t>
      </w:r>
      <w:r w:rsidRPr="00A458D9">
        <w:rPr>
          <w:rFonts w:ascii="Palatino Linotype" w:eastAsia="Palatino Linotype" w:hAnsi="Palatino Linotype" w:cs="Palatino Linotype"/>
          <w:b/>
          <w:i/>
          <w:sz w:val="22"/>
          <w:szCs w:val="22"/>
        </w:rPr>
        <w:t>acuerdo que clasifique la información como confidencial</w:t>
      </w:r>
      <w:r w:rsidRPr="00A458D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A458D9">
        <w:rPr>
          <w:rFonts w:ascii="Palatino Linotype" w:eastAsia="Palatino Linotype" w:hAnsi="Palatino Linotype" w:cs="Palatino Linotype"/>
          <w:i/>
          <w:sz w:val="22"/>
          <w:szCs w:val="22"/>
        </w:rPr>
        <w:t>.”(</w:t>
      </w:r>
      <w:proofErr w:type="gramEnd"/>
      <w:r w:rsidRPr="00A458D9">
        <w:rPr>
          <w:rFonts w:ascii="Palatino Linotype" w:eastAsia="Palatino Linotype" w:hAnsi="Palatino Linotype" w:cs="Palatino Linotype"/>
          <w:i/>
          <w:sz w:val="22"/>
          <w:szCs w:val="22"/>
        </w:rPr>
        <w:t>Sic)</w:t>
      </w:r>
    </w:p>
    <w:p w14:paraId="2F105CC7" w14:textId="77777777" w:rsidR="005E3F40" w:rsidRPr="00A458D9" w:rsidRDefault="005E3F40" w:rsidP="005E3F40">
      <w:pPr>
        <w:spacing w:before="240" w:line="360" w:lineRule="auto"/>
        <w:ind w:right="51"/>
        <w:jc w:val="both"/>
        <w:rPr>
          <w:rFonts w:ascii="Palatino Linotype" w:eastAsia="Palatino Linotype" w:hAnsi="Palatino Linotype" w:cs="Palatino Linotype"/>
        </w:rPr>
      </w:pPr>
    </w:p>
    <w:p w14:paraId="21C3FE35" w14:textId="77777777" w:rsidR="005E3F40" w:rsidRPr="00A458D9" w:rsidRDefault="005E3F40" w:rsidP="005E3F40">
      <w:pPr>
        <w:spacing w:line="360" w:lineRule="auto"/>
        <w:ind w:right="51"/>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Es decir,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6FC0EC4" w14:textId="77777777" w:rsidR="005E3F40" w:rsidRPr="00A458D9" w:rsidRDefault="005E3F40" w:rsidP="005E3F40">
      <w:pPr>
        <w:spacing w:line="360" w:lineRule="auto"/>
        <w:ind w:right="51"/>
        <w:jc w:val="both"/>
        <w:rPr>
          <w:rFonts w:ascii="Palatino Linotype" w:eastAsia="Palatino Linotype" w:hAnsi="Palatino Linotype" w:cs="Palatino Linotype"/>
        </w:rPr>
      </w:pPr>
    </w:p>
    <w:p w14:paraId="3ECF7B66" w14:textId="77777777" w:rsidR="005E3F40" w:rsidRPr="00A458D9" w:rsidRDefault="002B23B5" w:rsidP="002B23B5">
      <w:pPr>
        <w:spacing w:line="360" w:lineRule="auto"/>
        <w:ind w:right="51"/>
        <w:jc w:val="both"/>
        <w:rPr>
          <w:rFonts w:ascii="Palatino Linotype" w:hAnsi="Palatino Linotype"/>
        </w:rPr>
      </w:pPr>
      <w:r w:rsidRPr="00A458D9">
        <w:rPr>
          <w:rFonts w:ascii="Palatino Linotype" w:eastAsia="Palatino Linotype" w:hAnsi="Palatino Linotype" w:cs="Palatino Linotype"/>
        </w:rPr>
        <w:t>Para el caso, de las</w:t>
      </w:r>
      <w:r w:rsidR="005E3F40" w:rsidRPr="00A458D9">
        <w:rPr>
          <w:rFonts w:ascii="Palatino Linotype" w:eastAsia="Palatino Linotype" w:hAnsi="Palatino Linotype" w:cs="Palatino Linotype"/>
        </w:rPr>
        <w:t xml:space="preserve"> firmas de los locatarios</w:t>
      </w:r>
      <w:r w:rsidR="005E3F40" w:rsidRPr="00A458D9">
        <w:rPr>
          <w:rFonts w:ascii="Palatino Linotype" w:hAnsi="Palatino Linotype" w:cs="Arial"/>
          <w:szCs w:val="28"/>
        </w:rPr>
        <w:t xml:space="preserve">, es información confidencial; por lo que no puede otorgarse a terceros, dada la confidencialidad que distingue a sus elementos. </w:t>
      </w:r>
    </w:p>
    <w:p w14:paraId="38BDDE2F" w14:textId="77777777" w:rsidR="005E3F40" w:rsidRPr="00A458D9" w:rsidRDefault="005E3F40" w:rsidP="005E3F40">
      <w:pPr>
        <w:spacing w:before="240" w:after="240" w:line="360" w:lineRule="auto"/>
        <w:jc w:val="both"/>
        <w:rPr>
          <w:rFonts w:ascii="Palatino Linotype" w:hAnsi="Palatino Linotype"/>
        </w:rPr>
      </w:pPr>
      <w:r w:rsidRPr="00A458D9">
        <w:rPr>
          <w:rFonts w:ascii="Palatino Linotype" w:hAnsi="Palatino Linotype"/>
        </w:rPr>
        <w:t>Sobre la firma, es confidencial toda vez que se refiere a la firma un particular o rubrica, ya que la misma tiene su origen en la grafología también conocida como firma man</w:t>
      </w:r>
      <w:r w:rsidR="00A66D79" w:rsidRPr="00A458D9">
        <w:rPr>
          <w:rFonts w:ascii="Palatino Linotype" w:hAnsi="Palatino Linotype"/>
        </w:rPr>
        <w:t xml:space="preserve">uscrita y como firma </w:t>
      </w:r>
      <w:proofErr w:type="spellStart"/>
      <w:r w:rsidR="00A66D79" w:rsidRPr="00A458D9">
        <w:rPr>
          <w:rFonts w:ascii="Palatino Linotype" w:hAnsi="Palatino Linotype"/>
        </w:rPr>
        <w:t>ológrafica</w:t>
      </w:r>
      <w:proofErr w:type="spellEnd"/>
      <w:r w:rsidR="00A66D79" w:rsidRPr="00A458D9">
        <w:rPr>
          <w:rFonts w:ascii="Palatino Linotype" w:hAnsi="Palatino Linotype"/>
        </w:rPr>
        <w:t xml:space="preserve">, del mismo es considerada como una escritura gráfica o manuscrito que representa el título que una persona  </w:t>
      </w:r>
      <w:r w:rsidRPr="00A458D9">
        <w:rPr>
          <w:rFonts w:ascii="Palatino Linotype" w:hAnsi="Palatino Linotype"/>
        </w:rPr>
        <w:t xml:space="preserve">  </w:t>
      </w:r>
      <w:r w:rsidR="00A66D79" w:rsidRPr="00A458D9">
        <w:rPr>
          <w:rFonts w:ascii="Palatino Linotype" w:hAnsi="Palatino Linotype"/>
        </w:rPr>
        <w:t xml:space="preserve">escribe de su propia mano, y tiene fines de identificadoras, jurídicos, bancarios, representativos y diplomáticos. </w:t>
      </w:r>
    </w:p>
    <w:p w14:paraId="67017AA7" w14:textId="77777777" w:rsidR="002B23B5" w:rsidRPr="00A458D9" w:rsidRDefault="002B23B5" w:rsidP="005E2CD2">
      <w:pPr>
        <w:spacing w:line="360" w:lineRule="auto"/>
        <w:contextualSpacing/>
        <w:jc w:val="both"/>
        <w:rPr>
          <w:rFonts w:ascii="Palatino Linotype" w:hAnsi="Palatino Linotype" w:cs="Tahoma"/>
          <w:sz w:val="22"/>
          <w:szCs w:val="22"/>
        </w:rPr>
      </w:pPr>
      <w:r w:rsidRPr="00A458D9">
        <w:rPr>
          <w:rFonts w:ascii="Palatino Linotype" w:hAnsi="Palatino Linotype"/>
        </w:rPr>
        <w:t>Sobre el domicilio particular, d</w:t>
      </w:r>
      <w:r w:rsidRPr="00A458D9">
        <w:rPr>
          <w:rFonts w:ascii="Palatino Linotype" w:hAnsi="Palatino Linotype" w:cs="Tahoma"/>
          <w:sz w:val="22"/>
          <w:szCs w:val="22"/>
        </w:rPr>
        <w:t xml:space="preserve">e acuerdo a lo señalado en los artículos 2.3 y 2.5 del Código Civil del Estado de México, el domicilio es un atributo de la personalidad y un derecho de las personas; además que tiene como propósito que una persona pueda establecerse temporal o permanentemente en un lugar </w:t>
      </w:r>
      <w:r w:rsidR="005E2CD2" w:rsidRPr="00A458D9">
        <w:rPr>
          <w:rFonts w:ascii="Palatino Linotype" w:hAnsi="Palatino Linotype" w:cs="Tahoma"/>
          <w:sz w:val="22"/>
          <w:szCs w:val="22"/>
        </w:rPr>
        <w:t xml:space="preserve">determinado, para habitar, por </w:t>
      </w:r>
      <w:proofErr w:type="gramStart"/>
      <w:r w:rsidR="005E2CD2" w:rsidRPr="00A458D9">
        <w:rPr>
          <w:rFonts w:ascii="Palatino Linotype" w:hAnsi="Palatino Linotype" w:cs="Tahoma"/>
          <w:sz w:val="22"/>
          <w:szCs w:val="22"/>
        </w:rPr>
        <w:t>consiguiente</w:t>
      </w:r>
      <w:proofErr w:type="gramEnd"/>
      <w:r w:rsidR="005E2CD2" w:rsidRPr="00A458D9">
        <w:rPr>
          <w:rFonts w:ascii="Palatino Linotype" w:hAnsi="Palatino Linotype" w:cs="Tahoma"/>
          <w:sz w:val="22"/>
          <w:szCs w:val="22"/>
        </w:rPr>
        <w:t xml:space="preserve"> se considera como un dato personal que debe ser protegido por el SUJETO OBLIGADO. </w:t>
      </w:r>
    </w:p>
    <w:p w14:paraId="3ECB40BE" w14:textId="77777777" w:rsidR="005E2CD2" w:rsidRPr="00A458D9" w:rsidRDefault="005E2CD2" w:rsidP="005E3F40">
      <w:pPr>
        <w:spacing w:line="360" w:lineRule="auto"/>
        <w:jc w:val="both"/>
        <w:rPr>
          <w:rFonts w:ascii="Palatino Linotype" w:eastAsia="Palatino Linotype" w:hAnsi="Palatino Linotype" w:cs="Palatino Linotype"/>
        </w:rPr>
      </w:pPr>
    </w:p>
    <w:p w14:paraId="167F9E54"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Al respecto, se destaca que la versión pública que elabore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debe cumplir con las formalidades exigidas en la Ley; es decir, resulta necesario que el Comité de Transparencia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w:t>
      </w:r>
      <w:r w:rsidRPr="00A458D9">
        <w:rPr>
          <w:rFonts w:ascii="Palatino Linotype" w:eastAsia="Palatino Linotype" w:hAnsi="Palatino Linotype" w:cs="Palatino Linotype"/>
        </w:rPr>
        <w:lastRenderedPageBreak/>
        <w:t xml:space="preserve">Estado de México y Municipios, ya expuesto; así como con los numerales aplicables de los </w:t>
      </w:r>
      <w:r w:rsidRPr="00A458D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458D9">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8E9C62C" w14:textId="77777777" w:rsidR="005E3F40" w:rsidRPr="00A458D9" w:rsidRDefault="005E3F40" w:rsidP="005E3F40">
      <w:pPr>
        <w:ind w:left="709" w:right="709"/>
        <w:jc w:val="both"/>
        <w:rPr>
          <w:rFonts w:ascii="Palatino Linotype" w:eastAsia="Palatino Linotype" w:hAnsi="Palatino Linotype" w:cs="Palatino Linotype"/>
          <w:b/>
          <w:i/>
          <w:sz w:val="22"/>
          <w:szCs w:val="22"/>
        </w:rPr>
      </w:pPr>
    </w:p>
    <w:p w14:paraId="7B644EA9" w14:textId="77777777" w:rsidR="005E3F40" w:rsidRPr="00A458D9" w:rsidRDefault="005E3F40" w:rsidP="005E3F40">
      <w:pPr>
        <w:ind w:left="709" w:right="709"/>
        <w:jc w:val="both"/>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22AB0F0"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proofErr w:type="gramStart"/>
      <w:r w:rsidRPr="00A458D9">
        <w:rPr>
          <w:rFonts w:ascii="Palatino Linotype" w:eastAsia="Palatino Linotype" w:hAnsi="Palatino Linotype" w:cs="Palatino Linotype"/>
          <w:b/>
          <w:i/>
          <w:sz w:val="22"/>
          <w:szCs w:val="22"/>
        </w:rPr>
        <w:t>Segundo.-</w:t>
      </w:r>
      <w:proofErr w:type="gramEnd"/>
      <w:r w:rsidRPr="00A458D9">
        <w:rPr>
          <w:rFonts w:ascii="Palatino Linotype" w:eastAsia="Palatino Linotype" w:hAnsi="Palatino Linotype" w:cs="Palatino Linotype"/>
          <w:i/>
          <w:sz w:val="22"/>
          <w:szCs w:val="22"/>
        </w:rPr>
        <w:t xml:space="preserve"> Para efectos de los presentes Lineamientos Generales, se entenderá por:</w:t>
      </w:r>
    </w:p>
    <w:p w14:paraId="4AD2D7A8"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XVIII.</w:t>
      </w:r>
      <w:r w:rsidRPr="00A458D9">
        <w:rPr>
          <w:rFonts w:ascii="Palatino Linotype" w:eastAsia="Palatino Linotype" w:hAnsi="Palatino Linotype" w:cs="Palatino Linotype"/>
          <w:i/>
          <w:sz w:val="22"/>
          <w:szCs w:val="22"/>
        </w:rPr>
        <w:t xml:space="preserve"> </w:t>
      </w:r>
      <w:r w:rsidRPr="00A458D9">
        <w:rPr>
          <w:rFonts w:ascii="Palatino Linotype" w:eastAsia="Palatino Linotype" w:hAnsi="Palatino Linotype" w:cs="Palatino Linotype"/>
          <w:b/>
          <w:i/>
          <w:sz w:val="22"/>
          <w:szCs w:val="22"/>
        </w:rPr>
        <w:t>Versión pública:</w:t>
      </w:r>
      <w:r w:rsidRPr="00A458D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458D9">
        <w:rPr>
          <w:rFonts w:ascii="Palatino Linotype" w:eastAsia="Palatino Linotype" w:hAnsi="Palatino Linotype" w:cs="Palatino Linotype"/>
          <w:b/>
          <w:i/>
          <w:sz w:val="22"/>
          <w:szCs w:val="22"/>
          <w:u w:val="single"/>
        </w:rPr>
        <w:t>fundando y motivando la</w:t>
      </w:r>
      <w:r w:rsidRPr="00A458D9">
        <w:rPr>
          <w:rFonts w:ascii="Palatino Linotype" w:eastAsia="Palatino Linotype" w:hAnsi="Palatino Linotype" w:cs="Palatino Linotype"/>
          <w:i/>
          <w:sz w:val="22"/>
          <w:szCs w:val="22"/>
        </w:rPr>
        <w:t xml:space="preserve"> reserva o </w:t>
      </w:r>
      <w:r w:rsidRPr="00A458D9">
        <w:rPr>
          <w:rFonts w:ascii="Palatino Linotype" w:eastAsia="Palatino Linotype" w:hAnsi="Palatino Linotype" w:cs="Palatino Linotype"/>
          <w:b/>
          <w:i/>
          <w:sz w:val="22"/>
          <w:szCs w:val="22"/>
          <w:u w:val="single"/>
        </w:rPr>
        <w:t>confidencialidad</w:t>
      </w:r>
      <w:r w:rsidRPr="00A458D9">
        <w:rPr>
          <w:rFonts w:ascii="Palatino Linotype" w:eastAsia="Palatino Linotype" w:hAnsi="Palatino Linotype" w:cs="Palatino Linotype"/>
          <w:i/>
          <w:sz w:val="22"/>
          <w:szCs w:val="22"/>
        </w:rPr>
        <w:t>, a través de la resolución que para tal efecto emita el Comité de Transparencia.</w:t>
      </w:r>
    </w:p>
    <w:p w14:paraId="15A81429"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Cuarto.</w:t>
      </w:r>
      <w:r w:rsidRPr="00A458D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1A3159"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3E415F9"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Quinto.</w:t>
      </w:r>
      <w:r w:rsidRPr="00A458D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2BC800"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Sexto.</w:t>
      </w:r>
      <w:r w:rsidRPr="00A458D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A458D9">
        <w:rPr>
          <w:rFonts w:ascii="Palatino Linotype" w:eastAsia="Palatino Linotype" w:hAnsi="Palatino Linotype" w:cs="Palatino Linotype"/>
          <w:i/>
          <w:sz w:val="22"/>
          <w:szCs w:val="22"/>
        </w:rPr>
        <w:lastRenderedPageBreak/>
        <w:t>documentos antes de que se genere la información o cuando éstos no obren en sus archivos.</w:t>
      </w:r>
    </w:p>
    <w:p w14:paraId="4AA479F9"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2E8145C"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Séptimo.</w:t>
      </w:r>
      <w:r w:rsidRPr="00A458D9">
        <w:rPr>
          <w:rFonts w:ascii="Palatino Linotype" w:eastAsia="Palatino Linotype" w:hAnsi="Palatino Linotype" w:cs="Palatino Linotype"/>
          <w:i/>
          <w:sz w:val="22"/>
          <w:szCs w:val="22"/>
        </w:rPr>
        <w:t xml:space="preserve"> La clasificación de la información se llevará a cabo en el momento en que:</w:t>
      </w:r>
    </w:p>
    <w:p w14:paraId="3C61CB2A"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w:t>
      </w:r>
      <w:r w:rsidRPr="00A458D9">
        <w:rPr>
          <w:rFonts w:ascii="Palatino Linotype" w:eastAsia="Palatino Linotype" w:hAnsi="Palatino Linotype" w:cs="Palatino Linotype"/>
          <w:i/>
          <w:sz w:val="22"/>
          <w:szCs w:val="22"/>
        </w:rPr>
        <w:t xml:space="preserve"> Se reciba una solicitud de acceso a la información;</w:t>
      </w:r>
    </w:p>
    <w:p w14:paraId="0EBBD783"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II.</w:t>
      </w:r>
      <w:r w:rsidRPr="00A458D9">
        <w:rPr>
          <w:rFonts w:ascii="Palatino Linotype" w:eastAsia="Palatino Linotype" w:hAnsi="Palatino Linotype" w:cs="Palatino Linotype"/>
          <w:i/>
          <w:sz w:val="22"/>
          <w:szCs w:val="22"/>
        </w:rPr>
        <w:t xml:space="preserve"> Se determine mediante resolución de autoridad competente, o</w:t>
      </w:r>
    </w:p>
    <w:p w14:paraId="57477A7B"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III.</w:t>
      </w:r>
      <w:r w:rsidRPr="00A458D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C329BDE"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C929605"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Octavo.</w:t>
      </w:r>
      <w:r w:rsidRPr="00A458D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92401E"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BB293F1"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CE2649B"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43A8944"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4B0D264"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Noveno.</w:t>
      </w:r>
      <w:r w:rsidRPr="00A458D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E841441"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Décimo.</w:t>
      </w:r>
      <w:r w:rsidRPr="00A458D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09D7DC"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70AAC904"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Décimo primero.</w:t>
      </w:r>
      <w:r w:rsidRPr="00A458D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2EEA433"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p>
    <w:p w14:paraId="781E1B34" w14:textId="77777777" w:rsidR="005E3F40" w:rsidRPr="00A458D9" w:rsidRDefault="005E3F40" w:rsidP="005E3F40">
      <w:pPr>
        <w:ind w:left="709" w:right="709"/>
        <w:jc w:val="center"/>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CAPÍTULO VIII</w:t>
      </w:r>
    </w:p>
    <w:p w14:paraId="3606A290" w14:textId="77777777" w:rsidR="005E3F40" w:rsidRPr="00A458D9" w:rsidRDefault="005E3F40" w:rsidP="005E3F40">
      <w:pPr>
        <w:ind w:left="709" w:right="709"/>
        <w:jc w:val="center"/>
        <w:rPr>
          <w:rFonts w:ascii="Palatino Linotype" w:eastAsia="Palatino Linotype" w:hAnsi="Palatino Linotype" w:cs="Palatino Linotype"/>
          <w:b/>
          <w:i/>
          <w:sz w:val="22"/>
          <w:szCs w:val="22"/>
        </w:rPr>
      </w:pPr>
      <w:r w:rsidRPr="00A458D9">
        <w:rPr>
          <w:rFonts w:ascii="Palatino Linotype" w:eastAsia="Palatino Linotype" w:hAnsi="Palatino Linotype" w:cs="Palatino Linotype"/>
          <w:b/>
          <w:i/>
          <w:sz w:val="22"/>
          <w:szCs w:val="22"/>
        </w:rPr>
        <w:t>DE LA LEYENDA DE CLASIFICACIÓN</w:t>
      </w:r>
    </w:p>
    <w:p w14:paraId="37972DC7"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 xml:space="preserve">Quincuagésimo. </w:t>
      </w:r>
      <w:r w:rsidRPr="00A458D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458D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DC3FF5D" w14:textId="77777777" w:rsidR="005E3F40" w:rsidRPr="00A458D9" w:rsidRDefault="005E3F40" w:rsidP="005E3F40">
      <w:pPr>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i/>
          <w:sz w:val="22"/>
          <w:szCs w:val="22"/>
        </w:rPr>
        <w:t>[…]</w:t>
      </w:r>
    </w:p>
    <w:p w14:paraId="232864FC" w14:textId="77777777" w:rsidR="005E3F40" w:rsidRPr="00A458D9" w:rsidRDefault="005E3F40" w:rsidP="005E3F40">
      <w:pPr>
        <w:spacing w:after="160"/>
        <w:ind w:left="709" w:right="709"/>
        <w:jc w:val="both"/>
        <w:rPr>
          <w:rFonts w:ascii="Palatino Linotype" w:eastAsia="Palatino Linotype" w:hAnsi="Palatino Linotype" w:cs="Palatino Linotype"/>
          <w:i/>
          <w:sz w:val="22"/>
          <w:szCs w:val="22"/>
        </w:rPr>
      </w:pPr>
      <w:r w:rsidRPr="00A458D9">
        <w:rPr>
          <w:rFonts w:ascii="Palatino Linotype" w:eastAsia="Palatino Linotype" w:hAnsi="Palatino Linotype" w:cs="Palatino Linotype"/>
          <w:b/>
          <w:i/>
          <w:sz w:val="22"/>
          <w:szCs w:val="22"/>
        </w:rPr>
        <w:t xml:space="preserve">Quincuagésimo tercero. </w:t>
      </w:r>
      <w:r w:rsidRPr="00A458D9">
        <w:rPr>
          <w:rFonts w:ascii="Palatino Linotype" w:eastAsia="Palatino Linotype" w:hAnsi="Palatino Linotype" w:cs="Palatino Linotype"/>
          <w:b/>
          <w:i/>
          <w:sz w:val="22"/>
          <w:szCs w:val="22"/>
          <w:u w:val="single"/>
        </w:rPr>
        <w:t>El formato para señalar la clasificación parcial de un documento</w:t>
      </w:r>
      <w:r w:rsidRPr="00A458D9">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E3F40" w:rsidRPr="00A458D9" w14:paraId="57F38DAF" w14:textId="77777777" w:rsidTr="005E3F40">
        <w:trPr>
          <w:jc w:val="center"/>
        </w:trPr>
        <w:tc>
          <w:tcPr>
            <w:tcW w:w="1159" w:type="dxa"/>
            <w:tcBorders>
              <w:top w:val="nil"/>
              <w:left w:val="nil"/>
              <w:bottom w:val="single" w:sz="4" w:space="0" w:color="000000"/>
              <w:right w:val="single" w:sz="4" w:space="0" w:color="000000"/>
            </w:tcBorders>
          </w:tcPr>
          <w:p w14:paraId="5FB6D4FD" w14:textId="77777777" w:rsidR="005E3F40" w:rsidRPr="00A458D9" w:rsidRDefault="005E3F40" w:rsidP="005E3F4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15C5A8" w14:textId="77777777" w:rsidR="005E3F40" w:rsidRPr="00A458D9" w:rsidRDefault="005E3F40" w:rsidP="005E3F40">
            <w:pPr>
              <w:jc w:val="center"/>
              <w:rPr>
                <w:rFonts w:ascii="Palatino Linotype" w:eastAsia="Palatino Linotype" w:hAnsi="Palatino Linotype" w:cs="Palatino Linotype"/>
                <w:b/>
                <w:i/>
              </w:rPr>
            </w:pPr>
            <w:r w:rsidRPr="00A458D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24C660B" w14:textId="77777777" w:rsidR="005E3F40" w:rsidRPr="00A458D9" w:rsidRDefault="005E3F40" w:rsidP="005E3F40">
            <w:pPr>
              <w:jc w:val="center"/>
              <w:rPr>
                <w:rFonts w:ascii="Palatino Linotype" w:eastAsia="Palatino Linotype" w:hAnsi="Palatino Linotype" w:cs="Palatino Linotype"/>
                <w:b/>
                <w:i/>
              </w:rPr>
            </w:pPr>
            <w:r w:rsidRPr="00A458D9">
              <w:rPr>
                <w:rFonts w:ascii="Palatino Linotype" w:eastAsia="Palatino Linotype" w:hAnsi="Palatino Linotype" w:cs="Palatino Linotype"/>
                <w:b/>
                <w:i/>
              </w:rPr>
              <w:t>Dónde:</w:t>
            </w:r>
          </w:p>
        </w:tc>
      </w:tr>
      <w:tr w:rsidR="005E3F40" w:rsidRPr="00A458D9" w14:paraId="14BA85AC" w14:textId="77777777" w:rsidTr="005E3F4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58F5CAC" w14:textId="77777777" w:rsidR="005E3F40" w:rsidRPr="00A458D9" w:rsidRDefault="005E3F40" w:rsidP="005E3F40">
            <w:pPr>
              <w:jc w:val="center"/>
              <w:rPr>
                <w:rFonts w:ascii="Palatino Linotype" w:eastAsia="Palatino Linotype" w:hAnsi="Palatino Linotype" w:cs="Palatino Linotype"/>
                <w:b/>
                <w:i/>
              </w:rPr>
            </w:pPr>
            <w:r w:rsidRPr="00A458D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57E3141D"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D879060"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anotará la fecha en la que el Comité de Transparencia confirmó la clasificación del documento, en su caso.</w:t>
            </w:r>
          </w:p>
        </w:tc>
      </w:tr>
      <w:tr w:rsidR="005E3F40" w:rsidRPr="00A458D9" w14:paraId="468FBC6A"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A6E64F"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7DE41D5"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490801D"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señalará el nombre del área del cual es titular quien clasifica.</w:t>
            </w:r>
          </w:p>
        </w:tc>
      </w:tr>
      <w:tr w:rsidR="005E3F40" w:rsidRPr="00A458D9" w14:paraId="009A4A86"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33C0D38"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D3E79A"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968B2A6"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E3F40" w:rsidRPr="00A458D9" w14:paraId="67273652"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A29B459"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F8809D"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46AFAE1"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anotará el número de años o meses por los que se mantendrá el documento o las partes del mismo como reservado.</w:t>
            </w:r>
          </w:p>
        </w:tc>
      </w:tr>
      <w:tr w:rsidR="005E3F40" w:rsidRPr="00A458D9" w14:paraId="299103A7"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65BC48C"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902A1D"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AAC9305"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señalará el nombre del ordenamiento, el o los artículos, fracción(es), párrafo(s) con base en los cuales se sustente la reserva.</w:t>
            </w:r>
          </w:p>
        </w:tc>
      </w:tr>
      <w:tr w:rsidR="005E3F40" w:rsidRPr="00A458D9" w14:paraId="191B169E"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45F988"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682A469"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CEA06FE"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E3F40" w:rsidRPr="00A458D9" w14:paraId="4BB5D5FE"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3F64CB"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0A9ED4"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787C181C"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E3F40" w:rsidRPr="00A458D9" w14:paraId="158CC2E9"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9DF59CD"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884CFDC"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A270238"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E3F40" w:rsidRPr="00A458D9" w14:paraId="0CEFAEB7"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41E30B2"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53F0484"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D9D0C59"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Rúbrica autógrafa de quien clasifica.</w:t>
            </w:r>
          </w:p>
        </w:tc>
      </w:tr>
      <w:tr w:rsidR="005E3F40" w:rsidRPr="00A458D9" w14:paraId="3C6F47BA"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20E6A09"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06C704"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50DC5EF" w14:textId="77777777" w:rsidR="005E3F40" w:rsidRPr="00A458D9" w:rsidRDefault="005E3F40" w:rsidP="005E3F40">
            <w:pPr>
              <w:jc w:val="both"/>
              <w:rPr>
                <w:rFonts w:ascii="Palatino Linotype" w:eastAsia="Palatino Linotype" w:hAnsi="Palatino Linotype" w:cs="Palatino Linotype"/>
                <w:i/>
              </w:rPr>
            </w:pPr>
            <w:r w:rsidRPr="00A458D9">
              <w:rPr>
                <w:rFonts w:ascii="Palatino Linotype" w:eastAsia="Palatino Linotype" w:hAnsi="Palatino Linotype" w:cs="Palatino Linotype"/>
                <w:i/>
              </w:rPr>
              <w:t>Se anotará la fecha en que se desclasifica el documento.</w:t>
            </w:r>
          </w:p>
        </w:tc>
      </w:tr>
      <w:tr w:rsidR="005E3F40" w:rsidRPr="00A458D9" w14:paraId="1D8CDCE6" w14:textId="77777777" w:rsidTr="005E3F4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41F859C" w14:textId="77777777" w:rsidR="005E3F40" w:rsidRPr="00A458D9" w:rsidRDefault="005E3F40" w:rsidP="005E3F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557FC0" w14:textId="77777777" w:rsidR="005E3F40" w:rsidRPr="00A458D9" w:rsidRDefault="005E3F40" w:rsidP="005E3F40">
            <w:pPr>
              <w:jc w:val="center"/>
              <w:rPr>
                <w:rFonts w:ascii="Palatino Linotype" w:eastAsia="Palatino Linotype" w:hAnsi="Palatino Linotype" w:cs="Palatino Linotype"/>
                <w:i/>
              </w:rPr>
            </w:pPr>
            <w:r w:rsidRPr="00A458D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312A691" w14:textId="77777777" w:rsidR="005E3F40" w:rsidRPr="00A458D9" w:rsidRDefault="005E3F40" w:rsidP="005E3F40">
            <w:pPr>
              <w:rPr>
                <w:rFonts w:ascii="Palatino Linotype" w:eastAsia="Palatino Linotype" w:hAnsi="Palatino Linotype" w:cs="Palatino Linotype"/>
                <w:i/>
              </w:rPr>
            </w:pPr>
            <w:r w:rsidRPr="00A458D9">
              <w:rPr>
                <w:rFonts w:ascii="Palatino Linotype" w:eastAsia="Palatino Linotype" w:hAnsi="Palatino Linotype" w:cs="Palatino Linotype"/>
                <w:i/>
              </w:rPr>
              <w:t>Rúbrica autógrafa de quien desclasifica.</w:t>
            </w:r>
          </w:p>
        </w:tc>
      </w:tr>
    </w:tbl>
    <w:p w14:paraId="40031D53" w14:textId="77777777" w:rsidR="005E3F40" w:rsidRPr="00A458D9" w:rsidRDefault="005E3F40" w:rsidP="005E3F40">
      <w:pPr>
        <w:spacing w:before="240" w:line="360" w:lineRule="auto"/>
        <w:ind w:right="51"/>
        <w:jc w:val="both"/>
        <w:rPr>
          <w:rFonts w:ascii="Palatino Linotype" w:eastAsia="Palatino Linotype" w:hAnsi="Palatino Linotype" w:cs="Palatino Linotype"/>
        </w:rPr>
      </w:pPr>
    </w:p>
    <w:p w14:paraId="5288D4B7"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65548F8" w14:textId="77777777" w:rsidR="005E3F40" w:rsidRPr="00A458D9" w:rsidRDefault="005E3F40" w:rsidP="005E3F40">
      <w:pPr>
        <w:spacing w:line="360" w:lineRule="auto"/>
        <w:jc w:val="both"/>
        <w:rPr>
          <w:rFonts w:ascii="Palatino Linotype" w:eastAsia="Palatino Linotype" w:hAnsi="Palatino Linotype" w:cs="Palatino Linotype"/>
        </w:rPr>
      </w:pPr>
    </w:p>
    <w:p w14:paraId="70DD3FC9" w14:textId="77777777" w:rsidR="005E3F40" w:rsidRPr="00A458D9" w:rsidRDefault="005E3F40" w:rsidP="005E3F40">
      <w:pPr>
        <w:shd w:val="clear" w:color="auto" w:fill="FFFFFF"/>
        <w:spacing w:line="360" w:lineRule="auto"/>
        <w:ind w:right="51"/>
        <w:jc w:val="both"/>
        <w:rPr>
          <w:rFonts w:ascii="Palatino Linotype" w:eastAsia="Palatino Linotype" w:hAnsi="Palatino Linotype" w:cs="Palatino Linotype"/>
        </w:rPr>
      </w:pPr>
      <w:r w:rsidRPr="00A458D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a testar, suprimir o eliminar datos de dicho soporte documental, ya </w:t>
      </w:r>
      <w:r w:rsidRPr="00A458D9">
        <w:rPr>
          <w:rFonts w:ascii="Palatino Linotype" w:eastAsia="Palatino Linotype" w:hAnsi="Palatino Linotype" w:cs="Palatino Linotype"/>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72E4FF39" w14:textId="77777777" w:rsidR="005E3F40" w:rsidRPr="00A458D9" w:rsidRDefault="005E3F40" w:rsidP="005E3F40">
      <w:pPr>
        <w:shd w:val="clear" w:color="auto" w:fill="FFFFFF"/>
        <w:spacing w:line="360" w:lineRule="auto"/>
        <w:ind w:right="51"/>
        <w:jc w:val="both"/>
        <w:rPr>
          <w:rFonts w:ascii="Palatino Linotype" w:eastAsia="Palatino Linotype" w:hAnsi="Palatino Linotype" w:cs="Palatino Linotype"/>
        </w:rPr>
      </w:pPr>
    </w:p>
    <w:p w14:paraId="56201BA0" w14:textId="77777777" w:rsidR="005E3F40" w:rsidRPr="00A458D9" w:rsidRDefault="005E3F40" w:rsidP="005E3F40">
      <w:pPr>
        <w:spacing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8D0B4F3" w14:textId="77777777" w:rsidR="005E3F40" w:rsidRPr="00A458D9" w:rsidRDefault="005E3F40" w:rsidP="005E3F40">
      <w:pPr>
        <w:spacing w:after="240" w:line="360" w:lineRule="auto"/>
        <w:jc w:val="both"/>
        <w:rPr>
          <w:rFonts w:ascii="Palatino Linotype" w:hAnsi="Palatino Linotype" w:cs="Arial"/>
        </w:rPr>
      </w:pPr>
    </w:p>
    <w:p w14:paraId="69BA905D" w14:textId="77777777" w:rsidR="000B72AC" w:rsidRPr="00A458D9" w:rsidRDefault="00F53D96" w:rsidP="005E3F40">
      <w:pPr>
        <w:spacing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5412191" w14:textId="77777777" w:rsidR="000B72AC" w:rsidRPr="00A458D9" w:rsidRDefault="00F53D96">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A458D9">
        <w:rPr>
          <w:rFonts w:ascii="Palatino Linotype" w:eastAsia="Palatino Linotype" w:hAnsi="Palatino Linotype" w:cs="Palatino Linotype"/>
          <w:b/>
          <w:color w:val="000000"/>
          <w:sz w:val="22"/>
          <w:szCs w:val="22"/>
        </w:rPr>
        <w:t>R E S U E L V E:</w:t>
      </w:r>
    </w:p>
    <w:p w14:paraId="1EB19317" w14:textId="77777777" w:rsidR="000B72AC" w:rsidRPr="00A458D9" w:rsidRDefault="00F53D96">
      <w:pPr>
        <w:spacing w:before="240" w:after="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lastRenderedPageBreak/>
        <w:t xml:space="preserve">Primero. </w:t>
      </w:r>
      <w:r w:rsidRPr="00A458D9">
        <w:rPr>
          <w:rFonts w:ascii="Palatino Linotype" w:eastAsia="Palatino Linotype" w:hAnsi="Palatino Linotype" w:cs="Palatino Linotype"/>
        </w:rPr>
        <w:t xml:space="preserve">Resultan fundados los motivos de inconformidad hechos valer por el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xml:space="preserve"> en el Recurso de Revisión </w:t>
      </w:r>
      <w:r w:rsidR="00A66D79" w:rsidRPr="00A458D9">
        <w:rPr>
          <w:rFonts w:ascii="Palatino Linotype" w:eastAsia="Palatino Linotype" w:hAnsi="Palatino Linotype" w:cs="Palatino Linotype"/>
          <w:b/>
        </w:rPr>
        <w:t>15089</w:t>
      </w:r>
      <w:r w:rsidRPr="00A458D9">
        <w:rPr>
          <w:rFonts w:ascii="Palatino Linotype" w:eastAsia="Palatino Linotype" w:hAnsi="Palatino Linotype" w:cs="Palatino Linotype"/>
          <w:b/>
        </w:rPr>
        <w:t xml:space="preserve">/INFOEM/IP/RR/2022, </w:t>
      </w:r>
      <w:r w:rsidRPr="00A458D9">
        <w:rPr>
          <w:rFonts w:ascii="Palatino Linotype" w:eastAsia="Palatino Linotype" w:hAnsi="Palatino Linotype" w:cs="Palatino Linotype"/>
        </w:rPr>
        <w:t xml:space="preserve">por lo que, en términos del considerando </w:t>
      </w:r>
      <w:r w:rsidRPr="00A458D9">
        <w:rPr>
          <w:rFonts w:ascii="Palatino Linotype" w:eastAsia="Palatino Linotype" w:hAnsi="Palatino Linotype" w:cs="Palatino Linotype"/>
          <w:b/>
        </w:rPr>
        <w:t xml:space="preserve">Cuarto </w:t>
      </w:r>
      <w:r w:rsidRPr="00A458D9">
        <w:rPr>
          <w:rFonts w:ascii="Palatino Linotype" w:eastAsia="Palatino Linotype" w:hAnsi="Palatino Linotype" w:cs="Palatino Linotype"/>
        </w:rPr>
        <w:t xml:space="preserve">de esta resolución, se </w:t>
      </w:r>
      <w:r w:rsidR="00A66D79" w:rsidRPr="00A458D9">
        <w:rPr>
          <w:rFonts w:ascii="Palatino Linotype" w:eastAsia="Palatino Linotype" w:hAnsi="Palatino Linotype" w:cs="Palatino Linotype"/>
          <w:b/>
        </w:rPr>
        <w:t>REVOCA</w:t>
      </w:r>
      <w:r w:rsidRPr="00A458D9">
        <w:rPr>
          <w:rFonts w:ascii="Palatino Linotype" w:eastAsia="Palatino Linotype" w:hAnsi="Palatino Linotype" w:cs="Palatino Linotype"/>
          <w:b/>
        </w:rPr>
        <w:t xml:space="preserve"> </w:t>
      </w:r>
      <w:r w:rsidRPr="00A458D9">
        <w:rPr>
          <w:rFonts w:ascii="Palatino Linotype" w:eastAsia="Palatino Linotype" w:hAnsi="Palatino Linotype" w:cs="Palatino Linotype"/>
        </w:rPr>
        <w:t xml:space="preserve">la respuesta emitida por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w:t>
      </w:r>
    </w:p>
    <w:p w14:paraId="1D64A3E9" w14:textId="77777777" w:rsidR="000B72AC" w:rsidRPr="00A458D9" w:rsidRDefault="00F53D96">
      <w:pPr>
        <w:spacing w:before="240" w:after="240" w:line="360" w:lineRule="auto"/>
        <w:ind w:right="49"/>
        <w:jc w:val="both"/>
        <w:rPr>
          <w:rFonts w:ascii="Palatino Linotype" w:eastAsia="Palatino Linotype" w:hAnsi="Palatino Linotype" w:cs="Palatino Linotype"/>
        </w:rPr>
      </w:pPr>
      <w:r w:rsidRPr="00A458D9">
        <w:rPr>
          <w:rFonts w:ascii="Palatino Linotype" w:eastAsia="Palatino Linotype" w:hAnsi="Palatino Linotype" w:cs="Palatino Linotype"/>
          <w:b/>
        </w:rPr>
        <w:t xml:space="preserve">Segundo. </w:t>
      </w:r>
      <w:r w:rsidRPr="00A458D9">
        <w:rPr>
          <w:rFonts w:ascii="Palatino Linotype" w:eastAsia="Palatino Linotype" w:hAnsi="Palatino Linotype" w:cs="Palatino Linotype"/>
        </w:rPr>
        <w:t>Se</w:t>
      </w:r>
      <w:r w:rsidRPr="00A458D9">
        <w:rPr>
          <w:rFonts w:ascii="Palatino Linotype" w:eastAsia="Palatino Linotype" w:hAnsi="Palatino Linotype" w:cs="Palatino Linotype"/>
          <w:b/>
        </w:rPr>
        <w:t xml:space="preserve"> ORDENA </w:t>
      </w:r>
      <w:r w:rsidRPr="00A458D9">
        <w:rPr>
          <w:rFonts w:ascii="Palatino Linotype" w:eastAsia="Palatino Linotype" w:hAnsi="Palatino Linotype" w:cs="Palatino Linotype"/>
        </w:rPr>
        <w:t xml:space="preserve">al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a que,</w:t>
      </w:r>
      <w:r w:rsidRPr="00A458D9">
        <w:rPr>
          <w:rFonts w:ascii="Palatino Linotype" w:eastAsia="Palatino Linotype" w:hAnsi="Palatino Linotype" w:cs="Palatino Linotype"/>
          <w:b/>
        </w:rPr>
        <w:t xml:space="preserve"> </w:t>
      </w:r>
      <w:r w:rsidRPr="00A458D9">
        <w:rPr>
          <w:rFonts w:ascii="Palatino Linotype" w:eastAsia="Palatino Linotype" w:hAnsi="Palatino Linotype" w:cs="Palatino Linotype"/>
        </w:rPr>
        <w:t xml:space="preserve">en términos del Considerando Cuarto </w:t>
      </w:r>
      <w:r w:rsidR="00A66D79" w:rsidRPr="00A458D9">
        <w:rPr>
          <w:rFonts w:ascii="Palatino Linotype" w:eastAsia="Palatino Linotype" w:hAnsi="Palatino Linotype" w:cs="Palatino Linotype"/>
        </w:rPr>
        <w:t xml:space="preserve">y Quinto </w:t>
      </w:r>
      <w:r w:rsidRPr="00A458D9">
        <w:rPr>
          <w:rFonts w:ascii="Palatino Linotype" w:eastAsia="Palatino Linotype" w:hAnsi="Palatino Linotype" w:cs="Palatino Linotype"/>
        </w:rPr>
        <w:t xml:space="preserve">de la presente resolución, haga entrega vía SAIMEX, </w:t>
      </w:r>
      <w:r w:rsidR="00A66D79" w:rsidRPr="00A458D9">
        <w:rPr>
          <w:rFonts w:ascii="Palatino Linotype" w:eastAsia="Palatino Linotype" w:hAnsi="Palatino Linotype" w:cs="Palatino Linotype"/>
        </w:rPr>
        <w:t xml:space="preserve">en versión pública, del documento o documentos en donde conste </w:t>
      </w:r>
      <w:r w:rsidRPr="00A458D9">
        <w:rPr>
          <w:rFonts w:ascii="Palatino Linotype" w:eastAsia="Palatino Linotype" w:hAnsi="Palatino Linotype" w:cs="Palatino Linotype"/>
        </w:rPr>
        <w:t>lo siguiente:</w:t>
      </w:r>
    </w:p>
    <w:p w14:paraId="38F0F138" w14:textId="77777777" w:rsidR="00F80735" w:rsidRPr="00A458D9" w:rsidRDefault="00F80735" w:rsidP="00F80735">
      <w:pPr>
        <w:pStyle w:val="Prrafodelista"/>
        <w:numPr>
          <w:ilvl w:val="0"/>
          <w:numId w:val="4"/>
        </w:numPr>
        <w:spacing w:before="240" w:line="360" w:lineRule="auto"/>
        <w:jc w:val="both"/>
        <w:rPr>
          <w:rFonts w:ascii="Palatino Linotype" w:hAnsi="Palatino Linotype"/>
        </w:rPr>
      </w:pPr>
      <w:r w:rsidRPr="00A458D9">
        <w:rPr>
          <w:rFonts w:ascii="Palatino Linotype" w:hAnsi="Palatino Linotype"/>
        </w:rPr>
        <w:t>Los consentimientos de los locatarios del "Mercado Zaragoza" para ser reubicados en el nuevo mercado, indicado en la solicitud de acceso a la información, vigentes al treinta de agosto del año dos mil veintidós</w:t>
      </w:r>
      <w:r w:rsidR="0029185A" w:rsidRPr="00A458D9">
        <w:rPr>
          <w:rFonts w:ascii="Palatino Linotype" w:hAnsi="Palatino Linotype"/>
        </w:rPr>
        <w:t>.</w:t>
      </w:r>
      <w:r w:rsidRPr="00A458D9">
        <w:rPr>
          <w:rFonts w:ascii="Palatino Linotype" w:hAnsi="Palatino Linotype"/>
        </w:rPr>
        <w:t xml:space="preserve"> </w:t>
      </w:r>
    </w:p>
    <w:p w14:paraId="0E62C771" w14:textId="77777777" w:rsidR="008A48AE" w:rsidRPr="00A458D9" w:rsidRDefault="008A48AE" w:rsidP="008A48AE">
      <w:pPr>
        <w:pStyle w:val="Prrafodelista"/>
        <w:pBdr>
          <w:top w:val="nil"/>
          <w:left w:val="nil"/>
          <w:bottom w:val="nil"/>
          <w:right w:val="nil"/>
          <w:between w:val="nil"/>
        </w:pBdr>
        <w:spacing w:before="240" w:after="240" w:line="276" w:lineRule="auto"/>
        <w:ind w:left="720" w:right="49"/>
        <w:jc w:val="both"/>
        <w:rPr>
          <w:rFonts w:ascii="Palatino Linotype" w:eastAsia="Palatino Linotype" w:hAnsi="Palatino Linotype" w:cs="Palatino Linotype"/>
          <w:i/>
          <w:color w:val="000000"/>
        </w:rPr>
      </w:pPr>
      <w:r w:rsidRPr="00A458D9">
        <w:rPr>
          <w:rFonts w:ascii="Palatino Linotype" w:eastAsia="Palatino Linotype" w:hAnsi="Palatino Linotype" w:cs="Palatino Linotype"/>
          <w:i/>
          <w:color w:val="000000"/>
        </w:rPr>
        <w:t>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E89E235" w14:textId="77777777" w:rsidR="000B72AC" w:rsidRPr="00A458D9" w:rsidRDefault="00F53D96">
      <w:pPr>
        <w:spacing w:before="240" w:line="360" w:lineRule="auto"/>
        <w:jc w:val="both"/>
        <w:rPr>
          <w:rFonts w:ascii="Palatino Linotype" w:eastAsia="Palatino Linotype" w:hAnsi="Palatino Linotype" w:cs="Palatino Linotype"/>
        </w:rPr>
      </w:pPr>
      <w:r w:rsidRPr="00A458D9">
        <w:rPr>
          <w:rFonts w:ascii="Palatino Linotype" w:eastAsia="Palatino Linotype" w:hAnsi="Palatino Linotype" w:cs="Palatino Linotype"/>
          <w:b/>
        </w:rPr>
        <w:t>Tercero. Notifíquese vía SAIMEX,</w:t>
      </w:r>
      <w:r w:rsidRPr="00A458D9">
        <w:rPr>
          <w:rFonts w:ascii="Palatino Linotype" w:eastAsia="Palatino Linotype" w:hAnsi="Palatino Linotype" w:cs="Palatino Linotype"/>
          <w:b/>
          <w:i/>
        </w:rPr>
        <w:t xml:space="preserve"> </w:t>
      </w:r>
      <w:r w:rsidRPr="00A458D9">
        <w:rPr>
          <w:rFonts w:ascii="Palatino Linotype" w:eastAsia="Palatino Linotype" w:hAnsi="Palatino Linotype" w:cs="Palatino Linotype"/>
        </w:rPr>
        <w:t xml:space="preserve">al </w:t>
      </w:r>
      <w:proofErr w:type="gramStart"/>
      <w:r w:rsidRPr="00A458D9">
        <w:rPr>
          <w:rFonts w:ascii="Palatino Linotype" w:eastAsia="Palatino Linotype" w:hAnsi="Palatino Linotype" w:cs="Palatino Linotype"/>
        </w:rPr>
        <w:t>Responsable</w:t>
      </w:r>
      <w:proofErr w:type="gramEnd"/>
      <w:r w:rsidRPr="00A458D9">
        <w:rPr>
          <w:rFonts w:ascii="Palatino Linotype" w:eastAsia="Palatino Linotype" w:hAnsi="Palatino Linotype" w:cs="Palatino Linotype"/>
        </w:rPr>
        <w:t xml:space="preserve"> de la Unidad de Transparencia del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AB8193F" w14:textId="77777777" w:rsidR="000B72AC" w:rsidRPr="00A458D9" w:rsidRDefault="000B72AC">
      <w:pPr>
        <w:spacing w:line="360" w:lineRule="auto"/>
        <w:jc w:val="both"/>
        <w:rPr>
          <w:rFonts w:ascii="Palatino Linotype" w:eastAsia="Palatino Linotype" w:hAnsi="Palatino Linotype" w:cs="Palatino Linotype"/>
        </w:rPr>
      </w:pPr>
    </w:p>
    <w:p w14:paraId="53AD4174" w14:textId="77777777" w:rsidR="000B72AC" w:rsidRPr="00A458D9" w:rsidRDefault="00F53D96">
      <w:pPr>
        <w:spacing w:line="360" w:lineRule="auto"/>
        <w:ind w:right="49"/>
        <w:jc w:val="both"/>
        <w:rPr>
          <w:rFonts w:ascii="Palatino Linotype" w:eastAsia="Palatino Linotype" w:hAnsi="Palatino Linotype" w:cs="Palatino Linotype"/>
        </w:rPr>
      </w:pPr>
      <w:r w:rsidRPr="00A458D9">
        <w:rPr>
          <w:rFonts w:ascii="Palatino Linotype" w:eastAsia="Palatino Linotype" w:hAnsi="Palatino Linotype" w:cs="Palatino Linotype"/>
          <w:b/>
        </w:rPr>
        <w:lastRenderedPageBreak/>
        <w:t>Cuarto. Notifíquese vía SAIMEX</w:t>
      </w:r>
      <w:r w:rsidRPr="00A458D9">
        <w:rPr>
          <w:rFonts w:ascii="Palatino Linotype" w:eastAsia="Palatino Linotype" w:hAnsi="Palatino Linotype" w:cs="Palatino Linotype"/>
        </w:rPr>
        <w:t xml:space="preserve">, a la parte </w:t>
      </w:r>
      <w:r w:rsidRPr="00A458D9">
        <w:rPr>
          <w:rFonts w:ascii="Palatino Linotype" w:eastAsia="Palatino Linotype" w:hAnsi="Palatino Linotype" w:cs="Palatino Linotype"/>
          <w:b/>
        </w:rPr>
        <w:t>RECURRENTE</w:t>
      </w:r>
      <w:r w:rsidRPr="00A458D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8B4E87E" w14:textId="77777777" w:rsidR="000B72AC" w:rsidRPr="00A458D9" w:rsidRDefault="000B72AC">
      <w:pPr>
        <w:spacing w:line="360" w:lineRule="auto"/>
        <w:ind w:right="49"/>
        <w:jc w:val="both"/>
        <w:rPr>
          <w:rFonts w:ascii="Palatino Linotype" w:eastAsia="Palatino Linotype" w:hAnsi="Palatino Linotype" w:cs="Palatino Linotype"/>
        </w:rPr>
      </w:pPr>
    </w:p>
    <w:p w14:paraId="0F47EC17" w14:textId="77777777" w:rsidR="000B72AC" w:rsidRPr="00A458D9" w:rsidRDefault="00F53D96">
      <w:pPr>
        <w:spacing w:after="240" w:line="360" w:lineRule="auto"/>
        <w:jc w:val="both"/>
        <w:rPr>
          <w:rFonts w:ascii="Palatino Linotype" w:eastAsia="Palatino Linotype" w:hAnsi="Palatino Linotype" w:cs="Palatino Linotype"/>
          <w:b/>
        </w:rPr>
      </w:pPr>
      <w:r w:rsidRPr="00A458D9">
        <w:rPr>
          <w:rFonts w:ascii="Palatino Linotype" w:eastAsia="Palatino Linotype" w:hAnsi="Palatino Linotype" w:cs="Palatino Linotype"/>
          <w:b/>
        </w:rPr>
        <w:t>Quinto.</w:t>
      </w:r>
      <w:r w:rsidRPr="00A458D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A458D9">
        <w:rPr>
          <w:rFonts w:ascii="Palatino Linotype" w:eastAsia="Palatino Linotype" w:hAnsi="Palatino Linotype" w:cs="Palatino Linotype"/>
          <w:b/>
        </w:rPr>
        <w:t>SUJETO OBLIGADO</w:t>
      </w:r>
      <w:r w:rsidRPr="00A458D9">
        <w:rPr>
          <w:rFonts w:ascii="Palatino Linotype" w:eastAsia="Palatino Linotype" w:hAnsi="Palatino Linotype" w:cs="Palatino Linotype"/>
        </w:rPr>
        <w:t xml:space="preserve"> de manera fundada y motivada, podrá solicitar una ampliación de plazo para el cumplimiento de la presente resolución.</w:t>
      </w:r>
    </w:p>
    <w:p w14:paraId="5538D850" w14:textId="77777777" w:rsidR="000B72AC" w:rsidRDefault="00F53D96">
      <w:pPr>
        <w:spacing w:before="240" w:after="240" w:line="360" w:lineRule="auto"/>
        <w:jc w:val="both"/>
        <w:rPr>
          <w:rFonts w:ascii="Palatino Linotype" w:eastAsia="Palatino Linotype" w:hAnsi="Palatino Linotype" w:cs="Palatino Linotype"/>
        </w:rPr>
        <w:sectPr w:rsidR="000B72AC">
          <w:headerReference w:type="default" r:id="rId12"/>
          <w:footerReference w:type="default" r:id="rId13"/>
          <w:headerReference w:type="first" r:id="rId14"/>
          <w:footerReference w:type="first" r:id="rId15"/>
          <w:pgSz w:w="12240" w:h="15840"/>
          <w:pgMar w:top="2041" w:right="1750" w:bottom="1701" w:left="1701" w:header="709" w:footer="709" w:gutter="0"/>
          <w:pgNumType w:start="1"/>
          <w:cols w:space="720"/>
          <w:titlePg/>
        </w:sectPr>
      </w:pPr>
      <w:r w:rsidRPr="00A458D9">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5E2CD2" w:rsidRPr="00A458D9">
        <w:rPr>
          <w:rFonts w:ascii="Palatino Linotype" w:eastAsia="Palatino Linotype" w:hAnsi="Palatino Linotype" w:cs="Palatino Linotype"/>
          <w:color w:val="222222"/>
        </w:rPr>
        <w:t>EN LA DÉCIMA SESIÓN ORDINARIA CELEBRADA EL QUINCE</w:t>
      </w:r>
      <w:r w:rsidR="005E2CD2" w:rsidRPr="00A458D9">
        <w:rPr>
          <w:rFonts w:ascii="Palatino Linotype" w:eastAsia="Palatino Linotype" w:hAnsi="Palatino Linotype" w:cs="Palatino Linotype"/>
        </w:rPr>
        <w:t xml:space="preserve"> DE MARZO DEL DOS MIL VEINTITRÉS, ANTE EL SECRETARIO TÉCNICO DEL </w:t>
      </w:r>
      <w:r w:rsidRPr="00A458D9">
        <w:rPr>
          <w:rFonts w:ascii="Palatino Linotype" w:eastAsia="Palatino Linotype" w:hAnsi="Palatino Linotype" w:cs="Palatino Linotype"/>
        </w:rPr>
        <w:t>PLENO ALEXIS TAPIA RAMÍREZ.</w:t>
      </w:r>
      <w:r>
        <w:rPr>
          <w:rFonts w:ascii="Palatino Linotype" w:eastAsia="Palatino Linotype" w:hAnsi="Palatino Linotype" w:cs="Palatino Linotype"/>
        </w:rPr>
        <w:t xml:space="preserve">     </w:t>
      </w:r>
    </w:p>
    <w:p w14:paraId="00CF6A7B" w14:textId="77777777" w:rsidR="000B72AC" w:rsidRDefault="000B72AC">
      <w:pPr>
        <w:spacing w:before="240" w:after="240" w:line="360" w:lineRule="auto"/>
        <w:jc w:val="both"/>
        <w:rPr>
          <w:rFonts w:ascii="Palatino Linotype" w:eastAsia="Palatino Linotype" w:hAnsi="Palatino Linotype" w:cs="Palatino Linotype"/>
        </w:rPr>
      </w:pPr>
    </w:p>
    <w:sectPr w:rsidR="000B72AC">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D846" w14:textId="77777777" w:rsidR="00A1311E" w:rsidRDefault="00A1311E">
      <w:r>
        <w:separator/>
      </w:r>
    </w:p>
  </w:endnote>
  <w:endnote w:type="continuationSeparator" w:id="0">
    <w:p w14:paraId="4BCD76B2" w14:textId="77777777" w:rsidR="00A1311E" w:rsidRDefault="00A1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4296" w14:textId="77777777" w:rsidR="005E3F40" w:rsidRDefault="005E3F4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748E6">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748E6">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719E29C3" w14:textId="77777777" w:rsidR="005E3F40" w:rsidRDefault="005E3F40">
    <w:pPr>
      <w:pBdr>
        <w:top w:val="nil"/>
        <w:left w:val="nil"/>
        <w:bottom w:val="nil"/>
        <w:right w:val="nil"/>
        <w:between w:val="nil"/>
      </w:pBdr>
      <w:tabs>
        <w:tab w:val="center" w:pos="4252"/>
        <w:tab w:val="right" w:pos="8504"/>
      </w:tabs>
      <w:rPr>
        <w:color w:val="000000"/>
      </w:rPr>
    </w:pPr>
  </w:p>
  <w:p w14:paraId="5BB523A9" w14:textId="77777777" w:rsidR="005E3F40" w:rsidRDefault="005E3F4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BE2D" w14:textId="77777777" w:rsidR="005E3F40" w:rsidRDefault="005E3F4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748E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748E6">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214F76DA" w14:textId="77777777" w:rsidR="005E3F40" w:rsidRDefault="005E3F4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84BA9" w14:textId="77777777" w:rsidR="00A1311E" w:rsidRDefault="00A1311E">
      <w:r>
        <w:separator/>
      </w:r>
    </w:p>
  </w:footnote>
  <w:footnote w:type="continuationSeparator" w:id="0">
    <w:p w14:paraId="5FFEDECF" w14:textId="77777777" w:rsidR="00A1311E" w:rsidRDefault="00A1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67DC" w14:textId="77777777" w:rsidR="005E3F40" w:rsidRDefault="005E3F40">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5E3F40" w14:paraId="747E9C01" w14:textId="77777777">
      <w:tc>
        <w:tcPr>
          <w:tcW w:w="2551" w:type="dxa"/>
          <w:vAlign w:val="center"/>
        </w:tcPr>
        <w:p w14:paraId="1848186C"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0DDB53D" w14:textId="77777777" w:rsidR="005E3F40" w:rsidRDefault="005E3F4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15089/INFOEM/IP/RR/2022</w:t>
          </w:r>
        </w:p>
      </w:tc>
    </w:tr>
    <w:tr w:rsidR="005E3F40" w14:paraId="0AAB87C8" w14:textId="77777777">
      <w:trPr>
        <w:trHeight w:val="228"/>
      </w:trPr>
      <w:tc>
        <w:tcPr>
          <w:tcW w:w="2551" w:type="dxa"/>
          <w:vAlign w:val="center"/>
        </w:tcPr>
        <w:p w14:paraId="3833D111"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6E85903" w14:textId="77777777" w:rsidR="005E3F40" w:rsidRDefault="005E3F4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5E3F40" w14:paraId="4229FE7C" w14:textId="77777777">
      <w:tc>
        <w:tcPr>
          <w:tcW w:w="2551" w:type="dxa"/>
          <w:vAlign w:val="center"/>
        </w:tcPr>
        <w:p w14:paraId="7184C644"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B70AE7" w14:textId="77777777" w:rsidR="005E3F40" w:rsidRDefault="005E3F4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14A839" w14:textId="77777777" w:rsidR="005E3F40" w:rsidRDefault="005E3F4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41BAE80F" wp14:editId="3A656DCD">
          <wp:simplePos x="0" y="0"/>
          <wp:positionH relativeFrom="column">
            <wp:posOffset>-695770</wp:posOffset>
          </wp:positionH>
          <wp:positionV relativeFrom="paragraph">
            <wp:posOffset>-1200945</wp:posOffset>
          </wp:positionV>
          <wp:extent cx="7809876" cy="10165823"/>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080C" w14:textId="77777777" w:rsidR="005E3F40" w:rsidRDefault="005E3F4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0322FF5" wp14:editId="0066A5B8">
          <wp:simplePos x="0" y="0"/>
          <wp:positionH relativeFrom="column">
            <wp:posOffset>-846160</wp:posOffset>
          </wp:positionH>
          <wp:positionV relativeFrom="paragraph">
            <wp:posOffset>-171231</wp:posOffset>
          </wp:positionV>
          <wp:extent cx="7809876" cy="1016582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5E3F40" w14:paraId="3FCD01C8" w14:textId="77777777">
      <w:tc>
        <w:tcPr>
          <w:tcW w:w="2551" w:type="dxa"/>
          <w:vAlign w:val="center"/>
        </w:tcPr>
        <w:p w14:paraId="3B28BCCE"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4DFFBD6" w14:textId="77777777" w:rsidR="005E3F40" w:rsidRDefault="005E3F4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15089/INFOEM/IP/RR/2022. </w:t>
          </w:r>
        </w:p>
      </w:tc>
    </w:tr>
    <w:tr w:rsidR="005E3F40" w14:paraId="73167564" w14:textId="77777777">
      <w:tc>
        <w:tcPr>
          <w:tcW w:w="2551" w:type="dxa"/>
          <w:vAlign w:val="center"/>
        </w:tcPr>
        <w:p w14:paraId="36CA229C" w14:textId="77777777" w:rsidR="005E3F40" w:rsidRDefault="005E3F4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39E830E" w14:textId="77777777" w:rsidR="005E3F40" w:rsidRDefault="005E3F40">
          <w:pPr>
            <w:jc w:val="both"/>
            <w:rPr>
              <w:rFonts w:ascii="Palatino Linotype" w:eastAsia="Palatino Linotype" w:hAnsi="Palatino Linotype" w:cs="Palatino Linotype"/>
              <w:b/>
              <w:sz w:val="22"/>
              <w:szCs w:val="22"/>
            </w:rPr>
          </w:pPr>
        </w:p>
      </w:tc>
    </w:tr>
    <w:tr w:rsidR="005E3F40" w14:paraId="74083DAB" w14:textId="77777777">
      <w:trPr>
        <w:trHeight w:val="228"/>
      </w:trPr>
      <w:tc>
        <w:tcPr>
          <w:tcW w:w="2551" w:type="dxa"/>
          <w:vAlign w:val="center"/>
        </w:tcPr>
        <w:p w14:paraId="3FA27E35"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7D07AEA" w14:textId="77777777" w:rsidR="005E3F40" w:rsidRDefault="005E3F40">
          <w:pPr>
            <w:ind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5E3F40" w14:paraId="01054605" w14:textId="77777777">
      <w:tc>
        <w:tcPr>
          <w:tcW w:w="2551" w:type="dxa"/>
          <w:vAlign w:val="center"/>
        </w:tcPr>
        <w:p w14:paraId="7B32C114" w14:textId="77777777" w:rsidR="005E3F40" w:rsidRDefault="005E3F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526151F" w14:textId="77777777" w:rsidR="005E3F40" w:rsidRDefault="005E3F4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5BD5AE" w14:textId="77777777" w:rsidR="005E3F40" w:rsidRDefault="005E3F4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07F7" w14:textId="77777777" w:rsidR="005E3F40" w:rsidRDefault="005E3F4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E605817" w14:textId="77777777" w:rsidR="005E3F40" w:rsidRDefault="005E3F4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1A1A"/>
    <w:multiLevelType w:val="hybridMultilevel"/>
    <w:tmpl w:val="32344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C446BA"/>
    <w:multiLevelType w:val="multilevel"/>
    <w:tmpl w:val="0DB2A67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A8E5B67"/>
    <w:multiLevelType w:val="multilevel"/>
    <w:tmpl w:val="8682C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FE5A73"/>
    <w:multiLevelType w:val="multilevel"/>
    <w:tmpl w:val="7918F1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AC"/>
    <w:rsid w:val="000B72AC"/>
    <w:rsid w:val="000C28B1"/>
    <w:rsid w:val="000E0484"/>
    <w:rsid w:val="000E2E14"/>
    <w:rsid w:val="001002F2"/>
    <w:rsid w:val="00115FF5"/>
    <w:rsid w:val="0023692A"/>
    <w:rsid w:val="0028457E"/>
    <w:rsid w:val="0029185A"/>
    <w:rsid w:val="00293D10"/>
    <w:rsid w:val="002B23B5"/>
    <w:rsid w:val="00304FF1"/>
    <w:rsid w:val="00342B56"/>
    <w:rsid w:val="003A5D68"/>
    <w:rsid w:val="003C7068"/>
    <w:rsid w:val="003D6487"/>
    <w:rsid w:val="003F6A5A"/>
    <w:rsid w:val="00460B3F"/>
    <w:rsid w:val="005303C2"/>
    <w:rsid w:val="00531AC5"/>
    <w:rsid w:val="005E2CD2"/>
    <w:rsid w:val="005E3F40"/>
    <w:rsid w:val="00602CB4"/>
    <w:rsid w:val="0062657D"/>
    <w:rsid w:val="006C2FA7"/>
    <w:rsid w:val="00725587"/>
    <w:rsid w:val="00727690"/>
    <w:rsid w:val="00785BD9"/>
    <w:rsid w:val="007E1E47"/>
    <w:rsid w:val="008029A3"/>
    <w:rsid w:val="008A48AE"/>
    <w:rsid w:val="00963AD0"/>
    <w:rsid w:val="00A01BF7"/>
    <w:rsid w:val="00A1311E"/>
    <w:rsid w:val="00A34457"/>
    <w:rsid w:val="00A458D9"/>
    <w:rsid w:val="00A62465"/>
    <w:rsid w:val="00A66D79"/>
    <w:rsid w:val="00A70120"/>
    <w:rsid w:val="00AD597A"/>
    <w:rsid w:val="00B01FC0"/>
    <w:rsid w:val="00B70BCA"/>
    <w:rsid w:val="00C17043"/>
    <w:rsid w:val="00C40147"/>
    <w:rsid w:val="00C42621"/>
    <w:rsid w:val="00C649CE"/>
    <w:rsid w:val="00CB384E"/>
    <w:rsid w:val="00D02293"/>
    <w:rsid w:val="00D170DA"/>
    <w:rsid w:val="00E748E6"/>
    <w:rsid w:val="00E85DFD"/>
    <w:rsid w:val="00EE43EC"/>
    <w:rsid w:val="00F53D96"/>
    <w:rsid w:val="00F80735"/>
    <w:rsid w:val="00FB6A23"/>
    <w:rsid w:val="00FF7E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00BD"/>
  <w15:docId w15:val="{B208D048-7E82-41AD-865B-BD39B8C2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4669B6"/>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88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zGHZkuX6A2QA6cavn0qnYzCZFA==">AMUW2mW8MswJfR8SCd4TP7q8pOC31br4Eusi+y/hD13BdtraehNnQ67eRz4/3kAY++tqXdtamSwMS1pxkNUWjrGVecP6CbEL++xJ9WwrrTN9pIGwlihyl/Od12uJ+uN2qUee6OPi/9+U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9960</Words>
  <Characters>54782</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2023-03-17T17:25:00Z</cp:lastPrinted>
  <dcterms:created xsi:type="dcterms:W3CDTF">2023-03-28T18:36:00Z</dcterms:created>
  <dcterms:modified xsi:type="dcterms:W3CDTF">2023-03-28T18:36:00Z</dcterms:modified>
</cp:coreProperties>
</file>