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273CC" w14:textId="77777777" w:rsidR="00BE6FE6" w:rsidRPr="00693E0E" w:rsidRDefault="00297D70">
      <w:pPr>
        <w:spacing w:line="360" w:lineRule="auto"/>
        <w:jc w:val="both"/>
        <w:rPr>
          <w:rFonts w:ascii="Palatino Linotype" w:eastAsia="Palatino Linotype" w:hAnsi="Palatino Linotype" w:cs="Palatino Linotype"/>
        </w:rPr>
      </w:pPr>
      <w:bookmarkStart w:id="0" w:name="_GoBack"/>
      <w:bookmarkEnd w:id="0"/>
      <w:r w:rsidRPr="00693E0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veintiséis de abril de dos mil veintitrés. </w:t>
      </w:r>
    </w:p>
    <w:p w14:paraId="0EC131E7" w14:textId="77777777" w:rsidR="00BE6FE6" w:rsidRPr="00693E0E" w:rsidRDefault="00BE6FE6">
      <w:pPr>
        <w:spacing w:line="360" w:lineRule="auto"/>
        <w:jc w:val="both"/>
        <w:rPr>
          <w:rFonts w:ascii="Palatino Linotype" w:eastAsia="Palatino Linotype" w:hAnsi="Palatino Linotype" w:cs="Palatino Linotype"/>
        </w:rPr>
      </w:pPr>
    </w:p>
    <w:p w14:paraId="24A427C3" w14:textId="77777777" w:rsidR="00BE6FE6" w:rsidRPr="00693E0E" w:rsidRDefault="00297D70">
      <w:pPr>
        <w:spacing w:line="360" w:lineRule="auto"/>
        <w:jc w:val="both"/>
        <w:rPr>
          <w:rFonts w:ascii="Palatino Linotype" w:eastAsia="Palatino Linotype" w:hAnsi="Palatino Linotype" w:cs="Palatino Linotype"/>
          <w:b/>
        </w:rPr>
      </w:pPr>
      <w:r w:rsidRPr="00693E0E">
        <w:rPr>
          <w:rFonts w:ascii="Palatino Linotype" w:eastAsia="Palatino Linotype" w:hAnsi="Palatino Linotype" w:cs="Palatino Linotype"/>
          <w:b/>
        </w:rPr>
        <w:t>VISTOS</w:t>
      </w:r>
      <w:r w:rsidRPr="00693E0E">
        <w:rPr>
          <w:rFonts w:ascii="Palatino Linotype" w:eastAsia="Palatino Linotype" w:hAnsi="Palatino Linotype" w:cs="Palatino Linotype"/>
        </w:rPr>
        <w:t xml:space="preserve"> los expedientes formados con motivo de los recursos de revisión </w:t>
      </w:r>
      <w:r w:rsidRPr="00693E0E">
        <w:rPr>
          <w:rFonts w:ascii="Palatino Linotype" w:eastAsia="Palatino Linotype" w:hAnsi="Palatino Linotype" w:cs="Palatino Linotype"/>
          <w:b/>
          <w:sz w:val="22"/>
          <w:szCs w:val="22"/>
        </w:rPr>
        <w:t xml:space="preserve">15889/INFOEM/IP/RR/2022, 15892/INFOEM/IP/RR/2022 y 15935/INFOEM/IP/RR/2022 </w:t>
      </w:r>
      <w:r w:rsidRPr="00693E0E">
        <w:rPr>
          <w:rFonts w:ascii="Palatino Linotype" w:eastAsia="Palatino Linotype" w:hAnsi="Palatino Linotype" w:cs="Palatino Linotype"/>
        </w:rPr>
        <w:t>interpuestos por</w:t>
      </w:r>
      <w:r w:rsidRPr="00693E0E">
        <w:rPr>
          <w:rFonts w:ascii="Palatino Linotype" w:eastAsia="Palatino Linotype" w:hAnsi="Palatino Linotype" w:cs="Palatino Linotype"/>
          <w:b/>
        </w:rPr>
        <w:t xml:space="preserve"> una persona que no señaló nombre o seudónimo, </w:t>
      </w:r>
      <w:r w:rsidRPr="00693E0E">
        <w:rPr>
          <w:rFonts w:ascii="Palatino Linotype" w:eastAsia="Palatino Linotype" w:hAnsi="Palatino Linotype" w:cs="Palatino Linotype"/>
        </w:rPr>
        <w:t>en lo sucesivo</w:t>
      </w:r>
      <w:r w:rsidRPr="00693E0E">
        <w:rPr>
          <w:rFonts w:ascii="Palatino Linotype" w:eastAsia="Palatino Linotype" w:hAnsi="Palatino Linotype" w:cs="Palatino Linotype"/>
          <w:b/>
        </w:rPr>
        <w:t xml:space="preserve"> LA PARTE RECURRENTE,</w:t>
      </w:r>
      <w:r w:rsidRPr="00693E0E">
        <w:rPr>
          <w:rFonts w:ascii="Palatino Linotype" w:eastAsia="Palatino Linotype" w:hAnsi="Palatino Linotype" w:cs="Palatino Linotype"/>
        </w:rPr>
        <w:t xml:space="preserve"> en contra de la respuesta a las solicitudes de acceso a la información de folios </w:t>
      </w:r>
      <w:r w:rsidRPr="00693E0E">
        <w:rPr>
          <w:rFonts w:ascii="Palatino Linotype" w:eastAsia="Palatino Linotype" w:hAnsi="Palatino Linotype" w:cs="Palatino Linotype"/>
          <w:b/>
        </w:rPr>
        <w:t xml:space="preserve">00934/ZINACANT/IP/2022, 00931/ZINACANT/IP/2022 </w:t>
      </w:r>
      <w:r w:rsidRPr="00693E0E">
        <w:rPr>
          <w:rFonts w:ascii="Palatino Linotype" w:eastAsia="Palatino Linotype" w:hAnsi="Palatino Linotype" w:cs="Palatino Linotype"/>
        </w:rPr>
        <w:t>y</w:t>
      </w:r>
      <w:r w:rsidRPr="00693E0E">
        <w:rPr>
          <w:rFonts w:ascii="Palatino Linotype" w:eastAsia="Palatino Linotype" w:hAnsi="Palatino Linotype" w:cs="Palatino Linotype"/>
          <w:b/>
        </w:rPr>
        <w:t xml:space="preserve"> 00935/ZINACANT/IP/2022 </w:t>
      </w:r>
      <w:r w:rsidRPr="00693E0E">
        <w:rPr>
          <w:rFonts w:ascii="Palatino Linotype" w:eastAsia="Palatino Linotype" w:hAnsi="Palatino Linotype" w:cs="Palatino Linotype"/>
        </w:rPr>
        <w:t>por parte del</w:t>
      </w:r>
      <w:r w:rsidRPr="00693E0E">
        <w:rPr>
          <w:rFonts w:ascii="Palatino Linotype" w:eastAsia="Palatino Linotype" w:hAnsi="Palatino Linotype" w:cs="Palatino Linotype"/>
          <w:b/>
        </w:rPr>
        <w:t xml:space="preserve"> Ayuntamiento de Zinacantepec, </w:t>
      </w:r>
      <w:r w:rsidRPr="00693E0E">
        <w:rPr>
          <w:rFonts w:ascii="Palatino Linotype" w:eastAsia="Palatino Linotype" w:hAnsi="Palatino Linotype" w:cs="Palatino Linotype"/>
        </w:rPr>
        <w:t xml:space="preserve">en lo sucesivo </w:t>
      </w:r>
      <w:r w:rsidRPr="00693E0E">
        <w:rPr>
          <w:rFonts w:ascii="Palatino Linotype" w:eastAsia="Palatino Linotype" w:hAnsi="Palatino Linotype" w:cs="Palatino Linotype"/>
          <w:b/>
        </w:rPr>
        <w:t xml:space="preserve">EL SUJETO OBLIGADO, </w:t>
      </w:r>
      <w:r w:rsidRPr="00693E0E">
        <w:rPr>
          <w:rFonts w:ascii="Palatino Linotype" w:eastAsia="Palatino Linotype" w:hAnsi="Palatino Linotype" w:cs="Palatino Linotype"/>
        </w:rPr>
        <w:t xml:space="preserve">se procede a dictar la presente resolución con base en los siguientes: </w:t>
      </w:r>
    </w:p>
    <w:p w14:paraId="48962A33" w14:textId="77777777" w:rsidR="00BE6FE6" w:rsidRPr="00693E0E" w:rsidRDefault="00BE6FE6">
      <w:pPr>
        <w:spacing w:line="360" w:lineRule="auto"/>
        <w:jc w:val="both"/>
        <w:rPr>
          <w:rFonts w:ascii="Palatino Linotype" w:eastAsia="Palatino Linotype" w:hAnsi="Palatino Linotype" w:cs="Palatino Linotype"/>
        </w:rPr>
      </w:pPr>
    </w:p>
    <w:p w14:paraId="43DDAF82" w14:textId="77777777" w:rsidR="00BE6FE6" w:rsidRPr="00693E0E" w:rsidRDefault="00297D70">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693E0E">
        <w:rPr>
          <w:rFonts w:ascii="Palatino Linotype" w:eastAsia="Palatino Linotype" w:hAnsi="Palatino Linotype" w:cs="Palatino Linotype"/>
          <w:b/>
        </w:rPr>
        <w:t>A N T E C E D E N T E S</w:t>
      </w:r>
    </w:p>
    <w:p w14:paraId="2AA2E4EC" w14:textId="77777777" w:rsidR="00BE6FE6" w:rsidRPr="00693E0E" w:rsidRDefault="00BE6FE6">
      <w:pPr>
        <w:pBdr>
          <w:top w:val="nil"/>
          <w:left w:val="nil"/>
          <w:bottom w:val="nil"/>
          <w:right w:val="nil"/>
          <w:between w:val="nil"/>
        </w:pBdr>
        <w:spacing w:line="360" w:lineRule="auto"/>
        <w:ind w:left="1080"/>
        <w:rPr>
          <w:rFonts w:ascii="Palatino Linotype" w:eastAsia="Palatino Linotype" w:hAnsi="Palatino Linotype" w:cs="Palatino Linotype"/>
          <w:b/>
        </w:rPr>
      </w:pPr>
    </w:p>
    <w:p w14:paraId="4634EB47" w14:textId="77777777" w:rsidR="00BE6FE6" w:rsidRPr="00693E0E" w:rsidRDefault="00297D70">
      <w:pPr>
        <w:spacing w:line="360" w:lineRule="auto"/>
        <w:jc w:val="both"/>
        <w:rPr>
          <w:rFonts w:ascii="Palatino Linotype" w:eastAsia="Palatino Linotype" w:hAnsi="Palatino Linotype" w:cs="Palatino Linotype"/>
        </w:rPr>
      </w:pPr>
      <w:bookmarkStart w:id="1" w:name="_heading=h.gjdgxs" w:colFirst="0" w:colLast="0"/>
      <w:bookmarkEnd w:id="1"/>
      <w:r w:rsidRPr="00693E0E">
        <w:rPr>
          <w:rFonts w:ascii="Palatino Linotype" w:eastAsia="Palatino Linotype" w:hAnsi="Palatino Linotype" w:cs="Palatino Linotype"/>
          <w:b/>
        </w:rPr>
        <w:t>1. Solicitudes de acceso a la información.</w:t>
      </w:r>
      <w:r w:rsidRPr="00693E0E">
        <w:rPr>
          <w:rFonts w:ascii="Palatino Linotype" w:eastAsia="Palatino Linotype" w:hAnsi="Palatino Linotype" w:cs="Palatino Linotype"/>
        </w:rPr>
        <w:t xml:space="preserve"> El </w:t>
      </w:r>
      <w:r w:rsidRPr="00693E0E">
        <w:rPr>
          <w:rFonts w:ascii="Palatino Linotype" w:eastAsia="Palatino Linotype" w:hAnsi="Palatino Linotype" w:cs="Palatino Linotype"/>
          <w:b/>
        </w:rPr>
        <w:t>cuatro de octubre de dos mil veintidós,</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LA PARTE</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 xml:space="preserve">RECURRENTE </w:t>
      </w:r>
      <w:r w:rsidRPr="00693E0E">
        <w:rPr>
          <w:rFonts w:ascii="Palatino Linotype" w:eastAsia="Palatino Linotype" w:hAnsi="Palatino Linotype" w:cs="Palatino Linotype"/>
        </w:rPr>
        <w:t>presentó, a través del Sistema de Acceso a la Información Mexiquense o SAIMEX</w:t>
      </w:r>
      <w:r w:rsidRPr="00693E0E">
        <w:rPr>
          <w:rFonts w:ascii="Palatino Linotype" w:eastAsia="Palatino Linotype" w:hAnsi="Palatino Linotype" w:cs="Palatino Linotype"/>
          <w:b/>
        </w:rPr>
        <w:t>,</w:t>
      </w:r>
      <w:r w:rsidRPr="00693E0E">
        <w:rPr>
          <w:rFonts w:ascii="Palatino Linotype" w:eastAsia="Palatino Linotype" w:hAnsi="Palatino Linotype" w:cs="Palatino Linotype"/>
        </w:rPr>
        <w:t xml:space="preserve"> ante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las siguientes solicitudes de acceso a la información pública</w:t>
      </w:r>
      <w:r w:rsidRPr="00693E0E">
        <w:rPr>
          <w:rFonts w:ascii="Palatino Linotype" w:eastAsia="Palatino Linotype" w:hAnsi="Palatino Linotype" w:cs="Palatino Linotype"/>
          <w:b/>
        </w:rPr>
        <w:t xml:space="preserve"> </w:t>
      </w:r>
      <w:r w:rsidRPr="00693E0E">
        <w:rPr>
          <w:rFonts w:ascii="Palatino Linotype" w:eastAsia="Palatino Linotype" w:hAnsi="Palatino Linotype" w:cs="Palatino Linotype"/>
        </w:rPr>
        <w:t>en las cuales requirió la información siguiente:</w:t>
      </w:r>
    </w:p>
    <w:p w14:paraId="7732EFD0" w14:textId="77777777" w:rsidR="00BE6FE6" w:rsidRPr="00693E0E" w:rsidRDefault="00BE6FE6">
      <w:pPr>
        <w:spacing w:line="360" w:lineRule="auto"/>
        <w:jc w:val="both"/>
        <w:rPr>
          <w:rFonts w:ascii="Palatino Linotype" w:eastAsia="Palatino Linotype" w:hAnsi="Palatino Linotype" w:cs="Palatino Linotype"/>
        </w:rPr>
      </w:pP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693E0E" w:rsidRPr="00693E0E" w14:paraId="24660E7E" w14:textId="77777777">
        <w:tc>
          <w:tcPr>
            <w:tcW w:w="3397" w:type="dxa"/>
            <w:shd w:val="clear" w:color="auto" w:fill="D9D9D9"/>
          </w:tcPr>
          <w:p w14:paraId="7826E36A"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SOLICITUD</w:t>
            </w:r>
          </w:p>
        </w:tc>
        <w:tc>
          <w:tcPr>
            <w:tcW w:w="5431" w:type="dxa"/>
            <w:shd w:val="clear" w:color="auto" w:fill="D9D9D9"/>
          </w:tcPr>
          <w:p w14:paraId="06EF463C"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REQUERMIENTO</w:t>
            </w:r>
          </w:p>
        </w:tc>
      </w:tr>
      <w:tr w:rsidR="00693E0E" w:rsidRPr="00693E0E" w14:paraId="3D4F6E10" w14:textId="77777777">
        <w:tc>
          <w:tcPr>
            <w:tcW w:w="3397" w:type="dxa"/>
            <w:shd w:val="clear" w:color="auto" w:fill="D9D9D9"/>
            <w:vAlign w:val="center"/>
          </w:tcPr>
          <w:p w14:paraId="7A46AF11"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lastRenderedPageBreak/>
              <w:t>00934/ZINACANT/IP/2022</w:t>
            </w:r>
          </w:p>
          <w:p w14:paraId="04B72155" w14:textId="77777777" w:rsidR="00BE6FE6" w:rsidRPr="00693E0E" w:rsidRDefault="00BE6FE6">
            <w:pPr>
              <w:jc w:val="center"/>
              <w:rPr>
                <w:rFonts w:ascii="Palatino Linotype" w:eastAsia="Palatino Linotype" w:hAnsi="Palatino Linotype" w:cs="Palatino Linotype"/>
                <w:b/>
              </w:rPr>
            </w:pPr>
          </w:p>
        </w:tc>
        <w:tc>
          <w:tcPr>
            <w:tcW w:w="5431" w:type="dxa"/>
          </w:tcPr>
          <w:p w14:paraId="00865AA0" w14:textId="77777777" w:rsidR="00BE6FE6" w:rsidRPr="00693E0E" w:rsidRDefault="00297D70">
            <w:pPr>
              <w:pBdr>
                <w:top w:val="nil"/>
                <w:left w:val="nil"/>
                <w:bottom w:val="nil"/>
                <w:right w:val="nil"/>
                <w:between w:val="nil"/>
              </w:pBdr>
              <w:spacing w:before="200" w:after="160"/>
              <w:ind w:left="311" w:right="496" w:hanging="13"/>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“SOLICITO LAS LISTAS DE ASISTENCIA DE TODOS LOS SERVIDORES PÚBLICOS DEL IMCUFIDEZ DEL MES DE SEPTIEMBRE DE 2022”</w:t>
            </w:r>
          </w:p>
        </w:tc>
      </w:tr>
      <w:tr w:rsidR="00693E0E" w:rsidRPr="00693E0E" w14:paraId="352FF8EA" w14:textId="77777777">
        <w:tc>
          <w:tcPr>
            <w:tcW w:w="3397" w:type="dxa"/>
            <w:shd w:val="clear" w:color="auto" w:fill="D9D9D9"/>
            <w:vAlign w:val="center"/>
          </w:tcPr>
          <w:p w14:paraId="2B3E2FA9"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00931/ZINACANT/IP/2022</w:t>
            </w:r>
          </w:p>
          <w:p w14:paraId="0BB72F27" w14:textId="77777777" w:rsidR="00BE6FE6" w:rsidRPr="00693E0E" w:rsidRDefault="00BE6FE6">
            <w:pPr>
              <w:jc w:val="center"/>
              <w:rPr>
                <w:rFonts w:ascii="Palatino Linotype" w:eastAsia="Palatino Linotype" w:hAnsi="Palatino Linotype" w:cs="Palatino Linotype"/>
                <w:b/>
              </w:rPr>
            </w:pPr>
          </w:p>
        </w:tc>
        <w:tc>
          <w:tcPr>
            <w:tcW w:w="5431" w:type="dxa"/>
          </w:tcPr>
          <w:p w14:paraId="0D98ACF5" w14:textId="77777777" w:rsidR="00BE6FE6" w:rsidRPr="00693E0E" w:rsidRDefault="00297D70">
            <w:pPr>
              <w:pBdr>
                <w:top w:val="nil"/>
                <w:left w:val="nil"/>
                <w:bottom w:val="nil"/>
                <w:right w:val="nil"/>
                <w:between w:val="nil"/>
              </w:pBdr>
              <w:spacing w:before="200" w:after="160"/>
              <w:ind w:left="311" w:right="496"/>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“SOLICITO LAS LISTAS DE ASISTENCIA DEL TITULAR DE LA UNIDAD DE TRANSPARENCIA Y DE TODOS LOS DIRECTORES EN EL MES DE SEPTIEMBRE DE 2022”</w:t>
            </w:r>
          </w:p>
        </w:tc>
      </w:tr>
      <w:tr w:rsidR="00693E0E" w:rsidRPr="00693E0E" w14:paraId="32E2E5E2" w14:textId="77777777">
        <w:tc>
          <w:tcPr>
            <w:tcW w:w="3397" w:type="dxa"/>
            <w:shd w:val="clear" w:color="auto" w:fill="D9D9D9"/>
            <w:vAlign w:val="center"/>
          </w:tcPr>
          <w:p w14:paraId="0C6CEE8B"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00935/ZINACANT/IP/2022</w:t>
            </w:r>
          </w:p>
        </w:tc>
        <w:tc>
          <w:tcPr>
            <w:tcW w:w="5431" w:type="dxa"/>
          </w:tcPr>
          <w:p w14:paraId="4A08138D" w14:textId="77777777" w:rsidR="00BE6FE6" w:rsidRPr="00693E0E" w:rsidRDefault="00297D70">
            <w:pPr>
              <w:pBdr>
                <w:top w:val="nil"/>
                <w:left w:val="nil"/>
                <w:bottom w:val="nil"/>
                <w:right w:val="nil"/>
                <w:between w:val="nil"/>
              </w:pBdr>
              <w:spacing w:before="200" w:after="160"/>
              <w:ind w:left="311" w:right="496"/>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“SOLICITO COPIA DE LAS LISTAS DE ASISTENCIA DEL MES DE SEPTIEMBRE DE 2022, DE LA DIRECCIÓN DE ADMINISTRACIÓN Y PRESIDENCIA”</w:t>
            </w:r>
          </w:p>
        </w:tc>
      </w:tr>
    </w:tbl>
    <w:p w14:paraId="4599EAE4" w14:textId="77777777" w:rsidR="00BE6FE6" w:rsidRPr="00693E0E" w:rsidRDefault="00BE6FE6">
      <w:pPr>
        <w:spacing w:line="360" w:lineRule="auto"/>
        <w:jc w:val="both"/>
        <w:rPr>
          <w:rFonts w:ascii="Palatino Linotype" w:eastAsia="Palatino Linotype" w:hAnsi="Palatino Linotype" w:cs="Palatino Linotype"/>
          <w:b/>
        </w:rPr>
      </w:pPr>
    </w:p>
    <w:p w14:paraId="3CD4F3DC"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Modalidad de Entrega:</w:t>
      </w:r>
      <w:r w:rsidRPr="00693E0E">
        <w:rPr>
          <w:rFonts w:ascii="Palatino Linotype" w:eastAsia="Palatino Linotype" w:hAnsi="Palatino Linotype" w:cs="Palatino Linotype"/>
        </w:rPr>
        <w:t xml:space="preserve"> A través de SAIMEX.</w:t>
      </w:r>
    </w:p>
    <w:p w14:paraId="509C2041" w14:textId="77777777" w:rsidR="00BE6FE6" w:rsidRPr="00693E0E" w:rsidRDefault="00BE6FE6">
      <w:pPr>
        <w:spacing w:line="360" w:lineRule="auto"/>
        <w:jc w:val="both"/>
        <w:rPr>
          <w:rFonts w:ascii="Palatino Linotype" w:eastAsia="Palatino Linotype" w:hAnsi="Palatino Linotype" w:cs="Palatino Linotype"/>
          <w:b/>
        </w:rPr>
      </w:pPr>
    </w:p>
    <w:p w14:paraId="108E3595"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2. Solicitudes de aclaración. </w:t>
      </w:r>
      <w:r w:rsidRPr="00693E0E">
        <w:rPr>
          <w:rFonts w:ascii="Palatino Linotype" w:eastAsia="Palatino Linotype" w:hAnsi="Palatino Linotype" w:cs="Palatino Linotype"/>
        </w:rPr>
        <w:t xml:space="preserve">El </w:t>
      </w:r>
      <w:r w:rsidRPr="00693E0E">
        <w:rPr>
          <w:rFonts w:ascii="Palatino Linotype" w:eastAsia="Palatino Linotype" w:hAnsi="Palatino Linotype" w:cs="Palatino Linotype"/>
          <w:b/>
        </w:rPr>
        <w:t>diez de octubre de dos mil veintidós</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 xml:space="preserve">EL SUJETO OBLIGADO </w:t>
      </w:r>
      <w:r w:rsidRPr="00693E0E">
        <w:rPr>
          <w:rFonts w:ascii="Palatino Linotype" w:eastAsia="Palatino Linotype" w:hAnsi="Palatino Linotype" w:cs="Palatino Linotype"/>
        </w:rPr>
        <w:t xml:space="preserve">requirió a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para que ella precisara los siguientes puntos en las tres solicitudes de información: </w:t>
      </w:r>
    </w:p>
    <w:p w14:paraId="3AAA520C" w14:textId="77777777" w:rsidR="00BE6FE6" w:rsidRPr="00693E0E" w:rsidRDefault="00BE6FE6">
      <w:pPr>
        <w:spacing w:line="360" w:lineRule="auto"/>
        <w:jc w:val="both"/>
        <w:rPr>
          <w:rFonts w:ascii="Palatino Linotype" w:eastAsia="Palatino Linotype" w:hAnsi="Palatino Linotype" w:cs="Palatino Linotype"/>
        </w:rPr>
      </w:pPr>
    </w:p>
    <w:p w14:paraId="331A63B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“Zinacantepec, México a 10 de Octubre de 2022</w:t>
      </w:r>
    </w:p>
    <w:p w14:paraId="166F1BC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Nombre del solicitante: C. Solicitante</w:t>
      </w:r>
    </w:p>
    <w:p w14:paraId="3F8A382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Folio de la solicitud: 00935/ZINACANT/IP/2022</w:t>
      </w:r>
    </w:p>
    <w:p w14:paraId="3499F2B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Con fundamento en el </w:t>
      </w:r>
      <w:proofErr w:type="spellStart"/>
      <w:proofErr w:type="gramStart"/>
      <w:r w:rsidRPr="00693E0E">
        <w:rPr>
          <w:rFonts w:ascii="Palatino Linotype" w:eastAsia="Palatino Linotype" w:hAnsi="Palatino Linotype" w:cs="Palatino Linotype"/>
          <w:i/>
          <w:sz w:val="22"/>
          <w:szCs w:val="22"/>
        </w:rPr>
        <w:t>articulo</w:t>
      </w:r>
      <w:proofErr w:type="spellEnd"/>
      <w:proofErr w:type="gramEnd"/>
      <w:r w:rsidRPr="00693E0E">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1101EEB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w:t>
      </w:r>
      <w:r w:rsidRPr="00693E0E">
        <w:rPr>
          <w:rFonts w:ascii="Palatino Linotype" w:eastAsia="Palatino Linotype" w:hAnsi="Palatino Linotype" w:cs="Palatino Linotype"/>
          <w:i/>
          <w:sz w:val="22"/>
          <w:szCs w:val="22"/>
        </w:rPr>
        <w:lastRenderedPageBreak/>
        <w:t>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2FA2D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87136E"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ATENTAMENTE</w:t>
      </w:r>
    </w:p>
    <w:p w14:paraId="0101506F"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ING. JESUS EMMANUEL ENCASTIN RENDON” (Sic) </w:t>
      </w:r>
    </w:p>
    <w:p w14:paraId="2A777443" w14:textId="77777777" w:rsidR="00BE6FE6" w:rsidRPr="00693E0E" w:rsidRDefault="00BE6FE6">
      <w:pPr>
        <w:spacing w:line="360" w:lineRule="auto"/>
      </w:pPr>
    </w:p>
    <w:p w14:paraId="43B40230" w14:textId="77777777" w:rsidR="00BE6FE6" w:rsidRPr="00693E0E" w:rsidRDefault="00297D70">
      <w:pPr>
        <w:spacing w:line="360" w:lineRule="auto"/>
        <w:rPr>
          <w:rFonts w:ascii="Palatino Linotype" w:eastAsia="Palatino Linotype" w:hAnsi="Palatino Linotype" w:cs="Palatino Linotype"/>
        </w:rPr>
      </w:pPr>
      <w:r w:rsidRPr="00693E0E">
        <w:rPr>
          <w:rFonts w:ascii="Palatino Linotype" w:eastAsia="Palatino Linotype" w:hAnsi="Palatino Linotype" w:cs="Palatino Linotype"/>
        </w:rPr>
        <w:t xml:space="preserve">Fue el mismo día que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contestó a las tres solicitudes de aclaración de la siguiente forma: </w:t>
      </w:r>
    </w:p>
    <w:p w14:paraId="6BC4B43A"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4313D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“NO ENTIENDO QUE REQUIERE ACLARAR, LA SOLICITUD ES MUY ESPECÍFICA” (Sic) </w:t>
      </w:r>
    </w:p>
    <w:p w14:paraId="4C5D528F"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333512FD"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3. Respuesta. </w:t>
      </w:r>
      <w:r w:rsidRPr="00693E0E">
        <w:rPr>
          <w:rFonts w:ascii="Palatino Linotype" w:eastAsia="Palatino Linotype" w:hAnsi="Palatino Linotype" w:cs="Palatino Linotype"/>
        </w:rPr>
        <w:t xml:space="preserve">De las constancias contenidas en el SAIMEX, se aprecia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w:t>
      </w:r>
      <w:r w:rsidR="001D2814" w:rsidRPr="00693E0E">
        <w:rPr>
          <w:rFonts w:ascii="Palatino Linotype" w:eastAsia="Palatino Linotype" w:hAnsi="Palatino Linotype" w:cs="Palatino Linotype"/>
        </w:rPr>
        <w:t xml:space="preserve">brindó </w:t>
      </w:r>
      <w:r w:rsidRPr="00693E0E">
        <w:rPr>
          <w:rFonts w:ascii="Palatino Linotype" w:eastAsia="Palatino Linotype" w:hAnsi="Palatino Linotype" w:cs="Palatino Linotype"/>
        </w:rPr>
        <w:t xml:space="preserve">respuesta </w:t>
      </w:r>
      <w:r w:rsidR="0044147F" w:rsidRPr="00693E0E">
        <w:rPr>
          <w:rFonts w:ascii="Palatino Linotype" w:eastAsia="Palatino Linotype" w:hAnsi="Palatino Linotype" w:cs="Palatino Linotype"/>
        </w:rPr>
        <w:t xml:space="preserve">mediante escrito libre </w:t>
      </w:r>
      <w:r w:rsidRPr="00693E0E">
        <w:rPr>
          <w:rFonts w:ascii="Palatino Linotype" w:eastAsia="Palatino Linotype" w:hAnsi="Palatino Linotype" w:cs="Palatino Linotype"/>
        </w:rPr>
        <w:t xml:space="preserve">a las tres solicitudes de acceso a la información presentadas por </w:t>
      </w:r>
      <w:r w:rsidR="0044147F" w:rsidRPr="00693E0E">
        <w:rPr>
          <w:rFonts w:ascii="Palatino Linotype" w:eastAsia="Palatino Linotype" w:hAnsi="Palatino Linotype" w:cs="Palatino Linotype"/>
          <w:b/>
        </w:rPr>
        <w:t xml:space="preserve">LA PARTE RECURRENTE </w:t>
      </w:r>
      <w:r w:rsidR="0044147F" w:rsidRPr="00693E0E">
        <w:rPr>
          <w:rFonts w:ascii="Palatino Linotype" w:eastAsia="Palatino Linotype" w:hAnsi="Palatino Linotype" w:cs="Palatino Linotype"/>
        </w:rPr>
        <w:t xml:space="preserve">el treinta y uno de octubre de dos mil veintidós. </w:t>
      </w:r>
      <w:r w:rsidRPr="00693E0E">
        <w:rPr>
          <w:rFonts w:ascii="Palatino Linotype" w:eastAsia="Palatino Linotype" w:hAnsi="Palatino Linotype" w:cs="Palatino Linotype"/>
        </w:rPr>
        <w:t xml:space="preserve"> </w:t>
      </w:r>
    </w:p>
    <w:p w14:paraId="162641FD" w14:textId="77777777" w:rsidR="001D2814" w:rsidRPr="00693E0E" w:rsidRDefault="001D2814">
      <w:pPr>
        <w:spacing w:line="360" w:lineRule="auto"/>
        <w:jc w:val="both"/>
        <w:rPr>
          <w:rFonts w:ascii="Palatino Linotype" w:eastAsia="Palatino Linotype" w:hAnsi="Palatino Linotype" w:cs="Palatino Linotype"/>
        </w:rPr>
      </w:pP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693E0E" w:rsidRPr="00693E0E" w14:paraId="411D9084" w14:textId="77777777" w:rsidTr="001D2814">
        <w:tc>
          <w:tcPr>
            <w:tcW w:w="3397" w:type="dxa"/>
            <w:shd w:val="clear" w:color="auto" w:fill="D9D9D9"/>
          </w:tcPr>
          <w:p w14:paraId="54BE44BA"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SOLICITUD</w:t>
            </w:r>
          </w:p>
        </w:tc>
        <w:tc>
          <w:tcPr>
            <w:tcW w:w="5431" w:type="dxa"/>
            <w:shd w:val="clear" w:color="auto" w:fill="D9D9D9"/>
          </w:tcPr>
          <w:p w14:paraId="225F67CB"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RESPUESTAS</w:t>
            </w:r>
          </w:p>
        </w:tc>
      </w:tr>
      <w:tr w:rsidR="00693E0E" w:rsidRPr="00693E0E" w14:paraId="0482BBEB" w14:textId="77777777" w:rsidTr="001D2814">
        <w:tc>
          <w:tcPr>
            <w:tcW w:w="3397" w:type="dxa"/>
            <w:shd w:val="clear" w:color="auto" w:fill="D9D9D9"/>
            <w:vAlign w:val="center"/>
          </w:tcPr>
          <w:p w14:paraId="263DF384"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00934/ZINACANT/IP/2022</w:t>
            </w:r>
          </w:p>
          <w:p w14:paraId="31B3E772"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31/10/2022</w:t>
            </w:r>
          </w:p>
          <w:p w14:paraId="5DC2C7BF" w14:textId="77777777" w:rsidR="001D2814" w:rsidRPr="00693E0E" w:rsidRDefault="001D2814" w:rsidP="001D2814">
            <w:pPr>
              <w:jc w:val="center"/>
              <w:rPr>
                <w:rFonts w:ascii="Palatino Linotype" w:eastAsia="Palatino Linotype" w:hAnsi="Palatino Linotype" w:cs="Palatino Linotype"/>
                <w:b/>
              </w:rPr>
            </w:pPr>
          </w:p>
        </w:tc>
        <w:tc>
          <w:tcPr>
            <w:tcW w:w="5431" w:type="dxa"/>
          </w:tcPr>
          <w:p w14:paraId="1475C13B" w14:textId="77777777" w:rsidR="001D2814" w:rsidRPr="00693E0E" w:rsidRDefault="001D2814" w:rsidP="0044147F">
            <w:pPr>
              <w:pStyle w:val="Cita"/>
              <w:spacing w:before="0" w:after="0"/>
              <w:ind w:left="27" w:right="71"/>
              <w:jc w:val="both"/>
              <w:rPr>
                <w:rFonts w:ascii="Palatino Linotype" w:eastAsia="Palatino Linotype" w:hAnsi="Palatino Linotype" w:cs="Palatino Linotype"/>
                <w:color w:val="auto"/>
                <w:sz w:val="22"/>
                <w:szCs w:val="22"/>
              </w:rPr>
            </w:pPr>
            <w:r w:rsidRPr="00693E0E">
              <w:rPr>
                <w:rFonts w:ascii="Palatino Linotype" w:hAnsi="Palatino Linotype"/>
                <w:color w:val="auto"/>
                <w:sz w:val="22"/>
                <w:szCs w:val="22"/>
              </w:rPr>
              <w:t xml:space="preserve">“… Por lo anteriormente expuesto le informo al solicitante que no se generan listas de asistencia de los servidores públicos como lo es el caso que no ocupa, por lo tanto, no es posible entregar la información toda vez que no como ya se </w:t>
            </w:r>
            <w:proofErr w:type="spellStart"/>
            <w:r w:rsidRPr="00693E0E">
              <w:rPr>
                <w:rFonts w:ascii="Palatino Linotype" w:hAnsi="Palatino Linotype"/>
                <w:color w:val="auto"/>
                <w:sz w:val="22"/>
                <w:szCs w:val="22"/>
              </w:rPr>
              <w:t>comento</w:t>
            </w:r>
            <w:proofErr w:type="spellEnd"/>
            <w:r w:rsidRPr="00693E0E">
              <w:rPr>
                <w:rFonts w:ascii="Palatino Linotype" w:hAnsi="Palatino Linotype"/>
                <w:color w:val="auto"/>
                <w:sz w:val="22"/>
                <w:szCs w:val="22"/>
              </w:rPr>
              <w:t xml:space="preserve"> no se generan o procesan listas de asistencia…” (Sic) </w:t>
            </w:r>
          </w:p>
        </w:tc>
      </w:tr>
      <w:tr w:rsidR="00693E0E" w:rsidRPr="00693E0E" w14:paraId="49A64BBB" w14:textId="77777777" w:rsidTr="001D2814">
        <w:trPr>
          <w:trHeight w:val="639"/>
        </w:trPr>
        <w:tc>
          <w:tcPr>
            <w:tcW w:w="3397" w:type="dxa"/>
            <w:shd w:val="clear" w:color="auto" w:fill="D9D9D9"/>
            <w:vAlign w:val="center"/>
          </w:tcPr>
          <w:p w14:paraId="266FE4CA"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00931/ZINACANT/IP/2022</w:t>
            </w:r>
          </w:p>
          <w:p w14:paraId="2DA8D8A0" w14:textId="77777777" w:rsidR="0044147F" w:rsidRPr="00693E0E" w:rsidRDefault="0044147F"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31/10</w:t>
            </w:r>
          </w:p>
          <w:p w14:paraId="418B314A" w14:textId="77777777" w:rsidR="001D2814" w:rsidRPr="00693E0E" w:rsidRDefault="001D2814" w:rsidP="001D2814">
            <w:pPr>
              <w:jc w:val="center"/>
              <w:rPr>
                <w:rFonts w:ascii="Palatino Linotype" w:eastAsia="Palatino Linotype" w:hAnsi="Palatino Linotype" w:cs="Palatino Linotype"/>
                <w:b/>
              </w:rPr>
            </w:pPr>
          </w:p>
        </w:tc>
        <w:tc>
          <w:tcPr>
            <w:tcW w:w="5431" w:type="dxa"/>
          </w:tcPr>
          <w:p w14:paraId="13EEC272" w14:textId="77777777" w:rsidR="001D2814" w:rsidRPr="00693E0E" w:rsidRDefault="001D2814" w:rsidP="0044147F">
            <w:pPr>
              <w:pStyle w:val="Cita"/>
              <w:spacing w:before="0" w:after="0"/>
              <w:ind w:left="27" w:right="71"/>
              <w:jc w:val="both"/>
              <w:rPr>
                <w:rFonts w:ascii="Palatino Linotype" w:eastAsia="Palatino Linotype" w:hAnsi="Palatino Linotype" w:cs="Palatino Linotype"/>
                <w:color w:val="auto"/>
                <w:sz w:val="22"/>
                <w:szCs w:val="22"/>
              </w:rPr>
            </w:pPr>
            <w:r w:rsidRPr="00693E0E">
              <w:rPr>
                <w:rFonts w:ascii="Palatino Linotype" w:hAnsi="Palatino Linotype"/>
                <w:color w:val="auto"/>
                <w:sz w:val="22"/>
                <w:szCs w:val="22"/>
              </w:rPr>
              <w:t xml:space="preserve">“… Por lo anteriormente expuesto le informo al solicitante que no se generan listas de asistencia para mandos medios </w:t>
            </w:r>
            <w:r w:rsidRPr="00693E0E">
              <w:rPr>
                <w:rFonts w:ascii="Palatino Linotype" w:hAnsi="Palatino Linotype"/>
                <w:color w:val="auto"/>
                <w:sz w:val="22"/>
                <w:szCs w:val="22"/>
              </w:rPr>
              <w:lastRenderedPageBreak/>
              <w:t xml:space="preserve">y altos como lo es el caso que no ocupa, toda vez que son considerados como personal de confianza…” (Sic) </w:t>
            </w:r>
          </w:p>
        </w:tc>
      </w:tr>
      <w:tr w:rsidR="00693E0E" w:rsidRPr="00693E0E" w14:paraId="01C7A1FC" w14:textId="77777777" w:rsidTr="001D2814">
        <w:tc>
          <w:tcPr>
            <w:tcW w:w="3397" w:type="dxa"/>
            <w:shd w:val="clear" w:color="auto" w:fill="D9D9D9"/>
            <w:vAlign w:val="center"/>
          </w:tcPr>
          <w:p w14:paraId="0BB4273E" w14:textId="77777777" w:rsidR="001D2814" w:rsidRPr="00693E0E" w:rsidRDefault="001D2814" w:rsidP="001D2814">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lastRenderedPageBreak/>
              <w:t>00935/ZINACANT/IP/2022</w:t>
            </w:r>
          </w:p>
        </w:tc>
        <w:tc>
          <w:tcPr>
            <w:tcW w:w="5431" w:type="dxa"/>
          </w:tcPr>
          <w:p w14:paraId="195234FE" w14:textId="77777777" w:rsidR="001D2814" w:rsidRPr="00693E0E" w:rsidRDefault="0044147F" w:rsidP="0044147F">
            <w:pPr>
              <w:pStyle w:val="Cita"/>
              <w:spacing w:before="0" w:after="0"/>
              <w:ind w:left="27" w:right="71"/>
              <w:jc w:val="both"/>
              <w:rPr>
                <w:rFonts w:ascii="Palatino Linotype" w:eastAsia="Palatino Linotype" w:hAnsi="Palatino Linotype" w:cs="Palatino Linotype"/>
                <w:color w:val="auto"/>
                <w:sz w:val="22"/>
                <w:szCs w:val="22"/>
              </w:rPr>
            </w:pPr>
            <w:r w:rsidRPr="00693E0E">
              <w:rPr>
                <w:rFonts w:ascii="Palatino Linotype" w:hAnsi="Palatino Linotype"/>
                <w:color w:val="auto"/>
                <w:sz w:val="22"/>
                <w:szCs w:val="22"/>
              </w:rPr>
              <w:t xml:space="preserve">“… Por lo anteriormente expuesto le informo al solicitante que no se generan listas de asistencia para mandos medios y altos como lo es el caso que no ocupa, toda vez que son considerados como personal de confianza…” (Sic) </w:t>
            </w:r>
          </w:p>
        </w:tc>
      </w:tr>
    </w:tbl>
    <w:p w14:paraId="629DEC61" w14:textId="77777777" w:rsidR="001D2814" w:rsidRPr="00693E0E" w:rsidRDefault="001D2814">
      <w:pPr>
        <w:spacing w:line="360" w:lineRule="auto"/>
        <w:jc w:val="both"/>
        <w:rPr>
          <w:rFonts w:ascii="Palatino Linotype" w:eastAsia="Palatino Linotype" w:hAnsi="Palatino Linotype" w:cs="Palatino Linotype"/>
        </w:rPr>
      </w:pPr>
    </w:p>
    <w:p w14:paraId="5F82290B"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sz w:val="22"/>
          <w:szCs w:val="22"/>
        </w:rPr>
        <w:t>4.</w:t>
      </w:r>
      <w:r w:rsidRPr="00693E0E">
        <w:rPr>
          <w:rFonts w:ascii="Palatino Linotype" w:eastAsia="Palatino Linotype" w:hAnsi="Palatino Linotype" w:cs="Palatino Linotype"/>
          <w:b/>
        </w:rPr>
        <w:t xml:space="preserve"> Interposición de los recursos de revisión. </w:t>
      </w:r>
      <w:r w:rsidRPr="00693E0E">
        <w:rPr>
          <w:rFonts w:ascii="Palatino Linotype" w:eastAsia="Palatino Linotype" w:hAnsi="Palatino Linotype" w:cs="Palatino Linotype"/>
        </w:rPr>
        <w:t xml:space="preserve">Inconforme con </w:t>
      </w:r>
      <w:r w:rsidR="001D2814" w:rsidRPr="00693E0E">
        <w:rPr>
          <w:rFonts w:ascii="Palatino Linotype" w:eastAsia="Palatino Linotype" w:hAnsi="Palatino Linotype" w:cs="Palatino Linotype"/>
        </w:rPr>
        <w:t xml:space="preserve">las </w:t>
      </w:r>
      <w:r w:rsidRPr="00693E0E">
        <w:rPr>
          <w:rFonts w:ascii="Palatino Linotype" w:eastAsia="Palatino Linotype" w:hAnsi="Palatino Linotype" w:cs="Palatino Linotype"/>
        </w:rPr>
        <w:t xml:space="preserve">respuestas del </w:t>
      </w:r>
      <w:r w:rsidRPr="00693E0E">
        <w:rPr>
          <w:rFonts w:ascii="Palatino Linotype" w:eastAsia="Palatino Linotype" w:hAnsi="Palatino Linotype" w:cs="Palatino Linotype"/>
          <w:b/>
        </w:rPr>
        <w:t>SUJETO OBLIGADO</w:t>
      </w:r>
      <w:r w:rsidRPr="00693E0E">
        <w:rPr>
          <w:rFonts w:ascii="Palatino Linotype" w:eastAsia="Palatino Linotype" w:hAnsi="Palatino Linotype" w:cs="Palatino Linotype"/>
        </w:rPr>
        <w:t>, los días</w:t>
      </w:r>
      <w:r w:rsidRPr="00693E0E">
        <w:rPr>
          <w:rFonts w:ascii="Palatino Linotype" w:eastAsia="Palatino Linotype" w:hAnsi="Palatino Linotype" w:cs="Palatino Linotype"/>
          <w:b/>
        </w:rPr>
        <w:t xml:space="preserve"> treinta y uno de octubre </w:t>
      </w:r>
      <w:r w:rsidRPr="00693E0E">
        <w:rPr>
          <w:rFonts w:ascii="Palatino Linotype" w:eastAsia="Palatino Linotype" w:hAnsi="Palatino Linotype" w:cs="Palatino Linotype"/>
        </w:rPr>
        <w:t xml:space="preserve">y </w:t>
      </w:r>
      <w:r w:rsidRPr="00693E0E">
        <w:rPr>
          <w:rFonts w:ascii="Palatino Linotype" w:eastAsia="Palatino Linotype" w:hAnsi="Palatino Linotype" w:cs="Palatino Linotype"/>
          <w:b/>
        </w:rPr>
        <w:t>primero de noviembre de dos mil veintidós,</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interpuso los recursos de revisión a través de SAIMEX,</w:t>
      </w:r>
      <w:r w:rsidRPr="00693E0E">
        <w:rPr>
          <w:rFonts w:ascii="Palatino Linotype" w:eastAsia="Palatino Linotype" w:hAnsi="Palatino Linotype" w:cs="Palatino Linotype"/>
          <w:b/>
        </w:rPr>
        <w:t xml:space="preserve"> </w:t>
      </w:r>
      <w:r w:rsidRPr="00693E0E">
        <w:rPr>
          <w:rFonts w:ascii="Palatino Linotype" w:eastAsia="Palatino Linotype" w:hAnsi="Palatino Linotype" w:cs="Palatino Linotype"/>
        </w:rPr>
        <w:t>en donde se manifestó de la siguiente manera:</w:t>
      </w:r>
    </w:p>
    <w:p w14:paraId="1F6D79BE" w14:textId="77777777" w:rsidR="00BE6FE6" w:rsidRPr="00693E0E" w:rsidRDefault="00BE6FE6">
      <w:pPr>
        <w:spacing w:line="360" w:lineRule="auto"/>
        <w:jc w:val="both"/>
        <w:rPr>
          <w:rFonts w:ascii="Palatino Linotype" w:eastAsia="Palatino Linotype" w:hAnsi="Palatino Linotype" w:cs="Palatino Linotype"/>
        </w:rPr>
      </w:pPr>
    </w:p>
    <w:tbl>
      <w:tblPr>
        <w:tblStyle w:val="af6"/>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974"/>
        <w:gridCol w:w="2693"/>
      </w:tblGrid>
      <w:tr w:rsidR="00693E0E" w:rsidRPr="00693E0E" w14:paraId="1B40735C" w14:textId="77777777">
        <w:trPr>
          <w:jc w:val="center"/>
        </w:trPr>
        <w:tc>
          <w:tcPr>
            <w:tcW w:w="3256" w:type="dxa"/>
            <w:shd w:val="clear" w:color="auto" w:fill="D9D9D9"/>
            <w:vAlign w:val="center"/>
          </w:tcPr>
          <w:p w14:paraId="45E43355"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FOLIOS</w:t>
            </w:r>
          </w:p>
        </w:tc>
        <w:tc>
          <w:tcPr>
            <w:tcW w:w="3974" w:type="dxa"/>
            <w:shd w:val="clear" w:color="auto" w:fill="D9D9D9"/>
            <w:vAlign w:val="center"/>
          </w:tcPr>
          <w:p w14:paraId="5E921E64"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ACTO IMPUGNADO</w:t>
            </w:r>
          </w:p>
        </w:tc>
        <w:tc>
          <w:tcPr>
            <w:tcW w:w="2693" w:type="dxa"/>
            <w:shd w:val="clear" w:color="auto" w:fill="D9D9D9"/>
            <w:vAlign w:val="center"/>
          </w:tcPr>
          <w:p w14:paraId="26A4CC5B" w14:textId="77777777" w:rsidR="00BE6FE6" w:rsidRPr="00693E0E" w:rsidRDefault="00297D70">
            <w:pPr>
              <w:jc w:val="center"/>
              <w:rPr>
                <w:rFonts w:ascii="Palatino Linotype" w:eastAsia="Palatino Linotype" w:hAnsi="Palatino Linotype" w:cs="Palatino Linotype"/>
                <w:b/>
              </w:rPr>
            </w:pPr>
            <w:r w:rsidRPr="00693E0E">
              <w:rPr>
                <w:rFonts w:ascii="Palatino Linotype" w:eastAsia="Palatino Linotype" w:hAnsi="Palatino Linotype" w:cs="Palatino Linotype"/>
                <w:b/>
              </w:rPr>
              <w:t>RAZONES O MOTIVOS DE INCONFORMIDAD</w:t>
            </w:r>
          </w:p>
        </w:tc>
      </w:tr>
      <w:tr w:rsidR="00693E0E" w:rsidRPr="00693E0E" w14:paraId="2AA579CF" w14:textId="77777777">
        <w:trPr>
          <w:jc w:val="center"/>
        </w:trPr>
        <w:tc>
          <w:tcPr>
            <w:tcW w:w="3256" w:type="dxa"/>
          </w:tcPr>
          <w:p w14:paraId="12966206" w14:textId="77777777" w:rsidR="00BE6FE6" w:rsidRPr="00693E0E" w:rsidRDefault="00297D70">
            <w:pPr>
              <w:rPr>
                <w:rFonts w:ascii="Palatino Linotype" w:eastAsia="Palatino Linotype" w:hAnsi="Palatino Linotype" w:cs="Palatino Linotype"/>
                <w:b/>
              </w:rPr>
            </w:pPr>
            <w:r w:rsidRPr="00693E0E">
              <w:rPr>
                <w:rFonts w:ascii="Palatino Linotype" w:eastAsia="Palatino Linotype" w:hAnsi="Palatino Linotype" w:cs="Palatino Linotype"/>
                <w:b/>
              </w:rPr>
              <w:t>15889/INFOEM/IP/RR/2022</w:t>
            </w:r>
          </w:p>
          <w:p w14:paraId="2E3B2C3D" w14:textId="77777777" w:rsidR="00BE6FE6" w:rsidRPr="00693E0E" w:rsidRDefault="00BE6FE6">
            <w:pPr>
              <w:rPr>
                <w:rFonts w:ascii="Palatino Linotype" w:eastAsia="Palatino Linotype" w:hAnsi="Palatino Linotype" w:cs="Palatino Linotype"/>
                <w:b/>
              </w:rPr>
            </w:pPr>
          </w:p>
        </w:tc>
        <w:tc>
          <w:tcPr>
            <w:tcW w:w="3974" w:type="dxa"/>
          </w:tcPr>
          <w:p w14:paraId="2F1CF282" w14:textId="77777777" w:rsidR="00BE6FE6" w:rsidRPr="00693E0E" w:rsidRDefault="00297D70">
            <w:pPr>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“NO ENTREGA INFORMACIÓN SOLICITADA, POR LO QUE SOLICITO QUE DECLARE LA INEXISTENCIA DE LAS LISTAS DE ASISTENCIA” (Sic) </w:t>
            </w:r>
          </w:p>
        </w:tc>
        <w:tc>
          <w:tcPr>
            <w:tcW w:w="2693" w:type="dxa"/>
          </w:tcPr>
          <w:p w14:paraId="0490309C" w14:textId="77777777" w:rsidR="00BE6FE6" w:rsidRPr="00693E0E" w:rsidRDefault="00297D70">
            <w:pPr>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 ENTREGA INFORMACIÓN SOLICITADA, POR LO QUE SOLICITO QUE DECLARE LA INEXISTENCIA DE LAS LISTAS DE ASISTENCIA” (Sic)</w:t>
            </w:r>
          </w:p>
        </w:tc>
      </w:tr>
      <w:tr w:rsidR="00693E0E" w:rsidRPr="00693E0E" w14:paraId="56572318" w14:textId="77777777">
        <w:trPr>
          <w:jc w:val="center"/>
        </w:trPr>
        <w:tc>
          <w:tcPr>
            <w:tcW w:w="3256" w:type="dxa"/>
          </w:tcPr>
          <w:p w14:paraId="293EC953" w14:textId="77777777" w:rsidR="00BE6FE6" w:rsidRPr="00693E0E" w:rsidRDefault="00297D70">
            <w:pPr>
              <w:rPr>
                <w:rFonts w:ascii="Palatino Linotype" w:eastAsia="Palatino Linotype" w:hAnsi="Palatino Linotype" w:cs="Palatino Linotype"/>
                <w:b/>
              </w:rPr>
            </w:pPr>
            <w:r w:rsidRPr="00693E0E">
              <w:rPr>
                <w:rFonts w:ascii="Palatino Linotype" w:eastAsia="Palatino Linotype" w:hAnsi="Palatino Linotype" w:cs="Palatino Linotype"/>
                <w:b/>
              </w:rPr>
              <w:t>15892/INFOEM/IP/RR/2022</w:t>
            </w:r>
          </w:p>
          <w:p w14:paraId="68BE47CC" w14:textId="77777777" w:rsidR="00BE6FE6" w:rsidRPr="00693E0E" w:rsidRDefault="00BE6FE6">
            <w:pPr>
              <w:rPr>
                <w:rFonts w:ascii="Palatino Linotype" w:eastAsia="Palatino Linotype" w:hAnsi="Palatino Linotype" w:cs="Palatino Linotype"/>
                <w:b/>
              </w:rPr>
            </w:pPr>
          </w:p>
        </w:tc>
        <w:tc>
          <w:tcPr>
            <w:tcW w:w="3974" w:type="dxa"/>
          </w:tcPr>
          <w:p w14:paraId="66D5445C" w14:textId="77777777" w:rsidR="00BE6FE6" w:rsidRPr="00693E0E" w:rsidRDefault="00297D70">
            <w:pPr>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“NO ENTREGA INFORMACIÓN” (Sic) </w:t>
            </w:r>
          </w:p>
        </w:tc>
        <w:tc>
          <w:tcPr>
            <w:tcW w:w="2693" w:type="dxa"/>
          </w:tcPr>
          <w:p w14:paraId="1EAC62CD" w14:textId="77777777" w:rsidR="00BE6FE6" w:rsidRPr="00693E0E" w:rsidRDefault="00297D70">
            <w:pPr>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 ENTREGA INFORMACIÓN” (Sic)</w:t>
            </w:r>
          </w:p>
        </w:tc>
      </w:tr>
      <w:tr w:rsidR="00BE6FE6" w:rsidRPr="00693E0E" w14:paraId="75D89592" w14:textId="77777777">
        <w:trPr>
          <w:jc w:val="center"/>
        </w:trPr>
        <w:tc>
          <w:tcPr>
            <w:tcW w:w="3256" w:type="dxa"/>
          </w:tcPr>
          <w:p w14:paraId="67EA3AA4" w14:textId="77777777" w:rsidR="00BE6FE6" w:rsidRPr="00693E0E" w:rsidRDefault="00297D70">
            <w:pPr>
              <w:rPr>
                <w:rFonts w:ascii="Palatino Linotype" w:eastAsia="Palatino Linotype" w:hAnsi="Palatino Linotype" w:cs="Palatino Linotype"/>
                <w:b/>
              </w:rPr>
            </w:pPr>
            <w:r w:rsidRPr="00693E0E">
              <w:rPr>
                <w:rFonts w:ascii="Palatino Linotype" w:eastAsia="Palatino Linotype" w:hAnsi="Palatino Linotype" w:cs="Palatino Linotype"/>
                <w:b/>
              </w:rPr>
              <w:t>15935/INFOEM/IP/RR/2022</w:t>
            </w:r>
          </w:p>
          <w:p w14:paraId="1FD88723" w14:textId="77777777" w:rsidR="00BE6FE6" w:rsidRPr="00693E0E" w:rsidRDefault="00BE6FE6">
            <w:pPr>
              <w:rPr>
                <w:rFonts w:ascii="Palatino Linotype" w:eastAsia="Palatino Linotype" w:hAnsi="Palatino Linotype" w:cs="Palatino Linotype"/>
                <w:b/>
              </w:rPr>
            </w:pPr>
          </w:p>
        </w:tc>
        <w:tc>
          <w:tcPr>
            <w:tcW w:w="3974" w:type="dxa"/>
          </w:tcPr>
          <w:p w14:paraId="50C51039" w14:textId="77777777" w:rsidR="00BE6FE6" w:rsidRPr="00693E0E" w:rsidRDefault="00297D70">
            <w:pPr>
              <w:jc w:val="both"/>
              <w:rPr>
                <w:rFonts w:ascii="Palatino Linotype" w:eastAsia="Palatino Linotype" w:hAnsi="Palatino Linotype" w:cs="Palatino Linotype"/>
                <w:i/>
                <w:sz w:val="22"/>
                <w:szCs w:val="22"/>
              </w:rPr>
            </w:pPr>
            <w:bookmarkStart w:id="2" w:name="_heading=h.tyjcwt" w:colFirst="0" w:colLast="0"/>
            <w:bookmarkEnd w:id="2"/>
            <w:r w:rsidRPr="00693E0E">
              <w:rPr>
                <w:rFonts w:ascii="Palatino Linotype" w:eastAsia="Palatino Linotype" w:hAnsi="Palatino Linotype" w:cs="Palatino Linotype"/>
                <w:i/>
                <w:sz w:val="22"/>
                <w:szCs w:val="22"/>
              </w:rPr>
              <w:t>“NO ENTREGA INFORMACIÓN” (Sic)</w:t>
            </w:r>
          </w:p>
        </w:tc>
        <w:tc>
          <w:tcPr>
            <w:tcW w:w="2693" w:type="dxa"/>
          </w:tcPr>
          <w:p w14:paraId="330C31A0" w14:textId="77777777" w:rsidR="00BE6FE6" w:rsidRPr="00693E0E" w:rsidRDefault="00297D70">
            <w:pPr>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 ENTREGA INFORMACIÓN” (Sic)</w:t>
            </w:r>
          </w:p>
        </w:tc>
      </w:tr>
    </w:tbl>
    <w:p w14:paraId="10EF0910" w14:textId="77777777" w:rsidR="00BE6FE6" w:rsidRPr="00693E0E" w:rsidRDefault="00BE6FE6">
      <w:pPr>
        <w:spacing w:line="360" w:lineRule="auto"/>
        <w:ind w:right="51"/>
        <w:jc w:val="both"/>
        <w:rPr>
          <w:rFonts w:ascii="Palatino Linotype" w:eastAsia="Palatino Linotype" w:hAnsi="Palatino Linotype" w:cs="Palatino Linotype"/>
          <w:b/>
        </w:rPr>
      </w:pPr>
    </w:p>
    <w:p w14:paraId="3D3B6A94" w14:textId="77777777" w:rsidR="00BE6FE6" w:rsidRPr="00693E0E" w:rsidRDefault="00297D70">
      <w:pPr>
        <w:spacing w:line="360" w:lineRule="auto"/>
        <w:jc w:val="both"/>
        <w:rPr>
          <w:rFonts w:ascii="Palatino Linotype" w:eastAsia="Palatino Linotype" w:hAnsi="Palatino Linotype" w:cs="Palatino Linotype"/>
          <w:b/>
        </w:rPr>
      </w:pPr>
      <w:r w:rsidRPr="00693E0E">
        <w:rPr>
          <w:rFonts w:ascii="Palatino Linotype" w:eastAsia="Palatino Linotype" w:hAnsi="Palatino Linotype" w:cs="Palatino Linotype"/>
          <w:b/>
        </w:rPr>
        <w:t xml:space="preserve">5. Turno. </w:t>
      </w:r>
      <w:r w:rsidRPr="00693E0E">
        <w:rPr>
          <w:rFonts w:ascii="Palatino Linotype" w:eastAsia="Palatino Linotype" w:hAnsi="Palatino Linotype" w:cs="Palatino Linotype"/>
        </w:rPr>
        <w:t>De conformidad con el artículo 185 fracción I de la Ley de Transparencia, el recurso de revisión de número</w:t>
      </w:r>
      <w:r w:rsidRPr="00693E0E">
        <w:rPr>
          <w:rFonts w:ascii="Palatino Linotype" w:eastAsia="Palatino Linotype" w:hAnsi="Palatino Linotype" w:cs="Palatino Linotype"/>
          <w:b/>
        </w:rPr>
        <w:t xml:space="preserve"> 15889/INFOEM/IP/RR/2022 </w:t>
      </w:r>
      <w:r w:rsidRPr="00693E0E">
        <w:rPr>
          <w:rFonts w:ascii="Palatino Linotype" w:eastAsia="Palatino Linotype" w:hAnsi="Palatino Linotype" w:cs="Palatino Linotype"/>
        </w:rPr>
        <w:t xml:space="preserve">fue turnado a la </w:t>
      </w:r>
      <w:r w:rsidRPr="00693E0E">
        <w:rPr>
          <w:rFonts w:ascii="Palatino Linotype" w:eastAsia="Palatino Linotype" w:hAnsi="Palatino Linotype" w:cs="Palatino Linotype"/>
          <w:b/>
        </w:rPr>
        <w:t>Comisionada Guadalupe Ramírez Peña,</w:t>
      </w:r>
      <w:r w:rsidRPr="00693E0E">
        <w:rPr>
          <w:rFonts w:ascii="Palatino Linotype" w:eastAsia="Palatino Linotype" w:hAnsi="Palatino Linotype" w:cs="Palatino Linotype"/>
        </w:rPr>
        <w:t xml:space="preserve"> el </w:t>
      </w:r>
      <w:r w:rsidRPr="00693E0E">
        <w:rPr>
          <w:rFonts w:ascii="Palatino Linotype" w:eastAsia="Palatino Linotype" w:hAnsi="Palatino Linotype" w:cs="Palatino Linotype"/>
          <w:b/>
        </w:rPr>
        <w:t xml:space="preserve">15892/INFOEM/IP/RR/2022 </w:t>
      </w:r>
      <w:r w:rsidRPr="00693E0E">
        <w:rPr>
          <w:rFonts w:ascii="Palatino Linotype" w:eastAsia="Palatino Linotype" w:hAnsi="Palatino Linotype" w:cs="Palatino Linotype"/>
        </w:rPr>
        <w:t xml:space="preserve">a la </w:t>
      </w:r>
      <w:r w:rsidRPr="00693E0E">
        <w:rPr>
          <w:rFonts w:ascii="Palatino Linotype" w:eastAsia="Palatino Linotype" w:hAnsi="Palatino Linotype" w:cs="Palatino Linotype"/>
          <w:b/>
        </w:rPr>
        <w:lastRenderedPageBreak/>
        <w:t xml:space="preserve">Comisionada Sharon Cristina Morales Martínez, </w:t>
      </w:r>
      <w:r w:rsidRPr="00693E0E">
        <w:rPr>
          <w:rFonts w:ascii="Palatino Linotype" w:eastAsia="Palatino Linotype" w:hAnsi="Palatino Linotype" w:cs="Palatino Linotype"/>
        </w:rPr>
        <w:t>y el</w:t>
      </w:r>
      <w:r w:rsidRPr="00693E0E">
        <w:rPr>
          <w:rFonts w:ascii="Palatino Linotype" w:eastAsia="Palatino Linotype" w:hAnsi="Palatino Linotype" w:cs="Palatino Linotype"/>
          <w:b/>
        </w:rPr>
        <w:t xml:space="preserve"> 15935/INFOEM/IP/RR/2022 </w:t>
      </w:r>
      <w:r w:rsidRPr="00693E0E">
        <w:rPr>
          <w:rFonts w:ascii="Palatino Linotype" w:eastAsia="Palatino Linotype" w:hAnsi="Palatino Linotype" w:cs="Palatino Linotype"/>
        </w:rPr>
        <w:t xml:space="preserve">al </w:t>
      </w:r>
      <w:r w:rsidRPr="00693E0E">
        <w:rPr>
          <w:rFonts w:ascii="Palatino Linotype" w:eastAsia="Palatino Linotype" w:hAnsi="Palatino Linotype" w:cs="Palatino Linotype"/>
          <w:b/>
        </w:rPr>
        <w:t>Comisionado Presidente José Martínez Vilchis,</w:t>
      </w:r>
      <w:r w:rsidRPr="00693E0E">
        <w:rPr>
          <w:rFonts w:ascii="Palatino Linotype" w:eastAsia="Palatino Linotype" w:hAnsi="Palatino Linotype" w:cs="Palatino Linotype"/>
        </w:rPr>
        <w:t xml:space="preserve"> para presentar al Pleno los proyectos de resolución correspondientes a efecto de que analizaran sobre su admisión o su </w:t>
      </w:r>
      <w:proofErr w:type="spellStart"/>
      <w:r w:rsidRPr="00693E0E">
        <w:rPr>
          <w:rFonts w:ascii="Palatino Linotype" w:eastAsia="Palatino Linotype" w:hAnsi="Palatino Linotype" w:cs="Palatino Linotype"/>
        </w:rPr>
        <w:t>desechamiento</w:t>
      </w:r>
      <w:proofErr w:type="spellEnd"/>
      <w:r w:rsidRPr="00693E0E">
        <w:rPr>
          <w:rFonts w:ascii="Palatino Linotype" w:eastAsia="Palatino Linotype" w:hAnsi="Palatino Linotype" w:cs="Palatino Linotype"/>
        </w:rPr>
        <w:t>.</w:t>
      </w:r>
    </w:p>
    <w:p w14:paraId="2B747959" w14:textId="77777777" w:rsidR="00BE6FE6" w:rsidRPr="00693E0E" w:rsidRDefault="00BE6FE6">
      <w:pPr>
        <w:spacing w:line="360" w:lineRule="auto"/>
        <w:ind w:right="51"/>
        <w:jc w:val="both"/>
        <w:rPr>
          <w:rFonts w:ascii="Palatino Linotype" w:eastAsia="Palatino Linotype" w:hAnsi="Palatino Linotype" w:cs="Palatino Linotype"/>
        </w:rPr>
      </w:pPr>
    </w:p>
    <w:p w14:paraId="2E600D0C"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6. Admisión de los recursos de revisión.</w:t>
      </w:r>
      <w:r w:rsidRPr="00693E0E">
        <w:rPr>
          <w:rFonts w:ascii="Palatino Linotype" w:eastAsia="Palatino Linotype" w:hAnsi="Palatino Linotype" w:cs="Palatino Linotype"/>
        </w:rPr>
        <w:t xml:space="preserve"> El </w:t>
      </w:r>
      <w:r w:rsidRPr="00693E0E">
        <w:rPr>
          <w:rFonts w:ascii="Palatino Linotype" w:eastAsia="Palatino Linotype" w:hAnsi="Palatino Linotype" w:cs="Palatino Linotype"/>
          <w:b/>
        </w:rPr>
        <w:t>tres, cuatro y ocho de noviembre de dos mil veintidós e</w:t>
      </w:r>
      <w:r w:rsidRPr="00693E0E">
        <w:rPr>
          <w:rFonts w:ascii="Palatino Linotype" w:eastAsia="Palatino Linotype" w:hAnsi="Palatino Linotype" w:cs="Palatino Linotype"/>
        </w:rPr>
        <w:t xml:space="preserve">ste Instituto de Transparencia, con fundamento en el artículo 185 fracción II, admitió a trámite los recursos de revisión que ahora se resuelven, dando un plazo máximo de siete días hábiles para que las partes manifestaran lo que a su derecho resultara conveniente, ofrecieran pruebas, formularan alegatos y </w:t>
      </w:r>
      <w:r w:rsidRPr="00693E0E">
        <w:rPr>
          <w:rFonts w:ascii="Palatino Linotype" w:eastAsia="Palatino Linotype" w:hAnsi="Palatino Linotype" w:cs="Palatino Linotype"/>
          <w:b/>
        </w:rPr>
        <w:t xml:space="preserve">EL SUJETO OBLIGADO </w:t>
      </w:r>
      <w:r w:rsidRPr="00693E0E">
        <w:rPr>
          <w:rFonts w:ascii="Palatino Linotype" w:eastAsia="Palatino Linotype" w:hAnsi="Palatino Linotype" w:cs="Palatino Linotype"/>
        </w:rPr>
        <w:t>presentara su Informe Justificado.</w:t>
      </w:r>
    </w:p>
    <w:p w14:paraId="35E1444D" w14:textId="77777777" w:rsidR="00BE6FE6" w:rsidRPr="00693E0E" w:rsidRDefault="00BE6FE6">
      <w:pPr>
        <w:spacing w:line="360" w:lineRule="auto"/>
        <w:jc w:val="both"/>
        <w:rPr>
          <w:rFonts w:ascii="Palatino Linotype" w:eastAsia="Palatino Linotype" w:hAnsi="Palatino Linotype" w:cs="Palatino Linotype"/>
        </w:rPr>
      </w:pPr>
    </w:p>
    <w:p w14:paraId="1E0607A1" w14:textId="77777777" w:rsidR="00BE6FE6" w:rsidRPr="00693E0E" w:rsidRDefault="00297D70">
      <w:pPr>
        <w:spacing w:line="360" w:lineRule="auto"/>
        <w:jc w:val="both"/>
        <w:rPr>
          <w:rFonts w:ascii="Palatino Linotype" w:eastAsia="Palatino Linotype" w:hAnsi="Palatino Linotype" w:cs="Palatino Linotype"/>
        </w:rPr>
      </w:pPr>
      <w:bookmarkStart w:id="3" w:name="_heading=h.2s8eyo1" w:colFirst="0" w:colLast="0"/>
      <w:bookmarkEnd w:id="3"/>
      <w:r w:rsidRPr="00693E0E">
        <w:rPr>
          <w:rFonts w:ascii="Palatino Linotype" w:eastAsia="Palatino Linotype" w:hAnsi="Palatino Linotype" w:cs="Palatino Linotype"/>
          <w:b/>
        </w:rPr>
        <w:t xml:space="preserve">7. Acumulación. </w:t>
      </w:r>
      <w:r w:rsidRPr="00693E0E">
        <w:rPr>
          <w:rFonts w:ascii="Palatino Linotype" w:eastAsia="Palatino Linotype" w:hAnsi="Palatino Linotype" w:cs="Palatino Linotype"/>
        </w:rPr>
        <w:t xml:space="preserve">El Pleno del </w:t>
      </w:r>
      <w:proofErr w:type="spellStart"/>
      <w:r w:rsidRPr="00693E0E">
        <w:rPr>
          <w:rFonts w:ascii="Palatino Linotype" w:eastAsia="Palatino Linotype" w:hAnsi="Palatino Linotype" w:cs="Palatino Linotype"/>
        </w:rPr>
        <w:t>Infoem</w:t>
      </w:r>
      <w:proofErr w:type="spellEnd"/>
      <w:r w:rsidRPr="00693E0E">
        <w:rPr>
          <w:rFonts w:ascii="Palatino Linotype" w:eastAsia="Palatino Linotype" w:hAnsi="Palatino Linotype" w:cs="Palatino Linotype"/>
        </w:rPr>
        <w:t xml:space="preserve">, en la </w:t>
      </w:r>
      <w:r w:rsidRPr="00693E0E">
        <w:rPr>
          <w:rFonts w:ascii="Palatino Linotype" w:eastAsia="Palatino Linotype" w:hAnsi="Palatino Linotype" w:cs="Palatino Linotype"/>
          <w:b/>
        </w:rPr>
        <w:t>Cuadragésima Primera Sesión Ordinaria</w:t>
      </w:r>
      <w:r w:rsidRPr="00693E0E">
        <w:rPr>
          <w:rFonts w:ascii="Palatino Linotype" w:eastAsia="Palatino Linotype" w:hAnsi="Palatino Linotype" w:cs="Palatino Linotype"/>
        </w:rPr>
        <w:t xml:space="preserve"> celebrada el </w:t>
      </w:r>
      <w:r w:rsidRPr="00693E0E">
        <w:rPr>
          <w:rFonts w:ascii="Palatino Linotype" w:eastAsia="Palatino Linotype" w:hAnsi="Palatino Linotype" w:cs="Palatino Linotype"/>
          <w:b/>
        </w:rPr>
        <w:t>dieciséis de noviembre de dos mil veintidós</w:t>
      </w:r>
      <w:r w:rsidRPr="00693E0E">
        <w:rPr>
          <w:rFonts w:ascii="Palatino Linotype" w:eastAsia="Palatino Linotype" w:hAnsi="Palatino Linotype" w:cs="Palatino Linotype"/>
        </w:rPr>
        <w:t xml:space="preserve">, al advertir la conexidad causa y con la finalidad de evitar que se dicten resoluciones contradictorias, de conformidad con los artículos 195 de la Ley de Transparencia y Acceso a la Información Pública del Estado de México y Municipios y el artículo 18 del Código de Procedimientos Administrativos del Estado de México, acordó la acumulación de los recursos antes señalados, resultando como Ponente la </w:t>
      </w:r>
      <w:r w:rsidRPr="00693E0E">
        <w:rPr>
          <w:rFonts w:ascii="Palatino Linotype" w:eastAsia="Palatino Linotype" w:hAnsi="Palatino Linotype" w:cs="Palatino Linotype"/>
          <w:b/>
        </w:rPr>
        <w:t>Comisionada</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Guadalupe Ramírez Peña</w:t>
      </w:r>
      <w:r w:rsidR="00EF34DD" w:rsidRPr="00693E0E">
        <w:rPr>
          <w:rFonts w:ascii="Palatino Linotype" w:eastAsia="Palatino Linotype" w:hAnsi="Palatino Linotype" w:cs="Palatino Linotype"/>
        </w:rPr>
        <w:t xml:space="preserve">; acumulación que mediante acuerdo se notificó a las partes. </w:t>
      </w:r>
    </w:p>
    <w:p w14:paraId="685F742B" w14:textId="77777777" w:rsidR="00BE6FE6" w:rsidRPr="00693E0E" w:rsidRDefault="00BE6FE6">
      <w:pPr>
        <w:spacing w:line="360" w:lineRule="auto"/>
        <w:ind w:right="49"/>
        <w:jc w:val="both"/>
        <w:rPr>
          <w:rFonts w:ascii="Palatino Linotype" w:eastAsia="Palatino Linotype" w:hAnsi="Palatino Linotype" w:cs="Palatino Linotype"/>
          <w:b/>
        </w:rPr>
      </w:pPr>
    </w:p>
    <w:p w14:paraId="30F876CE" w14:textId="77777777" w:rsidR="00BE6FE6" w:rsidRPr="00693E0E" w:rsidRDefault="00297D70">
      <w:pPr>
        <w:spacing w:line="360" w:lineRule="auto"/>
        <w:ind w:right="49"/>
        <w:jc w:val="both"/>
        <w:rPr>
          <w:rFonts w:ascii="Palatino Linotype" w:eastAsia="Palatino Linotype" w:hAnsi="Palatino Linotype" w:cs="Palatino Linotype"/>
        </w:rPr>
      </w:pPr>
      <w:r w:rsidRPr="00693E0E">
        <w:rPr>
          <w:rFonts w:ascii="Palatino Linotype" w:eastAsia="Palatino Linotype" w:hAnsi="Palatino Linotype" w:cs="Palatino Linotype"/>
          <w:b/>
        </w:rPr>
        <w:lastRenderedPageBreak/>
        <w:t>8. Manifestaciones</w:t>
      </w:r>
      <w:r w:rsidRPr="00693E0E">
        <w:rPr>
          <w:rFonts w:ascii="Palatino Linotype" w:eastAsia="Palatino Linotype" w:hAnsi="Palatino Linotype" w:cs="Palatino Linotype"/>
        </w:rPr>
        <w:t xml:space="preserve">. De las constancias que integran el expediente electrónico en que se actúa, se advierte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y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omitieron realizar alguna manifestación en la Etapa de Instrucción, tal y como se hace constar: </w:t>
      </w:r>
    </w:p>
    <w:p w14:paraId="46F286DD" w14:textId="77777777" w:rsidR="00BE6FE6" w:rsidRPr="00693E0E" w:rsidRDefault="00297D70">
      <w:pPr>
        <w:spacing w:line="360" w:lineRule="auto"/>
        <w:ind w:right="49"/>
        <w:jc w:val="center"/>
        <w:rPr>
          <w:rFonts w:ascii="Palatino Linotype" w:eastAsia="Palatino Linotype" w:hAnsi="Palatino Linotype" w:cs="Palatino Linotype"/>
        </w:rPr>
      </w:pPr>
      <w:r w:rsidRPr="00693E0E">
        <w:rPr>
          <w:noProof/>
        </w:rPr>
        <w:drawing>
          <wp:inline distT="0" distB="0" distL="0" distR="0" wp14:anchorId="4452CF44" wp14:editId="37E62D6F">
            <wp:extent cx="4229757" cy="1009195"/>
            <wp:effectExtent l="0" t="0" r="0" 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576" t="36424" r="13662" b="30588"/>
                    <a:stretch>
                      <a:fillRect/>
                    </a:stretch>
                  </pic:blipFill>
                  <pic:spPr>
                    <a:xfrm>
                      <a:off x="0" y="0"/>
                      <a:ext cx="4229757" cy="1009195"/>
                    </a:xfrm>
                    <a:prstGeom prst="rect">
                      <a:avLst/>
                    </a:prstGeom>
                    <a:ln/>
                  </pic:spPr>
                </pic:pic>
              </a:graphicData>
            </a:graphic>
          </wp:inline>
        </w:drawing>
      </w:r>
    </w:p>
    <w:p w14:paraId="612CB7CE" w14:textId="77777777" w:rsidR="00BE6FE6" w:rsidRPr="00693E0E" w:rsidRDefault="00297D70">
      <w:pPr>
        <w:spacing w:line="360" w:lineRule="auto"/>
        <w:ind w:right="49"/>
        <w:jc w:val="center"/>
        <w:rPr>
          <w:rFonts w:ascii="Palatino Linotype" w:eastAsia="Palatino Linotype" w:hAnsi="Palatino Linotype" w:cs="Palatino Linotype"/>
        </w:rPr>
      </w:pPr>
      <w:r w:rsidRPr="00693E0E">
        <w:rPr>
          <w:noProof/>
        </w:rPr>
        <w:drawing>
          <wp:inline distT="0" distB="0" distL="0" distR="0" wp14:anchorId="1469CAFA" wp14:editId="399C8F85">
            <wp:extent cx="4335464" cy="1052806"/>
            <wp:effectExtent l="0" t="0" r="0" b="0"/>
            <wp:docPr id="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1344" t="36256" r="8901" b="29310"/>
                    <a:stretch>
                      <a:fillRect/>
                    </a:stretch>
                  </pic:blipFill>
                  <pic:spPr>
                    <a:xfrm>
                      <a:off x="0" y="0"/>
                      <a:ext cx="4335464" cy="1052806"/>
                    </a:xfrm>
                    <a:prstGeom prst="rect">
                      <a:avLst/>
                    </a:prstGeom>
                    <a:ln/>
                  </pic:spPr>
                </pic:pic>
              </a:graphicData>
            </a:graphic>
          </wp:inline>
        </w:drawing>
      </w:r>
    </w:p>
    <w:p w14:paraId="0B944CC8" w14:textId="77777777" w:rsidR="00BE6FE6" w:rsidRPr="00693E0E" w:rsidRDefault="00297D70">
      <w:pPr>
        <w:spacing w:line="360" w:lineRule="auto"/>
        <w:ind w:right="49"/>
        <w:jc w:val="center"/>
        <w:rPr>
          <w:rFonts w:ascii="Palatino Linotype" w:eastAsia="Palatino Linotype" w:hAnsi="Palatino Linotype" w:cs="Palatino Linotype"/>
        </w:rPr>
      </w:pPr>
      <w:r w:rsidRPr="00693E0E">
        <w:rPr>
          <w:noProof/>
        </w:rPr>
        <w:drawing>
          <wp:inline distT="0" distB="0" distL="0" distR="0" wp14:anchorId="463AABB8" wp14:editId="53DA99D8">
            <wp:extent cx="4472913" cy="1067129"/>
            <wp:effectExtent l="0" t="0" r="0" b="0"/>
            <wp:docPr id="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5118" t="40446" r="15264" b="30025"/>
                    <a:stretch>
                      <a:fillRect/>
                    </a:stretch>
                  </pic:blipFill>
                  <pic:spPr>
                    <a:xfrm>
                      <a:off x="0" y="0"/>
                      <a:ext cx="4472913" cy="1067129"/>
                    </a:xfrm>
                    <a:prstGeom prst="rect">
                      <a:avLst/>
                    </a:prstGeom>
                    <a:ln/>
                  </pic:spPr>
                </pic:pic>
              </a:graphicData>
            </a:graphic>
          </wp:inline>
        </w:drawing>
      </w:r>
    </w:p>
    <w:p w14:paraId="53523A32" w14:textId="77777777" w:rsidR="00BE6FE6" w:rsidRPr="00693E0E" w:rsidRDefault="00297D70">
      <w:pPr>
        <w:widowControl w:val="0"/>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9. Ampliación del plazo para emitir resolución.</w:t>
      </w:r>
      <w:r w:rsidRPr="00693E0E">
        <w:rPr>
          <w:rFonts w:ascii="Palatino Linotype" w:eastAsia="Palatino Linotype" w:hAnsi="Palatino Linotype" w:cs="Palatino Linotype"/>
        </w:rPr>
        <w:t xml:space="preserve"> El pasado </w:t>
      </w:r>
      <w:r w:rsidRPr="00693E0E">
        <w:rPr>
          <w:rFonts w:ascii="Palatino Linotype" w:eastAsia="Palatino Linotype" w:hAnsi="Palatino Linotype" w:cs="Palatino Linotype"/>
          <w:b/>
        </w:rPr>
        <w:t>veintiocho de marzo de dos mil veintitrés,</w:t>
      </w:r>
      <w:r w:rsidRPr="00693E0E">
        <w:rPr>
          <w:rFonts w:ascii="Palatino Linotype" w:eastAsia="Palatino Linotype" w:hAnsi="Palatino Linotype" w:cs="Palatino Linotype"/>
        </w:rPr>
        <w:t xml:space="preserve"> este Instituto con fundamento en el artículo 181, párrafo tercero, de la LTAIPEMM, determinó ampliar el plazo para emitir la presente resolución. </w:t>
      </w:r>
    </w:p>
    <w:p w14:paraId="148F6A15" w14:textId="77777777" w:rsidR="00BE6FE6" w:rsidRPr="00693E0E" w:rsidRDefault="00BE6FE6">
      <w:pPr>
        <w:widowControl w:val="0"/>
        <w:spacing w:line="360" w:lineRule="auto"/>
        <w:jc w:val="both"/>
        <w:rPr>
          <w:rFonts w:ascii="Palatino Linotype" w:eastAsia="Palatino Linotype" w:hAnsi="Palatino Linotype" w:cs="Palatino Linotype"/>
        </w:rPr>
      </w:pPr>
    </w:p>
    <w:p w14:paraId="5CE559E8"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w:t>
      </w:r>
      <w:r w:rsidRPr="00693E0E">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65B6EE8C" w14:textId="77777777" w:rsidR="00BE6FE6" w:rsidRPr="00693E0E" w:rsidRDefault="00BE6FE6">
      <w:pPr>
        <w:spacing w:line="360" w:lineRule="auto"/>
        <w:jc w:val="both"/>
        <w:rPr>
          <w:rFonts w:ascii="Palatino Linotype" w:eastAsia="Palatino Linotype" w:hAnsi="Palatino Linotype" w:cs="Palatino Linotype"/>
        </w:rPr>
      </w:pPr>
    </w:p>
    <w:p w14:paraId="35EA65D3"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C5117E1" w14:textId="77777777" w:rsidR="00BE6FE6" w:rsidRPr="00693E0E" w:rsidRDefault="00BE6FE6">
      <w:pPr>
        <w:spacing w:line="360" w:lineRule="auto"/>
        <w:jc w:val="both"/>
        <w:rPr>
          <w:rFonts w:ascii="Palatino Linotype" w:eastAsia="Palatino Linotype" w:hAnsi="Palatino Linotype" w:cs="Palatino Linotype"/>
        </w:rPr>
      </w:pPr>
    </w:p>
    <w:p w14:paraId="4E0E16D6"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8EF293" w14:textId="77777777" w:rsidR="00BE6FE6" w:rsidRPr="00693E0E" w:rsidRDefault="00BE6FE6">
      <w:pPr>
        <w:spacing w:line="360" w:lineRule="auto"/>
        <w:jc w:val="both"/>
        <w:rPr>
          <w:rFonts w:ascii="Palatino Linotype" w:eastAsia="Palatino Linotype" w:hAnsi="Palatino Linotype" w:cs="Palatino Linotype"/>
        </w:rPr>
      </w:pPr>
    </w:p>
    <w:p w14:paraId="3FFCBB48"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A996BD" w14:textId="77777777" w:rsidR="00BE6FE6" w:rsidRPr="00693E0E" w:rsidRDefault="00BE6FE6">
      <w:pPr>
        <w:spacing w:line="360" w:lineRule="auto"/>
        <w:jc w:val="both"/>
        <w:rPr>
          <w:rFonts w:ascii="Palatino Linotype" w:eastAsia="Palatino Linotype" w:hAnsi="Palatino Linotype" w:cs="Palatino Linotype"/>
        </w:rPr>
      </w:pPr>
    </w:p>
    <w:p w14:paraId="4E08CBD7"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280E89F" w14:textId="77777777" w:rsidR="00BE6FE6" w:rsidRPr="00693E0E" w:rsidRDefault="00BE6FE6">
      <w:pPr>
        <w:spacing w:line="360" w:lineRule="auto"/>
        <w:jc w:val="both"/>
        <w:rPr>
          <w:rFonts w:ascii="Palatino Linotype" w:eastAsia="Palatino Linotype" w:hAnsi="Palatino Linotype" w:cs="Palatino Linotype"/>
          <w:strike/>
        </w:rPr>
      </w:pPr>
    </w:p>
    <w:p w14:paraId="6668FCB8" w14:textId="77777777" w:rsidR="00BE6FE6" w:rsidRPr="00693E0E" w:rsidRDefault="00297D70">
      <w:pPr>
        <w:numPr>
          <w:ilvl w:val="0"/>
          <w:numId w:val="6"/>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Complejidad del Asunto: </w:t>
      </w:r>
      <w:r w:rsidRPr="00693E0E">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64B3FA54" w14:textId="77777777" w:rsidR="00BE6FE6" w:rsidRPr="00693E0E" w:rsidRDefault="00297D70">
      <w:pPr>
        <w:numPr>
          <w:ilvl w:val="0"/>
          <w:numId w:val="6"/>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Actividad Procesal del interesado:</w:t>
      </w:r>
      <w:r w:rsidRPr="00693E0E">
        <w:rPr>
          <w:rFonts w:ascii="Palatino Linotype" w:eastAsia="Palatino Linotype" w:hAnsi="Palatino Linotype" w:cs="Palatino Linotype"/>
        </w:rPr>
        <w:t xml:space="preserve"> Acciones u omisiones del interesado.</w:t>
      </w:r>
    </w:p>
    <w:p w14:paraId="67976066" w14:textId="77777777" w:rsidR="00BE6FE6" w:rsidRPr="00693E0E" w:rsidRDefault="00297D70">
      <w:pPr>
        <w:numPr>
          <w:ilvl w:val="0"/>
          <w:numId w:val="6"/>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Conducta de la Autoridad:</w:t>
      </w:r>
      <w:r w:rsidRPr="00693E0E">
        <w:rPr>
          <w:rFonts w:ascii="Palatino Linotype" w:eastAsia="Palatino Linotype" w:hAnsi="Palatino Linotype" w:cs="Palatino Linotype"/>
        </w:rPr>
        <w:t xml:space="preserve"> Las Acciones u omisiones realizadas en el procedimiento. Así como si la autoridad actuó con la debida diligencia.</w:t>
      </w:r>
    </w:p>
    <w:p w14:paraId="355A1ADF" w14:textId="77777777" w:rsidR="00BE6FE6" w:rsidRPr="00693E0E" w:rsidRDefault="00297D70">
      <w:pPr>
        <w:spacing w:line="360" w:lineRule="auto"/>
        <w:ind w:left="567"/>
        <w:jc w:val="both"/>
        <w:rPr>
          <w:rFonts w:ascii="Palatino Linotype" w:eastAsia="Palatino Linotype" w:hAnsi="Palatino Linotype" w:cs="Palatino Linotype"/>
        </w:rPr>
      </w:pPr>
      <w:r w:rsidRPr="00693E0E">
        <w:rPr>
          <w:rFonts w:ascii="Palatino Linotype" w:eastAsia="Palatino Linotype" w:hAnsi="Palatino Linotype" w:cs="Palatino Linotype"/>
          <w:b/>
        </w:rPr>
        <w:t>d) La afectación generada en la situación jurídica de la persona involucrada en el proceso:</w:t>
      </w:r>
      <w:r w:rsidRPr="00693E0E">
        <w:rPr>
          <w:rFonts w:ascii="Palatino Linotype" w:eastAsia="Palatino Linotype" w:hAnsi="Palatino Linotype" w:cs="Palatino Linotype"/>
        </w:rPr>
        <w:t xml:space="preserve"> Violación a sus derechos humanos.</w:t>
      </w:r>
    </w:p>
    <w:p w14:paraId="5CC5B37A" w14:textId="77777777" w:rsidR="00BE6FE6" w:rsidRPr="00693E0E" w:rsidRDefault="00BE6FE6">
      <w:pPr>
        <w:spacing w:line="360" w:lineRule="auto"/>
        <w:ind w:left="567"/>
        <w:jc w:val="both"/>
        <w:rPr>
          <w:rFonts w:ascii="Palatino Linotype" w:eastAsia="Palatino Linotype" w:hAnsi="Palatino Linotype" w:cs="Palatino Linotype"/>
        </w:rPr>
      </w:pPr>
    </w:p>
    <w:p w14:paraId="278340B0"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5572F5"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Argumento que encuentra sustento en la jurisprudencia P</w:t>
      </w:r>
      <w:proofErr w:type="gramStart"/>
      <w:r w:rsidRPr="00693E0E">
        <w:rPr>
          <w:rFonts w:ascii="Palatino Linotype" w:eastAsia="Palatino Linotype" w:hAnsi="Palatino Linotype" w:cs="Palatino Linotype"/>
        </w:rPr>
        <w:t>./</w:t>
      </w:r>
      <w:proofErr w:type="gramEnd"/>
      <w:r w:rsidRPr="00693E0E">
        <w:rPr>
          <w:rFonts w:ascii="Palatino Linotype" w:eastAsia="Palatino Linotype" w:hAnsi="Palatino Linotype" w:cs="Palatino Linotype"/>
        </w:rPr>
        <w:t xml:space="preserve">J. 32/92 emitida por el Pleno de la Suprema Corte de Justicia de la Nación de rubro </w:t>
      </w:r>
      <w:r w:rsidRPr="00693E0E">
        <w:rPr>
          <w:rFonts w:ascii="Palatino Linotype" w:eastAsia="Palatino Linotype" w:hAnsi="Palatino Linotype" w:cs="Palatino Linotype"/>
          <w:b/>
          <w:i/>
        </w:rPr>
        <w:t xml:space="preserve">“TÉRMINOS PROCESALES. PARA DETERMINAR SI UN FUNCIONARIO JUDICIAL ACTUÓ INDEBIDAMENTE POR NO RESPETARLOS SE DEBE ATENDER AL </w:t>
      </w:r>
      <w:r w:rsidRPr="00693E0E">
        <w:rPr>
          <w:rFonts w:ascii="Palatino Linotype" w:eastAsia="Palatino Linotype" w:hAnsi="Palatino Linotype" w:cs="Palatino Linotype"/>
          <w:b/>
          <w:i/>
        </w:rPr>
        <w:lastRenderedPageBreak/>
        <w:t>PRESUPUESTO QUE CONSIDERÓ EL LEGISLADOR AL FIJARLOS Y LAS CARACTERÍSTICAS DEL CASO.”</w:t>
      </w:r>
      <w:r w:rsidRPr="00693E0E">
        <w:rPr>
          <w:rFonts w:ascii="Palatino Linotype" w:eastAsia="Palatino Linotype" w:hAnsi="Palatino Linotype" w:cs="Palatino Linotype"/>
          <w:b/>
        </w:rPr>
        <w:t>,</w:t>
      </w:r>
      <w:r w:rsidRPr="00693E0E">
        <w:rPr>
          <w:rFonts w:ascii="Palatino Linotype" w:eastAsia="Palatino Linotype" w:hAnsi="Palatino Linotype" w:cs="Palatino Linotype"/>
        </w:rPr>
        <w:t xml:space="preserve"> visible en la Gaceta del Seminario Judicial de la Federación con el registro digital 205635.</w:t>
      </w:r>
    </w:p>
    <w:p w14:paraId="762804BB" w14:textId="77777777" w:rsidR="00BE6FE6" w:rsidRPr="00693E0E" w:rsidRDefault="00BE6FE6">
      <w:pPr>
        <w:spacing w:line="360" w:lineRule="auto"/>
        <w:jc w:val="both"/>
        <w:rPr>
          <w:rFonts w:ascii="Palatino Linotype" w:eastAsia="Palatino Linotype" w:hAnsi="Palatino Linotype" w:cs="Palatino Linotype"/>
          <w:b/>
        </w:rPr>
      </w:pPr>
    </w:p>
    <w:p w14:paraId="784A7124"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E371FB" w14:textId="77777777" w:rsidR="00BE6FE6" w:rsidRPr="00693E0E" w:rsidRDefault="00BE6FE6">
      <w:pPr>
        <w:spacing w:line="360" w:lineRule="auto"/>
        <w:jc w:val="both"/>
        <w:rPr>
          <w:rFonts w:ascii="Palatino Linotype" w:eastAsia="Palatino Linotype" w:hAnsi="Palatino Linotype" w:cs="Palatino Linotype"/>
        </w:rPr>
      </w:pPr>
    </w:p>
    <w:p w14:paraId="6298866B"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69A7B7" w14:textId="77777777" w:rsidR="00BE6FE6" w:rsidRPr="00693E0E" w:rsidRDefault="00BE6FE6">
      <w:pPr>
        <w:spacing w:line="360" w:lineRule="auto"/>
        <w:jc w:val="both"/>
        <w:rPr>
          <w:rFonts w:ascii="Palatino Linotype" w:eastAsia="Palatino Linotype" w:hAnsi="Palatino Linotype" w:cs="Palatino Linotype"/>
        </w:rPr>
      </w:pPr>
    </w:p>
    <w:p w14:paraId="4053E016"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i/>
        </w:rPr>
        <w:t>“PLAZO RAZONABLE PARA RESOLVER. DIMENSIÓN Y EFECTOS DE ESTE CONCEPTO CUANDO SE ADUCE EXCESIVA CARGA DE TRABAJO.”</w:t>
      </w:r>
      <w:r w:rsidRPr="00693E0E">
        <w:rPr>
          <w:rFonts w:ascii="Palatino Linotype" w:eastAsia="Palatino Linotype" w:hAnsi="Palatino Linotype" w:cs="Palatino Linotype"/>
        </w:rPr>
        <w:t xml:space="preserve"> consultable en el Seminario Judicial de la Federación y su gaceta, con el registro digital 2002351.</w:t>
      </w:r>
    </w:p>
    <w:p w14:paraId="6CC88634" w14:textId="77777777" w:rsidR="00BE6FE6" w:rsidRPr="00693E0E" w:rsidRDefault="00BE6FE6">
      <w:pPr>
        <w:spacing w:line="360" w:lineRule="auto"/>
        <w:jc w:val="both"/>
        <w:rPr>
          <w:rFonts w:ascii="Palatino Linotype" w:eastAsia="Palatino Linotype" w:hAnsi="Palatino Linotype" w:cs="Palatino Linotype"/>
        </w:rPr>
      </w:pPr>
    </w:p>
    <w:p w14:paraId="63D16D67"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i/>
        </w:rPr>
        <w:t>“PLAZO RAZONABLE PARA RESOLVER. CONCEPTO Y ELEMENTOS QUE LO INTEGRAN A LA LUZ DEL DERECHO INTERNACIONAL DE LOS DERECHOS HUMANOS.”</w:t>
      </w:r>
      <w:r w:rsidRPr="00693E0E">
        <w:rPr>
          <w:rFonts w:ascii="Palatino Linotype" w:eastAsia="Palatino Linotype" w:hAnsi="Palatino Linotype" w:cs="Palatino Linotype"/>
          <w:b/>
        </w:rPr>
        <w:t>,</w:t>
      </w:r>
      <w:r w:rsidRPr="00693E0E">
        <w:rPr>
          <w:rFonts w:ascii="Palatino Linotype" w:eastAsia="Palatino Linotype" w:hAnsi="Palatino Linotype" w:cs="Palatino Linotype"/>
        </w:rPr>
        <w:t xml:space="preserve"> visible en el Seminario Judicial de la Federación y su gaceta, con el registro digital 2002350.</w:t>
      </w:r>
    </w:p>
    <w:p w14:paraId="745EF3A3" w14:textId="77777777" w:rsidR="00BE6FE6" w:rsidRPr="00693E0E" w:rsidRDefault="00BE6FE6">
      <w:pPr>
        <w:spacing w:line="360" w:lineRule="auto"/>
        <w:jc w:val="both"/>
        <w:rPr>
          <w:rFonts w:ascii="Palatino Linotype" w:eastAsia="Palatino Linotype" w:hAnsi="Palatino Linotype" w:cs="Palatino Linotype"/>
        </w:rPr>
      </w:pPr>
    </w:p>
    <w:p w14:paraId="79B5B1A4"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A6CE37A" w14:textId="77777777" w:rsidR="00BE6FE6" w:rsidRPr="00693E0E" w:rsidRDefault="00BE6FE6">
      <w:pPr>
        <w:widowControl w:val="0"/>
        <w:spacing w:line="360" w:lineRule="auto"/>
        <w:jc w:val="both"/>
        <w:rPr>
          <w:rFonts w:ascii="Palatino Linotype" w:eastAsia="Palatino Linotype" w:hAnsi="Palatino Linotype" w:cs="Palatino Linotype"/>
        </w:rPr>
      </w:pPr>
    </w:p>
    <w:p w14:paraId="4E5FA5BF"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10. Cierre de instrucción. </w:t>
      </w:r>
      <w:r w:rsidRPr="00693E0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93E0E">
        <w:rPr>
          <w:rFonts w:ascii="Palatino Linotype" w:eastAsia="Palatino Linotype" w:hAnsi="Palatino Linotype" w:cs="Palatino Linotype"/>
          <w:b/>
        </w:rPr>
        <w:t>veintiocho de marzo de dos mil veintitrés</w:t>
      </w:r>
      <w:r w:rsidRPr="00693E0E">
        <w:rPr>
          <w:rFonts w:ascii="Palatino Linotype" w:eastAsia="Palatino Linotype" w:hAnsi="Palatino Linotype" w:cs="Palatino Linotype"/>
        </w:rPr>
        <w:t xml:space="preserve">, la </w:t>
      </w:r>
      <w:r w:rsidRPr="00693E0E">
        <w:rPr>
          <w:rFonts w:ascii="Palatino Linotype" w:eastAsia="Palatino Linotype" w:hAnsi="Palatino Linotype" w:cs="Palatino Linotype"/>
          <w:b/>
        </w:rPr>
        <w:t>Comisionada Ponente</w:t>
      </w:r>
      <w:r w:rsidRPr="00693E0E">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66675D7" w14:textId="77777777" w:rsidR="00BE6FE6" w:rsidRPr="00693E0E" w:rsidRDefault="00BE6FE6">
      <w:pPr>
        <w:spacing w:line="360" w:lineRule="auto"/>
        <w:jc w:val="both"/>
        <w:rPr>
          <w:rFonts w:ascii="Palatino Linotype" w:eastAsia="Palatino Linotype" w:hAnsi="Palatino Linotype" w:cs="Palatino Linotype"/>
        </w:rPr>
      </w:pPr>
    </w:p>
    <w:p w14:paraId="63C390B2"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6092E377" w14:textId="77777777" w:rsidR="00BE6FE6" w:rsidRPr="00693E0E" w:rsidRDefault="00297D70">
      <w:pPr>
        <w:widowControl w:val="0"/>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693E0E">
        <w:rPr>
          <w:rFonts w:ascii="Palatino Linotype" w:eastAsia="Palatino Linotype" w:hAnsi="Palatino Linotype" w:cs="Palatino Linotype"/>
          <w:b/>
        </w:rPr>
        <w:t xml:space="preserve">C O N S I D E R A N D O </w:t>
      </w:r>
    </w:p>
    <w:p w14:paraId="7E2D2E29" w14:textId="77777777" w:rsidR="00BE6FE6" w:rsidRPr="00693E0E" w:rsidRDefault="00BE6FE6">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2650C43F"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lastRenderedPageBreak/>
        <w:t>PRIMERO. Competencia.</w:t>
      </w:r>
      <w:r w:rsidRPr="00693E0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0385675A" w14:textId="77777777" w:rsidR="00BE6FE6" w:rsidRPr="00693E0E" w:rsidRDefault="00BE6FE6">
      <w:pPr>
        <w:spacing w:line="360" w:lineRule="auto"/>
        <w:jc w:val="both"/>
        <w:rPr>
          <w:rFonts w:ascii="Palatino Linotype" w:eastAsia="Palatino Linotype" w:hAnsi="Palatino Linotype" w:cs="Palatino Linotype"/>
        </w:rPr>
      </w:pPr>
    </w:p>
    <w:p w14:paraId="2FDA9F98"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SEGUNDO. Oportunidad y </w:t>
      </w:r>
      <w:proofErr w:type="spellStart"/>
      <w:r w:rsidRPr="00693E0E">
        <w:rPr>
          <w:rFonts w:ascii="Palatino Linotype" w:eastAsia="Palatino Linotype" w:hAnsi="Palatino Linotype" w:cs="Palatino Linotype"/>
          <w:b/>
        </w:rPr>
        <w:t>Procedibilidad</w:t>
      </w:r>
      <w:proofErr w:type="spellEnd"/>
      <w:r w:rsidRPr="00693E0E">
        <w:rPr>
          <w:rFonts w:ascii="Palatino Linotype" w:eastAsia="Palatino Linotype" w:hAnsi="Palatino Linotype" w:cs="Palatino Linotype"/>
          <w:b/>
        </w:rPr>
        <w:t xml:space="preserve"> del Recurso de Revisión</w:t>
      </w:r>
      <w:r w:rsidRPr="00693E0E">
        <w:rPr>
          <w:rFonts w:ascii="Palatino Linotype" w:eastAsia="Palatino Linotype" w:hAnsi="Palatino Linotype" w:cs="Palatino Linotype"/>
        </w:rPr>
        <w:t xml:space="preserve">. Previo al estudio del fondo del asunto, se procede a analizar los requisitos de oportunidad y </w:t>
      </w:r>
      <w:proofErr w:type="spellStart"/>
      <w:r w:rsidRPr="00693E0E">
        <w:rPr>
          <w:rFonts w:ascii="Palatino Linotype" w:eastAsia="Palatino Linotype" w:hAnsi="Palatino Linotype" w:cs="Palatino Linotype"/>
        </w:rPr>
        <w:t>procedibilidad</w:t>
      </w:r>
      <w:proofErr w:type="spellEnd"/>
      <w:r w:rsidRPr="00693E0E">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1295106" w14:textId="77777777" w:rsidR="00BE6FE6" w:rsidRPr="00693E0E" w:rsidRDefault="00BE6FE6">
      <w:pPr>
        <w:spacing w:line="360" w:lineRule="auto"/>
        <w:jc w:val="both"/>
        <w:rPr>
          <w:rFonts w:ascii="Palatino Linotype" w:eastAsia="Palatino Linotype" w:hAnsi="Palatino Linotype" w:cs="Palatino Linotype"/>
        </w:rPr>
      </w:pPr>
    </w:p>
    <w:p w14:paraId="591645F8" w14:textId="77777777" w:rsidR="0044147F" w:rsidRPr="00693E0E" w:rsidRDefault="0044147F" w:rsidP="0044147F">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SEGUNDO. Oportunidad y </w:t>
      </w:r>
      <w:proofErr w:type="spellStart"/>
      <w:r w:rsidRPr="00693E0E">
        <w:rPr>
          <w:rFonts w:ascii="Palatino Linotype" w:eastAsia="Palatino Linotype" w:hAnsi="Palatino Linotype" w:cs="Palatino Linotype"/>
          <w:b/>
        </w:rPr>
        <w:t>Procedibilidad</w:t>
      </w:r>
      <w:proofErr w:type="spellEnd"/>
      <w:r w:rsidRPr="00693E0E">
        <w:rPr>
          <w:rFonts w:ascii="Palatino Linotype" w:eastAsia="Palatino Linotype" w:hAnsi="Palatino Linotype" w:cs="Palatino Linotype"/>
          <w:b/>
        </w:rPr>
        <w:t xml:space="preserve"> del Recurso de Revisión</w:t>
      </w:r>
      <w:r w:rsidRPr="00693E0E">
        <w:rPr>
          <w:rFonts w:ascii="Palatino Linotype" w:eastAsia="Palatino Linotype" w:hAnsi="Palatino Linotype" w:cs="Palatino Linotype"/>
        </w:rPr>
        <w:t xml:space="preserve">. Previo al estudio del fondo del asunto, se procede a analizar los requisitos de oportunidad y </w:t>
      </w:r>
      <w:proofErr w:type="spellStart"/>
      <w:r w:rsidRPr="00693E0E">
        <w:rPr>
          <w:rFonts w:ascii="Palatino Linotype" w:eastAsia="Palatino Linotype" w:hAnsi="Palatino Linotype" w:cs="Palatino Linotype"/>
        </w:rPr>
        <w:t>procedibilidad</w:t>
      </w:r>
      <w:proofErr w:type="spellEnd"/>
      <w:r w:rsidRPr="00693E0E">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46871F6C" w14:textId="77777777" w:rsidR="0044147F" w:rsidRPr="00693E0E" w:rsidRDefault="0044147F" w:rsidP="0044147F">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toda vez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respondió a las solicitudes de información el </w:t>
      </w:r>
      <w:r w:rsidRPr="00693E0E">
        <w:rPr>
          <w:rFonts w:ascii="Palatino Linotype" w:eastAsia="Palatino Linotype" w:hAnsi="Palatino Linotype" w:cs="Palatino Linotype"/>
          <w:b/>
        </w:rPr>
        <w:t xml:space="preserve">treinta y uno de octubre </w:t>
      </w:r>
      <w:r w:rsidRPr="00693E0E">
        <w:rPr>
          <w:rFonts w:ascii="Palatino Linotype" w:eastAsia="Palatino Linotype" w:hAnsi="Palatino Linotype" w:cs="Palatino Linotype"/>
        </w:rPr>
        <w:t xml:space="preserve">y </w:t>
      </w:r>
      <w:r w:rsidRPr="00693E0E">
        <w:rPr>
          <w:rFonts w:ascii="Palatino Linotype" w:eastAsia="Palatino Linotype" w:hAnsi="Palatino Linotype" w:cs="Palatino Linotype"/>
          <w:b/>
        </w:rPr>
        <w:t xml:space="preserve">primero de noviembre de dos mil veintidós, </w:t>
      </w:r>
      <w:r w:rsidRPr="00693E0E">
        <w:rPr>
          <w:rFonts w:ascii="Palatino Linotype" w:eastAsia="Palatino Linotype" w:hAnsi="Palatino Linotype" w:cs="Palatino Linotype"/>
        </w:rPr>
        <w:t xml:space="preserve">esto es, el mismo día en que se respondió la solicitud y al </w:t>
      </w:r>
      <w:r w:rsidRPr="00693E0E">
        <w:rPr>
          <w:rFonts w:ascii="Palatino Linotype" w:eastAsia="Palatino Linotype" w:hAnsi="Palatino Linotype" w:cs="Palatino Linotype"/>
          <w:b/>
        </w:rPr>
        <w:t>primer</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día hábil</w:t>
      </w:r>
      <w:r w:rsidRPr="00693E0E">
        <w:rPr>
          <w:rFonts w:ascii="Palatino Linotype" w:eastAsia="Palatino Linotype" w:hAnsi="Palatino Linotype" w:cs="Palatino Linotype"/>
        </w:rPr>
        <w:t xml:space="preserve"> posterior en que tuvo conocimiento de la respuesta impugnada.</w:t>
      </w:r>
    </w:p>
    <w:p w14:paraId="48CD5464" w14:textId="77777777" w:rsidR="0044147F" w:rsidRPr="00693E0E" w:rsidRDefault="0044147F" w:rsidP="0044147F">
      <w:pPr>
        <w:spacing w:line="360" w:lineRule="auto"/>
        <w:jc w:val="both"/>
        <w:rPr>
          <w:rFonts w:ascii="Palatino Linotype" w:eastAsia="Palatino Linotype" w:hAnsi="Palatino Linotype" w:cs="Palatino Linotype"/>
        </w:rPr>
      </w:pPr>
    </w:p>
    <w:p w14:paraId="082B5839" w14:textId="77777777" w:rsidR="0044147F" w:rsidRPr="00693E0E" w:rsidRDefault="0044147F" w:rsidP="0044147F">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Asimismo, por cuanto hace a la </w:t>
      </w:r>
      <w:proofErr w:type="spellStart"/>
      <w:r w:rsidRPr="00693E0E">
        <w:rPr>
          <w:rFonts w:ascii="Palatino Linotype" w:eastAsia="Palatino Linotype" w:hAnsi="Palatino Linotype" w:cs="Palatino Linotype"/>
        </w:rPr>
        <w:t>procedibilidad</w:t>
      </w:r>
      <w:proofErr w:type="spellEnd"/>
      <w:r w:rsidRPr="00693E0E">
        <w:rPr>
          <w:rFonts w:ascii="Palatino Linotype" w:eastAsia="Palatino Linotype" w:hAnsi="Palatino Linotype" w:cs="Palatino Linotype"/>
        </w:rPr>
        <w:t xml:space="preserve"> del recurso de revisión, es de suma importancia señalar que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no señaló seudónimo con el cual desea ser identificada, como se advierte en el detalle de seguimiento del SAIMEX, no obstante, </w:t>
      </w:r>
      <w:r w:rsidRPr="00693E0E">
        <w:rPr>
          <w:rFonts w:ascii="Palatino Linotype" w:eastAsia="Palatino Linotype" w:hAnsi="Palatino Linotype" w:cs="Palatino Linotype"/>
          <w:b/>
          <w:u w:val="single"/>
        </w:rPr>
        <w:t>no proporcionar el nombre o seudónimo no es motivo para archivar la solicitud de acceso a la información pública como concluida,</w:t>
      </w:r>
      <w:r w:rsidRPr="00693E0E">
        <w:rPr>
          <w:rFonts w:ascii="Palatino Linotype" w:eastAsia="Palatino Linotype" w:hAnsi="Palatino Linotype" w:cs="Palatino Linotype"/>
        </w:rPr>
        <w:t xml:space="preserve"> conforme a lo previsto en el artículo 155, penúltimo párrafo de la Ley de Transparencia y Acceso a la Información Pública del Estado de México y Municipios que establece lo siguiente:</w:t>
      </w:r>
    </w:p>
    <w:p w14:paraId="01E438A9" w14:textId="77777777" w:rsidR="0044147F" w:rsidRPr="00693E0E" w:rsidRDefault="0044147F" w:rsidP="0044147F">
      <w:pPr>
        <w:pBdr>
          <w:top w:val="nil"/>
          <w:left w:val="nil"/>
          <w:bottom w:val="nil"/>
          <w:right w:val="nil"/>
          <w:between w:val="nil"/>
        </w:pBdr>
        <w:ind w:left="864" w:right="864"/>
        <w:jc w:val="both"/>
        <w:rPr>
          <w:rFonts w:ascii="Palatino Linotype" w:eastAsia="Palatino Linotype" w:hAnsi="Palatino Linotype" w:cs="Palatino Linotype"/>
          <w:i/>
        </w:rPr>
      </w:pPr>
    </w:p>
    <w:p w14:paraId="2B5E567B" w14:textId="77777777" w:rsidR="0044147F" w:rsidRPr="00693E0E" w:rsidRDefault="0044147F" w:rsidP="0044147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Artículo 155. (…)</w:t>
      </w:r>
    </w:p>
    <w:p w14:paraId="5D28712B" w14:textId="77777777" w:rsidR="0044147F" w:rsidRPr="00693E0E" w:rsidRDefault="0044147F" w:rsidP="0044147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38A7036" w14:textId="77777777" w:rsidR="0044147F" w:rsidRPr="00693E0E" w:rsidRDefault="0044147F" w:rsidP="0044147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20FFAF8C" w14:textId="77777777" w:rsidR="0044147F" w:rsidRPr="00693E0E" w:rsidRDefault="0044147F" w:rsidP="0044147F"/>
    <w:p w14:paraId="0BFE3EF1" w14:textId="77777777" w:rsidR="0044147F" w:rsidRPr="00693E0E" w:rsidRDefault="0044147F">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Por ello, se concluye la acreditación plena de los elementos formales precisados por el artículo 180 de la Ley de Transparencia y Acceso a la Información Pública del </w:t>
      </w:r>
      <w:r w:rsidRPr="00693E0E">
        <w:rPr>
          <w:rFonts w:ascii="Palatino Linotype" w:eastAsia="Palatino Linotype" w:hAnsi="Palatino Linotype" w:cs="Palatino Linotype"/>
        </w:rPr>
        <w:lastRenderedPageBreak/>
        <w:t>Estado de México y Municipios, en atención a que fue presentado mediante el formato visible en el SAIMEX.</w:t>
      </w:r>
    </w:p>
    <w:p w14:paraId="33C1560E" w14:textId="77777777" w:rsidR="00BE6FE6" w:rsidRPr="00693E0E" w:rsidRDefault="00BE6FE6">
      <w:pPr>
        <w:spacing w:line="360" w:lineRule="auto"/>
        <w:jc w:val="both"/>
        <w:rPr>
          <w:rFonts w:ascii="Palatino Linotype" w:eastAsia="Palatino Linotype" w:hAnsi="Palatino Linotype" w:cs="Palatino Linotype"/>
        </w:rPr>
      </w:pPr>
    </w:p>
    <w:p w14:paraId="1B0F1AE6"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Finalmente, se advierte que resulta procedente la interposición de los recursos, según lo manifestado por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en todos sus motivos de inconformidad que arguyen en su totalidad a la falta de respuesta del </w:t>
      </w:r>
      <w:r w:rsidRPr="00693E0E">
        <w:rPr>
          <w:rFonts w:ascii="Palatino Linotype" w:eastAsia="Palatino Linotype" w:hAnsi="Palatino Linotype" w:cs="Palatino Linotype"/>
          <w:b/>
        </w:rPr>
        <w:t>SUJETO OBLIGADO,</w:t>
      </w:r>
      <w:r w:rsidR="00F93518" w:rsidRPr="00693E0E">
        <w:rPr>
          <w:rFonts w:ascii="Palatino Linotype" w:eastAsia="Palatino Linotype" w:hAnsi="Palatino Linotype" w:cs="Palatino Linotype"/>
        </w:rPr>
        <w:t xml:space="preserve"> de acuerdo a la fracción I</w:t>
      </w:r>
      <w:r w:rsidRPr="00693E0E">
        <w:rPr>
          <w:rFonts w:ascii="Palatino Linotype" w:eastAsia="Palatino Linotype" w:hAnsi="Palatino Linotype" w:cs="Palatino Linotype"/>
        </w:rPr>
        <w:t>II del ordenamiento legal citado, que a la letra dice: </w:t>
      </w:r>
    </w:p>
    <w:p w14:paraId="2D87ABCB"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8D6541A"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Artículo 179.</w:t>
      </w:r>
      <w:r w:rsidRPr="00693E0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653C9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03D344B5" w14:textId="77777777" w:rsidR="00BE6FE6" w:rsidRPr="00693E0E" w:rsidRDefault="00F9351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III. La declaración de inexistencia de la información; </w:t>
      </w:r>
    </w:p>
    <w:p w14:paraId="5AFF75EB"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155BB1FC" w14:textId="77777777" w:rsidR="00BE6FE6" w:rsidRPr="00693E0E" w:rsidRDefault="00BE6FE6">
      <w:pPr>
        <w:rPr>
          <w:rFonts w:ascii="Palatino Linotype" w:eastAsia="Palatino Linotype" w:hAnsi="Palatino Linotype" w:cs="Palatino Linotype"/>
          <w:sz w:val="22"/>
          <w:szCs w:val="22"/>
        </w:rPr>
      </w:pPr>
    </w:p>
    <w:p w14:paraId="79C7BC74"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TERCERO. Materia de la revisión. </w:t>
      </w:r>
      <w:r w:rsidRPr="00693E0E">
        <w:rPr>
          <w:rFonts w:ascii="Palatino Linotype" w:eastAsia="Palatino Linotype" w:hAnsi="Palatino Linotype" w:cs="Palatino Linotype"/>
        </w:rPr>
        <w:t xml:space="preserve">Este Organismo Garante procede del análisis de los agravios hechos valer por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E9598E9" w14:textId="77777777" w:rsidR="00A2650D" w:rsidRPr="00693E0E" w:rsidRDefault="00A2650D">
      <w:pPr>
        <w:spacing w:line="360" w:lineRule="auto"/>
        <w:jc w:val="both"/>
        <w:rPr>
          <w:rFonts w:ascii="Palatino Linotype" w:eastAsia="Palatino Linotype" w:hAnsi="Palatino Linotype" w:cs="Palatino Linotype"/>
        </w:rPr>
      </w:pPr>
    </w:p>
    <w:p w14:paraId="4C181CB4"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CUARTO. Estudio del asunto. </w:t>
      </w:r>
      <w:r w:rsidRPr="00693E0E">
        <w:rPr>
          <w:rFonts w:ascii="Palatino Linotype" w:eastAsia="Palatino Linotype" w:hAnsi="Palatino Linotype" w:cs="Palatino Linotype"/>
        </w:rPr>
        <w:t xml:space="preserve">Antes de entrar al análisis de los pronunciamientos vertidos por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en su Informe Justificado, es necesario mencionar que el Derecho de Acceso a la Información está consagrado en instrumentos internacionales de los cuales el Estado Mexicano se ha adherido, sin </w:t>
      </w:r>
      <w:r w:rsidRPr="00693E0E">
        <w:rPr>
          <w:rFonts w:ascii="Palatino Linotype" w:eastAsia="Palatino Linotype" w:hAnsi="Palatino Linotype" w:cs="Palatino Linotype"/>
        </w:rPr>
        <w:lastRenderedPageBreak/>
        <w:t>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11FB2F" w14:textId="77777777" w:rsidR="00BE6FE6" w:rsidRPr="00693E0E" w:rsidRDefault="00BE6FE6">
      <w:pPr>
        <w:pBdr>
          <w:top w:val="nil"/>
          <w:left w:val="nil"/>
          <w:bottom w:val="nil"/>
          <w:right w:val="nil"/>
          <w:between w:val="nil"/>
        </w:pBdr>
        <w:spacing w:line="360" w:lineRule="auto"/>
        <w:jc w:val="both"/>
        <w:rPr>
          <w:rFonts w:ascii="Palatino Linotype" w:eastAsia="Palatino Linotype" w:hAnsi="Palatino Linotype" w:cs="Palatino Linotype"/>
        </w:rPr>
      </w:pPr>
    </w:p>
    <w:p w14:paraId="50DE131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93E0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28F2B19" w14:textId="77777777" w:rsidR="00BE6FE6" w:rsidRPr="00693E0E" w:rsidRDefault="00BE6FE6"/>
    <w:p w14:paraId="797564C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7A8FD17" w14:textId="77777777" w:rsidR="00BE6FE6" w:rsidRPr="00693E0E" w:rsidRDefault="00BE6FE6"/>
    <w:p w14:paraId="1902357F"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rPr>
      </w:pPr>
      <w:r w:rsidRPr="00693E0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93E0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4CB105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7D3DE2B1" w14:textId="77777777" w:rsidR="00BE6FE6" w:rsidRPr="00693E0E" w:rsidRDefault="00BE6FE6"/>
    <w:p w14:paraId="4A2E966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rPr>
      </w:pPr>
      <w:r w:rsidRPr="00693E0E">
        <w:rPr>
          <w:rFonts w:ascii="Palatino Linotype" w:eastAsia="Palatino Linotype" w:hAnsi="Palatino Linotype" w:cs="Palatino Linotype"/>
          <w:b/>
          <w:i/>
          <w:sz w:val="22"/>
          <w:szCs w:val="22"/>
        </w:rPr>
        <w:t>Artículo 6o.</w:t>
      </w:r>
    </w:p>
    <w:p w14:paraId="784C37FE"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rPr>
      </w:pPr>
      <w:r w:rsidRPr="00693E0E">
        <w:rPr>
          <w:rFonts w:ascii="Palatino Linotype" w:eastAsia="Palatino Linotype" w:hAnsi="Palatino Linotype" w:cs="Palatino Linotype"/>
          <w:i/>
          <w:sz w:val="22"/>
          <w:szCs w:val="22"/>
        </w:rPr>
        <w:t>[...]</w:t>
      </w:r>
    </w:p>
    <w:p w14:paraId="1F0CF7E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 xml:space="preserve">A. Para el ejercicio del derecho de acceso a la información, la Federación y </w:t>
      </w:r>
      <w:r w:rsidRPr="00693E0E">
        <w:rPr>
          <w:rFonts w:ascii="Palatino Linotype" w:eastAsia="Palatino Linotype" w:hAnsi="Palatino Linotype" w:cs="Palatino Linotype"/>
          <w:b/>
          <w:i/>
          <w:sz w:val="22"/>
          <w:szCs w:val="22"/>
          <w:u w:val="single"/>
        </w:rPr>
        <w:t>las entidades federativas</w:t>
      </w:r>
      <w:r w:rsidRPr="00693E0E">
        <w:rPr>
          <w:rFonts w:ascii="Palatino Linotype" w:eastAsia="Palatino Linotype" w:hAnsi="Palatino Linotype" w:cs="Palatino Linotype"/>
          <w:b/>
          <w:i/>
          <w:sz w:val="22"/>
          <w:szCs w:val="22"/>
        </w:rPr>
        <w:t>,</w:t>
      </w:r>
      <w:r w:rsidRPr="00693E0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F8FDAE5"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 xml:space="preserve">I. </w:t>
      </w:r>
      <w:r w:rsidRPr="00693E0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93E0E">
        <w:rPr>
          <w:rFonts w:ascii="Palatino Linotype" w:eastAsia="Palatino Linotype" w:hAnsi="Palatino Linotype" w:cs="Palatino Linotype"/>
          <w:i/>
          <w:sz w:val="22"/>
          <w:szCs w:val="22"/>
        </w:rPr>
        <w:t xml:space="preserve"> Ejecutivo, Legislativo </w:t>
      </w:r>
      <w:r w:rsidRPr="00693E0E">
        <w:rPr>
          <w:rFonts w:ascii="Palatino Linotype" w:eastAsia="Palatino Linotype" w:hAnsi="Palatino Linotype" w:cs="Palatino Linotype"/>
          <w:b/>
          <w:i/>
          <w:sz w:val="22"/>
          <w:szCs w:val="22"/>
          <w:u w:val="single"/>
        </w:rPr>
        <w:t>y Judicial</w:t>
      </w:r>
      <w:r w:rsidRPr="00693E0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93E0E">
        <w:rPr>
          <w:rFonts w:ascii="Palatino Linotype" w:eastAsia="Palatino Linotype" w:hAnsi="Palatino Linotype" w:cs="Palatino Linotype"/>
          <w:b/>
          <w:i/>
          <w:sz w:val="22"/>
          <w:szCs w:val="22"/>
        </w:rPr>
        <w:t xml:space="preserve">es pública y </w:t>
      </w:r>
      <w:r w:rsidRPr="00693E0E">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693E0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CD6BF1" w14:textId="77777777" w:rsidR="00BE6FE6" w:rsidRPr="00693E0E" w:rsidRDefault="00BE6FE6"/>
    <w:p w14:paraId="4FB2D3D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A75D066"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 xml:space="preserve">III. </w:t>
      </w:r>
      <w:r w:rsidRPr="00693E0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93E0E">
        <w:rPr>
          <w:rFonts w:ascii="Palatino Linotype" w:eastAsia="Palatino Linotype" w:hAnsi="Palatino Linotype" w:cs="Palatino Linotype"/>
          <w:i/>
          <w:sz w:val="22"/>
          <w:szCs w:val="22"/>
        </w:rPr>
        <w:t xml:space="preserve"> a sus datos personales o a la rectificación de éstos.</w:t>
      </w:r>
    </w:p>
    <w:p w14:paraId="34C8A51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 xml:space="preserve">IV. </w:t>
      </w:r>
      <w:r w:rsidRPr="00693E0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072E4AA" w14:textId="77777777" w:rsidR="00BE6FE6" w:rsidRPr="00693E0E" w:rsidRDefault="00BE6FE6"/>
    <w:p w14:paraId="22BAF7CB"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 xml:space="preserve">V. </w:t>
      </w:r>
      <w:r w:rsidRPr="00693E0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C0FCC3" w14:textId="77777777" w:rsidR="00BE6FE6" w:rsidRPr="00693E0E" w:rsidRDefault="00BE6FE6"/>
    <w:p w14:paraId="7BADB2C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 xml:space="preserve">VI. </w:t>
      </w:r>
      <w:r w:rsidRPr="00693E0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1AFA84C" w14:textId="77777777" w:rsidR="00BE6FE6" w:rsidRPr="00693E0E" w:rsidRDefault="00BE6FE6"/>
    <w:p w14:paraId="5AD8542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w:t>
      </w:r>
      <w:r w:rsidRPr="00693E0E">
        <w:rPr>
          <w:rFonts w:ascii="Palatino Linotype" w:eastAsia="Palatino Linotype" w:hAnsi="Palatino Linotype" w:cs="Palatino Linotype"/>
          <w:b/>
          <w:i/>
          <w:sz w:val="22"/>
          <w:szCs w:val="22"/>
        </w:rPr>
        <w:t xml:space="preserve">VII. </w:t>
      </w:r>
      <w:r w:rsidRPr="00693E0E">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3820851A"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529F0DBC" w14:textId="77777777" w:rsidR="00BE6FE6" w:rsidRPr="00693E0E" w:rsidRDefault="00BE6FE6"/>
    <w:p w14:paraId="3ADED697"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693E0E">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DB2AE9"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009EE2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Artículo 4</w:t>
      </w:r>
      <w:r w:rsidRPr="00693E0E">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8015EC0" w14:textId="77777777" w:rsidR="00BE6FE6" w:rsidRPr="00693E0E" w:rsidRDefault="00BE6FE6"/>
    <w:p w14:paraId="279CC1C5"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C26A1F" w14:textId="77777777" w:rsidR="00BE6FE6" w:rsidRPr="00693E0E" w:rsidRDefault="00BE6FE6"/>
    <w:p w14:paraId="146E130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DC1535" w14:textId="77777777" w:rsidR="00BE6FE6" w:rsidRPr="00693E0E" w:rsidRDefault="00BE6FE6">
      <w:pPr>
        <w:pBdr>
          <w:top w:val="nil"/>
          <w:left w:val="nil"/>
          <w:bottom w:val="nil"/>
          <w:right w:val="nil"/>
          <w:between w:val="nil"/>
        </w:pBdr>
        <w:spacing w:line="360" w:lineRule="auto"/>
        <w:jc w:val="both"/>
        <w:rPr>
          <w:rFonts w:ascii="Palatino Linotype" w:eastAsia="Palatino Linotype" w:hAnsi="Palatino Linotype" w:cs="Palatino Linotype"/>
        </w:rPr>
      </w:pPr>
    </w:p>
    <w:p w14:paraId="5F267828"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1DC7191" w14:textId="77777777" w:rsidR="00BE6FE6" w:rsidRPr="00693E0E" w:rsidRDefault="00BE6FE6">
      <w:pPr>
        <w:pBdr>
          <w:top w:val="nil"/>
          <w:left w:val="nil"/>
          <w:bottom w:val="nil"/>
          <w:right w:val="nil"/>
          <w:between w:val="nil"/>
        </w:pBdr>
        <w:ind w:left="864" w:right="864"/>
        <w:jc w:val="both"/>
        <w:rPr>
          <w:i/>
        </w:rPr>
      </w:pPr>
    </w:p>
    <w:p w14:paraId="60FDBC1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lastRenderedPageBreak/>
        <w:t>Artículo 12</w:t>
      </w:r>
      <w:r w:rsidRPr="00693E0E">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12688B8" w14:textId="77777777" w:rsidR="00BE6FE6" w:rsidRPr="00693E0E" w:rsidRDefault="00BE6FE6"/>
    <w:p w14:paraId="3E57A8B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EFBB29" w14:textId="77777777" w:rsidR="00BE6FE6" w:rsidRPr="00693E0E" w:rsidRDefault="00BE6FE6">
      <w:pPr>
        <w:pBdr>
          <w:top w:val="nil"/>
          <w:left w:val="nil"/>
          <w:bottom w:val="nil"/>
          <w:right w:val="nil"/>
          <w:between w:val="nil"/>
        </w:pBdr>
        <w:ind w:left="864" w:right="864"/>
        <w:jc w:val="both"/>
        <w:rPr>
          <w:i/>
        </w:rPr>
      </w:pPr>
    </w:p>
    <w:p w14:paraId="5EEBFAEB"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693E0E">
        <w:rPr>
          <w:rFonts w:ascii="Palatino Linotype" w:eastAsia="Palatino Linotype" w:hAnsi="Palatino Linotype" w:cs="Palatino Linotype"/>
          <w:b/>
        </w:rPr>
        <w:t xml:space="preserve"> </w:t>
      </w:r>
      <w:r w:rsidRPr="00693E0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693E0E">
        <w:rPr>
          <w:rFonts w:ascii="Palatino Linotype" w:eastAsia="Palatino Linotype" w:hAnsi="Palatino Linotype" w:cs="Palatino Linotype"/>
          <w:i/>
        </w:rPr>
        <w:t>ad hoc</w:t>
      </w:r>
      <w:r w:rsidRPr="00693E0E">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E060036"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742CE3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03/17</w:t>
      </w:r>
    </w:p>
    <w:p w14:paraId="08EEE3F6"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 EXISTE OBLIGACIÓN DE ELABORAR DOCUMENTOS AD HOC PARA ATENDER LAS SOLICITUDES DE ACCESO A LA INFORMACIÓN.</w:t>
      </w:r>
    </w:p>
    <w:p w14:paraId="4FAC1A2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731B96"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F61ACB"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66E944C" w14:textId="77777777" w:rsidR="00BE6FE6" w:rsidRPr="00693E0E" w:rsidRDefault="00BE6FE6">
      <w:pPr>
        <w:pBdr>
          <w:top w:val="nil"/>
          <w:left w:val="nil"/>
          <w:bottom w:val="nil"/>
          <w:right w:val="nil"/>
          <w:between w:val="nil"/>
        </w:pBdr>
        <w:spacing w:line="360" w:lineRule="auto"/>
        <w:jc w:val="both"/>
      </w:pPr>
    </w:p>
    <w:p w14:paraId="5B3BE413" w14:textId="77777777" w:rsidR="00BE6FE6" w:rsidRPr="00693E0E" w:rsidRDefault="00297D7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693E0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A99D26" w14:textId="77777777" w:rsidR="00BE6FE6" w:rsidRPr="00693E0E" w:rsidRDefault="00BE6FE6">
      <w:pPr>
        <w:pBdr>
          <w:top w:val="nil"/>
          <w:left w:val="nil"/>
          <w:bottom w:val="nil"/>
          <w:right w:val="nil"/>
          <w:between w:val="nil"/>
        </w:pBdr>
        <w:spacing w:line="360" w:lineRule="auto"/>
        <w:ind w:right="49"/>
        <w:jc w:val="both"/>
      </w:pPr>
    </w:p>
    <w:p w14:paraId="3CFE7207"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693E0E">
        <w:rPr>
          <w:rFonts w:ascii="Palatino Linotype" w:eastAsia="Palatino Linotype" w:hAnsi="Palatino Linotype" w:cs="Palatino Linotype"/>
        </w:rPr>
        <w:lastRenderedPageBreak/>
        <w:t>informático u holográfico de conformidad con el artículo 3, fracción XI de la Ley de la materia, el cual señala lo siguiente: </w:t>
      </w:r>
    </w:p>
    <w:p w14:paraId="08694B5E"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7CF9F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 xml:space="preserve">Artículo 3. </w:t>
      </w:r>
      <w:r w:rsidRPr="00693E0E">
        <w:rPr>
          <w:rFonts w:ascii="Palatino Linotype" w:eastAsia="Palatino Linotype" w:hAnsi="Palatino Linotype" w:cs="Palatino Linotype"/>
          <w:i/>
          <w:sz w:val="22"/>
          <w:szCs w:val="22"/>
        </w:rPr>
        <w:t>Para los efectos de la presente Ley se entenderá por:</w:t>
      </w:r>
    </w:p>
    <w:p w14:paraId="378D4D25"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42D55FEE"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XI. Documento:</w:t>
      </w:r>
      <w:r w:rsidRPr="00693E0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ECDFEF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w:t>
      </w:r>
      <w:r w:rsidRPr="00693E0E">
        <w:rPr>
          <w:rFonts w:ascii="Palatino Linotype" w:eastAsia="Palatino Linotype" w:hAnsi="Palatino Linotype" w:cs="Palatino Linotype"/>
          <w:i/>
          <w:sz w:val="22"/>
          <w:szCs w:val="22"/>
        </w:rPr>
        <w:t>)</w:t>
      </w:r>
    </w:p>
    <w:p w14:paraId="0FBBD501" w14:textId="77777777" w:rsidR="00BE6FE6" w:rsidRPr="00693E0E" w:rsidRDefault="00BE6FE6">
      <w:pPr>
        <w:pBdr>
          <w:top w:val="nil"/>
          <w:left w:val="nil"/>
          <w:bottom w:val="nil"/>
          <w:right w:val="nil"/>
          <w:between w:val="nil"/>
        </w:pBdr>
        <w:spacing w:line="360" w:lineRule="auto"/>
        <w:jc w:val="both"/>
        <w:rPr>
          <w:rFonts w:ascii="Palatino Linotype" w:eastAsia="Palatino Linotype" w:hAnsi="Palatino Linotype" w:cs="Palatino Linotype"/>
        </w:rPr>
      </w:pPr>
    </w:p>
    <w:p w14:paraId="33E73778" w14:textId="77777777" w:rsidR="00BE6FE6" w:rsidRPr="00693E0E" w:rsidRDefault="00297D70">
      <w:pPr>
        <w:pBdr>
          <w:top w:val="nil"/>
          <w:left w:val="nil"/>
          <w:bottom w:val="nil"/>
          <w:right w:val="nil"/>
          <w:between w:val="nil"/>
        </w:pBdr>
        <w:spacing w:line="360" w:lineRule="auto"/>
        <w:jc w:val="both"/>
      </w:pPr>
      <w:r w:rsidRPr="00693E0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47C199"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3DADD9B"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CRITERIO 0002-11</w:t>
      </w:r>
    </w:p>
    <w:p w14:paraId="7E7440A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E1FD9F"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4CB8F6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497008"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7C5BC848"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81F6924" w14:textId="77777777" w:rsidR="00BE6FE6" w:rsidRPr="00693E0E" w:rsidRDefault="00BE6FE6">
      <w:pPr>
        <w:pBdr>
          <w:top w:val="nil"/>
          <w:left w:val="nil"/>
          <w:bottom w:val="nil"/>
          <w:right w:val="nil"/>
          <w:between w:val="nil"/>
        </w:pBdr>
        <w:spacing w:line="360" w:lineRule="auto"/>
        <w:ind w:left="567" w:right="567" w:hanging="284"/>
        <w:jc w:val="both"/>
      </w:pPr>
    </w:p>
    <w:p w14:paraId="18117501"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De ahí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0C2628E" w14:textId="77777777" w:rsidR="00BE6FE6" w:rsidRPr="00693E0E" w:rsidRDefault="00BE6FE6">
      <w:pPr>
        <w:pBdr>
          <w:top w:val="nil"/>
          <w:left w:val="nil"/>
          <w:bottom w:val="nil"/>
          <w:right w:val="nil"/>
          <w:between w:val="nil"/>
        </w:pBdr>
        <w:spacing w:line="360" w:lineRule="auto"/>
        <w:jc w:val="both"/>
      </w:pPr>
    </w:p>
    <w:p w14:paraId="6C4BCE74"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Ahora bien, para profundizar en el estudio del presente asunto, es conveniente recordar que la entonces parte solicitante requirió al </w:t>
      </w:r>
      <w:r w:rsidRPr="00693E0E">
        <w:rPr>
          <w:rFonts w:ascii="Palatino Linotype" w:eastAsia="Palatino Linotype" w:hAnsi="Palatino Linotype" w:cs="Palatino Linotype"/>
          <w:b/>
        </w:rPr>
        <w:t>SUJETO OBLIGADO,</w:t>
      </w:r>
      <w:r w:rsidRPr="00693E0E">
        <w:rPr>
          <w:rFonts w:ascii="Palatino Linotype" w:eastAsia="Palatino Linotype" w:hAnsi="Palatino Linotype" w:cs="Palatino Linotype"/>
        </w:rPr>
        <w:t xml:space="preserve"> para que le proporcionara información relativa a las listas de asistencia del mes de septiembre del año dos mil veintidós de las siguientes Unidades Administrativas: </w:t>
      </w:r>
    </w:p>
    <w:p w14:paraId="333C357F" w14:textId="77777777" w:rsidR="00BE6FE6" w:rsidRPr="00693E0E" w:rsidRDefault="00BE6FE6">
      <w:pPr>
        <w:pBdr>
          <w:top w:val="nil"/>
          <w:left w:val="nil"/>
          <w:bottom w:val="nil"/>
          <w:right w:val="nil"/>
          <w:between w:val="nil"/>
        </w:pBdr>
        <w:spacing w:line="360" w:lineRule="auto"/>
        <w:jc w:val="both"/>
        <w:rPr>
          <w:rFonts w:ascii="Palatino Linotype" w:eastAsia="Palatino Linotype" w:hAnsi="Palatino Linotype" w:cs="Palatino Linotype"/>
        </w:rPr>
      </w:pPr>
    </w:p>
    <w:p w14:paraId="27DD1EA2" w14:textId="77777777" w:rsidR="00BE6FE6" w:rsidRPr="00693E0E" w:rsidRDefault="00297D7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IMCUFIDEZ (Todo el personal adscrito)</w:t>
      </w:r>
    </w:p>
    <w:p w14:paraId="68ECE9FE" w14:textId="77777777" w:rsidR="00BE6FE6" w:rsidRPr="00693E0E" w:rsidRDefault="00297D7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Unidad de Transparencia (Únicamente de su Titular)</w:t>
      </w:r>
    </w:p>
    <w:p w14:paraId="63D99781" w14:textId="77777777" w:rsidR="00BE6FE6" w:rsidRPr="00693E0E" w:rsidRDefault="00297D7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Todos los Directores, y </w:t>
      </w:r>
    </w:p>
    <w:p w14:paraId="2D960EB9" w14:textId="77777777" w:rsidR="00BE6FE6" w:rsidRPr="00693E0E" w:rsidRDefault="00297D7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De la Dirección de Administración y de la Presidencia Municipal. </w:t>
      </w:r>
    </w:p>
    <w:p w14:paraId="70BFA765" w14:textId="77777777" w:rsidR="00BE6FE6" w:rsidRPr="00693E0E" w:rsidRDefault="00BE6FE6">
      <w:pPr>
        <w:spacing w:line="360" w:lineRule="auto"/>
        <w:jc w:val="both"/>
        <w:rPr>
          <w:rFonts w:ascii="Palatino Linotype" w:eastAsia="Palatino Linotype" w:hAnsi="Palatino Linotype" w:cs="Palatino Linotype"/>
        </w:rPr>
      </w:pPr>
    </w:p>
    <w:p w14:paraId="0385C5E1" w14:textId="77777777" w:rsidR="00554458" w:rsidRPr="00693E0E" w:rsidRDefault="00297D70" w:rsidP="007F4A48">
      <w:pPr>
        <w:spacing w:line="360" w:lineRule="auto"/>
        <w:jc w:val="both"/>
        <w:rPr>
          <w:rFonts w:ascii="Palatino Linotype" w:hAnsi="Palatino Linotype"/>
        </w:rPr>
      </w:pPr>
      <w:r w:rsidRPr="00693E0E">
        <w:rPr>
          <w:rFonts w:ascii="Palatino Linotype" w:eastAsia="Palatino Linotype" w:hAnsi="Palatino Linotype" w:cs="Palatino Linotype"/>
        </w:rPr>
        <w:lastRenderedPageBreak/>
        <w:t xml:space="preserve">Como se señaló en el Antecedente número tres de esta resolución, </w:t>
      </w:r>
      <w:r w:rsidRPr="00693E0E">
        <w:rPr>
          <w:rFonts w:ascii="Palatino Linotype" w:eastAsia="Palatino Linotype" w:hAnsi="Palatino Linotype" w:cs="Palatino Linotype"/>
          <w:b/>
        </w:rPr>
        <w:t>EL SUJETO OBLIGADO</w:t>
      </w:r>
      <w:r w:rsidR="007F4A48" w:rsidRPr="00693E0E">
        <w:rPr>
          <w:rFonts w:ascii="Palatino Linotype" w:eastAsia="Palatino Linotype" w:hAnsi="Palatino Linotype" w:cs="Palatino Linotype"/>
        </w:rPr>
        <w:t xml:space="preserve"> respondió a las tres</w:t>
      </w:r>
      <w:r w:rsidRPr="00693E0E">
        <w:rPr>
          <w:rFonts w:ascii="Palatino Linotype" w:eastAsia="Palatino Linotype" w:hAnsi="Palatino Linotype" w:cs="Palatino Linotype"/>
        </w:rPr>
        <w:t xml:space="preserve"> solicitudes de acceso a la información realizadas por </w:t>
      </w:r>
      <w:r w:rsidR="007F4A48" w:rsidRPr="00693E0E">
        <w:rPr>
          <w:rFonts w:ascii="Palatino Linotype" w:eastAsia="Palatino Linotype" w:hAnsi="Palatino Linotype" w:cs="Palatino Linotype"/>
          <w:b/>
        </w:rPr>
        <w:t xml:space="preserve">LA PARTE RECURRENTE </w:t>
      </w:r>
      <w:r w:rsidR="007F4A48" w:rsidRPr="00693E0E">
        <w:rPr>
          <w:rFonts w:ascii="Palatino Linotype" w:hAnsi="Palatino Linotype"/>
        </w:rPr>
        <w:t xml:space="preserve">que no se generan listas de asistencia de los servidores públicos,  ni de mandos medios y altos, </w:t>
      </w:r>
      <w:r w:rsidR="007F4A48" w:rsidRPr="00693E0E">
        <w:rPr>
          <w:rFonts w:ascii="Palatino Linotype" w:hAnsi="Palatino Linotype"/>
          <w:i/>
        </w:rPr>
        <w:t xml:space="preserve">“… por lo tanto, no es posible entregar la información toda vez que no como ya se </w:t>
      </w:r>
      <w:proofErr w:type="spellStart"/>
      <w:r w:rsidR="007F4A48" w:rsidRPr="00693E0E">
        <w:rPr>
          <w:rFonts w:ascii="Palatino Linotype" w:hAnsi="Palatino Linotype"/>
          <w:i/>
        </w:rPr>
        <w:t>comento</w:t>
      </w:r>
      <w:proofErr w:type="spellEnd"/>
      <w:r w:rsidR="007F4A48" w:rsidRPr="00693E0E">
        <w:rPr>
          <w:rFonts w:ascii="Palatino Linotype" w:hAnsi="Palatino Linotype"/>
          <w:i/>
        </w:rPr>
        <w:t xml:space="preserve"> no se generan o procesan listas de asistencia…” (Sic)</w:t>
      </w:r>
      <w:r w:rsidR="00554458" w:rsidRPr="00693E0E">
        <w:rPr>
          <w:rFonts w:ascii="Palatino Linotype" w:hAnsi="Palatino Linotype"/>
        </w:rPr>
        <w:t>.</w:t>
      </w:r>
    </w:p>
    <w:p w14:paraId="3E0509B4" w14:textId="77777777" w:rsidR="00554458" w:rsidRPr="00693E0E" w:rsidRDefault="00554458" w:rsidP="007F4A48">
      <w:pPr>
        <w:spacing w:line="360" w:lineRule="auto"/>
        <w:jc w:val="both"/>
        <w:rPr>
          <w:rFonts w:ascii="Palatino Linotype" w:eastAsia="Palatino Linotype" w:hAnsi="Palatino Linotype" w:cs="Palatino Linotype"/>
        </w:rPr>
      </w:pPr>
    </w:p>
    <w:p w14:paraId="6252045F" w14:textId="77777777" w:rsidR="00BE6FE6" w:rsidRPr="00693E0E" w:rsidRDefault="00297D70" w:rsidP="00554458">
      <w:pPr>
        <w:spacing w:after="360"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Bajo esta lógica,  es  importante referir que las Unidades de Transparencia son las áreas responsables en cada Sujeto Obligado de dar atención a las solicitudes de información, por lo tanto, el responsable de dicha área es el enlace entre el </w:t>
      </w:r>
      <w:r w:rsidRPr="00693E0E">
        <w:rPr>
          <w:rFonts w:ascii="Palatino Linotype" w:eastAsia="Palatino Linotype" w:hAnsi="Palatino Linotype" w:cs="Palatino Linotype"/>
          <w:b/>
        </w:rPr>
        <w:t>SUJETO OBLIGADO</w:t>
      </w:r>
      <w:r w:rsidRPr="00693E0E">
        <w:rPr>
          <w:rFonts w:ascii="Palatino Linotype" w:eastAsia="Palatino Linotype" w:hAnsi="Palatino Linotype" w:cs="Palatino Linotype"/>
        </w:rPr>
        <w:t xml:space="preserve"> y los solicitantes, quien cuenta con la responsabilidad de dar trámite internamente a las mismas solicitudes de información.</w:t>
      </w:r>
    </w:p>
    <w:p w14:paraId="7F7EA360"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En este sentido, corresponde al Titular de la Unidad de Transparencia garantizar que las solicitudes se turnen a todas las áreas competentes que puedan contar con la información, con el objeto de que realicen una búsqueda exhaustiva y razonable, en este caso, de turnar las solicitudes a todas las unidades administrativas que, conforme a las atribuciones previstas en su Bando Municipal, pudieran contar con lo requerido.</w:t>
      </w:r>
    </w:p>
    <w:p w14:paraId="384E852C" w14:textId="77777777" w:rsidR="00BE6FE6" w:rsidRPr="00693E0E" w:rsidRDefault="00BE6FE6">
      <w:pPr>
        <w:spacing w:line="360" w:lineRule="auto"/>
        <w:ind w:right="34"/>
        <w:jc w:val="both"/>
        <w:rPr>
          <w:rFonts w:ascii="Palatino Linotype" w:eastAsia="Palatino Linotype" w:hAnsi="Palatino Linotype" w:cs="Palatino Linotype"/>
        </w:rPr>
      </w:pPr>
    </w:p>
    <w:p w14:paraId="3757C705"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 saber,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fue clara en sus requerimientos al enfatizar su deseo de conocer las listas de asistencia del mes de septiembre de dos mil veintidós del personal adscrito al INCUFIDEZ, del Titular de la Unidad de Transparencia, de </w:t>
      </w:r>
      <w:r w:rsidRPr="00693E0E">
        <w:rPr>
          <w:rFonts w:ascii="Palatino Linotype" w:eastAsia="Palatino Linotype" w:hAnsi="Palatino Linotype" w:cs="Palatino Linotype"/>
        </w:rPr>
        <w:lastRenderedPageBreak/>
        <w:t>todos los Directores de las Unidades Administrativas, de la Dirección de Administración y de la Presidencia Municipal.</w:t>
      </w:r>
    </w:p>
    <w:p w14:paraId="3D7AE315" w14:textId="77777777" w:rsidR="00BE6FE6" w:rsidRPr="00693E0E" w:rsidRDefault="00BE6FE6">
      <w:pPr>
        <w:spacing w:line="360" w:lineRule="auto"/>
        <w:ind w:right="34"/>
        <w:jc w:val="both"/>
        <w:rPr>
          <w:rFonts w:ascii="Palatino Linotype" w:eastAsia="Palatino Linotype" w:hAnsi="Palatino Linotype" w:cs="Palatino Linotype"/>
        </w:rPr>
      </w:pPr>
    </w:p>
    <w:p w14:paraId="2E66756C"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Conforme a lo anterior, es dable para el </w:t>
      </w:r>
      <w:proofErr w:type="spellStart"/>
      <w:r w:rsidRPr="00693E0E">
        <w:rPr>
          <w:rFonts w:ascii="Palatino Linotype" w:eastAsia="Palatino Linotype" w:hAnsi="Palatino Linotype" w:cs="Palatino Linotype"/>
        </w:rPr>
        <w:t>Infoem</w:t>
      </w:r>
      <w:proofErr w:type="spellEnd"/>
      <w:r w:rsidRPr="00693E0E">
        <w:rPr>
          <w:rFonts w:ascii="Palatino Linotype" w:eastAsia="Palatino Linotype" w:hAnsi="Palatino Linotype" w:cs="Palatino Linotype"/>
        </w:rPr>
        <w:t xml:space="preserve"> centrar su atención en determinar cuáles son las Unidades Administrativas específicas de las que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requiere la información: </w:t>
      </w:r>
    </w:p>
    <w:p w14:paraId="2BB36D14" w14:textId="77777777" w:rsidR="00BE6FE6" w:rsidRPr="00693E0E" w:rsidRDefault="00BE6FE6">
      <w:pPr>
        <w:spacing w:line="360" w:lineRule="auto"/>
        <w:ind w:right="34"/>
        <w:jc w:val="both"/>
        <w:rPr>
          <w:rFonts w:ascii="Palatino Linotype" w:eastAsia="Palatino Linotype" w:hAnsi="Palatino Linotype" w:cs="Palatino Linotype"/>
        </w:rPr>
      </w:pPr>
    </w:p>
    <w:p w14:paraId="1D6C5EA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GACETA MUNICIPAL DEL AYUNTAMIENTO DE ZINACANTEPEC, AÑO UNO, VOLUMEN UNO, NÚMERO DOS, BANDO MUNICIPAL 2022</w:t>
      </w:r>
    </w:p>
    <w:p w14:paraId="6176E91A"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TÍTULO CUARTO DE LOS PRINCIPIOS RECTORES DE LA ADMINISTRACIÓN</w:t>
      </w:r>
    </w:p>
    <w:p w14:paraId="29D98781"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CAPÍTULO II DE LA ORGANIZACIÓN ADMINISTRATIVA </w:t>
      </w:r>
    </w:p>
    <w:p w14:paraId="1930196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i/>
          <w:sz w:val="22"/>
          <w:szCs w:val="22"/>
        </w:rPr>
        <w:t xml:space="preserve">Artículo 21. </w:t>
      </w:r>
      <w:r w:rsidRPr="00693E0E">
        <w:rPr>
          <w:rFonts w:ascii="Palatino Linotype" w:eastAsia="Palatino Linotype" w:hAnsi="Palatino Linotype" w:cs="Palatino Linotype"/>
          <w:b/>
          <w:i/>
          <w:sz w:val="22"/>
          <w:szCs w:val="22"/>
        </w:rPr>
        <w:t xml:space="preserve">El Presidente Municipal para el ejercicio de sus funciones, se auxiliará de las siguientes Unidades Administrativas: </w:t>
      </w:r>
    </w:p>
    <w:p w14:paraId="654B97C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I. Secretaría del Ayuntamiento </w:t>
      </w:r>
    </w:p>
    <w:p w14:paraId="200B7854"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II. Secretaría Particular. </w:t>
      </w:r>
    </w:p>
    <w:p w14:paraId="7313F4B8"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III. Secretaría Técnica. </w:t>
      </w:r>
    </w:p>
    <w:p w14:paraId="5FA03E9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IV. Unidad de Información, Planeación, Programación y Evaluación. </w:t>
      </w:r>
    </w:p>
    <w:p w14:paraId="218EEBF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V. Coordinación Municipal de Mejora Regulatoria. </w:t>
      </w:r>
    </w:p>
    <w:p w14:paraId="02FF684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VI. Unidad de Transparencia. </w:t>
      </w:r>
    </w:p>
    <w:p w14:paraId="1B4F5351"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VII. Secretaría Técnica del Consejo Municipal de Seguridad Pública. </w:t>
      </w:r>
    </w:p>
    <w:p w14:paraId="4D3C0BC4"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VIII. Coordinación de Asesores. </w:t>
      </w:r>
    </w:p>
    <w:p w14:paraId="139C37A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IX. Coordinación de Asuntos Intergubernamentales,</w:t>
      </w:r>
      <w:r w:rsidRPr="00693E0E">
        <w:rPr>
          <w:rFonts w:ascii="Palatino Linotype" w:eastAsia="Palatino Linotype" w:hAnsi="Palatino Linotype" w:cs="Palatino Linotype"/>
          <w:i/>
          <w:sz w:val="22"/>
          <w:szCs w:val="22"/>
        </w:rPr>
        <w:t xml:space="preserve"> y </w:t>
      </w:r>
    </w:p>
    <w:p w14:paraId="6B10705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X. Las demás que determine crear el Ayuntamiento a propuesta del Presidente Municipal. </w:t>
      </w:r>
    </w:p>
    <w:p w14:paraId="70B19B0E"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68965AC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I. DEPENDENCIAS ADMINISTRATIVAS: </w:t>
      </w:r>
    </w:p>
    <w:p w14:paraId="6B2647E8"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1. Tesorería Municipal. </w:t>
      </w:r>
    </w:p>
    <w:p w14:paraId="36A17C8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2. Contraloría Municipal. </w:t>
      </w:r>
    </w:p>
    <w:p w14:paraId="6C331A96"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lastRenderedPageBreak/>
        <w:t>3. Dirección de Administración.</w:t>
      </w:r>
    </w:p>
    <w:p w14:paraId="7F8FDAA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4. Dirección de Obras Públicas. </w:t>
      </w:r>
    </w:p>
    <w:p w14:paraId="4CC379A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5. Dirección de Desarrollo Metropolitano y Movilidad. </w:t>
      </w:r>
    </w:p>
    <w:p w14:paraId="021EDEC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6. Dirección de Desarrollo Territorial y Urbano. </w:t>
      </w:r>
    </w:p>
    <w:p w14:paraId="75561DD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7. Dirección de Desarrollo Económico. </w:t>
      </w:r>
    </w:p>
    <w:p w14:paraId="03C47465"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8. Dirección de Desarrollo Social. </w:t>
      </w:r>
    </w:p>
    <w:p w14:paraId="22B1E74A"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9. Dirección de Seguridad Pública y de Tránsito. </w:t>
      </w:r>
    </w:p>
    <w:p w14:paraId="1E02B5E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10. Dirección de Servicios Públicos. </w:t>
      </w:r>
    </w:p>
    <w:p w14:paraId="69087B3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11. Dirección de Medio Ambiente. </w:t>
      </w:r>
    </w:p>
    <w:p w14:paraId="056AC359"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12. Dirección de Cultura y Turismo. </w:t>
      </w:r>
    </w:p>
    <w:p w14:paraId="6BD4D7D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13. Dirección de Educación. </w:t>
      </w:r>
    </w:p>
    <w:p w14:paraId="5F68466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14. Dirección de Gobernación. </w:t>
      </w:r>
    </w:p>
    <w:p w14:paraId="3E613FA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15. Dirección de la Mujer. </w:t>
      </w:r>
    </w:p>
    <w:p w14:paraId="33D47F0E"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16. Dirección Jurídica. </w:t>
      </w:r>
    </w:p>
    <w:p w14:paraId="7A1B0031"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I. ORGANISMOS DESCENTRALIZADOS: </w:t>
      </w:r>
    </w:p>
    <w:p w14:paraId="78E35C45"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4557C8AA"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3. Instituto Municipal de Cultura Física y Deporte de Zinacantepec.</w:t>
      </w:r>
    </w:p>
    <w:p w14:paraId="53B9F680"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r w:rsidRPr="00693E0E">
        <w:rPr>
          <w:rFonts w:ascii="Palatino Linotype" w:eastAsia="Palatino Linotype" w:hAnsi="Palatino Linotype" w:cs="Palatino Linotype"/>
          <w:b/>
          <w:i/>
          <w:sz w:val="22"/>
          <w:szCs w:val="22"/>
        </w:rPr>
        <w:t xml:space="preserve"> Énfasis añadido </w:t>
      </w:r>
    </w:p>
    <w:p w14:paraId="2032770D"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0DEC70"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Conforme a lo anterior, y a la luz de los requerimientos de </w:t>
      </w:r>
      <w:r w:rsidRPr="00693E0E">
        <w:rPr>
          <w:rFonts w:ascii="Palatino Linotype" w:eastAsia="Palatino Linotype" w:hAnsi="Palatino Linotype" w:cs="Palatino Linotype"/>
          <w:b/>
        </w:rPr>
        <w:t>LA PARTE RECCURRENTE</w:t>
      </w:r>
      <w:r w:rsidRPr="00693E0E">
        <w:rPr>
          <w:rFonts w:ascii="Palatino Linotype" w:eastAsia="Palatino Linotype" w:hAnsi="Palatino Linotype" w:cs="Palatino Linotype"/>
        </w:rPr>
        <w:t xml:space="preserve"> se colige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cuenta con las Unidades Administrativas de las cuales se solicitan las listas de asistencia del mes de septiembre del dos mil veintidós, pues de lo establecido por el Bando Municipal se desprende que la Presidencia Municipal del Ayuntamiento de Zinacantepec se compone por la Secretaría del Ayuntamiento, la Secretaría Particular, Secretaría Técnica, Unidad de Información, Planeación, Programación y Evaluación, Coordinación Municipal de Mejora Regulatoria, Unidad de Transparencia, Secretaría Técnica del Consejo Municipal de Seguridad Pública, Coordinación de Asesores y la Coordinación de Asuntos Intergubernamentales. </w:t>
      </w:r>
    </w:p>
    <w:p w14:paraId="70345FCC" w14:textId="77777777" w:rsidR="00BE6FE6" w:rsidRPr="00693E0E" w:rsidRDefault="00BE6FE6">
      <w:pPr>
        <w:spacing w:line="360" w:lineRule="auto"/>
        <w:ind w:right="34"/>
        <w:jc w:val="both"/>
        <w:rPr>
          <w:rFonts w:ascii="Palatino Linotype" w:eastAsia="Palatino Linotype" w:hAnsi="Palatino Linotype" w:cs="Palatino Linotype"/>
        </w:rPr>
      </w:pPr>
    </w:p>
    <w:p w14:paraId="244C1085"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 xml:space="preserve">Aunado a que </w:t>
      </w:r>
      <w:r w:rsidRPr="00693E0E">
        <w:rPr>
          <w:rFonts w:ascii="Palatino Linotype" w:eastAsia="Palatino Linotype" w:hAnsi="Palatino Linotype" w:cs="Palatino Linotype"/>
          <w:b/>
        </w:rPr>
        <w:t xml:space="preserve">LA PARTE RECURRENTE </w:t>
      </w:r>
      <w:r w:rsidRPr="00693E0E">
        <w:rPr>
          <w:rFonts w:ascii="Palatino Linotype" w:eastAsia="Palatino Linotype" w:hAnsi="Palatino Linotype" w:cs="Palatino Linotype"/>
        </w:rPr>
        <w:t>también solicitó conocer las listas de asistencia de “…</w:t>
      </w:r>
      <w:r w:rsidRPr="00693E0E">
        <w:rPr>
          <w:rFonts w:ascii="Palatino Linotype" w:eastAsia="Palatino Linotype" w:hAnsi="Palatino Linotype" w:cs="Palatino Linotype"/>
          <w:i/>
        </w:rPr>
        <w:t xml:space="preserve">DE TODOS LOS DIRECTORES…” (Sic) </w:t>
      </w:r>
      <w:r w:rsidRPr="00693E0E">
        <w:rPr>
          <w:rFonts w:ascii="Palatino Linotype" w:eastAsia="Palatino Linotype" w:hAnsi="Palatino Linotype" w:cs="Palatino Linotype"/>
        </w:rPr>
        <w:t>y bajo ese amparo es procedente determinar que las áreas que cuentan con esa denominación son la Dirección de Administración, Dirección de Obras Públicas, Dirección de Desarrollo Metropolitano y Movilidad, Dirección de Desarrollo Territorial y Urbano, Dirección de Desarrollo Económico, Dirección de Desarrollo Social, Dirección de Seguridad Pública y de Tránsito, Dirección de Servicios Públicos, Dirección de Medio Ambiente, Dirección de Cultura y Turismo, Dirección de Educación, Dirección de Gobernación, Dirección de la Mujer y la Dirección Jurídica.</w:t>
      </w:r>
    </w:p>
    <w:p w14:paraId="15227817" w14:textId="77777777" w:rsidR="00BE6FE6" w:rsidRPr="00693E0E" w:rsidRDefault="00BE6FE6">
      <w:pPr>
        <w:spacing w:line="360" w:lineRule="auto"/>
        <w:ind w:right="34"/>
        <w:jc w:val="both"/>
        <w:rPr>
          <w:rFonts w:ascii="Palatino Linotype" w:eastAsia="Palatino Linotype" w:hAnsi="Palatino Linotype" w:cs="Palatino Linotype"/>
        </w:rPr>
      </w:pPr>
    </w:p>
    <w:p w14:paraId="6665BF8D" w14:textId="77777777" w:rsidR="00BE6FE6" w:rsidRPr="00693E0E" w:rsidRDefault="00297D70">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Sin embargo, es importante precisar una variación hecha por </w:t>
      </w:r>
      <w:r w:rsidRPr="00693E0E">
        <w:rPr>
          <w:rFonts w:ascii="Palatino Linotype" w:eastAsia="Palatino Linotype" w:hAnsi="Palatino Linotype" w:cs="Palatino Linotype"/>
          <w:b/>
        </w:rPr>
        <w:t xml:space="preserve">LA PARTE RECURRENTE </w:t>
      </w:r>
      <w:r w:rsidRPr="00693E0E">
        <w:rPr>
          <w:rFonts w:ascii="Palatino Linotype" w:eastAsia="Palatino Linotype" w:hAnsi="Palatino Linotype" w:cs="Palatino Linotype"/>
        </w:rPr>
        <w:t xml:space="preserve">pues solicitó de manera específica que le fueran entregadas las listas de asistencia, también del mes de septiembre de dos mil veintidós, pero de todo el personal adscrito al IMCUFIDEZ o Instituto Municipal de Cultura Física y Deporte de Zinacantepec, y en ese caso particular, </w:t>
      </w:r>
      <w:r w:rsidRPr="00693E0E">
        <w:rPr>
          <w:rFonts w:ascii="Palatino Linotype" w:eastAsia="Palatino Linotype" w:hAnsi="Palatino Linotype" w:cs="Palatino Linotype"/>
          <w:b/>
        </w:rPr>
        <w:t xml:space="preserve">EL SUJETO OBLIGADO </w:t>
      </w:r>
      <w:r w:rsidRPr="00693E0E">
        <w:rPr>
          <w:rFonts w:ascii="Palatino Linotype" w:eastAsia="Palatino Linotype" w:hAnsi="Palatino Linotype" w:cs="Palatino Linotype"/>
        </w:rPr>
        <w:t xml:space="preserve">habrá de pronunciarse por la totalidad de dicho personal. </w:t>
      </w:r>
    </w:p>
    <w:p w14:paraId="68728313" w14:textId="77777777" w:rsidR="00BE6FE6" w:rsidRPr="00693E0E" w:rsidRDefault="00BE6FE6">
      <w:pPr>
        <w:spacing w:line="360" w:lineRule="auto"/>
        <w:ind w:right="34"/>
        <w:jc w:val="both"/>
        <w:rPr>
          <w:rFonts w:ascii="Palatino Linotype" w:eastAsia="Palatino Linotype" w:hAnsi="Palatino Linotype" w:cs="Palatino Linotype"/>
        </w:rPr>
      </w:pPr>
    </w:p>
    <w:p w14:paraId="0C1B5D9A" w14:textId="77777777" w:rsidR="007F4A48" w:rsidRPr="00693E0E" w:rsidRDefault="007F4A48">
      <w:pPr>
        <w:spacing w:line="360" w:lineRule="auto"/>
        <w:ind w:right="34"/>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Así pues es dable referir que de las respuestas entregadas a </w:t>
      </w:r>
      <w:r w:rsidRPr="00693E0E">
        <w:rPr>
          <w:rFonts w:ascii="Palatino Linotype" w:eastAsia="Palatino Linotype" w:hAnsi="Palatino Linotype" w:cs="Palatino Linotype"/>
          <w:b/>
        </w:rPr>
        <w:t>LA PARTE RECURRENTE,</w:t>
      </w:r>
      <w:r w:rsidRPr="00693E0E">
        <w:rPr>
          <w:rFonts w:ascii="Palatino Linotype" w:eastAsia="Palatino Linotype" w:hAnsi="Palatino Linotype" w:cs="Palatino Linotype"/>
        </w:rPr>
        <w:t xml:space="preserve"> se advierte que la Unidad de Transparencia</w:t>
      </w:r>
      <w:r w:rsidR="009A111B" w:rsidRPr="00693E0E">
        <w:rPr>
          <w:rFonts w:ascii="Palatino Linotype" w:eastAsia="Palatino Linotype" w:hAnsi="Palatino Linotype" w:cs="Palatino Linotype"/>
        </w:rPr>
        <w:t xml:space="preserve"> fue la Unidad Administrativa </w:t>
      </w:r>
      <w:r w:rsidR="00702C95" w:rsidRPr="00693E0E">
        <w:rPr>
          <w:rFonts w:ascii="Palatino Linotype" w:eastAsia="Palatino Linotype" w:hAnsi="Palatino Linotype" w:cs="Palatino Linotype"/>
        </w:rPr>
        <w:t xml:space="preserve">la única </w:t>
      </w:r>
      <w:r w:rsidR="009A111B" w:rsidRPr="00693E0E">
        <w:rPr>
          <w:rFonts w:ascii="Palatino Linotype" w:eastAsia="Palatino Linotype" w:hAnsi="Palatino Linotype" w:cs="Palatino Linotype"/>
        </w:rPr>
        <w:t>que se pronunció respecto de los requerimientos realizados,</w:t>
      </w:r>
      <w:r w:rsidRPr="00693E0E">
        <w:rPr>
          <w:rFonts w:ascii="Palatino Linotype" w:eastAsia="Palatino Linotype" w:hAnsi="Palatino Linotype" w:cs="Palatino Linotype"/>
        </w:rPr>
        <w:t xml:space="preserve"> omiti</w:t>
      </w:r>
      <w:r w:rsidR="009A111B" w:rsidRPr="00693E0E">
        <w:rPr>
          <w:rFonts w:ascii="Palatino Linotype" w:eastAsia="Palatino Linotype" w:hAnsi="Palatino Linotype" w:cs="Palatino Linotype"/>
        </w:rPr>
        <w:t>endo</w:t>
      </w:r>
      <w:r w:rsidRPr="00693E0E">
        <w:rPr>
          <w:rFonts w:ascii="Palatino Linotype" w:eastAsia="Palatino Linotype" w:hAnsi="Palatino Linotype" w:cs="Palatino Linotype"/>
        </w:rPr>
        <w:t xml:space="preserve"> cumplir con el mandato que la Ley de Transparencia y Acceso a la Información Pública del Estado de México y Municipios le confiere, que es el de </w:t>
      </w:r>
      <w:r w:rsidRPr="00693E0E">
        <w:rPr>
          <w:rFonts w:ascii="Palatino Linotype" w:eastAsia="Palatino Linotype" w:hAnsi="Palatino Linotype" w:cs="Palatino Linotype"/>
        </w:rPr>
        <w:lastRenderedPageBreak/>
        <w:t xml:space="preserve">recibir, tramitar y dar respuesta a las solicitudes de acceso a la información que sean interpuestas ante el Ayuntamiento de Zinacantepec. </w:t>
      </w:r>
    </w:p>
    <w:p w14:paraId="10E28D6D" w14:textId="77777777" w:rsidR="009A111B" w:rsidRPr="00693E0E" w:rsidRDefault="009A111B">
      <w:pPr>
        <w:spacing w:line="360" w:lineRule="auto"/>
        <w:jc w:val="both"/>
        <w:rPr>
          <w:rFonts w:ascii="Palatino Linotype" w:eastAsia="Palatino Linotype" w:hAnsi="Palatino Linotype" w:cs="Palatino Linotype"/>
        </w:rPr>
      </w:pPr>
    </w:p>
    <w:p w14:paraId="5E585614"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Conforme a lo anterior, se considera procedente que para atender el requerimiento de información,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deberá realizar una búsqueda exhaustiva y razonable en las unidades administrativas competentes, a efecto de que proporcione los documentos donde consten los registros de asistencia de las áreas ya referidas en este estudio, del primero al treinta de septiembre de dos mil veintidós, con el fin de dar cumplimiento a los artículos 12, 160 y 162 de la Ley de Transparencia y Acceso a la Información Pública del Estado de México y Municipios.</w:t>
      </w:r>
    </w:p>
    <w:p w14:paraId="7DEB220A" w14:textId="77777777" w:rsidR="00BE6FE6" w:rsidRPr="00693E0E" w:rsidRDefault="00BE6FE6">
      <w:pPr>
        <w:spacing w:line="360" w:lineRule="auto"/>
        <w:jc w:val="both"/>
        <w:rPr>
          <w:rFonts w:ascii="Palatino Linotype" w:eastAsia="Palatino Linotype" w:hAnsi="Palatino Linotype" w:cs="Palatino Linotype"/>
        </w:rPr>
      </w:pPr>
    </w:p>
    <w:p w14:paraId="4085E599"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Ahora bien, para el caso que no cuente con la lista de asistencia de alguna de las áreas, o de determinado periodo, o bien, se encontraran determinados servidores públicos mediante teletrabajo, deberá proporcionar el documento que autorice dichas circunstancias, es decir, la expresión documental que establezca la excepción de elaborar listas de asistencia o de poder laborar vía teletrabajo, durante el periodo solicitado; lo anterior, con el fin de acreditar que existe una autorización expresa y dar cumplimiento a los artículos citados en el párrafo anterior.</w:t>
      </w:r>
    </w:p>
    <w:p w14:paraId="6BC6041C" w14:textId="77777777" w:rsidR="00BE6FE6" w:rsidRPr="00693E0E" w:rsidRDefault="00BE6FE6">
      <w:pPr>
        <w:spacing w:line="360" w:lineRule="auto"/>
        <w:jc w:val="both"/>
        <w:rPr>
          <w:rFonts w:ascii="Palatino Linotype" w:eastAsia="Palatino Linotype" w:hAnsi="Palatino Linotype" w:cs="Palatino Linotype"/>
        </w:rPr>
      </w:pPr>
    </w:p>
    <w:p w14:paraId="269884BC" w14:textId="77777777" w:rsidR="00702C95" w:rsidRPr="00693E0E" w:rsidRDefault="00702C95" w:rsidP="00702C95">
      <w:pPr>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t>Sobre la naturaleza de la información solicitada debe decirse que la Ley del Trabajo de los Servidores Públicos del Estado y Municipios, establece ciertos requisitos para tener por formalizada una relación de trabajo entre el servidor público y las entidades públicas, los que se destacan los siguiente:</w:t>
      </w:r>
    </w:p>
    <w:p w14:paraId="4428DCC4"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6EAA1514"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49.-</w:t>
      </w:r>
      <w:r w:rsidRPr="00693E0E">
        <w:rPr>
          <w:rFonts w:ascii="Palatino Linotype" w:eastAsia="Palatino Linotype" w:hAnsi="Palatino Linotype"/>
          <w:color w:val="auto"/>
          <w:sz w:val="22"/>
          <w:szCs w:val="22"/>
          <w:lang w:val="es-ES" w:eastAsia="es-ES"/>
        </w:rPr>
        <w:t xml:space="preserve"> Los nombramientos, contratos o formato único de Movimientos de Personal de los servidores públicos deberán contener:</w:t>
      </w:r>
    </w:p>
    <w:p w14:paraId="0DF7A438"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I. Nombre completo del servidor público;</w:t>
      </w:r>
    </w:p>
    <w:p w14:paraId="7063A6DF"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II. Cargo para el que es designado, fecha de inicio de sus servicios y lugar de adscripción; III. Carácter del nombramiento, ya sea de servidores públicos generales o de confianza, así como la temporalidad del mismo;</w:t>
      </w:r>
    </w:p>
    <w:p w14:paraId="3A05B17F"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IV. Remuneración correspondiente al puesto;</w:t>
      </w:r>
    </w:p>
    <w:p w14:paraId="077731FA" w14:textId="77777777" w:rsidR="00702C95" w:rsidRPr="00693E0E" w:rsidRDefault="00702C95" w:rsidP="00F231E6">
      <w:pPr>
        <w:pStyle w:val="Cita"/>
        <w:spacing w:before="0" w:after="0"/>
        <w:jc w:val="both"/>
        <w:rPr>
          <w:rFonts w:ascii="Palatino Linotype" w:eastAsia="Palatino Linotype" w:hAnsi="Palatino Linotype"/>
          <w:b/>
          <w:color w:val="auto"/>
          <w:sz w:val="22"/>
          <w:szCs w:val="22"/>
          <w:lang w:val="es-ES" w:eastAsia="es-ES"/>
        </w:rPr>
      </w:pPr>
      <w:r w:rsidRPr="00693E0E">
        <w:rPr>
          <w:rFonts w:ascii="Palatino Linotype" w:eastAsia="Palatino Linotype" w:hAnsi="Palatino Linotype"/>
          <w:b/>
          <w:color w:val="auto"/>
          <w:sz w:val="22"/>
          <w:szCs w:val="22"/>
          <w:lang w:val="es-ES" w:eastAsia="es-ES"/>
        </w:rPr>
        <w:t>V. Jornada de trabajo;</w:t>
      </w:r>
    </w:p>
    <w:p w14:paraId="02C4F953"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VI. Derogada;</w:t>
      </w:r>
    </w:p>
    <w:p w14:paraId="599D8CCA"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VII. Firma del servidor público autorizado para emitir el nombramiento, contrato o formato único de Movimientos de Personal, así como el fundamento</w:t>
      </w:r>
      <w:r w:rsidR="00F231E6" w:rsidRPr="00693E0E">
        <w:rPr>
          <w:rFonts w:ascii="Palatino Linotype" w:eastAsia="Palatino Linotype" w:hAnsi="Palatino Linotype"/>
          <w:color w:val="auto"/>
          <w:sz w:val="22"/>
          <w:szCs w:val="22"/>
          <w:lang w:val="es-ES" w:eastAsia="es-ES"/>
        </w:rPr>
        <w:t xml:space="preserve"> legal de esa atribución.</w:t>
      </w:r>
    </w:p>
    <w:p w14:paraId="0C2EFE99"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01E9FC91" w14:textId="77777777" w:rsidR="00702C95" w:rsidRPr="00693E0E" w:rsidRDefault="00702C95" w:rsidP="00702C95">
      <w:pPr>
        <w:tabs>
          <w:tab w:val="left" w:pos="709"/>
        </w:tabs>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t>Del anterior ordenamiento legal, se advierte que, en los nombramientos, contratos o formatos únicos de movimiento de personal, deben contener como requisitos entre otros la jornada de trabajo; es decir el periodo o espacio de tiempo por el cual el Servidor Público prestará su servicio al organismo público que se trate, lo que se robustece con lo establecido por los artículos 56 y 59 del mismo ordenamiento legal señalado en el párrafo anterior, que dispone:</w:t>
      </w:r>
    </w:p>
    <w:p w14:paraId="088AF702" w14:textId="77777777" w:rsidR="00702C95" w:rsidRPr="00693E0E" w:rsidRDefault="00702C95" w:rsidP="00702C95">
      <w:pPr>
        <w:tabs>
          <w:tab w:val="left" w:pos="709"/>
        </w:tabs>
        <w:ind w:left="567" w:right="618"/>
        <w:jc w:val="both"/>
        <w:rPr>
          <w:rFonts w:ascii="Palatino Linotype" w:eastAsia="Palatino Linotype" w:hAnsi="Palatino Linotype" w:cs="Palatino Linotype"/>
          <w:i/>
          <w:sz w:val="22"/>
          <w:szCs w:val="22"/>
          <w:lang w:val="es-ES" w:eastAsia="es-ES"/>
        </w:rPr>
      </w:pPr>
    </w:p>
    <w:p w14:paraId="5632C146" w14:textId="77777777" w:rsidR="00702C95" w:rsidRPr="00693E0E" w:rsidRDefault="00702C95" w:rsidP="00702C95">
      <w:pPr>
        <w:tabs>
          <w:tab w:val="left" w:pos="709"/>
        </w:tabs>
        <w:ind w:left="567" w:right="618"/>
        <w:jc w:val="both"/>
        <w:rPr>
          <w:rFonts w:ascii="Palatino Linotype" w:eastAsia="Palatino Linotype" w:hAnsi="Palatino Linotype" w:cs="Palatino Linotype"/>
          <w:i/>
          <w:sz w:val="22"/>
          <w:szCs w:val="22"/>
          <w:lang w:val="es-ES" w:eastAsia="es-ES"/>
        </w:rPr>
      </w:pPr>
      <w:r w:rsidRPr="00693E0E">
        <w:rPr>
          <w:rFonts w:ascii="Palatino Linotype" w:eastAsia="Palatino Linotype" w:hAnsi="Palatino Linotype" w:cs="Palatino Linotype"/>
          <w:b/>
          <w:i/>
          <w:sz w:val="22"/>
          <w:szCs w:val="22"/>
          <w:lang w:val="es-ES" w:eastAsia="es-ES"/>
        </w:rPr>
        <w:t>ARTÍCULO 56</w:t>
      </w:r>
      <w:r w:rsidRPr="00693E0E">
        <w:rPr>
          <w:rFonts w:ascii="Palatino Linotype" w:eastAsia="Palatino Linotype" w:hAnsi="Palatino Linotype" w:cs="Palatino Linotype"/>
          <w:i/>
          <w:sz w:val="22"/>
          <w:szCs w:val="22"/>
          <w:lang w:val="es-ES" w:eastAsia="es-ES"/>
        </w:rPr>
        <w:t>. Las condiciones generales de trabajo, establecerán como mínimo:</w:t>
      </w:r>
    </w:p>
    <w:p w14:paraId="742D7814" w14:textId="77777777" w:rsidR="00702C95" w:rsidRPr="00693E0E" w:rsidRDefault="00702C95" w:rsidP="00F231E6">
      <w:pPr>
        <w:tabs>
          <w:tab w:val="left" w:pos="709"/>
        </w:tabs>
        <w:ind w:left="567" w:right="618"/>
        <w:jc w:val="both"/>
        <w:rPr>
          <w:rFonts w:ascii="Palatino Linotype" w:eastAsia="Palatino Linotype" w:hAnsi="Palatino Linotype" w:cs="Palatino Linotype"/>
          <w:i/>
          <w:sz w:val="22"/>
          <w:szCs w:val="22"/>
          <w:lang w:val="es-ES" w:eastAsia="es-ES"/>
        </w:rPr>
      </w:pPr>
      <w:r w:rsidRPr="00693E0E">
        <w:rPr>
          <w:rFonts w:ascii="Palatino Linotype" w:eastAsia="Palatino Linotype" w:hAnsi="Palatino Linotype" w:cs="Palatino Linotype"/>
          <w:i/>
          <w:sz w:val="22"/>
          <w:szCs w:val="22"/>
          <w:lang w:val="es-ES" w:eastAsia="es-ES"/>
        </w:rPr>
        <w:t>I. Duración de la jornada de trabajo.</w:t>
      </w:r>
    </w:p>
    <w:p w14:paraId="0F648A22" w14:textId="77777777" w:rsidR="00F231E6" w:rsidRPr="00693E0E" w:rsidRDefault="00F231E6" w:rsidP="00F231E6">
      <w:pPr>
        <w:tabs>
          <w:tab w:val="left" w:pos="709"/>
        </w:tabs>
        <w:ind w:left="567" w:right="618"/>
        <w:jc w:val="both"/>
        <w:rPr>
          <w:rFonts w:ascii="Palatino Linotype" w:eastAsia="Palatino Linotype" w:hAnsi="Palatino Linotype" w:cs="Palatino Linotype"/>
          <w:i/>
          <w:sz w:val="22"/>
          <w:szCs w:val="22"/>
          <w:lang w:val="es-ES" w:eastAsia="es-ES"/>
        </w:rPr>
      </w:pPr>
      <w:r w:rsidRPr="00693E0E">
        <w:rPr>
          <w:rFonts w:ascii="Palatino Linotype" w:eastAsia="Palatino Linotype" w:hAnsi="Palatino Linotype" w:cs="Palatino Linotype"/>
          <w:i/>
          <w:sz w:val="22"/>
          <w:szCs w:val="22"/>
          <w:lang w:val="es-ES" w:eastAsia="es-ES"/>
        </w:rPr>
        <w:t>(…)</w:t>
      </w:r>
    </w:p>
    <w:p w14:paraId="1F13FF5D" w14:textId="77777777" w:rsidR="00F231E6" w:rsidRPr="00693E0E" w:rsidRDefault="00F231E6" w:rsidP="00F231E6">
      <w:pPr>
        <w:tabs>
          <w:tab w:val="left" w:pos="709"/>
        </w:tabs>
        <w:ind w:left="567" w:right="618"/>
        <w:jc w:val="both"/>
        <w:rPr>
          <w:rFonts w:ascii="Palatino Linotype" w:eastAsia="Palatino Linotype" w:hAnsi="Palatino Linotype" w:cs="Palatino Linotype"/>
          <w:i/>
          <w:sz w:val="22"/>
          <w:szCs w:val="22"/>
          <w:lang w:val="es-ES" w:eastAsia="es-ES"/>
        </w:rPr>
      </w:pPr>
    </w:p>
    <w:p w14:paraId="5D38516C" w14:textId="77777777" w:rsidR="00702C95" w:rsidRPr="00693E0E" w:rsidRDefault="00702C95" w:rsidP="00702C95">
      <w:pPr>
        <w:tabs>
          <w:tab w:val="left" w:pos="709"/>
        </w:tabs>
        <w:ind w:left="567" w:right="618"/>
        <w:jc w:val="both"/>
        <w:rPr>
          <w:rFonts w:ascii="Palatino Linotype" w:eastAsia="Palatino Linotype" w:hAnsi="Palatino Linotype" w:cs="Palatino Linotype"/>
          <w:i/>
          <w:sz w:val="22"/>
          <w:szCs w:val="22"/>
          <w:lang w:val="es-ES" w:eastAsia="es-ES"/>
        </w:rPr>
      </w:pPr>
      <w:r w:rsidRPr="00693E0E">
        <w:rPr>
          <w:rFonts w:ascii="Palatino Linotype" w:eastAsia="Palatino Linotype" w:hAnsi="Palatino Linotype" w:cs="Palatino Linotype"/>
          <w:b/>
          <w:i/>
          <w:sz w:val="22"/>
          <w:szCs w:val="22"/>
          <w:lang w:val="es-ES" w:eastAsia="es-ES"/>
        </w:rPr>
        <w:t>ARTÍCULO 59</w:t>
      </w:r>
      <w:r w:rsidRPr="00693E0E">
        <w:rPr>
          <w:rFonts w:ascii="Palatino Linotype" w:eastAsia="Palatino Linotype" w:hAnsi="Palatino Linotype" w:cs="Palatino Linotype"/>
          <w:i/>
          <w:sz w:val="22"/>
          <w:szCs w:val="22"/>
          <w:lang w:val="es-ES" w:eastAsia="es-ES"/>
        </w:rPr>
        <w:t>.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w:t>
      </w:r>
      <w:r w:rsidR="00F231E6" w:rsidRPr="00693E0E">
        <w:rPr>
          <w:rFonts w:ascii="Palatino Linotype" w:eastAsia="Palatino Linotype" w:hAnsi="Palatino Linotype" w:cs="Palatino Linotype"/>
          <w:i/>
          <w:sz w:val="22"/>
          <w:szCs w:val="22"/>
          <w:lang w:val="es-ES" w:eastAsia="es-ES"/>
        </w:rPr>
        <w:t>ceda los máximos legales.</w:t>
      </w:r>
    </w:p>
    <w:p w14:paraId="549896BE" w14:textId="77777777" w:rsidR="00702C95" w:rsidRPr="00693E0E" w:rsidRDefault="00702C95" w:rsidP="00702C95">
      <w:pPr>
        <w:tabs>
          <w:tab w:val="left" w:pos="709"/>
        </w:tabs>
        <w:ind w:left="567" w:right="618"/>
        <w:jc w:val="both"/>
        <w:rPr>
          <w:rFonts w:ascii="Palatino Linotype" w:eastAsia="Palatino Linotype" w:hAnsi="Palatino Linotype" w:cs="Palatino Linotype"/>
          <w:i/>
          <w:sz w:val="22"/>
          <w:szCs w:val="22"/>
          <w:lang w:val="es-ES" w:eastAsia="es-ES"/>
        </w:rPr>
      </w:pPr>
    </w:p>
    <w:p w14:paraId="7CDBD02F" w14:textId="77777777" w:rsidR="00702C95" w:rsidRPr="00693E0E" w:rsidRDefault="00702C95" w:rsidP="00702C95">
      <w:pPr>
        <w:tabs>
          <w:tab w:val="left" w:pos="709"/>
        </w:tabs>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lastRenderedPageBreak/>
        <w:t>En ese contexto, la duración de la jornada de trabajo puede ser de varias maneras las cuales se encuentran establecidas en el artículo 60, 61, 62 y 63 de la mencionada Ley de Trabajo, que literalmente señalan lo siguiente:</w:t>
      </w:r>
    </w:p>
    <w:p w14:paraId="17CEA120"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6D07FA73"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60</w:t>
      </w:r>
      <w:r w:rsidRPr="00693E0E">
        <w:rPr>
          <w:rFonts w:ascii="Palatino Linotype" w:eastAsia="Palatino Linotype" w:hAnsi="Palatino Linotype"/>
          <w:color w:val="auto"/>
          <w:sz w:val="22"/>
          <w:szCs w:val="22"/>
          <w:lang w:val="es-ES" w:eastAsia="es-ES"/>
        </w:rPr>
        <w:t>. La jornada de trabajo puede ser diurna, nocturna o mixta, conforme a lo siguiente:</w:t>
      </w:r>
    </w:p>
    <w:p w14:paraId="662005F6"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I. Diurna, la comprendida entre las seis y las veinte horas;</w:t>
      </w:r>
    </w:p>
    <w:p w14:paraId="759195B1"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 xml:space="preserve">II. Nocturna, la comprendida entre las veinte y las seis horas; y </w:t>
      </w:r>
    </w:p>
    <w:p w14:paraId="6D2893A5"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 xml:space="preserve">III. Mixta, la que comprenda períodos de tiempo de las jornadas diurna y nocturna, siempre que el período nocturno sea menor de tres horas y media, pues en caso contrario, se considerará como jornada nocturna.” </w:t>
      </w:r>
    </w:p>
    <w:p w14:paraId="48B513F5" w14:textId="77777777" w:rsidR="00F231E6" w:rsidRPr="00693E0E" w:rsidRDefault="00F231E6" w:rsidP="00F231E6">
      <w:pPr>
        <w:pStyle w:val="Cita"/>
        <w:spacing w:before="0" w:after="0"/>
        <w:jc w:val="both"/>
        <w:rPr>
          <w:rFonts w:ascii="Palatino Linotype" w:eastAsia="Palatino Linotype" w:hAnsi="Palatino Linotype"/>
          <w:b/>
          <w:color w:val="auto"/>
          <w:sz w:val="22"/>
          <w:szCs w:val="22"/>
          <w:lang w:val="es-ES" w:eastAsia="es-ES"/>
        </w:rPr>
      </w:pPr>
    </w:p>
    <w:p w14:paraId="65CB70F3"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61</w:t>
      </w:r>
      <w:r w:rsidRPr="00693E0E">
        <w:rPr>
          <w:rFonts w:ascii="Palatino Linotype" w:eastAsia="Palatino Linotype" w:hAnsi="Palatino Linotype"/>
          <w:color w:val="auto"/>
          <w:sz w:val="22"/>
          <w:szCs w:val="22"/>
          <w:lang w:val="es-ES" w:eastAsia="es-ES"/>
        </w:rPr>
        <w:t xml:space="preserve">. Cuando la naturaleza del trabajo así lo exija, la jornada se reducirá teniendo en cuenta el número de horas que pueda trabajar un individuo normal sin sufrir quebranto en su salud. </w:t>
      </w:r>
    </w:p>
    <w:p w14:paraId="48B8F70A" w14:textId="77777777" w:rsidR="00F231E6" w:rsidRPr="00693E0E" w:rsidRDefault="00F231E6" w:rsidP="00F231E6">
      <w:pPr>
        <w:pStyle w:val="Cita"/>
        <w:spacing w:before="0" w:after="0"/>
        <w:jc w:val="both"/>
        <w:rPr>
          <w:rFonts w:ascii="Palatino Linotype" w:eastAsia="Palatino Linotype" w:hAnsi="Palatino Linotype"/>
          <w:b/>
          <w:color w:val="auto"/>
          <w:sz w:val="22"/>
          <w:szCs w:val="22"/>
          <w:lang w:val="es-ES" w:eastAsia="es-ES"/>
        </w:rPr>
      </w:pPr>
    </w:p>
    <w:p w14:paraId="7AEA0F86"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62.</w:t>
      </w:r>
      <w:r w:rsidRPr="00693E0E">
        <w:rPr>
          <w:rFonts w:ascii="Palatino Linotype" w:eastAsia="Palatino Linotype" w:hAnsi="Palatino Linotype"/>
          <w:color w:val="auto"/>
          <w:sz w:val="22"/>
          <w:szCs w:val="22"/>
          <w:lang w:val="es-ES" w:eastAsia="es-ES"/>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0062802B" w14:textId="77777777" w:rsidR="00F231E6" w:rsidRPr="00693E0E" w:rsidRDefault="00F231E6" w:rsidP="00F231E6">
      <w:pPr>
        <w:pStyle w:val="Cita"/>
        <w:spacing w:before="0" w:after="0"/>
        <w:jc w:val="both"/>
        <w:rPr>
          <w:rFonts w:ascii="Palatino Linotype" w:eastAsia="Palatino Linotype" w:hAnsi="Palatino Linotype"/>
          <w:b/>
          <w:color w:val="auto"/>
          <w:sz w:val="22"/>
          <w:szCs w:val="22"/>
          <w:lang w:val="es-ES" w:eastAsia="es-ES"/>
        </w:rPr>
      </w:pPr>
    </w:p>
    <w:p w14:paraId="5DDBA818"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63</w:t>
      </w:r>
      <w:r w:rsidRPr="00693E0E">
        <w:rPr>
          <w:rFonts w:ascii="Palatino Linotype" w:eastAsia="Palatino Linotype" w:hAnsi="Palatino Linotype"/>
          <w:color w:val="auto"/>
          <w:sz w:val="22"/>
          <w:szCs w:val="22"/>
          <w:lang w:val="es-ES" w:eastAsia="es-ES"/>
        </w:rPr>
        <w:t>.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w:t>
      </w:r>
      <w:r w:rsidR="00F231E6" w:rsidRPr="00693E0E">
        <w:rPr>
          <w:rFonts w:ascii="Palatino Linotype" w:eastAsia="Palatino Linotype" w:hAnsi="Palatino Linotype"/>
          <w:color w:val="auto"/>
          <w:sz w:val="22"/>
          <w:szCs w:val="22"/>
          <w:lang w:val="es-ES" w:eastAsia="es-ES"/>
        </w:rPr>
        <w:t>empo efectivo de trabajo.</w:t>
      </w:r>
    </w:p>
    <w:p w14:paraId="4ECC7C95"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15D43C85" w14:textId="77777777" w:rsidR="00F231E6" w:rsidRPr="00693E0E" w:rsidRDefault="00702C95" w:rsidP="00F231E6">
      <w:pPr>
        <w:pStyle w:val="Cita"/>
        <w:spacing w:before="0" w:after="0"/>
        <w:jc w:val="both"/>
        <w:rPr>
          <w:rFonts w:ascii="Palatino Linotype" w:eastAsia="Palatino Linotype" w:hAnsi="Palatino Linotype"/>
          <w:b/>
          <w:color w:val="auto"/>
          <w:sz w:val="22"/>
          <w:szCs w:val="22"/>
          <w:lang w:val="es-ES" w:eastAsia="es-ES"/>
        </w:rPr>
      </w:pPr>
      <w:r w:rsidRPr="00693E0E">
        <w:rPr>
          <w:rFonts w:ascii="Palatino Linotype" w:eastAsia="Palatino Linotype" w:hAnsi="Palatino Linotype"/>
          <w:b/>
          <w:color w:val="auto"/>
          <w:sz w:val="22"/>
          <w:szCs w:val="22"/>
          <w:lang w:val="es-ES" w:eastAsia="es-ES"/>
        </w:rPr>
        <w:t>CAPITULO V</w:t>
      </w:r>
      <w:r w:rsidR="00F231E6" w:rsidRPr="00693E0E">
        <w:rPr>
          <w:rFonts w:ascii="Palatino Linotype" w:eastAsia="Palatino Linotype" w:hAnsi="Palatino Linotype"/>
          <w:b/>
          <w:color w:val="auto"/>
          <w:sz w:val="22"/>
          <w:szCs w:val="22"/>
          <w:lang w:val="es-ES" w:eastAsia="es-ES"/>
        </w:rPr>
        <w:t xml:space="preserve"> </w:t>
      </w:r>
      <w:r w:rsidRPr="00693E0E">
        <w:rPr>
          <w:rFonts w:ascii="Palatino Linotype" w:eastAsia="Palatino Linotype" w:hAnsi="Palatino Linotype"/>
          <w:b/>
          <w:color w:val="auto"/>
          <w:sz w:val="22"/>
          <w:szCs w:val="22"/>
          <w:lang w:val="es-ES" w:eastAsia="es-ES"/>
        </w:rPr>
        <w:t>DEL SUELDO</w:t>
      </w:r>
    </w:p>
    <w:p w14:paraId="0A226C5F"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71.</w:t>
      </w:r>
      <w:r w:rsidRPr="00693E0E">
        <w:rPr>
          <w:rFonts w:ascii="Palatino Linotype" w:eastAsia="Palatino Linotype" w:hAnsi="Palatino Linotype"/>
          <w:color w:val="auto"/>
          <w:sz w:val="22"/>
          <w:szCs w:val="22"/>
          <w:lang w:val="es-ES" w:eastAsia="es-ES"/>
        </w:rPr>
        <w:t xml:space="preserve"> El sueldo es la retribución que la institución pública debe pagar al servidor público por los servicios prestados.</w:t>
      </w:r>
    </w:p>
    <w:p w14:paraId="65A438E0" w14:textId="77777777" w:rsidR="00F231E6" w:rsidRPr="00693E0E" w:rsidRDefault="00F231E6" w:rsidP="00F231E6">
      <w:pPr>
        <w:pStyle w:val="Cita"/>
        <w:spacing w:before="0" w:after="0"/>
        <w:jc w:val="both"/>
        <w:rPr>
          <w:rFonts w:ascii="Palatino Linotype" w:eastAsia="Palatino Linotype" w:hAnsi="Palatino Linotype"/>
          <w:color w:val="auto"/>
          <w:sz w:val="22"/>
          <w:szCs w:val="22"/>
          <w:lang w:val="es-ES" w:eastAsia="es-ES"/>
        </w:rPr>
      </w:pPr>
    </w:p>
    <w:p w14:paraId="6826C456"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72.-</w:t>
      </w:r>
      <w:r w:rsidRPr="00693E0E">
        <w:rPr>
          <w:rFonts w:ascii="Palatino Linotype" w:eastAsia="Palatino Linotype" w:hAnsi="Palatino Linotype"/>
          <w:color w:val="auto"/>
          <w:sz w:val="22"/>
          <w:szCs w:val="22"/>
          <w:lang w:val="es-ES" w:eastAsia="es-ES"/>
        </w:rPr>
        <w:t xml:space="preserve"> A trabajo igual, desempeñado en puesto, horario y condiciones de eficiencia, también iguales y sin distinción de sexo, corresponde sueldo igual, debiendo ser éste uniforme para cada uno de los puestos que ocupen los servidores públicos.</w:t>
      </w:r>
    </w:p>
    <w:p w14:paraId="324704B7"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lastRenderedPageBreak/>
        <w:t>ARTÍCULO 73.</w:t>
      </w:r>
      <w:r w:rsidRPr="00693E0E">
        <w:rPr>
          <w:rFonts w:ascii="Palatino Linotype" w:eastAsia="Palatino Linotype" w:hAnsi="Palatino Linotype"/>
          <w:color w:val="auto"/>
          <w:sz w:val="22"/>
          <w:szCs w:val="22"/>
          <w:lang w:val="es-ES" w:eastAsia="es-ES"/>
        </w:rPr>
        <w:t xml:space="preserve"> El pago del sueldo se efectuará preferentemente en el lugar donde los servidores públicos presten sus servicios dentro del horario normal de labores; su monto se podrá cubrir en moneda de curso legal, en cheques nominativos de fácil cobro o utilizando el sistema que brinde mayor oportunidad y seguridad en el pago a los servidores públicos de acuerdo a lo establecido en las condiciones generales de trabajo o de conformidad con el sindicato respectivo.</w:t>
      </w:r>
    </w:p>
    <w:p w14:paraId="698CA26A" w14:textId="77777777" w:rsidR="00F231E6" w:rsidRPr="00693E0E" w:rsidRDefault="00F231E6" w:rsidP="00F231E6">
      <w:pPr>
        <w:pStyle w:val="Cita"/>
        <w:spacing w:before="0" w:after="0"/>
        <w:jc w:val="both"/>
        <w:rPr>
          <w:rFonts w:ascii="Palatino Linotype" w:eastAsia="Palatino Linotype" w:hAnsi="Palatino Linotype"/>
          <w:color w:val="auto"/>
          <w:sz w:val="22"/>
          <w:szCs w:val="22"/>
          <w:lang w:val="es-ES" w:eastAsia="es-ES"/>
        </w:rPr>
      </w:pPr>
    </w:p>
    <w:p w14:paraId="533FB6B7"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84.-</w:t>
      </w:r>
      <w:r w:rsidRPr="00693E0E">
        <w:rPr>
          <w:rFonts w:ascii="Palatino Linotype" w:eastAsia="Palatino Linotype" w:hAnsi="Palatino Linotype"/>
          <w:color w:val="auto"/>
          <w:sz w:val="22"/>
          <w:szCs w:val="22"/>
          <w:lang w:val="es-ES" w:eastAsia="es-ES"/>
        </w:rPr>
        <w:t xml:space="preserve"> Sólo podrán hacerse retenciones, descuentos o deducciones al sueldo de los servidores públicos por concepto de:</w:t>
      </w:r>
    </w:p>
    <w:p w14:paraId="4E516E22"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24FAFE85" w14:textId="77777777" w:rsidR="00F231E6"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 xml:space="preserve">VII. Faltas de puntualidad o de </w:t>
      </w:r>
      <w:r w:rsidR="00F231E6" w:rsidRPr="00693E0E">
        <w:rPr>
          <w:rFonts w:ascii="Palatino Linotype" w:eastAsia="Palatino Linotype" w:hAnsi="Palatino Linotype"/>
          <w:color w:val="auto"/>
          <w:sz w:val="22"/>
          <w:szCs w:val="22"/>
          <w:lang w:val="es-ES" w:eastAsia="es-ES"/>
        </w:rPr>
        <w:t xml:space="preserve">asistencia injustificadas; </w:t>
      </w:r>
    </w:p>
    <w:p w14:paraId="4C030AEF"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2BC74BC4" w14:textId="77777777" w:rsidR="00702C95" w:rsidRPr="00693E0E" w:rsidRDefault="00702C95" w:rsidP="00702C95">
      <w:pPr>
        <w:tabs>
          <w:tab w:val="left" w:pos="709"/>
        </w:tabs>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t>De lo precedente, se establecen algunos supuestos para la duración de la jornada de trabajo, la cual deberá cumplir cabalmente el Servidor Público ya que se establece como una obligación en la Ley de Trabajo de los Servidores Públicos del Estado de México y Municipios, en su artículo 88, que literalmente indica:</w:t>
      </w:r>
    </w:p>
    <w:p w14:paraId="17B268FC" w14:textId="77777777" w:rsidR="00702C95" w:rsidRPr="00693E0E" w:rsidRDefault="00702C95" w:rsidP="00F231E6">
      <w:pPr>
        <w:pStyle w:val="Cita"/>
        <w:spacing w:before="0" w:after="0"/>
        <w:jc w:val="both"/>
        <w:rPr>
          <w:rFonts w:ascii="Palatino Linotype" w:eastAsia="Palatino Linotype" w:hAnsi="Palatino Linotype"/>
          <w:color w:val="auto"/>
          <w:lang w:val="es-ES" w:eastAsia="es-ES"/>
        </w:rPr>
      </w:pPr>
    </w:p>
    <w:p w14:paraId="327249AA"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88</w:t>
      </w:r>
      <w:r w:rsidRPr="00693E0E">
        <w:rPr>
          <w:rFonts w:ascii="Palatino Linotype" w:eastAsia="Palatino Linotype" w:hAnsi="Palatino Linotype"/>
          <w:color w:val="auto"/>
          <w:sz w:val="22"/>
          <w:szCs w:val="22"/>
          <w:lang w:val="es-ES" w:eastAsia="es-ES"/>
        </w:rPr>
        <w:t>. Son obligaciones de los servidores públicos:</w:t>
      </w:r>
    </w:p>
    <w:p w14:paraId="6580C87C"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18983310"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21EBA383"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67ECA2FE"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VI. Cumplir con las obligaciones que señalan las condici</w:t>
      </w:r>
      <w:r w:rsidR="00F231E6" w:rsidRPr="00693E0E">
        <w:rPr>
          <w:rFonts w:ascii="Palatino Linotype" w:eastAsia="Palatino Linotype" w:hAnsi="Palatino Linotype"/>
          <w:color w:val="auto"/>
          <w:sz w:val="22"/>
          <w:szCs w:val="22"/>
          <w:lang w:val="es-ES" w:eastAsia="es-ES"/>
        </w:rPr>
        <w:t>ones generales de trabajo,</w:t>
      </w:r>
    </w:p>
    <w:p w14:paraId="7C35D245"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37D0A5C4" w14:textId="77777777" w:rsidR="00702C95" w:rsidRPr="00693E0E" w:rsidRDefault="00702C95" w:rsidP="00F231E6">
      <w:pPr>
        <w:pStyle w:val="Cita"/>
        <w:spacing w:before="0" w:after="0"/>
        <w:jc w:val="both"/>
        <w:rPr>
          <w:rFonts w:ascii="Palatino Linotype" w:eastAsia="Palatino Linotype" w:hAnsi="Palatino Linotype"/>
          <w:b/>
          <w:color w:val="auto"/>
          <w:sz w:val="22"/>
          <w:szCs w:val="22"/>
          <w:lang w:val="es-ES" w:eastAsia="es-ES"/>
        </w:rPr>
      </w:pPr>
      <w:r w:rsidRPr="00693E0E">
        <w:rPr>
          <w:rFonts w:ascii="Palatino Linotype" w:eastAsia="Palatino Linotype" w:hAnsi="Palatino Linotype"/>
          <w:b/>
          <w:color w:val="auto"/>
          <w:sz w:val="22"/>
          <w:szCs w:val="22"/>
          <w:lang w:val="es-ES" w:eastAsia="es-ES"/>
        </w:rPr>
        <w:t>CAPITULO IX</w:t>
      </w:r>
    </w:p>
    <w:p w14:paraId="5A741E0D" w14:textId="77777777" w:rsidR="00702C95" w:rsidRPr="00693E0E" w:rsidRDefault="00702C95" w:rsidP="00F231E6">
      <w:pPr>
        <w:pStyle w:val="Cita"/>
        <w:spacing w:before="0" w:after="0"/>
        <w:jc w:val="both"/>
        <w:rPr>
          <w:rFonts w:ascii="Palatino Linotype" w:eastAsia="Palatino Linotype" w:hAnsi="Palatino Linotype"/>
          <w:b/>
          <w:color w:val="auto"/>
          <w:sz w:val="22"/>
          <w:szCs w:val="22"/>
          <w:lang w:val="es-ES" w:eastAsia="es-ES"/>
        </w:rPr>
      </w:pPr>
      <w:r w:rsidRPr="00693E0E">
        <w:rPr>
          <w:rFonts w:ascii="Palatino Linotype" w:eastAsia="Palatino Linotype" w:hAnsi="Palatino Linotype"/>
          <w:b/>
          <w:color w:val="auto"/>
          <w:sz w:val="22"/>
          <w:szCs w:val="22"/>
          <w:lang w:val="es-ES" w:eastAsia="es-ES"/>
        </w:rPr>
        <w:t>DE LA RESCISION DE LA RELACION LABORAL</w:t>
      </w:r>
    </w:p>
    <w:p w14:paraId="33B1CE5C"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ARTÍCULO 93.- Son causas de rescisión de la relación laboral, sin responsabilidad para las instituciones públicas:</w:t>
      </w:r>
    </w:p>
    <w:p w14:paraId="47468001"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76A9855F" w14:textId="77777777" w:rsidR="00F231E6" w:rsidRPr="00693E0E" w:rsidRDefault="00702C95" w:rsidP="00F231E6">
      <w:pPr>
        <w:pStyle w:val="Cita"/>
        <w:spacing w:before="0" w:after="0"/>
        <w:jc w:val="both"/>
        <w:rPr>
          <w:rFonts w:ascii="Palatino Linotype" w:eastAsia="Palatino Linotype" w:hAnsi="Palatino Linotype"/>
          <w:color w:val="auto"/>
          <w:sz w:val="22"/>
          <w:szCs w:val="22"/>
          <w:u w:val="single"/>
          <w:lang w:val="es-ES" w:eastAsia="es-ES"/>
        </w:rPr>
      </w:pPr>
      <w:r w:rsidRPr="00693E0E">
        <w:rPr>
          <w:rFonts w:ascii="Palatino Linotype" w:eastAsia="Palatino Linotype" w:hAnsi="Palatino Linotype"/>
          <w:color w:val="auto"/>
          <w:sz w:val="22"/>
          <w:szCs w:val="22"/>
          <w:u w:val="single"/>
          <w:lang w:val="es-ES" w:eastAsia="es-ES"/>
        </w:rPr>
        <w:t>IV. Incurrir en cuatro o más faltas de asistencia a sus labores sin causa justificada, dentro de un lapso de treinta días;</w:t>
      </w:r>
    </w:p>
    <w:p w14:paraId="606E73A3" w14:textId="77777777" w:rsidR="00702C95" w:rsidRPr="00693E0E" w:rsidRDefault="00702C95" w:rsidP="00702C95">
      <w:pPr>
        <w:tabs>
          <w:tab w:val="left" w:pos="709"/>
        </w:tabs>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lastRenderedPageBreak/>
        <w:t>Es decir, que el Servidor Público tiene la obligación de cumplir con la jornada de trabajo estipulada en su nombramiento, contrato o formato único de movimiento de personal; en caso contrario, será motivo de rescisión de la relación laboral</w:t>
      </w:r>
      <w:r w:rsidRPr="00693E0E">
        <w:rPr>
          <w:rFonts w:ascii="Palatino Linotype" w:eastAsia="Palatino Linotype" w:hAnsi="Palatino Linotype" w:cs="Palatino Linotype"/>
          <w:vertAlign w:val="superscript"/>
          <w:lang w:val="es-ES" w:eastAsia="es-ES"/>
        </w:rPr>
        <w:footnoteReference w:id="1"/>
      </w:r>
      <w:r w:rsidRPr="00693E0E">
        <w:rPr>
          <w:rFonts w:ascii="Palatino Linotype" w:eastAsia="Palatino Linotype" w:hAnsi="Palatino Linotype" w:cs="Palatino Linotype"/>
          <w:lang w:val="es-ES" w:eastAsia="es-ES"/>
        </w:rPr>
        <w:t xml:space="preserve">. </w:t>
      </w:r>
    </w:p>
    <w:p w14:paraId="0857243D" w14:textId="77777777" w:rsidR="00702C95" w:rsidRPr="00693E0E" w:rsidRDefault="00702C95" w:rsidP="00702C95">
      <w:pPr>
        <w:tabs>
          <w:tab w:val="left" w:pos="709"/>
        </w:tabs>
        <w:spacing w:line="360" w:lineRule="auto"/>
        <w:jc w:val="both"/>
        <w:rPr>
          <w:rFonts w:ascii="Palatino Linotype" w:eastAsia="Palatino Linotype" w:hAnsi="Palatino Linotype" w:cs="Palatino Linotype"/>
          <w:lang w:val="es-ES" w:eastAsia="es-ES"/>
        </w:rPr>
      </w:pPr>
    </w:p>
    <w:p w14:paraId="1215DA7B" w14:textId="77777777" w:rsidR="00F231E6" w:rsidRPr="00693E0E" w:rsidRDefault="00702C95" w:rsidP="00F231E6">
      <w:pPr>
        <w:tabs>
          <w:tab w:val="left" w:pos="709"/>
        </w:tabs>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t>Ahora bien, para comprobar el cumplimiento de la jornada de trabajo del Servidor Público el patrón</w:t>
      </w:r>
      <w:r w:rsidRPr="00693E0E">
        <w:rPr>
          <w:rFonts w:ascii="Palatino Linotype" w:eastAsia="Palatino Linotype" w:hAnsi="Palatino Linotype" w:cs="Palatino Linotype"/>
          <w:vertAlign w:val="superscript"/>
          <w:lang w:val="es-ES" w:eastAsia="es-ES"/>
        </w:rPr>
        <w:footnoteReference w:id="2"/>
      </w:r>
      <w:r w:rsidRPr="00693E0E">
        <w:rPr>
          <w:rFonts w:ascii="Palatino Linotype" w:eastAsia="Palatino Linotype" w:hAnsi="Palatino Linotype" w:cs="Palatino Linotype"/>
          <w:lang w:val="es-ES" w:eastAsia="es-ES"/>
        </w:rPr>
        <w:t>, jefe o superior jerárquico, debe establecer un control de asistencias para sus servidores públicos, como así se lo establece el artículo 220-K de la repetitiva Ley de Trabajo, que de manera literal señala:</w:t>
      </w:r>
    </w:p>
    <w:p w14:paraId="6B6B5B80" w14:textId="77777777" w:rsidR="00F231E6" w:rsidRPr="00693E0E" w:rsidRDefault="00F231E6" w:rsidP="00F231E6">
      <w:pPr>
        <w:pStyle w:val="Cita"/>
        <w:spacing w:before="0" w:after="0"/>
        <w:jc w:val="both"/>
        <w:rPr>
          <w:rFonts w:ascii="Palatino Linotype" w:eastAsia="Palatino Linotype" w:hAnsi="Palatino Linotype"/>
          <w:color w:val="auto"/>
          <w:sz w:val="22"/>
          <w:szCs w:val="22"/>
          <w:lang w:val="es-ES" w:eastAsia="es-ES"/>
        </w:rPr>
      </w:pPr>
    </w:p>
    <w:p w14:paraId="10A22DE5"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ARTÍCULO 220 K.-</w:t>
      </w:r>
      <w:r w:rsidRPr="00693E0E">
        <w:rPr>
          <w:rFonts w:ascii="Palatino Linotype" w:eastAsia="Palatino Linotype" w:hAnsi="Palatino Linotype"/>
          <w:color w:val="auto"/>
          <w:sz w:val="22"/>
          <w:szCs w:val="22"/>
          <w:lang w:val="es-ES" w:eastAsia="es-ES"/>
        </w:rPr>
        <w:t xml:space="preserve"> La institución o dependencia pública tiene la obligación de conservar y exhibir en el proceso los documentos que a continuación se precisan:</w:t>
      </w:r>
    </w:p>
    <w:p w14:paraId="38C76F5A"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56079C45" w14:textId="77777777" w:rsidR="00702C95" w:rsidRPr="00693E0E" w:rsidRDefault="00702C95" w:rsidP="00F231E6">
      <w:pPr>
        <w:pStyle w:val="Cita"/>
        <w:spacing w:before="0" w:after="0"/>
        <w:jc w:val="both"/>
        <w:rPr>
          <w:rFonts w:ascii="Palatino Linotype" w:eastAsia="Palatino Linotype" w:hAnsi="Palatino Linotype"/>
          <w:b/>
          <w:color w:val="auto"/>
          <w:sz w:val="22"/>
          <w:szCs w:val="22"/>
          <w:lang w:val="es-ES" w:eastAsia="es-ES"/>
        </w:rPr>
      </w:pPr>
      <w:r w:rsidRPr="00693E0E">
        <w:rPr>
          <w:rFonts w:ascii="Palatino Linotype" w:eastAsia="Palatino Linotype" w:hAnsi="Palatino Linotype"/>
          <w:b/>
          <w:color w:val="auto"/>
          <w:sz w:val="22"/>
          <w:szCs w:val="22"/>
          <w:lang w:val="es-ES" w:eastAsia="es-ES"/>
        </w:rPr>
        <w:lastRenderedPageBreak/>
        <w:t>III. Controles de asistencia o la información magnética o electrónica de asistencia de los servidores públicos;</w:t>
      </w:r>
    </w:p>
    <w:p w14:paraId="7D02F554"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color w:val="auto"/>
          <w:sz w:val="22"/>
          <w:szCs w:val="22"/>
          <w:lang w:val="es-ES" w:eastAsia="es-ES"/>
        </w:rPr>
        <w:t>…</w:t>
      </w:r>
    </w:p>
    <w:p w14:paraId="758A97CA"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r w:rsidRPr="00693E0E">
        <w:rPr>
          <w:rFonts w:ascii="Palatino Linotype" w:eastAsia="Palatino Linotype" w:hAnsi="Palatino Linotype"/>
          <w:b/>
          <w:color w:val="auto"/>
          <w:sz w:val="22"/>
          <w:szCs w:val="22"/>
          <w:lang w:val="es-ES" w:eastAsia="es-ES"/>
        </w:rPr>
        <w:t>Los documentos señalados</w:t>
      </w:r>
      <w:r w:rsidRPr="00693E0E">
        <w:rPr>
          <w:rFonts w:ascii="Palatino Linotype" w:eastAsia="Palatino Linotype" w:hAnsi="Palatino Linotype"/>
          <w:color w:val="auto"/>
          <w:sz w:val="22"/>
          <w:szCs w:val="22"/>
          <w:lang w:val="es-ES" w:eastAsia="es-ES"/>
        </w:rPr>
        <w:t xml:space="preserve"> en la fracción I de este artículo, </w:t>
      </w:r>
      <w:r w:rsidRPr="00693E0E">
        <w:rPr>
          <w:rFonts w:ascii="Palatino Linotype" w:eastAsia="Palatino Linotype" w:hAnsi="Palatino Linotype"/>
          <w:b/>
          <w:color w:val="auto"/>
          <w:sz w:val="22"/>
          <w:szCs w:val="22"/>
          <w:lang w:val="es-ES" w:eastAsia="es-ES"/>
        </w:rPr>
        <w:t>deberán conservarse</w:t>
      </w:r>
      <w:r w:rsidRPr="00693E0E">
        <w:rPr>
          <w:rFonts w:ascii="Palatino Linotype" w:eastAsia="Palatino Linotype" w:hAnsi="Palatino Linotype"/>
          <w:color w:val="auto"/>
          <w:sz w:val="22"/>
          <w:szCs w:val="22"/>
          <w:lang w:val="es-ES" w:eastAsia="es-ES"/>
        </w:rPr>
        <w:t xml:space="preserve"> mientras dure la relación laboral y hasta un año después; </w:t>
      </w:r>
      <w:r w:rsidRPr="00693E0E">
        <w:rPr>
          <w:rFonts w:ascii="Palatino Linotype" w:eastAsia="Palatino Linotype" w:hAnsi="Palatino Linotype"/>
          <w:b/>
          <w:color w:val="auto"/>
          <w:sz w:val="22"/>
          <w:szCs w:val="22"/>
          <w:lang w:val="es-ES" w:eastAsia="es-ES"/>
        </w:rPr>
        <w:t>los señalados por las fracciones</w:t>
      </w:r>
      <w:r w:rsidRPr="00693E0E">
        <w:rPr>
          <w:rFonts w:ascii="Palatino Linotype" w:eastAsia="Palatino Linotype" w:hAnsi="Palatino Linotype"/>
          <w:color w:val="auto"/>
          <w:sz w:val="22"/>
          <w:szCs w:val="22"/>
          <w:lang w:val="es-ES" w:eastAsia="es-ES"/>
        </w:rPr>
        <w:t xml:space="preserve"> II, </w:t>
      </w:r>
      <w:r w:rsidRPr="00693E0E">
        <w:rPr>
          <w:rFonts w:ascii="Palatino Linotype" w:eastAsia="Palatino Linotype" w:hAnsi="Palatino Linotype"/>
          <w:b/>
          <w:color w:val="auto"/>
          <w:sz w:val="22"/>
          <w:szCs w:val="22"/>
          <w:lang w:val="es-ES" w:eastAsia="es-ES"/>
        </w:rPr>
        <w:t>III,</w:t>
      </w:r>
      <w:r w:rsidRPr="00693E0E">
        <w:rPr>
          <w:rFonts w:ascii="Palatino Linotype" w:eastAsia="Palatino Linotype" w:hAnsi="Palatino Linotype"/>
          <w:color w:val="auto"/>
          <w:sz w:val="22"/>
          <w:szCs w:val="22"/>
          <w:lang w:val="es-ES" w:eastAsia="es-ES"/>
        </w:rPr>
        <w:t xml:space="preserve"> IV </w:t>
      </w:r>
      <w:r w:rsidRPr="00693E0E">
        <w:rPr>
          <w:rFonts w:ascii="Palatino Linotype" w:eastAsia="Palatino Linotype" w:hAnsi="Palatino Linotype"/>
          <w:b/>
          <w:color w:val="auto"/>
          <w:sz w:val="22"/>
          <w:szCs w:val="22"/>
          <w:lang w:val="es-ES" w:eastAsia="es-ES"/>
        </w:rPr>
        <w:t>durante el último año y un año después de que se extinga la relación laboral</w:t>
      </w:r>
      <w:r w:rsidRPr="00693E0E">
        <w:rPr>
          <w:rFonts w:ascii="Palatino Linotype" w:eastAsia="Palatino Linotype" w:hAnsi="Palatino Linotype"/>
          <w:color w:val="auto"/>
          <w:sz w:val="22"/>
          <w:szCs w:val="22"/>
          <w:lang w:val="es-ES"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60EE1F62" w14:textId="77777777" w:rsidR="00702C95" w:rsidRPr="00693E0E" w:rsidRDefault="00702C95" w:rsidP="00F231E6">
      <w:pPr>
        <w:pStyle w:val="Cita"/>
        <w:spacing w:before="0" w:after="0"/>
        <w:jc w:val="both"/>
        <w:rPr>
          <w:rFonts w:ascii="Palatino Linotype" w:eastAsia="Palatino Linotype" w:hAnsi="Palatino Linotype"/>
          <w:color w:val="auto"/>
          <w:sz w:val="22"/>
          <w:szCs w:val="22"/>
          <w:lang w:val="es-ES" w:eastAsia="es-ES"/>
        </w:rPr>
      </w:pPr>
    </w:p>
    <w:p w14:paraId="2A36EE4F" w14:textId="77777777" w:rsidR="00702C95" w:rsidRPr="00693E0E" w:rsidRDefault="00702C95" w:rsidP="00F231E6">
      <w:pPr>
        <w:spacing w:line="360" w:lineRule="auto"/>
        <w:jc w:val="both"/>
        <w:rPr>
          <w:rFonts w:ascii="Palatino Linotype" w:eastAsia="Palatino Linotype" w:hAnsi="Palatino Linotype" w:cs="Palatino Linotype"/>
          <w:lang w:val="es-ES" w:eastAsia="es-ES"/>
        </w:rPr>
      </w:pPr>
      <w:r w:rsidRPr="00693E0E">
        <w:rPr>
          <w:rFonts w:ascii="Palatino Linotype" w:eastAsia="Palatino Linotype" w:hAnsi="Palatino Linotype" w:cs="Palatino Linotype"/>
          <w:lang w:val="es-ES" w:eastAsia="es-ES"/>
        </w:rPr>
        <w:t>A mayor abundamiento, cabe señalar que las listas de asistencias están vinculadas con el pago de remuneraciones</w:t>
      </w:r>
      <w:r w:rsidR="00F231E6" w:rsidRPr="00693E0E">
        <w:rPr>
          <w:rFonts w:ascii="Palatino Linotype" w:eastAsia="Palatino Linotype" w:hAnsi="Palatino Linotype" w:cs="Palatino Linotype"/>
          <w:lang w:val="es-ES" w:eastAsia="es-ES"/>
        </w:rPr>
        <w:t>,</w:t>
      </w:r>
      <w:r w:rsidRPr="00693E0E">
        <w:rPr>
          <w:rFonts w:ascii="Palatino Linotype" w:eastAsia="Palatino Linotype" w:hAnsi="Palatino Linotype" w:cs="Palatino Linotype"/>
          <w:lang w:val="es-ES" w:eastAsia="es-ES"/>
        </w:rPr>
        <w:t xml:space="preserve"> pues la jornada de trabajo es el tiempo durante el cual el Servidor Pública está a disposición de la institución públi</w:t>
      </w:r>
      <w:r w:rsidR="007310D0" w:rsidRPr="00693E0E">
        <w:rPr>
          <w:rFonts w:ascii="Palatino Linotype" w:eastAsia="Palatino Linotype" w:hAnsi="Palatino Linotype" w:cs="Palatino Linotype"/>
          <w:lang w:val="es-ES" w:eastAsia="es-ES"/>
        </w:rPr>
        <w:t xml:space="preserve">ca para prestar sus servicios. </w:t>
      </w:r>
      <w:r w:rsidRPr="00693E0E">
        <w:rPr>
          <w:rFonts w:ascii="Palatino Linotype" w:eastAsia="Palatino Linotype" w:hAnsi="Palatino Linotype" w:cs="Palatino Linotype"/>
          <w:lang w:val="es-ES" w:eastAsia="es-ES"/>
        </w:rPr>
        <w:t>Y en este sentido el horario de trabajo será determinado conforme a las necesidades del servicio de la institución pública o dependencia, de acuerdo a lo estipulado en las condiciones generales de trabajo sin</w:t>
      </w:r>
      <w:r w:rsidR="007310D0" w:rsidRPr="00693E0E">
        <w:rPr>
          <w:rFonts w:ascii="Palatino Linotype" w:eastAsia="Palatino Linotype" w:hAnsi="Palatino Linotype" w:cs="Palatino Linotype"/>
          <w:lang w:val="es-ES" w:eastAsia="es-ES"/>
        </w:rPr>
        <w:t xml:space="preserve"> que exceda los </w:t>
      </w:r>
      <w:r w:rsidR="00F231E6" w:rsidRPr="00693E0E">
        <w:rPr>
          <w:rFonts w:ascii="Palatino Linotype" w:eastAsia="Palatino Linotype" w:hAnsi="Palatino Linotype" w:cs="Palatino Linotype"/>
          <w:lang w:val="es-ES" w:eastAsia="es-ES"/>
        </w:rPr>
        <w:t>máximos legales</w:t>
      </w:r>
      <w:r w:rsidRPr="00693E0E">
        <w:rPr>
          <w:rFonts w:ascii="Palatino Linotype" w:eastAsia="Palatino Linotype" w:hAnsi="Palatino Linotype" w:cs="Palatino Linotype"/>
          <w:lang w:val="es-ES" w:eastAsia="es-ES"/>
        </w:rPr>
        <w:t>, por lo que en función de la disposición del servidor público  a la institución,  es  que  se realiza el</w:t>
      </w:r>
      <w:r w:rsidR="00F231E6" w:rsidRPr="00693E0E">
        <w:rPr>
          <w:rFonts w:ascii="Palatino Linotype" w:eastAsia="Palatino Linotype" w:hAnsi="Palatino Linotype" w:cs="Palatino Linotype"/>
          <w:lang w:val="es-ES" w:eastAsia="es-ES"/>
        </w:rPr>
        <w:t xml:space="preserve"> pago de remuneraciones lo que </w:t>
      </w:r>
      <w:r w:rsidRPr="00693E0E">
        <w:rPr>
          <w:rFonts w:ascii="Palatino Linotype" w:eastAsia="Palatino Linotype" w:hAnsi="Palatino Linotype" w:cs="Palatino Linotype"/>
          <w:lang w:val="es-ES" w:eastAsia="es-ES"/>
        </w:rPr>
        <w:t>implica un gasto con recursos públicos que obviamente justifica su publicidad, por las siguientes razones: Primero, se trata de uno de los temas fundacionales del régimen de transparencia: el dinero público. En el caso en comento, del dinero público asignado y gastado. Segundo, no hay tema más atractivo en el marco del acceso a la información que el de conocer el uso y destino de los recursos financieros o dinerarios públicos administrados por los Sujetos Obligados. Es una de las razones primordiales de que exista el régimen de transparencia y del derecho de acceso a la información.</w:t>
      </w:r>
    </w:p>
    <w:p w14:paraId="18612245" w14:textId="77777777" w:rsidR="00F231E6" w:rsidRPr="00693E0E" w:rsidRDefault="00702C95" w:rsidP="00F231E6">
      <w:pPr>
        <w:spacing w:line="360" w:lineRule="auto"/>
        <w:jc w:val="both"/>
        <w:rPr>
          <w:rFonts w:ascii="Palatino Linotype" w:eastAsia="Palatino Linotype" w:hAnsi="Palatino Linotype" w:cs="Palatino Linotype"/>
          <w:lang w:val="es-ES" w:eastAsia="es-ES"/>
        </w:rPr>
      </w:pPr>
      <w:bookmarkStart w:id="4" w:name="_heading=h.ky0b2r4x62om" w:colFirst="0" w:colLast="0"/>
      <w:bookmarkEnd w:id="4"/>
      <w:r w:rsidRPr="00693E0E">
        <w:rPr>
          <w:rFonts w:ascii="Palatino Linotype" w:eastAsia="Palatino Linotype" w:hAnsi="Palatino Linotype" w:cs="Palatino Linotype"/>
          <w:lang w:val="es-ES" w:eastAsia="es-ES"/>
        </w:rPr>
        <w:lastRenderedPageBreak/>
        <w:t xml:space="preserve">La publicidad de información además sin duda se justifica ya que los sistemas los sistemas de administración o de control de personal son herramientas útiles para que la consecución de los objetivos, obligaciones y metas institucionales. De ahí resulta importante que todo servidor sea, al mismo tiempo, parte viva o actuante para la observancia de la puntualidad, asistencia, permanencia, productividad con calidad y de responsabilidad social de cara a un futuro de más y nuevas oportunidades de realización personal, social, familiar y laboral. </w:t>
      </w:r>
    </w:p>
    <w:p w14:paraId="616C752D" w14:textId="77777777" w:rsidR="00F231E6" w:rsidRPr="00693E0E" w:rsidRDefault="00F231E6" w:rsidP="00F231E6">
      <w:pPr>
        <w:spacing w:line="360" w:lineRule="auto"/>
        <w:jc w:val="both"/>
        <w:rPr>
          <w:rFonts w:ascii="Palatino Linotype" w:eastAsia="Palatino Linotype" w:hAnsi="Palatino Linotype" w:cs="Palatino Linotype"/>
          <w:lang w:val="es-ES" w:eastAsia="es-ES"/>
        </w:rPr>
      </w:pPr>
    </w:p>
    <w:p w14:paraId="18D81D76" w14:textId="77777777" w:rsidR="00702C95" w:rsidRPr="00693E0E" w:rsidRDefault="00702C95" w:rsidP="00F231E6">
      <w:pPr>
        <w:spacing w:line="360" w:lineRule="auto"/>
        <w:jc w:val="both"/>
        <w:rPr>
          <w:rFonts w:ascii="Palatino Linotype" w:eastAsia="Palatino Linotype" w:hAnsi="Palatino Linotype" w:cs="Palatino Linotype"/>
          <w:i/>
          <w:lang w:val="es-ES" w:eastAsia="es-ES"/>
        </w:rPr>
      </w:pPr>
      <w:r w:rsidRPr="00693E0E">
        <w:rPr>
          <w:rFonts w:ascii="Palatino Linotype" w:eastAsia="Palatino Linotype" w:hAnsi="Palatino Linotype" w:cs="Palatino Linotype"/>
          <w:lang w:val="es-ES" w:eastAsia="es-ES"/>
        </w:rPr>
        <w:t>En suma, el cumplimiento, o no, de la asistencia laboral, se refleja en los propósitos de conseguir un mejor y mayor desempeño o rendimiento contraen responsabilidades, algunas de las cuales obligan a sancionar con el fin de encarar y eliminar las inconductas laborales que se puedan manifestar, asentar y debilitar a la institución municipal. Definitivamente, las conductas que son relevantes por su laboriosidad, dedicación mostrada, el esfuerzo conseguido o el cumplimiento oportuno de deberes, sin duda, ameritan, responsablemente, reconocer, estimular y resaltar como contribución tendiente al engrandecimiento institucional y la buena práctica de puntualidad y responsabilidad con la ciudadanía</w:t>
      </w:r>
      <w:r w:rsidRPr="00693E0E">
        <w:rPr>
          <w:rFonts w:ascii="Palatino Linotype" w:eastAsia="Palatino Linotype" w:hAnsi="Palatino Linotype" w:cs="Palatino Linotype"/>
          <w:i/>
          <w:lang w:val="es-ES" w:eastAsia="es-ES"/>
        </w:rPr>
        <w:t>.</w:t>
      </w:r>
    </w:p>
    <w:p w14:paraId="35EEF0BD" w14:textId="77777777" w:rsidR="001A05AE" w:rsidRPr="00693E0E" w:rsidRDefault="001A05AE">
      <w:pPr>
        <w:spacing w:line="360" w:lineRule="auto"/>
        <w:jc w:val="both"/>
        <w:rPr>
          <w:rFonts w:ascii="Palatino Linotype" w:eastAsia="Palatino Linotype" w:hAnsi="Palatino Linotype" w:cs="Palatino Linotype"/>
        </w:rPr>
      </w:pPr>
    </w:p>
    <w:p w14:paraId="2A965755"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Ahora bien, para el caso de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no cuente con listas de asistencia y documento de excepción, deberá declarar formalmente la inexistencia de los registros de asistencia correspondientes, al existir una obligación normativa de contar con ellos, la cual se encuentra prevista en el artículo 220 K, fracción III, Ley </w:t>
      </w:r>
      <w:r w:rsidRPr="00693E0E">
        <w:rPr>
          <w:rFonts w:ascii="Palatino Linotype" w:eastAsia="Palatino Linotype" w:hAnsi="Palatino Linotype" w:cs="Palatino Linotype"/>
        </w:rPr>
        <w:lastRenderedPageBreak/>
        <w:t xml:space="preserve">del Trabajo de los Servidores Públicos del Estado y Municipios, que precisa lo siguiente: </w:t>
      </w:r>
    </w:p>
    <w:p w14:paraId="64A11518"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B322E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ARTÍCULO 220 K.- La institución o dependencia pública tiene la obligación de conservar y exhibir en el proceso los documentos que a continuación se precisan:</w:t>
      </w:r>
    </w:p>
    <w:p w14:paraId="7D4F6C1B"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6AF346BC"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III. Controles de asistencia o la información magnética o electrónica de asistencia de los servidores públicos;</w:t>
      </w:r>
    </w:p>
    <w:p w14:paraId="11ED8F1D"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 </w:t>
      </w:r>
    </w:p>
    <w:p w14:paraId="619805E7"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693E0E">
        <w:rPr>
          <w:rFonts w:ascii="Palatino Linotype" w:eastAsia="Palatino Linotype" w:hAnsi="Palatino Linotype" w:cs="Palatino Linotype"/>
          <w:b/>
          <w:i/>
          <w:sz w:val="22"/>
          <w:szCs w:val="22"/>
        </w:rPr>
        <w:t>los señalados por las fracciones II, III, IV durante el último año y un año después de que se extinga la relación laboral</w:t>
      </w:r>
      <w:r w:rsidRPr="00693E0E">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0275BDE" w14:textId="77777777" w:rsidR="00BE6FE6" w:rsidRPr="00693E0E" w:rsidRDefault="00BE6FE6">
      <w:pPr>
        <w:spacing w:line="360" w:lineRule="auto"/>
        <w:jc w:val="both"/>
        <w:rPr>
          <w:rFonts w:ascii="Palatino Linotype" w:eastAsia="Palatino Linotype" w:hAnsi="Palatino Linotype" w:cs="Palatino Linotype"/>
          <w:i/>
          <w:sz w:val="22"/>
          <w:szCs w:val="22"/>
        </w:rPr>
      </w:pPr>
    </w:p>
    <w:p w14:paraId="20FC0B2C"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Es una obligación del Ayuntamiento, conservar los controles de asistencia, lo cual toma relevancia, pues dichos documentos son utilizados para determinar las faltas de los servidores públicos y calcular el monto de las remuneraciones quincenal; 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w:t>
      </w:r>
    </w:p>
    <w:p w14:paraId="00456151" w14:textId="77777777" w:rsidR="007310D0" w:rsidRPr="00693E0E" w:rsidRDefault="007310D0">
      <w:pPr>
        <w:spacing w:line="360" w:lineRule="auto"/>
        <w:jc w:val="both"/>
        <w:rPr>
          <w:rFonts w:ascii="Palatino Linotype" w:eastAsia="Palatino Linotype" w:hAnsi="Palatino Linotype" w:cs="Palatino Linotype"/>
        </w:rPr>
      </w:pPr>
    </w:p>
    <w:p w14:paraId="00B31B19"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Asimismo, que si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en el ejercicio de sus atribuciones, debía generar, poseer o administrar la información, pero esta no se encuentra, </w:t>
      </w:r>
      <w:r w:rsidRPr="00693E0E">
        <w:rPr>
          <w:rFonts w:ascii="Palatino Linotype" w:eastAsia="Palatino Linotype" w:hAnsi="Palatino Linotype" w:cs="Palatino Linotype"/>
          <w:b/>
        </w:rPr>
        <w:t xml:space="preserve">el Comité </w:t>
      </w:r>
      <w:r w:rsidRPr="00693E0E">
        <w:rPr>
          <w:rFonts w:ascii="Palatino Linotype" w:eastAsia="Palatino Linotype" w:hAnsi="Palatino Linotype" w:cs="Palatino Linotype"/>
          <w:b/>
        </w:rPr>
        <w:lastRenderedPageBreak/>
        <w:t>de Transparencia deberá emitir un acuerdo de inexistencia</w:t>
      </w:r>
      <w:r w:rsidRPr="00693E0E">
        <w:rPr>
          <w:rFonts w:ascii="Palatino Linotype" w:eastAsia="Palatino Linotype" w:hAnsi="Palatino Linotype" w:cs="Palatino Linotype"/>
        </w:rPr>
        <w:t>, debidamente fundado y motivado, en el que detalle las razones del por qué no obra en sus archivos.</w:t>
      </w:r>
    </w:p>
    <w:p w14:paraId="72234A2C" w14:textId="77777777" w:rsidR="00BE6FE6" w:rsidRPr="00693E0E" w:rsidRDefault="00BE6FE6">
      <w:pPr>
        <w:spacing w:line="360" w:lineRule="auto"/>
        <w:jc w:val="both"/>
        <w:rPr>
          <w:rFonts w:ascii="Palatino Linotype" w:eastAsia="Palatino Linotype" w:hAnsi="Palatino Linotype" w:cs="Palatino Linotype"/>
        </w:rPr>
      </w:pPr>
    </w:p>
    <w:p w14:paraId="4EE17C1F"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En ese orden de ideas, el Criterio de interpretación, de la Primera Época, con clave de control SO/012/2010, emitido por el Pleno del Instituto Nacional de Transparencia, Acceso a la Información y Protección de Datos Personales, mismo que se cita por analogía, establece lo siguiente:</w:t>
      </w:r>
    </w:p>
    <w:p w14:paraId="3B639358"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61867E3"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93E0E">
        <w:rPr>
          <w:rFonts w:ascii="Palatino Linotype" w:eastAsia="Palatino Linotype" w:hAnsi="Palatino Linotype" w:cs="Palatino Linotype"/>
          <w:b/>
          <w:i/>
          <w:sz w:val="22"/>
          <w:szCs w:val="22"/>
        </w:rPr>
        <w:t xml:space="preserve">Propósito de la declaración formal de inexistencia. </w:t>
      </w:r>
      <w:r w:rsidRPr="00693E0E">
        <w:rPr>
          <w:rFonts w:ascii="Palatino Linotype" w:eastAsia="Palatino Linotype" w:hAnsi="Palatino Linotype" w:cs="Palatino Linotype"/>
          <w:i/>
          <w:sz w:val="22"/>
          <w:szCs w:val="22"/>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693E0E">
        <w:rPr>
          <w:rFonts w:ascii="Palatino Linotype" w:eastAsia="Palatino Linotype" w:hAnsi="Palatino Linotype" w:cs="Palatino Linotype"/>
          <w:b/>
          <w:i/>
          <w:sz w:val="22"/>
          <w:szCs w:val="22"/>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21567643"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03B97E" w14:textId="77777777" w:rsidR="00BE6FE6" w:rsidRPr="00693E0E" w:rsidRDefault="00297D70" w:rsidP="007310D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De la misma manera, el Criterio de interpretación, de la Segunda Época, con clave de control SO/004/2019, emitido por el del Instituto Nacional de Transparencia, Acceso a la Información y Protección de Datos Personales, cuyo texto y rubro son los siguientes: </w:t>
      </w:r>
    </w:p>
    <w:p w14:paraId="62EFBF62" w14:textId="77777777" w:rsidR="00BE6FE6" w:rsidRPr="00693E0E" w:rsidRDefault="00297D7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lastRenderedPageBreak/>
        <w:t>Propósito de la declaración formal de inexistencia.</w:t>
      </w:r>
      <w:r w:rsidRPr="00693E0E">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228DFDAD" w14:textId="77777777" w:rsidR="00BE6FE6" w:rsidRPr="00693E0E" w:rsidRDefault="00BE6FE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C499EFA"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p>
    <w:p w14:paraId="6F64C172" w14:textId="77777777" w:rsidR="00BE6FE6" w:rsidRPr="00693E0E" w:rsidRDefault="00BE6FE6">
      <w:pPr>
        <w:spacing w:line="360" w:lineRule="auto"/>
        <w:jc w:val="both"/>
        <w:rPr>
          <w:rFonts w:ascii="Palatino Linotype" w:eastAsia="Palatino Linotype" w:hAnsi="Palatino Linotype" w:cs="Palatino Linotype"/>
        </w:rPr>
      </w:pPr>
    </w:p>
    <w:p w14:paraId="075E3072"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Asimismo, según Calero, Natalia (2016), en la “Ley General de Transparencia y Acceso a la Información Pública Comentada” (p. 419), las declaraciones de inexistencia, deben contener lo siguiente:</w:t>
      </w:r>
    </w:p>
    <w:p w14:paraId="43754CF8" w14:textId="77777777" w:rsidR="00BE6FE6" w:rsidRPr="00693E0E" w:rsidRDefault="00BE6FE6">
      <w:pPr>
        <w:spacing w:line="360" w:lineRule="auto"/>
        <w:jc w:val="both"/>
        <w:rPr>
          <w:rFonts w:ascii="Palatino Linotype" w:eastAsia="Palatino Linotype" w:hAnsi="Palatino Linotype" w:cs="Palatino Linotype"/>
        </w:rPr>
      </w:pPr>
    </w:p>
    <w:p w14:paraId="0616B1D8" w14:textId="77777777" w:rsidR="00BE6FE6" w:rsidRPr="00693E0E" w:rsidRDefault="00297D70">
      <w:pPr>
        <w:numPr>
          <w:ilvl w:val="0"/>
          <w:numId w:val="2"/>
        </w:numPr>
        <w:spacing w:line="360" w:lineRule="auto"/>
        <w:jc w:val="both"/>
        <w:rPr>
          <w:rFonts w:ascii="Palatino Linotype" w:eastAsia="Palatino Linotype" w:hAnsi="Palatino Linotype" w:cs="Palatino Linotype"/>
          <w:b/>
        </w:rPr>
      </w:pPr>
      <w:r w:rsidRPr="00693E0E">
        <w:rPr>
          <w:rFonts w:ascii="Palatino Linotype" w:eastAsia="Palatino Linotype" w:hAnsi="Palatino Linotype" w:cs="Palatino Linotype"/>
          <w:b/>
        </w:rPr>
        <w:t>Los elementos que le permitan a los solicitantes tener certeza de que el Sujeto Obligado utilizó un criterio de búsqueda exhaustivo:</w:t>
      </w:r>
      <w:r w:rsidRPr="00693E0E">
        <w:rPr>
          <w:rFonts w:ascii="Palatino Linotype" w:eastAsia="Palatino Linotype" w:hAnsi="Palatino Linotype" w:cs="Palatino Linotype"/>
        </w:rPr>
        <w:t xml:space="preserve"> Para atender dicho supuesto, se debe precisar en qué unidades administrativas buscó, así como en el tipo de archivos y la manera en que realizó la indagación;</w:t>
      </w:r>
    </w:p>
    <w:p w14:paraId="2FB16697" w14:textId="77777777" w:rsidR="00BE6FE6" w:rsidRPr="00693E0E" w:rsidRDefault="00297D70">
      <w:pPr>
        <w:numPr>
          <w:ilvl w:val="0"/>
          <w:numId w:val="2"/>
        </w:numPr>
        <w:spacing w:line="360" w:lineRule="auto"/>
        <w:jc w:val="both"/>
        <w:rPr>
          <w:rFonts w:ascii="Palatino Linotype" w:eastAsia="Palatino Linotype" w:hAnsi="Palatino Linotype" w:cs="Palatino Linotype"/>
          <w:b/>
        </w:rPr>
      </w:pPr>
      <w:r w:rsidRPr="00693E0E">
        <w:rPr>
          <w:rFonts w:ascii="Palatino Linotype" w:eastAsia="Palatino Linotype" w:hAnsi="Palatino Linotype" w:cs="Palatino Linotype"/>
          <w:b/>
        </w:rPr>
        <w:t xml:space="preserve">Las circunstancias de tiempo, modo y lugar que motiven las razones por las cuales la información es inexistente: </w:t>
      </w:r>
      <w:r w:rsidRPr="00693E0E">
        <w:rPr>
          <w:rFonts w:ascii="Palatino Linotype" w:eastAsia="Palatino Linotype" w:hAnsi="Palatino Linotype" w:cs="Palatino Linotype"/>
        </w:rPr>
        <w:t xml:space="preserve">Al respecto, los sujetos obligados para </w:t>
      </w:r>
      <w:r w:rsidRPr="00693E0E">
        <w:rPr>
          <w:rFonts w:ascii="Palatino Linotype" w:eastAsia="Palatino Linotype" w:hAnsi="Palatino Linotype" w:cs="Palatino Linotype"/>
        </w:rPr>
        <w:lastRenderedPageBreak/>
        <w:t>acreditar dicho punto, deberán proveer la mayor cantidad de elementos posibles que permitan evidencia las razones por las cuales la información requerida no existe</w:t>
      </w:r>
      <w:r w:rsidRPr="00693E0E">
        <w:rPr>
          <w:rFonts w:ascii="Palatino Linotype" w:eastAsia="Palatino Linotype" w:hAnsi="Palatino Linotype" w:cs="Palatino Linotype"/>
          <w:b/>
        </w:rPr>
        <w:t>,</w:t>
      </w:r>
      <w:r w:rsidRPr="00693E0E">
        <w:rPr>
          <w:rFonts w:ascii="Palatino Linotype" w:eastAsia="Palatino Linotype" w:hAnsi="Palatino Linotype" w:cs="Palatino Linotype"/>
        </w:rPr>
        <w:t xml:space="preserve"> y</w:t>
      </w:r>
    </w:p>
    <w:p w14:paraId="43B96E65" w14:textId="77777777" w:rsidR="00BE6FE6" w:rsidRPr="00693E0E" w:rsidRDefault="00297D70">
      <w:pPr>
        <w:numPr>
          <w:ilvl w:val="0"/>
          <w:numId w:val="2"/>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El servidor público responsable de contar con ésta</w:t>
      </w:r>
      <w:r w:rsidRPr="00693E0E">
        <w:rPr>
          <w:rFonts w:ascii="Palatino Linotype" w:eastAsia="Palatino Linotype" w:hAnsi="Palatino Linotype" w:cs="Palatino Linotype"/>
        </w:rPr>
        <w:t>: Es importante indicar, el cargo y las razones jurídicas por las cuales debió generar la información.</w:t>
      </w:r>
    </w:p>
    <w:p w14:paraId="3BCCF3BB" w14:textId="77777777" w:rsidR="00BE6FE6" w:rsidRPr="00693E0E" w:rsidRDefault="00BE6FE6">
      <w:pPr>
        <w:spacing w:line="360" w:lineRule="auto"/>
        <w:jc w:val="both"/>
        <w:rPr>
          <w:rFonts w:ascii="Palatino Linotype" w:eastAsia="Palatino Linotype" w:hAnsi="Palatino Linotype" w:cs="Palatino Linotype"/>
        </w:rPr>
      </w:pPr>
    </w:p>
    <w:p w14:paraId="40AF1B02"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Conforme a lo citado, se considera que es necesario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 xml:space="preserve">declare por medio de su Comité de Transparencia, la inexistencia de los registros de asistencia correspondientes, para el caso que no obre en sus archivos y no cuente con un documento que autorice la omisión a generar dichas documentales; </w:t>
      </w:r>
      <w:r w:rsidRPr="00693E0E">
        <w:rPr>
          <w:rFonts w:ascii="Palatino Linotype" w:eastAsia="Palatino Linotype" w:hAnsi="Palatino Linotype" w:cs="Palatino Linotype"/>
        </w:rPr>
        <w:t xml:space="preserve">para tal situación, deberá seguir el procedimiento establecido en el artículo 169 y 170 de la Ley de Transparencia y Acceso a la Información Pública del Estado de México y Municipios, que precisa que cuando la información no se encuentre en los archivos del </w:t>
      </w:r>
      <w:r w:rsidRPr="00693E0E">
        <w:rPr>
          <w:rFonts w:ascii="Palatino Linotype" w:eastAsia="Palatino Linotype" w:hAnsi="Palatino Linotype" w:cs="Palatino Linotype"/>
          <w:b/>
        </w:rPr>
        <w:t>SUJETO OBLIGADO,</w:t>
      </w:r>
      <w:r w:rsidRPr="00693E0E">
        <w:rPr>
          <w:rFonts w:ascii="Palatino Linotype" w:eastAsia="Palatino Linotype" w:hAnsi="Palatino Linotype" w:cs="Palatino Linotype"/>
        </w:rPr>
        <w:t xml:space="preserve"> su Comité de Transparencia deberá:</w:t>
      </w:r>
    </w:p>
    <w:p w14:paraId="18ABFFE9" w14:textId="77777777" w:rsidR="00BE6FE6" w:rsidRPr="00693E0E" w:rsidRDefault="00BE6FE6">
      <w:pPr>
        <w:spacing w:line="360" w:lineRule="auto"/>
        <w:jc w:val="both"/>
        <w:rPr>
          <w:rFonts w:ascii="Palatino Linotype" w:eastAsia="Palatino Linotype" w:hAnsi="Palatino Linotype" w:cs="Palatino Linotype"/>
        </w:rPr>
      </w:pPr>
    </w:p>
    <w:p w14:paraId="19853B81" w14:textId="77777777" w:rsidR="00BE6FE6" w:rsidRPr="00693E0E" w:rsidRDefault="00297D70">
      <w:pPr>
        <w:numPr>
          <w:ilvl w:val="0"/>
          <w:numId w:val="3"/>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Analizar el caso y tomar las medidas necesarias para localizar la información;</w:t>
      </w:r>
    </w:p>
    <w:p w14:paraId="27487DA3" w14:textId="77777777" w:rsidR="00BE6FE6" w:rsidRPr="00693E0E" w:rsidRDefault="00297D70">
      <w:pPr>
        <w:numPr>
          <w:ilvl w:val="0"/>
          <w:numId w:val="3"/>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23088B6B" w14:textId="77777777" w:rsidR="00BE6FE6" w:rsidRPr="00693E0E" w:rsidRDefault="00297D70">
      <w:pPr>
        <w:numPr>
          <w:ilvl w:val="0"/>
          <w:numId w:val="3"/>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Ordenar, siempre que sea materialmente posible, que se genere o reponga la información en caso que ésta tuviera que existir</w:t>
      </w:r>
      <w:r w:rsidRPr="00693E0E">
        <w:rPr>
          <w:rFonts w:ascii="Palatino Linotype" w:eastAsia="Palatino Linotype" w:hAnsi="Palatino Linotype" w:cs="Palatino Linotype"/>
        </w:rPr>
        <w:t xml:space="preserve"> o previa acreditación de </w:t>
      </w:r>
      <w:r w:rsidRPr="00693E0E">
        <w:rPr>
          <w:rFonts w:ascii="Palatino Linotype" w:eastAsia="Palatino Linotype" w:hAnsi="Palatino Linotype" w:cs="Palatino Linotype"/>
        </w:rPr>
        <w:lastRenderedPageBreak/>
        <w:t>la imposibilidad de su generación, exponga de forma fundada y motivada las razones de dicha situación, y</w:t>
      </w:r>
    </w:p>
    <w:p w14:paraId="19D93A00" w14:textId="77777777" w:rsidR="00BE6FE6" w:rsidRPr="00693E0E" w:rsidRDefault="00297D70">
      <w:pPr>
        <w:numPr>
          <w:ilvl w:val="0"/>
          <w:numId w:val="3"/>
        </w:num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Notificar al Órgano Interno de Control o equivalente, a efecto de que inicie el procedimiento de responsabilidad administrativa correspondiente.</w:t>
      </w:r>
    </w:p>
    <w:p w14:paraId="3D92D955" w14:textId="77777777" w:rsidR="00BE6FE6" w:rsidRPr="00693E0E" w:rsidRDefault="00BE6FE6">
      <w:pPr>
        <w:spacing w:line="360" w:lineRule="auto"/>
        <w:jc w:val="both"/>
        <w:rPr>
          <w:rFonts w:ascii="Palatino Linotype" w:eastAsia="Palatino Linotype" w:hAnsi="Palatino Linotype" w:cs="Palatino Linotype"/>
        </w:rPr>
      </w:pPr>
    </w:p>
    <w:p w14:paraId="45A868B9"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Por tales circunstancias, para dar atención al requerimiento de información, se considera que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deberá proporcionar las documentales solicitadas o declarar la inexistencia de manera formal, de manera fundada y motivada por el Comité de Transparencia, conforme a los criterios previamente establecidos.</w:t>
      </w:r>
    </w:p>
    <w:p w14:paraId="68C648B0" w14:textId="77777777" w:rsidR="00BE6FE6" w:rsidRPr="00693E0E" w:rsidRDefault="00BE6FE6">
      <w:pPr>
        <w:spacing w:line="360" w:lineRule="auto"/>
        <w:jc w:val="both"/>
        <w:rPr>
          <w:rFonts w:ascii="Palatino Linotype" w:eastAsia="Palatino Linotype" w:hAnsi="Palatino Linotype" w:cs="Palatino Linotype"/>
        </w:rPr>
      </w:pPr>
    </w:p>
    <w:p w14:paraId="19DF6CB8"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Así pues, este Pleno esgrime que </w:t>
      </w:r>
      <w:r w:rsidRPr="00693E0E">
        <w:rPr>
          <w:rFonts w:ascii="Palatino Linotype" w:eastAsia="Palatino Linotype" w:hAnsi="Palatino Linotype" w:cs="Palatino Linotype"/>
          <w:b/>
        </w:rPr>
        <w:t>EL SUJETO OBLIGADO</w:t>
      </w:r>
      <w:r w:rsidR="00A35380" w:rsidRPr="00693E0E">
        <w:rPr>
          <w:rFonts w:ascii="Palatino Linotype" w:eastAsia="Palatino Linotype" w:hAnsi="Palatino Linotype" w:cs="Palatino Linotype"/>
        </w:rPr>
        <w:t xml:space="preserve"> deberá entregar </w:t>
      </w:r>
      <w:r w:rsidRPr="00693E0E">
        <w:rPr>
          <w:rFonts w:ascii="Palatino Linotype" w:eastAsia="Palatino Linotype" w:hAnsi="Palatino Linotype" w:cs="Palatino Linotype"/>
        </w:rPr>
        <w:t xml:space="preserve">las listas de asistencia del mes de septiembre de dos mil veintidós de los Titulares de las áreas de la Secretaría del Ayuntamiento, la Secretaría Particular, Secretaría Técnica, Unidad de Información, Planeación, Programación y Evaluación, Coordinación Municipal de Mejora Regulatoria, Unidad de Transparencia, Secretaría Técnica del Consejo Municipal de Seguridad Pública, Coordinación de Asesores y la Coordinación de Asuntos Intergubernamentales, Dirección de Administración, Dirección de Obras Públicas, Dirección de Desarrollo Metropolitano y Movilidad, Dirección de Desarrollo Territorial y Urbano, Dirección de Desarrollo Económico, Dirección de Desarrollo Social, Dirección de Seguridad Pública y de Tránsito, Dirección de Servicios Públicos, Dirección de Medio Ambiente, Dirección de Cultura y Turismo, Dirección de Educación, Dirección de Gobernación, Dirección de la </w:t>
      </w:r>
      <w:r w:rsidRPr="00693E0E">
        <w:rPr>
          <w:rFonts w:ascii="Palatino Linotype" w:eastAsia="Palatino Linotype" w:hAnsi="Palatino Linotype" w:cs="Palatino Linotype"/>
        </w:rPr>
        <w:lastRenderedPageBreak/>
        <w:t xml:space="preserve">Mujer y la Dirección Jurídica; y las listas de asistencia del mismo periodo pero de todo el personal adscrito al Instituto Municipal de Cultura Física y Deporte de Zinacantepec.  </w:t>
      </w:r>
    </w:p>
    <w:p w14:paraId="2B5A8E16" w14:textId="77777777" w:rsidR="00BE6FE6" w:rsidRPr="00693E0E" w:rsidRDefault="00BE6FE6">
      <w:pPr>
        <w:spacing w:line="360" w:lineRule="auto"/>
        <w:jc w:val="both"/>
        <w:rPr>
          <w:rFonts w:ascii="Palatino Linotype" w:eastAsia="Palatino Linotype" w:hAnsi="Palatino Linotype" w:cs="Palatino Linotype"/>
        </w:rPr>
      </w:pPr>
    </w:p>
    <w:p w14:paraId="4C09A128" w14:textId="77777777" w:rsidR="00BE6FE6" w:rsidRPr="00693E0E" w:rsidRDefault="00297D70">
      <w:pPr>
        <w:spacing w:line="360" w:lineRule="auto"/>
        <w:ind w:right="51"/>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De lo hasta aquí expuesto, se concluye que los motivos de inconformidad de </w:t>
      </w:r>
      <w:r w:rsidRPr="00693E0E">
        <w:rPr>
          <w:rFonts w:ascii="Palatino Linotype" w:eastAsia="Palatino Linotype" w:hAnsi="Palatino Linotype" w:cs="Palatino Linotype"/>
          <w:b/>
        </w:rPr>
        <w:t xml:space="preserve">LA PARTE RECURRENTE </w:t>
      </w:r>
      <w:r w:rsidRPr="00693E0E">
        <w:rPr>
          <w:rFonts w:ascii="Palatino Linotype" w:eastAsia="Palatino Linotype" w:hAnsi="Palatino Linotype" w:cs="Palatino Linotype"/>
        </w:rPr>
        <w:t xml:space="preserve">devienen </w:t>
      </w:r>
      <w:r w:rsidR="00721AD5" w:rsidRPr="00693E0E">
        <w:rPr>
          <w:rFonts w:ascii="Palatino Linotype" w:eastAsia="Palatino Linotype" w:hAnsi="Palatino Linotype" w:cs="Palatino Linotype"/>
          <w:b/>
        </w:rPr>
        <w:t>FUNDADOS</w:t>
      </w:r>
      <w:r w:rsidRPr="00693E0E">
        <w:rPr>
          <w:rFonts w:ascii="Palatino Linotype" w:eastAsia="Palatino Linotype" w:hAnsi="Palatino Linotype" w:cs="Palatino Linotype"/>
        </w:rPr>
        <w:t xml:space="preserve">, siendo procedente </w:t>
      </w:r>
      <w:r w:rsidR="00721AD5" w:rsidRPr="00693E0E">
        <w:rPr>
          <w:rFonts w:ascii="Palatino Linotype" w:eastAsia="Palatino Linotype" w:hAnsi="Palatino Linotype" w:cs="Palatino Linotype"/>
          <w:b/>
        </w:rPr>
        <w:t>REVOCAR</w:t>
      </w:r>
      <w:r w:rsidR="00721AD5" w:rsidRPr="00693E0E">
        <w:rPr>
          <w:rFonts w:ascii="Palatino Linotype" w:eastAsia="Palatino Linotype" w:hAnsi="Palatino Linotype" w:cs="Palatino Linotype"/>
        </w:rPr>
        <w:t xml:space="preserve"> las respuestas de</w:t>
      </w:r>
      <w:r w:rsidRPr="00693E0E">
        <w:rPr>
          <w:rFonts w:ascii="Palatino Linotype" w:eastAsia="Palatino Linotype" w:hAnsi="Palatino Linotype" w:cs="Palatino Linotype"/>
        </w:rPr>
        <w:t xml:space="preserve">l </w:t>
      </w:r>
      <w:r w:rsidRPr="00693E0E">
        <w:rPr>
          <w:rFonts w:ascii="Palatino Linotype" w:eastAsia="Palatino Linotype" w:hAnsi="Palatino Linotype" w:cs="Palatino Linotype"/>
          <w:b/>
        </w:rPr>
        <w:t xml:space="preserve">SUJETO OBLIGADO </w:t>
      </w:r>
      <w:r w:rsidRPr="00693E0E">
        <w:rPr>
          <w:rFonts w:ascii="Palatino Linotype" w:eastAsia="Palatino Linotype" w:hAnsi="Palatino Linotype" w:cs="Palatino Linotype"/>
        </w:rPr>
        <w:t>en térmi</w:t>
      </w:r>
      <w:r w:rsidR="00721AD5" w:rsidRPr="00693E0E">
        <w:rPr>
          <w:rFonts w:ascii="Palatino Linotype" w:eastAsia="Palatino Linotype" w:hAnsi="Palatino Linotype" w:cs="Palatino Linotype"/>
        </w:rPr>
        <w:t>nos del artículo 186 fracción III</w:t>
      </w:r>
      <w:r w:rsidRPr="00693E0E">
        <w:rPr>
          <w:rFonts w:ascii="Palatino Linotype" w:eastAsia="Palatino Linotype" w:hAnsi="Palatino Linotype" w:cs="Palatino Linotype"/>
        </w:rPr>
        <w:t xml:space="preserve"> de la Ley de Transparencia y Acceso a la Información Pública del Estado de México y Municipios, atendiendo al siguiente Considerando:</w:t>
      </w:r>
    </w:p>
    <w:p w14:paraId="28785A18" w14:textId="77777777" w:rsidR="00BE6FE6" w:rsidRPr="00693E0E" w:rsidRDefault="00BE6FE6">
      <w:pPr>
        <w:spacing w:line="360" w:lineRule="auto"/>
        <w:ind w:right="51"/>
        <w:jc w:val="both"/>
        <w:rPr>
          <w:rFonts w:ascii="Palatino Linotype" w:eastAsia="Palatino Linotype" w:hAnsi="Palatino Linotype" w:cs="Palatino Linotype"/>
        </w:rPr>
      </w:pPr>
    </w:p>
    <w:p w14:paraId="2C25070A" w14:textId="77777777" w:rsidR="009A494C" w:rsidRPr="00693E0E" w:rsidRDefault="00297D70" w:rsidP="009A494C">
      <w:pPr>
        <w:spacing w:line="360" w:lineRule="auto"/>
        <w:ind w:right="49"/>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QUINTO. Versión Pública. </w:t>
      </w:r>
      <w:r w:rsidR="009A494C" w:rsidRPr="00693E0E">
        <w:rPr>
          <w:rFonts w:ascii="Palatino Linotype" w:eastAsia="Palatino Linotype" w:hAnsi="Palatino Linotype" w:cs="Palatino Linotype"/>
        </w:rPr>
        <w:t xml:space="preserve">Finalmente para la entrega de los soportes documentales que deberá proporcionar </w:t>
      </w:r>
      <w:r w:rsidR="009A494C" w:rsidRPr="00693E0E">
        <w:rPr>
          <w:rFonts w:ascii="Palatino Linotype" w:eastAsia="Palatino Linotype" w:hAnsi="Palatino Linotype" w:cs="Palatino Linotype"/>
          <w:b/>
        </w:rPr>
        <w:t>EL SUJETO OBLIGADO</w:t>
      </w:r>
      <w:r w:rsidR="009A494C" w:rsidRPr="00693E0E">
        <w:rPr>
          <w:rFonts w:ascii="Palatino Linotype" w:eastAsia="Palatino Linotype" w:hAnsi="Palatino Linotype" w:cs="Palatino Linotype"/>
        </w:rPr>
        <w:t xml:space="preserve"> para dar satisfacción de la Derecho Humano de Acceso a la Información de </w:t>
      </w:r>
      <w:r w:rsidR="009A494C" w:rsidRPr="00693E0E">
        <w:rPr>
          <w:rFonts w:ascii="Palatino Linotype" w:eastAsia="Palatino Linotype" w:hAnsi="Palatino Linotype" w:cs="Palatino Linotype"/>
          <w:b/>
        </w:rPr>
        <w:t>LA PARTE RECURRENTE,</w:t>
      </w:r>
      <w:r w:rsidR="009A494C" w:rsidRPr="00693E0E">
        <w:rPr>
          <w:rFonts w:ascii="Palatino Linotype" w:eastAsia="Palatino Linotype" w:hAnsi="Palatino Linotype" w:cs="Palatino Linotype"/>
        </w:rPr>
        <w:t xml:space="preserve"> deberá considerar que ello no es absoluto, sino que encuentra como excepciones que la información sobre la cual se peticiona el acceso, contenga datos que deban ser clasificados en los términos que la misma ley de la materia señala, </w:t>
      </w:r>
      <w:r w:rsidR="009A494C" w:rsidRPr="00693E0E">
        <w:rPr>
          <w:rFonts w:ascii="Palatino Linotype" w:eastAsia="Palatino Linotype" w:hAnsi="Palatino Linotype" w:cs="Palatino Linotype"/>
          <w:b/>
        </w:rPr>
        <w:t>EL SUJETO OBLIGADO</w:t>
      </w:r>
      <w:r w:rsidR="009A494C" w:rsidRPr="00693E0E">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w:t>
      </w:r>
      <w:r w:rsidR="009A494C" w:rsidRPr="00693E0E">
        <w:rPr>
          <w:rFonts w:ascii="Palatino Linotype" w:eastAsia="Palatino Linotype" w:hAnsi="Palatino Linotype" w:cs="Palatino Linotype"/>
          <w:b/>
        </w:rPr>
        <w:t>LA PARTE RECURRENTE</w:t>
      </w:r>
      <w:r w:rsidR="009A494C" w:rsidRPr="00693E0E">
        <w:rPr>
          <w:rFonts w:ascii="Palatino Linotype" w:eastAsia="Palatino Linotype" w:hAnsi="Palatino Linotype" w:cs="Palatino Linotype"/>
        </w:rPr>
        <w:t xml:space="preserve"> sin menoscabar el Derecho a la Protección de los Datos Personales de terceros.</w:t>
      </w:r>
    </w:p>
    <w:p w14:paraId="238BC694" w14:textId="77777777" w:rsidR="009A494C" w:rsidRPr="00693E0E" w:rsidRDefault="009A494C" w:rsidP="009A494C">
      <w:pPr>
        <w:spacing w:line="360" w:lineRule="auto"/>
        <w:ind w:right="49"/>
        <w:jc w:val="both"/>
        <w:rPr>
          <w:rFonts w:ascii="Palatino Linotype" w:eastAsia="Palatino Linotype" w:hAnsi="Palatino Linotype" w:cs="Palatino Linotype"/>
        </w:rPr>
      </w:pPr>
    </w:p>
    <w:p w14:paraId="444DDB3B" w14:textId="77777777" w:rsidR="009A494C" w:rsidRPr="00693E0E" w:rsidRDefault="009A494C" w:rsidP="009A494C">
      <w:pPr>
        <w:spacing w:line="360" w:lineRule="auto"/>
        <w:ind w:right="50"/>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 xml:space="preserve">Lo anterior, de conformidad a lo que señalan los artículos 3 fracciones IX, XX, XXI y XLV, 91, 132 fracciones II y III, y 143 </w:t>
      </w:r>
      <w:proofErr w:type="gramStart"/>
      <w:r w:rsidRPr="00693E0E">
        <w:rPr>
          <w:rFonts w:ascii="Palatino Linotype" w:eastAsia="Palatino Linotype" w:hAnsi="Palatino Linotype" w:cs="Palatino Linotype"/>
        </w:rPr>
        <w:t>fracción</w:t>
      </w:r>
      <w:proofErr w:type="gramEnd"/>
      <w:r w:rsidRPr="00693E0E">
        <w:rPr>
          <w:rFonts w:ascii="Palatino Linotype" w:eastAsia="Palatino Linotype" w:hAnsi="Palatino Linotype" w:cs="Palatino Linotype"/>
        </w:rPr>
        <w:t xml:space="preserve"> I de la Ley de Transparencia y Acceso a la Información Pública del Estado de México y Municipios que establecen:</w:t>
      </w:r>
    </w:p>
    <w:p w14:paraId="79E03A80"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rPr>
      </w:pPr>
    </w:p>
    <w:p w14:paraId="2A313910"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Artículo 3</w:t>
      </w:r>
      <w:r w:rsidRPr="00693E0E">
        <w:rPr>
          <w:rFonts w:ascii="Palatino Linotype" w:eastAsia="Palatino Linotype" w:hAnsi="Palatino Linotype" w:cs="Palatino Linotype"/>
          <w:i/>
          <w:sz w:val="22"/>
          <w:szCs w:val="22"/>
        </w:rPr>
        <w:t>. Para los efectos de la presente Ley se entenderá por:</w:t>
      </w:r>
    </w:p>
    <w:p w14:paraId="3D66D85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2D85ED3A"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IX. Datos personales:</w:t>
      </w:r>
      <w:r w:rsidRPr="00693E0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5EA945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XX. Información clasificada</w:t>
      </w:r>
      <w:r w:rsidRPr="00693E0E">
        <w:rPr>
          <w:rFonts w:ascii="Palatino Linotype" w:eastAsia="Palatino Linotype" w:hAnsi="Palatino Linotype" w:cs="Palatino Linotype"/>
          <w:i/>
          <w:sz w:val="22"/>
          <w:szCs w:val="22"/>
        </w:rPr>
        <w:t>: Aquella considerada por la presente Ley como reservada o confidencial;</w:t>
      </w:r>
    </w:p>
    <w:p w14:paraId="13490E38"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XXI. Información confidencial:</w:t>
      </w:r>
      <w:r w:rsidRPr="00693E0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B33A8E"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XLV. Versión pública:</w:t>
      </w:r>
      <w:r w:rsidRPr="00693E0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ADA4CFA"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43C7E22B"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63C732C"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 xml:space="preserve">Artículo 91. </w:t>
      </w:r>
      <w:r w:rsidRPr="00693E0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81B39E0"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788068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 xml:space="preserve">Artículo 132. </w:t>
      </w:r>
      <w:r w:rsidRPr="00693E0E">
        <w:rPr>
          <w:rFonts w:ascii="Palatino Linotype" w:eastAsia="Palatino Linotype" w:hAnsi="Palatino Linotype" w:cs="Palatino Linotype"/>
          <w:i/>
          <w:sz w:val="22"/>
          <w:szCs w:val="22"/>
        </w:rPr>
        <w:t>La clasificación de la información se llevará a cabo en el momento en que:</w:t>
      </w:r>
    </w:p>
    <w:p w14:paraId="086EBC0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w:t>
      </w:r>
      <w:r w:rsidRPr="00693E0E">
        <w:rPr>
          <w:rFonts w:ascii="Palatino Linotype" w:eastAsia="Palatino Linotype" w:hAnsi="Palatino Linotype" w:cs="Palatino Linotype"/>
          <w:i/>
          <w:sz w:val="22"/>
          <w:szCs w:val="22"/>
        </w:rPr>
        <w:t>. Se reciba una solicitud de acceso a la información;</w:t>
      </w:r>
    </w:p>
    <w:p w14:paraId="1B2F9290"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II</w:t>
      </w:r>
      <w:r w:rsidRPr="00693E0E">
        <w:rPr>
          <w:rFonts w:ascii="Palatino Linotype" w:eastAsia="Palatino Linotype" w:hAnsi="Palatino Linotype" w:cs="Palatino Linotype"/>
          <w:i/>
          <w:sz w:val="22"/>
          <w:szCs w:val="22"/>
        </w:rPr>
        <w:t>. Se determine mediante resolución de autoridad competente; o</w:t>
      </w:r>
    </w:p>
    <w:p w14:paraId="0B165F21"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III</w:t>
      </w:r>
      <w:r w:rsidRPr="00693E0E">
        <w:rPr>
          <w:rFonts w:ascii="Palatino Linotype" w:eastAsia="Palatino Linotype" w:hAnsi="Palatino Linotype" w:cs="Palatino Linotype"/>
          <w:i/>
          <w:sz w:val="22"/>
          <w:szCs w:val="22"/>
        </w:rPr>
        <w:t>. Se generen versiones públicas para dar cumplimiento a las obligaciones de transparencia previstas en esta Ley.</w:t>
      </w:r>
    </w:p>
    <w:p w14:paraId="744C2D08"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w:t>
      </w:r>
    </w:p>
    <w:p w14:paraId="2968870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A1068B7"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Artículo 143</w:t>
      </w:r>
      <w:r w:rsidRPr="00693E0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28DFA2A"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w:t>
      </w:r>
      <w:r w:rsidRPr="00693E0E">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693E0E">
        <w:rPr>
          <w:rFonts w:ascii="Palatino Linotype" w:eastAsia="Palatino Linotype" w:hAnsi="Palatino Linotype" w:cs="Palatino Linotype"/>
          <w:i/>
          <w:sz w:val="22"/>
          <w:szCs w:val="22"/>
        </w:rPr>
        <w:t>jurídico</w:t>
      </w:r>
      <w:proofErr w:type="gramEnd"/>
      <w:r w:rsidRPr="00693E0E">
        <w:rPr>
          <w:rFonts w:ascii="Palatino Linotype" w:eastAsia="Palatino Linotype" w:hAnsi="Palatino Linotype" w:cs="Palatino Linotype"/>
          <w:i/>
          <w:sz w:val="22"/>
          <w:szCs w:val="22"/>
        </w:rPr>
        <w:t xml:space="preserve"> colectiva identificada o identificable;</w:t>
      </w:r>
    </w:p>
    <w:p w14:paraId="2BC2F440"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lastRenderedPageBreak/>
        <w:t>II.</w:t>
      </w:r>
      <w:r w:rsidRPr="00693E0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12110AA"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III</w:t>
      </w:r>
      <w:r w:rsidRPr="00693E0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C894CA9"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A4EAF75"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7AE00F6"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rPr>
      </w:pPr>
    </w:p>
    <w:p w14:paraId="09678E99" w14:textId="77777777" w:rsidR="009A494C" w:rsidRPr="00693E0E" w:rsidRDefault="009A494C" w:rsidP="009A494C">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D64405" w14:textId="77777777" w:rsidR="009A494C" w:rsidRPr="00693E0E" w:rsidRDefault="009A494C" w:rsidP="009A494C">
      <w:pPr>
        <w:spacing w:line="360" w:lineRule="auto"/>
        <w:jc w:val="both"/>
        <w:rPr>
          <w:rFonts w:ascii="Palatino Linotype" w:eastAsia="Palatino Linotype" w:hAnsi="Palatino Linotype" w:cs="Palatino Linotype"/>
        </w:rPr>
      </w:pPr>
    </w:p>
    <w:p w14:paraId="0AFC55C0" w14:textId="77777777" w:rsidR="009A494C" w:rsidRPr="00693E0E" w:rsidRDefault="009A494C" w:rsidP="009A494C">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D7269BD"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94F39F8"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Quincuagésimo sexto</w:t>
      </w:r>
      <w:r w:rsidRPr="00693E0E">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F6FD5C7"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lastRenderedPageBreak/>
        <w:t>Quincuagésimo séptimo</w:t>
      </w:r>
      <w:r w:rsidRPr="00693E0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06928B5"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w:t>
      </w:r>
      <w:r w:rsidRPr="00693E0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D4B7382"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II.</w:t>
      </w:r>
      <w:r w:rsidRPr="00693E0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29B0E34"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III.</w:t>
      </w:r>
      <w:r w:rsidRPr="00693E0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17CC1C5"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w:t>
      </w:r>
    </w:p>
    <w:p w14:paraId="5A229D73" w14:textId="77777777" w:rsidR="009A494C" w:rsidRPr="00693E0E" w:rsidRDefault="009A494C" w:rsidP="009A494C"/>
    <w:p w14:paraId="7CFF1A6B" w14:textId="77777777" w:rsidR="009A494C" w:rsidRPr="00693E0E" w:rsidRDefault="009A494C" w:rsidP="009A494C">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b/>
          <w:i/>
          <w:sz w:val="22"/>
          <w:szCs w:val="22"/>
        </w:rPr>
        <w:t>Quincuagésimo octavo</w:t>
      </w:r>
      <w:r w:rsidRPr="00693E0E">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61A56C50" w14:textId="77777777" w:rsidR="009A494C" w:rsidRPr="00693E0E" w:rsidRDefault="009A494C" w:rsidP="009A494C">
      <w:pPr>
        <w:spacing w:line="360" w:lineRule="auto"/>
        <w:ind w:left="567" w:right="902"/>
        <w:jc w:val="both"/>
        <w:rPr>
          <w:rFonts w:ascii="Palatino Linotype" w:eastAsia="Palatino Linotype" w:hAnsi="Palatino Linotype" w:cs="Palatino Linotype"/>
          <w:i/>
          <w:sz w:val="22"/>
          <w:szCs w:val="22"/>
        </w:rPr>
      </w:pPr>
    </w:p>
    <w:p w14:paraId="22391334" w14:textId="77777777" w:rsidR="009A494C" w:rsidRPr="00693E0E" w:rsidRDefault="009A494C" w:rsidP="009A494C">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93E0E">
        <w:rPr>
          <w:rFonts w:ascii="Palatino Linotype" w:eastAsia="Palatino Linotype" w:hAnsi="Palatino Linotype" w:cs="Palatino Linotype"/>
          <w:b/>
        </w:rPr>
        <w:t>SUJETO OBLIGADO</w:t>
      </w:r>
      <w:r w:rsidRPr="00693E0E">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2A27914" w14:textId="77777777" w:rsidR="009A494C" w:rsidRPr="00693E0E" w:rsidRDefault="009A494C" w:rsidP="009A494C">
      <w:pPr>
        <w:spacing w:line="360" w:lineRule="auto"/>
        <w:jc w:val="both"/>
        <w:rPr>
          <w:rFonts w:ascii="Palatino Linotype" w:eastAsia="Palatino Linotype" w:hAnsi="Palatino Linotype" w:cs="Palatino Linotype"/>
        </w:rPr>
      </w:pPr>
    </w:p>
    <w:p w14:paraId="2E0B96CF" w14:textId="77777777" w:rsidR="009A494C" w:rsidRPr="00693E0E" w:rsidRDefault="009A494C" w:rsidP="009A494C">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693E0E" w:rsidRPr="00693E0E" w14:paraId="1B219CC9" w14:textId="77777777" w:rsidTr="00CA65DE">
        <w:tc>
          <w:tcPr>
            <w:tcW w:w="4253" w:type="dxa"/>
            <w:gridSpan w:val="2"/>
            <w:tcBorders>
              <w:top w:val="nil"/>
              <w:left w:val="nil"/>
              <w:right w:val="nil"/>
            </w:tcBorders>
          </w:tcPr>
          <w:p w14:paraId="0DA552EE"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1A6B22C5"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Total</w:t>
            </w:r>
          </w:p>
        </w:tc>
      </w:tr>
      <w:tr w:rsidR="00693E0E" w:rsidRPr="00693E0E" w14:paraId="121B8E12" w14:textId="77777777" w:rsidTr="00CA65DE">
        <w:tc>
          <w:tcPr>
            <w:tcW w:w="1134" w:type="dxa"/>
          </w:tcPr>
          <w:p w14:paraId="73888DDA"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Concepto</w:t>
            </w:r>
          </w:p>
        </w:tc>
        <w:tc>
          <w:tcPr>
            <w:tcW w:w="3119" w:type="dxa"/>
          </w:tcPr>
          <w:p w14:paraId="58B6E54C"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Dónde</w:t>
            </w:r>
          </w:p>
        </w:tc>
        <w:tc>
          <w:tcPr>
            <w:tcW w:w="1129" w:type="dxa"/>
          </w:tcPr>
          <w:p w14:paraId="7B876D3F"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Concepto</w:t>
            </w:r>
          </w:p>
        </w:tc>
        <w:tc>
          <w:tcPr>
            <w:tcW w:w="3446" w:type="dxa"/>
          </w:tcPr>
          <w:p w14:paraId="15770585"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Dónde</w:t>
            </w:r>
          </w:p>
        </w:tc>
      </w:tr>
      <w:tr w:rsidR="00693E0E" w:rsidRPr="00693E0E" w14:paraId="39B51D76" w14:textId="77777777" w:rsidTr="00CA65DE">
        <w:tc>
          <w:tcPr>
            <w:tcW w:w="8828" w:type="dxa"/>
            <w:gridSpan w:val="4"/>
          </w:tcPr>
          <w:p w14:paraId="4625F858" w14:textId="77777777" w:rsidR="009A494C" w:rsidRPr="00693E0E" w:rsidRDefault="009A494C" w:rsidP="00CA65DE">
            <w:pPr>
              <w:spacing w:line="360" w:lineRule="auto"/>
              <w:jc w:val="center"/>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Sello oficial o logotipo del sujeto obligado</w:t>
            </w:r>
          </w:p>
        </w:tc>
      </w:tr>
      <w:tr w:rsidR="00693E0E" w:rsidRPr="00693E0E" w14:paraId="5FAD86F5" w14:textId="77777777" w:rsidTr="00CA65DE">
        <w:tc>
          <w:tcPr>
            <w:tcW w:w="1134" w:type="dxa"/>
          </w:tcPr>
          <w:p w14:paraId="74381B5E"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Fecha de clasificación</w:t>
            </w:r>
          </w:p>
        </w:tc>
        <w:tc>
          <w:tcPr>
            <w:tcW w:w="3119" w:type="dxa"/>
          </w:tcPr>
          <w:p w14:paraId="277EEDBF"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4B7370F5"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Fecha de clasificación</w:t>
            </w:r>
          </w:p>
        </w:tc>
        <w:tc>
          <w:tcPr>
            <w:tcW w:w="3446" w:type="dxa"/>
          </w:tcPr>
          <w:p w14:paraId="26C1462A"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93E0E" w:rsidRPr="00693E0E" w14:paraId="6C5B284E" w14:textId="77777777" w:rsidTr="00CA65DE">
        <w:tc>
          <w:tcPr>
            <w:tcW w:w="1134" w:type="dxa"/>
          </w:tcPr>
          <w:p w14:paraId="1F1F4CB5"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Área</w:t>
            </w:r>
          </w:p>
        </w:tc>
        <w:tc>
          <w:tcPr>
            <w:tcW w:w="3119" w:type="dxa"/>
          </w:tcPr>
          <w:p w14:paraId="0ECE7E38"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área del cual es titular quien clasifica.</w:t>
            </w:r>
          </w:p>
        </w:tc>
        <w:tc>
          <w:tcPr>
            <w:tcW w:w="1129" w:type="dxa"/>
          </w:tcPr>
          <w:p w14:paraId="22CCE23E"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Área</w:t>
            </w:r>
          </w:p>
        </w:tc>
        <w:tc>
          <w:tcPr>
            <w:tcW w:w="3446" w:type="dxa"/>
          </w:tcPr>
          <w:p w14:paraId="29102B55"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área de la cual es el titular quien clasifica.</w:t>
            </w:r>
          </w:p>
        </w:tc>
      </w:tr>
      <w:tr w:rsidR="00693E0E" w:rsidRPr="00693E0E" w14:paraId="4A433F78" w14:textId="77777777" w:rsidTr="00CA65DE">
        <w:tc>
          <w:tcPr>
            <w:tcW w:w="1134" w:type="dxa"/>
          </w:tcPr>
          <w:p w14:paraId="00261CAB"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Información reservada</w:t>
            </w:r>
          </w:p>
        </w:tc>
        <w:tc>
          <w:tcPr>
            <w:tcW w:w="3119" w:type="dxa"/>
          </w:tcPr>
          <w:p w14:paraId="512687FD"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693E0E">
              <w:rPr>
                <w:rFonts w:ascii="Palatino Linotype" w:eastAsia="Palatino Linotype" w:hAnsi="Palatino Linotype" w:cs="Palatino Linotype"/>
                <w:sz w:val="12"/>
                <w:szCs w:val="12"/>
              </w:rPr>
              <w:t>anotarán</w:t>
            </w:r>
            <w:proofErr w:type="gramEnd"/>
            <w:r w:rsidRPr="00693E0E">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14:paraId="4E3BD3C5"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Reservado</w:t>
            </w:r>
          </w:p>
        </w:tc>
        <w:tc>
          <w:tcPr>
            <w:tcW w:w="3446" w:type="dxa"/>
          </w:tcPr>
          <w:p w14:paraId="68381324"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Leyenda de información RESERVADA.</w:t>
            </w:r>
          </w:p>
        </w:tc>
      </w:tr>
      <w:tr w:rsidR="00693E0E" w:rsidRPr="00693E0E" w14:paraId="4E52A288" w14:textId="77777777" w:rsidTr="00CA65DE">
        <w:tc>
          <w:tcPr>
            <w:tcW w:w="1134" w:type="dxa"/>
          </w:tcPr>
          <w:p w14:paraId="10E6ADF2"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Fundamento legal</w:t>
            </w:r>
          </w:p>
        </w:tc>
        <w:tc>
          <w:tcPr>
            <w:tcW w:w="3119" w:type="dxa"/>
          </w:tcPr>
          <w:p w14:paraId="7CABDE19"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68746655"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Periodo de reserva</w:t>
            </w:r>
          </w:p>
        </w:tc>
        <w:tc>
          <w:tcPr>
            <w:tcW w:w="3446" w:type="dxa"/>
          </w:tcPr>
          <w:p w14:paraId="5486B174"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93E0E" w:rsidRPr="00693E0E" w14:paraId="422E3879" w14:textId="77777777" w:rsidTr="00CA65DE">
        <w:tc>
          <w:tcPr>
            <w:tcW w:w="1134" w:type="dxa"/>
          </w:tcPr>
          <w:p w14:paraId="53320AC1"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Ampliación del periodo de reserva</w:t>
            </w:r>
          </w:p>
        </w:tc>
        <w:tc>
          <w:tcPr>
            <w:tcW w:w="3119" w:type="dxa"/>
          </w:tcPr>
          <w:p w14:paraId="41D375AA"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6855D5A5"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Fundamento legal</w:t>
            </w:r>
          </w:p>
        </w:tc>
        <w:tc>
          <w:tcPr>
            <w:tcW w:w="3446" w:type="dxa"/>
          </w:tcPr>
          <w:p w14:paraId="3FF20172"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93E0E" w:rsidRPr="00693E0E" w14:paraId="5166A20C" w14:textId="77777777" w:rsidTr="00CA65DE">
        <w:tc>
          <w:tcPr>
            <w:tcW w:w="1134" w:type="dxa"/>
          </w:tcPr>
          <w:p w14:paraId="02394D6E"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Confidencial</w:t>
            </w:r>
          </w:p>
        </w:tc>
        <w:tc>
          <w:tcPr>
            <w:tcW w:w="3119" w:type="dxa"/>
          </w:tcPr>
          <w:p w14:paraId="6B5C35C6"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4B87CB57"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Ampliación del periodo de reserva</w:t>
            </w:r>
          </w:p>
        </w:tc>
        <w:tc>
          <w:tcPr>
            <w:tcW w:w="3446" w:type="dxa"/>
          </w:tcPr>
          <w:p w14:paraId="3390B46E"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93E0E" w:rsidRPr="00693E0E" w14:paraId="599DAA72" w14:textId="77777777" w:rsidTr="00CA65DE">
        <w:tc>
          <w:tcPr>
            <w:tcW w:w="1134" w:type="dxa"/>
          </w:tcPr>
          <w:p w14:paraId="69638823"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Fundamento legal</w:t>
            </w:r>
          </w:p>
        </w:tc>
        <w:tc>
          <w:tcPr>
            <w:tcW w:w="3119" w:type="dxa"/>
          </w:tcPr>
          <w:p w14:paraId="2A6AA87E"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58CEB453"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Confidencial</w:t>
            </w:r>
          </w:p>
        </w:tc>
        <w:tc>
          <w:tcPr>
            <w:tcW w:w="3446" w:type="dxa"/>
          </w:tcPr>
          <w:p w14:paraId="0CE8CA18"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Leyenda de información CONFIDENCIAL.</w:t>
            </w:r>
          </w:p>
        </w:tc>
      </w:tr>
      <w:tr w:rsidR="00693E0E" w:rsidRPr="00693E0E" w14:paraId="1445DFFA" w14:textId="77777777" w:rsidTr="00CA65DE">
        <w:tc>
          <w:tcPr>
            <w:tcW w:w="1134" w:type="dxa"/>
          </w:tcPr>
          <w:p w14:paraId="10A0CC4E"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Rúbrica del titular del área</w:t>
            </w:r>
          </w:p>
        </w:tc>
        <w:tc>
          <w:tcPr>
            <w:tcW w:w="3119" w:type="dxa"/>
          </w:tcPr>
          <w:p w14:paraId="03CA8D9A"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Rúbrica autógrafa de quien clasifica.</w:t>
            </w:r>
          </w:p>
        </w:tc>
        <w:tc>
          <w:tcPr>
            <w:tcW w:w="1129" w:type="dxa"/>
          </w:tcPr>
          <w:p w14:paraId="0CA70871"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Fundamento legal</w:t>
            </w:r>
          </w:p>
        </w:tc>
        <w:tc>
          <w:tcPr>
            <w:tcW w:w="3446" w:type="dxa"/>
          </w:tcPr>
          <w:p w14:paraId="7EFB9311"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93E0E" w:rsidRPr="00693E0E" w14:paraId="4E51D109" w14:textId="77777777" w:rsidTr="00CA65DE">
        <w:tc>
          <w:tcPr>
            <w:tcW w:w="1134" w:type="dxa"/>
          </w:tcPr>
          <w:p w14:paraId="57AE2368"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Fecha de desclasificación</w:t>
            </w:r>
          </w:p>
        </w:tc>
        <w:tc>
          <w:tcPr>
            <w:tcW w:w="3119" w:type="dxa"/>
          </w:tcPr>
          <w:p w14:paraId="4E911F5A"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anotará la fecha en que se desclasifica el documento.</w:t>
            </w:r>
          </w:p>
        </w:tc>
        <w:tc>
          <w:tcPr>
            <w:tcW w:w="1129" w:type="dxa"/>
          </w:tcPr>
          <w:p w14:paraId="306C9FFB"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Rúbrica del titular del área</w:t>
            </w:r>
          </w:p>
        </w:tc>
        <w:tc>
          <w:tcPr>
            <w:tcW w:w="3446" w:type="dxa"/>
          </w:tcPr>
          <w:p w14:paraId="52422352"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Rúbrica autógrafa de quien clasifica.</w:t>
            </w:r>
          </w:p>
        </w:tc>
      </w:tr>
      <w:tr w:rsidR="00693E0E" w:rsidRPr="00693E0E" w14:paraId="42FE2408" w14:textId="77777777" w:rsidTr="00CA65DE">
        <w:tc>
          <w:tcPr>
            <w:tcW w:w="1134" w:type="dxa"/>
          </w:tcPr>
          <w:p w14:paraId="33CD34B7"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Rúbrica y cargo del servidor público</w:t>
            </w:r>
          </w:p>
        </w:tc>
        <w:tc>
          <w:tcPr>
            <w:tcW w:w="3119" w:type="dxa"/>
          </w:tcPr>
          <w:p w14:paraId="626C2047"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Rúbrica autógrafa de quien desclasifica.</w:t>
            </w:r>
          </w:p>
        </w:tc>
        <w:tc>
          <w:tcPr>
            <w:tcW w:w="1129" w:type="dxa"/>
          </w:tcPr>
          <w:p w14:paraId="691F2ECA"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Fecha de desclasificación</w:t>
            </w:r>
          </w:p>
        </w:tc>
        <w:tc>
          <w:tcPr>
            <w:tcW w:w="3446" w:type="dxa"/>
          </w:tcPr>
          <w:p w14:paraId="6C52E3E8"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Se anotará la fecha en que se desclasifica.</w:t>
            </w:r>
          </w:p>
        </w:tc>
      </w:tr>
      <w:tr w:rsidR="00693E0E" w:rsidRPr="00693E0E" w14:paraId="08E9F7D4" w14:textId="77777777" w:rsidTr="00CA65DE">
        <w:tc>
          <w:tcPr>
            <w:tcW w:w="1134" w:type="dxa"/>
          </w:tcPr>
          <w:p w14:paraId="2AB91E59"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p>
        </w:tc>
        <w:tc>
          <w:tcPr>
            <w:tcW w:w="3119" w:type="dxa"/>
          </w:tcPr>
          <w:p w14:paraId="1ACE1533"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p>
        </w:tc>
        <w:tc>
          <w:tcPr>
            <w:tcW w:w="1129" w:type="dxa"/>
          </w:tcPr>
          <w:p w14:paraId="6F100956"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 xml:space="preserve">Partes o secciones </w:t>
            </w:r>
            <w:r w:rsidRPr="00693E0E">
              <w:rPr>
                <w:rFonts w:ascii="Palatino Linotype" w:eastAsia="Palatino Linotype" w:hAnsi="Palatino Linotype" w:cs="Palatino Linotype"/>
                <w:b/>
                <w:sz w:val="12"/>
                <w:szCs w:val="12"/>
              </w:rPr>
              <w:lastRenderedPageBreak/>
              <w:t>reservadas o confidenciales</w:t>
            </w:r>
          </w:p>
        </w:tc>
        <w:tc>
          <w:tcPr>
            <w:tcW w:w="3446" w:type="dxa"/>
          </w:tcPr>
          <w:p w14:paraId="554310D7"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lastRenderedPageBreak/>
              <w:t xml:space="preserve">En caso que una vez desclasificado el expediente, </w:t>
            </w:r>
            <w:proofErr w:type="spellStart"/>
            <w:r w:rsidRPr="00693E0E">
              <w:rPr>
                <w:rFonts w:ascii="Palatino Linotype" w:eastAsia="Palatino Linotype" w:hAnsi="Palatino Linotype" w:cs="Palatino Linotype"/>
                <w:sz w:val="12"/>
                <w:szCs w:val="12"/>
              </w:rPr>
              <w:t>subsistanpartes</w:t>
            </w:r>
            <w:proofErr w:type="spellEnd"/>
            <w:r w:rsidRPr="00693E0E">
              <w:rPr>
                <w:rFonts w:ascii="Palatino Linotype" w:eastAsia="Palatino Linotype" w:hAnsi="Palatino Linotype" w:cs="Palatino Linotype"/>
                <w:sz w:val="12"/>
                <w:szCs w:val="12"/>
              </w:rPr>
              <w:t xml:space="preserve"> o secciones del mismo reservadas o confidenciales, se señalará este hecho.</w:t>
            </w:r>
          </w:p>
        </w:tc>
      </w:tr>
      <w:tr w:rsidR="009A494C" w:rsidRPr="00693E0E" w14:paraId="78F02AB9" w14:textId="77777777" w:rsidTr="00CA65DE">
        <w:tc>
          <w:tcPr>
            <w:tcW w:w="1134" w:type="dxa"/>
          </w:tcPr>
          <w:p w14:paraId="12D52CD3"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p>
        </w:tc>
        <w:tc>
          <w:tcPr>
            <w:tcW w:w="3119" w:type="dxa"/>
          </w:tcPr>
          <w:p w14:paraId="172565F5"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p>
        </w:tc>
        <w:tc>
          <w:tcPr>
            <w:tcW w:w="1129" w:type="dxa"/>
          </w:tcPr>
          <w:p w14:paraId="10C5308A" w14:textId="77777777" w:rsidR="009A494C" w:rsidRPr="00693E0E" w:rsidRDefault="009A494C" w:rsidP="00CA65DE">
            <w:pPr>
              <w:spacing w:line="360" w:lineRule="auto"/>
              <w:jc w:val="both"/>
              <w:rPr>
                <w:rFonts w:ascii="Palatino Linotype" w:eastAsia="Palatino Linotype" w:hAnsi="Palatino Linotype" w:cs="Palatino Linotype"/>
                <w:b/>
                <w:sz w:val="12"/>
                <w:szCs w:val="12"/>
              </w:rPr>
            </w:pPr>
            <w:r w:rsidRPr="00693E0E">
              <w:rPr>
                <w:rFonts w:ascii="Palatino Linotype" w:eastAsia="Palatino Linotype" w:hAnsi="Palatino Linotype" w:cs="Palatino Linotype"/>
                <w:b/>
                <w:sz w:val="12"/>
                <w:szCs w:val="12"/>
              </w:rPr>
              <w:t>Rúbrica y cargo del servidor público</w:t>
            </w:r>
          </w:p>
        </w:tc>
        <w:tc>
          <w:tcPr>
            <w:tcW w:w="3446" w:type="dxa"/>
          </w:tcPr>
          <w:p w14:paraId="77E3CB03" w14:textId="77777777" w:rsidR="009A494C" w:rsidRPr="00693E0E" w:rsidRDefault="009A494C" w:rsidP="00CA65DE">
            <w:pPr>
              <w:spacing w:line="360" w:lineRule="auto"/>
              <w:jc w:val="both"/>
              <w:rPr>
                <w:rFonts w:ascii="Palatino Linotype" w:eastAsia="Palatino Linotype" w:hAnsi="Palatino Linotype" w:cs="Palatino Linotype"/>
                <w:sz w:val="12"/>
                <w:szCs w:val="12"/>
              </w:rPr>
            </w:pPr>
            <w:r w:rsidRPr="00693E0E">
              <w:rPr>
                <w:rFonts w:ascii="Palatino Linotype" w:eastAsia="Palatino Linotype" w:hAnsi="Palatino Linotype" w:cs="Palatino Linotype"/>
                <w:sz w:val="12"/>
                <w:szCs w:val="12"/>
              </w:rPr>
              <w:t>Rúbrica autógrafa de quien desclasifica.</w:t>
            </w:r>
          </w:p>
        </w:tc>
      </w:tr>
    </w:tbl>
    <w:p w14:paraId="30A3E622" w14:textId="77777777" w:rsidR="009A494C" w:rsidRPr="00693E0E" w:rsidRDefault="009A494C" w:rsidP="009A494C">
      <w:pPr>
        <w:spacing w:line="360" w:lineRule="auto"/>
        <w:ind w:right="51"/>
        <w:jc w:val="both"/>
        <w:rPr>
          <w:rFonts w:ascii="Palatino Linotype" w:eastAsia="Palatino Linotype" w:hAnsi="Palatino Linotype" w:cs="Palatino Linotype"/>
        </w:rPr>
      </w:pPr>
    </w:p>
    <w:p w14:paraId="1AC0619F" w14:textId="77777777" w:rsidR="00BE6FE6" w:rsidRPr="00693E0E" w:rsidRDefault="00297D70">
      <w:p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w:t>
      </w:r>
      <w:r w:rsidR="00554458" w:rsidRPr="00693E0E">
        <w:rPr>
          <w:rFonts w:ascii="Palatino Linotype" w:eastAsia="Palatino Linotype" w:hAnsi="Palatino Linotype" w:cs="Palatino Linotype"/>
        </w:rPr>
        <w:t xml:space="preserve">178, 181, 185 y 186 fracción III </w:t>
      </w:r>
      <w:r w:rsidRPr="00693E0E">
        <w:rPr>
          <w:rFonts w:ascii="Palatino Linotype" w:eastAsia="Palatino Linotype" w:hAnsi="Palatino Linotype" w:cs="Palatino Linotype"/>
        </w:rPr>
        <w:t>de la Ley de Transparencia y Acceso a la Información Pública del Estado de México y Municipios, este Pleno</w:t>
      </w:r>
    </w:p>
    <w:p w14:paraId="616DDE3C" w14:textId="77777777" w:rsidR="00BE6FE6" w:rsidRPr="00693E0E" w:rsidRDefault="00BE6FE6">
      <w:pPr>
        <w:pBdr>
          <w:top w:val="nil"/>
          <w:left w:val="nil"/>
          <w:bottom w:val="nil"/>
          <w:right w:val="nil"/>
          <w:between w:val="nil"/>
        </w:pBdr>
        <w:spacing w:line="360" w:lineRule="auto"/>
        <w:jc w:val="both"/>
        <w:rPr>
          <w:rFonts w:ascii="Palatino Linotype" w:eastAsia="Palatino Linotype" w:hAnsi="Palatino Linotype" w:cs="Palatino Linotype"/>
        </w:rPr>
      </w:pPr>
    </w:p>
    <w:p w14:paraId="4EF39CF5" w14:textId="77777777" w:rsidR="00BE6FE6" w:rsidRPr="00693E0E" w:rsidRDefault="0082338B">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693E0E">
        <w:rPr>
          <w:rFonts w:ascii="Palatino Linotype" w:eastAsia="Palatino Linotype" w:hAnsi="Palatino Linotype" w:cs="Palatino Linotype"/>
          <w:b/>
        </w:rPr>
        <w:t>R E S U E L V E</w:t>
      </w:r>
    </w:p>
    <w:p w14:paraId="72D931D3" w14:textId="77777777" w:rsidR="00BE6FE6" w:rsidRPr="00693E0E" w:rsidRDefault="00BE6FE6">
      <w:pPr>
        <w:pBdr>
          <w:top w:val="nil"/>
          <w:left w:val="nil"/>
          <w:bottom w:val="nil"/>
          <w:right w:val="nil"/>
          <w:between w:val="nil"/>
        </w:pBdr>
        <w:spacing w:line="360" w:lineRule="auto"/>
        <w:ind w:left="360"/>
        <w:rPr>
          <w:rFonts w:ascii="Palatino Linotype" w:eastAsia="Palatino Linotype" w:hAnsi="Palatino Linotype" w:cs="Palatino Linotype"/>
          <w:b/>
        </w:rPr>
      </w:pPr>
      <w:bookmarkStart w:id="5" w:name="_heading=h.26in1rg" w:colFirst="0" w:colLast="0"/>
      <w:bookmarkEnd w:id="5"/>
    </w:p>
    <w:p w14:paraId="11596F28" w14:textId="77777777" w:rsidR="00271B7E" w:rsidRPr="00693E0E" w:rsidRDefault="00297D70" w:rsidP="00271B7E">
      <w:pPr>
        <w:spacing w:line="360" w:lineRule="auto"/>
        <w:jc w:val="both"/>
        <w:rPr>
          <w:rFonts w:ascii="Palatino Linotype" w:eastAsia="Palatino Linotype" w:hAnsi="Palatino Linotype" w:cs="Palatino Linotype"/>
          <w:b/>
        </w:rPr>
      </w:pPr>
      <w:bookmarkStart w:id="6" w:name="_heading=h.3rdcrjn" w:colFirst="0" w:colLast="0"/>
      <w:bookmarkEnd w:id="6"/>
      <w:r w:rsidRPr="00693E0E">
        <w:rPr>
          <w:rFonts w:ascii="Palatino Linotype" w:eastAsia="Palatino Linotype" w:hAnsi="Palatino Linotype" w:cs="Palatino Linotype"/>
          <w:b/>
        </w:rPr>
        <w:t xml:space="preserve">PRIMERO. </w:t>
      </w:r>
      <w:r w:rsidR="00271B7E" w:rsidRPr="00693E0E">
        <w:rPr>
          <w:rFonts w:ascii="Palatino Linotype" w:eastAsia="Palatino Linotype" w:hAnsi="Palatino Linotype" w:cs="Palatino Linotype"/>
        </w:rPr>
        <w:t xml:space="preserve">Resultan </w:t>
      </w:r>
      <w:r w:rsidR="00271B7E" w:rsidRPr="00693E0E">
        <w:rPr>
          <w:rFonts w:ascii="Palatino Linotype" w:eastAsia="Palatino Linotype" w:hAnsi="Palatino Linotype" w:cs="Palatino Linotype"/>
          <w:b/>
        </w:rPr>
        <w:t>FUNDADAS</w:t>
      </w:r>
      <w:r w:rsidR="00271B7E" w:rsidRPr="00693E0E">
        <w:rPr>
          <w:rFonts w:ascii="Palatino Linotype" w:eastAsia="Palatino Linotype" w:hAnsi="Palatino Linotype" w:cs="Palatino Linotype"/>
        </w:rPr>
        <w:t xml:space="preserve"> las razones o motivos de inconformidad hechos valer por </w:t>
      </w:r>
      <w:r w:rsidR="00271B7E" w:rsidRPr="00693E0E">
        <w:rPr>
          <w:rFonts w:ascii="Palatino Linotype" w:eastAsia="Palatino Linotype" w:hAnsi="Palatino Linotype" w:cs="Palatino Linotype"/>
          <w:b/>
        </w:rPr>
        <w:t>LA PARTE RECURRENTE</w:t>
      </w:r>
      <w:r w:rsidR="00271B7E" w:rsidRPr="00693E0E">
        <w:rPr>
          <w:rFonts w:ascii="Palatino Linotype" w:eastAsia="Palatino Linotype" w:hAnsi="Palatino Linotype" w:cs="Palatino Linotype"/>
        </w:rPr>
        <w:t xml:space="preserve"> en los recursos de revisión </w:t>
      </w:r>
      <w:r w:rsidR="00271B7E" w:rsidRPr="00693E0E">
        <w:rPr>
          <w:rFonts w:ascii="Palatino Linotype" w:eastAsia="Palatino Linotype" w:hAnsi="Palatino Linotype" w:cs="Palatino Linotype"/>
          <w:b/>
          <w:sz w:val="22"/>
          <w:szCs w:val="22"/>
        </w:rPr>
        <w:t>15889/INFOEM/IP/RR/2022, 15892/INFOEM/IP/RR/2022 y 15935/INFOEM/IP/RR/2022</w:t>
      </w:r>
      <w:r w:rsidR="00271B7E" w:rsidRPr="00693E0E">
        <w:rPr>
          <w:rFonts w:ascii="Palatino Linotype" w:eastAsia="Palatino Linotype" w:hAnsi="Palatino Linotype" w:cs="Palatino Linotype"/>
        </w:rPr>
        <w:t xml:space="preserve">; por lo que, en términos del </w:t>
      </w:r>
      <w:r w:rsidR="00271B7E" w:rsidRPr="00693E0E">
        <w:rPr>
          <w:rFonts w:ascii="Palatino Linotype" w:eastAsia="Palatino Linotype" w:hAnsi="Palatino Linotype" w:cs="Palatino Linotype"/>
          <w:b/>
        </w:rPr>
        <w:t>CONSIDERANDO</w:t>
      </w:r>
      <w:r w:rsidR="00271B7E" w:rsidRPr="00693E0E">
        <w:rPr>
          <w:rFonts w:ascii="Palatino Linotype" w:eastAsia="Palatino Linotype" w:hAnsi="Palatino Linotype" w:cs="Palatino Linotype"/>
        </w:rPr>
        <w:t xml:space="preserve"> </w:t>
      </w:r>
      <w:r w:rsidR="00271B7E" w:rsidRPr="00693E0E">
        <w:rPr>
          <w:rFonts w:ascii="Palatino Linotype" w:eastAsia="Palatino Linotype" w:hAnsi="Palatino Linotype" w:cs="Palatino Linotype"/>
          <w:b/>
        </w:rPr>
        <w:t xml:space="preserve">CUARTO </w:t>
      </w:r>
      <w:r w:rsidR="00271B7E" w:rsidRPr="00693E0E">
        <w:rPr>
          <w:rFonts w:ascii="Palatino Linotype" w:eastAsia="Palatino Linotype" w:hAnsi="Palatino Linotype" w:cs="Palatino Linotype"/>
        </w:rPr>
        <w:t xml:space="preserve">de esta resolución, se </w:t>
      </w:r>
      <w:r w:rsidR="00271B7E" w:rsidRPr="00693E0E">
        <w:rPr>
          <w:rFonts w:ascii="Palatino Linotype" w:eastAsia="Palatino Linotype" w:hAnsi="Palatino Linotype" w:cs="Palatino Linotype"/>
          <w:b/>
        </w:rPr>
        <w:t xml:space="preserve">REVOCAN </w:t>
      </w:r>
      <w:r w:rsidR="00271B7E" w:rsidRPr="00693E0E">
        <w:rPr>
          <w:rFonts w:ascii="Palatino Linotype" w:eastAsia="Palatino Linotype" w:hAnsi="Palatino Linotype" w:cs="Palatino Linotype"/>
        </w:rPr>
        <w:t xml:space="preserve">las respuestas emitidas por </w:t>
      </w:r>
      <w:r w:rsidR="00271B7E" w:rsidRPr="00693E0E">
        <w:rPr>
          <w:rFonts w:ascii="Palatino Linotype" w:eastAsia="Palatino Linotype" w:hAnsi="Palatino Linotype" w:cs="Palatino Linotype"/>
          <w:b/>
        </w:rPr>
        <w:t xml:space="preserve">EL SUJETO OBLIGADO. </w:t>
      </w:r>
    </w:p>
    <w:p w14:paraId="2F09FC9E" w14:textId="77777777" w:rsidR="00BE6FE6" w:rsidRPr="00693E0E" w:rsidRDefault="00BE6FE6">
      <w:pPr>
        <w:spacing w:line="360" w:lineRule="auto"/>
        <w:ind w:right="49"/>
        <w:jc w:val="both"/>
        <w:rPr>
          <w:rFonts w:ascii="Palatino Linotype" w:eastAsia="Palatino Linotype" w:hAnsi="Palatino Linotype" w:cs="Palatino Linotype"/>
        </w:rPr>
      </w:pPr>
    </w:p>
    <w:p w14:paraId="2D2CFDE2" w14:textId="77777777" w:rsidR="00BE6FE6" w:rsidRPr="00693E0E" w:rsidRDefault="00297D70">
      <w:pPr>
        <w:spacing w:line="360" w:lineRule="auto"/>
        <w:jc w:val="both"/>
        <w:rPr>
          <w:rFonts w:ascii="Palatino Linotype" w:eastAsia="Palatino Linotype" w:hAnsi="Palatino Linotype" w:cs="Palatino Linotype"/>
        </w:rPr>
      </w:pPr>
      <w:bookmarkStart w:id="7" w:name="_heading=h.2et92p0" w:colFirst="0" w:colLast="0"/>
      <w:bookmarkEnd w:id="7"/>
      <w:r w:rsidRPr="00693E0E">
        <w:rPr>
          <w:rFonts w:ascii="Palatino Linotype" w:eastAsia="Palatino Linotype" w:hAnsi="Palatino Linotype" w:cs="Palatino Linotype"/>
          <w:b/>
        </w:rPr>
        <w:t>SEGUNDO.</w:t>
      </w:r>
      <w:r w:rsidRPr="00693E0E">
        <w:rPr>
          <w:rFonts w:ascii="Palatino Linotype" w:eastAsia="Palatino Linotype" w:hAnsi="Palatino Linotype" w:cs="Palatino Linotype"/>
        </w:rPr>
        <w:t xml:space="preserve"> Se</w:t>
      </w:r>
      <w:r w:rsidRPr="00693E0E">
        <w:rPr>
          <w:rFonts w:ascii="Palatino Linotype" w:eastAsia="Palatino Linotype" w:hAnsi="Palatino Linotype" w:cs="Palatino Linotype"/>
          <w:b/>
        </w:rPr>
        <w:t xml:space="preserve"> ORDENA </w:t>
      </w:r>
      <w:r w:rsidRPr="00693E0E">
        <w:rPr>
          <w:rFonts w:ascii="Palatino Linotype" w:eastAsia="Palatino Linotype" w:hAnsi="Palatino Linotype" w:cs="Palatino Linotype"/>
        </w:rPr>
        <w:t xml:space="preserve">al </w:t>
      </w:r>
      <w:r w:rsidRPr="00693E0E">
        <w:rPr>
          <w:rFonts w:ascii="Palatino Linotype" w:eastAsia="Palatino Linotype" w:hAnsi="Palatino Linotype" w:cs="Palatino Linotype"/>
          <w:b/>
        </w:rPr>
        <w:t xml:space="preserve">SUJETO OBLIGADO </w:t>
      </w:r>
      <w:r w:rsidRPr="00693E0E">
        <w:rPr>
          <w:rFonts w:ascii="Palatino Linotype" w:eastAsia="Palatino Linotype" w:hAnsi="Palatino Linotype" w:cs="Palatino Linotype"/>
        </w:rPr>
        <w:t>entregar, vía Sistema de Acceso a la Información Mexiquense, previa búsqueda exhaustiva y razonable,</w:t>
      </w:r>
      <w:r w:rsidRPr="00693E0E">
        <w:rPr>
          <w:rFonts w:ascii="Palatino Linotype" w:eastAsia="Palatino Linotype" w:hAnsi="Palatino Linotype" w:cs="Palatino Linotype"/>
          <w:b/>
        </w:rPr>
        <w:t xml:space="preserve"> </w:t>
      </w:r>
      <w:r w:rsidRPr="00693E0E">
        <w:rPr>
          <w:rFonts w:ascii="Palatino Linotype" w:eastAsia="Palatino Linotype" w:hAnsi="Palatino Linotype" w:cs="Palatino Linotype"/>
        </w:rPr>
        <w:t xml:space="preserve">en términos de los </w:t>
      </w:r>
      <w:r w:rsidRPr="00693E0E">
        <w:rPr>
          <w:rFonts w:ascii="Palatino Linotype" w:eastAsia="Palatino Linotype" w:hAnsi="Palatino Linotype" w:cs="Palatino Linotype"/>
          <w:b/>
        </w:rPr>
        <w:t xml:space="preserve">CONSIDERANDOS CUARTO </w:t>
      </w:r>
      <w:r w:rsidRPr="00693E0E">
        <w:rPr>
          <w:rFonts w:ascii="Palatino Linotype" w:eastAsia="Palatino Linotype" w:hAnsi="Palatino Linotype" w:cs="Palatino Linotype"/>
        </w:rPr>
        <w:t xml:space="preserve">y </w:t>
      </w:r>
      <w:r w:rsidRPr="00693E0E">
        <w:rPr>
          <w:rFonts w:ascii="Palatino Linotype" w:eastAsia="Palatino Linotype" w:hAnsi="Palatino Linotype" w:cs="Palatino Linotype"/>
          <w:b/>
        </w:rPr>
        <w:t>QUINTO</w:t>
      </w:r>
      <w:r w:rsidRPr="00693E0E">
        <w:rPr>
          <w:rFonts w:ascii="Palatino Linotype" w:eastAsia="Palatino Linotype" w:hAnsi="Palatino Linotype" w:cs="Palatino Linotype"/>
        </w:rPr>
        <w:t xml:space="preserve"> de esta resolución en versión pública, lo siguiente: </w:t>
      </w:r>
    </w:p>
    <w:p w14:paraId="3214A1B1" w14:textId="77777777" w:rsidR="00BE6FE6" w:rsidRPr="00693E0E" w:rsidRDefault="00BE6FE6">
      <w:pPr>
        <w:spacing w:line="360" w:lineRule="auto"/>
        <w:jc w:val="both"/>
        <w:rPr>
          <w:rFonts w:ascii="Palatino Linotype" w:eastAsia="Palatino Linotype" w:hAnsi="Palatino Linotype" w:cs="Palatino Linotype"/>
        </w:rPr>
      </w:pPr>
    </w:p>
    <w:p w14:paraId="5C8BCDEE" w14:textId="77777777" w:rsidR="00BE6FE6" w:rsidRPr="00693E0E" w:rsidRDefault="00297D7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lastRenderedPageBreak/>
        <w:t>Listas de asistencia del mes de septiembre de dos mil veintidós, de los Titulares de las áreas de la Secretaría del Ayuntamiento, la Secretaría Particular, Secretaría Técnica, Unidad de Información, Planeación, Programación y Evaluación, Coordinación Municipal de Mejora Regulatoria, Unidad de Transparencia, Secretaría Técnica del Consejo Municipal de Seguridad Pública, Coordinación de Asesores y la Coordinación de Asuntos Intergubernamentales, Dirección de Administración, Dirección de Obras Públicas, Dirección de Desarrollo Metropolitano y Movilidad, Dirección de Desarrollo Territorial y Urbano, Dirección de Desarrollo Económico, Dirección de Desarrollo Social, Dirección de Seguridad Pública y de Tránsito, Dirección de Servicios Públicos, Dirección de Medio Ambiente, Dirección de Cultura y Turismo, Dirección de Educación, Dirección de Gobernación, Dirección de la Mujer y la Dirección Jurídica.</w:t>
      </w:r>
    </w:p>
    <w:p w14:paraId="7A67FA00" w14:textId="77777777" w:rsidR="00BE6FE6" w:rsidRPr="00693E0E" w:rsidRDefault="00BE6FE6">
      <w:pPr>
        <w:spacing w:line="360" w:lineRule="auto"/>
        <w:jc w:val="both"/>
        <w:rPr>
          <w:rFonts w:ascii="Palatino Linotype" w:eastAsia="Palatino Linotype" w:hAnsi="Palatino Linotype" w:cs="Palatino Linotype"/>
        </w:rPr>
      </w:pPr>
    </w:p>
    <w:p w14:paraId="01EECA57" w14:textId="77777777" w:rsidR="00BE6FE6" w:rsidRPr="00693E0E" w:rsidRDefault="00297D7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 xml:space="preserve">Listas de asistencia del mes de septiembre de dos mil veintidós, de todo el personal adscrito al Instituto Municipal de Cultura Física y Deporte de Zinacantepec.  </w:t>
      </w:r>
    </w:p>
    <w:p w14:paraId="40D5144B" w14:textId="77777777" w:rsidR="00D735D8" w:rsidRPr="00693E0E" w:rsidRDefault="00D735D8" w:rsidP="00D735D8">
      <w:pPr>
        <w:pStyle w:val="Prrafodelista"/>
        <w:rPr>
          <w:rFonts w:ascii="Palatino Linotype" w:eastAsia="Palatino Linotype" w:hAnsi="Palatino Linotype" w:cs="Palatino Linotype"/>
        </w:rPr>
      </w:pPr>
    </w:p>
    <w:p w14:paraId="49784CED" w14:textId="77777777" w:rsidR="00D735D8" w:rsidRPr="00693E0E" w:rsidRDefault="00D735D8">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693E0E">
        <w:rPr>
          <w:rFonts w:ascii="Palatino Linotype" w:hAnsi="Palatino Linotype"/>
        </w:rPr>
        <w:t xml:space="preserve">La autorización emitida por autoridad competente, para omitir la elaboración de listas de asistencia, para exceptuar el registro de asistencia de determinados </w:t>
      </w:r>
      <w:r w:rsidR="00554458" w:rsidRPr="00693E0E">
        <w:rPr>
          <w:rFonts w:ascii="Palatino Linotype" w:hAnsi="Palatino Linotype"/>
        </w:rPr>
        <w:t>Personas Servidoras Pública</w:t>
      </w:r>
      <w:r w:rsidRPr="00693E0E">
        <w:rPr>
          <w:rFonts w:ascii="Palatino Linotype" w:hAnsi="Palatino Linotype"/>
        </w:rPr>
        <w:t>s o para poder laborar vía teletrabajo, del periodo señalado en el punto anterior.</w:t>
      </w:r>
    </w:p>
    <w:p w14:paraId="272BFC1D" w14:textId="77777777" w:rsidR="00554458" w:rsidRPr="00693E0E" w:rsidRDefault="00554458">
      <w:pPr>
        <w:pBdr>
          <w:top w:val="nil"/>
          <w:left w:val="nil"/>
          <w:bottom w:val="nil"/>
          <w:right w:val="nil"/>
          <w:between w:val="nil"/>
        </w:pBdr>
        <w:ind w:left="864" w:right="62"/>
        <w:jc w:val="both"/>
        <w:rPr>
          <w:rFonts w:ascii="Palatino Linotype" w:eastAsia="Palatino Linotype" w:hAnsi="Palatino Linotype" w:cs="Palatino Linotype"/>
          <w:i/>
          <w:sz w:val="22"/>
          <w:szCs w:val="22"/>
        </w:rPr>
      </w:pPr>
    </w:p>
    <w:p w14:paraId="5D739A1B" w14:textId="77777777" w:rsidR="00BE6FE6" w:rsidRPr="00693E0E" w:rsidRDefault="00297D70">
      <w:pPr>
        <w:pBdr>
          <w:top w:val="nil"/>
          <w:left w:val="nil"/>
          <w:bottom w:val="nil"/>
          <w:right w:val="nil"/>
          <w:between w:val="nil"/>
        </w:pBdr>
        <w:ind w:left="864" w:right="62"/>
        <w:jc w:val="both"/>
        <w:rPr>
          <w:rFonts w:ascii="Palatino Linotype" w:eastAsia="Palatino Linotype" w:hAnsi="Palatino Linotype" w:cs="Palatino Linotype"/>
          <w:i/>
          <w:sz w:val="22"/>
          <w:szCs w:val="22"/>
        </w:rPr>
      </w:pPr>
      <w:r w:rsidRPr="00693E0E">
        <w:rPr>
          <w:rFonts w:ascii="Palatino Linotype" w:eastAsia="Palatino Linotype" w:hAnsi="Palatino Linotype" w:cs="Palatino Linotype"/>
          <w:i/>
          <w:sz w:val="22"/>
          <w:szCs w:val="22"/>
        </w:rPr>
        <w:lastRenderedPageBreak/>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693E0E">
        <w:rPr>
          <w:rFonts w:ascii="Palatino Linotype" w:eastAsia="Palatino Linotype" w:hAnsi="Palatino Linotype" w:cs="Palatino Linotype"/>
          <w:b/>
          <w:i/>
          <w:sz w:val="22"/>
          <w:szCs w:val="22"/>
        </w:rPr>
        <w:t>LA PARTE</w:t>
      </w:r>
      <w:r w:rsidRPr="00693E0E">
        <w:rPr>
          <w:rFonts w:ascii="Palatino Linotype" w:eastAsia="Palatino Linotype" w:hAnsi="Palatino Linotype" w:cs="Palatino Linotype"/>
          <w:i/>
          <w:sz w:val="22"/>
          <w:szCs w:val="22"/>
        </w:rPr>
        <w:t xml:space="preserve"> </w:t>
      </w:r>
      <w:r w:rsidRPr="00693E0E">
        <w:rPr>
          <w:rFonts w:ascii="Palatino Linotype" w:eastAsia="Palatino Linotype" w:hAnsi="Palatino Linotype" w:cs="Palatino Linotype"/>
          <w:b/>
          <w:i/>
          <w:sz w:val="22"/>
          <w:szCs w:val="22"/>
        </w:rPr>
        <w:t>RECURRENTE</w:t>
      </w:r>
      <w:r w:rsidRPr="00693E0E">
        <w:rPr>
          <w:rFonts w:ascii="Palatino Linotype" w:eastAsia="Palatino Linotype" w:hAnsi="Palatino Linotype" w:cs="Palatino Linotype"/>
          <w:i/>
          <w:sz w:val="22"/>
          <w:szCs w:val="22"/>
        </w:rPr>
        <w:t>.</w:t>
      </w:r>
    </w:p>
    <w:p w14:paraId="36EBF924" w14:textId="77777777" w:rsidR="00BE6FE6" w:rsidRPr="00693E0E" w:rsidRDefault="00BE6FE6">
      <w:pPr>
        <w:pBdr>
          <w:top w:val="nil"/>
          <w:left w:val="nil"/>
          <w:bottom w:val="nil"/>
          <w:right w:val="nil"/>
          <w:between w:val="nil"/>
        </w:pBdr>
        <w:ind w:left="864" w:right="62"/>
        <w:jc w:val="both"/>
        <w:rPr>
          <w:rFonts w:ascii="Palatino Linotype" w:eastAsia="Palatino Linotype" w:hAnsi="Palatino Linotype" w:cs="Palatino Linotype"/>
          <w:i/>
          <w:sz w:val="22"/>
          <w:szCs w:val="22"/>
        </w:rPr>
      </w:pPr>
    </w:p>
    <w:p w14:paraId="15C1B32C" w14:textId="77777777" w:rsidR="00BE6FE6" w:rsidRPr="00693E0E" w:rsidRDefault="00297D70">
      <w:pPr>
        <w:pBdr>
          <w:top w:val="nil"/>
          <w:left w:val="nil"/>
          <w:bottom w:val="nil"/>
          <w:right w:val="nil"/>
          <w:between w:val="nil"/>
        </w:pBdr>
        <w:ind w:left="864" w:right="49"/>
        <w:jc w:val="both"/>
        <w:rPr>
          <w:rFonts w:ascii="Palatino Linotype" w:eastAsia="Palatino Linotype" w:hAnsi="Palatino Linotype" w:cs="Palatino Linotype"/>
          <w:i/>
          <w:sz w:val="22"/>
          <w:szCs w:val="22"/>
        </w:rPr>
      </w:pPr>
      <w:bookmarkStart w:id="8" w:name="_heading=h.3znysh7" w:colFirst="0" w:colLast="0"/>
      <w:bookmarkEnd w:id="8"/>
      <w:r w:rsidRPr="00693E0E">
        <w:rPr>
          <w:rFonts w:ascii="Palatino Linotype" w:eastAsia="Palatino Linotype" w:hAnsi="Palatino Linotype" w:cs="Palatino Linotype"/>
          <w:i/>
          <w:sz w:val="22"/>
          <w:szCs w:val="22"/>
        </w:rPr>
        <w:t xml:space="preserve">Para el supuesto, de que no cuente con los documentos referidos, deberá proporcionar el Acuerdo del Comité de Transparencia donde conforme la inexistencia de los registros de </w:t>
      </w:r>
      <w:r w:rsidR="00554458" w:rsidRPr="00693E0E">
        <w:rPr>
          <w:rFonts w:ascii="Palatino Linotype" w:eastAsia="Palatino Linotype" w:hAnsi="Palatino Linotype" w:cs="Palatino Linotype"/>
          <w:i/>
          <w:sz w:val="22"/>
          <w:szCs w:val="22"/>
        </w:rPr>
        <w:t>asistencia</w:t>
      </w:r>
      <w:r w:rsidRPr="00693E0E">
        <w:rPr>
          <w:rFonts w:ascii="Palatino Linotype" w:eastAsia="Palatino Linotype" w:hAnsi="Palatino Linotype" w:cs="Palatino Linotype"/>
          <w:i/>
          <w:sz w:val="22"/>
          <w:szCs w:val="22"/>
        </w:rPr>
        <w:t xml:space="preserve">, conforme a lo establecido en el artículo 19, párrafo tercero, 169 y 170 de la Ley de Transparencia y Acceso a la Información Pública del Estado de México y Municipios. </w:t>
      </w:r>
    </w:p>
    <w:p w14:paraId="43035156" w14:textId="77777777" w:rsidR="00BE6FE6" w:rsidRPr="00693E0E" w:rsidRDefault="00BE6FE6">
      <w:pPr>
        <w:spacing w:line="360" w:lineRule="auto"/>
        <w:jc w:val="both"/>
      </w:pPr>
    </w:p>
    <w:p w14:paraId="71542C7A"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TERCERO. Notifíquese </w:t>
      </w:r>
      <w:r w:rsidRPr="00693E0E">
        <w:rPr>
          <w:rFonts w:ascii="Palatino Linotype" w:eastAsia="Palatino Linotype" w:hAnsi="Palatino Linotype" w:cs="Palatino Linotype"/>
        </w:rPr>
        <w:t xml:space="preserve">la presente resolución al Titular de la Unidad de Transparencia del </w:t>
      </w:r>
      <w:r w:rsidRPr="00693E0E">
        <w:rPr>
          <w:rFonts w:ascii="Palatino Linotype" w:eastAsia="Palatino Linotype" w:hAnsi="Palatino Linotype" w:cs="Palatino Linotype"/>
          <w:b/>
        </w:rPr>
        <w:t xml:space="preserve">SUJETO OBLIGADO, </w:t>
      </w:r>
      <w:r w:rsidRPr="00693E0E">
        <w:rPr>
          <w:rFonts w:ascii="Palatino Linotype" w:eastAsia="Palatino Linotype" w:hAnsi="Palatino Linotype" w:cs="Palatino Linotype"/>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3B352A" w14:textId="77777777" w:rsidR="0082338B" w:rsidRPr="00693E0E" w:rsidRDefault="0082338B">
      <w:pPr>
        <w:spacing w:line="360" w:lineRule="auto"/>
        <w:jc w:val="both"/>
        <w:rPr>
          <w:rFonts w:ascii="Palatino Linotype" w:eastAsia="Palatino Linotype" w:hAnsi="Palatino Linotype" w:cs="Palatino Linotype"/>
          <w:b/>
        </w:rPr>
      </w:pPr>
    </w:p>
    <w:p w14:paraId="0B735504" w14:textId="77777777"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t xml:space="preserve">CUARTO. </w:t>
      </w:r>
      <w:r w:rsidRPr="00693E0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693E0E">
        <w:rPr>
          <w:rFonts w:ascii="Palatino Linotype" w:eastAsia="Palatino Linotype" w:hAnsi="Palatino Linotype" w:cs="Palatino Linotype"/>
          <w:b/>
        </w:rPr>
        <w:t>EL SUJETO OBLIGADO</w:t>
      </w:r>
      <w:r w:rsidRPr="00693E0E">
        <w:rPr>
          <w:rFonts w:ascii="Palatino Linotype" w:eastAsia="Palatino Linotype" w:hAnsi="Palatino Linotype" w:cs="Palatino Linotype"/>
        </w:rPr>
        <w:t xml:space="preserve"> de manera fundada y motivada, podrá solicitar una ampliación de plazo para el cumplimiento de la presente resolución.</w:t>
      </w:r>
    </w:p>
    <w:p w14:paraId="62913C3D" w14:textId="77777777" w:rsidR="00BE6FE6" w:rsidRPr="00693E0E" w:rsidRDefault="00BE6FE6">
      <w:pPr>
        <w:spacing w:line="360" w:lineRule="auto"/>
        <w:jc w:val="both"/>
        <w:rPr>
          <w:rFonts w:ascii="Palatino Linotype" w:eastAsia="Palatino Linotype" w:hAnsi="Palatino Linotype" w:cs="Palatino Linotype"/>
        </w:rPr>
      </w:pPr>
    </w:p>
    <w:p w14:paraId="79163F7A" w14:textId="125B9D45" w:rsidR="00BE6FE6" w:rsidRPr="00693E0E" w:rsidRDefault="00297D70">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b/>
        </w:rPr>
        <w:lastRenderedPageBreak/>
        <w:t xml:space="preserve">QUINTO. Notifíquese </w:t>
      </w:r>
      <w:r w:rsidRPr="00693E0E">
        <w:rPr>
          <w:rFonts w:ascii="Palatino Linotype" w:eastAsia="Palatino Linotype" w:hAnsi="Palatino Linotype" w:cs="Palatino Linotype"/>
        </w:rPr>
        <w:t>vía SAIMEX,</w:t>
      </w:r>
      <w:r w:rsidRPr="00693E0E">
        <w:rPr>
          <w:rFonts w:ascii="Palatino Linotype" w:eastAsia="Palatino Linotype" w:hAnsi="Palatino Linotype" w:cs="Palatino Linotype"/>
          <w:b/>
        </w:rPr>
        <w:t xml:space="preserve"> </w:t>
      </w:r>
      <w:r w:rsidRPr="00693E0E">
        <w:rPr>
          <w:rFonts w:ascii="Palatino Linotype" w:eastAsia="Palatino Linotype" w:hAnsi="Palatino Linotype" w:cs="Palatino Linotype"/>
        </w:rPr>
        <w:t xml:space="preserve">a </w:t>
      </w:r>
      <w:r w:rsidRPr="00693E0E">
        <w:rPr>
          <w:rFonts w:ascii="Palatino Linotype" w:eastAsia="Palatino Linotype" w:hAnsi="Palatino Linotype" w:cs="Palatino Linotype"/>
          <w:b/>
        </w:rPr>
        <w:t>LA PARTE</w:t>
      </w:r>
      <w:r w:rsidRPr="00693E0E">
        <w:rPr>
          <w:rFonts w:ascii="Palatino Linotype" w:eastAsia="Palatino Linotype" w:hAnsi="Palatino Linotype" w:cs="Palatino Linotype"/>
        </w:rPr>
        <w:t xml:space="preserve"> </w:t>
      </w:r>
      <w:r w:rsidRPr="00693E0E">
        <w:rPr>
          <w:rFonts w:ascii="Palatino Linotype" w:eastAsia="Palatino Linotype" w:hAnsi="Palatino Linotype" w:cs="Palatino Linotype"/>
          <w:b/>
        </w:rPr>
        <w:t>RECURRENTE</w:t>
      </w:r>
      <w:r w:rsidRPr="00693E0E">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FAD1C9B" w14:textId="77777777" w:rsidR="008F1881" w:rsidRPr="00693E0E" w:rsidRDefault="008F1881">
      <w:pPr>
        <w:spacing w:line="360" w:lineRule="auto"/>
        <w:jc w:val="both"/>
        <w:rPr>
          <w:rFonts w:ascii="Palatino Linotype" w:eastAsia="Palatino Linotype" w:hAnsi="Palatino Linotype" w:cs="Palatino Linotype"/>
        </w:rPr>
      </w:pPr>
    </w:p>
    <w:p w14:paraId="6142375D" w14:textId="43CD02BC" w:rsidR="00BE6FE6" w:rsidRDefault="008F1881">
      <w:pPr>
        <w:spacing w:line="360" w:lineRule="auto"/>
        <w:jc w:val="both"/>
        <w:rPr>
          <w:rFonts w:ascii="Palatino Linotype" w:eastAsia="Palatino Linotype" w:hAnsi="Palatino Linotype" w:cs="Palatino Linotype"/>
        </w:rPr>
      </w:pPr>
      <w:r w:rsidRPr="00693E0E">
        <w:rPr>
          <w:rFonts w:ascii="Palatino Linotype" w:eastAsia="Palatino Linotype" w:hAnsi="Palatino Linotype" w:cs="Palatino Linotype"/>
        </w:rPr>
        <w:t>ASÍ LO RESUELVE, POR UNANIMIDAD,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DE ABRIL DE DOS MIL VEINTITRÉS, ANTE EL SECRETARIO TÉCNICO DEL PLENO ALEXIS TAPIA RAMÍREZ.</w:t>
      </w:r>
    </w:p>
    <w:p w14:paraId="66BF181B" w14:textId="77777777" w:rsidR="001601F3" w:rsidRDefault="001601F3">
      <w:pPr>
        <w:spacing w:line="360" w:lineRule="auto"/>
        <w:jc w:val="both"/>
        <w:rPr>
          <w:rFonts w:ascii="Palatino Linotype" w:eastAsia="Palatino Linotype" w:hAnsi="Palatino Linotype" w:cs="Palatino Linotype"/>
        </w:rPr>
      </w:pPr>
    </w:p>
    <w:p w14:paraId="4C0CBD58" w14:textId="77777777" w:rsidR="001601F3" w:rsidRDefault="001601F3">
      <w:pPr>
        <w:spacing w:line="360" w:lineRule="auto"/>
        <w:jc w:val="both"/>
        <w:rPr>
          <w:rFonts w:ascii="Palatino Linotype" w:eastAsia="Palatino Linotype" w:hAnsi="Palatino Linotype" w:cs="Palatino Linotype"/>
        </w:rPr>
      </w:pPr>
    </w:p>
    <w:p w14:paraId="1FC8A446" w14:textId="77777777" w:rsidR="001601F3" w:rsidRDefault="001601F3">
      <w:pPr>
        <w:spacing w:line="360" w:lineRule="auto"/>
        <w:jc w:val="both"/>
        <w:rPr>
          <w:rFonts w:ascii="Palatino Linotype" w:eastAsia="Palatino Linotype" w:hAnsi="Palatino Linotype" w:cs="Palatino Linotype"/>
        </w:rPr>
      </w:pPr>
    </w:p>
    <w:p w14:paraId="6F52D9F5" w14:textId="77777777" w:rsidR="001601F3" w:rsidRDefault="001601F3">
      <w:pPr>
        <w:spacing w:line="360" w:lineRule="auto"/>
        <w:jc w:val="both"/>
        <w:rPr>
          <w:rFonts w:ascii="Palatino Linotype" w:eastAsia="Palatino Linotype" w:hAnsi="Palatino Linotype" w:cs="Palatino Linotype"/>
        </w:rPr>
      </w:pPr>
    </w:p>
    <w:p w14:paraId="5880859D" w14:textId="77777777" w:rsidR="001601F3" w:rsidRDefault="001601F3">
      <w:pPr>
        <w:spacing w:line="360" w:lineRule="auto"/>
        <w:jc w:val="both"/>
        <w:rPr>
          <w:rFonts w:ascii="Palatino Linotype" w:eastAsia="Palatino Linotype" w:hAnsi="Palatino Linotype" w:cs="Palatino Linotype"/>
        </w:rPr>
      </w:pPr>
    </w:p>
    <w:p w14:paraId="5592AA61" w14:textId="77777777" w:rsidR="001601F3" w:rsidRDefault="001601F3">
      <w:pPr>
        <w:spacing w:line="360" w:lineRule="auto"/>
        <w:jc w:val="both"/>
        <w:rPr>
          <w:rFonts w:ascii="Palatino Linotype" w:eastAsia="Palatino Linotype" w:hAnsi="Palatino Linotype" w:cs="Palatino Linotype"/>
        </w:rPr>
      </w:pPr>
    </w:p>
    <w:p w14:paraId="769F3CFA" w14:textId="77777777" w:rsidR="001601F3" w:rsidRDefault="001601F3">
      <w:pPr>
        <w:spacing w:line="360" w:lineRule="auto"/>
        <w:jc w:val="both"/>
        <w:rPr>
          <w:rFonts w:ascii="Palatino Linotype" w:eastAsia="Palatino Linotype" w:hAnsi="Palatino Linotype" w:cs="Palatino Linotype"/>
        </w:rPr>
      </w:pPr>
    </w:p>
    <w:p w14:paraId="55F338AE" w14:textId="77777777" w:rsidR="001601F3" w:rsidRDefault="001601F3">
      <w:pPr>
        <w:spacing w:line="360" w:lineRule="auto"/>
        <w:jc w:val="both"/>
        <w:rPr>
          <w:rFonts w:ascii="Palatino Linotype" w:eastAsia="Palatino Linotype" w:hAnsi="Palatino Linotype" w:cs="Palatino Linotype"/>
        </w:rPr>
      </w:pPr>
    </w:p>
    <w:p w14:paraId="6ED260C5" w14:textId="77777777" w:rsidR="001601F3" w:rsidRDefault="001601F3">
      <w:pPr>
        <w:spacing w:line="360" w:lineRule="auto"/>
        <w:jc w:val="both"/>
        <w:rPr>
          <w:rFonts w:ascii="Palatino Linotype" w:eastAsia="Palatino Linotype" w:hAnsi="Palatino Linotype" w:cs="Palatino Linotype"/>
        </w:rPr>
      </w:pPr>
    </w:p>
    <w:p w14:paraId="17D7658C" w14:textId="77777777" w:rsidR="001601F3" w:rsidRDefault="001601F3">
      <w:pPr>
        <w:spacing w:line="360" w:lineRule="auto"/>
        <w:jc w:val="both"/>
        <w:rPr>
          <w:rFonts w:ascii="Palatino Linotype" w:eastAsia="Palatino Linotype" w:hAnsi="Palatino Linotype" w:cs="Palatino Linotype"/>
        </w:rPr>
      </w:pPr>
    </w:p>
    <w:p w14:paraId="3D5F68A0" w14:textId="77777777" w:rsidR="001601F3" w:rsidRPr="00693E0E" w:rsidRDefault="001601F3">
      <w:pPr>
        <w:spacing w:line="360" w:lineRule="auto"/>
        <w:jc w:val="both"/>
        <w:rPr>
          <w:rFonts w:ascii="Palatino Linotype" w:eastAsia="Palatino Linotype" w:hAnsi="Palatino Linotype" w:cs="Palatino Linotype"/>
        </w:rPr>
      </w:pPr>
    </w:p>
    <w:sectPr w:rsidR="001601F3" w:rsidRPr="00693E0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C53D9" w14:textId="77777777" w:rsidR="007E285E" w:rsidRDefault="007E285E">
      <w:r>
        <w:separator/>
      </w:r>
    </w:p>
  </w:endnote>
  <w:endnote w:type="continuationSeparator" w:id="0">
    <w:p w14:paraId="1ECC7C69" w14:textId="77777777" w:rsidR="007E285E" w:rsidRDefault="007E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6CF7" w14:textId="77777777" w:rsidR="001D2814" w:rsidRDefault="001D281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4158F">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4158F">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6DFA11A1" w14:textId="77777777" w:rsidR="001D2814" w:rsidRDefault="001D281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AB0C" w14:textId="77777777" w:rsidR="001D2814" w:rsidRDefault="001D281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4158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4158F">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0A37C0C8" w14:textId="77777777" w:rsidR="001D2814" w:rsidRDefault="001D281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8F2FA" w14:textId="77777777" w:rsidR="007E285E" w:rsidRDefault="007E285E">
      <w:r>
        <w:separator/>
      </w:r>
    </w:p>
  </w:footnote>
  <w:footnote w:type="continuationSeparator" w:id="0">
    <w:p w14:paraId="65487015" w14:textId="77777777" w:rsidR="007E285E" w:rsidRDefault="007E285E">
      <w:r>
        <w:continuationSeparator/>
      </w:r>
    </w:p>
  </w:footnote>
  <w:footnote w:id="1">
    <w:p w14:paraId="5E413D20"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hAnsi="Palatino Linotype"/>
          <w:sz w:val="20"/>
          <w:szCs w:val="20"/>
          <w:vertAlign w:val="superscript"/>
        </w:rPr>
        <w:footnoteRef/>
      </w:r>
      <w:r w:rsidRPr="00F231E6">
        <w:rPr>
          <w:rFonts w:ascii="Palatino Linotype" w:hAnsi="Palatino Linotype"/>
          <w:sz w:val="20"/>
          <w:szCs w:val="20"/>
        </w:rPr>
        <w:t xml:space="preserve"> </w:t>
      </w:r>
      <w:r w:rsidRPr="00F231E6">
        <w:rPr>
          <w:rFonts w:ascii="Palatino Linotype" w:eastAsia="Palatino Linotype" w:hAnsi="Palatino Linotype" w:cs="Palatino Linotype"/>
          <w:sz w:val="20"/>
          <w:szCs w:val="20"/>
        </w:rPr>
        <w:t>Ley de Trabajo de los Servidores Públicos del Estado de México y Municipios: A</w:t>
      </w:r>
      <w:r w:rsidRPr="00F231E6">
        <w:rPr>
          <w:rFonts w:ascii="Palatino Linotype" w:eastAsia="Palatino Linotype" w:hAnsi="Palatino Linotype" w:cs="Palatino Linotype"/>
          <w:i/>
          <w:sz w:val="20"/>
          <w:szCs w:val="20"/>
        </w:rPr>
        <w:t>RTÍCULO 93. Son causas de rescisión de la relación laboral, sin responsabilidad para las instituciones públicas:</w:t>
      </w:r>
    </w:p>
    <w:p w14:paraId="07D2DB6E"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IV. Incurrir en cuatro o más faltas de asistencia a sus labores sin causa justificada, dentro de un lapso de treinta días;</w:t>
      </w:r>
    </w:p>
    <w:p w14:paraId="3F38C688"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V. Abandonar las labores sin autorización previa o razón plenamente justificada, en contravención a lo establecido en las condiciones generales de trabajo…</w:t>
      </w:r>
    </w:p>
    <w:p w14:paraId="00251265"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involuntario…(Sic)</w:t>
      </w:r>
    </w:p>
  </w:footnote>
  <w:footnote w:id="2">
    <w:p w14:paraId="293F6F01" w14:textId="77777777" w:rsidR="00702C95" w:rsidRPr="00F231E6" w:rsidRDefault="00702C95" w:rsidP="00702C95">
      <w:pPr>
        <w:pBdr>
          <w:top w:val="nil"/>
          <w:left w:val="nil"/>
          <w:bottom w:val="nil"/>
          <w:right w:val="nil"/>
          <w:between w:val="nil"/>
        </w:pBdr>
        <w:rPr>
          <w:rFonts w:ascii="Palatino Linotype" w:eastAsia="Palatino Linotype" w:hAnsi="Palatino Linotype" w:cs="Palatino Linotype"/>
          <w:i/>
          <w:color w:val="000000"/>
          <w:sz w:val="20"/>
          <w:szCs w:val="20"/>
        </w:rPr>
      </w:pPr>
      <w:r w:rsidRPr="00F231E6">
        <w:rPr>
          <w:rFonts w:ascii="Palatino Linotype" w:hAnsi="Palatino Linotype"/>
          <w:sz w:val="20"/>
          <w:szCs w:val="20"/>
          <w:vertAlign w:val="superscript"/>
        </w:rPr>
        <w:footnoteRef/>
      </w:r>
      <w:r w:rsidRPr="00F231E6">
        <w:rPr>
          <w:rFonts w:ascii="Palatino Linotype" w:eastAsia="Calibri" w:hAnsi="Palatino Linotype" w:cs="Calibri"/>
          <w:color w:val="000000"/>
          <w:sz w:val="20"/>
          <w:szCs w:val="20"/>
        </w:rPr>
        <w:t xml:space="preserve"> </w:t>
      </w:r>
      <w:r w:rsidRPr="00F231E6">
        <w:rPr>
          <w:rFonts w:ascii="Palatino Linotype" w:eastAsia="Palatino Linotype" w:hAnsi="Palatino Linotype" w:cs="Palatino Linotype"/>
          <w:i/>
          <w:color w:val="000000"/>
          <w:sz w:val="20"/>
          <w:szCs w:val="20"/>
        </w:rPr>
        <w:t>Ley Federal del Trabajo:</w:t>
      </w:r>
    </w:p>
    <w:p w14:paraId="019249B1" w14:textId="77777777" w:rsidR="00702C95" w:rsidRPr="00F231E6" w:rsidRDefault="00702C95" w:rsidP="00702C95">
      <w:pPr>
        <w:pBdr>
          <w:top w:val="nil"/>
          <w:left w:val="nil"/>
          <w:bottom w:val="nil"/>
          <w:right w:val="nil"/>
          <w:between w:val="nil"/>
        </w:pBdr>
        <w:rPr>
          <w:rFonts w:ascii="Palatino Linotype" w:eastAsia="Palatino Linotype" w:hAnsi="Palatino Linotype" w:cs="Palatino Linotype"/>
          <w:i/>
          <w:color w:val="000000"/>
          <w:sz w:val="20"/>
          <w:szCs w:val="20"/>
        </w:rPr>
      </w:pPr>
      <w:r w:rsidRPr="00F231E6">
        <w:rPr>
          <w:rFonts w:ascii="Palatino Linotype" w:eastAsia="Palatino Linotype" w:hAnsi="Palatino Linotype" w:cs="Palatino Linotype"/>
          <w:i/>
          <w:color w:val="000000"/>
          <w:sz w:val="20"/>
          <w:szCs w:val="20"/>
        </w:rPr>
        <w:t>Artículo 804.</w:t>
      </w:r>
    </w:p>
    <w:p w14:paraId="6421C25F"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El patrón tiene obligación de conservar y exhibir en juicio los documentos que a continuación se precisan:</w:t>
      </w:r>
    </w:p>
    <w:p w14:paraId="7E2AA3C1"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w:t>
      </w:r>
    </w:p>
    <w:p w14:paraId="44D92856" w14:textId="77777777" w:rsidR="00702C95" w:rsidRPr="00F231E6" w:rsidRDefault="00702C95" w:rsidP="00702C95">
      <w:pPr>
        <w:pBdr>
          <w:top w:val="nil"/>
          <w:left w:val="nil"/>
          <w:bottom w:val="nil"/>
          <w:right w:val="nil"/>
          <w:between w:val="nil"/>
        </w:pBdr>
        <w:rPr>
          <w:rFonts w:ascii="Palatino Linotype" w:eastAsia="Palatino Linotype" w:hAnsi="Palatino Linotype" w:cs="Palatino Linotype"/>
          <w:i/>
          <w:color w:val="000000"/>
          <w:sz w:val="20"/>
          <w:szCs w:val="20"/>
        </w:rPr>
      </w:pPr>
      <w:r w:rsidRPr="00F231E6">
        <w:rPr>
          <w:rFonts w:ascii="Palatino Linotype" w:eastAsia="Palatino Linotype" w:hAnsi="Palatino Linotype" w:cs="Palatino Linotype"/>
          <w:i/>
          <w:color w:val="000000"/>
          <w:sz w:val="20"/>
          <w:szCs w:val="20"/>
        </w:rPr>
        <w:t>III. Controles de asistencia, cuando se lleven en el centro de trabajo;</w:t>
      </w:r>
    </w:p>
    <w:p w14:paraId="59ED4395" w14:textId="77777777" w:rsidR="00702C95" w:rsidRPr="00F231E6" w:rsidRDefault="00702C95" w:rsidP="00702C95">
      <w:pPr>
        <w:pBdr>
          <w:top w:val="nil"/>
          <w:left w:val="nil"/>
          <w:bottom w:val="nil"/>
          <w:right w:val="nil"/>
          <w:between w:val="nil"/>
        </w:pBdr>
        <w:rPr>
          <w:rFonts w:ascii="Palatino Linotype" w:eastAsia="Palatino Linotype" w:hAnsi="Palatino Linotype" w:cs="Palatino Linotype"/>
          <w:i/>
          <w:color w:val="000000"/>
          <w:sz w:val="20"/>
          <w:szCs w:val="20"/>
        </w:rPr>
      </w:pPr>
      <w:r w:rsidRPr="00F231E6">
        <w:rPr>
          <w:rFonts w:ascii="Palatino Linotype" w:eastAsia="Palatino Linotype" w:hAnsi="Palatino Linotype" w:cs="Palatino Linotype"/>
          <w:i/>
          <w:color w:val="000000"/>
          <w:sz w:val="20"/>
          <w:szCs w:val="20"/>
        </w:rPr>
        <w:t>…</w:t>
      </w:r>
    </w:p>
    <w:p w14:paraId="7E468AE2" w14:textId="77777777" w:rsidR="00702C95" w:rsidRPr="00F231E6" w:rsidRDefault="00702C95" w:rsidP="00702C95">
      <w:pPr>
        <w:tabs>
          <w:tab w:val="left" w:pos="709"/>
        </w:tabs>
        <w:ind w:right="49"/>
        <w:jc w:val="both"/>
        <w:rPr>
          <w:rFonts w:ascii="Palatino Linotype" w:eastAsia="Palatino Linotype" w:hAnsi="Palatino Linotype" w:cs="Palatino Linotype"/>
          <w:i/>
          <w:sz w:val="20"/>
          <w:szCs w:val="20"/>
        </w:rPr>
      </w:pPr>
      <w:r w:rsidRPr="00F231E6">
        <w:rPr>
          <w:rFonts w:ascii="Palatino Linotype" w:eastAsia="Palatino Linotype" w:hAnsi="Palatino Linotype" w:cs="Palatino Linotype"/>
          <w:i/>
          <w:sz w:val="20"/>
          <w:szCs w:val="20"/>
        </w:rPr>
        <w:t xml:space="preserve">Los documentos señalados en la fracción I deberán conservarse mientras dure la relación laboral y hasta un año después; </w:t>
      </w:r>
      <w:r w:rsidRPr="00F231E6">
        <w:rPr>
          <w:rFonts w:ascii="Palatino Linotype" w:eastAsia="Palatino Linotype" w:hAnsi="Palatino Linotype" w:cs="Palatino Linotype"/>
          <w:b/>
          <w:i/>
          <w:sz w:val="20"/>
          <w:szCs w:val="20"/>
        </w:rPr>
        <w:t>los señalados en las fracciones II, III y IV, durante el último año y un año después de que se extinga la relación laboral</w:t>
      </w:r>
      <w:r w:rsidRPr="00F231E6">
        <w:rPr>
          <w:rFonts w:ascii="Palatino Linotype" w:eastAsia="Palatino Linotype" w:hAnsi="Palatino Linotype" w:cs="Palatino Linotype"/>
          <w:i/>
          <w:sz w:val="20"/>
          <w:szCs w:val="20"/>
        </w:rPr>
        <w:t>; y los mencionados en la fracción V, conforme lo señalen las Leyes que los rijan.</w:t>
      </w:r>
    </w:p>
    <w:p w14:paraId="734B058C" w14:textId="77777777" w:rsidR="00702C95" w:rsidRDefault="00702C95" w:rsidP="00702C95">
      <w:pPr>
        <w:tabs>
          <w:tab w:val="left" w:pos="709"/>
        </w:tabs>
        <w:ind w:right="49"/>
        <w:jc w:val="both"/>
        <w:rPr>
          <w:rFonts w:ascii="Palatino Linotype" w:eastAsia="Palatino Linotype" w:hAnsi="Palatino Linotype" w:cs="Palatino Linotype"/>
          <w:i/>
          <w:sz w:val="16"/>
          <w:szCs w:val="16"/>
        </w:rPr>
      </w:pPr>
    </w:p>
    <w:p w14:paraId="2020B908" w14:textId="77777777" w:rsidR="00702C95" w:rsidRDefault="00702C95" w:rsidP="00702C95">
      <w:pPr>
        <w:pBdr>
          <w:top w:val="nil"/>
          <w:left w:val="nil"/>
          <w:bottom w:val="nil"/>
          <w:right w:val="nil"/>
          <w:between w:val="nil"/>
        </w:pBdr>
        <w:rPr>
          <w:rFonts w:ascii="Palatino Linotype" w:eastAsia="Palatino Linotype" w:hAnsi="Palatino Linotype" w:cs="Palatino Linotype"/>
          <w:i/>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43F6" w14:textId="77777777" w:rsidR="001D2814" w:rsidRDefault="001D2814">
    <w:pPr>
      <w:rPr>
        <w:rFonts w:ascii="Cambria" w:eastAsia="Cambria" w:hAnsi="Cambria" w:cs="Cambria"/>
      </w:rPr>
    </w:pPr>
    <w:r>
      <w:rPr>
        <w:noProof/>
      </w:rPr>
      <w:drawing>
        <wp:anchor distT="0" distB="0" distL="0" distR="0" simplePos="0" relativeHeight="251658240" behindDoc="1" locked="0" layoutInCell="1" hidden="0" allowOverlap="1" wp14:anchorId="45C671A2" wp14:editId="69022F90">
          <wp:simplePos x="0" y="0"/>
          <wp:positionH relativeFrom="column">
            <wp:posOffset>-1080120</wp:posOffset>
          </wp:positionH>
          <wp:positionV relativeFrom="paragraph">
            <wp:posOffset>-488298</wp:posOffset>
          </wp:positionV>
          <wp:extent cx="7809865" cy="10165715"/>
          <wp:effectExtent l="0" t="0" r="0" b="0"/>
          <wp:wrapNone/>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953" w:type="dxa"/>
      <w:tblInd w:w="3261" w:type="dxa"/>
      <w:tblLayout w:type="fixed"/>
      <w:tblLook w:val="0400" w:firstRow="0" w:lastRow="0" w:firstColumn="0" w:lastColumn="0" w:noHBand="0" w:noVBand="1"/>
    </w:tblPr>
    <w:tblGrid>
      <w:gridCol w:w="2489"/>
      <w:gridCol w:w="3464"/>
    </w:tblGrid>
    <w:tr w:rsidR="001D2814" w14:paraId="6CB19B0C" w14:textId="77777777">
      <w:tc>
        <w:tcPr>
          <w:tcW w:w="2489" w:type="dxa"/>
          <w:shd w:val="clear" w:color="auto" w:fill="auto"/>
        </w:tcPr>
        <w:p w14:paraId="71A0244F"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9DD2ED" w14:textId="77777777" w:rsidR="001D2814" w:rsidRDefault="001D28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15889/INFOEM/IP/RR/2022 y acumulados</w:t>
          </w:r>
        </w:p>
      </w:tc>
    </w:tr>
    <w:tr w:rsidR="001D2814" w14:paraId="3468E03B" w14:textId="77777777">
      <w:trPr>
        <w:trHeight w:val="228"/>
      </w:trPr>
      <w:tc>
        <w:tcPr>
          <w:tcW w:w="2489" w:type="dxa"/>
          <w:shd w:val="clear" w:color="auto" w:fill="auto"/>
          <w:vAlign w:val="center"/>
        </w:tcPr>
        <w:p w14:paraId="74960A1A"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B0E7345" w14:textId="77777777" w:rsidR="001D2814" w:rsidRDefault="001D281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D2814" w14:paraId="7FEC530E" w14:textId="77777777">
      <w:tc>
        <w:tcPr>
          <w:tcW w:w="2489" w:type="dxa"/>
          <w:shd w:val="clear" w:color="auto" w:fill="auto"/>
          <w:vAlign w:val="center"/>
        </w:tcPr>
        <w:p w14:paraId="366EF9D2" w14:textId="77777777" w:rsidR="001D2814" w:rsidRDefault="001D281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A72C494" w14:textId="77777777" w:rsidR="001D2814" w:rsidRDefault="001D28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3B3281" w14:textId="77777777" w:rsidR="001D2814" w:rsidRDefault="001D2814">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0A79" w14:textId="77777777" w:rsidR="001D2814" w:rsidRDefault="001D281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8"/>
      <w:tblW w:w="5670" w:type="dxa"/>
      <w:tblInd w:w="3261" w:type="dxa"/>
      <w:tblLayout w:type="fixed"/>
      <w:tblLook w:val="0400" w:firstRow="0" w:lastRow="0" w:firstColumn="0" w:lastColumn="0" w:noHBand="0" w:noVBand="1"/>
    </w:tblPr>
    <w:tblGrid>
      <w:gridCol w:w="2551"/>
      <w:gridCol w:w="3119"/>
    </w:tblGrid>
    <w:tr w:rsidR="001D2814" w14:paraId="47BFBB92" w14:textId="77777777">
      <w:tc>
        <w:tcPr>
          <w:tcW w:w="2551" w:type="dxa"/>
          <w:shd w:val="clear" w:color="auto" w:fill="auto"/>
          <w:vAlign w:val="center"/>
        </w:tcPr>
        <w:p w14:paraId="2C3A7244"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93E57EB" w14:textId="77777777" w:rsidR="001D2814" w:rsidRDefault="001D2814">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15889/INFOEM/IP/RR/2022 y acumulados</w:t>
          </w:r>
        </w:p>
      </w:tc>
    </w:tr>
    <w:tr w:rsidR="001D2814" w14:paraId="1814023A" w14:textId="77777777">
      <w:trPr>
        <w:trHeight w:val="130"/>
      </w:trPr>
      <w:tc>
        <w:tcPr>
          <w:tcW w:w="2551" w:type="dxa"/>
          <w:shd w:val="clear" w:color="auto" w:fill="auto"/>
          <w:vAlign w:val="center"/>
        </w:tcPr>
        <w:p w14:paraId="218BAAC8"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6236CDD" w14:textId="77777777" w:rsidR="001D2814" w:rsidRDefault="001D2814">
          <w:pPr>
            <w:ind w:left="-45"/>
            <w:jc w:val="both"/>
            <w:rPr>
              <w:rFonts w:ascii="Palatino Linotype" w:eastAsia="Palatino Linotype" w:hAnsi="Palatino Linotype" w:cs="Palatino Linotype"/>
              <w:b/>
              <w:sz w:val="22"/>
              <w:szCs w:val="22"/>
            </w:rPr>
          </w:pPr>
        </w:p>
      </w:tc>
    </w:tr>
    <w:tr w:rsidR="001D2814" w14:paraId="7922992E" w14:textId="77777777">
      <w:trPr>
        <w:trHeight w:val="228"/>
      </w:trPr>
      <w:tc>
        <w:tcPr>
          <w:tcW w:w="2551" w:type="dxa"/>
          <w:shd w:val="clear" w:color="auto" w:fill="auto"/>
          <w:vAlign w:val="center"/>
        </w:tcPr>
        <w:p w14:paraId="52A6176D"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8DD9ED1" w14:textId="77777777" w:rsidR="001D2814" w:rsidRDefault="001D281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D2814" w14:paraId="50CD185F" w14:textId="77777777">
      <w:tc>
        <w:tcPr>
          <w:tcW w:w="2551" w:type="dxa"/>
          <w:shd w:val="clear" w:color="auto" w:fill="auto"/>
          <w:vAlign w:val="center"/>
        </w:tcPr>
        <w:p w14:paraId="3F5B7112" w14:textId="77777777" w:rsidR="001D2814" w:rsidRDefault="001D28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20DA704" w14:textId="77777777" w:rsidR="001D2814" w:rsidRDefault="001D281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72CDF22" w14:textId="77777777" w:rsidR="001D2814" w:rsidRDefault="001D2814">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13E78DBE" wp14:editId="3535711D">
          <wp:simplePos x="0" y="0"/>
          <wp:positionH relativeFrom="column">
            <wp:posOffset>-1089645</wp:posOffset>
          </wp:positionH>
          <wp:positionV relativeFrom="paragraph">
            <wp:posOffset>-1169655</wp:posOffset>
          </wp:positionV>
          <wp:extent cx="7809865" cy="10165715"/>
          <wp:effectExtent l="0" t="0" r="0" b="0"/>
          <wp:wrapNone/>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E33DE"/>
    <w:multiLevelType w:val="multilevel"/>
    <w:tmpl w:val="062E7DF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79D03BF"/>
    <w:multiLevelType w:val="multilevel"/>
    <w:tmpl w:val="EC46FC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277E3C"/>
    <w:multiLevelType w:val="multilevel"/>
    <w:tmpl w:val="4ED81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61E6ABB"/>
    <w:multiLevelType w:val="multilevel"/>
    <w:tmpl w:val="87BEF4FC"/>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A428A2"/>
    <w:multiLevelType w:val="multilevel"/>
    <w:tmpl w:val="21C4E1F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882C5A"/>
    <w:multiLevelType w:val="multilevel"/>
    <w:tmpl w:val="86B0A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E6"/>
    <w:rsid w:val="00076DFC"/>
    <w:rsid w:val="00095D76"/>
    <w:rsid w:val="00114A53"/>
    <w:rsid w:val="001601F3"/>
    <w:rsid w:val="001A05AE"/>
    <w:rsid w:val="001D2814"/>
    <w:rsid w:val="00271B7E"/>
    <w:rsid w:val="00297D70"/>
    <w:rsid w:val="003F25B2"/>
    <w:rsid w:val="0044147F"/>
    <w:rsid w:val="00490AFF"/>
    <w:rsid w:val="00554458"/>
    <w:rsid w:val="0062657F"/>
    <w:rsid w:val="00693E0E"/>
    <w:rsid w:val="00702C95"/>
    <w:rsid w:val="00721AD5"/>
    <w:rsid w:val="007310D0"/>
    <w:rsid w:val="007E285E"/>
    <w:rsid w:val="007F4A48"/>
    <w:rsid w:val="0082338B"/>
    <w:rsid w:val="00870DF0"/>
    <w:rsid w:val="008A48C3"/>
    <w:rsid w:val="008F1881"/>
    <w:rsid w:val="009324AE"/>
    <w:rsid w:val="0094725F"/>
    <w:rsid w:val="00951EAC"/>
    <w:rsid w:val="009A111B"/>
    <w:rsid w:val="009A2EAC"/>
    <w:rsid w:val="009A494C"/>
    <w:rsid w:val="00A2650D"/>
    <w:rsid w:val="00A35380"/>
    <w:rsid w:val="00AB56DC"/>
    <w:rsid w:val="00BE6FE6"/>
    <w:rsid w:val="00C00DFB"/>
    <w:rsid w:val="00C4158F"/>
    <w:rsid w:val="00CA14B8"/>
    <w:rsid w:val="00CC42E4"/>
    <w:rsid w:val="00D03C31"/>
    <w:rsid w:val="00D735D8"/>
    <w:rsid w:val="00D9651C"/>
    <w:rsid w:val="00DA5964"/>
    <w:rsid w:val="00DC7A68"/>
    <w:rsid w:val="00EE6D0D"/>
    <w:rsid w:val="00EF34DD"/>
    <w:rsid w:val="00F231E6"/>
    <w:rsid w:val="00F74BB1"/>
    <w:rsid w:val="00F93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8E4D"/>
  <w15:docId w15:val="{DF7799DD-00FA-4EFA-9901-AD785535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08" w:type="dxa"/>
        <w:bottom w:w="0" w:type="dxa"/>
        <w:right w:w="108" w:type="dxa"/>
      </w:tblCellMar>
    </w:tbl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yBgprDxSb58vKjVynXMTU5CPnQ==">AMUW2mWp29lWF8GCgzXgq9rwjZoT5oigmVa9aZDvl0TneEJ7IOi5G3oXxBwPhZYEgfvkiR4Qkm1BVwyKruuETDY++qe+GLGjulVWH/OapgqNDHoMogXXb168GnBy6ERfZzqnVzQg3MPU+ZQYvKeImQzFu3IQMb/CB4e/44QmHmzNFZvz5TyEa2JeuG7Hk74nd2/rVrmX9bkmc4XJvN0wXNXY6ER5Mjv4DSX1pgWlReCfWW6kU+AutYcP48JWQ5KpXjDj7zPp00s4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10917</Words>
  <Characters>60048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2023-04-28T16:39:00Z</cp:lastPrinted>
  <dcterms:created xsi:type="dcterms:W3CDTF">2023-05-03T18:40:00Z</dcterms:created>
  <dcterms:modified xsi:type="dcterms:W3CDTF">2023-05-03T18:40:00Z</dcterms:modified>
</cp:coreProperties>
</file>