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w:t>
      </w:r>
      <w:r w:rsidRPr="00A44C0C">
        <w:rPr>
          <w:rFonts w:ascii="Palatino Linotype" w:eastAsia="Palatino Linotype" w:hAnsi="Palatino Linotype" w:cs="Palatino Linotype"/>
          <w:b/>
        </w:rPr>
        <w:t xml:space="preserve"> </w:t>
      </w:r>
      <w:r w:rsidRPr="00A44C0C">
        <w:rPr>
          <w:rFonts w:ascii="Palatino Linotype" w:eastAsia="Palatino Linotype" w:hAnsi="Palatino Linotype" w:cs="Palatino Linotype"/>
        </w:rPr>
        <w:t xml:space="preserve">dos de agosto de dos mil veintitrés. </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b/>
        </w:rPr>
        <w:t>VISTOS</w:t>
      </w:r>
      <w:r w:rsidRPr="00A44C0C">
        <w:rPr>
          <w:rFonts w:ascii="Palatino Linotype" w:eastAsia="Palatino Linotype" w:hAnsi="Palatino Linotype" w:cs="Palatino Linotype"/>
        </w:rPr>
        <w:t xml:space="preserve"> los expedientes formados con motivo de los recursos de revisión </w:t>
      </w:r>
      <w:r w:rsidRPr="00A44C0C">
        <w:rPr>
          <w:rFonts w:ascii="Palatino Linotype" w:eastAsia="Palatino Linotype" w:hAnsi="Palatino Linotype" w:cs="Palatino Linotype"/>
          <w:b/>
        </w:rPr>
        <w:t xml:space="preserve">17399/INFOEM/IP/RR/2022, 17402/INFOEM/IP/RR/2022, 17403/INFOEM/IP/RR/2022, 17404/INFOEM/IP/RR/2022 y 17479/INFOEM/IP/RR/2022  </w:t>
      </w:r>
      <w:r w:rsidRPr="00A44C0C">
        <w:rPr>
          <w:rFonts w:ascii="Palatino Linotype" w:eastAsia="Palatino Linotype" w:hAnsi="Palatino Linotype" w:cs="Palatino Linotype"/>
        </w:rPr>
        <w:t>interpuestos por</w:t>
      </w:r>
      <w:r w:rsidRPr="00A44C0C">
        <w:rPr>
          <w:rFonts w:ascii="Palatino Linotype" w:eastAsia="Palatino Linotype" w:hAnsi="Palatino Linotype" w:cs="Palatino Linotype"/>
          <w:b/>
        </w:rPr>
        <w:t xml:space="preserve"> </w:t>
      </w:r>
      <w:r w:rsidRPr="00A44C0C">
        <w:rPr>
          <w:rFonts w:ascii="Palatino Linotype" w:eastAsia="Palatino Linotype" w:hAnsi="Palatino Linotype" w:cs="Palatino Linotype"/>
        </w:rPr>
        <w:t>quien dijo ser</w:t>
      </w:r>
      <w:r w:rsidR="004865DF">
        <w:rPr>
          <w:rFonts w:ascii="Palatino Linotype" w:eastAsia="Palatino Linotype" w:hAnsi="Palatino Linotype" w:cs="Palatino Linotype"/>
          <w:b/>
        </w:rPr>
        <w:t xml:space="preserve"> XXXXXX XXXXX XXXX</w:t>
      </w:r>
      <w:bookmarkStart w:id="0" w:name="_GoBack"/>
      <w:bookmarkEnd w:id="0"/>
      <w:r w:rsidRPr="00A44C0C">
        <w:rPr>
          <w:rFonts w:ascii="Palatino Linotype" w:eastAsia="Palatino Linotype" w:hAnsi="Palatino Linotype" w:cs="Palatino Linotype"/>
          <w:b/>
        </w:rPr>
        <w:t xml:space="preserve">, </w:t>
      </w:r>
      <w:r w:rsidRPr="00A44C0C">
        <w:rPr>
          <w:rFonts w:ascii="Palatino Linotype" w:eastAsia="Palatino Linotype" w:hAnsi="Palatino Linotype" w:cs="Palatino Linotype"/>
        </w:rPr>
        <w:t>a quien en lo sucesivo se le denominará como</w:t>
      </w:r>
      <w:r w:rsidRPr="00A44C0C">
        <w:rPr>
          <w:rFonts w:ascii="Palatino Linotype" w:eastAsia="Palatino Linotype" w:hAnsi="Palatino Linotype" w:cs="Palatino Linotype"/>
          <w:b/>
        </w:rPr>
        <w:t xml:space="preserve"> LA PARTE RECURRENTE,</w:t>
      </w:r>
      <w:r w:rsidRPr="00A44C0C">
        <w:rPr>
          <w:rFonts w:ascii="Palatino Linotype" w:eastAsia="Palatino Linotype" w:hAnsi="Palatino Linotype" w:cs="Palatino Linotype"/>
        </w:rPr>
        <w:t xml:space="preserve"> en contra de las respuestas a las solicitudes de acceso a la información de folios </w:t>
      </w:r>
      <w:r w:rsidRPr="00A44C0C">
        <w:rPr>
          <w:rFonts w:ascii="Palatino Linotype" w:eastAsia="Palatino Linotype" w:hAnsi="Palatino Linotype" w:cs="Palatino Linotype"/>
          <w:b/>
        </w:rPr>
        <w:t>02361/TOLUCA/IP/2022, 02378/TOLUCA/IP/2022, 02379/TOLUCA/IP/2022, 02380/TOLUCA/IP/2022</w:t>
      </w:r>
      <w:r w:rsidRPr="00A44C0C">
        <w:rPr>
          <w:rFonts w:ascii="Palatino Linotype" w:eastAsia="Palatino Linotype" w:hAnsi="Palatino Linotype" w:cs="Palatino Linotype"/>
        </w:rPr>
        <w:t xml:space="preserve"> y </w:t>
      </w:r>
      <w:r w:rsidRPr="00A44C0C">
        <w:rPr>
          <w:rFonts w:ascii="Palatino Linotype" w:eastAsia="Palatino Linotype" w:hAnsi="Palatino Linotype" w:cs="Palatino Linotype"/>
          <w:b/>
        </w:rPr>
        <w:t xml:space="preserve">02421/TOLUCA/IP/2022 </w:t>
      </w:r>
      <w:r w:rsidRPr="00A44C0C">
        <w:rPr>
          <w:rFonts w:ascii="Palatino Linotype" w:eastAsia="Palatino Linotype" w:hAnsi="Palatino Linotype" w:cs="Palatino Linotype"/>
        </w:rPr>
        <w:t>por parte del</w:t>
      </w:r>
      <w:r w:rsidRPr="00A44C0C">
        <w:rPr>
          <w:rFonts w:ascii="Palatino Linotype" w:eastAsia="Palatino Linotype" w:hAnsi="Palatino Linotype" w:cs="Palatino Linotype"/>
          <w:b/>
        </w:rPr>
        <w:t xml:space="preserve"> Ayuntamiento de Toluca, </w:t>
      </w:r>
      <w:r w:rsidRPr="00A44C0C">
        <w:rPr>
          <w:rFonts w:ascii="Palatino Linotype" w:eastAsia="Palatino Linotype" w:hAnsi="Palatino Linotype" w:cs="Palatino Linotype"/>
        </w:rPr>
        <w:t xml:space="preserve">que en lo subsecuente se le referirá como </w:t>
      </w:r>
      <w:r w:rsidRPr="00A44C0C">
        <w:rPr>
          <w:rFonts w:ascii="Palatino Linotype" w:eastAsia="Palatino Linotype" w:hAnsi="Palatino Linotype" w:cs="Palatino Linotype"/>
          <w:b/>
        </w:rPr>
        <w:t xml:space="preserve">EL SUJETO OBLIGADO, </w:t>
      </w:r>
      <w:r w:rsidRPr="00A44C0C">
        <w:rPr>
          <w:rFonts w:ascii="Palatino Linotype" w:eastAsia="Palatino Linotype" w:hAnsi="Palatino Linotype" w:cs="Palatino Linotype"/>
        </w:rPr>
        <w:t xml:space="preserve">se procede a dictar la presente resolución con base en los siguientes: </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rPr>
      </w:pPr>
      <w:r w:rsidRPr="00A44C0C">
        <w:rPr>
          <w:rFonts w:ascii="Palatino Linotype" w:eastAsia="Palatino Linotype" w:hAnsi="Palatino Linotype" w:cs="Palatino Linotype"/>
          <w:b/>
        </w:rPr>
        <w:t>A N T E C E D E N T E S</w:t>
      </w:r>
    </w:p>
    <w:p w:rsidR="00CC0975" w:rsidRPr="00A44C0C" w:rsidRDefault="00CC0975">
      <w:pPr>
        <w:pBdr>
          <w:top w:val="nil"/>
          <w:left w:val="nil"/>
          <w:bottom w:val="nil"/>
          <w:right w:val="nil"/>
          <w:between w:val="nil"/>
        </w:pBdr>
        <w:spacing w:line="360" w:lineRule="auto"/>
        <w:ind w:left="1080"/>
        <w:rPr>
          <w:rFonts w:ascii="Palatino Linotype" w:eastAsia="Palatino Linotype" w:hAnsi="Palatino Linotype" w:cs="Palatino Linotype"/>
          <w:b/>
        </w:rPr>
      </w:pPr>
    </w:p>
    <w:p w:rsidR="00CC0975" w:rsidRPr="00A44C0C" w:rsidRDefault="008E3FD6">
      <w:pPr>
        <w:spacing w:line="360" w:lineRule="auto"/>
        <w:jc w:val="both"/>
        <w:rPr>
          <w:rFonts w:ascii="Palatino Linotype" w:eastAsia="Palatino Linotype" w:hAnsi="Palatino Linotype" w:cs="Palatino Linotype"/>
        </w:rPr>
      </w:pPr>
      <w:bookmarkStart w:id="1" w:name="_heading=h.gjdgxs" w:colFirst="0" w:colLast="0"/>
      <w:bookmarkEnd w:id="1"/>
      <w:r w:rsidRPr="00A44C0C">
        <w:rPr>
          <w:rFonts w:ascii="Palatino Linotype" w:eastAsia="Palatino Linotype" w:hAnsi="Palatino Linotype" w:cs="Palatino Linotype"/>
          <w:b/>
        </w:rPr>
        <w:t>1. Solicitudes de acceso a la información.</w:t>
      </w:r>
      <w:r w:rsidRPr="00A44C0C">
        <w:rPr>
          <w:rFonts w:ascii="Palatino Linotype" w:eastAsia="Palatino Linotype" w:hAnsi="Palatino Linotype" w:cs="Palatino Linotype"/>
        </w:rPr>
        <w:t xml:space="preserve"> </w:t>
      </w:r>
      <w:proofErr w:type="gramStart"/>
      <w:r w:rsidRPr="00A44C0C">
        <w:rPr>
          <w:rFonts w:ascii="Palatino Linotype" w:eastAsia="Palatino Linotype" w:hAnsi="Palatino Linotype" w:cs="Palatino Linotype"/>
        </w:rPr>
        <w:t>Los</w:t>
      </w:r>
      <w:proofErr w:type="gramEnd"/>
      <w:r w:rsidRPr="00A44C0C">
        <w:rPr>
          <w:rFonts w:ascii="Palatino Linotype" w:eastAsia="Palatino Linotype" w:hAnsi="Palatino Linotype" w:cs="Palatino Linotype"/>
        </w:rPr>
        <w:t xml:space="preserve"> días </w:t>
      </w:r>
      <w:r w:rsidRPr="00A44C0C">
        <w:rPr>
          <w:rFonts w:ascii="Palatino Linotype" w:eastAsia="Palatino Linotype" w:hAnsi="Palatino Linotype" w:cs="Palatino Linotype"/>
          <w:b/>
        </w:rPr>
        <w:t>siete y ocho de noviembre dos mil veintidós,</w:t>
      </w:r>
      <w:r w:rsidRPr="00A44C0C">
        <w:rPr>
          <w:rFonts w:ascii="Palatino Linotype" w:eastAsia="Palatino Linotype" w:hAnsi="Palatino Linotype" w:cs="Palatino Linotype"/>
        </w:rPr>
        <w:t xml:space="preserve"> </w:t>
      </w:r>
      <w:r w:rsidRPr="00A44C0C">
        <w:rPr>
          <w:rFonts w:ascii="Palatino Linotype" w:eastAsia="Palatino Linotype" w:hAnsi="Palatino Linotype" w:cs="Palatino Linotype"/>
          <w:b/>
        </w:rPr>
        <w:t>LA PARTE</w:t>
      </w:r>
      <w:r w:rsidRPr="00A44C0C">
        <w:rPr>
          <w:rFonts w:ascii="Palatino Linotype" w:eastAsia="Palatino Linotype" w:hAnsi="Palatino Linotype" w:cs="Palatino Linotype"/>
        </w:rPr>
        <w:t xml:space="preserve"> </w:t>
      </w:r>
      <w:r w:rsidRPr="00A44C0C">
        <w:rPr>
          <w:rFonts w:ascii="Palatino Linotype" w:eastAsia="Palatino Linotype" w:hAnsi="Palatino Linotype" w:cs="Palatino Linotype"/>
          <w:b/>
        </w:rPr>
        <w:t xml:space="preserve">RECURRENTE </w:t>
      </w:r>
      <w:r w:rsidRPr="00A44C0C">
        <w:rPr>
          <w:rFonts w:ascii="Palatino Linotype" w:eastAsia="Palatino Linotype" w:hAnsi="Palatino Linotype" w:cs="Palatino Linotype"/>
        </w:rPr>
        <w:t>presentó, a través del Sistema de Acceso a la Información Mexiquense o SAIMEX</w:t>
      </w:r>
      <w:r w:rsidRPr="00A44C0C">
        <w:rPr>
          <w:rFonts w:ascii="Palatino Linotype" w:eastAsia="Palatino Linotype" w:hAnsi="Palatino Linotype" w:cs="Palatino Linotype"/>
          <w:b/>
        </w:rPr>
        <w:t>,</w:t>
      </w:r>
      <w:r w:rsidRPr="00A44C0C">
        <w:rPr>
          <w:rFonts w:ascii="Palatino Linotype" w:eastAsia="Palatino Linotype" w:hAnsi="Palatino Linotype" w:cs="Palatino Linotype"/>
        </w:rPr>
        <w:t xml:space="preserve"> ante </w:t>
      </w:r>
      <w:r w:rsidRPr="00A44C0C">
        <w:rPr>
          <w:rFonts w:ascii="Palatino Linotype" w:eastAsia="Palatino Linotype" w:hAnsi="Palatino Linotype" w:cs="Palatino Linotype"/>
          <w:b/>
        </w:rPr>
        <w:t>EL SUJETO OBLIGADO,</w:t>
      </w:r>
      <w:r w:rsidRPr="00A44C0C">
        <w:rPr>
          <w:rFonts w:ascii="Palatino Linotype" w:eastAsia="Palatino Linotype" w:hAnsi="Palatino Linotype" w:cs="Palatino Linotype"/>
        </w:rPr>
        <w:t xml:space="preserve"> las siguientes solicitudes de acceso a la información pública</w:t>
      </w:r>
      <w:r w:rsidRPr="00A44C0C">
        <w:rPr>
          <w:rFonts w:ascii="Palatino Linotype" w:eastAsia="Palatino Linotype" w:hAnsi="Palatino Linotype" w:cs="Palatino Linotype"/>
          <w:b/>
        </w:rPr>
        <w:t xml:space="preserve"> </w:t>
      </w:r>
      <w:r w:rsidRPr="00A44C0C">
        <w:rPr>
          <w:rFonts w:ascii="Palatino Linotype" w:eastAsia="Palatino Linotype" w:hAnsi="Palatino Linotype" w:cs="Palatino Linotype"/>
        </w:rPr>
        <w:t>en las cuales requirió la información siguiente:</w:t>
      </w:r>
    </w:p>
    <w:p w:rsidR="00CC0975" w:rsidRPr="00A44C0C" w:rsidRDefault="00CC0975">
      <w:pPr>
        <w:spacing w:line="360" w:lineRule="auto"/>
        <w:jc w:val="both"/>
        <w:rPr>
          <w:rFonts w:ascii="Palatino Linotype" w:eastAsia="Palatino Linotype" w:hAnsi="Palatino Linotype" w:cs="Palatino Linotype"/>
        </w:rPr>
      </w:pPr>
    </w:p>
    <w:tbl>
      <w:tblPr>
        <w:tblStyle w:val="a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139"/>
      </w:tblGrid>
      <w:tr w:rsidR="00A44C0C" w:rsidRPr="00A44C0C">
        <w:tc>
          <w:tcPr>
            <w:tcW w:w="8828" w:type="dxa"/>
            <w:gridSpan w:val="2"/>
            <w:shd w:val="clear" w:color="auto" w:fill="D9D9D9"/>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lastRenderedPageBreak/>
              <w:t>SIETE DE NOVIEMBRE DE DOS MIL VEINTIDÓS</w:t>
            </w:r>
          </w:p>
        </w:tc>
      </w:tr>
      <w:tr w:rsidR="00A44C0C" w:rsidRPr="00A44C0C">
        <w:tc>
          <w:tcPr>
            <w:tcW w:w="2689" w:type="dxa"/>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t>SOLICITUD</w:t>
            </w:r>
          </w:p>
        </w:tc>
        <w:tc>
          <w:tcPr>
            <w:tcW w:w="6139" w:type="dxa"/>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t>REQUERMIENTO</w:t>
            </w:r>
          </w:p>
        </w:tc>
      </w:tr>
      <w:tr w:rsidR="00A44C0C" w:rsidRPr="00A44C0C">
        <w:tc>
          <w:tcPr>
            <w:tcW w:w="2689" w:type="dxa"/>
            <w:vAlign w:val="center"/>
          </w:tcPr>
          <w:p w:rsidR="00CC0975" w:rsidRPr="00A44C0C" w:rsidRDefault="008E3FD6">
            <w:pPr>
              <w:jc w:val="center"/>
              <w:rPr>
                <w:rFonts w:ascii="Palatino Linotype" w:eastAsia="Palatino Linotype" w:hAnsi="Palatino Linotype" w:cs="Palatino Linotype"/>
                <w:sz w:val="22"/>
                <w:szCs w:val="22"/>
              </w:rPr>
            </w:pPr>
            <w:r w:rsidRPr="00A44C0C">
              <w:rPr>
                <w:rFonts w:ascii="Palatino Linotype" w:eastAsia="Palatino Linotype" w:hAnsi="Palatino Linotype" w:cs="Palatino Linotype"/>
                <w:b/>
                <w:sz w:val="22"/>
                <w:szCs w:val="22"/>
              </w:rPr>
              <w:t>02361/TOLUCA/IP/2022</w:t>
            </w:r>
          </w:p>
        </w:tc>
        <w:tc>
          <w:tcPr>
            <w:tcW w:w="6139" w:type="dxa"/>
            <w:vAlign w:val="center"/>
          </w:tcPr>
          <w:p w:rsidR="00CC0975" w:rsidRPr="00A44C0C" w:rsidRDefault="008E3FD6">
            <w:pPr>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 xml:space="preserve">“Solicito todos los oficios, circulares, memorados, etc. enviados de los meses de septiembre y octubre del año 2022, de la Secretaria del Ayuntamiento, Dirección General de Administración, Presidencia y </w:t>
            </w:r>
            <w:proofErr w:type="spellStart"/>
            <w:r w:rsidRPr="00A44C0C">
              <w:rPr>
                <w:rFonts w:ascii="Palatino Linotype" w:eastAsia="Palatino Linotype" w:hAnsi="Palatino Linotype" w:cs="Palatino Linotype"/>
                <w:i/>
                <w:sz w:val="22"/>
                <w:szCs w:val="22"/>
              </w:rPr>
              <w:t>Tesoreria</w:t>
            </w:r>
            <w:proofErr w:type="spellEnd"/>
            <w:r w:rsidRPr="00A44C0C">
              <w:rPr>
                <w:rFonts w:ascii="Palatino Linotype" w:eastAsia="Palatino Linotype" w:hAnsi="Palatino Linotype" w:cs="Palatino Linotype"/>
                <w:i/>
                <w:sz w:val="22"/>
                <w:szCs w:val="22"/>
              </w:rPr>
              <w:t xml:space="preserve">,” (Sic) </w:t>
            </w:r>
          </w:p>
        </w:tc>
      </w:tr>
    </w:tbl>
    <w:p w:rsidR="00CC0975" w:rsidRPr="00A44C0C" w:rsidRDefault="00CC0975">
      <w:pPr>
        <w:spacing w:line="360" w:lineRule="auto"/>
        <w:jc w:val="both"/>
        <w:rPr>
          <w:rFonts w:ascii="Palatino Linotype" w:eastAsia="Palatino Linotype" w:hAnsi="Palatino Linotype" w:cs="Palatino Linotype"/>
          <w:b/>
        </w:rPr>
      </w:pPr>
    </w:p>
    <w:tbl>
      <w:tblPr>
        <w:tblStyle w:val="a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139"/>
      </w:tblGrid>
      <w:tr w:rsidR="00A44C0C" w:rsidRPr="00A44C0C">
        <w:tc>
          <w:tcPr>
            <w:tcW w:w="8828" w:type="dxa"/>
            <w:gridSpan w:val="2"/>
            <w:shd w:val="clear" w:color="auto" w:fill="D9D9D9"/>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t>OCHO DE NOVIEMBRE DE DOS MIL VEINTIDÓS</w:t>
            </w:r>
          </w:p>
        </w:tc>
      </w:tr>
      <w:tr w:rsidR="00A44C0C" w:rsidRPr="00A44C0C">
        <w:tc>
          <w:tcPr>
            <w:tcW w:w="2689" w:type="dxa"/>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t>SOLICITUD</w:t>
            </w:r>
          </w:p>
        </w:tc>
        <w:tc>
          <w:tcPr>
            <w:tcW w:w="6139" w:type="dxa"/>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t>REQUERMIENTO</w:t>
            </w:r>
          </w:p>
        </w:tc>
      </w:tr>
      <w:tr w:rsidR="00A44C0C" w:rsidRPr="00A44C0C">
        <w:tc>
          <w:tcPr>
            <w:tcW w:w="2689" w:type="dxa"/>
            <w:vAlign w:val="center"/>
          </w:tcPr>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b/>
                <w:sz w:val="22"/>
                <w:szCs w:val="22"/>
              </w:rPr>
              <w:t>02378/TOLUCA/IP/2022</w:t>
            </w:r>
          </w:p>
        </w:tc>
        <w:tc>
          <w:tcPr>
            <w:tcW w:w="6139" w:type="dxa"/>
            <w:vAlign w:val="center"/>
          </w:tcPr>
          <w:p w:rsidR="00CC0975" w:rsidRPr="00A44C0C" w:rsidRDefault="008E3FD6">
            <w:pPr>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 xml:space="preserve">“Solicito todos los oficios en donde recibieron el informe justificado de los Recursos de Revisión, el cumplimiento de la Resolución por parte de los Servidores Públicos Habilitados, desde el Recurso número 1 al 553 del año 2022, recibidos en la Unidad de Transparencia.” (Sic) </w:t>
            </w:r>
          </w:p>
        </w:tc>
      </w:tr>
      <w:tr w:rsidR="00A44C0C" w:rsidRPr="00A44C0C">
        <w:tc>
          <w:tcPr>
            <w:tcW w:w="2689" w:type="dxa"/>
            <w:vAlign w:val="center"/>
          </w:tcPr>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b/>
                <w:sz w:val="22"/>
                <w:szCs w:val="22"/>
              </w:rPr>
              <w:t>02379/TOLUCA/IP/2022</w:t>
            </w:r>
          </w:p>
        </w:tc>
        <w:tc>
          <w:tcPr>
            <w:tcW w:w="6139" w:type="dxa"/>
            <w:vAlign w:val="center"/>
          </w:tcPr>
          <w:p w:rsidR="00CC0975" w:rsidRPr="00A44C0C" w:rsidRDefault="008E3FD6">
            <w:pPr>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 xml:space="preserve">“Solicito todos los oficios enviados de todos los Servidores Públicos Habilitados a la Unidad de Transparencia, desde enero 2022 a la fecha.” (Sic) </w:t>
            </w:r>
          </w:p>
        </w:tc>
      </w:tr>
      <w:tr w:rsidR="00A44C0C" w:rsidRPr="00A44C0C">
        <w:tc>
          <w:tcPr>
            <w:tcW w:w="2689" w:type="dxa"/>
            <w:vAlign w:val="center"/>
          </w:tcPr>
          <w:p w:rsidR="00CC0975" w:rsidRPr="00A44C0C" w:rsidRDefault="008E3FD6">
            <w:pPr>
              <w:jc w:val="both"/>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t>02380/TOLUCA/IP/2022</w:t>
            </w:r>
          </w:p>
        </w:tc>
        <w:tc>
          <w:tcPr>
            <w:tcW w:w="6139" w:type="dxa"/>
            <w:vAlign w:val="center"/>
          </w:tcPr>
          <w:p w:rsidR="00CC0975" w:rsidRPr="00A44C0C" w:rsidRDefault="008E3FD6">
            <w:pPr>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 xml:space="preserve">“Solicito todos los oficios recibidos en las </w:t>
            </w:r>
            <w:proofErr w:type="spellStart"/>
            <w:r w:rsidRPr="00A44C0C">
              <w:rPr>
                <w:rFonts w:ascii="Palatino Linotype" w:eastAsia="Palatino Linotype" w:hAnsi="Palatino Linotype" w:cs="Palatino Linotype"/>
                <w:i/>
                <w:sz w:val="22"/>
                <w:szCs w:val="22"/>
              </w:rPr>
              <w:t>Areas</w:t>
            </w:r>
            <w:proofErr w:type="spellEnd"/>
            <w:r w:rsidRPr="00A44C0C">
              <w:rPr>
                <w:rFonts w:ascii="Palatino Linotype" w:eastAsia="Palatino Linotype" w:hAnsi="Palatino Linotype" w:cs="Palatino Linotype"/>
                <w:i/>
                <w:sz w:val="22"/>
                <w:szCs w:val="22"/>
              </w:rPr>
              <w:t xml:space="preserve"> por parte de la Unidad de Transparencia, desde el mes de enero 2022 a la fecha.” (Sic) </w:t>
            </w:r>
          </w:p>
        </w:tc>
      </w:tr>
      <w:tr w:rsidR="00A44C0C" w:rsidRPr="00A44C0C">
        <w:tc>
          <w:tcPr>
            <w:tcW w:w="2689" w:type="dxa"/>
            <w:vAlign w:val="center"/>
          </w:tcPr>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b/>
                <w:sz w:val="22"/>
                <w:szCs w:val="22"/>
              </w:rPr>
              <w:t>02421/TOLUCA/IP/2022</w:t>
            </w:r>
          </w:p>
        </w:tc>
        <w:tc>
          <w:tcPr>
            <w:tcW w:w="6139" w:type="dxa"/>
            <w:vAlign w:val="center"/>
          </w:tcPr>
          <w:p w:rsidR="00CC0975" w:rsidRPr="00A44C0C" w:rsidRDefault="008E3FD6">
            <w:pPr>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 xml:space="preserve">“Solicito todos los oficios que han enviado los Servidores Públicos Habilitados en materia de transparencia, a la Unidad de Transparencia de enero al mes de noviembre del año 2022, en donde solicitan el cambio de modalidad, prórroga, costos de reproducción, clasificación de la información, pruebas de daño, etc. Todo lo anterior tiene que coincidir con el número de sesiones celebradas por el </w:t>
            </w:r>
            <w:proofErr w:type="spellStart"/>
            <w:r w:rsidRPr="00A44C0C">
              <w:rPr>
                <w:rFonts w:ascii="Palatino Linotype" w:eastAsia="Palatino Linotype" w:hAnsi="Palatino Linotype" w:cs="Palatino Linotype"/>
                <w:i/>
                <w:sz w:val="22"/>
                <w:szCs w:val="22"/>
              </w:rPr>
              <w:t>Comite</w:t>
            </w:r>
            <w:proofErr w:type="spellEnd"/>
            <w:r w:rsidRPr="00A44C0C">
              <w:rPr>
                <w:rFonts w:ascii="Palatino Linotype" w:eastAsia="Palatino Linotype" w:hAnsi="Palatino Linotype" w:cs="Palatino Linotype"/>
                <w:i/>
                <w:sz w:val="22"/>
                <w:szCs w:val="22"/>
              </w:rPr>
              <w:t xml:space="preserve"> de Transparencia.” (Sic) </w:t>
            </w:r>
          </w:p>
        </w:tc>
      </w:tr>
    </w:tbl>
    <w:p w:rsidR="00CC0975" w:rsidRPr="00A44C0C" w:rsidRDefault="00CC0975">
      <w:pPr>
        <w:spacing w:line="360" w:lineRule="auto"/>
        <w:jc w:val="both"/>
        <w:rPr>
          <w:rFonts w:ascii="Palatino Linotype" w:eastAsia="Palatino Linotype" w:hAnsi="Palatino Linotype" w:cs="Palatino Linotype"/>
          <w:b/>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b/>
        </w:rPr>
        <w:t>Modalidad de Entrega:</w:t>
      </w:r>
      <w:r w:rsidRPr="00A44C0C">
        <w:rPr>
          <w:rFonts w:ascii="Palatino Linotype" w:eastAsia="Palatino Linotype" w:hAnsi="Palatino Linotype" w:cs="Palatino Linotype"/>
        </w:rPr>
        <w:t xml:space="preserve"> A través del SAIMEX.</w:t>
      </w:r>
    </w:p>
    <w:p w:rsidR="00CC0975" w:rsidRPr="00A44C0C" w:rsidRDefault="00CC0975">
      <w:pPr>
        <w:spacing w:line="360" w:lineRule="auto"/>
        <w:jc w:val="both"/>
        <w:rPr>
          <w:rFonts w:ascii="Palatino Linotype" w:eastAsia="Palatino Linotype" w:hAnsi="Palatino Linotype" w:cs="Palatino Linotype"/>
          <w:b/>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b/>
        </w:rPr>
        <w:t xml:space="preserve">2. Prórroga para emitir respuesta: </w:t>
      </w:r>
      <w:r w:rsidRPr="00A44C0C">
        <w:rPr>
          <w:rFonts w:ascii="Palatino Linotype" w:eastAsia="Palatino Linotype" w:hAnsi="Palatino Linotype" w:cs="Palatino Linotype"/>
        </w:rPr>
        <w:t xml:space="preserve">Los días </w:t>
      </w:r>
      <w:r w:rsidRPr="00A44C0C">
        <w:rPr>
          <w:rFonts w:ascii="Palatino Linotype" w:eastAsia="Palatino Linotype" w:hAnsi="Palatino Linotype" w:cs="Palatino Linotype"/>
          <w:b/>
        </w:rPr>
        <w:t>veintinueve y treinta de noviembre de dos mil veintidós</w:t>
      </w:r>
      <w:r w:rsidRPr="00A44C0C">
        <w:rPr>
          <w:rFonts w:ascii="Palatino Linotype" w:eastAsia="Palatino Linotype" w:hAnsi="Palatino Linotype" w:cs="Palatino Linotype"/>
        </w:rPr>
        <w:t xml:space="preserve">, </w:t>
      </w:r>
      <w:r w:rsidRPr="00A44C0C">
        <w:rPr>
          <w:rFonts w:ascii="Palatino Linotype" w:eastAsia="Palatino Linotype" w:hAnsi="Palatino Linotype" w:cs="Palatino Linotype"/>
          <w:b/>
        </w:rPr>
        <w:t xml:space="preserve">EL SUJETO OBLIGADO </w:t>
      </w:r>
      <w:r w:rsidRPr="00A44C0C">
        <w:rPr>
          <w:rFonts w:ascii="Palatino Linotype" w:eastAsia="Palatino Linotype" w:hAnsi="Palatino Linotype" w:cs="Palatino Linotype"/>
        </w:rPr>
        <w:t xml:space="preserve">notificó a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la ampliación de plazo para dar contestación a sus solicitudes de información, mediante las siguientes actas del Comité de Transparencia: </w:t>
      </w:r>
    </w:p>
    <w:p w:rsidR="00CC0975" w:rsidRPr="00A44C0C" w:rsidRDefault="00CC0975">
      <w:pPr>
        <w:spacing w:line="360" w:lineRule="auto"/>
        <w:jc w:val="both"/>
        <w:rPr>
          <w:rFonts w:ascii="Palatino Linotype" w:eastAsia="Palatino Linotype" w:hAnsi="Palatino Linotype" w:cs="Palatino Linotype"/>
        </w:rPr>
      </w:pPr>
    </w:p>
    <w:tbl>
      <w:tblPr>
        <w:tblStyle w:val="af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4"/>
        <w:gridCol w:w="4124"/>
      </w:tblGrid>
      <w:tr w:rsidR="00A44C0C" w:rsidRPr="00A44C0C">
        <w:tc>
          <w:tcPr>
            <w:tcW w:w="4704" w:type="dxa"/>
            <w:shd w:val="clear" w:color="auto" w:fill="BFBFBF"/>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t>SOLICITUD</w:t>
            </w:r>
          </w:p>
        </w:tc>
        <w:tc>
          <w:tcPr>
            <w:tcW w:w="4124" w:type="dxa"/>
            <w:shd w:val="clear" w:color="auto" w:fill="BFBFBF"/>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t>ACTA DEL COMITÉ</w:t>
            </w:r>
          </w:p>
        </w:tc>
      </w:tr>
      <w:tr w:rsidR="00A44C0C" w:rsidRPr="00A44C0C">
        <w:tc>
          <w:tcPr>
            <w:tcW w:w="8828" w:type="dxa"/>
            <w:gridSpan w:val="2"/>
            <w:shd w:val="clear" w:color="auto" w:fill="D9D9D9"/>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t>VEINTINUEVE DE NOVIEMBRE DOS MIL VEINTIDÓS</w:t>
            </w:r>
          </w:p>
        </w:tc>
      </w:tr>
      <w:tr w:rsidR="00A44C0C" w:rsidRPr="00A44C0C">
        <w:tc>
          <w:tcPr>
            <w:tcW w:w="4704" w:type="dxa"/>
            <w:vAlign w:val="center"/>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t>02361/TOLUCA/IP/2022</w:t>
            </w:r>
          </w:p>
        </w:tc>
        <w:tc>
          <w:tcPr>
            <w:tcW w:w="4124" w:type="dxa"/>
          </w:tcPr>
          <w:p w:rsidR="00CC0975" w:rsidRPr="00A44C0C" w:rsidRDefault="008E3FD6">
            <w:pPr>
              <w:jc w:val="both"/>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t xml:space="preserve">Septingentésima décima novena sesión extraordinaria  </w:t>
            </w:r>
          </w:p>
        </w:tc>
      </w:tr>
      <w:tr w:rsidR="00A44C0C" w:rsidRPr="00A44C0C">
        <w:tc>
          <w:tcPr>
            <w:tcW w:w="8828" w:type="dxa"/>
            <w:gridSpan w:val="2"/>
            <w:shd w:val="clear" w:color="auto" w:fill="D9D9D9"/>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t>TREINTA DE NOVIEMBRE DE DOS MIL VEINTIDÓS</w:t>
            </w:r>
          </w:p>
        </w:tc>
      </w:tr>
      <w:tr w:rsidR="00A44C0C" w:rsidRPr="00A44C0C">
        <w:tc>
          <w:tcPr>
            <w:tcW w:w="4704" w:type="dxa"/>
            <w:vAlign w:val="center"/>
          </w:tcPr>
          <w:p w:rsidR="00CC0975" w:rsidRPr="00A44C0C" w:rsidRDefault="008E3FD6">
            <w:pPr>
              <w:jc w:val="center"/>
              <w:rPr>
                <w:rFonts w:ascii="Palatino Linotype" w:eastAsia="Palatino Linotype" w:hAnsi="Palatino Linotype" w:cs="Palatino Linotype"/>
                <w:sz w:val="22"/>
                <w:szCs w:val="22"/>
              </w:rPr>
            </w:pPr>
            <w:r w:rsidRPr="00A44C0C">
              <w:rPr>
                <w:rFonts w:ascii="Palatino Linotype" w:eastAsia="Palatino Linotype" w:hAnsi="Palatino Linotype" w:cs="Palatino Linotype"/>
                <w:b/>
                <w:sz w:val="22"/>
                <w:szCs w:val="22"/>
              </w:rPr>
              <w:t>02378/TOLUCA/IP/2022</w:t>
            </w:r>
          </w:p>
        </w:tc>
        <w:tc>
          <w:tcPr>
            <w:tcW w:w="4124" w:type="dxa"/>
          </w:tcPr>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b/>
                <w:sz w:val="22"/>
                <w:szCs w:val="22"/>
              </w:rPr>
              <w:t xml:space="preserve">Septingentésima vigésima novena sesión extraordinaria  </w:t>
            </w:r>
          </w:p>
        </w:tc>
      </w:tr>
      <w:tr w:rsidR="00A44C0C" w:rsidRPr="00A44C0C">
        <w:tc>
          <w:tcPr>
            <w:tcW w:w="4704" w:type="dxa"/>
            <w:vAlign w:val="center"/>
          </w:tcPr>
          <w:p w:rsidR="00CC0975" w:rsidRPr="00A44C0C" w:rsidRDefault="008E3FD6">
            <w:pPr>
              <w:jc w:val="center"/>
              <w:rPr>
                <w:rFonts w:ascii="Palatino Linotype" w:eastAsia="Palatino Linotype" w:hAnsi="Palatino Linotype" w:cs="Palatino Linotype"/>
                <w:sz w:val="22"/>
                <w:szCs w:val="22"/>
              </w:rPr>
            </w:pPr>
            <w:r w:rsidRPr="00A44C0C">
              <w:rPr>
                <w:rFonts w:ascii="Palatino Linotype" w:eastAsia="Palatino Linotype" w:hAnsi="Palatino Linotype" w:cs="Palatino Linotype"/>
                <w:b/>
                <w:sz w:val="22"/>
                <w:szCs w:val="22"/>
              </w:rPr>
              <w:t>02379/TOLUCA/IP/2022</w:t>
            </w:r>
          </w:p>
        </w:tc>
        <w:tc>
          <w:tcPr>
            <w:tcW w:w="4124" w:type="dxa"/>
          </w:tcPr>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b/>
                <w:sz w:val="22"/>
                <w:szCs w:val="22"/>
              </w:rPr>
              <w:t xml:space="preserve">Septingentésima vigésima novena sesión extraordinaria  </w:t>
            </w:r>
          </w:p>
        </w:tc>
      </w:tr>
      <w:tr w:rsidR="00A44C0C" w:rsidRPr="00A44C0C">
        <w:tc>
          <w:tcPr>
            <w:tcW w:w="4704" w:type="dxa"/>
            <w:vAlign w:val="center"/>
          </w:tcPr>
          <w:p w:rsidR="00CC0975" w:rsidRPr="00A44C0C" w:rsidRDefault="008E3FD6">
            <w:pPr>
              <w:jc w:val="center"/>
              <w:rPr>
                <w:rFonts w:ascii="Palatino Linotype" w:eastAsia="Palatino Linotype" w:hAnsi="Palatino Linotype" w:cs="Palatino Linotype"/>
                <w:sz w:val="22"/>
                <w:szCs w:val="22"/>
              </w:rPr>
            </w:pPr>
            <w:r w:rsidRPr="00A44C0C">
              <w:rPr>
                <w:rFonts w:ascii="Palatino Linotype" w:eastAsia="Palatino Linotype" w:hAnsi="Palatino Linotype" w:cs="Palatino Linotype"/>
                <w:b/>
                <w:sz w:val="22"/>
                <w:szCs w:val="22"/>
              </w:rPr>
              <w:t>02380/TOLUCA/IP/2022</w:t>
            </w:r>
          </w:p>
        </w:tc>
        <w:tc>
          <w:tcPr>
            <w:tcW w:w="4124" w:type="dxa"/>
          </w:tcPr>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b/>
                <w:sz w:val="22"/>
                <w:szCs w:val="22"/>
              </w:rPr>
              <w:t xml:space="preserve">Septingentésima vigésima novena sesión extraordinaria  </w:t>
            </w:r>
          </w:p>
        </w:tc>
      </w:tr>
      <w:tr w:rsidR="00A44C0C" w:rsidRPr="00A44C0C">
        <w:tc>
          <w:tcPr>
            <w:tcW w:w="4704" w:type="dxa"/>
            <w:vAlign w:val="center"/>
          </w:tcPr>
          <w:p w:rsidR="00CC0975" w:rsidRPr="00A44C0C" w:rsidRDefault="008E3FD6">
            <w:pPr>
              <w:jc w:val="center"/>
              <w:rPr>
                <w:rFonts w:ascii="Palatino Linotype" w:eastAsia="Palatino Linotype" w:hAnsi="Palatino Linotype" w:cs="Palatino Linotype"/>
                <w:sz w:val="22"/>
                <w:szCs w:val="22"/>
              </w:rPr>
            </w:pPr>
            <w:r w:rsidRPr="00A44C0C">
              <w:rPr>
                <w:rFonts w:ascii="Palatino Linotype" w:eastAsia="Palatino Linotype" w:hAnsi="Palatino Linotype" w:cs="Palatino Linotype"/>
                <w:b/>
                <w:sz w:val="22"/>
                <w:szCs w:val="22"/>
              </w:rPr>
              <w:t>02421/TOLUCA/IP/2022</w:t>
            </w:r>
          </w:p>
        </w:tc>
        <w:tc>
          <w:tcPr>
            <w:tcW w:w="4124" w:type="dxa"/>
          </w:tcPr>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b/>
                <w:sz w:val="22"/>
                <w:szCs w:val="22"/>
              </w:rPr>
              <w:t xml:space="preserve">Septingentésima vigésima novena sesión extraordinaria  </w:t>
            </w:r>
          </w:p>
        </w:tc>
      </w:tr>
    </w:tbl>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b/>
        </w:rPr>
        <w:t xml:space="preserve">3. Respuestas. </w:t>
      </w:r>
      <w:r w:rsidRPr="00A44C0C">
        <w:rPr>
          <w:rFonts w:ascii="Palatino Linotype" w:eastAsia="Palatino Linotype" w:hAnsi="Palatino Linotype" w:cs="Palatino Linotype"/>
        </w:rPr>
        <w:t xml:space="preserve">Con fechas </w:t>
      </w:r>
      <w:r w:rsidRPr="00A44C0C">
        <w:rPr>
          <w:rFonts w:ascii="Palatino Linotype" w:eastAsia="Palatino Linotype" w:hAnsi="Palatino Linotype" w:cs="Palatino Linotype"/>
          <w:b/>
        </w:rPr>
        <w:t>ocho y nueve de diciembre de dos mil veintidós,</w:t>
      </w:r>
      <w:r w:rsidRPr="00A44C0C">
        <w:rPr>
          <w:rFonts w:ascii="Palatino Linotype" w:eastAsia="Palatino Linotype" w:hAnsi="Palatino Linotype" w:cs="Palatino Linotype"/>
        </w:rPr>
        <w:t xml:space="preserve"> </w:t>
      </w:r>
      <w:r w:rsidRPr="00A44C0C">
        <w:rPr>
          <w:rFonts w:ascii="Palatino Linotype" w:eastAsia="Palatino Linotype" w:hAnsi="Palatino Linotype" w:cs="Palatino Linotype"/>
          <w:b/>
        </w:rPr>
        <w:t>EL SUJETO OBLIGADO</w:t>
      </w:r>
      <w:r w:rsidRPr="00A44C0C">
        <w:rPr>
          <w:rFonts w:ascii="Palatino Linotype" w:eastAsia="Palatino Linotype" w:hAnsi="Palatino Linotype" w:cs="Palatino Linotype"/>
        </w:rPr>
        <w:t xml:space="preserve"> remitió a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las respuestas a las solicitudes de acceso a la información, de manera siguiente: </w:t>
      </w:r>
    </w:p>
    <w:p w:rsidR="00CC0975" w:rsidRPr="00A44C0C" w:rsidRDefault="00CC0975">
      <w:pPr>
        <w:spacing w:line="360" w:lineRule="auto"/>
        <w:jc w:val="both"/>
        <w:rPr>
          <w:rFonts w:ascii="Palatino Linotype" w:eastAsia="Palatino Linotype" w:hAnsi="Palatino Linotype" w:cs="Palatino Linotype"/>
        </w:rPr>
      </w:pPr>
    </w:p>
    <w:tbl>
      <w:tblPr>
        <w:tblStyle w:val="af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A44C0C" w:rsidRPr="00A44C0C">
        <w:tc>
          <w:tcPr>
            <w:tcW w:w="8828" w:type="dxa"/>
            <w:gridSpan w:val="2"/>
            <w:shd w:val="clear" w:color="auto" w:fill="D9D9D9"/>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t>OCHO DE DICIEMBRE DE DOS MIL VEINTIDÓS</w:t>
            </w:r>
          </w:p>
        </w:tc>
      </w:tr>
      <w:tr w:rsidR="00A44C0C" w:rsidRPr="00A44C0C">
        <w:tc>
          <w:tcPr>
            <w:tcW w:w="2830" w:type="dxa"/>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t>SOLICITUD</w:t>
            </w:r>
          </w:p>
        </w:tc>
        <w:tc>
          <w:tcPr>
            <w:tcW w:w="5998" w:type="dxa"/>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t>RESPUESTA</w:t>
            </w:r>
          </w:p>
        </w:tc>
      </w:tr>
      <w:tr w:rsidR="00A44C0C" w:rsidRPr="00A44C0C">
        <w:tc>
          <w:tcPr>
            <w:tcW w:w="2830" w:type="dxa"/>
            <w:vAlign w:val="center"/>
          </w:tcPr>
          <w:p w:rsidR="00CC0975" w:rsidRPr="00A44C0C" w:rsidRDefault="008E3FD6">
            <w:pPr>
              <w:jc w:val="center"/>
              <w:rPr>
                <w:rFonts w:ascii="Palatino Linotype" w:eastAsia="Palatino Linotype" w:hAnsi="Palatino Linotype" w:cs="Palatino Linotype"/>
                <w:sz w:val="22"/>
                <w:szCs w:val="22"/>
              </w:rPr>
            </w:pPr>
            <w:r w:rsidRPr="00A44C0C">
              <w:rPr>
                <w:rFonts w:ascii="Palatino Linotype" w:eastAsia="Palatino Linotype" w:hAnsi="Palatino Linotype" w:cs="Palatino Linotype"/>
                <w:b/>
                <w:sz w:val="22"/>
                <w:szCs w:val="22"/>
              </w:rPr>
              <w:t>02361/TOLUCA/IP/2022</w:t>
            </w:r>
          </w:p>
        </w:tc>
        <w:tc>
          <w:tcPr>
            <w:tcW w:w="5998" w:type="dxa"/>
            <w:vAlign w:val="center"/>
          </w:tcPr>
          <w:p w:rsidR="00CC0975" w:rsidRPr="00A44C0C" w:rsidRDefault="004865DF">
            <w:pPr>
              <w:numPr>
                <w:ilvl w:val="0"/>
                <w:numId w:val="1"/>
              </w:numPr>
              <w:pBdr>
                <w:top w:val="nil"/>
                <w:left w:val="nil"/>
                <w:bottom w:val="nil"/>
                <w:right w:val="nil"/>
                <w:between w:val="nil"/>
              </w:pBdr>
              <w:jc w:val="both"/>
              <w:rPr>
                <w:rFonts w:ascii="Palatino Linotype" w:eastAsia="Palatino Linotype" w:hAnsi="Palatino Linotype" w:cs="Palatino Linotype"/>
                <w:b/>
                <w:i/>
                <w:sz w:val="22"/>
                <w:szCs w:val="22"/>
              </w:rPr>
            </w:pPr>
            <w:hyperlink r:id="rId8">
              <w:r w:rsidR="008E3FD6" w:rsidRPr="00A44C0C">
                <w:rPr>
                  <w:rFonts w:ascii="Palatino Linotype" w:eastAsia="Palatino Linotype" w:hAnsi="Palatino Linotype" w:cs="Palatino Linotype"/>
                  <w:b/>
                  <w:i/>
                  <w:sz w:val="22"/>
                  <w:szCs w:val="22"/>
                </w:rPr>
                <w:t>Acta 737.pdf</w:t>
              </w:r>
            </w:hyperlink>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Contiene el acta del Comité de Transparencia del Ayuntamiento de Toluca de la septingentésima trigésima séptima sesión extraordinaria, donde se realiza un cambio de modalidad de entrega de la información a consulta directa, solicitada por las Personas Servidoras Públicas Habilitadas de la Secretaría Particular de la Presidencia, Secretaría del Ayuntamiento, Tesorería Municipal y Dirección General de Administración por sobrepasar las capacidades técnicas y humanas del SAIMEX; además de la clasificación de la información en su modalidad de confidencial y elaboración de versiones públicas de oficios y memorándums enviados por las referidas Unidades </w:t>
            </w:r>
            <w:r w:rsidRPr="00A44C0C">
              <w:rPr>
                <w:rFonts w:ascii="Palatino Linotype" w:eastAsia="Palatino Linotype" w:hAnsi="Palatino Linotype" w:cs="Palatino Linotype"/>
                <w:sz w:val="22"/>
                <w:szCs w:val="22"/>
              </w:rPr>
              <w:lastRenderedPageBreak/>
              <w:t xml:space="preserve">Administrativas de los meses de septiembre y octubre de dos mil veintidós. </w:t>
            </w:r>
          </w:p>
          <w:p w:rsidR="00CC0975" w:rsidRPr="00A44C0C" w:rsidRDefault="00CC0975">
            <w:pPr>
              <w:pBdr>
                <w:top w:val="nil"/>
                <w:left w:val="nil"/>
                <w:bottom w:val="nil"/>
                <w:right w:val="nil"/>
                <w:between w:val="nil"/>
              </w:pBdr>
              <w:ind w:left="720"/>
              <w:jc w:val="both"/>
              <w:rPr>
                <w:rFonts w:ascii="Palatino Linotype" w:eastAsia="Palatino Linotype" w:hAnsi="Palatino Linotype" w:cs="Palatino Linotype"/>
                <w:b/>
                <w:i/>
                <w:sz w:val="22"/>
                <w:szCs w:val="22"/>
              </w:rPr>
            </w:pPr>
          </w:p>
          <w:p w:rsidR="00CC0975" w:rsidRPr="00A44C0C" w:rsidRDefault="004865DF">
            <w:pPr>
              <w:numPr>
                <w:ilvl w:val="0"/>
                <w:numId w:val="1"/>
              </w:numPr>
              <w:pBdr>
                <w:top w:val="nil"/>
                <w:left w:val="nil"/>
                <w:bottom w:val="nil"/>
                <w:right w:val="nil"/>
                <w:between w:val="nil"/>
              </w:pBdr>
              <w:jc w:val="both"/>
              <w:rPr>
                <w:rFonts w:ascii="Palatino Linotype" w:eastAsia="Palatino Linotype" w:hAnsi="Palatino Linotype" w:cs="Palatino Linotype"/>
                <w:sz w:val="22"/>
                <w:szCs w:val="22"/>
              </w:rPr>
            </w:pPr>
            <w:hyperlink r:id="rId9">
              <w:r w:rsidR="008E3FD6" w:rsidRPr="00A44C0C">
                <w:rPr>
                  <w:rFonts w:ascii="Palatino Linotype" w:eastAsia="Palatino Linotype" w:hAnsi="Palatino Linotype" w:cs="Palatino Linotype"/>
                  <w:b/>
                  <w:i/>
                  <w:sz w:val="22"/>
                  <w:szCs w:val="22"/>
                </w:rPr>
                <w:t>Respuesta 2361.pdf</w:t>
              </w:r>
            </w:hyperlink>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Se hizo sabedora a </w:t>
            </w:r>
            <w:r w:rsidRPr="00A44C0C">
              <w:rPr>
                <w:rFonts w:ascii="Palatino Linotype" w:eastAsia="Palatino Linotype" w:hAnsi="Palatino Linotype" w:cs="Palatino Linotype"/>
                <w:b/>
                <w:sz w:val="22"/>
                <w:szCs w:val="22"/>
              </w:rPr>
              <w:t>LA PARTE RECURRENTE</w:t>
            </w:r>
            <w:r w:rsidRPr="00A44C0C">
              <w:rPr>
                <w:rFonts w:ascii="Palatino Linotype" w:eastAsia="Palatino Linotype" w:hAnsi="Palatino Linotype" w:cs="Palatino Linotype"/>
                <w:sz w:val="22"/>
                <w:szCs w:val="22"/>
              </w:rPr>
              <w:t xml:space="preserve"> por medio del escrito de la Unidad de Transparencia de la cantidad de información contenida en cada Unidad Administrativa: </w:t>
            </w:r>
          </w:p>
          <w:p w:rsidR="00CC0975" w:rsidRPr="00A44C0C" w:rsidRDefault="008E3FD6">
            <w:pPr>
              <w:jc w:val="center"/>
              <w:rPr>
                <w:rFonts w:ascii="Palatino Linotype" w:eastAsia="Palatino Linotype" w:hAnsi="Palatino Linotype" w:cs="Palatino Linotype"/>
                <w:sz w:val="22"/>
                <w:szCs w:val="22"/>
              </w:rPr>
            </w:pPr>
            <w:r w:rsidRPr="00A44C0C">
              <w:rPr>
                <w:noProof/>
                <w:sz w:val="22"/>
                <w:szCs w:val="22"/>
              </w:rPr>
              <w:drawing>
                <wp:inline distT="0" distB="0" distL="0" distR="0">
                  <wp:extent cx="3132519" cy="886562"/>
                  <wp:effectExtent l="0" t="0" r="0" b="0"/>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15306" t="45203" r="15946" b="20203"/>
                          <a:stretch>
                            <a:fillRect/>
                          </a:stretch>
                        </pic:blipFill>
                        <pic:spPr>
                          <a:xfrm>
                            <a:off x="0" y="0"/>
                            <a:ext cx="3132519" cy="886562"/>
                          </a:xfrm>
                          <a:prstGeom prst="rect">
                            <a:avLst/>
                          </a:prstGeom>
                          <a:ln/>
                        </pic:spPr>
                      </pic:pic>
                    </a:graphicData>
                  </a:graphic>
                </wp:inline>
              </w:drawing>
            </w: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Además se le refirió la temporalidad que la información estaría disponible para su consulta, como fueron sesenta días naturales para ello; y los lugares, horarios y personas servidoras públicas que le asistirían al efecto. </w:t>
            </w:r>
          </w:p>
          <w:p w:rsidR="00CC0975" w:rsidRPr="00A44C0C" w:rsidRDefault="00CC0975">
            <w:pPr>
              <w:jc w:val="both"/>
              <w:rPr>
                <w:rFonts w:ascii="Palatino Linotype" w:eastAsia="Palatino Linotype" w:hAnsi="Palatino Linotype" w:cs="Palatino Linotype"/>
                <w:sz w:val="22"/>
                <w:szCs w:val="22"/>
              </w:rPr>
            </w:pP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Además de la consulta directa, </w:t>
            </w:r>
            <w:r w:rsidRPr="00A44C0C">
              <w:rPr>
                <w:rFonts w:ascii="Palatino Linotype" w:eastAsia="Palatino Linotype" w:hAnsi="Palatino Linotype" w:cs="Palatino Linotype"/>
                <w:b/>
                <w:sz w:val="22"/>
                <w:szCs w:val="22"/>
              </w:rPr>
              <w:t>EL SUJETO OBLIGADO</w:t>
            </w:r>
            <w:r w:rsidRPr="00A44C0C">
              <w:rPr>
                <w:rFonts w:ascii="Palatino Linotype" w:eastAsia="Palatino Linotype" w:hAnsi="Palatino Linotype" w:cs="Palatino Linotype"/>
                <w:sz w:val="22"/>
                <w:szCs w:val="22"/>
              </w:rPr>
              <w:t xml:space="preserve"> ofreció otras formas de entrega como fueron las que tienen costo: disco compacto, USB, copias simples o certificadas y se informó del procedimiento a seguir. </w:t>
            </w:r>
          </w:p>
          <w:p w:rsidR="00CC0975" w:rsidRPr="00A44C0C" w:rsidRDefault="00CC0975">
            <w:pPr>
              <w:jc w:val="both"/>
              <w:rPr>
                <w:rFonts w:ascii="Palatino Linotype" w:eastAsia="Palatino Linotype" w:hAnsi="Palatino Linotype" w:cs="Palatino Linotype"/>
                <w:sz w:val="22"/>
                <w:szCs w:val="22"/>
              </w:rPr>
            </w:pP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Y también en caso de que </w:t>
            </w:r>
            <w:r w:rsidRPr="00A44C0C">
              <w:rPr>
                <w:rFonts w:ascii="Palatino Linotype" w:eastAsia="Palatino Linotype" w:hAnsi="Palatino Linotype" w:cs="Palatino Linotype"/>
                <w:b/>
                <w:sz w:val="22"/>
                <w:szCs w:val="22"/>
              </w:rPr>
              <w:t>LA PARTE RECURRENTE</w:t>
            </w:r>
            <w:r w:rsidRPr="00A44C0C">
              <w:rPr>
                <w:rFonts w:ascii="Palatino Linotype" w:eastAsia="Palatino Linotype" w:hAnsi="Palatino Linotype" w:cs="Palatino Linotype"/>
                <w:sz w:val="22"/>
                <w:szCs w:val="22"/>
              </w:rPr>
              <w:t xml:space="preserve"> proporcionara dispositivo electrónico o correo electrónico, no habría ningún costo para ella. </w:t>
            </w:r>
          </w:p>
        </w:tc>
      </w:tr>
      <w:tr w:rsidR="00A44C0C" w:rsidRPr="00A44C0C">
        <w:tc>
          <w:tcPr>
            <w:tcW w:w="8828" w:type="dxa"/>
            <w:gridSpan w:val="2"/>
            <w:shd w:val="clear" w:color="auto" w:fill="D9D9D9"/>
            <w:vAlign w:val="center"/>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lastRenderedPageBreak/>
              <w:t>NUEVE DE DICIEMBRE DE DOS MIL VEINTIDÓS</w:t>
            </w:r>
          </w:p>
        </w:tc>
      </w:tr>
      <w:tr w:rsidR="00A44C0C" w:rsidRPr="00A44C0C">
        <w:tc>
          <w:tcPr>
            <w:tcW w:w="2830" w:type="dxa"/>
            <w:vAlign w:val="center"/>
          </w:tcPr>
          <w:p w:rsidR="00CC0975" w:rsidRPr="00A44C0C" w:rsidRDefault="008E3FD6">
            <w:pPr>
              <w:jc w:val="center"/>
              <w:rPr>
                <w:rFonts w:ascii="Palatino Linotype" w:eastAsia="Palatino Linotype" w:hAnsi="Palatino Linotype" w:cs="Palatino Linotype"/>
                <w:sz w:val="22"/>
                <w:szCs w:val="22"/>
              </w:rPr>
            </w:pPr>
            <w:r w:rsidRPr="00A44C0C">
              <w:rPr>
                <w:rFonts w:ascii="Palatino Linotype" w:eastAsia="Palatino Linotype" w:hAnsi="Palatino Linotype" w:cs="Palatino Linotype"/>
                <w:b/>
                <w:sz w:val="22"/>
                <w:szCs w:val="22"/>
              </w:rPr>
              <w:t>02421/TOLUCA/IP/2022</w:t>
            </w:r>
          </w:p>
        </w:tc>
        <w:tc>
          <w:tcPr>
            <w:tcW w:w="5998" w:type="dxa"/>
            <w:vAlign w:val="center"/>
          </w:tcPr>
          <w:p w:rsidR="00CC0975" w:rsidRPr="00A44C0C" w:rsidRDefault="004865DF">
            <w:pPr>
              <w:numPr>
                <w:ilvl w:val="0"/>
                <w:numId w:val="1"/>
              </w:numPr>
              <w:pBdr>
                <w:top w:val="nil"/>
                <w:left w:val="nil"/>
                <w:bottom w:val="nil"/>
                <w:right w:val="nil"/>
                <w:between w:val="nil"/>
              </w:pBdr>
              <w:jc w:val="both"/>
              <w:rPr>
                <w:rFonts w:ascii="Palatino Linotype" w:eastAsia="Palatino Linotype" w:hAnsi="Palatino Linotype" w:cs="Palatino Linotype"/>
                <w:b/>
                <w:i/>
                <w:sz w:val="22"/>
                <w:szCs w:val="22"/>
              </w:rPr>
            </w:pPr>
            <w:hyperlink r:id="rId11">
              <w:r w:rsidR="008E3FD6" w:rsidRPr="00A44C0C">
                <w:rPr>
                  <w:rFonts w:ascii="Palatino Linotype" w:eastAsia="Palatino Linotype" w:hAnsi="Palatino Linotype" w:cs="Palatino Linotype"/>
                  <w:b/>
                  <w:i/>
                  <w:sz w:val="22"/>
                  <w:szCs w:val="22"/>
                </w:rPr>
                <w:t>02421.pdf</w:t>
              </w:r>
            </w:hyperlink>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Se hizo sabedora a </w:t>
            </w:r>
            <w:r w:rsidRPr="00A44C0C">
              <w:rPr>
                <w:rFonts w:ascii="Palatino Linotype" w:eastAsia="Palatino Linotype" w:hAnsi="Palatino Linotype" w:cs="Palatino Linotype"/>
                <w:b/>
                <w:sz w:val="22"/>
                <w:szCs w:val="22"/>
              </w:rPr>
              <w:t>LA PARTE RECURRENTE</w:t>
            </w:r>
            <w:r w:rsidRPr="00A44C0C">
              <w:rPr>
                <w:rFonts w:ascii="Palatino Linotype" w:eastAsia="Palatino Linotype" w:hAnsi="Palatino Linotype" w:cs="Palatino Linotype"/>
                <w:sz w:val="22"/>
                <w:szCs w:val="22"/>
              </w:rPr>
              <w:t xml:space="preserve"> la cantidad de información contenida en la Unidad de Transparencia que asciende a </w:t>
            </w:r>
            <w:r w:rsidRPr="00A44C0C">
              <w:rPr>
                <w:rFonts w:ascii="Palatino Linotype" w:eastAsia="Palatino Linotype" w:hAnsi="Palatino Linotype" w:cs="Palatino Linotype"/>
                <w:b/>
                <w:sz w:val="22"/>
                <w:szCs w:val="22"/>
              </w:rPr>
              <w:t>6387 GB.</w:t>
            </w:r>
          </w:p>
          <w:p w:rsidR="00CC0975" w:rsidRPr="00A44C0C" w:rsidRDefault="00CC0975">
            <w:pPr>
              <w:jc w:val="center"/>
              <w:rPr>
                <w:rFonts w:ascii="Palatino Linotype" w:eastAsia="Palatino Linotype" w:hAnsi="Palatino Linotype" w:cs="Palatino Linotype"/>
                <w:sz w:val="22"/>
                <w:szCs w:val="22"/>
              </w:rPr>
            </w:pP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Además se le refirió la temporalidad que la información estaría disponible para su consulta, como fueron sesenta días naturales para ello; y el lugar, el horario y la persona servidora pública que le asistiría al efecto. </w:t>
            </w:r>
          </w:p>
          <w:p w:rsidR="00CC0975" w:rsidRPr="00A44C0C" w:rsidRDefault="00CC0975">
            <w:pPr>
              <w:jc w:val="both"/>
              <w:rPr>
                <w:rFonts w:ascii="Palatino Linotype" w:eastAsia="Palatino Linotype" w:hAnsi="Palatino Linotype" w:cs="Palatino Linotype"/>
                <w:sz w:val="22"/>
                <w:szCs w:val="22"/>
              </w:rPr>
            </w:pP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Además de la consulta directa, </w:t>
            </w:r>
            <w:r w:rsidRPr="00A44C0C">
              <w:rPr>
                <w:rFonts w:ascii="Palatino Linotype" w:eastAsia="Palatino Linotype" w:hAnsi="Palatino Linotype" w:cs="Palatino Linotype"/>
                <w:b/>
                <w:sz w:val="22"/>
                <w:szCs w:val="22"/>
              </w:rPr>
              <w:t>EL SUJETO OBLIGADO</w:t>
            </w:r>
            <w:r w:rsidRPr="00A44C0C">
              <w:rPr>
                <w:rFonts w:ascii="Palatino Linotype" w:eastAsia="Palatino Linotype" w:hAnsi="Palatino Linotype" w:cs="Palatino Linotype"/>
                <w:sz w:val="22"/>
                <w:szCs w:val="22"/>
              </w:rPr>
              <w:t xml:space="preserve"> ofreció otras formas de entrega como fueron las que tienen </w:t>
            </w:r>
            <w:r w:rsidRPr="00A44C0C">
              <w:rPr>
                <w:rFonts w:ascii="Palatino Linotype" w:eastAsia="Palatino Linotype" w:hAnsi="Palatino Linotype" w:cs="Palatino Linotype"/>
                <w:sz w:val="22"/>
                <w:szCs w:val="22"/>
              </w:rPr>
              <w:lastRenderedPageBreak/>
              <w:t xml:space="preserve">costo: disco compacto, USB, copias simples o certificadas y se informó del procedimiento a seguir. </w:t>
            </w:r>
          </w:p>
          <w:p w:rsidR="00CC0975" w:rsidRPr="00A44C0C" w:rsidRDefault="00CC0975">
            <w:pPr>
              <w:jc w:val="both"/>
              <w:rPr>
                <w:rFonts w:ascii="Palatino Linotype" w:eastAsia="Palatino Linotype" w:hAnsi="Palatino Linotype" w:cs="Palatino Linotype"/>
                <w:sz w:val="22"/>
                <w:szCs w:val="22"/>
              </w:rPr>
            </w:pP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Y también en caso de que </w:t>
            </w:r>
            <w:r w:rsidRPr="00A44C0C">
              <w:rPr>
                <w:rFonts w:ascii="Palatino Linotype" w:eastAsia="Palatino Linotype" w:hAnsi="Palatino Linotype" w:cs="Palatino Linotype"/>
                <w:b/>
                <w:sz w:val="22"/>
                <w:szCs w:val="22"/>
              </w:rPr>
              <w:t>LA PARTE RECURRENTE</w:t>
            </w:r>
            <w:r w:rsidRPr="00A44C0C">
              <w:rPr>
                <w:rFonts w:ascii="Palatino Linotype" w:eastAsia="Palatino Linotype" w:hAnsi="Palatino Linotype" w:cs="Palatino Linotype"/>
                <w:sz w:val="22"/>
                <w:szCs w:val="22"/>
              </w:rPr>
              <w:t xml:space="preserve"> proporcionara dispositivo electrónico o correo electrónico, no habría ningún costo para ella.</w:t>
            </w:r>
          </w:p>
          <w:p w:rsidR="00CC0975" w:rsidRPr="00A44C0C" w:rsidRDefault="00CC0975">
            <w:pPr>
              <w:jc w:val="both"/>
              <w:rPr>
                <w:rFonts w:ascii="Palatino Linotype" w:eastAsia="Palatino Linotype" w:hAnsi="Palatino Linotype" w:cs="Palatino Linotype"/>
                <w:b/>
                <w:i/>
                <w:sz w:val="22"/>
                <w:szCs w:val="22"/>
              </w:rPr>
            </w:pPr>
          </w:p>
          <w:p w:rsidR="00CC0975" w:rsidRPr="00A44C0C" w:rsidRDefault="004865DF">
            <w:pPr>
              <w:numPr>
                <w:ilvl w:val="0"/>
                <w:numId w:val="1"/>
              </w:numPr>
              <w:pBdr>
                <w:top w:val="nil"/>
                <w:left w:val="nil"/>
                <w:bottom w:val="nil"/>
                <w:right w:val="nil"/>
                <w:between w:val="nil"/>
              </w:pBdr>
              <w:jc w:val="both"/>
              <w:rPr>
                <w:rFonts w:ascii="Palatino Linotype" w:eastAsia="Palatino Linotype" w:hAnsi="Palatino Linotype" w:cs="Palatino Linotype"/>
                <w:b/>
                <w:i/>
                <w:sz w:val="22"/>
                <w:szCs w:val="22"/>
              </w:rPr>
            </w:pPr>
            <w:hyperlink r:id="rId12">
              <w:r w:rsidR="008E3FD6" w:rsidRPr="00A44C0C">
                <w:rPr>
                  <w:rFonts w:ascii="Palatino Linotype" w:eastAsia="Palatino Linotype" w:hAnsi="Palatino Linotype" w:cs="Palatino Linotype"/>
                  <w:b/>
                  <w:i/>
                  <w:sz w:val="22"/>
                  <w:szCs w:val="22"/>
                </w:rPr>
                <w:t>752 Sesión Extraordinaria 22.pdf</w:t>
              </w:r>
            </w:hyperlink>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Acta de la septingentésima quincuagésima segunda sesión extraordinaria del Comité de Transparencia, donde se sometió a consideración de las personas integrantes del mismo el cambio de modalidad por consulta directa en la solicitud </w:t>
            </w:r>
            <w:r w:rsidRPr="00A44C0C">
              <w:rPr>
                <w:rFonts w:ascii="Palatino Linotype" w:eastAsia="Palatino Linotype" w:hAnsi="Palatino Linotype" w:cs="Palatino Linotype"/>
                <w:b/>
                <w:sz w:val="22"/>
                <w:szCs w:val="22"/>
              </w:rPr>
              <w:t xml:space="preserve">02421/TOLUCA/IP/2022, </w:t>
            </w:r>
            <w:r w:rsidRPr="00A44C0C">
              <w:rPr>
                <w:rFonts w:ascii="Palatino Linotype" w:eastAsia="Palatino Linotype" w:hAnsi="Palatino Linotype" w:cs="Palatino Linotype"/>
                <w:sz w:val="22"/>
                <w:szCs w:val="22"/>
              </w:rPr>
              <w:t xml:space="preserve">por parte de la Persona Servidora Pública Habilitada de la Unidad de Transparencia, y reiteró las mismas opciones de entrega de a información referidas en el documento anterior. </w:t>
            </w:r>
          </w:p>
        </w:tc>
      </w:tr>
      <w:tr w:rsidR="00A44C0C" w:rsidRPr="00A44C0C">
        <w:tc>
          <w:tcPr>
            <w:tcW w:w="2830" w:type="dxa"/>
            <w:vAlign w:val="center"/>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lastRenderedPageBreak/>
              <w:t>02378/TOLUCA/IP/2022</w:t>
            </w:r>
          </w:p>
        </w:tc>
        <w:tc>
          <w:tcPr>
            <w:tcW w:w="5998" w:type="dxa"/>
            <w:vAlign w:val="center"/>
          </w:tcPr>
          <w:p w:rsidR="00CC0975" w:rsidRPr="00A44C0C" w:rsidRDefault="008E3FD6">
            <w:pPr>
              <w:numPr>
                <w:ilvl w:val="0"/>
                <w:numId w:val="1"/>
              </w:numPr>
              <w:pBdr>
                <w:top w:val="nil"/>
                <w:left w:val="nil"/>
                <w:bottom w:val="nil"/>
                <w:right w:val="nil"/>
                <w:between w:val="nil"/>
              </w:pBdr>
              <w:jc w:val="both"/>
              <w:rPr>
                <w:rFonts w:ascii="Palatino Linotype" w:eastAsia="Palatino Linotype" w:hAnsi="Palatino Linotype" w:cs="Palatino Linotype"/>
                <w:b/>
                <w:i/>
                <w:sz w:val="22"/>
                <w:szCs w:val="22"/>
              </w:rPr>
            </w:pPr>
            <w:r w:rsidRPr="00A44C0C">
              <w:rPr>
                <w:rFonts w:ascii="Palatino Linotype" w:eastAsia="Palatino Linotype" w:hAnsi="Palatino Linotype" w:cs="Palatino Linotype"/>
                <w:b/>
                <w:i/>
                <w:sz w:val="22"/>
                <w:szCs w:val="22"/>
              </w:rPr>
              <w:t>752 Sesión Extraordinaria 22.pdf</w:t>
            </w: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Acta de la septingentésima quincuagésima segunda sesión extraordinaria del Comité de Transparencia, donde se sometió a consideración de las personas integrantes del mismo el cambio de modalidad por consulta directa en la solicitud </w:t>
            </w:r>
            <w:r w:rsidRPr="00A44C0C">
              <w:rPr>
                <w:rFonts w:ascii="Palatino Linotype" w:eastAsia="Palatino Linotype" w:hAnsi="Palatino Linotype" w:cs="Palatino Linotype"/>
                <w:b/>
                <w:sz w:val="22"/>
                <w:szCs w:val="22"/>
              </w:rPr>
              <w:t xml:space="preserve">02378/TOLUCA/IP/2022, </w:t>
            </w:r>
            <w:r w:rsidRPr="00A44C0C">
              <w:rPr>
                <w:rFonts w:ascii="Palatino Linotype" w:eastAsia="Palatino Linotype" w:hAnsi="Palatino Linotype" w:cs="Palatino Linotype"/>
                <w:sz w:val="22"/>
                <w:szCs w:val="22"/>
              </w:rPr>
              <w:t>por parte de la Persona Servidora Pública Habilitada de la Unidad de Transparencia, donde se manifestó que la información en conjunto representa un peso de 10,614 GB.</w:t>
            </w:r>
          </w:p>
          <w:p w:rsidR="00CC0975" w:rsidRPr="00A44C0C" w:rsidRDefault="00CC0975">
            <w:pPr>
              <w:jc w:val="both"/>
              <w:rPr>
                <w:rFonts w:ascii="Palatino Linotype" w:eastAsia="Palatino Linotype" w:hAnsi="Palatino Linotype" w:cs="Palatino Linotype"/>
                <w:sz w:val="22"/>
                <w:szCs w:val="22"/>
              </w:rPr>
            </w:pP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En el Acuerdo </w:t>
            </w:r>
            <w:r w:rsidRPr="00A44C0C">
              <w:rPr>
                <w:rFonts w:ascii="Palatino Linotype" w:eastAsia="Palatino Linotype" w:hAnsi="Palatino Linotype" w:cs="Palatino Linotype"/>
                <w:i/>
                <w:sz w:val="22"/>
                <w:szCs w:val="22"/>
              </w:rPr>
              <w:t>AT/CT/01/2022</w:t>
            </w:r>
            <w:r w:rsidRPr="00A44C0C">
              <w:rPr>
                <w:rFonts w:ascii="Palatino Linotype" w:eastAsia="Palatino Linotype" w:hAnsi="Palatino Linotype" w:cs="Palatino Linotype"/>
                <w:sz w:val="22"/>
                <w:szCs w:val="22"/>
              </w:rPr>
              <w:t xml:space="preserve"> recaído en dicha sesión se hace del conocimiento de </w:t>
            </w:r>
            <w:r w:rsidRPr="00A44C0C">
              <w:rPr>
                <w:rFonts w:ascii="Palatino Linotype" w:eastAsia="Palatino Linotype" w:hAnsi="Palatino Linotype" w:cs="Palatino Linotype"/>
                <w:b/>
                <w:sz w:val="22"/>
                <w:szCs w:val="22"/>
              </w:rPr>
              <w:t xml:space="preserve">LA PARTE RECURRENTE </w:t>
            </w:r>
            <w:r w:rsidRPr="00A44C0C">
              <w:rPr>
                <w:rFonts w:ascii="Palatino Linotype" w:eastAsia="Palatino Linotype" w:hAnsi="Palatino Linotype" w:cs="Palatino Linotype"/>
                <w:sz w:val="22"/>
                <w:szCs w:val="22"/>
              </w:rPr>
              <w:t xml:space="preserve">que la información estará disponible para su consulta el periodo que abarca sesenta días naturales, el lugar, horario y persona que llevaría a cabo dicha diligencia. </w:t>
            </w:r>
          </w:p>
          <w:p w:rsidR="00CC0975" w:rsidRPr="00A44C0C" w:rsidRDefault="00CC0975">
            <w:pPr>
              <w:jc w:val="both"/>
              <w:rPr>
                <w:rFonts w:ascii="Palatino Linotype" w:eastAsia="Palatino Linotype" w:hAnsi="Palatino Linotype" w:cs="Palatino Linotype"/>
                <w:sz w:val="22"/>
                <w:szCs w:val="22"/>
              </w:rPr>
            </w:pP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Además de la consulta directa, </w:t>
            </w:r>
            <w:r w:rsidRPr="00A44C0C">
              <w:rPr>
                <w:rFonts w:ascii="Palatino Linotype" w:eastAsia="Palatino Linotype" w:hAnsi="Palatino Linotype" w:cs="Palatino Linotype"/>
                <w:b/>
                <w:sz w:val="22"/>
                <w:szCs w:val="22"/>
              </w:rPr>
              <w:t>EL SUJETO OBLIGADO</w:t>
            </w:r>
            <w:r w:rsidRPr="00A44C0C">
              <w:rPr>
                <w:rFonts w:ascii="Palatino Linotype" w:eastAsia="Palatino Linotype" w:hAnsi="Palatino Linotype" w:cs="Palatino Linotype"/>
                <w:sz w:val="22"/>
                <w:szCs w:val="22"/>
              </w:rPr>
              <w:t xml:space="preserve"> ofreció otras formas de entrega como fueron las que tienen costo: disco compacto, USB, copias simples o certificadas y se informó del procedimiento a seguir. </w:t>
            </w:r>
          </w:p>
          <w:p w:rsidR="00CC0975" w:rsidRPr="00A44C0C" w:rsidRDefault="00CC0975">
            <w:pPr>
              <w:jc w:val="both"/>
              <w:rPr>
                <w:rFonts w:ascii="Palatino Linotype" w:eastAsia="Palatino Linotype" w:hAnsi="Palatino Linotype" w:cs="Palatino Linotype"/>
                <w:sz w:val="22"/>
                <w:szCs w:val="22"/>
              </w:rPr>
            </w:pP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lastRenderedPageBreak/>
              <w:t xml:space="preserve">Y también en caso de que </w:t>
            </w:r>
            <w:r w:rsidRPr="00A44C0C">
              <w:rPr>
                <w:rFonts w:ascii="Palatino Linotype" w:eastAsia="Palatino Linotype" w:hAnsi="Palatino Linotype" w:cs="Palatino Linotype"/>
                <w:b/>
                <w:sz w:val="22"/>
                <w:szCs w:val="22"/>
              </w:rPr>
              <w:t>LA PARTE RECURRENTE</w:t>
            </w:r>
            <w:r w:rsidRPr="00A44C0C">
              <w:rPr>
                <w:rFonts w:ascii="Palatino Linotype" w:eastAsia="Palatino Linotype" w:hAnsi="Palatino Linotype" w:cs="Palatino Linotype"/>
                <w:sz w:val="22"/>
                <w:szCs w:val="22"/>
              </w:rPr>
              <w:t xml:space="preserve"> proporcionara dispositivo electrónico o correo electrónico, no habría ningún costo para ella.</w:t>
            </w:r>
          </w:p>
          <w:p w:rsidR="00CC0975" w:rsidRPr="00A44C0C" w:rsidRDefault="00CC0975">
            <w:pPr>
              <w:jc w:val="both"/>
              <w:rPr>
                <w:rFonts w:ascii="Palatino Linotype" w:eastAsia="Palatino Linotype" w:hAnsi="Palatino Linotype" w:cs="Palatino Linotype"/>
                <w:sz w:val="22"/>
                <w:szCs w:val="22"/>
              </w:rPr>
            </w:pPr>
          </w:p>
          <w:p w:rsidR="00CC0975" w:rsidRPr="00A44C0C" w:rsidRDefault="008E3FD6">
            <w:pPr>
              <w:numPr>
                <w:ilvl w:val="0"/>
                <w:numId w:val="1"/>
              </w:numPr>
              <w:pBdr>
                <w:top w:val="nil"/>
                <w:left w:val="nil"/>
                <w:bottom w:val="nil"/>
                <w:right w:val="nil"/>
                <w:between w:val="nil"/>
              </w:pBdr>
              <w:jc w:val="both"/>
              <w:rPr>
                <w:rFonts w:ascii="Palatino Linotype" w:eastAsia="Palatino Linotype" w:hAnsi="Palatino Linotype" w:cs="Palatino Linotype"/>
                <w:b/>
                <w:i/>
                <w:sz w:val="22"/>
                <w:szCs w:val="22"/>
              </w:rPr>
            </w:pPr>
            <w:r w:rsidRPr="00A44C0C">
              <w:rPr>
                <w:rFonts w:ascii="Palatino Linotype" w:eastAsia="Palatino Linotype" w:hAnsi="Palatino Linotype" w:cs="Palatino Linotype"/>
                <w:b/>
                <w:i/>
                <w:sz w:val="22"/>
                <w:szCs w:val="22"/>
              </w:rPr>
              <w:t>02378.pdf</w:t>
            </w:r>
          </w:p>
          <w:p w:rsidR="00CC0975" w:rsidRPr="00A44C0C" w:rsidRDefault="008E3FD6">
            <w:pPr>
              <w:jc w:val="both"/>
              <w:rPr>
                <w:rFonts w:ascii="Palatino Linotype" w:eastAsia="Palatino Linotype" w:hAnsi="Palatino Linotype" w:cs="Palatino Linotype"/>
                <w:b/>
                <w:sz w:val="22"/>
                <w:szCs w:val="22"/>
              </w:rPr>
            </w:pPr>
            <w:r w:rsidRPr="00A44C0C">
              <w:rPr>
                <w:rFonts w:ascii="Palatino Linotype" w:eastAsia="Palatino Linotype" w:hAnsi="Palatino Linotype" w:cs="Palatino Linotype"/>
                <w:sz w:val="22"/>
                <w:szCs w:val="22"/>
              </w:rPr>
              <w:t>Escrito signado por la Unidad de Transparencia donde se le refiere a</w:t>
            </w:r>
            <w:r w:rsidRPr="00A44C0C">
              <w:rPr>
                <w:rFonts w:ascii="Palatino Linotype" w:eastAsia="Palatino Linotype" w:hAnsi="Palatino Linotype" w:cs="Palatino Linotype"/>
                <w:b/>
                <w:sz w:val="22"/>
                <w:szCs w:val="22"/>
              </w:rPr>
              <w:t xml:space="preserve"> LA PARTE RECURRENTE </w:t>
            </w:r>
            <w:r w:rsidRPr="00A44C0C">
              <w:rPr>
                <w:rFonts w:ascii="Palatino Linotype" w:eastAsia="Palatino Linotype" w:hAnsi="Palatino Linotype" w:cs="Palatino Linotype"/>
                <w:sz w:val="22"/>
                <w:szCs w:val="22"/>
              </w:rPr>
              <w:t xml:space="preserve">el cambio de modalidad referido en el documento anterior, y que en términos generales coincide en sus términos con el Acuerdo de la septingentésima quincuagésima segunda sesión extraordinaria del Comité de Transparencia del Ayuntamiento de Toluca. </w:t>
            </w:r>
          </w:p>
        </w:tc>
      </w:tr>
      <w:tr w:rsidR="00A44C0C" w:rsidRPr="00A44C0C">
        <w:tc>
          <w:tcPr>
            <w:tcW w:w="2830" w:type="dxa"/>
            <w:vAlign w:val="center"/>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lastRenderedPageBreak/>
              <w:t>02379/TOLUCA/IP/2022</w:t>
            </w:r>
          </w:p>
        </w:tc>
        <w:tc>
          <w:tcPr>
            <w:tcW w:w="5998" w:type="dxa"/>
            <w:vAlign w:val="center"/>
          </w:tcPr>
          <w:p w:rsidR="00CC0975" w:rsidRPr="00A44C0C" w:rsidRDefault="008E3FD6">
            <w:pPr>
              <w:numPr>
                <w:ilvl w:val="0"/>
                <w:numId w:val="1"/>
              </w:numPr>
              <w:pBdr>
                <w:top w:val="nil"/>
                <w:left w:val="nil"/>
                <w:bottom w:val="nil"/>
                <w:right w:val="nil"/>
                <w:between w:val="nil"/>
              </w:pBdr>
              <w:jc w:val="both"/>
              <w:rPr>
                <w:rFonts w:ascii="Palatino Linotype" w:eastAsia="Palatino Linotype" w:hAnsi="Palatino Linotype" w:cs="Palatino Linotype"/>
                <w:b/>
                <w:i/>
                <w:sz w:val="22"/>
                <w:szCs w:val="22"/>
              </w:rPr>
            </w:pPr>
            <w:r w:rsidRPr="00A44C0C">
              <w:rPr>
                <w:rFonts w:ascii="Palatino Linotype" w:eastAsia="Palatino Linotype" w:hAnsi="Palatino Linotype" w:cs="Palatino Linotype"/>
                <w:b/>
                <w:i/>
                <w:sz w:val="22"/>
                <w:szCs w:val="22"/>
              </w:rPr>
              <w:t>02379.pdf</w:t>
            </w: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Escrito signado por la Unidad de Transparencia del Ayuntamiento de Toluca, donde se hace del conocimiento de </w:t>
            </w:r>
            <w:r w:rsidRPr="00A44C0C">
              <w:rPr>
                <w:rFonts w:ascii="Palatino Linotype" w:eastAsia="Palatino Linotype" w:hAnsi="Palatino Linotype" w:cs="Palatino Linotype"/>
                <w:b/>
                <w:sz w:val="22"/>
                <w:szCs w:val="22"/>
              </w:rPr>
              <w:t>LA PARTE RECURRENTE</w:t>
            </w:r>
            <w:r w:rsidRPr="00A44C0C">
              <w:rPr>
                <w:rFonts w:ascii="Palatino Linotype" w:eastAsia="Palatino Linotype" w:hAnsi="Palatino Linotype" w:cs="Palatino Linotype"/>
                <w:sz w:val="22"/>
                <w:szCs w:val="22"/>
              </w:rPr>
              <w:t xml:space="preserve"> que la información solicitada tiene un peso de 18,616 GB, y refiere que mediante el Acuerdo </w:t>
            </w:r>
            <w:r w:rsidRPr="00A44C0C">
              <w:rPr>
                <w:rFonts w:ascii="Palatino Linotype" w:eastAsia="Palatino Linotype" w:hAnsi="Palatino Linotype" w:cs="Palatino Linotype"/>
                <w:i/>
                <w:sz w:val="22"/>
                <w:szCs w:val="22"/>
              </w:rPr>
              <w:t>AT/CT/02/2022</w:t>
            </w:r>
            <w:r w:rsidRPr="00A44C0C">
              <w:rPr>
                <w:rFonts w:ascii="Palatino Linotype" w:eastAsia="Palatino Linotype" w:hAnsi="Palatino Linotype" w:cs="Palatino Linotype"/>
                <w:sz w:val="22"/>
                <w:szCs w:val="22"/>
              </w:rPr>
              <w:t xml:space="preserve"> emitido en la septingentésima quincuagésima segunda sesión extraordinaria del Comité de Transparencia del Ayuntamiento de Toluca, se resolvió cambiar la modalidad de entrega de la información a consulta directa. </w:t>
            </w:r>
          </w:p>
          <w:p w:rsidR="00CC0975" w:rsidRPr="00A44C0C" w:rsidRDefault="00CC0975">
            <w:pPr>
              <w:jc w:val="both"/>
              <w:rPr>
                <w:rFonts w:ascii="Palatino Linotype" w:eastAsia="Palatino Linotype" w:hAnsi="Palatino Linotype" w:cs="Palatino Linotype"/>
                <w:sz w:val="22"/>
                <w:szCs w:val="22"/>
              </w:rPr>
            </w:pP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Señaló que la información estaría disponible por un periodo de sesenta días hábiles, así como horario, lugar y persona servidora pública que al efecto le atendería. </w:t>
            </w:r>
          </w:p>
          <w:p w:rsidR="00CC0975" w:rsidRPr="00A44C0C" w:rsidRDefault="00CC0975">
            <w:pPr>
              <w:jc w:val="both"/>
              <w:rPr>
                <w:rFonts w:ascii="Palatino Linotype" w:eastAsia="Palatino Linotype" w:hAnsi="Palatino Linotype" w:cs="Palatino Linotype"/>
                <w:sz w:val="22"/>
                <w:szCs w:val="22"/>
              </w:rPr>
            </w:pP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Además hizo saber que además de la consulta directa, podría obtener la información por medio de las modalidades que tienen costo: disco compacto, USB, copias simples o certificadas y se informó del procedimiento a seguir. </w:t>
            </w:r>
          </w:p>
          <w:p w:rsidR="00CC0975" w:rsidRPr="00A44C0C" w:rsidRDefault="00CC0975">
            <w:pPr>
              <w:jc w:val="both"/>
              <w:rPr>
                <w:rFonts w:ascii="Palatino Linotype" w:eastAsia="Palatino Linotype" w:hAnsi="Palatino Linotype" w:cs="Palatino Linotype"/>
                <w:sz w:val="22"/>
                <w:szCs w:val="22"/>
              </w:rPr>
            </w:pP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Y también en caso de que </w:t>
            </w:r>
            <w:r w:rsidRPr="00A44C0C">
              <w:rPr>
                <w:rFonts w:ascii="Palatino Linotype" w:eastAsia="Palatino Linotype" w:hAnsi="Palatino Linotype" w:cs="Palatino Linotype"/>
                <w:b/>
                <w:sz w:val="22"/>
                <w:szCs w:val="22"/>
              </w:rPr>
              <w:t>LA PARTE RECURRENTE</w:t>
            </w:r>
            <w:r w:rsidRPr="00A44C0C">
              <w:rPr>
                <w:rFonts w:ascii="Palatino Linotype" w:eastAsia="Palatino Linotype" w:hAnsi="Palatino Linotype" w:cs="Palatino Linotype"/>
                <w:sz w:val="22"/>
                <w:szCs w:val="22"/>
              </w:rPr>
              <w:t xml:space="preserve"> proporcionara dispositivo electrónico o correo electrónico, no habría ningún costo para ella.</w:t>
            </w:r>
          </w:p>
          <w:p w:rsidR="00CC0975" w:rsidRPr="00A44C0C" w:rsidRDefault="00CC0975">
            <w:pPr>
              <w:jc w:val="both"/>
              <w:rPr>
                <w:rFonts w:ascii="Palatino Linotype" w:eastAsia="Palatino Linotype" w:hAnsi="Palatino Linotype" w:cs="Palatino Linotype"/>
                <w:sz w:val="22"/>
                <w:szCs w:val="22"/>
              </w:rPr>
            </w:pPr>
          </w:p>
          <w:p w:rsidR="00CC0975" w:rsidRPr="00A44C0C" w:rsidRDefault="008E3FD6">
            <w:pPr>
              <w:numPr>
                <w:ilvl w:val="0"/>
                <w:numId w:val="1"/>
              </w:numPr>
              <w:pBdr>
                <w:top w:val="nil"/>
                <w:left w:val="nil"/>
                <w:bottom w:val="nil"/>
                <w:right w:val="nil"/>
                <w:between w:val="nil"/>
              </w:pBdr>
              <w:jc w:val="both"/>
              <w:rPr>
                <w:rFonts w:ascii="Palatino Linotype" w:eastAsia="Palatino Linotype" w:hAnsi="Palatino Linotype" w:cs="Palatino Linotype"/>
                <w:b/>
                <w:i/>
                <w:sz w:val="22"/>
                <w:szCs w:val="22"/>
              </w:rPr>
            </w:pPr>
            <w:r w:rsidRPr="00A44C0C">
              <w:rPr>
                <w:rFonts w:ascii="Palatino Linotype" w:eastAsia="Palatino Linotype" w:hAnsi="Palatino Linotype" w:cs="Palatino Linotype"/>
                <w:b/>
                <w:i/>
                <w:sz w:val="22"/>
                <w:szCs w:val="22"/>
              </w:rPr>
              <w:t>752 Sesión Extraordinaria 22.pdf</w:t>
            </w: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lastRenderedPageBreak/>
              <w:t xml:space="preserve">Contiene la </w:t>
            </w:r>
            <w:proofErr w:type="spellStart"/>
            <w:r w:rsidRPr="00A44C0C">
              <w:rPr>
                <w:rFonts w:ascii="Palatino Linotype" w:eastAsia="Palatino Linotype" w:hAnsi="Palatino Linotype" w:cs="Palatino Linotype"/>
                <w:sz w:val="22"/>
                <w:szCs w:val="22"/>
              </w:rPr>
              <w:t>multireferida</w:t>
            </w:r>
            <w:proofErr w:type="spellEnd"/>
            <w:r w:rsidRPr="00A44C0C">
              <w:rPr>
                <w:rFonts w:ascii="Palatino Linotype" w:eastAsia="Palatino Linotype" w:hAnsi="Palatino Linotype" w:cs="Palatino Linotype"/>
                <w:sz w:val="22"/>
                <w:szCs w:val="22"/>
              </w:rPr>
              <w:t xml:space="preserve"> acta de la septingentésima quincuagésima segunda sesión extraordinaria del Comité de Transparencia del Ayuntamiento de Toluca, donde se sometió a consideración de las personas integrantes el cambio de modalidad, recayendo el Acuerdo </w:t>
            </w:r>
            <w:r w:rsidRPr="00A44C0C">
              <w:rPr>
                <w:rFonts w:ascii="Palatino Linotype" w:eastAsia="Palatino Linotype" w:hAnsi="Palatino Linotype" w:cs="Palatino Linotype"/>
                <w:i/>
                <w:sz w:val="22"/>
                <w:szCs w:val="22"/>
              </w:rPr>
              <w:t xml:space="preserve">AT/CT/02/2022, </w:t>
            </w:r>
            <w:r w:rsidRPr="00A44C0C">
              <w:rPr>
                <w:rFonts w:ascii="Palatino Linotype" w:eastAsia="Palatino Linotype" w:hAnsi="Palatino Linotype" w:cs="Palatino Linotype"/>
                <w:sz w:val="22"/>
                <w:szCs w:val="22"/>
              </w:rPr>
              <w:t>en el que en términos generales se hace referencia a los mismos términos enunciados en el documento anterior.</w:t>
            </w:r>
            <w:r w:rsidRPr="00A44C0C">
              <w:rPr>
                <w:rFonts w:ascii="Palatino Linotype" w:eastAsia="Palatino Linotype" w:hAnsi="Palatino Linotype" w:cs="Palatino Linotype"/>
                <w:i/>
                <w:sz w:val="22"/>
                <w:szCs w:val="22"/>
              </w:rPr>
              <w:t xml:space="preserve"> </w:t>
            </w:r>
          </w:p>
        </w:tc>
      </w:tr>
      <w:tr w:rsidR="00A44C0C" w:rsidRPr="00A44C0C">
        <w:tc>
          <w:tcPr>
            <w:tcW w:w="2830" w:type="dxa"/>
            <w:vAlign w:val="center"/>
          </w:tcPr>
          <w:p w:rsidR="00CC0975" w:rsidRPr="00A44C0C" w:rsidRDefault="008E3FD6">
            <w:pPr>
              <w:jc w:val="center"/>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lastRenderedPageBreak/>
              <w:t>02380/TOLUCA/IP/2022</w:t>
            </w:r>
          </w:p>
        </w:tc>
        <w:tc>
          <w:tcPr>
            <w:tcW w:w="5998" w:type="dxa"/>
            <w:vAlign w:val="center"/>
          </w:tcPr>
          <w:p w:rsidR="00CC0975" w:rsidRPr="00A44C0C" w:rsidRDefault="008E3FD6">
            <w:pPr>
              <w:numPr>
                <w:ilvl w:val="0"/>
                <w:numId w:val="1"/>
              </w:numPr>
              <w:pBdr>
                <w:top w:val="nil"/>
                <w:left w:val="nil"/>
                <w:bottom w:val="nil"/>
                <w:right w:val="nil"/>
                <w:between w:val="nil"/>
              </w:pBdr>
              <w:jc w:val="both"/>
              <w:rPr>
                <w:rFonts w:ascii="Palatino Linotype" w:eastAsia="Palatino Linotype" w:hAnsi="Palatino Linotype" w:cs="Palatino Linotype"/>
                <w:b/>
                <w:i/>
                <w:sz w:val="22"/>
                <w:szCs w:val="22"/>
              </w:rPr>
            </w:pPr>
            <w:r w:rsidRPr="00A44C0C">
              <w:rPr>
                <w:rFonts w:ascii="Palatino Linotype" w:eastAsia="Palatino Linotype" w:hAnsi="Palatino Linotype" w:cs="Palatino Linotype"/>
                <w:b/>
                <w:i/>
                <w:sz w:val="22"/>
                <w:szCs w:val="22"/>
              </w:rPr>
              <w:t>752 Sesión Extraordinaria 22.pdf</w:t>
            </w: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Contiene la ya estudiada acta de la septingentésima quincuagésima segunda sesión extraordinaria del Comité de Transparencia del Ayuntamiento de Toluca, donde mediante el Acuerdo </w:t>
            </w:r>
            <w:r w:rsidRPr="00A44C0C">
              <w:rPr>
                <w:rFonts w:ascii="Palatino Linotype" w:eastAsia="Palatino Linotype" w:hAnsi="Palatino Linotype" w:cs="Palatino Linotype"/>
                <w:i/>
                <w:sz w:val="22"/>
                <w:szCs w:val="22"/>
              </w:rPr>
              <w:t xml:space="preserve">AT/CT/03/2022 </w:t>
            </w:r>
            <w:r w:rsidRPr="00A44C0C">
              <w:rPr>
                <w:rFonts w:ascii="Palatino Linotype" w:eastAsia="Palatino Linotype" w:hAnsi="Palatino Linotype" w:cs="Palatino Linotype"/>
                <w:sz w:val="22"/>
                <w:szCs w:val="22"/>
              </w:rPr>
              <w:t xml:space="preserve">las personas servidoras públicas integrantes del mismo, aprobaron por unanimidad el cambio de modalidad a consulta directa la información que da respuesta a la solicitud </w:t>
            </w:r>
            <w:r w:rsidRPr="00A44C0C">
              <w:rPr>
                <w:rFonts w:ascii="Palatino Linotype" w:eastAsia="Palatino Linotype" w:hAnsi="Palatino Linotype" w:cs="Palatino Linotype"/>
                <w:b/>
                <w:sz w:val="22"/>
                <w:szCs w:val="22"/>
              </w:rPr>
              <w:t xml:space="preserve">02380/TOLUCA/IP/2022 </w:t>
            </w:r>
            <w:r w:rsidRPr="00A44C0C">
              <w:rPr>
                <w:rFonts w:ascii="Palatino Linotype" w:eastAsia="Palatino Linotype" w:hAnsi="Palatino Linotype" w:cs="Palatino Linotype"/>
                <w:sz w:val="22"/>
                <w:szCs w:val="22"/>
              </w:rPr>
              <w:t xml:space="preserve">por componerse de 18,616 GB. </w:t>
            </w:r>
          </w:p>
          <w:p w:rsidR="00CC0975" w:rsidRPr="00A44C0C" w:rsidRDefault="00CC0975">
            <w:pPr>
              <w:jc w:val="both"/>
              <w:rPr>
                <w:rFonts w:ascii="Palatino Linotype" w:eastAsia="Palatino Linotype" w:hAnsi="Palatino Linotype" w:cs="Palatino Linotype"/>
                <w:sz w:val="22"/>
                <w:szCs w:val="22"/>
              </w:rPr>
            </w:pP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Se señalaron además sesenta días hábiles para la consulta de la información, horarios, lugar y persona servidora pública que llevaría a cabo dicha diligencia. </w:t>
            </w:r>
          </w:p>
          <w:p w:rsidR="00CC0975" w:rsidRPr="00A44C0C" w:rsidRDefault="00CC0975">
            <w:pPr>
              <w:jc w:val="both"/>
              <w:rPr>
                <w:rFonts w:ascii="Palatino Linotype" w:eastAsia="Palatino Linotype" w:hAnsi="Palatino Linotype" w:cs="Palatino Linotype"/>
                <w:sz w:val="22"/>
                <w:szCs w:val="22"/>
              </w:rPr>
            </w:pP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También se abundó en que además de la consulta directa, podría obtener la información por medio de las modalidades que tienen costo: disco compacto, USB, copias simples o certificadas y se informó del procedimiento a seguir. </w:t>
            </w:r>
          </w:p>
          <w:p w:rsidR="00CC0975" w:rsidRPr="00A44C0C" w:rsidRDefault="00CC0975">
            <w:pPr>
              <w:jc w:val="both"/>
              <w:rPr>
                <w:rFonts w:ascii="Palatino Linotype" w:eastAsia="Palatino Linotype" w:hAnsi="Palatino Linotype" w:cs="Palatino Linotype"/>
                <w:sz w:val="22"/>
                <w:szCs w:val="22"/>
              </w:rPr>
            </w:pP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Y también en caso de que </w:t>
            </w:r>
            <w:r w:rsidRPr="00A44C0C">
              <w:rPr>
                <w:rFonts w:ascii="Palatino Linotype" w:eastAsia="Palatino Linotype" w:hAnsi="Palatino Linotype" w:cs="Palatino Linotype"/>
                <w:b/>
                <w:sz w:val="22"/>
                <w:szCs w:val="22"/>
              </w:rPr>
              <w:t>LA PARTE RECURRENTE</w:t>
            </w:r>
            <w:r w:rsidRPr="00A44C0C">
              <w:rPr>
                <w:rFonts w:ascii="Palatino Linotype" w:eastAsia="Palatino Linotype" w:hAnsi="Palatino Linotype" w:cs="Palatino Linotype"/>
                <w:sz w:val="22"/>
                <w:szCs w:val="22"/>
              </w:rPr>
              <w:t xml:space="preserve"> proporcionara dispositivo electrónico o correo electrónico, no habría ningún costo para ella.</w:t>
            </w:r>
          </w:p>
          <w:p w:rsidR="00CC0975" w:rsidRPr="00A44C0C" w:rsidRDefault="00CC0975">
            <w:pPr>
              <w:jc w:val="both"/>
              <w:rPr>
                <w:rFonts w:ascii="Palatino Linotype" w:eastAsia="Palatino Linotype" w:hAnsi="Palatino Linotype" w:cs="Palatino Linotype"/>
                <w:sz w:val="22"/>
                <w:szCs w:val="22"/>
              </w:rPr>
            </w:pPr>
          </w:p>
          <w:p w:rsidR="00CC0975" w:rsidRPr="00A44C0C" w:rsidRDefault="008E3FD6">
            <w:pPr>
              <w:numPr>
                <w:ilvl w:val="0"/>
                <w:numId w:val="1"/>
              </w:numPr>
              <w:pBdr>
                <w:top w:val="nil"/>
                <w:left w:val="nil"/>
                <w:bottom w:val="nil"/>
                <w:right w:val="nil"/>
                <w:between w:val="nil"/>
              </w:pBdr>
              <w:jc w:val="both"/>
              <w:rPr>
                <w:rFonts w:ascii="Palatino Linotype" w:eastAsia="Palatino Linotype" w:hAnsi="Palatino Linotype" w:cs="Palatino Linotype"/>
                <w:b/>
                <w:i/>
                <w:sz w:val="22"/>
                <w:szCs w:val="22"/>
              </w:rPr>
            </w:pPr>
            <w:r w:rsidRPr="00A44C0C">
              <w:rPr>
                <w:rFonts w:ascii="Palatino Linotype" w:eastAsia="Palatino Linotype" w:hAnsi="Palatino Linotype" w:cs="Palatino Linotype"/>
                <w:b/>
                <w:i/>
                <w:sz w:val="22"/>
                <w:szCs w:val="22"/>
              </w:rPr>
              <w:t>02380.pdf</w:t>
            </w:r>
          </w:p>
          <w:p w:rsidR="00CC0975" w:rsidRPr="00A44C0C" w:rsidRDefault="008E3FD6">
            <w:pPr>
              <w:jc w:val="both"/>
              <w:rPr>
                <w:rFonts w:ascii="Palatino Linotype" w:eastAsia="Palatino Linotype" w:hAnsi="Palatino Linotype" w:cs="Palatino Linotype"/>
                <w:sz w:val="22"/>
                <w:szCs w:val="22"/>
              </w:rPr>
            </w:pPr>
            <w:r w:rsidRPr="00A44C0C">
              <w:rPr>
                <w:rFonts w:ascii="Palatino Linotype" w:eastAsia="Palatino Linotype" w:hAnsi="Palatino Linotype" w:cs="Palatino Linotype"/>
                <w:sz w:val="22"/>
                <w:szCs w:val="22"/>
              </w:rPr>
              <w:t xml:space="preserve">Escrito signado por la Unidad de Transparencia donde se hace saber a </w:t>
            </w:r>
            <w:r w:rsidRPr="00A44C0C">
              <w:rPr>
                <w:rFonts w:ascii="Palatino Linotype" w:eastAsia="Palatino Linotype" w:hAnsi="Palatino Linotype" w:cs="Palatino Linotype"/>
                <w:b/>
                <w:sz w:val="22"/>
                <w:szCs w:val="22"/>
              </w:rPr>
              <w:t>LA PARTE RECURRENTE</w:t>
            </w:r>
            <w:r w:rsidRPr="00A44C0C">
              <w:rPr>
                <w:rFonts w:ascii="Palatino Linotype" w:eastAsia="Palatino Linotype" w:hAnsi="Palatino Linotype" w:cs="Palatino Linotype"/>
                <w:sz w:val="22"/>
                <w:szCs w:val="22"/>
              </w:rPr>
              <w:t xml:space="preserve"> el cambio de modalidad aprobado por el Comité de Transparencia en la sesión extraordinaria referida, también se vuelve a hacer de su conocimiento las formas en que además de la consulta in situ podría obtener la información; así como el plazo de </w:t>
            </w:r>
            <w:r w:rsidRPr="00A44C0C">
              <w:rPr>
                <w:rFonts w:ascii="Palatino Linotype" w:eastAsia="Palatino Linotype" w:hAnsi="Palatino Linotype" w:cs="Palatino Linotype"/>
                <w:sz w:val="22"/>
                <w:szCs w:val="22"/>
              </w:rPr>
              <w:lastRenderedPageBreak/>
              <w:t xml:space="preserve">sesenta días hábiles para su consulta, el lugar, horario y persona servidora pública que le asistiría. </w:t>
            </w:r>
          </w:p>
        </w:tc>
      </w:tr>
    </w:tbl>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b/>
          <w:sz w:val="22"/>
          <w:szCs w:val="22"/>
        </w:rPr>
      </w:pPr>
      <w:r w:rsidRPr="00A44C0C">
        <w:rPr>
          <w:rFonts w:ascii="Palatino Linotype" w:eastAsia="Palatino Linotype" w:hAnsi="Palatino Linotype" w:cs="Palatino Linotype"/>
          <w:b/>
          <w:sz w:val="22"/>
          <w:szCs w:val="22"/>
        </w:rPr>
        <w:t>4.</w:t>
      </w:r>
      <w:r w:rsidRPr="00A44C0C">
        <w:rPr>
          <w:rFonts w:ascii="Palatino Linotype" w:eastAsia="Palatino Linotype" w:hAnsi="Palatino Linotype" w:cs="Palatino Linotype"/>
          <w:b/>
        </w:rPr>
        <w:t xml:space="preserve"> Interposición de los recursos de revisión. </w:t>
      </w:r>
      <w:r w:rsidRPr="00A44C0C">
        <w:rPr>
          <w:rFonts w:ascii="Palatino Linotype" w:eastAsia="Palatino Linotype" w:hAnsi="Palatino Linotype" w:cs="Palatino Linotype"/>
        </w:rPr>
        <w:t xml:space="preserve">Inconforme con las respuestas del </w:t>
      </w:r>
      <w:r w:rsidRPr="00A44C0C">
        <w:rPr>
          <w:rFonts w:ascii="Palatino Linotype" w:eastAsia="Palatino Linotype" w:hAnsi="Palatino Linotype" w:cs="Palatino Linotype"/>
          <w:b/>
        </w:rPr>
        <w:t>SUJETO OBLIGADO</w:t>
      </w:r>
      <w:r w:rsidRPr="00A44C0C">
        <w:rPr>
          <w:rFonts w:ascii="Palatino Linotype" w:eastAsia="Palatino Linotype" w:hAnsi="Palatino Linotype" w:cs="Palatino Linotype"/>
        </w:rPr>
        <w:t xml:space="preserve">, los días </w:t>
      </w:r>
      <w:r w:rsidRPr="00A44C0C">
        <w:rPr>
          <w:rFonts w:ascii="Palatino Linotype" w:eastAsia="Palatino Linotype" w:hAnsi="Palatino Linotype" w:cs="Palatino Linotype"/>
          <w:b/>
        </w:rPr>
        <w:t>dieciséis y diecinueve de diciembre dos mil veintidós,</w:t>
      </w:r>
      <w:r w:rsidRPr="00A44C0C">
        <w:rPr>
          <w:rFonts w:ascii="Palatino Linotype" w:eastAsia="Palatino Linotype" w:hAnsi="Palatino Linotype" w:cs="Palatino Linotype"/>
        </w:rPr>
        <w:t xml:space="preserve">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interpuso los recursos de revisión a través de SAIMEX,</w:t>
      </w:r>
      <w:r w:rsidRPr="00A44C0C">
        <w:rPr>
          <w:rFonts w:ascii="Palatino Linotype" w:eastAsia="Palatino Linotype" w:hAnsi="Palatino Linotype" w:cs="Palatino Linotype"/>
          <w:b/>
        </w:rPr>
        <w:t xml:space="preserve"> </w:t>
      </w:r>
      <w:r w:rsidRPr="00A44C0C">
        <w:rPr>
          <w:rFonts w:ascii="Palatino Linotype" w:eastAsia="Palatino Linotype" w:hAnsi="Palatino Linotype" w:cs="Palatino Linotype"/>
        </w:rPr>
        <w:t xml:space="preserve">en donde se manifestó de la siguiente manera: </w:t>
      </w:r>
    </w:p>
    <w:p w:rsidR="00CC0975" w:rsidRPr="00A44C0C" w:rsidRDefault="00CC0975">
      <w:pPr>
        <w:spacing w:line="360" w:lineRule="auto"/>
        <w:jc w:val="both"/>
        <w:rPr>
          <w:rFonts w:ascii="Palatino Linotype" w:eastAsia="Palatino Linotype" w:hAnsi="Palatino Linotype" w:cs="Palatino Linotype"/>
        </w:rPr>
      </w:pPr>
    </w:p>
    <w:tbl>
      <w:tblPr>
        <w:tblStyle w:val="afb"/>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52"/>
        <w:gridCol w:w="3446"/>
      </w:tblGrid>
      <w:tr w:rsidR="00A44C0C" w:rsidRPr="00A44C0C">
        <w:tc>
          <w:tcPr>
            <w:tcW w:w="8828" w:type="dxa"/>
            <w:gridSpan w:val="3"/>
            <w:shd w:val="clear" w:color="auto" w:fill="BFBFBF"/>
            <w:vAlign w:val="center"/>
          </w:tcPr>
          <w:p w:rsidR="00CC0975" w:rsidRPr="00A44C0C" w:rsidRDefault="008E3FD6">
            <w:pPr>
              <w:jc w:val="center"/>
              <w:rPr>
                <w:rFonts w:ascii="Palatino Linotype" w:eastAsia="Palatino Linotype" w:hAnsi="Palatino Linotype" w:cs="Palatino Linotype"/>
                <w:b/>
                <w:sz w:val="20"/>
                <w:szCs w:val="20"/>
              </w:rPr>
            </w:pPr>
            <w:r w:rsidRPr="00A44C0C">
              <w:rPr>
                <w:rFonts w:ascii="Palatino Linotype" w:eastAsia="Palatino Linotype" w:hAnsi="Palatino Linotype" w:cs="Palatino Linotype"/>
                <w:b/>
                <w:sz w:val="20"/>
                <w:szCs w:val="20"/>
              </w:rPr>
              <w:t>DIECISÉIS DE DICIEMBRE DE DOS MIL VEINTIDÓS</w:t>
            </w:r>
          </w:p>
        </w:tc>
      </w:tr>
      <w:tr w:rsidR="00A44C0C" w:rsidRPr="00A44C0C">
        <w:tc>
          <w:tcPr>
            <w:tcW w:w="2830" w:type="dxa"/>
            <w:shd w:val="clear" w:color="auto" w:fill="D9D9D9"/>
            <w:vAlign w:val="center"/>
          </w:tcPr>
          <w:p w:rsidR="00CC0975" w:rsidRPr="00A44C0C" w:rsidRDefault="008E3FD6">
            <w:pPr>
              <w:jc w:val="both"/>
              <w:rPr>
                <w:rFonts w:ascii="Palatino Linotype" w:eastAsia="Palatino Linotype" w:hAnsi="Palatino Linotype" w:cs="Palatino Linotype"/>
                <w:b/>
                <w:sz w:val="20"/>
                <w:szCs w:val="20"/>
              </w:rPr>
            </w:pPr>
            <w:r w:rsidRPr="00A44C0C">
              <w:rPr>
                <w:rFonts w:ascii="Palatino Linotype" w:eastAsia="Palatino Linotype" w:hAnsi="Palatino Linotype" w:cs="Palatino Linotype"/>
                <w:b/>
                <w:sz w:val="20"/>
                <w:szCs w:val="20"/>
              </w:rPr>
              <w:t>RECURSOS DE REVISIÓN</w:t>
            </w:r>
          </w:p>
        </w:tc>
        <w:tc>
          <w:tcPr>
            <w:tcW w:w="2552" w:type="dxa"/>
            <w:shd w:val="clear" w:color="auto" w:fill="D9D9D9"/>
            <w:vAlign w:val="center"/>
          </w:tcPr>
          <w:p w:rsidR="00CC0975" w:rsidRPr="00A44C0C" w:rsidRDefault="008E3FD6">
            <w:pPr>
              <w:jc w:val="both"/>
              <w:rPr>
                <w:rFonts w:ascii="Palatino Linotype" w:eastAsia="Palatino Linotype" w:hAnsi="Palatino Linotype" w:cs="Palatino Linotype"/>
                <w:b/>
                <w:sz w:val="20"/>
                <w:szCs w:val="20"/>
              </w:rPr>
            </w:pPr>
            <w:r w:rsidRPr="00A44C0C">
              <w:rPr>
                <w:rFonts w:ascii="Palatino Linotype" w:eastAsia="Palatino Linotype" w:hAnsi="Palatino Linotype" w:cs="Palatino Linotype"/>
                <w:b/>
                <w:sz w:val="20"/>
                <w:szCs w:val="20"/>
              </w:rPr>
              <w:t>ACTOS IMPUGNADOS</w:t>
            </w:r>
          </w:p>
        </w:tc>
        <w:tc>
          <w:tcPr>
            <w:tcW w:w="3446" w:type="dxa"/>
            <w:shd w:val="clear" w:color="auto" w:fill="D9D9D9"/>
            <w:vAlign w:val="center"/>
          </w:tcPr>
          <w:p w:rsidR="00CC0975" w:rsidRPr="00A44C0C" w:rsidRDefault="008E3FD6">
            <w:pPr>
              <w:jc w:val="both"/>
              <w:rPr>
                <w:rFonts w:ascii="Palatino Linotype" w:eastAsia="Palatino Linotype" w:hAnsi="Palatino Linotype" w:cs="Palatino Linotype"/>
                <w:b/>
                <w:sz w:val="20"/>
                <w:szCs w:val="20"/>
              </w:rPr>
            </w:pPr>
            <w:r w:rsidRPr="00A44C0C">
              <w:rPr>
                <w:rFonts w:ascii="Palatino Linotype" w:eastAsia="Palatino Linotype" w:hAnsi="Palatino Linotype" w:cs="Palatino Linotype"/>
                <w:b/>
                <w:sz w:val="20"/>
                <w:szCs w:val="20"/>
              </w:rPr>
              <w:t>RAZONES O MOTIVOS DE INCONFORMIDAD</w:t>
            </w:r>
          </w:p>
        </w:tc>
      </w:tr>
      <w:tr w:rsidR="00A44C0C" w:rsidRPr="00A44C0C">
        <w:tc>
          <w:tcPr>
            <w:tcW w:w="2830" w:type="dxa"/>
            <w:vAlign w:val="center"/>
          </w:tcPr>
          <w:p w:rsidR="00CC0975" w:rsidRPr="00A44C0C" w:rsidRDefault="008E3FD6">
            <w:pPr>
              <w:jc w:val="both"/>
              <w:rPr>
                <w:rFonts w:ascii="Palatino Linotype" w:eastAsia="Palatino Linotype" w:hAnsi="Palatino Linotype" w:cs="Palatino Linotype"/>
                <w:sz w:val="20"/>
                <w:szCs w:val="20"/>
              </w:rPr>
            </w:pPr>
            <w:r w:rsidRPr="00A44C0C">
              <w:rPr>
                <w:rFonts w:ascii="Palatino Linotype" w:eastAsia="Palatino Linotype" w:hAnsi="Palatino Linotype" w:cs="Palatino Linotype"/>
                <w:b/>
                <w:sz w:val="20"/>
                <w:szCs w:val="20"/>
              </w:rPr>
              <w:t>17399/INFOEM/IP/RR/2022</w:t>
            </w:r>
          </w:p>
        </w:tc>
        <w:tc>
          <w:tcPr>
            <w:tcW w:w="2552" w:type="dxa"/>
            <w:vAlign w:val="center"/>
          </w:tcPr>
          <w:p w:rsidR="00CC0975" w:rsidRPr="00A44C0C" w:rsidRDefault="00CC0975">
            <w:pPr>
              <w:jc w:val="center"/>
              <w:rPr>
                <w:rFonts w:ascii="Palatino Linotype" w:eastAsia="Palatino Linotype" w:hAnsi="Palatino Linotype" w:cs="Palatino Linotype"/>
                <w:i/>
                <w:sz w:val="22"/>
                <w:szCs w:val="22"/>
              </w:rPr>
            </w:pPr>
          </w:p>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 xml:space="preserve">“La respuesta formulada por la Unidad de Transparencia” (Sic) </w:t>
            </w:r>
          </w:p>
          <w:p w:rsidR="00CC0975" w:rsidRPr="00A44C0C" w:rsidRDefault="00CC0975">
            <w:pPr>
              <w:jc w:val="center"/>
              <w:rPr>
                <w:rFonts w:ascii="Palatino Linotype" w:eastAsia="Palatino Linotype" w:hAnsi="Palatino Linotype" w:cs="Palatino Linotype"/>
                <w:i/>
                <w:sz w:val="22"/>
                <w:szCs w:val="22"/>
              </w:rPr>
            </w:pPr>
          </w:p>
        </w:tc>
        <w:tc>
          <w:tcPr>
            <w:tcW w:w="3446" w:type="dxa"/>
            <w:vAlign w:val="center"/>
          </w:tcPr>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 xml:space="preserve">“El cambio de modalidad” (Sic) </w:t>
            </w:r>
          </w:p>
        </w:tc>
      </w:tr>
      <w:tr w:rsidR="00A44C0C" w:rsidRPr="00A44C0C">
        <w:tc>
          <w:tcPr>
            <w:tcW w:w="2830" w:type="dxa"/>
            <w:vAlign w:val="center"/>
          </w:tcPr>
          <w:p w:rsidR="00CC0975" w:rsidRPr="00A44C0C" w:rsidRDefault="008E3FD6">
            <w:pPr>
              <w:jc w:val="both"/>
              <w:rPr>
                <w:rFonts w:ascii="Palatino Linotype" w:eastAsia="Palatino Linotype" w:hAnsi="Palatino Linotype" w:cs="Palatino Linotype"/>
                <w:sz w:val="20"/>
                <w:szCs w:val="20"/>
              </w:rPr>
            </w:pPr>
            <w:r w:rsidRPr="00A44C0C">
              <w:rPr>
                <w:rFonts w:ascii="Palatino Linotype" w:eastAsia="Palatino Linotype" w:hAnsi="Palatino Linotype" w:cs="Palatino Linotype"/>
                <w:b/>
                <w:sz w:val="20"/>
                <w:szCs w:val="20"/>
              </w:rPr>
              <w:t>17402/INFOEM/IP/RR/2022</w:t>
            </w:r>
          </w:p>
        </w:tc>
        <w:tc>
          <w:tcPr>
            <w:tcW w:w="2552" w:type="dxa"/>
            <w:vAlign w:val="center"/>
          </w:tcPr>
          <w:p w:rsidR="00CC0975" w:rsidRPr="00A44C0C" w:rsidRDefault="00CC0975">
            <w:pPr>
              <w:jc w:val="center"/>
              <w:rPr>
                <w:rFonts w:ascii="Palatino Linotype" w:eastAsia="Palatino Linotype" w:hAnsi="Palatino Linotype" w:cs="Palatino Linotype"/>
                <w:i/>
                <w:sz w:val="22"/>
                <w:szCs w:val="22"/>
              </w:rPr>
            </w:pPr>
          </w:p>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 xml:space="preserve">“La notificación de la respuesta.” (Sic) </w:t>
            </w:r>
          </w:p>
          <w:p w:rsidR="00CC0975" w:rsidRPr="00A44C0C" w:rsidRDefault="00CC0975">
            <w:pPr>
              <w:jc w:val="center"/>
              <w:rPr>
                <w:rFonts w:ascii="Palatino Linotype" w:eastAsia="Palatino Linotype" w:hAnsi="Palatino Linotype" w:cs="Palatino Linotype"/>
                <w:i/>
                <w:sz w:val="22"/>
                <w:szCs w:val="22"/>
              </w:rPr>
            </w:pPr>
          </w:p>
        </w:tc>
        <w:tc>
          <w:tcPr>
            <w:tcW w:w="3446" w:type="dxa"/>
            <w:vAlign w:val="center"/>
          </w:tcPr>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“El cambio de modalidad” (Sic)</w:t>
            </w:r>
          </w:p>
        </w:tc>
      </w:tr>
      <w:tr w:rsidR="00A44C0C" w:rsidRPr="00A44C0C">
        <w:tc>
          <w:tcPr>
            <w:tcW w:w="2830" w:type="dxa"/>
            <w:vAlign w:val="center"/>
          </w:tcPr>
          <w:p w:rsidR="00CC0975" w:rsidRPr="00A44C0C" w:rsidRDefault="008E3FD6">
            <w:pPr>
              <w:jc w:val="both"/>
              <w:rPr>
                <w:rFonts w:ascii="Palatino Linotype" w:eastAsia="Palatino Linotype" w:hAnsi="Palatino Linotype" w:cs="Palatino Linotype"/>
                <w:sz w:val="20"/>
                <w:szCs w:val="20"/>
              </w:rPr>
            </w:pPr>
            <w:r w:rsidRPr="00A44C0C">
              <w:rPr>
                <w:rFonts w:ascii="Palatino Linotype" w:eastAsia="Palatino Linotype" w:hAnsi="Palatino Linotype" w:cs="Palatino Linotype"/>
                <w:b/>
                <w:sz w:val="20"/>
                <w:szCs w:val="20"/>
              </w:rPr>
              <w:t>17403/INFOEM/IP/RR/2022</w:t>
            </w:r>
          </w:p>
        </w:tc>
        <w:tc>
          <w:tcPr>
            <w:tcW w:w="2552" w:type="dxa"/>
            <w:vAlign w:val="center"/>
          </w:tcPr>
          <w:p w:rsidR="00CC0975" w:rsidRPr="00A44C0C" w:rsidRDefault="00CC0975">
            <w:pPr>
              <w:jc w:val="center"/>
              <w:rPr>
                <w:rFonts w:ascii="Palatino Linotype" w:eastAsia="Palatino Linotype" w:hAnsi="Palatino Linotype" w:cs="Palatino Linotype"/>
                <w:i/>
                <w:sz w:val="22"/>
                <w:szCs w:val="22"/>
              </w:rPr>
            </w:pPr>
          </w:p>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“La respuesta entregada” (Sic)</w:t>
            </w:r>
          </w:p>
          <w:p w:rsidR="00CC0975" w:rsidRPr="00A44C0C" w:rsidRDefault="00CC0975">
            <w:pPr>
              <w:jc w:val="center"/>
              <w:rPr>
                <w:rFonts w:ascii="Palatino Linotype" w:eastAsia="Palatino Linotype" w:hAnsi="Palatino Linotype" w:cs="Palatino Linotype"/>
                <w:i/>
                <w:sz w:val="22"/>
                <w:szCs w:val="22"/>
              </w:rPr>
            </w:pPr>
          </w:p>
        </w:tc>
        <w:tc>
          <w:tcPr>
            <w:tcW w:w="3446" w:type="dxa"/>
            <w:vAlign w:val="center"/>
          </w:tcPr>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“El cambio de modalidad” (Sic)</w:t>
            </w:r>
          </w:p>
        </w:tc>
      </w:tr>
      <w:tr w:rsidR="00A44C0C" w:rsidRPr="00A44C0C">
        <w:tc>
          <w:tcPr>
            <w:tcW w:w="2830" w:type="dxa"/>
            <w:vAlign w:val="center"/>
          </w:tcPr>
          <w:p w:rsidR="00CC0975" w:rsidRPr="00A44C0C" w:rsidRDefault="008E3FD6">
            <w:pPr>
              <w:jc w:val="both"/>
              <w:rPr>
                <w:rFonts w:ascii="Palatino Linotype" w:eastAsia="Palatino Linotype" w:hAnsi="Palatino Linotype" w:cs="Palatino Linotype"/>
                <w:sz w:val="20"/>
                <w:szCs w:val="20"/>
              </w:rPr>
            </w:pPr>
            <w:r w:rsidRPr="00A44C0C">
              <w:rPr>
                <w:rFonts w:ascii="Palatino Linotype" w:eastAsia="Palatino Linotype" w:hAnsi="Palatino Linotype" w:cs="Palatino Linotype"/>
                <w:b/>
                <w:sz w:val="20"/>
                <w:szCs w:val="20"/>
              </w:rPr>
              <w:t xml:space="preserve">17404/INFOEM/IP/RR/2022 </w:t>
            </w:r>
          </w:p>
        </w:tc>
        <w:tc>
          <w:tcPr>
            <w:tcW w:w="2552" w:type="dxa"/>
            <w:vAlign w:val="center"/>
          </w:tcPr>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“La respuesta” (Sic)</w:t>
            </w:r>
          </w:p>
        </w:tc>
        <w:tc>
          <w:tcPr>
            <w:tcW w:w="3446" w:type="dxa"/>
            <w:vAlign w:val="center"/>
          </w:tcPr>
          <w:p w:rsidR="00CC0975" w:rsidRPr="00A44C0C" w:rsidRDefault="00CC0975">
            <w:pPr>
              <w:jc w:val="center"/>
              <w:rPr>
                <w:rFonts w:ascii="Palatino Linotype" w:eastAsia="Palatino Linotype" w:hAnsi="Palatino Linotype" w:cs="Palatino Linotype"/>
                <w:i/>
                <w:sz w:val="22"/>
                <w:szCs w:val="22"/>
              </w:rPr>
            </w:pPr>
          </w:p>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w:t>
            </w:r>
            <w:proofErr w:type="spellStart"/>
            <w:r w:rsidRPr="00A44C0C">
              <w:rPr>
                <w:rFonts w:ascii="Palatino Linotype" w:eastAsia="Palatino Linotype" w:hAnsi="Palatino Linotype" w:cs="Palatino Linotype"/>
                <w:i/>
                <w:sz w:val="22"/>
                <w:szCs w:val="22"/>
              </w:rPr>
              <w:t>Pedi</w:t>
            </w:r>
            <w:proofErr w:type="spellEnd"/>
            <w:r w:rsidRPr="00A44C0C">
              <w:rPr>
                <w:rFonts w:ascii="Palatino Linotype" w:eastAsia="Palatino Linotype" w:hAnsi="Palatino Linotype" w:cs="Palatino Linotype"/>
                <w:i/>
                <w:sz w:val="22"/>
                <w:szCs w:val="22"/>
              </w:rPr>
              <w:t xml:space="preserve"> los oficios que las </w:t>
            </w:r>
            <w:proofErr w:type="spellStart"/>
            <w:r w:rsidRPr="00A44C0C">
              <w:rPr>
                <w:rFonts w:ascii="Palatino Linotype" w:eastAsia="Palatino Linotype" w:hAnsi="Palatino Linotype" w:cs="Palatino Linotype"/>
                <w:i/>
                <w:sz w:val="22"/>
                <w:szCs w:val="22"/>
              </w:rPr>
              <w:t>areas</w:t>
            </w:r>
            <w:proofErr w:type="spellEnd"/>
            <w:r w:rsidRPr="00A44C0C">
              <w:rPr>
                <w:rFonts w:ascii="Palatino Linotype" w:eastAsia="Palatino Linotype" w:hAnsi="Palatino Linotype" w:cs="Palatino Linotype"/>
                <w:i/>
                <w:sz w:val="22"/>
                <w:szCs w:val="22"/>
              </w:rPr>
              <w:t xml:space="preserve"> recibieron de la Unidad de Transparencia, se me hace absurdo que tenga que ir a la Unidad de Transparencia a checar esos oficios.” (Sic)</w:t>
            </w:r>
          </w:p>
          <w:p w:rsidR="00CC0975" w:rsidRPr="00A44C0C" w:rsidRDefault="00CC0975">
            <w:pPr>
              <w:jc w:val="center"/>
              <w:rPr>
                <w:rFonts w:ascii="Palatino Linotype" w:eastAsia="Palatino Linotype" w:hAnsi="Palatino Linotype" w:cs="Palatino Linotype"/>
                <w:i/>
                <w:sz w:val="22"/>
                <w:szCs w:val="22"/>
              </w:rPr>
            </w:pPr>
          </w:p>
        </w:tc>
      </w:tr>
      <w:tr w:rsidR="00A44C0C" w:rsidRPr="00A44C0C">
        <w:tc>
          <w:tcPr>
            <w:tcW w:w="8828" w:type="dxa"/>
            <w:gridSpan w:val="3"/>
            <w:shd w:val="clear" w:color="auto" w:fill="D9D9D9"/>
            <w:vAlign w:val="center"/>
          </w:tcPr>
          <w:p w:rsidR="00CC0975" w:rsidRPr="00A44C0C" w:rsidRDefault="008E3FD6">
            <w:pPr>
              <w:jc w:val="center"/>
              <w:rPr>
                <w:rFonts w:ascii="Palatino Linotype" w:eastAsia="Palatino Linotype" w:hAnsi="Palatino Linotype" w:cs="Palatino Linotype"/>
                <w:b/>
                <w:sz w:val="20"/>
                <w:szCs w:val="20"/>
              </w:rPr>
            </w:pPr>
            <w:r w:rsidRPr="00A44C0C">
              <w:rPr>
                <w:rFonts w:ascii="Palatino Linotype" w:eastAsia="Palatino Linotype" w:hAnsi="Palatino Linotype" w:cs="Palatino Linotype"/>
                <w:b/>
                <w:sz w:val="20"/>
                <w:szCs w:val="20"/>
              </w:rPr>
              <w:t>DIECINUEVE DE DICIEMBRE DE DOS MIL VEINTIDÓS</w:t>
            </w:r>
          </w:p>
        </w:tc>
      </w:tr>
      <w:tr w:rsidR="00A44C0C" w:rsidRPr="00A44C0C">
        <w:tc>
          <w:tcPr>
            <w:tcW w:w="2830" w:type="dxa"/>
            <w:vAlign w:val="center"/>
          </w:tcPr>
          <w:p w:rsidR="00CC0975" w:rsidRPr="00A44C0C" w:rsidRDefault="008E3FD6">
            <w:pPr>
              <w:jc w:val="both"/>
              <w:rPr>
                <w:rFonts w:ascii="Palatino Linotype" w:eastAsia="Palatino Linotype" w:hAnsi="Palatino Linotype" w:cs="Palatino Linotype"/>
                <w:sz w:val="20"/>
                <w:szCs w:val="20"/>
              </w:rPr>
            </w:pPr>
            <w:r w:rsidRPr="00A44C0C">
              <w:rPr>
                <w:rFonts w:ascii="Palatino Linotype" w:eastAsia="Palatino Linotype" w:hAnsi="Palatino Linotype" w:cs="Palatino Linotype"/>
                <w:b/>
                <w:sz w:val="20"/>
                <w:szCs w:val="20"/>
              </w:rPr>
              <w:t>17479/INFOEM/IP/RR/2022</w:t>
            </w:r>
          </w:p>
        </w:tc>
        <w:tc>
          <w:tcPr>
            <w:tcW w:w="2552" w:type="dxa"/>
            <w:vAlign w:val="center"/>
          </w:tcPr>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“LA RESPUESTA” (Sic)</w:t>
            </w:r>
          </w:p>
        </w:tc>
        <w:tc>
          <w:tcPr>
            <w:tcW w:w="3446" w:type="dxa"/>
            <w:vAlign w:val="center"/>
          </w:tcPr>
          <w:p w:rsidR="00CC0975" w:rsidRPr="00A44C0C" w:rsidRDefault="00CC0975">
            <w:pPr>
              <w:jc w:val="center"/>
              <w:rPr>
                <w:rFonts w:ascii="Palatino Linotype" w:eastAsia="Palatino Linotype" w:hAnsi="Palatino Linotype" w:cs="Palatino Linotype"/>
                <w:i/>
                <w:sz w:val="22"/>
                <w:szCs w:val="22"/>
              </w:rPr>
            </w:pPr>
          </w:p>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lastRenderedPageBreak/>
              <w:t>“EL CAMBIO DE MODALIDAD NO SE JUSTIFICA” (Sic)</w:t>
            </w:r>
          </w:p>
          <w:p w:rsidR="00CC0975" w:rsidRPr="00A44C0C" w:rsidRDefault="00CC0975">
            <w:pPr>
              <w:jc w:val="center"/>
              <w:rPr>
                <w:rFonts w:ascii="Palatino Linotype" w:eastAsia="Palatino Linotype" w:hAnsi="Palatino Linotype" w:cs="Palatino Linotype"/>
                <w:i/>
                <w:sz w:val="22"/>
                <w:szCs w:val="22"/>
              </w:rPr>
            </w:pPr>
          </w:p>
        </w:tc>
      </w:tr>
    </w:tbl>
    <w:p w:rsidR="00CC0975" w:rsidRPr="00A44C0C" w:rsidRDefault="00CC0975">
      <w:pPr>
        <w:spacing w:line="360" w:lineRule="auto"/>
        <w:ind w:right="51"/>
        <w:jc w:val="both"/>
        <w:rPr>
          <w:rFonts w:ascii="Palatino Linotype" w:eastAsia="Palatino Linotype" w:hAnsi="Palatino Linotype" w:cs="Palatino Linotype"/>
          <w:b/>
        </w:rPr>
      </w:pPr>
    </w:p>
    <w:p w:rsidR="00CC0975" w:rsidRPr="00A44C0C" w:rsidRDefault="008E3FD6">
      <w:pPr>
        <w:spacing w:line="360" w:lineRule="auto"/>
        <w:ind w:right="51"/>
        <w:jc w:val="both"/>
        <w:rPr>
          <w:rFonts w:ascii="Palatino Linotype" w:eastAsia="Palatino Linotype" w:hAnsi="Palatino Linotype" w:cs="Palatino Linotype"/>
        </w:rPr>
      </w:pPr>
      <w:r w:rsidRPr="00A44C0C">
        <w:rPr>
          <w:rFonts w:ascii="Palatino Linotype" w:eastAsia="Palatino Linotype" w:hAnsi="Palatino Linotype" w:cs="Palatino Linotype"/>
          <w:b/>
        </w:rPr>
        <w:t xml:space="preserve">5. Turno. </w:t>
      </w:r>
      <w:r w:rsidRPr="00A44C0C">
        <w:rPr>
          <w:rFonts w:ascii="Palatino Linotype" w:eastAsia="Palatino Linotype" w:hAnsi="Palatino Linotype" w:cs="Palatino Linotype"/>
        </w:rPr>
        <w:t xml:space="preserve">De conformidad con el artículo 185 fracción I de la Ley de Transparencia de nuestro Estado, los recursos de revisión de números </w:t>
      </w:r>
      <w:r w:rsidRPr="00A44C0C">
        <w:rPr>
          <w:rFonts w:ascii="Palatino Linotype" w:eastAsia="Palatino Linotype" w:hAnsi="Palatino Linotype" w:cs="Palatino Linotype"/>
          <w:b/>
        </w:rPr>
        <w:t xml:space="preserve"> 17399/INFOEM/IP/RR/2022, 17404/INFOEM/IP/RR/2022 y 17479/INFOEM/IP/RR/2022 </w:t>
      </w:r>
      <w:r w:rsidRPr="00A44C0C">
        <w:rPr>
          <w:rFonts w:ascii="Palatino Linotype" w:eastAsia="Palatino Linotype" w:hAnsi="Palatino Linotype" w:cs="Palatino Linotype"/>
        </w:rPr>
        <w:t xml:space="preserve">fueron turnados a la </w:t>
      </w:r>
      <w:r w:rsidRPr="00A44C0C">
        <w:rPr>
          <w:rFonts w:ascii="Palatino Linotype" w:eastAsia="Palatino Linotype" w:hAnsi="Palatino Linotype" w:cs="Palatino Linotype"/>
          <w:b/>
        </w:rPr>
        <w:t xml:space="preserve">Comisionada Guadalupe Ramírez Peña; </w:t>
      </w:r>
      <w:r w:rsidRPr="00A44C0C">
        <w:rPr>
          <w:rFonts w:ascii="Palatino Linotype" w:eastAsia="Palatino Linotype" w:hAnsi="Palatino Linotype" w:cs="Palatino Linotype"/>
        </w:rPr>
        <w:t xml:space="preserve">el recurso de revisión </w:t>
      </w:r>
      <w:r w:rsidRPr="00A44C0C">
        <w:rPr>
          <w:rFonts w:ascii="Palatino Linotype" w:eastAsia="Palatino Linotype" w:hAnsi="Palatino Linotype" w:cs="Palatino Linotype"/>
          <w:b/>
        </w:rPr>
        <w:t xml:space="preserve">17402/INFOEM/IP/RR/2022 </w:t>
      </w:r>
      <w:r w:rsidRPr="00A44C0C">
        <w:rPr>
          <w:rFonts w:ascii="Palatino Linotype" w:eastAsia="Palatino Linotype" w:hAnsi="Palatino Linotype" w:cs="Palatino Linotype"/>
        </w:rPr>
        <w:t xml:space="preserve">fue turnado a la </w:t>
      </w:r>
      <w:r w:rsidRPr="00A44C0C">
        <w:rPr>
          <w:rFonts w:ascii="Palatino Linotype" w:eastAsia="Palatino Linotype" w:hAnsi="Palatino Linotype" w:cs="Palatino Linotype"/>
          <w:b/>
        </w:rPr>
        <w:t xml:space="preserve">Comisionada Sharon Cristina Morales Martínez; </w:t>
      </w:r>
      <w:r w:rsidRPr="00A44C0C">
        <w:rPr>
          <w:rFonts w:ascii="Palatino Linotype" w:eastAsia="Palatino Linotype" w:hAnsi="Palatino Linotype" w:cs="Palatino Linotype"/>
        </w:rPr>
        <w:t>mientras que</w:t>
      </w:r>
      <w:r w:rsidRPr="00A44C0C">
        <w:rPr>
          <w:rFonts w:ascii="Palatino Linotype" w:eastAsia="Palatino Linotype" w:hAnsi="Palatino Linotype" w:cs="Palatino Linotype"/>
          <w:b/>
        </w:rPr>
        <w:t xml:space="preserve"> </w:t>
      </w:r>
      <w:r w:rsidRPr="00A44C0C">
        <w:rPr>
          <w:rFonts w:ascii="Palatino Linotype" w:eastAsia="Palatino Linotype" w:hAnsi="Palatino Linotype" w:cs="Palatino Linotype"/>
        </w:rPr>
        <w:t xml:space="preserve">el recurso </w:t>
      </w:r>
      <w:r w:rsidRPr="00A44C0C">
        <w:rPr>
          <w:rFonts w:ascii="Palatino Linotype" w:eastAsia="Palatino Linotype" w:hAnsi="Palatino Linotype" w:cs="Palatino Linotype"/>
          <w:b/>
        </w:rPr>
        <w:t xml:space="preserve">17403/INFOEM/IP/RR/2022 </w:t>
      </w:r>
      <w:r w:rsidRPr="00A44C0C">
        <w:rPr>
          <w:rFonts w:ascii="Palatino Linotype" w:eastAsia="Palatino Linotype" w:hAnsi="Palatino Linotype" w:cs="Palatino Linotype"/>
        </w:rPr>
        <w:t xml:space="preserve">fue remitido a la </w:t>
      </w:r>
      <w:r w:rsidRPr="00A44C0C">
        <w:rPr>
          <w:rFonts w:ascii="Palatino Linotype" w:eastAsia="Palatino Linotype" w:hAnsi="Palatino Linotype" w:cs="Palatino Linotype"/>
          <w:b/>
        </w:rPr>
        <w:t>Comisionada María del Rosario Mejía Ayala;</w:t>
      </w:r>
      <w:r w:rsidRPr="00A44C0C">
        <w:rPr>
          <w:rFonts w:ascii="Palatino Linotype" w:eastAsia="Palatino Linotype" w:hAnsi="Palatino Linotype" w:cs="Palatino Linotype"/>
        </w:rPr>
        <w:t xml:space="preserve"> para presentar al Pleno los proyectos de resolución correspondientes a efecto de que analizaran sobre su admisión o su </w:t>
      </w:r>
      <w:proofErr w:type="spellStart"/>
      <w:r w:rsidRPr="00A44C0C">
        <w:rPr>
          <w:rFonts w:ascii="Palatino Linotype" w:eastAsia="Palatino Linotype" w:hAnsi="Palatino Linotype" w:cs="Palatino Linotype"/>
        </w:rPr>
        <w:t>desechamiento</w:t>
      </w:r>
      <w:proofErr w:type="spellEnd"/>
      <w:r w:rsidRPr="00A44C0C">
        <w:rPr>
          <w:rFonts w:ascii="Palatino Linotype" w:eastAsia="Palatino Linotype" w:hAnsi="Palatino Linotype" w:cs="Palatino Linotype"/>
        </w:rPr>
        <w:t>.</w:t>
      </w:r>
    </w:p>
    <w:p w:rsidR="00CC0975" w:rsidRPr="00A44C0C" w:rsidRDefault="00CC0975">
      <w:pPr>
        <w:spacing w:line="360" w:lineRule="auto"/>
        <w:ind w:right="51"/>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b/>
        </w:rPr>
      </w:pPr>
      <w:r w:rsidRPr="00A44C0C">
        <w:rPr>
          <w:rFonts w:ascii="Palatino Linotype" w:eastAsia="Palatino Linotype" w:hAnsi="Palatino Linotype" w:cs="Palatino Linotype"/>
          <w:b/>
        </w:rPr>
        <w:t>6. Admisión de los recursos de revisión.</w:t>
      </w:r>
      <w:r w:rsidRPr="00A44C0C">
        <w:rPr>
          <w:rFonts w:ascii="Palatino Linotype" w:eastAsia="Palatino Linotype" w:hAnsi="Palatino Linotype" w:cs="Palatino Linotype"/>
        </w:rPr>
        <w:t xml:space="preserve"> El </w:t>
      </w:r>
      <w:r w:rsidRPr="00A44C0C">
        <w:rPr>
          <w:rFonts w:ascii="Palatino Linotype" w:eastAsia="Palatino Linotype" w:hAnsi="Palatino Linotype" w:cs="Palatino Linotype"/>
          <w:b/>
        </w:rPr>
        <w:t xml:space="preserve">veinte </w:t>
      </w:r>
      <w:r w:rsidRPr="00A44C0C">
        <w:rPr>
          <w:rFonts w:ascii="Palatino Linotype" w:eastAsia="Palatino Linotype" w:hAnsi="Palatino Linotype" w:cs="Palatino Linotype"/>
        </w:rPr>
        <w:t>y</w:t>
      </w:r>
      <w:r w:rsidRPr="00A44C0C">
        <w:rPr>
          <w:rFonts w:ascii="Palatino Linotype" w:eastAsia="Palatino Linotype" w:hAnsi="Palatino Linotype" w:cs="Palatino Linotype"/>
          <w:b/>
        </w:rPr>
        <w:t xml:space="preserve"> veintiuno de diciembre de dos mil veintidós;</w:t>
      </w:r>
      <w:r w:rsidRPr="00A44C0C">
        <w:rPr>
          <w:rFonts w:ascii="Palatino Linotype" w:eastAsia="Palatino Linotype" w:hAnsi="Palatino Linotype" w:cs="Palatino Linotype"/>
        </w:rPr>
        <w:t xml:space="preserve"> y </w:t>
      </w:r>
      <w:r w:rsidRPr="00A44C0C">
        <w:rPr>
          <w:rFonts w:ascii="Palatino Linotype" w:eastAsia="Palatino Linotype" w:hAnsi="Palatino Linotype" w:cs="Palatino Linotype"/>
          <w:b/>
        </w:rPr>
        <w:t xml:space="preserve">nueve </w:t>
      </w:r>
      <w:r w:rsidRPr="00A44C0C">
        <w:rPr>
          <w:rFonts w:ascii="Palatino Linotype" w:eastAsia="Palatino Linotype" w:hAnsi="Palatino Linotype" w:cs="Palatino Linotype"/>
        </w:rPr>
        <w:t>y</w:t>
      </w:r>
      <w:r w:rsidRPr="00A44C0C">
        <w:rPr>
          <w:rFonts w:ascii="Palatino Linotype" w:eastAsia="Palatino Linotype" w:hAnsi="Palatino Linotype" w:cs="Palatino Linotype"/>
          <w:b/>
        </w:rPr>
        <w:t xml:space="preserve"> diez de enero de dos mil veintitrés, e</w:t>
      </w:r>
      <w:r w:rsidRPr="00A44C0C">
        <w:rPr>
          <w:rFonts w:ascii="Palatino Linotype" w:eastAsia="Palatino Linotype" w:hAnsi="Palatino Linotype" w:cs="Palatino Linotype"/>
        </w:rPr>
        <w:t xml:space="preserve">ste Instituto de Transparencia, con fundamento en el artículo 185 fracción II, admitió a trámite los recursos de revisión que ahora se resuelven, dando un plazo máximo de siete días hábiles para que las partes manifestaran lo que a su derecho resultaran conveniente, ofrecieran pruebas, formularan alegatos y </w:t>
      </w:r>
      <w:r w:rsidRPr="00A44C0C">
        <w:rPr>
          <w:rFonts w:ascii="Palatino Linotype" w:eastAsia="Palatino Linotype" w:hAnsi="Palatino Linotype" w:cs="Palatino Linotype"/>
          <w:b/>
        </w:rPr>
        <w:t xml:space="preserve">EL SUJETO OBLIGADO </w:t>
      </w:r>
      <w:r w:rsidRPr="00A44C0C">
        <w:rPr>
          <w:rFonts w:ascii="Palatino Linotype" w:eastAsia="Palatino Linotype" w:hAnsi="Palatino Linotype" w:cs="Palatino Linotype"/>
        </w:rPr>
        <w:t>presentara su Informe Justificado.</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b/>
        </w:rPr>
      </w:pPr>
      <w:bookmarkStart w:id="2" w:name="_heading=h.2s8eyo1" w:colFirst="0" w:colLast="0"/>
      <w:bookmarkEnd w:id="2"/>
      <w:r w:rsidRPr="00A44C0C">
        <w:rPr>
          <w:rFonts w:ascii="Palatino Linotype" w:eastAsia="Palatino Linotype" w:hAnsi="Palatino Linotype" w:cs="Palatino Linotype"/>
          <w:b/>
        </w:rPr>
        <w:t xml:space="preserve">7. Acumulación. </w:t>
      </w:r>
      <w:r w:rsidRPr="00A44C0C">
        <w:rPr>
          <w:rFonts w:ascii="Palatino Linotype" w:eastAsia="Palatino Linotype" w:hAnsi="Palatino Linotype" w:cs="Palatino Linotype"/>
        </w:rPr>
        <w:t xml:space="preserve">El Pleno del </w:t>
      </w:r>
      <w:proofErr w:type="spellStart"/>
      <w:r w:rsidRPr="00A44C0C">
        <w:rPr>
          <w:rFonts w:ascii="Palatino Linotype" w:eastAsia="Palatino Linotype" w:hAnsi="Palatino Linotype" w:cs="Palatino Linotype"/>
        </w:rPr>
        <w:t>Infoem</w:t>
      </w:r>
      <w:proofErr w:type="spellEnd"/>
      <w:r w:rsidRPr="00A44C0C">
        <w:rPr>
          <w:rFonts w:ascii="Palatino Linotype" w:eastAsia="Palatino Linotype" w:hAnsi="Palatino Linotype" w:cs="Palatino Linotype"/>
        </w:rPr>
        <w:t xml:space="preserve">, en la </w:t>
      </w:r>
      <w:r w:rsidRPr="00A44C0C">
        <w:rPr>
          <w:rFonts w:ascii="Palatino Linotype" w:eastAsia="Palatino Linotype" w:hAnsi="Palatino Linotype" w:cs="Palatino Linotype"/>
          <w:b/>
        </w:rPr>
        <w:t>Segunda Sesión Ordinaria</w:t>
      </w:r>
      <w:r w:rsidRPr="00A44C0C">
        <w:rPr>
          <w:rFonts w:ascii="Palatino Linotype" w:eastAsia="Palatino Linotype" w:hAnsi="Palatino Linotype" w:cs="Palatino Linotype"/>
        </w:rPr>
        <w:t xml:space="preserve"> celebrada el </w:t>
      </w:r>
      <w:r w:rsidRPr="00A44C0C">
        <w:rPr>
          <w:rFonts w:ascii="Palatino Linotype" w:eastAsia="Palatino Linotype" w:hAnsi="Palatino Linotype" w:cs="Palatino Linotype"/>
          <w:b/>
        </w:rPr>
        <w:t>dieciocho de enero de dos mil veintitrés</w:t>
      </w:r>
      <w:r w:rsidRPr="00A44C0C">
        <w:rPr>
          <w:rFonts w:ascii="Palatino Linotype" w:eastAsia="Palatino Linotype" w:hAnsi="Palatino Linotype" w:cs="Palatino Linotype"/>
        </w:rPr>
        <w:t xml:space="preserve">, al advertir la conexidad de la causa y con la finalidad de evitar que se dicten resoluciones contrarias, de conformidad con los </w:t>
      </w:r>
      <w:r w:rsidRPr="00A44C0C">
        <w:rPr>
          <w:rFonts w:ascii="Palatino Linotype" w:eastAsia="Palatino Linotype" w:hAnsi="Palatino Linotype" w:cs="Palatino Linotype"/>
        </w:rPr>
        <w:lastRenderedPageBreak/>
        <w:t xml:space="preserve">artículos 195 de la Ley de Transparencia y Acceso a la Información Pública del Estado de México y Municipios y el artículo 18 del Código de Procedimientos Administrativos del Estado de México, acordó la acumulación de los recursos antes señalados, resultando como Ponente la </w:t>
      </w:r>
      <w:r w:rsidRPr="00A44C0C">
        <w:rPr>
          <w:rFonts w:ascii="Palatino Linotype" w:eastAsia="Palatino Linotype" w:hAnsi="Palatino Linotype" w:cs="Palatino Linotype"/>
          <w:b/>
        </w:rPr>
        <w:t>Comisionada</w:t>
      </w:r>
      <w:r w:rsidRPr="00A44C0C">
        <w:rPr>
          <w:rFonts w:ascii="Palatino Linotype" w:eastAsia="Palatino Linotype" w:hAnsi="Palatino Linotype" w:cs="Palatino Linotype"/>
        </w:rPr>
        <w:t xml:space="preserve"> </w:t>
      </w:r>
      <w:r w:rsidRPr="00A44C0C">
        <w:rPr>
          <w:rFonts w:ascii="Palatino Linotype" w:eastAsia="Palatino Linotype" w:hAnsi="Palatino Linotype" w:cs="Palatino Linotype"/>
          <w:b/>
        </w:rPr>
        <w:t>Guadalupe Ramírez Peña</w:t>
      </w:r>
      <w:r w:rsidRPr="00A44C0C">
        <w:rPr>
          <w:rFonts w:ascii="Palatino Linotype" w:eastAsia="Palatino Linotype" w:hAnsi="Palatino Linotype" w:cs="Palatino Linotype"/>
        </w:rPr>
        <w:t xml:space="preserve">; acumulación que mediante acuerdo se hizo del conocimiento de la parte </w:t>
      </w:r>
      <w:r w:rsidRPr="00A44C0C">
        <w:rPr>
          <w:rFonts w:ascii="Palatino Linotype" w:eastAsia="Palatino Linotype" w:hAnsi="Palatino Linotype" w:cs="Palatino Linotype"/>
          <w:b/>
        </w:rPr>
        <w:t xml:space="preserve">Recurrente. </w:t>
      </w:r>
    </w:p>
    <w:p w:rsidR="00CC0975" w:rsidRPr="00A44C0C" w:rsidRDefault="00CC0975">
      <w:pPr>
        <w:spacing w:line="360" w:lineRule="auto"/>
        <w:ind w:right="49"/>
        <w:jc w:val="both"/>
        <w:rPr>
          <w:rFonts w:ascii="Palatino Linotype" w:eastAsia="Palatino Linotype" w:hAnsi="Palatino Linotype" w:cs="Palatino Linotype"/>
          <w:b/>
        </w:rPr>
      </w:pPr>
    </w:p>
    <w:p w:rsidR="00CC0975" w:rsidRPr="00A44C0C" w:rsidRDefault="008E3FD6">
      <w:pPr>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b/>
        </w:rPr>
        <w:t>8. Manifestaciones</w:t>
      </w:r>
      <w:r w:rsidRPr="00A44C0C">
        <w:rPr>
          <w:rFonts w:ascii="Palatino Linotype" w:eastAsia="Palatino Linotype" w:hAnsi="Palatino Linotype" w:cs="Palatino Linotype"/>
        </w:rPr>
        <w:t xml:space="preserve">. De las constancias que integran los expedientes electrónicos en que se actúa, se advierte que </w:t>
      </w:r>
      <w:r w:rsidRPr="00A44C0C">
        <w:rPr>
          <w:rFonts w:ascii="Palatino Linotype" w:eastAsia="Palatino Linotype" w:hAnsi="Palatino Linotype" w:cs="Palatino Linotype"/>
          <w:b/>
        </w:rPr>
        <w:t>EL SUJETO OBLIGADO</w:t>
      </w:r>
      <w:r w:rsidRPr="00A44C0C">
        <w:rPr>
          <w:rFonts w:ascii="Palatino Linotype" w:eastAsia="Palatino Linotype" w:hAnsi="Palatino Linotype" w:cs="Palatino Linotype"/>
        </w:rPr>
        <w:t xml:space="preserve"> presentó en la Etapa de Instrucción, las siguientes actuaciones: </w:t>
      </w:r>
    </w:p>
    <w:p w:rsidR="00CC0975" w:rsidRPr="00A44C0C" w:rsidRDefault="00CC0975">
      <w:pPr>
        <w:spacing w:line="360" w:lineRule="auto"/>
        <w:ind w:right="49"/>
        <w:jc w:val="both"/>
        <w:rPr>
          <w:rFonts w:ascii="Palatino Linotype" w:eastAsia="Palatino Linotype" w:hAnsi="Palatino Linotype" w:cs="Palatino Linotype"/>
        </w:rPr>
      </w:pPr>
    </w:p>
    <w:p w:rsidR="00CC0975" w:rsidRPr="00A44C0C" w:rsidRDefault="008E3FD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A44C0C">
        <w:rPr>
          <w:rFonts w:ascii="Palatino Linotype" w:eastAsia="Palatino Linotype" w:hAnsi="Palatino Linotype" w:cs="Palatino Linotype"/>
          <w:b/>
        </w:rPr>
        <w:t>17399/INFOEM/IP/RR/2022</w:t>
      </w:r>
    </w:p>
    <w:p w:rsidR="00CC0975" w:rsidRPr="00A44C0C" w:rsidRDefault="008E3FD6">
      <w:pPr>
        <w:spacing w:line="360" w:lineRule="auto"/>
        <w:ind w:right="49"/>
        <w:jc w:val="both"/>
        <w:rPr>
          <w:rFonts w:ascii="Palatino Linotype" w:eastAsia="Palatino Linotype" w:hAnsi="Palatino Linotype" w:cs="Palatino Linotype"/>
          <w:b/>
        </w:rPr>
      </w:pPr>
      <w:r w:rsidRPr="00A44C0C">
        <w:rPr>
          <w:rFonts w:ascii="Palatino Linotype" w:eastAsia="Palatino Linotype" w:hAnsi="Palatino Linotype" w:cs="Palatino Linotype"/>
        </w:rPr>
        <w:t xml:space="preserve">Oficio </w:t>
      </w:r>
      <w:r w:rsidRPr="00A44C0C">
        <w:rPr>
          <w:rFonts w:ascii="Palatino Linotype" w:eastAsia="Palatino Linotype" w:hAnsi="Palatino Linotype" w:cs="Palatino Linotype"/>
          <w:i/>
        </w:rPr>
        <w:t>2010A4000/UT/RR/0033/2023</w:t>
      </w:r>
      <w:r w:rsidRPr="00A44C0C">
        <w:rPr>
          <w:rFonts w:ascii="Palatino Linotype" w:eastAsia="Palatino Linotype" w:hAnsi="Palatino Linotype" w:cs="Palatino Linotype"/>
        </w:rPr>
        <w:t xml:space="preserve"> de fecha doce de enero de dos mil veintitrés, hecho del conocimiento de </w:t>
      </w:r>
      <w:r w:rsidRPr="00A44C0C">
        <w:rPr>
          <w:rFonts w:ascii="Palatino Linotype" w:eastAsia="Palatino Linotype" w:hAnsi="Palatino Linotype" w:cs="Palatino Linotype"/>
          <w:b/>
        </w:rPr>
        <w:t xml:space="preserve">LA PARTE RECURRENTE </w:t>
      </w:r>
      <w:r w:rsidRPr="00A44C0C">
        <w:rPr>
          <w:rFonts w:ascii="Palatino Linotype" w:eastAsia="Palatino Linotype" w:hAnsi="Palatino Linotype" w:cs="Palatino Linotype"/>
        </w:rPr>
        <w:t xml:space="preserve">el pasado diecinueve de junio de dos mil veintidós, emitido por la Unidad de Transparencia del Ayuntamiento de Toluca, donde se ratifica en todas y cada una de sus partes la respuesta a la solicitud </w:t>
      </w:r>
      <w:r w:rsidRPr="00A44C0C">
        <w:rPr>
          <w:rFonts w:ascii="Palatino Linotype" w:eastAsia="Palatino Linotype" w:hAnsi="Palatino Linotype" w:cs="Palatino Linotype"/>
          <w:b/>
        </w:rPr>
        <w:t xml:space="preserve">02361/TOLUCA/IP/2022. </w:t>
      </w:r>
    </w:p>
    <w:p w:rsidR="00CC0975" w:rsidRPr="00A44C0C" w:rsidRDefault="00CC0975">
      <w:pPr>
        <w:spacing w:line="360" w:lineRule="auto"/>
        <w:ind w:right="49"/>
        <w:jc w:val="both"/>
        <w:rPr>
          <w:rFonts w:ascii="Palatino Linotype" w:eastAsia="Palatino Linotype" w:hAnsi="Palatino Linotype" w:cs="Palatino Linotype"/>
          <w:b/>
        </w:rPr>
      </w:pPr>
    </w:p>
    <w:p w:rsidR="00CC0975" w:rsidRPr="00A44C0C" w:rsidRDefault="008E3FD6">
      <w:pPr>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rPr>
        <w:t>Sin embargo, resalta que</w:t>
      </w:r>
      <w:r w:rsidRPr="00A44C0C">
        <w:rPr>
          <w:rFonts w:ascii="Palatino Linotype" w:eastAsia="Palatino Linotype" w:hAnsi="Palatino Linotype" w:cs="Palatino Linotype"/>
          <w:b/>
        </w:rPr>
        <w:t xml:space="preserve"> EL SUJETO OBLIGADO </w:t>
      </w:r>
      <w:r w:rsidRPr="00A44C0C">
        <w:rPr>
          <w:rFonts w:ascii="Palatino Linotype" w:eastAsia="Palatino Linotype" w:hAnsi="Palatino Linotype" w:cs="Palatino Linotype"/>
        </w:rPr>
        <w:t xml:space="preserve">remitió el oficio </w:t>
      </w:r>
      <w:r w:rsidRPr="00A44C0C">
        <w:rPr>
          <w:rFonts w:ascii="Palatino Linotype" w:eastAsia="Palatino Linotype" w:hAnsi="Palatino Linotype" w:cs="Palatino Linotype"/>
          <w:i/>
        </w:rPr>
        <w:t>INFOEM/DGI/764/2022</w:t>
      </w:r>
      <w:r w:rsidRPr="00A44C0C">
        <w:rPr>
          <w:rFonts w:ascii="Palatino Linotype" w:eastAsia="Palatino Linotype" w:hAnsi="Palatino Linotype" w:cs="Palatino Linotype"/>
        </w:rPr>
        <w:t xml:space="preserve"> de fecha nueve de diciembre de dos mil veintidós, donde la Dirección General de Informática del </w:t>
      </w:r>
      <w:proofErr w:type="spellStart"/>
      <w:r w:rsidRPr="00A44C0C">
        <w:rPr>
          <w:rFonts w:ascii="Palatino Linotype" w:eastAsia="Palatino Linotype" w:hAnsi="Palatino Linotype" w:cs="Palatino Linotype"/>
        </w:rPr>
        <w:t>Infoem</w:t>
      </w:r>
      <w:proofErr w:type="spellEnd"/>
      <w:r w:rsidRPr="00A44C0C">
        <w:rPr>
          <w:rFonts w:ascii="Palatino Linotype" w:eastAsia="Palatino Linotype" w:hAnsi="Palatino Linotype" w:cs="Palatino Linotype"/>
        </w:rPr>
        <w:t xml:space="preserve"> data el registro de incidencias en la bitácora del mismo nombre, y hace constar que la Unidad de Transparencia refirió la imposibilidad de subir 5.08 GB al Sistema SAIMEX, pues sobrepasa sus capacidades técnicas. </w:t>
      </w:r>
    </w:p>
    <w:p w:rsidR="00CC0975" w:rsidRPr="00A44C0C" w:rsidRDefault="00CC0975">
      <w:pPr>
        <w:spacing w:line="360" w:lineRule="auto"/>
        <w:ind w:right="49"/>
        <w:jc w:val="both"/>
        <w:rPr>
          <w:rFonts w:ascii="Palatino Linotype" w:eastAsia="Palatino Linotype" w:hAnsi="Palatino Linotype" w:cs="Palatino Linotype"/>
          <w:b/>
        </w:rPr>
      </w:pPr>
    </w:p>
    <w:p w:rsidR="00CC0975" w:rsidRPr="00A44C0C" w:rsidRDefault="008E3FD6">
      <w:pPr>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rPr>
        <w:lastRenderedPageBreak/>
        <w:t>Por su cuenta,</w:t>
      </w:r>
      <w:r w:rsidRPr="00A44C0C">
        <w:rPr>
          <w:rFonts w:ascii="Palatino Linotype" w:eastAsia="Palatino Linotype" w:hAnsi="Palatino Linotype" w:cs="Palatino Linotype"/>
          <w:b/>
        </w:rPr>
        <w:t xml:space="preserve"> LA PARTE RECURRENTE </w:t>
      </w:r>
      <w:r w:rsidRPr="00A44C0C">
        <w:rPr>
          <w:rFonts w:ascii="Palatino Linotype" w:eastAsia="Palatino Linotype" w:hAnsi="Palatino Linotype" w:cs="Palatino Linotype"/>
        </w:rPr>
        <w:t xml:space="preserve">omitió hacer uso de su derecho. </w:t>
      </w:r>
    </w:p>
    <w:p w:rsidR="00CC0975" w:rsidRPr="00A44C0C" w:rsidRDefault="00CC0975">
      <w:pPr>
        <w:spacing w:line="360" w:lineRule="auto"/>
        <w:ind w:right="49"/>
        <w:jc w:val="both"/>
      </w:pPr>
    </w:p>
    <w:p w:rsidR="00CC0975" w:rsidRPr="00A44C0C" w:rsidRDefault="008E3FD6">
      <w:pPr>
        <w:spacing w:line="360" w:lineRule="auto"/>
        <w:ind w:right="49"/>
        <w:jc w:val="center"/>
        <w:rPr>
          <w:rFonts w:ascii="Palatino Linotype" w:eastAsia="Palatino Linotype" w:hAnsi="Palatino Linotype" w:cs="Palatino Linotype"/>
        </w:rPr>
      </w:pPr>
      <w:r w:rsidRPr="00A44C0C">
        <w:rPr>
          <w:i/>
          <w:noProof/>
        </w:rPr>
        <w:drawing>
          <wp:inline distT="0" distB="0" distL="0" distR="0">
            <wp:extent cx="3619673" cy="1137392"/>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17663" t="28480" r="17840" b="35487"/>
                    <a:stretch>
                      <a:fillRect/>
                    </a:stretch>
                  </pic:blipFill>
                  <pic:spPr>
                    <a:xfrm>
                      <a:off x="0" y="0"/>
                      <a:ext cx="3619673" cy="1137392"/>
                    </a:xfrm>
                    <a:prstGeom prst="rect">
                      <a:avLst/>
                    </a:prstGeom>
                    <a:ln/>
                  </pic:spPr>
                </pic:pic>
              </a:graphicData>
            </a:graphic>
          </wp:inline>
        </w:drawing>
      </w:r>
    </w:p>
    <w:p w:rsidR="00CC0975" w:rsidRPr="00A44C0C" w:rsidRDefault="00CC0975">
      <w:pPr>
        <w:spacing w:line="360" w:lineRule="auto"/>
        <w:ind w:right="49"/>
        <w:jc w:val="center"/>
        <w:rPr>
          <w:rFonts w:ascii="Palatino Linotype" w:eastAsia="Palatino Linotype" w:hAnsi="Palatino Linotype" w:cs="Palatino Linotype"/>
        </w:rPr>
      </w:pPr>
    </w:p>
    <w:p w:rsidR="00CC0975" w:rsidRPr="00A44C0C" w:rsidRDefault="008E3FD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A44C0C">
        <w:rPr>
          <w:rFonts w:ascii="Palatino Linotype" w:eastAsia="Palatino Linotype" w:hAnsi="Palatino Linotype" w:cs="Palatino Linotype"/>
          <w:b/>
        </w:rPr>
        <w:t>17479/INFOEM/IP/RR/2022</w:t>
      </w:r>
    </w:p>
    <w:p w:rsidR="00CC0975" w:rsidRPr="00A44C0C" w:rsidRDefault="008E3FD6">
      <w:pPr>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El dieciocho de enero de dos mil veintitrés, </w:t>
      </w:r>
      <w:r w:rsidRPr="00A44C0C">
        <w:rPr>
          <w:rFonts w:ascii="Palatino Linotype" w:eastAsia="Palatino Linotype" w:hAnsi="Palatino Linotype" w:cs="Palatino Linotype"/>
          <w:b/>
        </w:rPr>
        <w:t>EL SUJETO OBLIGADO</w:t>
      </w:r>
      <w:r w:rsidRPr="00A44C0C">
        <w:rPr>
          <w:rFonts w:ascii="Palatino Linotype" w:eastAsia="Palatino Linotype" w:hAnsi="Palatino Linotype" w:cs="Palatino Linotype"/>
        </w:rPr>
        <w:t xml:space="preserve"> remitió el oficio </w:t>
      </w:r>
      <w:r w:rsidRPr="00A44C0C">
        <w:rPr>
          <w:rFonts w:ascii="Palatino Linotype" w:eastAsia="Palatino Linotype" w:hAnsi="Palatino Linotype" w:cs="Palatino Linotype"/>
          <w:i/>
        </w:rPr>
        <w:t>2010A000/UT/RR/0054/2022</w:t>
      </w:r>
      <w:r w:rsidRPr="00A44C0C">
        <w:rPr>
          <w:rFonts w:ascii="Palatino Linotype" w:eastAsia="Palatino Linotype" w:hAnsi="Palatino Linotype" w:cs="Palatino Linotype"/>
        </w:rPr>
        <w:t xml:space="preserve"> de fecha trece de enero de dos mil veintitrés, firmado por la Unidad de Transparencia del Ayuntamiento de Toluca, y que fue hecho del conocimiento de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el diecinueve de junio de dos mil veintitrés. </w:t>
      </w:r>
    </w:p>
    <w:p w:rsidR="00CC0975" w:rsidRPr="00A44C0C" w:rsidRDefault="00CC0975">
      <w:pPr>
        <w:spacing w:line="360" w:lineRule="auto"/>
        <w:ind w:left="360" w:right="49"/>
        <w:jc w:val="both"/>
        <w:rPr>
          <w:rFonts w:ascii="Palatino Linotype" w:eastAsia="Palatino Linotype" w:hAnsi="Palatino Linotype" w:cs="Palatino Linotype"/>
        </w:rPr>
      </w:pPr>
    </w:p>
    <w:p w:rsidR="00CC0975" w:rsidRPr="00A44C0C" w:rsidRDefault="008E3FD6">
      <w:pPr>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En dicho oficio se ratificaron todos y cada uno de los puntos de la respuesta primigenia a la solicitud </w:t>
      </w:r>
      <w:r w:rsidRPr="00A44C0C">
        <w:rPr>
          <w:rFonts w:ascii="Palatino Linotype" w:eastAsia="Palatino Linotype" w:hAnsi="Palatino Linotype" w:cs="Palatino Linotype"/>
          <w:b/>
        </w:rPr>
        <w:t>024021/TOLUCA/IP/2022</w:t>
      </w:r>
      <w:r w:rsidRPr="00A44C0C">
        <w:rPr>
          <w:rFonts w:ascii="Palatino Linotype" w:eastAsia="Palatino Linotype" w:hAnsi="Palatino Linotype" w:cs="Palatino Linotype"/>
        </w:rPr>
        <w:t xml:space="preserve">, no obstante como aportación novedosa, la Unidad de Transparencia remite captura de pantalla del oficio </w:t>
      </w:r>
      <w:r w:rsidRPr="00A44C0C">
        <w:rPr>
          <w:rFonts w:ascii="Palatino Linotype" w:eastAsia="Palatino Linotype" w:hAnsi="Palatino Linotype" w:cs="Palatino Linotype"/>
          <w:i/>
        </w:rPr>
        <w:t>INFOEM/DGI/761/2022</w:t>
      </w:r>
      <w:r w:rsidRPr="00A44C0C">
        <w:rPr>
          <w:rFonts w:ascii="Palatino Linotype" w:eastAsia="Palatino Linotype" w:hAnsi="Palatino Linotype" w:cs="Palatino Linotype"/>
        </w:rPr>
        <w:t xml:space="preserve"> de fecha nueve de diciembre de dos mil veintidós, donde la Dirección General de Informática de este Instituto de Transparencia, se da por enterada y registra en su bitácora de incidencias la imposibilidad de subir al Sistema SAIMEX el peso de 6,387 GB, mismos que sobrepasan las capacidades técnicas del mismo. </w:t>
      </w:r>
    </w:p>
    <w:p w:rsidR="00CC0975" w:rsidRPr="00A44C0C" w:rsidRDefault="00CC0975">
      <w:pPr>
        <w:spacing w:line="360" w:lineRule="auto"/>
        <w:ind w:left="360" w:right="49"/>
        <w:jc w:val="both"/>
        <w:rPr>
          <w:rFonts w:ascii="Palatino Linotype" w:eastAsia="Palatino Linotype" w:hAnsi="Palatino Linotype" w:cs="Palatino Linotype"/>
        </w:rPr>
      </w:pPr>
    </w:p>
    <w:p w:rsidR="00CC0975" w:rsidRPr="00A44C0C" w:rsidRDefault="008E3FD6">
      <w:pPr>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Por su cuenta,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no realizó manifestación alguna. </w:t>
      </w:r>
    </w:p>
    <w:p w:rsidR="00CC0975" w:rsidRPr="00A44C0C" w:rsidRDefault="008E3FD6">
      <w:pPr>
        <w:spacing w:line="360" w:lineRule="auto"/>
        <w:ind w:left="360" w:right="49"/>
        <w:jc w:val="center"/>
        <w:rPr>
          <w:rFonts w:ascii="Palatino Linotype" w:eastAsia="Palatino Linotype" w:hAnsi="Palatino Linotype" w:cs="Palatino Linotype"/>
        </w:rPr>
      </w:pPr>
      <w:r w:rsidRPr="00A44C0C">
        <w:rPr>
          <w:noProof/>
        </w:rPr>
        <w:lastRenderedPageBreak/>
        <w:drawing>
          <wp:inline distT="0" distB="0" distL="0" distR="0">
            <wp:extent cx="3758649" cy="1199078"/>
            <wp:effectExtent l="0" t="0" r="0" b="0"/>
            <wp:docPr id="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16566" t="36271" r="16459" b="25743"/>
                    <a:stretch>
                      <a:fillRect/>
                    </a:stretch>
                  </pic:blipFill>
                  <pic:spPr>
                    <a:xfrm>
                      <a:off x="0" y="0"/>
                      <a:ext cx="3758649" cy="1199078"/>
                    </a:xfrm>
                    <a:prstGeom prst="rect">
                      <a:avLst/>
                    </a:prstGeom>
                    <a:ln/>
                  </pic:spPr>
                </pic:pic>
              </a:graphicData>
            </a:graphic>
          </wp:inline>
        </w:drawing>
      </w:r>
    </w:p>
    <w:p w:rsidR="00CC0975" w:rsidRPr="00A44C0C" w:rsidRDefault="00CC0975">
      <w:pPr>
        <w:spacing w:line="360" w:lineRule="auto"/>
        <w:ind w:left="360" w:right="49"/>
        <w:jc w:val="center"/>
        <w:rPr>
          <w:rFonts w:ascii="Palatino Linotype" w:eastAsia="Palatino Linotype" w:hAnsi="Palatino Linotype" w:cs="Palatino Linotype"/>
        </w:rPr>
      </w:pPr>
    </w:p>
    <w:p w:rsidR="00CC0975" w:rsidRPr="00A44C0C" w:rsidRDefault="008E3FD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A44C0C">
        <w:rPr>
          <w:rFonts w:ascii="Palatino Linotype" w:eastAsia="Palatino Linotype" w:hAnsi="Palatino Linotype" w:cs="Palatino Linotype"/>
          <w:b/>
        </w:rPr>
        <w:t xml:space="preserve">17402/INFOEM/IP/RR/2022 </w:t>
      </w:r>
    </w:p>
    <w:p w:rsidR="00CC0975" w:rsidRPr="00A44C0C" w:rsidRDefault="008E3FD6">
      <w:pPr>
        <w:spacing w:line="360" w:lineRule="auto"/>
        <w:ind w:right="49"/>
        <w:jc w:val="both"/>
        <w:rPr>
          <w:rFonts w:ascii="Palatino Linotype" w:eastAsia="Palatino Linotype" w:hAnsi="Palatino Linotype" w:cs="Palatino Linotype"/>
          <w:b/>
        </w:rPr>
      </w:pPr>
      <w:r w:rsidRPr="00A44C0C">
        <w:rPr>
          <w:rFonts w:ascii="Palatino Linotype" w:eastAsia="Palatino Linotype" w:hAnsi="Palatino Linotype" w:cs="Palatino Linotype"/>
        </w:rPr>
        <w:t xml:space="preserve">El dieciocho de enero de dos mil veintitrés, </w:t>
      </w:r>
      <w:r w:rsidRPr="00A44C0C">
        <w:rPr>
          <w:rFonts w:ascii="Palatino Linotype" w:eastAsia="Palatino Linotype" w:hAnsi="Palatino Linotype" w:cs="Palatino Linotype"/>
          <w:b/>
        </w:rPr>
        <w:t>EL SUJETO OBLIGADO</w:t>
      </w:r>
      <w:r w:rsidRPr="00A44C0C">
        <w:rPr>
          <w:rFonts w:ascii="Palatino Linotype" w:eastAsia="Palatino Linotype" w:hAnsi="Palatino Linotype" w:cs="Palatino Linotype"/>
        </w:rPr>
        <w:t xml:space="preserve"> en forma de Informe Justificado, remitió el oficio </w:t>
      </w:r>
      <w:r w:rsidRPr="00A44C0C">
        <w:rPr>
          <w:rFonts w:ascii="Palatino Linotype" w:eastAsia="Palatino Linotype" w:hAnsi="Palatino Linotype" w:cs="Palatino Linotype"/>
          <w:i/>
        </w:rPr>
        <w:t>2010A40000/UT/RR/0009/2023</w:t>
      </w:r>
      <w:r w:rsidRPr="00A44C0C">
        <w:rPr>
          <w:rFonts w:ascii="Palatino Linotype" w:eastAsia="Palatino Linotype" w:hAnsi="Palatino Linotype" w:cs="Palatino Linotype"/>
        </w:rPr>
        <w:t xml:space="preserve"> de fecha once de enero de dos mil veintitrés, en donde la Unidad de Transparencia ratificó en todas y cada una de sus partes la respuesta primigenia a la solicitud </w:t>
      </w:r>
      <w:r w:rsidRPr="00A44C0C">
        <w:rPr>
          <w:rFonts w:ascii="Palatino Linotype" w:eastAsia="Palatino Linotype" w:hAnsi="Palatino Linotype" w:cs="Palatino Linotype"/>
          <w:b/>
        </w:rPr>
        <w:t xml:space="preserve">02378/TOLUCA/IP/2022. </w:t>
      </w:r>
    </w:p>
    <w:p w:rsidR="00CC0975" w:rsidRPr="00A44C0C" w:rsidRDefault="00CC0975">
      <w:pPr>
        <w:spacing w:line="360" w:lineRule="auto"/>
        <w:ind w:right="49"/>
        <w:jc w:val="both"/>
        <w:rPr>
          <w:rFonts w:ascii="Palatino Linotype" w:eastAsia="Palatino Linotype" w:hAnsi="Palatino Linotype" w:cs="Palatino Linotype"/>
        </w:rPr>
      </w:pPr>
    </w:p>
    <w:p w:rsidR="00CC0975" w:rsidRPr="00A44C0C" w:rsidRDefault="008E3FD6">
      <w:pPr>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Aunado a lo dicho, se tiene como aportación novedosa que la Unidad de Transparencia remitió captura de pantalla del oficio </w:t>
      </w:r>
      <w:r w:rsidRPr="00A44C0C">
        <w:rPr>
          <w:rFonts w:ascii="Palatino Linotype" w:eastAsia="Palatino Linotype" w:hAnsi="Palatino Linotype" w:cs="Palatino Linotype"/>
          <w:i/>
        </w:rPr>
        <w:t>INFOEM/DGI/763/2022</w:t>
      </w:r>
      <w:r w:rsidRPr="00A44C0C">
        <w:rPr>
          <w:rFonts w:ascii="Palatino Linotype" w:eastAsia="Palatino Linotype" w:hAnsi="Palatino Linotype" w:cs="Palatino Linotype"/>
        </w:rPr>
        <w:t xml:space="preserve"> de fecha nueve de diciembre de dos mil veintidós, donde la Dirección General de Informática del Instituto de Transparencia del Estado, se da por enterada de la imposibilidad de remitir vía Sistema SAIMEX de 10,614 GB que conforman la respuesta, y al efecto, lo tiene por registrado en su bitácora de incidencias. </w:t>
      </w:r>
    </w:p>
    <w:p w:rsidR="00CC0975" w:rsidRPr="00A44C0C" w:rsidRDefault="00CC0975">
      <w:pPr>
        <w:spacing w:line="360" w:lineRule="auto"/>
        <w:ind w:right="49"/>
        <w:jc w:val="both"/>
        <w:rPr>
          <w:rFonts w:ascii="Palatino Linotype" w:eastAsia="Palatino Linotype" w:hAnsi="Palatino Linotype" w:cs="Palatino Linotype"/>
        </w:rPr>
      </w:pPr>
    </w:p>
    <w:p w:rsidR="00CC0975" w:rsidRPr="00A44C0C" w:rsidRDefault="008E3FD6">
      <w:pPr>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A su vez,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tampoco manifestó algo al respecto. </w:t>
      </w:r>
    </w:p>
    <w:p w:rsidR="00CC0975" w:rsidRPr="00A44C0C" w:rsidRDefault="008E3FD6">
      <w:pPr>
        <w:spacing w:line="360" w:lineRule="auto"/>
        <w:ind w:right="49"/>
        <w:jc w:val="center"/>
      </w:pPr>
      <w:r w:rsidRPr="00A44C0C">
        <w:rPr>
          <w:noProof/>
        </w:rPr>
        <w:drawing>
          <wp:inline distT="0" distB="0" distL="0" distR="0">
            <wp:extent cx="3658585" cy="1137543"/>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17115" t="34080" r="17693" b="29883"/>
                    <a:stretch>
                      <a:fillRect/>
                    </a:stretch>
                  </pic:blipFill>
                  <pic:spPr>
                    <a:xfrm>
                      <a:off x="0" y="0"/>
                      <a:ext cx="3658585" cy="1137543"/>
                    </a:xfrm>
                    <a:prstGeom prst="rect">
                      <a:avLst/>
                    </a:prstGeom>
                    <a:ln/>
                  </pic:spPr>
                </pic:pic>
              </a:graphicData>
            </a:graphic>
          </wp:inline>
        </w:drawing>
      </w:r>
    </w:p>
    <w:p w:rsidR="00CC0975" w:rsidRPr="00A44C0C" w:rsidRDefault="00CC0975">
      <w:pPr>
        <w:spacing w:line="360" w:lineRule="auto"/>
        <w:ind w:right="49"/>
        <w:jc w:val="center"/>
      </w:pPr>
    </w:p>
    <w:p w:rsidR="00CC0975" w:rsidRPr="00A44C0C" w:rsidRDefault="008E3FD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A44C0C">
        <w:rPr>
          <w:rFonts w:ascii="Palatino Linotype" w:eastAsia="Palatino Linotype" w:hAnsi="Palatino Linotype" w:cs="Palatino Linotype"/>
          <w:b/>
        </w:rPr>
        <w:t xml:space="preserve">17403/INFOEM/IP/RR/2022 </w:t>
      </w:r>
    </w:p>
    <w:p w:rsidR="00CC0975" w:rsidRPr="00A44C0C" w:rsidRDefault="008E3FD6">
      <w:pPr>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El diecinueve de enero de dos mil veintitrés, </w:t>
      </w:r>
      <w:r w:rsidRPr="00A44C0C">
        <w:rPr>
          <w:rFonts w:ascii="Palatino Linotype" w:eastAsia="Palatino Linotype" w:hAnsi="Palatino Linotype" w:cs="Palatino Linotype"/>
          <w:b/>
        </w:rPr>
        <w:t>EL SUJETO OBLIGADO</w:t>
      </w:r>
      <w:r w:rsidRPr="00A44C0C">
        <w:rPr>
          <w:rFonts w:ascii="Palatino Linotype" w:eastAsia="Palatino Linotype" w:hAnsi="Palatino Linotype" w:cs="Palatino Linotype"/>
        </w:rPr>
        <w:t xml:space="preserve"> mediante la Unidad de Transparencia suscribió el oficio </w:t>
      </w:r>
      <w:r w:rsidRPr="00A44C0C">
        <w:rPr>
          <w:rFonts w:ascii="Palatino Linotype" w:eastAsia="Palatino Linotype" w:hAnsi="Palatino Linotype" w:cs="Palatino Linotype"/>
          <w:i/>
        </w:rPr>
        <w:t>2010A4000/UT/RR/0072/2022</w:t>
      </w:r>
      <w:r w:rsidRPr="00A44C0C">
        <w:rPr>
          <w:rFonts w:ascii="Palatino Linotype" w:eastAsia="Palatino Linotype" w:hAnsi="Palatino Linotype" w:cs="Palatino Linotype"/>
        </w:rPr>
        <w:t xml:space="preserve"> de fecha diecinueve de enero de dos mil veintitrés, donde en vía de Informe Justificado se ratificó la respuesta inicial a la solicitud </w:t>
      </w:r>
      <w:r w:rsidRPr="00A44C0C">
        <w:rPr>
          <w:rFonts w:ascii="Palatino Linotype" w:eastAsia="Palatino Linotype" w:hAnsi="Palatino Linotype" w:cs="Palatino Linotype"/>
          <w:b/>
        </w:rPr>
        <w:t xml:space="preserve">02379/TOLUCA/IP/2022, </w:t>
      </w:r>
      <w:r w:rsidRPr="00A44C0C">
        <w:rPr>
          <w:rFonts w:ascii="Palatino Linotype" w:eastAsia="Palatino Linotype" w:hAnsi="Palatino Linotype" w:cs="Palatino Linotype"/>
        </w:rPr>
        <w:t xml:space="preserve">dicho oficio se hizo de dominio de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el pasado diecinueve de junio de dos mil veintidós.</w:t>
      </w:r>
    </w:p>
    <w:p w:rsidR="00CC0975" w:rsidRPr="00A44C0C" w:rsidRDefault="00CC0975">
      <w:pPr>
        <w:spacing w:line="360" w:lineRule="auto"/>
        <w:ind w:right="49"/>
        <w:jc w:val="both"/>
        <w:rPr>
          <w:rFonts w:ascii="Palatino Linotype" w:eastAsia="Palatino Linotype" w:hAnsi="Palatino Linotype" w:cs="Palatino Linotype"/>
        </w:rPr>
      </w:pPr>
    </w:p>
    <w:p w:rsidR="00CC0975" w:rsidRPr="00A44C0C" w:rsidRDefault="008E3FD6">
      <w:pPr>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Como en los casos anteriores, la Unidad de Transparencia remitió una captura de pantalla del oficio </w:t>
      </w:r>
      <w:r w:rsidRPr="00A44C0C">
        <w:rPr>
          <w:rFonts w:ascii="Palatino Linotype" w:eastAsia="Palatino Linotype" w:hAnsi="Palatino Linotype" w:cs="Palatino Linotype"/>
          <w:i/>
        </w:rPr>
        <w:t>INFOEM/DGI/762/2022</w:t>
      </w:r>
      <w:r w:rsidRPr="00A44C0C">
        <w:rPr>
          <w:rFonts w:ascii="Palatino Linotype" w:eastAsia="Palatino Linotype" w:hAnsi="Palatino Linotype" w:cs="Palatino Linotype"/>
        </w:rPr>
        <w:t xml:space="preserve"> de fecha nueve de diciembre de dos mil veintidós, de la ya enunciada Dirección General de Informática del </w:t>
      </w:r>
      <w:proofErr w:type="spellStart"/>
      <w:r w:rsidRPr="00A44C0C">
        <w:rPr>
          <w:rFonts w:ascii="Palatino Linotype" w:eastAsia="Palatino Linotype" w:hAnsi="Palatino Linotype" w:cs="Palatino Linotype"/>
        </w:rPr>
        <w:t>Infoem</w:t>
      </w:r>
      <w:proofErr w:type="spellEnd"/>
      <w:r w:rsidRPr="00A44C0C">
        <w:rPr>
          <w:rFonts w:ascii="Palatino Linotype" w:eastAsia="Palatino Linotype" w:hAnsi="Palatino Linotype" w:cs="Palatino Linotype"/>
        </w:rPr>
        <w:t xml:space="preserve">, mediante el cual se tuvo por interpuesta la incidencia para remitir la información constante en 18,616 GB y la imposibilidad de remitirla mediante el Sistema SAIMEX. </w:t>
      </w:r>
    </w:p>
    <w:p w:rsidR="00CC0975" w:rsidRPr="00A44C0C" w:rsidRDefault="00CC0975">
      <w:pPr>
        <w:spacing w:line="360" w:lineRule="auto"/>
        <w:ind w:right="49"/>
        <w:jc w:val="both"/>
        <w:rPr>
          <w:rFonts w:ascii="Palatino Linotype" w:eastAsia="Palatino Linotype" w:hAnsi="Palatino Linotype" w:cs="Palatino Linotype"/>
        </w:rPr>
      </w:pPr>
    </w:p>
    <w:p w:rsidR="00CC0975" w:rsidRPr="00A44C0C" w:rsidRDefault="008E3FD6">
      <w:pPr>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De la misma manera,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decidió dejar de pronunciarse. </w:t>
      </w:r>
    </w:p>
    <w:p w:rsidR="00CC0975" w:rsidRPr="00A44C0C" w:rsidRDefault="00CC0975">
      <w:pPr>
        <w:spacing w:line="360" w:lineRule="auto"/>
        <w:ind w:right="49"/>
        <w:jc w:val="both"/>
        <w:rPr>
          <w:rFonts w:ascii="Palatino Linotype" w:eastAsia="Palatino Linotype" w:hAnsi="Palatino Linotype" w:cs="Palatino Linotype"/>
        </w:rPr>
      </w:pPr>
    </w:p>
    <w:p w:rsidR="00CC0975" w:rsidRPr="00A44C0C" w:rsidRDefault="008E3FD6">
      <w:pPr>
        <w:spacing w:line="360" w:lineRule="auto"/>
        <w:ind w:right="49"/>
        <w:jc w:val="center"/>
        <w:rPr>
          <w:rFonts w:ascii="Palatino Linotype" w:eastAsia="Palatino Linotype" w:hAnsi="Palatino Linotype" w:cs="Palatino Linotype"/>
        </w:rPr>
      </w:pPr>
      <w:r w:rsidRPr="00A44C0C">
        <w:rPr>
          <w:noProof/>
        </w:rPr>
        <w:drawing>
          <wp:inline distT="0" distB="0" distL="0" distR="0">
            <wp:extent cx="4026965" cy="1237293"/>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15061" t="18013" r="13181" b="42788"/>
                    <a:stretch>
                      <a:fillRect/>
                    </a:stretch>
                  </pic:blipFill>
                  <pic:spPr>
                    <a:xfrm>
                      <a:off x="0" y="0"/>
                      <a:ext cx="4026965" cy="1237293"/>
                    </a:xfrm>
                    <a:prstGeom prst="rect">
                      <a:avLst/>
                    </a:prstGeom>
                    <a:ln/>
                  </pic:spPr>
                </pic:pic>
              </a:graphicData>
            </a:graphic>
          </wp:inline>
        </w:drawing>
      </w:r>
    </w:p>
    <w:p w:rsidR="00CC0975" w:rsidRPr="00A44C0C" w:rsidRDefault="00CC0975">
      <w:pPr>
        <w:spacing w:line="360" w:lineRule="auto"/>
        <w:ind w:right="49"/>
        <w:jc w:val="center"/>
        <w:rPr>
          <w:rFonts w:ascii="Palatino Linotype" w:eastAsia="Palatino Linotype" w:hAnsi="Palatino Linotype" w:cs="Palatino Linotype"/>
        </w:rPr>
      </w:pPr>
    </w:p>
    <w:p w:rsidR="00CC0975" w:rsidRPr="00A44C0C" w:rsidRDefault="008E3FD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b/>
        </w:rPr>
        <w:t xml:space="preserve">17404/INFOEM/IP/RR/2022  </w:t>
      </w:r>
    </w:p>
    <w:p w:rsidR="00CC0975" w:rsidRPr="00A44C0C" w:rsidRDefault="008E3FD6">
      <w:pPr>
        <w:spacing w:line="360" w:lineRule="auto"/>
        <w:ind w:right="49"/>
        <w:jc w:val="both"/>
        <w:rPr>
          <w:rFonts w:ascii="Palatino Linotype" w:eastAsia="Palatino Linotype" w:hAnsi="Palatino Linotype" w:cs="Palatino Linotype"/>
          <w:b/>
        </w:rPr>
      </w:pPr>
      <w:r w:rsidRPr="00A44C0C">
        <w:rPr>
          <w:rFonts w:ascii="Palatino Linotype" w:eastAsia="Palatino Linotype" w:hAnsi="Palatino Linotype" w:cs="Palatino Linotype"/>
        </w:rPr>
        <w:lastRenderedPageBreak/>
        <w:t xml:space="preserve">Finalmente, damos analizamos que </w:t>
      </w:r>
      <w:r w:rsidRPr="00A44C0C">
        <w:rPr>
          <w:rFonts w:ascii="Palatino Linotype" w:eastAsia="Palatino Linotype" w:hAnsi="Palatino Linotype" w:cs="Palatino Linotype"/>
          <w:b/>
        </w:rPr>
        <w:t>EL SUJETO OBLIGADO</w:t>
      </w:r>
      <w:r w:rsidRPr="00A44C0C">
        <w:rPr>
          <w:rFonts w:ascii="Palatino Linotype" w:eastAsia="Palatino Linotype" w:hAnsi="Palatino Linotype" w:cs="Palatino Linotype"/>
        </w:rPr>
        <w:t xml:space="preserve"> de la misma forma, mediante la Unidad de Transparencia, emitió el oficio </w:t>
      </w:r>
      <w:r w:rsidRPr="00A44C0C">
        <w:rPr>
          <w:rFonts w:ascii="Palatino Linotype" w:eastAsia="Palatino Linotype" w:hAnsi="Palatino Linotype" w:cs="Palatino Linotype"/>
          <w:i/>
        </w:rPr>
        <w:t xml:space="preserve">2010A4000/UT/0018/2022 </w:t>
      </w:r>
      <w:r w:rsidRPr="00A44C0C">
        <w:rPr>
          <w:rFonts w:ascii="Palatino Linotype" w:eastAsia="Palatino Linotype" w:hAnsi="Palatino Linotype" w:cs="Palatino Linotype"/>
        </w:rPr>
        <w:t xml:space="preserve">de fecha doce de enero de dos mil veintitrés, que fue notificado a </w:t>
      </w:r>
      <w:r w:rsidRPr="00A44C0C">
        <w:rPr>
          <w:rFonts w:ascii="Palatino Linotype" w:eastAsia="Palatino Linotype" w:hAnsi="Palatino Linotype" w:cs="Palatino Linotype"/>
          <w:b/>
        </w:rPr>
        <w:t xml:space="preserve">LA PARTE RECURRENTE </w:t>
      </w:r>
      <w:r w:rsidRPr="00A44C0C">
        <w:rPr>
          <w:rFonts w:ascii="Palatino Linotype" w:eastAsia="Palatino Linotype" w:hAnsi="Palatino Linotype" w:cs="Palatino Linotype"/>
        </w:rPr>
        <w:t xml:space="preserve">el diecinueve de junio de dos mil veintitrés, y a través del cual la Unidad en comento ratificó en todas y cada una de sus partes la respuesta brindada a la solicitud </w:t>
      </w:r>
      <w:r w:rsidRPr="00A44C0C">
        <w:rPr>
          <w:rFonts w:ascii="Palatino Linotype" w:eastAsia="Palatino Linotype" w:hAnsi="Palatino Linotype" w:cs="Palatino Linotype"/>
          <w:b/>
        </w:rPr>
        <w:t xml:space="preserve">02380/TOLUCA/IP/2022. </w:t>
      </w:r>
    </w:p>
    <w:p w:rsidR="00CC0975" w:rsidRPr="00A44C0C" w:rsidRDefault="00CC0975">
      <w:pPr>
        <w:spacing w:line="360" w:lineRule="auto"/>
        <w:ind w:right="49"/>
        <w:jc w:val="both"/>
        <w:rPr>
          <w:rFonts w:ascii="Palatino Linotype" w:eastAsia="Palatino Linotype" w:hAnsi="Palatino Linotype" w:cs="Palatino Linotype"/>
          <w:b/>
        </w:rPr>
      </w:pPr>
    </w:p>
    <w:p w:rsidR="00CC0975" w:rsidRPr="00A44C0C" w:rsidRDefault="008E3FD6">
      <w:pPr>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Como aportación novedosa tenemos de la misma manera, que la Unidad de Transparencia remitió el oficio </w:t>
      </w:r>
      <w:r w:rsidRPr="00A44C0C">
        <w:rPr>
          <w:rFonts w:ascii="Palatino Linotype" w:eastAsia="Palatino Linotype" w:hAnsi="Palatino Linotype" w:cs="Palatino Linotype"/>
          <w:i/>
        </w:rPr>
        <w:t>INFOEM/DGI/771/2022</w:t>
      </w:r>
      <w:r w:rsidRPr="00A44C0C">
        <w:rPr>
          <w:rFonts w:ascii="Palatino Linotype" w:eastAsia="Palatino Linotype" w:hAnsi="Palatino Linotype" w:cs="Palatino Linotype"/>
        </w:rPr>
        <w:t xml:space="preserve"> de fecha catorce de diciembre de dos mil veintidós, donde la multicitada Dirección General de Informática de este Órgano Garante, se da por notificada de la imposibilidad del Ayuntamiento de Toluca para remitir vía SAIMEX la información concerniente a 18,616 GB, y en consecuencia, lo da por registrado en su bitácora de incidencias. </w:t>
      </w:r>
    </w:p>
    <w:p w:rsidR="00CC0975" w:rsidRPr="00A44C0C" w:rsidRDefault="00CC0975">
      <w:pPr>
        <w:spacing w:line="360" w:lineRule="auto"/>
        <w:ind w:right="49"/>
        <w:jc w:val="both"/>
        <w:rPr>
          <w:rFonts w:ascii="Palatino Linotype" w:eastAsia="Palatino Linotype" w:hAnsi="Palatino Linotype" w:cs="Palatino Linotype"/>
        </w:rPr>
      </w:pPr>
    </w:p>
    <w:p w:rsidR="00CC0975" w:rsidRPr="00A44C0C" w:rsidRDefault="008E3FD6">
      <w:pPr>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En este caso,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también omitió verter sus consideraciones. </w:t>
      </w:r>
    </w:p>
    <w:p w:rsidR="00CC0975" w:rsidRPr="00A44C0C" w:rsidRDefault="00CC0975">
      <w:pPr>
        <w:spacing w:line="360" w:lineRule="auto"/>
        <w:ind w:right="49"/>
        <w:jc w:val="both"/>
      </w:pPr>
    </w:p>
    <w:p w:rsidR="00CC0975" w:rsidRPr="00A44C0C" w:rsidRDefault="008E3FD6">
      <w:pPr>
        <w:spacing w:line="360" w:lineRule="auto"/>
        <w:ind w:right="49"/>
        <w:jc w:val="center"/>
        <w:rPr>
          <w:rFonts w:ascii="Palatino Linotype" w:eastAsia="Palatino Linotype" w:hAnsi="Palatino Linotype" w:cs="Palatino Linotype"/>
        </w:rPr>
      </w:pPr>
      <w:r w:rsidRPr="00A44C0C">
        <w:rPr>
          <w:noProof/>
        </w:rPr>
        <w:drawing>
          <wp:inline distT="0" distB="0" distL="0" distR="0">
            <wp:extent cx="4426689" cy="1406396"/>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9721" t="39923" r="11400" b="15520"/>
                    <a:stretch>
                      <a:fillRect/>
                    </a:stretch>
                  </pic:blipFill>
                  <pic:spPr>
                    <a:xfrm>
                      <a:off x="0" y="0"/>
                      <a:ext cx="4426689" cy="1406396"/>
                    </a:xfrm>
                    <a:prstGeom prst="rect">
                      <a:avLst/>
                    </a:prstGeom>
                    <a:ln/>
                  </pic:spPr>
                </pic:pic>
              </a:graphicData>
            </a:graphic>
          </wp:inline>
        </w:drawing>
      </w:r>
    </w:p>
    <w:p w:rsidR="00CC0975" w:rsidRPr="00A44C0C" w:rsidRDefault="00CC0975">
      <w:pPr>
        <w:spacing w:line="360" w:lineRule="auto"/>
        <w:ind w:right="49"/>
        <w:jc w:val="center"/>
        <w:rPr>
          <w:rFonts w:ascii="Palatino Linotype" w:eastAsia="Palatino Linotype" w:hAnsi="Palatino Linotype" w:cs="Palatino Linotype"/>
        </w:rPr>
      </w:pPr>
    </w:p>
    <w:p w:rsidR="00CC0975" w:rsidRPr="00A44C0C" w:rsidRDefault="008E3FD6">
      <w:pPr>
        <w:widowControl w:val="0"/>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b/>
        </w:rPr>
        <w:t>9. Ampliación del plazo para emitir resolución.</w:t>
      </w:r>
      <w:r w:rsidRPr="00A44C0C">
        <w:rPr>
          <w:rFonts w:ascii="Palatino Linotype" w:eastAsia="Palatino Linotype" w:hAnsi="Palatino Linotype" w:cs="Palatino Linotype"/>
        </w:rPr>
        <w:t xml:space="preserve"> El </w:t>
      </w:r>
      <w:r w:rsidRPr="00A44C0C">
        <w:rPr>
          <w:rFonts w:ascii="Palatino Linotype" w:eastAsia="Palatino Linotype" w:hAnsi="Palatino Linotype" w:cs="Palatino Linotype"/>
          <w:b/>
        </w:rPr>
        <w:t>veintinueve de mayo de dos mil veintitrés,</w:t>
      </w:r>
      <w:r w:rsidRPr="00A44C0C">
        <w:rPr>
          <w:rFonts w:ascii="Palatino Linotype" w:eastAsia="Palatino Linotype" w:hAnsi="Palatino Linotype" w:cs="Palatino Linotype"/>
        </w:rPr>
        <w:t xml:space="preserve"> fue cuando este Instituto de Transparencia, Acceso a la Información </w:t>
      </w:r>
      <w:r w:rsidRPr="00A44C0C">
        <w:rPr>
          <w:rFonts w:ascii="Palatino Linotype" w:eastAsia="Palatino Linotype" w:hAnsi="Palatino Linotype" w:cs="Palatino Linotype"/>
        </w:rPr>
        <w:lastRenderedPageBreak/>
        <w:t>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rsidR="00CC0975" w:rsidRPr="00A44C0C" w:rsidRDefault="00CC0975">
      <w:pPr>
        <w:widowControl w:val="0"/>
        <w:spacing w:line="360" w:lineRule="auto"/>
        <w:jc w:val="both"/>
        <w:rPr>
          <w:rFonts w:ascii="Palatino Linotype" w:eastAsia="Palatino Linotype" w:hAnsi="Palatino Linotype" w:cs="Palatino Linotype"/>
        </w:rPr>
      </w:pPr>
    </w:p>
    <w:p w:rsidR="00CC0975" w:rsidRPr="00A44C0C" w:rsidRDefault="008E3FD6">
      <w:pPr>
        <w:widowControl w:val="0"/>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rsidR="00CC0975" w:rsidRPr="00A44C0C" w:rsidRDefault="00CC0975">
      <w:pPr>
        <w:widowControl w:val="0"/>
        <w:spacing w:line="360" w:lineRule="auto"/>
        <w:jc w:val="both"/>
        <w:rPr>
          <w:rFonts w:ascii="Palatino Linotype" w:eastAsia="Palatino Linotype" w:hAnsi="Palatino Linotype" w:cs="Palatino Linotype"/>
        </w:rPr>
      </w:pPr>
    </w:p>
    <w:p w:rsidR="00CC0975" w:rsidRPr="00A44C0C" w:rsidRDefault="008E3FD6">
      <w:pPr>
        <w:widowControl w:val="0"/>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CC0975" w:rsidRPr="00A44C0C" w:rsidRDefault="00CC0975">
      <w:pPr>
        <w:widowControl w:val="0"/>
        <w:spacing w:line="360" w:lineRule="auto"/>
        <w:jc w:val="both"/>
        <w:rPr>
          <w:rFonts w:ascii="Palatino Linotype" w:eastAsia="Palatino Linotype" w:hAnsi="Palatino Linotype" w:cs="Palatino Linotype"/>
        </w:rPr>
      </w:pPr>
    </w:p>
    <w:p w:rsidR="00CC0975" w:rsidRPr="00A44C0C" w:rsidRDefault="008E3FD6">
      <w:pPr>
        <w:widowControl w:val="0"/>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C0975" w:rsidRPr="00A44C0C" w:rsidRDefault="00CC0975">
      <w:pPr>
        <w:widowControl w:val="0"/>
        <w:spacing w:line="360" w:lineRule="auto"/>
        <w:jc w:val="both"/>
        <w:rPr>
          <w:rFonts w:ascii="Palatino Linotype" w:eastAsia="Palatino Linotype" w:hAnsi="Palatino Linotype" w:cs="Palatino Linotype"/>
        </w:rPr>
      </w:pPr>
    </w:p>
    <w:p w:rsidR="00CC0975" w:rsidRPr="00A44C0C" w:rsidRDefault="008E3FD6">
      <w:pPr>
        <w:widowControl w:val="0"/>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CC0975" w:rsidRPr="00A44C0C" w:rsidRDefault="00CC0975">
      <w:pPr>
        <w:widowControl w:val="0"/>
        <w:spacing w:line="360" w:lineRule="auto"/>
        <w:jc w:val="both"/>
        <w:rPr>
          <w:rFonts w:ascii="Palatino Linotype" w:eastAsia="Palatino Linotype" w:hAnsi="Palatino Linotype" w:cs="Palatino Linotype"/>
        </w:rPr>
      </w:pPr>
    </w:p>
    <w:p w:rsidR="00CC0975" w:rsidRPr="00A44C0C" w:rsidRDefault="008E3FD6">
      <w:pPr>
        <w:widowControl w:val="0"/>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CC0975" w:rsidRPr="00A44C0C" w:rsidRDefault="00CC0975">
      <w:pPr>
        <w:widowControl w:val="0"/>
        <w:spacing w:line="360" w:lineRule="auto"/>
        <w:jc w:val="both"/>
        <w:rPr>
          <w:rFonts w:ascii="Palatino Linotype" w:eastAsia="Palatino Linotype" w:hAnsi="Palatino Linotype" w:cs="Palatino Linotype"/>
        </w:rPr>
      </w:pPr>
    </w:p>
    <w:p w:rsidR="00CC0975" w:rsidRPr="00A44C0C" w:rsidRDefault="008E3FD6">
      <w:pPr>
        <w:widowControl w:val="0"/>
        <w:numPr>
          <w:ilvl w:val="0"/>
          <w:numId w:val="5"/>
        </w:num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b/>
        </w:rPr>
        <w:t xml:space="preserve">Complejidad del Asunto: </w:t>
      </w:r>
      <w:r w:rsidRPr="00A44C0C">
        <w:rPr>
          <w:rFonts w:ascii="Palatino Linotype" w:eastAsia="Palatino Linotype" w:hAnsi="Palatino Linotype" w:cs="Palatino Linotype"/>
        </w:rPr>
        <w:t xml:space="preserve">La complejidad de la prueba, la pluralidad de sujetos procesales, el tiempo transcurrido, las características y contexto del recurso. </w:t>
      </w:r>
    </w:p>
    <w:p w:rsidR="00CC0975" w:rsidRPr="00A44C0C" w:rsidRDefault="008E3FD6">
      <w:pPr>
        <w:widowControl w:val="0"/>
        <w:numPr>
          <w:ilvl w:val="0"/>
          <w:numId w:val="5"/>
        </w:num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b/>
        </w:rPr>
        <w:t>Actividad Procesal del interesado:</w:t>
      </w:r>
      <w:r w:rsidRPr="00A44C0C">
        <w:rPr>
          <w:rFonts w:ascii="Palatino Linotype" w:eastAsia="Palatino Linotype" w:hAnsi="Palatino Linotype" w:cs="Palatino Linotype"/>
        </w:rPr>
        <w:t xml:space="preserve"> Acciones u omisiones del interesado.</w:t>
      </w:r>
    </w:p>
    <w:p w:rsidR="00CC0975" w:rsidRPr="00A44C0C" w:rsidRDefault="008E3FD6">
      <w:pPr>
        <w:widowControl w:val="0"/>
        <w:numPr>
          <w:ilvl w:val="0"/>
          <w:numId w:val="5"/>
        </w:num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b/>
        </w:rPr>
        <w:t>Conducta de la Autoridad:</w:t>
      </w:r>
      <w:r w:rsidRPr="00A44C0C">
        <w:rPr>
          <w:rFonts w:ascii="Palatino Linotype" w:eastAsia="Palatino Linotype" w:hAnsi="Palatino Linotype" w:cs="Palatino Linotype"/>
        </w:rPr>
        <w:t xml:space="preserve"> Las Acciones u omisiones realizadas en el procedimiento. Así como si la autoridad actuó con la debida diligencia.</w:t>
      </w:r>
    </w:p>
    <w:p w:rsidR="00CC0975" w:rsidRPr="00A44C0C" w:rsidRDefault="008E3FD6">
      <w:pPr>
        <w:widowControl w:val="0"/>
        <w:numPr>
          <w:ilvl w:val="0"/>
          <w:numId w:val="5"/>
        </w:num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b/>
        </w:rPr>
        <w:t>La afectación generada en la situación jurídica de la persona involucrada en el proceso:</w:t>
      </w:r>
      <w:r w:rsidRPr="00A44C0C">
        <w:rPr>
          <w:rFonts w:ascii="Palatino Linotype" w:eastAsia="Palatino Linotype" w:hAnsi="Palatino Linotype" w:cs="Palatino Linotype"/>
        </w:rPr>
        <w:t xml:space="preserve"> Violación a sus derechos humanos.</w:t>
      </w:r>
    </w:p>
    <w:p w:rsidR="00CC0975" w:rsidRPr="00A44C0C" w:rsidRDefault="00CC0975">
      <w:pPr>
        <w:widowControl w:val="0"/>
        <w:spacing w:line="360" w:lineRule="auto"/>
        <w:jc w:val="both"/>
        <w:rPr>
          <w:rFonts w:ascii="Palatino Linotype" w:eastAsia="Palatino Linotype" w:hAnsi="Palatino Linotype" w:cs="Palatino Linotype"/>
        </w:rPr>
      </w:pPr>
    </w:p>
    <w:p w:rsidR="00CC0975" w:rsidRPr="00A44C0C" w:rsidRDefault="008E3FD6">
      <w:pPr>
        <w:widowControl w:val="0"/>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w:t>
      </w:r>
      <w:r w:rsidRPr="00A44C0C">
        <w:rPr>
          <w:rFonts w:ascii="Palatino Linotype" w:eastAsia="Palatino Linotype" w:hAnsi="Palatino Linotype" w:cs="Palatino Linotype"/>
        </w:rPr>
        <w:lastRenderedPageBreak/>
        <w:t>ocupa.</w:t>
      </w:r>
    </w:p>
    <w:p w:rsidR="00CC0975" w:rsidRPr="00A44C0C" w:rsidRDefault="00CC0975">
      <w:pPr>
        <w:widowControl w:val="0"/>
        <w:spacing w:line="360" w:lineRule="auto"/>
        <w:jc w:val="both"/>
        <w:rPr>
          <w:rFonts w:ascii="Palatino Linotype" w:eastAsia="Palatino Linotype" w:hAnsi="Palatino Linotype" w:cs="Palatino Linotype"/>
        </w:rPr>
      </w:pPr>
    </w:p>
    <w:p w:rsidR="00CC0975" w:rsidRPr="00A44C0C" w:rsidRDefault="008E3FD6">
      <w:pPr>
        <w:widowControl w:val="0"/>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Argumento que encuentra sustento en la jurisprudencia P</w:t>
      </w:r>
      <w:proofErr w:type="gramStart"/>
      <w:r w:rsidRPr="00A44C0C">
        <w:rPr>
          <w:rFonts w:ascii="Palatino Linotype" w:eastAsia="Palatino Linotype" w:hAnsi="Palatino Linotype" w:cs="Palatino Linotype"/>
        </w:rPr>
        <w:t>./</w:t>
      </w:r>
      <w:proofErr w:type="gramEnd"/>
      <w:r w:rsidRPr="00A44C0C">
        <w:rPr>
          <w:rFonts w:ascii="Palatino Linotype" w:eastAsia="Palatino Linotype" w:hAnsi="Palatino Linotype" w:cs="Palatino Linotype"/>
        </w:rPr>
        <w:t xml:space="preserve">J. 32/92 emitida por el Pleno de la Suprema Corte de Justicia de la Nación de rubro </w:t>
      </w:r>
      <w:r w:rsidRPr="00A44C0C">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A44C0C">
        <w:rPr>
          <w:rFonts w:ascii="Palatino Linotype" w:eastAsia="Palatino Linotype" w:hAnsi="Palatino Linotype" w:cs="Palatino Linotype"/>
          <w:b/>
        </w:rPr>
        <w:t>,</w:t>
      </w:r>
      <w:r w:rsidRPr="00A44C0C">
        <w:rPr>
          <w:rFonts w:ascii="Palatino Linotype" w:eastAsia="Palatino Linotype" w:hAnsi="Palatino Linotype" w:cs="Palatino Linotype"/>
        </w:rPr>
        <w:t xml:space="preserve"> visible en la Gaceta del Seminario Judicial de la Federación con el registro digital 205635.</w:t>
      </w:r>
    </w:p>
    <w:p w:rsidR="00CC0975" w:rsidRPr="00A44C0C" w:rsidRDefault="00CC0975">
      <w:pPr>
        <w:widowControl w:val="0"/>
        <w:spacing w:line="360" w:lineRule="auto"/>
        <w:jc w:val="both"/>
        <w:rPr>
          <w:rFonts w:ascii="Palatino Linotype" w:eastAsia="Palatino Linotype" w:hAnsi="Palatino Linotype" w:cs="Palatino Linotype"/>
        </w:rPr>
      </w:pPr>
    </w:p>
    <w:p w:rsidR="00CC0975" w:rsidRPr="00A44C0C" w:rsidRDefault="008E3FD6">
      <w:pPr>
        <w:widowControl w:val="0"/>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C0975" w:rsidRPr="00A44C0C" w:rsidRDefault="00CC0975">
      <w:pPr>
        <w:widowControl w:val="0"/>
        <w:spacing w:line="360" w:lineRule="auto"/>
        <w:jc w:val="both"/>
        <w:rPr>
          <w:rFonts w:ascii="Palatino Linotype" w:eastAsia="Palatino Linotype" w:hAnsi="Palatino Linotype" w:cs="Palatino Linotype"/>
        </w:rPr>
      </w:pPr>
    </w:p>
    <w:p w:rsidR="00CC0975" w:rsidRPr="00A44C0C" w:rsidRDefault="008E3FD6">
      <w:pPr>
        <w:widowControl w:val="0"/>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CC0975" w:rsidRPr="00A44C0C" w:rsidRDefault="00CC0975">
      <w:pPr>
        <w:widowControl w:val="0"/>
        <w:spacing w:line="360" w:lineRule="auto"/>
        <w:jc w:val="both"/>
        <w:rPr>
          <w:rFonts w:ascii="Palatino Linotype" w:eastAsia="Palatino Linotype" w:hAnsi="Palatino Linotype" w:cs="Palatino Linotype"/>
        </w:rPr>
      </w:pPr>
    </w:p>
    <w:p w:rsidR="00CC0975" w:rsidRPr="00A44C0C" w:rsidRDefault="008E3FD6">
      <w:pPr>
        <w:widowControl w:val="0"/>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b/>
          <w:i/>
        </w:rPr>
        <w:t>“PLAZO RAZONABLE PARA RESOLVER. DIMENSIÓN Y EFECTOS DE ESTE CONCEPTO CUANDO SE ADUCE EXCESIVA CARGA DE TRABAJO.”</w:t>
      </w:r>
      <w:r w:rsidRPr="00A44C0C">
        <w:rPr>
          <w:rFonts w:ascii="Palatino Linotype" w:eastAsia="Palatino Linotype" w:hAnsi="Palatino Linotype" w:cs="Palatino Linotype"/>
        </w:rPr>
        <w:t xml:space="preserve"> consultable en el Seminario Judicial de la Federación y su gaceta, con el registro digital 2002351.</w:t>
      </w:r>
    </w:p>
    <w:p w:rsidR="00CC0975" w:rsidRPr="00A44C0C" w:rsidRDefault="00CC0975">
      <w:pPr>
        <w:widowControl w:val="0"/>
        <w:spacing w:line="360" w:lineRule="auto"/>
        <w:jc w:val="both"/>
        <w:rPr>
          <w:rFonts w:ascii="Palatino Linotype" w:eastAsia="Palatino Linotype" w:hAnsi="Palatino Linotype" w:cs="Palatino Linotype"/>
        </w:rPr>
      </w:pPr>
    </w:p>
    <w:p w:rsidR="00CC0975" w:rsidRPr="00A44C0C" w:rsidRDefault="008E3FD6">
      <w:pPr>
        <w:widowControl w:val="0"/>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b/>
          <w:i/>
        </w:rPr>
        <w:t>“PLAZO RAZONABLE PARA RESOLVER. CONCEPTO Y ELEMENTOS QUE LO INTEGRAN A LA LUZ DEL DERECHO INTERNACIONAL DE LOS DERECHOS HUMANOS.”</w:t>
      </w:r>
      <w:r w:rsidRPr="00A44C0C">
        <w:rPr>
          <w:rFonts w:ascii="Palatino Linotype" w:eastAsia="Palatino Linotype" w:hAnsi="Palatino Linotype" w:cs="Palatino Linotype"/>
          <w:b/>
        </w:rPr>
        <w:t>,</w:t>
      </w:r>
      <w:r w:rsidRPr="00A44C0C">
        <w:rPr>
          <w:rFonts w:ascii="Palatino Linotype" w:eastAsia="Palatino Linotype" w:hAnsi="Palatino Linotype" w:cs="Palatino Linotype"/>
        </w:rPr>
        <w:t xml:space="preserve"> visible en el Seminario Judicial de la Federación y su gaceta, con el registro digital 2002350.</w:t>
      </w:r>
    </w:p>
    <w:p w:rsidR="00CC0975" w:rsidRPr="00A44C0C" w:rsidRDefault="00CC0975">
      <w:pPr>
        <w:widowControl w:val="0"/>
        <w:spacing w:line="360" w:lineRule="auto"/>
        <w:jc w:val="both"/>
        <w:rPr>
          <w:rFonts w:ascii="Palatino Linotype" w:eastAsia="Palatino Linotype" w:hAnsi="Palatino Linotype" w:cs="Palatino Linotype"/>
        </w:rPr>
      </w:pPr>
    </w:p>
    <w:p w:rsidR="00CC0975" w:rsidRPr="00A44C0C" w:rsidRDefault="008E3FD6">
      <w:pPr>
        <w:widowControl w:val="0"/>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CC0975" w:rsidRPr="00A44C0C" w:rsidRDefault="00CC0975">
      <w:pPr>
        <w:widowControl w:val="0"/>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b/>
        </w:rPr>
        <w:t xml:space="preserve">9. Cierre de instrucción. </w:t>
      </w:r>
      <w:r w:rsidRPr="00A44C0C">
        <w:rPr>
          <w:rFonts w:ascii="Palatino Linotype" w:eastAsia="Palatino Linotype" w:hAnsi="Palatino Linotype" w:cs="Palatino Linotype"/>
        </w:rPr>
        <w:t>Una vez transcurrido el periodo otorgado a las partes para realizar sus manifestaciones y no habiendo documentos que integrar al expediente, con fecha</w:t>
      </w:r>
      <w:r w:rsidRPr="00A44C0C">
        <w:rPr>
          <w:rFonts w:ascii="Palatino Linotype" w:eastAsia="Palatino Linotype" w:hAnsi="Palatino Linotype" w:cs="Palatino Linotype"/>
          <w:b/>
        </w:rPr>
        <w:t xml:space="preserve"> doce de julio de dos mil veintitrés,</w:t>
      </w:r>
      <w:r w:rsidRPr="00A44C0C">
        <w:rPr>
          <w:rFonts w:ascii="Palatino Linotype" w:eastAsia="Palatino Linotype" w:hAnsi="Palatino Linotype" w:cs="Palatino Linotype"/>
        </w:rPr>
        <w:t xml:space="preserve"> la </w:t>
      </w:r>
      <w:r w:rsidRPr="00A44C0C">
        <w:rPr>
          <w:rFonts w:ascii="Palatino Linotype" w:eastAsia="Palatino Linotype" w:hAnsi="Palatino Linotype" w:cs="Palatino Linotype"/>
          <w:b/>
        </w:rPr>
        <w:t>Comisionada Ponente</w:t>
      </w:r>
      <w:r w:rsidRPr="00A44C0C">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rsidR="00CC0975" w:rsidRPr="00A44C0C" w:rsidRDefault="00CC0975">
      <w:pPr>
        <w:spacing w:line="360" w:lineRule="auto"/>
        <w:jc w:val="both"/>
        <w:rPr>
          <w:rFonts w:ascii="Palatino Linotype" w:eastAsia="Palatino Linotype" w:hAnsi="Palatino Linotype" w:cs="Palatino Linotype"/>
          <w:sz w:val="22"/>
          <w:szCs w:val="22"/>
        </w:rPr>
      </w:pPr>
      <w:bookmarkStart w:id="3" w:name="_heading=h.30j0zll" w:colFirst="0" w:colLast="0"/>
      <w:bookmarkEnd w:id="3"/>
    </w:p>
    <w:p w:rsidR="00CC0975" w:rsidRPr="00A44C0C" w:rsidRDefault="008E3FD6">
      <w:pPr>
        <w:widowControl w:val="0"/>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rPr>
      </w:pPr>
      <w:r w:rsidRPr="00A44C0C">
        <w:rPr>
          <w:rFonts w:ascii="Palatino Linotype" w:eastAsia="Palatino Linotype" w:hAnsi="Palatino Linotype" w:cs="Palatino Linotype"/>
          <w:b/>
        </w:rPr>
        <w:t>C O N S I D E R A N D O:</w:t>
      </w:r>
    </w:p>
    <w:p w:rsidR="00CC0975" w:rsidRPr="00A44C0C" w:rsidRDefault="00CC0975">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b/>
        </w:rPr>
        <w:t>PRIMERO. COMPETENCIA.</w:t>
      </w:r>
      <w:r w:rsidRPr="00A44C0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b/>
        </w:rPr>
        <w:t>SEGUNDO. OPORTUNIDAD Y PROCEDIBILIDAD DEL RECURSO DE REVISIÓN.</w:t>
      </w:r>
      <w:r w:rsidRPr="00A44C0C">
        <w:rPr>
          <w:rFonts w:ascii="Palatino Linotype" w:eastAsia="Palatino Linotype" w:hAnsi="Palatino Linotype" w:cs="Palatino Linotype"/>
        </w:rPr>
        <w:t xml:space="preserve"> Previo al estudio del fondo del asunto, se procede a analizar los requisitos de oportunidad y </w:t>
      </w:r>
      <w:proofErr w:type="spellStart"/>
      <w:r w:rsidRPr="00A44C0C">
        <w:rPr>
          <w:rFonts w:ascii="Palatino Linotype" w:eastAsia="Palatino Linotype" w:hAnsi="Palatino Linotype" w:cs="Palatino Linotype"/>
        </w:rPr>
        <w:t>procedibilidad</w:t>
      </w:r>
      <w:proofErr w:type="spellEnd"/>
      <w:r w:rsidRPr="00A44C0C">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w:t>
      </w:r>
      <w:r w:rsidRPr="00A44C0C">
        <w:rPr>
          <w:rFonts w:ascii="Palatino Linotype" w:eastAsia="Palatino Linotype" w:hAnsi="Palatino Linotype" w:cs="Palatino Linotype"/>
        </w:rPr>
        <w:lastRenderedPageBreak/>
        <w:t xml:space="preserve">Pública del Estado de México y Municipios, toda vez que </w:t>
      </w:r>
      <w:r w:rsidRPr="00A44C0C">
        <w:rPr>
          <w:rFonts w:ascii="Palatino Linotype" w:eastAsia="Palatino Linotype" w:hAnsi="Palatino Linotype" w:cs="Palatino Linotype"/>
          <w:b/>
        </w:rPr>
        <w:t>EL SUJETO OBLIGADO</w:t>
      </w:r>
      <w:r w:rsidRPr="00A44C0C">
        <w:rPr>
          <w:rFonts w:ascii="Palatino Linotype" w:eastAsia="Palatino Linotype" w:hAnsi="Palatino Linotype" w:cs="Palatino Linotype"/>
        </w:rPr>
        <w:t xml:space="preserve"> respondió a las solicitudes de información el </w:t>
      </w:r>
      <w:r w:rsidRPr="00A44C0C">
        <w:rPr>
          <w:rFonts w:ascii="Palatino Linotype" w:eastAsia="Palatino Linotype" w:hAnsi="Palatino Linotype" w:cs="Palatino Linotype"/>
          <w:b/>
        </w:rPr>
        <w:t xml:space="preserve">ocho y nueve de diciembre de dos mil veintidós, </w:t>
      </w:r>
      <w:r w:rsidRPr="00A44C0C">
        <w:rPr>
          <w:rFonts w:ascii="Palatino Linotype" w:eastAsia="Palatino Linotype" w:hAnsi="Palatino Linotype" w:cs="Palatino Linotype"/>
        </w:rPr>
        <w:t xml:space="preserve">mientras que los recursos de revisión se interpusieron el </w:t>
      </w:r>
      <w:r w:rsidRPr="00A44C0C">
        <w:rPr>
          <w:rFonts w:ascii="Palatino Linotype" w:eastAsia="Palatino Linotype" w:hAnsi="Palatino Linotype" w:cs="Palatino Linotype"/>
          <w:b/>
        </w:rPr>
        <w:t>dieciséis y</w:t>
      </w:r>
      <w:r w:rsidRPr="00A44C0C">
        <w:rPr>
          <w:rFonts w:ascii="Palatino Linotype" w:eastAsia="Palatino Linotype" w:hAnsi="Palatino Linotype" w:cs="Palatino Linotype"/>
        </w:rPr>
        <w:t xml:space="preserve"> </w:t>
      </w:r>
      <w:r w:rsidRPr="00A44C0C">
        <w:rPr>
          <w:rFonts w:ascii="Palatino Linotype" w:eastAsia="Palatino Linotype" w:hAnsi="Palatino Linotype" w:cs="Palatino Linotype"/>
          <w:b/>
        </w:rPr>
        <w:t>diecinueve de diciembre de dos mil veintidós</w:t>
      </w:r>
      <w:r w:rsidRPr="00A44C0C">
        <w:rPr>
          <w:rFonts w:ascii="Palatino Linotype" w:eastAsia="Palatino Linotype" w:hAnsi="Palatino Linotype" w:cs="Palatino Linotype"/>
        </w:rPr>
        <w:t xml:space="preserve">, esto es, al quinto y sexto días hábiles posteriores en que tuvo conocimiento de las respuestas. </w:t>
      </w:r>
    </w:p>
    <w:p w:rsidR="00CC0975" w:rsidRPr="00A44C0C" w:rsidRDefault="00CC0975">
      <w:pPr>
        <w:spacing w:line="360" w:lineRule="auto"/>
        <w:ind w:right="49"/>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En este sentido, al considerar la fecha en que se formularon las solicitudes y la fecha en que respondió a ellas </w:t>
      </w:r>
      <w:r w:rsidRPr="00A44C0C">
        <w:rPr>
          <w:rFonts w:ascii="Palatino Linotype" w:eastAsia="Palatino Linotype" w:hAnsi="Palatino Linotype" w:cs="Palatino Linotype"/>
          <w:b/>
        </w:rPr>
        <w:t>EL SUJETO OBLIGADO</w:t>
      </w:r>
      <w:r w:rsidRPr="00A44C0C">
        <w:rPr>
          <w:rFonts w:ascii="Palatino Linotype" w:eastAsia="Palatino Linotype" w:hAnsi="Palatino Linotype" w:cs="Palatino Linotype"/>
        </w:rPr>
        <w:t>; así como la fecha en que se interpusieron los recursos de revisión, se concluye que se encuentran invocados dentro de los márgenes temporales previstos en las disposiciones legales referidas.</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pBdr>
          <w:top w:val="nil"/>
          <w:left w:val="nil"/>
          <w:bottom w:val="nil"/>
          <w:right w:val="nil"/>
          <w:between w:val="nil"/>
        </w:pBdr>
        <w:spacing w:line="360" w:lineRule="auto"/>
        <w:jc w:val="both"/>
      </w:pPr>
      <w:r w:rsidRPr="00A44C0C">
        <w:rPr>
          <w:rFonts w:ascii="Palatino Linotype" w:eastAsia="Palatino Linotype" w:hAnsi="Palatino Linotype" w:cs="Palatino Linotype"/>
        </w:rPr>
        <w:t xml:space="preserve">Al mismo tiempo, por cuanto hace a la </w:t>
      </w:r>
      <w:proofErr w:type="spellStart"/>
      <w:r w:rsidRPr="00A44C0C">
        <w:rPr>
          <w:rFonts w:ascii="Palatino Linotype" w:eastAsia="Palatino Linotype" w:hAnsi="Palatino Linotype" w:cs="Palatino Linotype"/>
        </w:rPr>
        <w:t>procedibilidad</w:t>
      </w:r>
      <w:proofErr w:type="spellEnd"/>
      <w:r w:rsidRPr="00A44C0C">
        <w:rPr>
          <w:rFonts w:ascii="Palatino Linotype" w:eastAsia="Palatino Linotype" w:hAnsi="Palatino Linotype" w:cs="Palatino Linotype"/>
        </w:rPr>
        <w:t xml:space="preserve">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formato visible en el SAIMEX.</w:t>
      </w:r>
    </w:p>
    <w:p w:rsidR="00CC0975" w:rsidRPr="00A44C0C" w:rsidRDefault="00CC0975">
      <w:pPr>
        <w:spacing w:line="360" w:lineRule="auto"/>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Finalmente, se advierte que resulta procedente la interposición de los recursos, según lo manifestado por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en sus motivos de inconformidad, de acuerdo al artículo 179, fracción VIII del ordenamiento legal citado, que a la letra dice: </w:t>
      </w:r>
    </w:p>
    <w:p w:rsidR="00CC0975" w:rsidRPr="00A44C0C" w:rsidRDefault="00CC0975">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CC0975" w:rsidRPr="00A44C0C" w:rsidRDefault="008E3FD6">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b/>
          <w:i/>
          <w:sz w:val="22"/>
          <w:szCs w:val="22"/>
        </w:rPr>
        <w:lastRenderedPageBreak/>
        <w:t>Artículo 179.</w:t>
      </w:r>
      <w:r w:rsidRPr="00A44C0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CC0975" w:rsidRPr="00A44C0C" w:rsidRDefault="008E3FD6">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w:t>
      </w:r>
    </w:p>
    <w:p w:rsidR="00CC0975" w:rsidRPr="00A44C0C" w:rsidRDefault="008E3FD6">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A44C0C">
        <w:rPr>
          <w:rFonts w:ascii="Palatino Linotype" w:eastAsia="Palatino Linotype" w:hAnsi="Palatino Linotype" w:cs="Palatino Linotype"/>
          <w:b/>
          <w:i/>
          <w:sz w:val="22"/>
          <w:szCs w:val="22"/>
        </w:rPr>
        <w:t xml:space="preserve">VIII. La notificación, entrega o puesta a disposición de información en una modalidad o formato distinto al solicitado; </w:t>
      </w:r>
    </w:p>
    <w:p w:rsidR="00CC0975" w:rsidRPr="00A44C0C" w:rsidRDefault="008E3FD6">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b/>
          <w:i/>
          <w:sz w:val="22"/>
          <w:szCs w:val="22"/>
        </w:rPr>
        <w:t>(…</w:t>
      </w:r>
      <w:r w:rsidRPr="00A44C0C">
        <w:rPr>
          <w:rFonts w:ascii="Palatino Linotype" w:eastAsia="Palatino Linotype" w:hAnsi="Palatino Linotype" w:cs="Palatino Linotype"/>
          <w:i/>
          <w:sz w:val="22"/>
          <w:szCs w:val="22"/>
        </w:rPr>
        <w:t>)</w:t>
      </w:r>
    </w:p>
    <w:p w:rsidR="00CC0975" w:rsidRPr="00A44C0C" w:rsidRDefault="00CC0975">
      <w:pPr>
        <w:spacing w:line="360" w:lineRule="auto"/>
        <w:jc w:val="both"/>
      </w:pPr>
    </w:p>
    <w:p w:rsidR="00CC0975" w:rsidRPr="00A44C0C" w:rsidRDefault="008E3FD6">
      <w:pPr>
        <w:spacing w:line="360" w:lineRule="auto"/>
        <w:ind w:right="62"/>
        <w:jc w:val="both"/>
        <w:rPr>
          <w:rFonts w:ascii="Palatino Linotype" w:eastAsia="Palatino Linotype" w:hAnsi="Palatino Linotype" w:cs="Palatino Linotype"/>
        </w:rPr>
      </w:pPr>
      <w:r w:rsidRPr="00A44C0C">
        <w:rPr>
          <w:rFonts w:ascii="Palatino Linotype" w:eastAsia="Palatino Linotype" w:hAnsi="Palatino Linotype" w:cs="Palatino Linotype"/>
          <w:b/>
        </w:rPr>
        <w:t>TERCERO. ANÁLISIS DE LAS CAUSALES DE SOBRESEIMIENTO.</w:t>
      </w:r>
      <w:r w:rsidRPr="00A44C0C">
        <w:rPr>
          <w:rFonts w:ascii="Palatino Linotype" w:eastAsia="Palatino Linotype" w:hAnsi="Palatino Linotype" w:cs="Palatino Linotype"/>
        </w:rPr>
        <w:t xml:space="preserve"> Es menester resaltar que en el procedimiento de acceso a la información pública y de los medios de impugnación de la materia, se advierten diversos supuestos de </w:t>
      </w:r>
      <w:proofErr w:type="spellStart"/>
      <w:r w:rsidRPr="00A44C0C">
        <w:rPr>
          <w:rFonts w:ascii="Palatino Linotype" w:eastAsia="Palatino Linotype" w:hAnsi="Palatino Linotype" w:cs="Palatino Linotype"/>
        </w:rPr>
        <w:t>procedibilidad</w:t>
      </w:r>
      <w:proofErr w:type="spellEnd"/>
      <w:r w:rsidRPr="00A44C0C">
        <w:rPr>
          <w:rFonts w:ascii="Palatino Linotype" w:eastAsia="Palatino Linotype" w:hAnsi="Palatino Linotype" w:cs="Palatino Linotype"/>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C0975" w:rsidRPr="00A44C0C" w:rsidRDefault="00CC0975">
      <w:pPr>
        <w:spacing w:line="360" w:lineRule="auto"/>
        <w:ind w:right="62"/>
        <w:jc w:val="both"/>
        <w:rPr>
          <w:rFonts w:ascii="Palatino Linotype" w:eastAsia="Palatino Linotype" w:hAnsi="Palatino Linotype" w:cs="Palatino Linotype"/>
        </w:rPr>
      </w:pPr>
    </w:p>
    <w:p w:rsidR="00CC0975" w:rsidRPr="00A44C0C" w:rsidRDefault="008E3FD6">
      <w:pPr>
        <w:spacing w:line="360" w:lineRule="auto"/>
        <w:ind w:right="62"/>
        <w:jc w:val="both"/>
        <w:rPr>
          <w:rFonts w:ascii="Palatino Linotype" w:eastAsia="Palatino Linotype" w:hAnsi="Palatino Linotype" w:cs="Palatino Linotype"/>
          <w:b/>
        </w:rPr>
      </w:pPr>
      <w:r w:rsidRPr="00A44C0C">
        <w:rPr>
          <w:rFonts w:ascii="Palatino Linotype" w:eastAsia="Palatino Linotype" w:hAnsi="Palatino Linotype" w:cs="Palatino Linotype"/>
        </w:rPr>
        <w:t xml:space="preserve">En este punto es importante recordar que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en las solicitudes </w:t>
      </w:r>
      <w:r w:rsidRPr="00A44C0C">
        <w:rPr>
          <w:rFonts w:ascii="Palatino Linotype" w:eastAsia="Palatino Linotype" w:hAnsi="Palatino Linotype" w:cs="Palatino Linotype"/>
          <w:b/>
        </w:rPr>
        <w:t>02361/TOLUCA/IP/2022, 02421/TOLUCA/IP/2022, 02378/TOLUCA/IP/2022, 02379/TOLUCA/IP/2022</w:t>
      </w:r>
      <w:r w:rsidRPr="00A44C0C">
        <w:rPr>
          <w:rFonts w:ascii="Palatino Linotype" w:eastAsia="Palatino Linotype" w:hAnsi="Palatino Linotype" w:cs="Palatino Linotype"/>
        </w:rPr>
        <w:t xml:space="preserve"> y </w:t>
      </w:r>
      <w:r w:rsidRPr="00A44C0C">
        <w:rPr>
          <w:rFonts w:ascii="Palatino Linotype" w:eastAsia="Palatino Linotype" w:hAnsi="Palatino Linotype" w:cs="Palatino Linotype"/>
          <w:b/>
        </w:rPr>
        <w:t xml:space="preserve">02380/TOLUCA/IP/2022 </w:t>
      </w:r>
      <w:r w:rsidRPr="00A44C0C">
        <w:rPr>
          <w:rFonts w:ascii="Palatino Linotype" w:eastAsia="Palatino Linotype" w:hAnsi="Palatino Linotype" w:cs="Palatino Linotype"/>
        </w:rPr>
        <w:t>requirió del Ayuntamiento de Toluca, lo siguiente:</w:t>
      </w:r>
      <w:r w:rsidRPr="00A44C0C">
        <w:rPr>
          <w:rFonts w:ascii="Palatino Linotype" w:eastAsia="Palatino Linotype" w:hAnsi="Palatino Linotype" w:cs="Palatino Linotype"/>
          <w:b/>
        </w:rPr>
        <w:t xml:space="preserve"> </w:t>
      </w:r>
    </w:p>
    <w:p w:rsidR="00CC0975" w:rsidRPr="00A44C0C" w:rsidRDefault="00CC0975">
      <w:pPr>
        <w:spacing w:line="360" w:lineRule="auto"/>
        <w:ind w:right="62"/>
        <w:jc w:val="both"/>
        <w:rPr>
          <w:rFonts w:ascii="Palatino Linotype" w:eastAsia="Palatino Linotype" w:hAnsi="Palatino Linotype" w:cs="Palatino Linotype"/>
          <w:b/>
        </w:rPr>
      </w:pPr>
    </w:p>
    <w:p w:rsidR="00CC0975" w:rsidRPr="00A44C0C" w:rsidRDefault="008E3FD6">
      <w:pPr>
        <w:numPr>
          <w:ilvl w:val="0"/>
          <w:numId w:val="3"/>
        </w:numPr>
        <w:pBdr>
          <w:top w:val="nil"/>
          <w:left w:val="nil"/>
          <w:bottom w:val="nil"/>
          <w:right w:val="nil"/>
          <w:between w:val="nil"/>
        </w:pBdr>
        <w:spacing w:line="360" w:lineRule="auto"/>
        <w:ind w:right="62"/>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Todos los oficios, circulares y memorándums enviados en los meses de septiembre y octubre del año de dos mil veintidós por la Secretaria del Ayuntamiento, la Dirección General de Administración, Presidencia y Tesorería; </w:t>
      </w:r>
    </w:p>
    <w:p w:rsidR="00CC0975" w:rsidRPr="00A44C0C" w:rsidRDefault="008E3FD6">
      <w:pPr>
        <w:numPr>
          <w:ilvl w:val="0"/>
          <w:numId w:val="3"/>
        </w:numPr>
        <w:pBdr>
          <w:top w:val="nil"/>
          <w:left w:val="nil"/>
          <w:bottom w:val="nil"/>
          <w:right w:val="nil"/>
          <w:between w:val="nil"/>
        </w:pBdr>
        <w:spacing w:line="360" w:lineRule="auto"/>
        <w:ind w:right="62"/>
        <w:jc w:val="both"/>
        <w:rPr>
          <w:rFonts w:ascii="Palatino Linotype" w:eastAsia="Palatino Linotype" w:hAnsi="Palatino Linotype" w:cs="Palatino Linotype"/>
        </w:rPr>
      </w:pPr>
      <w:r w:rsidRPr="00A44C0C">
        <w:rPr>
          <w:rFonts w:ascii="Palatino Linotype" w:eastAsia="Palatino Linotype" w:hAnsi="Palatino Linotype" w:cs="Palatino Linotype"/>
        </w:rPr>
        <w:lastRenderedPageBreak/>
        <w:t xml:space="preserve">Todos los oficios que han enviado las Personas Servidoras Públicas Habilitadas a la Unidad de Transparencia, donde soliciten el cambio de modalidad, prórroga, costos de reproducción, clasificación de la información y pruebas de daño de enero al mes de noviembre del año dos mil veintidós; </w:t>
      </w:r>
    </w:p>
    <w:p w:rsidR="00CC0975" w:rsidRPr="00A44C0C" w:rsidRDefault="008E3FD6">
      <w:pPr>
        <w:numPr>
          <w:ilvl w:val="0"/>
          <w:numId w:val="3"/>
        </w:numPr>
        <w:pBdr>
          <w:top w:val="nil"/>
          <w:left w:val="nil"/>
          <w:bottom w:val="nil"/>
          <w:right w:val="nil"/>
          <w:between w:val="nil"/>
        </w:pBdr>
        <w:spacing w:line="360" w:lineRule="auto"/>
        <w:ind w:right="62"/>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Todos los oficios recibidos en la Unidad de Transparencia, donde se emitan Informes Justificados y cumplimiento a resoluciones por parte de las Personas Servidoras Públicas Habilitadas del año dos mil veintidós, </w:t>
      </w:r>
      <w:r w:rsidRPr="00A44C0C">
        <w:rPr>
          <w:rFonts w:ascii="Palatino Linotype" w:eastAsia="Palatino Linotype" w:hAnsi="Palatino Linotype" w:cs="Palatino Linotype"/>
          <w:i/>
        </w:rPr>
        <w:t>“… desde el Recurso número 1 al 553…” (Sic);</w:t>
      </w:r>
    </w:p>
    <w:p w:rsidR="00CC0975" w:rsidRPr="00A44C0C" w:rsidRDefault="008E3FD6">
      <w:pPr>
        <w:numPr>
          <w:ilvl w:val="0"/>
          <w:numId w:val="3"/>
        </w:numPr>
        <w:pBdr>
          <w:top w:val="nil"/>
          <w:left w:val="nil"/>
          <w:bottom w:val="nil"/>
          <w:right w:val="nil"/>
          <w:between w:val="nil"/>
        </w:pBdr>
        <w:spacing w:line="360" w:lineRule="auto"/>
        <w:ind w:right="62"/>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Todos los oficios enviados por las Personas Servidoras Públicas Habilitadas a la Unidad de Transparencia, desde enero de dos mil veintidós al ocho de noviembre de dos mil veintidós;  y </w:t>
      </w:r>
    </w:p>
    <w:p w:rsidR="00CC0975" w:rsidRPr="00A44C0C" w:rsidRDefault="008E3FD6">
      <w:pPr>
        <w:numPr>
          <w:ilvl w:val="0"/>
          <w:numId w:val="3"/>
        </w:numPr>
        <w:pBdr>
          <w:top w:val="nil"/>
          <w:left w:val="nil"/>
          <w:bottom w:val="nil"/>
          <w:right w:val="nil"/>
          <w:between w:val="nil"/>
        </w:pBdr>
        <w:spacing w:line="360" w:lineRule="auto"/>
        <w:ind w:right="62"/>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Todos los oficios enviados por la Unidad de Transparencia a las Unidades Administrativas, desde enero de dos mil veintidós al ocho de noviembre de dos mil veintidós. </w:t>
      </w:r>
    </w:p>
    <w:p w:rsidR="00CC0975" w:rsidRPr="00A44C0C" w:rsidRDefault="00CC0975">
      <w:pPr>
        <w:spacing w:line="360" w:lineRule="auto"/>
        <w:ind w:right="62"/>
        <w:jc w:val="both"/>
        <w:rPr>
          <w:rFonts w:ascii="Palatino Linotype" w:eastAsia="Palatino Linotype" w:hAnsi="Palatino Linotype" w:cs="Palatino Linotype"/>
        </w:rPr>
      </w:pPr>
    </w:p>
    <w:p w:rsidR="00CC0975" w:rsidRPr="00A44C0C" w:rsidRDefault="008E3FD6">
      <w:pPr>
        <w:spacing w:line="360" w:lineRule="auto"/>
        <w:ind w:right="62"/>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Mediante las respuestas del </w:t>
      </w:r>
      <w:r w:rsidRPr="00A44C0C">
        <w:rPr>
          <w:rFonts w:ascii="Palatino Linotype" w:eastAsia="Palatino Linotype" w:hAnsi="Palatino Linotype" w:cs="Palatino Linotype"/>
          <w:b/>
        </w:rPr>
        <w:t>SUJETO OBLIGADO</w:t>
      </w:r>
      <w:r w:rsidRPr="00A44C0C">
        <w:rPr>
          <w:rFonts w:ascii="Palatino Linotype" w:eastAsia="Palatino Linotype" w:hAnsi="Palatino Linotype" w:cs="Palatino Linotype"/>
        </w:rPr>
        <w:t xml:space="preserve"> se informó a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que en relación con sus cinco solicitudes, se realizaría un cambio de modalidad a consulta directa, esto en virtud de que las capacidades técnicas del SAIMEX son insuficientes para remitir la cantidad de información contenida en cada una de las respuestas, en ese sentido, como ya quedó expuesto en el Antecedente número tres de este fallo, el Comité de Transparencia aprobó en los cinco casos el cambio de modalidad a la consulta directa mencionada. </w:t>
      </w:r>
    </w:p>
    <w:p w:rsidR="00CC0975" w:rsidRPr="00A44C0C" w:rsidRDefault="00CC0975">
      <w:pPr>
        <w:spacing w:line="360" w:lineRule="auto"/>
        <w:ind w:right="62"/>
        <w:jc w:val="both"/>
        <w:rPr>
          <w:rFonts w:ascii="Palatino Linotype" w:eastAsia="Palatino Linotype" w:hAnsi="Palatino Linotype" w:cs="Palatino Linotype"/>
        </w:rPr>
      </w:pPr>
    </w:p>
    <w:p w:rsidR="00CC0975" w:rsidRPr="00A44C0C" w:rsidRDefault="008E3FD6">
      <w:pPr>
        <w:spacing w:line="360" w:lineRule="auto"/>
        <w:ind w:right="62"/>
        <w:jc w:val="both"/>
        <w:rPr>
          <w:rFonts w:ascii="Palatino Linotype" w:eastAsia="Palatino Linotype" w:hAnsi="Palatino Linotype" w:cs="Palatino Linotype"/>
        </w:rPr>
      </w:pPr>
      <w:r w:rsidRPr="00A44C0C">
        <w:rPr>
          <w:rFonts w:ascii="Palatino Linotype" w:eastAsia="Palatino Linotype" w:hAnsi="Palatino Linotype" w:cs="Palatino Linotype"/>
        </w:rPr>
        <w:lastRenderedPageBreak/>
        <w:t xml:space="preserve">Dicho que se puede probar con el Acta de la septingentésima trigésima séptima sesión extraordinaria, donde además de aprobarse el cambio de modalidad, se votó por unanimidad la elaboración de versiones públicas por contener datos susceptibles de ser considerados como confidenciales en relación a la solicitud </w:t>
      </w:r>
      <w:r w:rsidRPr="00A44C0C">
        <w:rPr>
          <w:rFonts w:ascii="Palatino Linotype" w:eastAsia="Palatino Linotype" w:hAnsi="Palatino Linotype" w:cs="Palatino Linotype"/>
          <w:b/>
        </w:rPr>
        <w:t xml:space="preserve">02361/TOLUCA/IP/2022, </w:t>
      </w:r>
      <w:r w:rsidRPr="00A44C0C">
        <w:rPr>
          <w:rFonts w:ascii="Palatino Linotype" w:eastAsia="Palatino Linotype" w:hAnsi="Palatino Linotype" w:cs="Palatino Linotype"/>
        </w:rPr>
        <w:t xml:space="preserve">en atención a las manifestaciones realizadas por las Personas Servidoras Públicas Habilitadas de la Secretaría Particular de la Presidencia, Secretaría del Ayuntamiento, Tesorería Municipal y Dirección General de Administración. </w:t>
      </w:r>
    </w:p>
    <w:p w:rsidR="00CC0975" w:rsidRPr="00A44C0C" w:rsidRDefault="00CC0975">
      <w:pPr>
        <w:spacing w:line="360" w:lineRule="auto"/>
        <w:ind w:right="62"/>
        <w:jc w:val="both"/>
        <w:rPr>
          <w:rFonts w:ascii="Palatino Linotype" w:eastAsia="Palatino Linotype" w:hAnsi="Palatino Linotype" w:cs="Palatino Linotype"/>
        </w:rPr>
      </w:pPr>
    </w:p>
    <w:p w:rsidR="00CC0975" w:rsidRPr="00A44C0C" w:rsidRDefault="008E3FD6">
      <w:pPr>
        <w:spacing w:line="360" w:lineRule="auto"/>
        <w:ind w:right="62"/>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Por cuanto hace a las solicitudes </w:t>
      </w:r>
      <w:r w:rsidRPr="00A44C0C">
        <w:rPr>
          <w:rFonts w:ascii="Palatino Linotype" w:eastAsia="Palatino Linotype" w:hAnsi="Palatino Linotype" w:cs="Palatino Linotype"/>
          <w:b/>
        </w:rPr>
        <w:t>02421/TOLUCA/IP/2022, 02378/TOLUCA/IP/2022, 02379/TOLUCA/IP/2022</w:t>
      </w:r>
      <w:r w:rsidRPr="00A44C0C">
        <w:rPr>
          <w:rFonts w:ascii="Palatino Linotype" w:eastAsia="Palatino Linotype" w:hAnsi="Palatino Linotype" w:cs="Palatino Linotype"/>
        </w:rPr>
        <w:t xml:space="preserve"> y </w:t>
      </w:r>
      <w:r w:rsidRPr="00A44C0C">
        <w:rPr>
          <w:rFonts w:ascii="Palatino Linotype" w:eastAsia="Palatino Linotype" w:hAnsi="Palatino Linotype" w:cs="Palatino Linotype"/>
          <w:b/>
        </w:rPr>
        <w:t xml:space="preserve">02380/TOLUCA/IP/2022, </w:t>
      </w:r>
      <w:r w:rsidRPr="00A44C0C">
        <w:rPr>
          <w:rFonts w:ascii="Palatino Linotype" w:eastAsia="Palatino Linotype" w:hAnsi="Palatino Linotype" w:cs="Palatino Linotype"/>
        </w:rPr>
        <w:t xml:space="preserve">en sus respectivos acuerdos recaídos en la septingentésima quincuagésima segunda sesión extraordinaria, se aprobaron también por unanimidad los cambios de modalidad de entrega de la información a una consulta directa. </w:t>
      </w:r>
    </w:p>
    <w:p w:rsidR="00CC0975" w:rsidRPr="00A44C0C" w:rsidRDefault="00CC0975">
      <w:pPr>
        <w:spacing w:line="360" w:lineRule="auto"/>
        <w:ind w:right="62"/>
        <w:jc w:val="both"/>
        <w:rPr>
          <w:rFonts w:ascii="Palatino Linotype" w:eastAsia="Palatino Linotype" w:hAnsi="Palatino Linotype" w:cs="Palatino Linotype"/>
        </w:rPr>
      </w:pPr>
    </w:p>
    <w:p w:rsidR="00CC0975" w:rsidRPr="00A44C0C" w:rsidRDefault="008E3FD6">
      <w:pPr>
        <w:spacing w:line="360" w:lineRule="auto"/>
        <w:ind w:right="62"/>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Es importante mencionar que en todos y cada uno de los casos, como ya se abordó en el Antecedente número tres de esta resolución; tanto el Comité de Transparencia y la propia Unidad de Transparencia del Ayuntamiento de Toluca, refirieron a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la cantidad exacta que representa la información solicitada, así como también se le hizo saber la temporalidad que la información estaría disponible para su consulta que fue de sesenta días hábiles; los lugares, horarios y personas servidoras públicas que le asistirían al efecto. </w:t>
      </w:r>
    </w:p>
    <w:p w:rsidR="00CC0975" w:rsidRPr="00A44C0C" w:rsidRDefault="00CC0975">
      <w:pPr>
        <w:spacing w:line="360" w:lineRule="auto"/>
        <w:ind w:right="62"/>
        <w:jc w:val="both"/>
        <w:rPr>
          <w:rFonts w:ascii="Palatino Linotype" w:eastAsia="Palatino Linotype" w:hAnsi="Palatino Linotype" w:cs="Palatino Linotype"/>
        </w:rPr>
      </w:pPr>
    </w:p>
    <w:p w:rsidR="00CC0975" w:rsidRPr="00A44C0C" w:rsidRDefault="008E3FD6">
      <w:pPr>
        <w:spacing w:line="360" w:lineRule="auto"/>
        <w:ind w:right="62"/>
        <w:jc w:val="both"/>
        <w:rPr>
          <w:rFonts w:ascii="Palatino Linotype" w:eastAsia="Palatino Linotype" w:hAnsi="Palatino Linotype" w:cs="Palatino Linotype"/>
        </w:rPr>
      </w:pPr>
      <w:r w:rsidRPr="00A44C0C">
        <w:rPr>
          <w:rFonts w:ascii="Palatino Linotype" w:eastAsia="Palatino Linotype" w:hAnsi="Palatino Linotype" w:cs="Palatino Linotype"/>
        </w:rPr>
        <w:lastRenderedPageBreak/>
        <w:t xml:space="preserve">Además de la consulta directa, </w:t>
      </w:r>
      <w:r w:rsidRPr="00A44C0C">
        <w:rPr>
          <w:rFonts w:ascii="Palatino Linotype" w:eastAsia="Palatino Linotype" w:hAnsi="Palatino Linotype" w:cs="Palatino Linotype"/>
          <w:b/>
        </w:rPr>
        <w:t>EL SUJETO OBLIGADO</w:t>
      </w:r>
      <w:r w:rsidRPr="00A44C0C">
        <w:rPr>
          <w:rFonts w:ascii="Palatino Linotype" w:eastAsia="Palatino Linotype" w:hAnsi="Palatino Linotype" w:cs="Palatino Linotype"/>
        </w:rPr>
        <w:t xml:space="preserve"> ofreció otras formas de entrega como fueron las que tienen costo: disco compacto, USB, copias simples o certificadas y se le informó del procedimiento a seguir para el pago respectivo.</w:t>
      </w:r>
    </w:p>
    <w:p w:rsidR="00CC0975" w:rsidRPr="00A44C0C" w:rsidRDefault="00CC0975">
      <w:pPr>
        <w:spacing w:line="360" w:lineRule="auto"/>
        <w:ind w:right="62"/>
        <w:jc w:val="both"/>
        <w:rPr>
          <w:rFonts w:ascii="Palatino Linotype" w:eastAsia="Palatino Linotype" w:hAnsi="Palatino Linotype" w:cs="Palatino Linotype"/>
        </w:rPr>
      </w:pPr>
    </w:p>
    <w:p w:rsidR="00CC0975" w:rsidRPr="00A44C0C" w:rsidRDefault="008E3FD6">
      <w:pPr>
        <w:spacing w:line="360" w:lineRule="auto"/>
        <w:ind w:right="62"/>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Esto sin olvidar que también en caso de que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proporcionara dispositivo electrónico o correo electrónico, no habría ningún costo para ella para obtener en cada uno de los casos, la información pública. </w:t>
      </w:r>
    </w:p>
    <w:p w:rsidR="00CC0975" w:rsidRPr="00A44C0C" w:rsidRDefault="00CC0975">
      <w:pPr>
        <w:spacing w:line="360" w:lineRule="auto"/>
        <w:ind w:right="62"/>
        <w:jc w:val="both"/>
        <w:rPr>
          <w:rFonts w:ascii="Palatino Linotype" w:eastAsia="Palatino Linotype" w:hAnsi="Palatino Linotype" w:cs="Palatino Linotype"/>
        </w:rPr>
      </w:pPr>
    </w:p>
    <w:p w:rsidR="00CC0975" w:rsidRPr="00A44C0C" w:rsidRDefault="008E3FD6">
      <w:pPr>
        <w:spacing w:line="360" w:lineRule="auto"/>
        <w:ind w:right="62"/>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Conocidas todas las respuestas a las solicitudes,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decidió hacer valer su derecho de impugnar el cambio de modalidad invocado por </w:t>
      </w:r>
      <w:r w:rsidRPr="00A44C0C">
        <w:rPr>
          <w:rFonts w:ascii="Palatino Linotype" w:eastAsia="Palatino Linotype" w:hAnsi="Palatino Linotype" w:cs="Palatino Linotype"/>
          <w:b/>
        </w:rPr>
        <w:t xml:space="preserve">EL SUJETO OBLIGADO, </w:t>
      </w:r>
      <w:r w:rsidRPr="00A44C0C">
        <w:rPr>
          <w:rFonts w:ascii="Palatino Linotype" w:eastAsia="Palatino Linotype" w:hAnsi="Palatino Linotype" w:cs="Palatino Linotype"/>
        </w:rPr>
        <w:t xml:space="preserve">al tenor de las siguientes inconformidades: </w:t>
      </w:r>
    </w:p>
    <w:p w:rsidR="00CC0975" w:rsidRPr="00A44C0C" w:rsidRDefault="00CC0975">
      <w:pPr>
        <w:spacing w:line="360" w:lineRule="auto"/>
        <w:ind w:right="62"/>
        <w:jc w:val="both"/>
        <w:rPr>
          <w:rFonts w:ascii="Palatino Linotype" w:eastAsia="Palatino Linotype" w:hAnsi="Palatino Linotype" w:cs="Palatino Linotype"/>
        </w:rPr>
      </w:pPr>
    </w:p>
    <w:tbl>
      <w:tblPr>
        <w:tblStyle w:val="af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52"/>
        <w:gridCol w:w="3446"/>
      </w:tblGrid>
      <w:tr w:rsidR="00A44C0C" w:rsidRPr="00A44C0C">
        <w:tc>
          <w:tcPr>
            <w:tcW w:w="8828" w:type="dxa"/>
            <w:gridSpan w:val="3"/>
            <w:shd w:val="clear" w:color="auto" w:fill="BFBFBF"/>
            <w:vAlign w:val="center"/>
          </w:tcPr>
          <w:p w:rsidR="00CC0975" w:rsidRPr="00A44C0C" w:rsidRDefault="008E3FD6">
            <w:pPr>
              <w:jc w:val="center"/>
              <w:rPr>
                <w:rFonts w:ascii="Palatino Linotype" w:eastAsia="Palatino Linotype" w:hAnsi="Palatino Linotype" w:cs="Palatino Linotype"/>
                <w:b/>
                <w:sz w:val="20"/>
                <w:szCs w:val="20"/>
              </w:rPr>
            </w:pPr>
            <w:r w:rsidRPr="00A44C0C">
              <w:rPr>
                <w:rFonts w:ascii="Palatino Linotype" w:eastAsia="Palatino Linotype" w:hAnsi="Palatino Linotype" w:cs="Palatino Linotype"/>
                <w:b/>
                <w:sz w:val="20"/>
                <w:szCs w:val="20"/>
              </w:rPr>
              <w:t>DIECISÉIS DE DICIEMBRE DE DOS MIL VEINTIDÓS</w:t>
            </w:r>
          </w:p>
        </w:tc>
      </w:tr>
      <w:tr w:rsidR="00A44C0C" w:rsidRPr="00A44C0C">
        <w:tc>
          <w:tcPr>
            <w:tcW w:w="2830" w:type="dxa"/>
            <w:shd w:val="clear" w:color="auto" w:fill="D9D9D9"/>
            <w:vAlign w:val="center"/>
          </w:tcPr>
          <w:p w:rsidR="00CC0975" w:rsidRPr="00A44C0C" w:rsidRDefault="008E3FD6">
            <w:pPr>
              <w:jc w:val="both"/>
              <w:rPr>
                <w:rFonts w:ascii="Palatino Linotype" w:eastAsia="Palatino Linotype" w:hAnsi="Palatino Linotype" w:cs="Palatino Linotype"/>
                <w:b/>
                <w:sz w:val="20"/>
                <w:szCs w:val="20"/>
              </w:rPr>
            </w:pPr>
            <w:r w:rsidRPr="00A44C0C">
              <w:rPr>
                <w:rFonts w:ascii="Palatino Linotype" w:eastAsia="Palatino Linotype" w:hAnsi="Palatino Linotype" w:cs="Palatino Linotype"/>
                <w:b/>
                <w:sz w:val="20"/>
                <w:szCs w:val="20"/>
              </w:rPr>
              <w:t>RECURSOS DE REVISIÓN</w:t>
            </w:r>
          </w:p>
        </w:tc>
        <w:tc>
          <w:tcPr>
            <w:tcW w:w="2552" w:type="dxa"/>
            <w:shd w:val="clear" w:color="auto" w:fill="D9D9D9"/>
            <w:vAlign w:val="center"/>
          </w:tcPr>
          <w:p w:rsidR="00CC0975" w:rsidRPr="00A44C0C" w:rsidRDefault="008E3FD6">
            <w:pPr>
              <w:jc w:val="both"/>
              <w:rPr>
                <w:rFonts w:ascii="Palatino Linotype" w:eastAsia="Palatino Linotype" w:hAnsi="Palatino Linotype" w:cs="Palatino Linotype"/>
                <w:b/>
                <w:sz w:val="20"/>
                <w:szCs w:val="20"/>
              </w:rPr>
            </w:pPr>
            <w:r w:rsidRPr="00A44C0C">
              <w:rPr>
                <w:rFonts w:ascii="Palatino Linotype" w:eastAsia="Palatino Linotype" w:hAnsi="Palatino Linotype" w:cs="Palatino Linotype"/>
                <w:b/>
                <w:sz w:val="20"/>
                <w:szCs w:val="20"/>
              </w:rPr>
              <w:t>ACTOS IMPUGNADOS</w:t>
            </w:r>
          </w:p>
        </w:tc>
        <w:tc>
          <w:tcPr>
            <w:tcW w:w="3446" w:type="dxa"/>
            <w:shd w:val="clear" w:color="auto" w:fill="D9D9D9"/>
            <w:vAlign w:val="center"/>
          </w:tcPr>
          <w:p w:rsidR="00CC0975" w:rsidRPr="00A44C0C" w:rsidRDefault="008E3FD6">
            <w:pPr>
              <w:jc w:val="both"/>
              <w:rPr>
                <w:rFonts w:ascii="Palatino Linotype" w:eastAsia="Palatino Linotype" w:hAnsi="Palatino Linotype" w:cs="Palatino Linotype"/>
                <w:b/>
                <w:sz w:val="20"/>
                <w:szCs w:val="20"/>
              </w:rPr>
            </w:pPr>
            <w:r w:rsidRPr="00A44C0C">
              <w:rPr>
                <w:rFonts w:ascii="Palatino Linotype" w:eastAsia="Palatino Linotype" w:hAnsi="Palatino Linotype" w:cs="Palatino Linotype"/>
                <w:b/>
                <w:sz w:val="20"/>
                <w:szCs w:val="20"/>
              </w:rPr>
              <w:t>RAZONES O MOTIVOS DE INCONFORMIDAD</w:t>
            </w:r>
          </w:p>
        </w:tc>
      </w:tr>
      <w:tr w:rsidR="00A44C0C" w:rsidRPr="00A44C0C">
        <w:tc>
          <w:tcPr>
            <w:tcW w:w="2830" w:type="dxa"/>
            <w:vAlign w:val="center"/>
          </w:tcPr>
          <w:p w:rsidR="00CC0975" w:rsidRPr="00A44C0C" w:rsidRDefault="008E3FD6">
            <w:pPr>
              <w:jc w:val="both"/>
              <w:rPr>
                <w:rFonts w:ascii="Palatino Linotype" w:eastAsia="Palatino Linotype" w:hAnsi="Palatino Linotype" w:cs="Palatino Linotype"/>
                <w:sz w:val="20"/>
                <w:szCs w:val="20"/>
              </w:rPr>
            </w:pPr>
            <w:r w:rsidRPr="00A44C0C">
              <w:rPr>
                <w:rFonts w:ascii="Palatino Linotype" w:eastAsia="Palatino Linotype" w:hAnsi="Palatino Linotype" w:cs="Palatino Linotype"/>
                <w:b/>
                <w:sz w:val="20"/>
                <w:szCs w:val="20"/>
              </w:rPr>
              <w:t>17399/INFOEM/IP/RR/2022</w:t>
            </w:r>
          </w:p>
        </w:tc>
        <w:tc>
          <w:tcPr>
            <w:tcW w:w="2552" w:type="dxa"/>
            <w:vAlign w:val="center"/>
          </w:tcPr>
          <w:p w:rsidR="00CC0975" w:rsidRPr="00A44C0C" w:rsidRDefault="00CC0975">
            <w:pPr>
              <w:jc w:val="center"/>
              <w:rPr>
                <w:rFonts w:ascii="Palatino Linotype" w:eastAsia="Palatino Linotype" w:hAnsi="Palatino Linotype" w:cs="Palatino Linotype"/>
                <w:i/>
                <w:sz w:val="22"/>
                <w:szCs w:val="22"/>
              </w:rPr>
            </w:pPr>
          </w:p>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 xml:space="preserve">“La respuesta formulada por la Unidad de Transparencia” (Sic) </w:t>
            </w:r>
          </w:p>
          <w:p w:rsidR="00CC0975" w:rsidRPr="00A44C0C" w:rsidRDefault="00CC0975">
            <w:pPr>
              <w:jc w:val="center"/>
              <w:rPr>
                <w:rFonts w:ascii="Palatino Linotype" w:eastAsia="Palatino Linotype" w:hAnsi="Palatino Linotype" w:cs="Palatino Linotype"/>
                <w:i/>
                <w:sz w:val="22"/>
                <w:szCs w:val="22"/>
              </w:rPr>
            </w:pPr>
          </w:p>
        </w:tc>
        <w:tc>
          <w:tcPr>
            <w:tcW w:w="3446" w:type="dxa"/>
            <w:vAlign w:val="center"/>
          </w:tcPr>
          <w:p w:rsidR="00CC0975" w:rsidRPr="00A44C0C" w:rsidRDefault="008E3FD6">
            <w:pPr>
              <w:jc w:val="center"/>
              <w:rPr>
                <w:rFonts w:ascii="Palatino Linotype" w:eastAsia="Palatino Linotype" w:hAnsi="Palatino Linotype" w:cs="Palatino Linotype"/>
                <w:b/>
                <w:i/>
                <w:sz w:val="22"/>
                <w:szCs w:val="22"/>
                <w:u w:val="single"/>
              </w:rPr>
            </w:pPr>
            <w:r w:rsidRPr="00A44C0C">
              <w:rPr>
                <w:rFonts w:ascii="Palatino Linotype" w:eastAsia="Palatino Linotype" w:hAnsi="Palatino Linotype" w:cs="Palatino Linotype"/>
                <w:b/>
                <w:i/>
                <w:sz w:val="22"/>
                <w:szCs w:val="22"/>
                <w:u w:val="single"/>
              </w:rPr>
              <w:t xml:space="preserve">“El cambio de modalidad” (Sic) </w:t>
            </w:r>
          </w:p>
        </w:tc>
      </w:tr>
      <w:tr w:rsidR="00A44C0C" w:rsidRPr="00A44C0C">
        <w:tc>
          <w:tcPr>
            <w:tcW w:w="2830" w:type="dxa"/>
            <w:vAlign w:val="center"/>
          </w:tcPr>
          <w:p w:rsidR="00CC0975" w:rsidRPr="00A44C0C" w:rsidRDefault="008E3FD6">
            <w:pPr>
              <w:jc w:val="both"/>
              <w:rPr>
                <w:rFonts w:ascii="Palatino Linotype" w:eastAsia="Palatino Linotype" w:hAnsi="Palatino Linotype" w:cs="Palatino Linotype"/>
                <w:sz w:val="20"/>
                <w:szCs w:val="20"/>
              </w:rPr>
            </w:pPr>
            <w:r w:rsidRPr="00A44C0C">
              <w:rPr>
                <w:rFonts w:ascii="Palatino Linotype" w:eastAsia="Palatino Linotype" w:hAnsi="Palatino Linotype" w:cs="Palatino Linotype"/>
                <w:b/>
                <w:sz w:val="20"/>
                <w:szCs w:val="20"/>
              </w:rPr>
              <w:t>17402/INFOEM/IP/RR/2022</w:t>
            </w:r>
          </w:p>
        </w:tc>
        <w:tc>
          <w:tcPr>
            <w:tcW w:w="2552" w:type="dxa"/>
            <w:vAlign w:val="center"/>
          </w:tcPr>
          <w:p w:rsidR="00CC0975" w:rsidRPr="00A44C0C" w:rsidRDefault="00CC0975">
            <w:pPr>
              <w:jc w:val="center"/>
              <w:rPr>
                <w:rFonts w:ascii="Palatino Linotype" w:eastAsia="Palatino Linotype" w:hAnsi="Palatino Linotype" w:cs="Palatino Linotype"/>
                <w:i/>
                <w:sz w:val="22"/>
                <w:szCs w:val="22"/>
              </w:rPr>
            </w:pPr>
          </w:p>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 xml:space="preserve">“La notificación de la respuesta.” (Sic) </w:t>
            </w:r>
          </w:p>
          <w:p w:rsidR="00CC0975" w:rsidRPr="00A44C0C" w:rsidRDefault="00CC0975">
            <w:pPr>
              <w:jc w:val="center"/>
              <w:rPr>
                <w:rFonts w:ascii="Palatino Linotype" w:eastAsia="Palatino Linotype" w:hAnsi="Palatino Linotype" w:cs="Palatino Linotype"/>
                <w:i/>
                <w:sz w:val="22"/>
                <w:szCs w:val="22"/>
              </w:rPr>
            </w:pPr>
          </w:p>
        </w:tc>
        <w:tc>
          <w:tcPr>
            <w:tcW w:w="3446" w:type="dxa"/>
            <w:vAlign w:val="center"/>
          </w:tcPr>
          <w:p w:rsidR="00CC0975" w:rsidRPr="00A44C0C" w:rsidRDefault="008E3FD6">
            <w:pPr>
              <w:jc w:val="center"/>
              <w:rPr>
                <w:rFonts w:ascii="Palatino Linotype" w:eastAsia="Palatino Linotype" w:hAnsi="Palatino Linotype" w:cs="Palatino Linotype"/>
                <w:b/>
                <w:i/>
                <w:sz w:val="22"/>
                <w:szCs w:val="22"/>
                <w:u w:val="single"/>
              </w:rPr>
            </w:pPr>
            <w:r w:rsidRPr="00A44C0C">
              <w:rPr>
                <w:rFonts w:ascii="Palatino Linotype" w:eastAsia="Palatino Linotype" w:hAnsi="Palatino Linotype" w:cs="Palatino Linotype"/>
                <w:b/>
                <w:i/>
                <w:sz w:val="22"/>
                <w:szCs w:val="22"/>
                <w:u w:val="single"/>
              </w:rPr>
              <w:t>“El cambio de modalidad” (Sic)</w:t>
            </w:r>
          </w:p>
        </w:tc>
      </w:tr>
      <w:tr w:rsidR="00A44C0C" w:rsidRPr="00A44C0C">
        <w:tc>
          <w:tcPr>
            <w:tcW w:w="2830" w:type="dxa"/>
            <w:vAlign w:val="center"/>
          </w:tcPr>
          <w:p w:rsidR="00CC0975" w:rsidRPr="00A44C0C" w:rsidRDefault="008E3FD6">
            <w:pPr>
              <w:jc w:val="both"/>
              <w:rPr>
                <w:rFonts w:ascii="Palatino Linotype" w:eastAsia="Palatino Linotype" w:hAnsi="Palatino Linotype" w:cs="Palatino Linotype"/>
                <w:sz w:val="20"/>
                <w:szCs w:val="20"/>
              </w:rPr>
            </w:pPr>
            <w:r w:rsidRPr="00A44C0C">
              <w:rPr>
                <w:rFonts w:ascii="Palatino Linotype" w:eastAsia="Palatino Linotype" w:hAnsi="Palatino Linotype" w:cs="Palatino Linotype"/>
                <w:b/>
                <w:sz w:val="20"/>
                <w:szCs w:val="20"/>
              </w:rPr>
              <w:t>17403/INFOEM/IP/RR/2022</w:t>
            </w:r>
          </w:p>
        </w:tc>
        <w:tc>
          <w:tcPr>
            <w:tcW w:w="2552" w:type="dxa"/>
            <w:vAlign w:val="center"/>
          </w:tcPr>
          <w:p w:rsidR="00CC0975" w:rsidRPr="00A44C0C" w:rsidRDefault="00CC0975">
            <w:pPr>
              <w:jc w:val="center"/>
              <w:rPr>
                <w:rFonts w:ascii="Palatino Linotype" w:eastAsia="Palatino Linotype" w:hAnsi="Palatino Linotype" w:cs="Palatino Linotype"/>
                <w:i/>
                <w:sz w:val="22"/>
                <w:szCs w:val="22"/>
              </w:rPr>
            </w:pPr>
          </w:p>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“La respuesta entregada” (Sic)</w:t>
            </w:r>
          </w:p>
          <w:p w:rsidR="00CC0975" w:rsidRPr="00A44C0C" w:rsidRDefault="00CC0975">
            <w:pPr>
              <w:jc w:val="center"/>
              <w:rPr>
                <w:rFonts w:ascii="Palatino Linotype" w:eastAsia="Palatino Linotype" w:hAnsi="Palatino Linotype" w:cs="Palatino Linotype"/>
                <w:i/>
                <w:sz w:val="22"/>
                <w:szCs w:val="22"/>
              </w:rPr>
            </w:pPr>
          </w:p>
        </w:tc>
        <w:tc>
          <w:tcPr>
            <w:tcW w:w="3446" w:type="dxa"/>
            <w:vAlign w:val="center"/>
          </w:tcPr>
          <w:p w:rsidR="00CC0975" w:rsidRPr="00A44C0C" w:rsidRDefault="008E3FD6">
            <w:pPr>
              <w:jc w:val="center"/>
              <w:rPr>
                <w:rFonts w:ascii="Palatino Linotype" w:eastAsia="Palatino Linotype" w:hAnsi="Palatino Linotype" w:cs="Palatino Linotype"/>
                <w:b/>
                <w:i/>
                <w:sz w:val="22"/>
                <w:szCs w:val="22"/>
                <w:u w:val="single"/>
              </w:rPr>
            </w:pPr>
            <w:r w:rsidRPr="00A44C0C">
              <w:rPr>
                <w:rFonts w:ascii="Palatino Linotype" w:eastAsia="Palatino Linotype" w:hAnsi="Palatino Linotype" w:cs="Palatino Linotype"/>
                <w:b/>
                <w:i/>
                <w:sz w:val="22"/>
                <w:szCs w:val="22"/>
                <w:u w:val="single"/>
              </w:rPr>
              <w:t>“El cambio de modalidad” (Sic)</w:t>
            </w:r>
          </w:p>
        </w:tc>
      </w:tr>
      <w:tr w:rsidR="00A44C0C" w:rsidRPr="00A44C0C">
        <w:tc>
          <w:tcPr>
            <w:tcW w:w="2830" w:type="dxa"/>
            <w:vAlign w:val="center"/>
          </w:tcPr>
          <w:p w:rsidR="00CC0975" w:rsidRPr="00A44C0C" w:rsidRDefault="008E3FD6">
            <w:pPr>
              <w:jc w:val="both"/>
              <w:rPr>
                <w:rFonts w:ascii="Palatino Linotype" w:eastAsia="Palatino Linotype" w:hAnsi="Palatino Linotype" w:cs="Palatino Linotype"/>
                <w:sz w:val="20"/>
                <w:szCs w:val="20"/>
              </w:rPr>
            </w:pPr>
            <w:r w:rsidRPr="00A44C0C">
              <w:rPr>
                <w:rFonts w:ascii="Palatino Linotype" w:eastAsia="Palatino Linotype" w:hAnsi="Palatino Linotype" w:cs="Palatino Linotype"/>
                <w:b/>
                <w:sz w:val="20"/>
                <w:szCs w:val="20"/>
              </w:rPr>
              <w:t xml:space="preserve">17404/INFOEM/IP/RR/2022 </w:t>
            </w:r>
          </w:p>
        </w:tc>
        <w:tc>
          <w:tcPr>
            <w:tcW w:w="2552" w:type="dxa"/>
            <w:vAlign w:val="center"/>
          </w:tcPr>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“La respuesta” (Sic)</w:t>
            </w:r>
          </w:p>
        </w:tc>
        <w:tc>
          <w:tcPr>
            <w:tcW w:w="3446" w:type="dxa"/>
            <w:vAlign w:val="center"/>
          </w:tcPr>
          <w:p w:rsidR="00CC0975" w:rsidRPr="00A44C0C" w:rsidRDefault="00CC0975">
            <w:pPr>
              <w:jc w:val="center"/>
              <w:rPr>
                <w:rFonts w:ascii="Palatino Linotype" w:eastAsia="Palatino Linotype" w:hAnsi="Palatino Linotype" w:cs="Palatino Linotype"/>
                <w:i/>
                <w:sz w:val="22"/>
                <w:szCs w:val="22"/>
              </w:rPr>
            </w:pPr>
          </w:p>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w:t>
            </w:r>
            <w:proofErr w:type="spellStart"/>
            <w:r w:rsidRPr="00A44C0C">
              <w:rPr>
                <w:rFonts w:ascii="Palatino Linotype" w:eastAsia="Palatino Linotype" w:hAnsi="Palatino Linotype" w:cs="Palatino Linotype"/>
                <w:i/>
                <w:sz w:val="22"/>
                <w:szCs w:val="22"/>
              </w:rPr>
              <w:t>Pedi</w:t>
            </w:r>
            <w:proofErr w:type="spellEnd"/>
            <w:r w:rsidRPr="00A44C0C">
              <w:rPr>
                <w:rFonts w:ascii="Palatino Linotype" w:eastAsia="Palatino Linotype" w:hAnsi="Palatino Linotype" w:cs="Palatino Linotype"/>
                <w:i/>
                <w:sz w:val="22"/>
                <w:szCs w:val="22"/>
              </w:rPr>
              <w:t xml:space="preserve"> los oficios que las </w:t>
            </w:r>
            <w:proofErr w:type="spellStart"/>
            <w:r w:rsidRPr="00A44C0C">
              <w:rPr>
                <w:rFonts w:ascii="Palatino Linotype" w:eastAsia="Palatino Linotype" w:hAnsi="Palatino Linotype" w:cs="Palatino Linotype"/>
                <w:i/>
                <w:sz w:val="22"/>
                <w:szCs w:val="22"/>
              </w:rPr>
              <w:t>areas</w:t>
            </w:r>
            <w:proofErr w:type="spellEnd"/>
            <w:r w:rsidRPr="00A44C0C">
              <w:rPr>
                <w:rFonts w:ascii="Palatino Linotype" w:eastAsia="Palatino Linotype" w:hAnsi="Palatino Linotype" w:cs="Palatino Linotype"/>
                <w:i/>
                <w:sz w:val="22"/>
                <w:szCs w:val="22"/>
              </w:rPr>
              <w:t xml:space="preserve"> recibieron de la Unidad de </w:t>
            </w:r>
            <w:r w:rsidRPr="00A44C0C">
              <w:rPr>
                <w:rFonts w:ascii="Palatino Linotype" w:eastAsia="Palatino Linotype" w:hAnsi="Palatino Linotype" w:cs="Palatino Linotype"/>
                <w:i/>
                <w:sz w:val="22"/>
                <w:szCs w:val="22"/>
              </w:rPr>
              <w:lastRenderedPageBreak/>
              <w:t xml:space="preserve">Transparencia, </w:t>
            </w:r>
            <w:r w:rsidRPr="00A44C0C">
              <w:rPr>
                <w:rFonts w:ascii="Palatino Linotype" w:eastAsia="Palatino Linotype" w:hAnsi="Palatino Linotype" w:cs="Palatino Linotype"/>
                <w:b/>
                <w:i/>
                <w:sz w:val="22"/>
                <w:szCs w:val="22"/>
                <w:u w:val="single"/>
              </w:rPr>
              <w:t>se me hace absurdo que tenga que ir a la Unidad de Transparencia a checar esos oficios.”</w:t>
            </w:r>
            <w:r w:rsidRPr="00A44C0C">
              <w:rPr>
                <w:rFonts w:ascii="Palatino Linotype" w:eastAsia="Palatino Linotype" w:hAnsi="Palatino Linotype" w:cs="Palatino Linotype"/>
                <w:i/>
                <w:sz w:val="22"/>
                <w:szCs w:val="22"/>
              </w:rPr>
              <w:t xml:space="preserve"> (Sic)</w:t>
            </w:r>
          </w:p>
          <w:p w:rsidR="00CC0975" w:rsidRPr="00A44C0C" w:rsidRDefault="00CC0975">
            <w:pPr>
              <w:jc w:val="center"/>
              <w:rPr>
                <w:rFonts w:ascii="Palatino Linotype" w:eastAsia="Palatino Linotype" w:hAnsi="Palatino Linotype" w:cs="Palatino Linotype"/>
                <w:i/>
                <w:sz w:val="22"/>
                <w:szCs w:val="22"/>
              </w:rPr>
            </w:pPr>
          </w:p>
        </w:tc>
      </w:tr>
      <w:tr w:rsidR="00A44C0C" w:rsidRPr="00A44C0C">
        <w:tc>
          <w:tcPr>
            <w:tcW w:w="8828" w:type="dxa"/>
            <w:gridSpan w:val="3"/>
            <w:shd w:val="clear" w:color="auto" w:fill="D9D9D9"/>
            <w:vAlign w:val="center"/>
          </w:tcPr>
          <w:p w:rsidR="00CC0975" w:rsidRPr="00A44C0C" w:rsidRDefault="008E3FD6">
            <w:pPr>
              <w:jc w:val="center"/>
              <w:rPr>
                <w:rFonts w:ascii="Palatino Linotype" w:eastAsia="Palatino Linotype" w:hAnsi="Palatino Linotype" w:cs="Palatino Linotype"/>
                <w:b/>
                <w:sz w:val="20"/>
                <w:szCs w:val="20"/>
              </w:rPr>
            </w:pPr>
            <w:r w:rsidRPr="00A44C0C">
              <w:rPr>
                <w:rFonts w:ascii="Palatino Linotype" w:eastAsia="Palatino Linotype" w:hAnsi="Palatino Linotype" w:cs="Palatino Linotype"/>
                <w:b/>
                <w:sz w:val="20"/>
                <w:szCs w:val="20"/>
              </w:rPr>
              <w:lastRenderedPageBreak/>
              <w:t>DIECINUEVE DE DICIEMBRE DE DOS MIL VEINTIDÓS</w:t>
            </w:r>
          </w:p>
        </w:tc>
      </w:tr>
      <w:tr w:rsidR="00A44C0C" w:rsidRPr="00A44C0C">
        <w:tc>
          <w:tcPr>
            <w:tcW w:w="2830" w:type="dxa"/>
            <w:vAlign w:val="center"/>
          </w:tcPr>
          <w:p w:rsidR="00CC0975" w:rsidRPr="00A44C0C" w:rsidRDefault="008E3FD6">
            <w:pPr>
              <w:jc w:val="both"/>
              <w:rPr>
                <w:rFonts w:ascii="Palatino Linotype" w:eastAsia="Palatino Linotype" w:hAnsi="Palatino Linotype" w:cs="Palatino Linotype"/>
                <w:sz w:val="20"/>
                <w:szCs w:val="20"/>
              </w:rPr>
            </w:pPr>
            <w:r w:rsidRPr="00A44C0C">
              <w:rPr>
                <w:rFonts w:ascii="Palatino Linotype" w:eastAsia="Palatino Linotype" w:hAnsi="Palatino Linotype" w:cs="Palatino Linotype"/>
                <w:b/>
                <w:sz w:val="20"/>
                <w:szCs w:val="20"/>
              </w:rPr>
              <w:t>17479/INFOEM/IP/RR/2022</w:t>
            </w:r>
          </w:p>
        </w:tc>
        <w:tc>
          <w:tcPr>
            <w:tcW w:w="2552" w:type="dxa"/>
            <w:vAlign w:val="center"/>
          </w:tcPr>
          <w:p w:rsidR="00CC0975" w:rsidRPr="00A44C0C" w:rsidRDefault="00CC0975">
            <w:pPr>
              <w:jc w:val="center"/>
              <w:rPr>
                <w:rFonts w:ascii="Palatino Linotype" w:eastAsia="Palatino Linotype" w:hAnsi="Palatino Linotype" w:cs="Palatino Linotype"/>
                <w:i/>
                <w:sz w:val="22"/>
                <w:szCs w:val="22"/>
              </w:rPr>
            </w:pPr>
          </w:p>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“LA RESPUESTA” (Sic)</w:t>
            </w:r>
          </w:p>
        </w:tc>
        <w:tc>
          <w:tcPr>
            <w:tcW w:w="3446" w:type="dxa"/>
            <w:vAlign w:val="center"/>
          </w:tcPr>
          <w:p w:rsidR="00CC0975" w:rsidRPr="00A44C0C" w:rsidRDefault="00CC0975">
            <w:pPr>
              <w:jc w:val="center"/>
              <w:rPr>
                <w:rFonts w:ascii="Palatino Linotype" w:eastAsia="Palatino Linotype" w:hAnsi="Palatino Linotype" w:cs="Palatino Linotype"/>
                <w:i/>
                <w:sz w:val="22"/>
                <w:szCs w:val="22"/>
              </w:rPr>
            </w:pPr>
          </w:p>
          <w:p w:rsidR="00CC0975" w:rsidRPr="00A44C0C" w:rsidRDefault="008E3FD6">
            <w:pPr>
              <w:jc w:val="center"/>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w:t>
            </w:r>
            <w:r w:rsidRPr="00A44C0C">
              <w:rPr>
                <w:rFonts w:ascii="Palatino Linotype" w:eastAsia="Palatino Linotype" w:hAnsi="Palatino Linotype" w:cs="Palatino Linotype"/>
                <w:b/>
                <w:i/>
                <w:sz w:val="22"/>
                <w:szCs w:val="22"/>
                <w:u w:val="single"/>
              </w:rPr>
              <w:t>EL CAMBIO DE MODALIDAD</w:t>
            </w:r>
            <w:r w:rsidRPr="00A44C0C">
              <w:rPr>
                <w:rFonts w:ascii="Palatino Linotype" w:eastAsia="Palatino Linotype" w:hAnsi="Palatino Linotype" w:cs="Palatino Linotype"/>
                <w:i/>
                <w:sz w:val="22"/>
                <w:szCs w:val="22"/>
              </w:rPr>
              <w:t xml:space="preserve"> NO SE JUSTIFICA” (Sic)</w:t>
            </w:r>
          </w:p>
          <w:p w:rsidR="00CC0975" w:rsidRPr="00A44C0C" w:rsidRDefault="00CC0975">
            <w:pPr>
              <w:jc w:val="center"/>
              <w:rPr>
                <w:rFonts w:ascii="Palatino Linotype" w:eastAsia="Palatino Linotype" w:hAnsi="Palatino Linotype" w:cs="Palatino Linotype"/>
                <w:i/>
                <w:sz w:val="22"/>
                <w:szCs w:val="22"/>
              </w:rPr>
            </w:pPr>
          </w:p>
        </w:tc>
      </w:tr>
    </w:tbl>
    <w:p w:rsidR="00CC0975" w:rsidRPr="00A44C0C" w:rsidRDefault="00CC0975">
      <w:pPr>
        <w:spacing w:line="360" w:lineRule="auto"/>
        <w:ind w:right="62"/>
        <w:jc w:val="both"/>
        <w:rPr>
          <w:rFonts w:ascii="Palatino Linotype" w:eastAsia="Palatino Linotype" w:hAnsi="Palatino Linotype" w:cs="Palatino Linotype"/>
        </w:rPr>
      </w:pPr>
    </w:p>
    <w:p w:rsidR="00CC0975" w:rsidRPr="00A44C0C" w:rsidRDefault="008E3FD6">
      <w:pPr>
        <w:spacing w:line="360" w:lineRule="auto"/>
        <w:ind w:right="62"/>
        <w:jc w:val="both"/>
        <w:rPr>
          <w:rFonts w:ascii="Palatino Linotype" w:eastAsia="Palatino Linotype" w:hAnsi="Palatino Linotype" w:cs="Palatino Linotype"/>
        </w:rPr>
      </w:pPr>
      <w:bookmarkStart w:id="4" w:name="_heading=h.lub77pnmftt6" w:colFirst="0" w:colLast="0"/>
      <w:bookmarkEnd w:id="4"/>
      <w:r w:rsidRPr="00A44C0C">
        <w:rPr>
          <w:rFonts w:ascii="Palatino Linotype" w:eastAsia="Palatino Linotype" w:hAnsi="Palatino Linotype" w:cs="Palatino Linotype"/>
        </w:rPr>
        <w:t xml:space="preserve">Como pudimos ver de manera gráfica, </w:t>
      </w:r>
      <w:r w:rsidRPr="00A44C0C">
        <w:rPr>
          <w:rFonts w:ascii="Palatino Linotype" w:eastAsia="Palatino Linotype" w:hAnsi="Palatino Linotype" w:cs="Palatino Linotype"/>
          <w:b/>
          <w:i/>
          <w:u w:val="single"/>
        </w:rPr>
        <w:t>con el énfasis añadido</w:t>
      </w:r>
      <w:r w:rsidRPr="00A44C0C">
        <w:rPr>
          <w:rFonts w:ascii="Palatino Linotype" w:eastAsia="Palatino Linotype" w:hAnsi="Palatino Linotype" w:cs="Palatino Linotype"/>
        </w:rPr>
        <w:t xml:space="preserve"> en las razones o motivos de inconformidad, podemos concluir que </w:t>
      </w:r>
      <w:r w:rsidRPr="00A44C0C">
        <w:rPr>
          <w:rFonts w:ascii="Palatino Linotype" w:eastAsia="Palatino Linotype" w:hAnsi="Palatino Linotype" w:cs="Palatino Linotype"/>
          <w:b/>
        </w:rPr>
        <w:t xml:space="preserve">LA PARTE RECURRENTE </w:t>
      </w:r>
      <w:r w:rsidRPr="00A44C0C">
        <w:rPr>
          <w:rFonts w:ascii="Palatino Linotype" w:eastAsia="Palatino Linotype" w:hAnsi="Palatino Linotype" w:cs="Palatino Linotype"/>
        </w:rPr>
        <w:t xml:space="preserve">se ve afectada en su Derecho a Saber, por un único motivo en todos los casos como es el cambio de modalidad. </w:t>
      </w:r>
    </w:p>
    <w:p w:rsidR="00CC0975" w:rsidRPr="00A44C0C" w:rsidRDefault="00CC0975">
      <w:pPr>
        <w:spacing w:line="360" w:lineRule="auto"/>
        <w:ind w:right="62"/>
        <w:jc w:val="both"/>
        <w:rPr>
          <w:rFonts w:ascii="Palatino Linotype" w:eastAsia="Palatino Linotype" w:hAnsi="Palatino Linotype" w:cs="Palatino Linotype"/>
        </w:rPr>
      </w:pPr>
    </w:p>
    <w:p w:rsidR="00CC0975" w:rsidRPr="00A44C0C" w:rsidRDefault="008E3FD6">
      <w:pPr>
        <w:spacing w:line="360" w:lineRule="auto"/>
        <w:ind w:right="62"/>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Hasta este punto, los motivos de inconformidad de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suponen que existió una omisión en el actuar del </w:t>
      </w:r>
      <w:r w:rsidRPr="00A44C0C">
        <w:rPr>
          <w:rFonts w:ascii="Palatino Linotype" w:eastAsia="Palatino Linotype" w:hAnsi="Palatino Linotype" w:cs="Palatino Linotype"/>
          <w:b/>
        </w:rPr>
        <w:t>SUJETO OBLIGADO</w:t>
      </w:r>
      <w:r w:rsidRPr="00A44C0C">
        <w:rPr>
          <w:rFonts w:ascii="Palatino Linotype" w:eastAsia="Palatino Linotype" w:hAnsi="Palatino Linotype" w:cs="Palatino Linotype"/>
        </w:rPr>
        <w:t xml:space="preserve"> al momento de realizar un cambio de modalidad, pues como ha quedado claro, la entonces persona solicitante requirió que la información le fuera remitida mediante el SAIMEX, sistema que tiene como propósito facilitar en la entidad el ejercicio del derecho humano de acceso a la información pública, de forma sencilla y gratuita, como se ilustra a continuación a modo de ejemplo: </w:t>
      </w:r>
    </w:p>
    <w:p w:rsidR="00CC0975" w:rsidRPr="00A44C0C" w:rsidRDefault="008E3FD6">
      <w:pPr>
        <w:spacing w:line="360" w:lineRule="auto"/>
        <w:ind w:right="51"/>
        <w:jc w:val="center"/>
        <w:rPr>
          <w:rFonts w:ascii="Palatino Linotype" w:eastAsia="Palatino Linotype" w:hAnsi="Palatino Linotype" w:cs="Palatino Linotype"/>
        </w:rPr>
      </w:pPr>
      <w:r w:rsidRPr="00A44C0C">
        <w:rPr>
          <w:noProof/>
        </w:rPr>
        <w:lastRenderedPageBreak/>
        <w:drawing>
          <wp:inline distT="0" distB="0" distL="0" distR="0">
            <wp:extent cx="5033776" cy="1644623"/>
            <wp:effectExtent l="0" t="0" r="0" b="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7530" t="30914" r="2776" b="16982"/>
                    <a:stretch>
                      <a:fillRect/>
                    </a:stretch>
                  </pic:blipFill>
                  <pic:spPr>
                    <a:xfrm>
                      <a:off x="0" y="0"/>
                      <a:ext cx="5033776" cy="1644623"/>
                    </a:xfrm>
                    <a:prstGeom prst="rect">
                      <a:avLst/>
                    </a:prstGeom>
                    <a:ln/>
                  </pic:spPr>
                </pic:pic>
              </a:graphicData>
            </a:graphic>
          </wp:inline>
        </w:drawing>
      </w:r>
      <w:r w:rsidRPr="00A44C0C">
        <w:rPr>
          <w:noProof/>
        </w:rPr>
        <mc:AlternateContent>
          <mc:Choice Requires="wpg">
            <w:drawing>
              <wp:anchor distT="0" distB="0" distL="114300" distR="114300" simplePos="0" relativeHeight="251658240" behindDoc="0" locked="0" layoutInCell="1" hidden="0" allowOverlap="1">
                <wp:simplePos x="0" y="0"/>
                <wp:positionH relativeFrom="column">
                  <wp:posOffset>304800</wp:posOffset>
                </wp:positionH>
                <wp:positionV relativeFrom="paragraph">
                  <wp:posOffset>1181100</wp:posOffset>
                </wp:positionV>
                <wp:extent cx="1488542" cy="205308"/>
                <wp:effectExtent l="0" t="0" r="0" b="0"/>
                <wp:wrapNone/>
                <wp:docPr id="40" name="Rectángulo 40"/>
                <wp:cNvGraphicFramePr/>
                <a:graphic xmlns:a="http://schemas.openxmlformats.org/drawingml/2006/main">
                  <a:graphicData uri="http://schemas.microsoft.com/office/word/2010/wordprocessingShape">
                    <wps:wsp>
                      <wps:cNvSpPr/>
                      <wps:spPr>
                        <a:xfrm>
                          <a:off x="4611254" y="3686871"/>
                          <a:ext cx="1469492" cy="186258"/>
                        </a:xfrm>
                        <a:prstGeom prst="rect">
                          <a:avLst/>
                        </a:prstGeom>
                        <a:noFill/>
                        <a:ln w="9525" cap="flat" cmpd="sng">
                          <a:solidFill>
                            <a:srgbClr val="FF0000"/>
                          </a:solidFill>
                          <a:prstDash val="solid"/>
                          <a:round/>
                          <a:headEnd type="none" w="sm" len="sm"/>
                          <a:tailEnd type="none" w="sm" len="sm"/>
                        </a:ln>
                      </wps:spPr>
                      <wps:txbx>
                        <w:txbxContent>
                          <w:p w:rsidR="00CC0975" w:rsidRDefault="00CC097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wp:posOffset>
                </wp:positionH>
                <wp:positionV relativeFrom="paragraph">
                  <wp:posOffset>1181100</wp:posOffset>
                </wp:positionV>
                <wp:extent cx="1488542" cy="205308"/>
                <wp:effectExtent b="0" l="0" r="0" t="0"/>
                <wp:wrapNone/>
                <wp:docPr id="40"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1488542" cy="205308"/>
                        </a:xfrm>
                        <a:prstGeom prst="rect"/>
                        <a:ln/>
                      </pic:spPr>
                    </pic:pic>
                  </a:graphicData>
                </a:graphic>
              </wp:anchor>
            </w:drawing>
          </mc:Fallback>
        </mc:AlternateContent>
      </w:r>
    </w:p>
    <w:p w:rsidR="00CC0975" w:rsidRPr="00A44C0C" w:rsidRDefault="00CC0975">
      <w:pPr>
        <w:spacing w:line="360" w:lineRule="auto"/>
        <w:ind w:right="51"/>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Por lo que, </w:t>
      </w:r>
      <w:r w:rsidRPr="00A44C0C">
        <w:rPr>
          <w:rFonts w:ascii="Palatino Linotype" w:eastAsia="Palatino Linotype" w:hAnsi="Palatino Linotype" w:cs="Palatino Linotype"/>
          <w:b/>
          <w:u w:val="single"/>
        </w:rPr>
        <w:t>respecto al cambio de modalidad</w:t>
      </w:r>
      <w:r w:rsidRPr="00A44C0C">
        <w:rPr>
          <w:rFonts w:ascii="Palatino Linotype" w:eastAsia="Palatino Linotype" w:hAnsi="Palatino Linotype" w:cs="Palatino Linotype"/>
          <w:b/>
        </w:rPr>
        <w:t xml:space="preserve"> </w:t>
      </w:r>
      <w:r w:rsidRPr="00A44C0C">
        <w:rPr>
          <w:rFonts w:ascii="Palatino Linotype" w:eastAsia="Palatino Linotype" w:hAnsi="Palatino Linotype" w:cs="Palatino Linotype"/>
        </w:rPr>
        <w:t xml:space="preserve">conviene mencionar que el artículo 155, fracción V, de la Ley de Transparencia y Acceso a la Información Pública del Estado de México y Municipios, precisa que para presentar una solicitud, el particular podrá señalar </w:t>
      </w:r>
      <w:r w:rsidRPr="00A44C0C">
        <w:rPr>
          <w:rFonts w:ascii="Palatino Linotype" w:eastAsia="Palatino Linotype" w:hAnsi="Palatino Linotype" w:cs="Palatino Linotype"/>
          <w:b/>
        </w:rPr>
        <w:t>la modalidad en la que prefiere se otorgue el acceso a la información</w:t>
      </w:r>
      <w:r w:rsidRPr="00A44C0C">
        <w:rPr>
          <w:rFonts w:ascii="Palatino Linotype" w:eastAsia="Palatino Linotype" w:hAnsi="Palatino Linotype" w:cs="Palatino Linotype"/>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sidRPr="00A44C0C">
        <w:rPr>
          <w:rFonts w:ascii="Palatino Linotype" w:eastAsia="Palatino Linotype" w:hAnsi="Palatino Linotype" w:cs="Palatino Linotype"/>
        </w:rPr>
        <w:t>CD-Rom</w:t>
      </w:r>
      <w:proofErr w:type="spellEnd"/>
      <w:r w:rsidRPr="00A44C0C">
        <w:rPr>
          <w:rFonts w:ascii="Palatino Linotype" w:eastAsia="Palatino Linotype" w:hAnsi="Palatino Linotype" w:cs="Palatino Linotype"/>
        </w:rPr>
        <w:t xml:space="preserve"> (con costo), copias simples (con costo), copias certificadas (con costo), consulta directa (sin costo), o bien, cualquier otro que determine la persona solicitante.</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b/>
        </w:rPr>
      </w:pPr>
      <w:r w:rsidRPr="00A44C0C">
        <w:rPr>
          <w:rFonts w:ascii="Palatino Linotype" w:eastAsia="Palatino Linotype" w:hAnsi="Palatino Linotype" w:cs="Palatino Linotype"/>
        </w:rPr>
        <w:t xml:space="preserve">Por su parte, el artículo 158, dispone que, de manera excepcional, cuando de manera fundada y motivada lo determine el Sujeto Obligado, </w:t>
      </w:r>
      <w:r w:rsidRPr="00A44C0C">
        <w:rPr>
          <w:rFonts w:ascii="Palatino Linotype" w:eastAsia="Palatino Linotype" w:hAnsi="Palatino Linotype" w:cs="Palatino Linotype"/>
          <w:b/>
        </w:rPr>
        <w:t xml:space="preserve">en los casos en que la entrega de la información que se encuentre a su disposición sobrepase las capacidades técnicas, administrativas y humanas del Sujeto Obligado para cumplir con la </w:t>
      </w:r>
      <w:r w:rsidRPr="00A44C0C">
        <w:rPr>
          <w:rFonts w:ascii="Palatino Linotype" w:eastAsia="Palatino Linotype" w:hAnsi="Palatino Linotype" w:cs="Palatino Linotype"/>
          <w:b/>
        </w:rPr>
        <w:lastRenderedPageBreak/>
        <w:t>solicitud, se podrá poner a disposición del solicitante la información en consulta directa.</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De modo que el acceso a la información debe darse en la modalidad de entrega elegida por la parte solicitante,  y sólo para los casos en que se encuentren impedidos los sujetos obligados podrán ofrecer otra u otras modalidades debiendo fundar y motivar adecuadamente el cambio de modalidad en la entrega de la información</w:t>
      </w:r>
      <w:r w:rsidRPr="00A44C0C">
        <w:rPr>
          <w:rFonts w:ascii="Palatino Linotype" w:eastAsia="Palatino Linotype" w:hAnsi="Palatino Linotype" w:cs="Palatino Linotype"/>
          <w:vertAlign w:val="superscript"/>
        </w:rPr>
        <w:t xml:space="preserve"> </w:t>
      </w:r>
      <w:r w:rsidRPr="00A44C0C">
        <w:rPr>
          <w:rFonts w:ascii="Palatino Linotype" w:eastAsia="Palatino Linotype" w:hAnsi="Palatino Linotype" w:cs="Palatino Linotype"/>
          <w:vertAlign w:val="superscript"/>
        </w:rPr>
        <w:footnoteReference w:id="1"/>
      </w:r>
      <w:r w:rsidRPr="00A44C0C">
        <w:rPr>
          <w:rFonts w:ascii="Palatino Linotype" w:eastAsia="Palatino Linotype" w:hAnsi="Palatino Linotype" w:cs="Palatino Linotype"/>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CC0975" w:rsidRPr="00A44C0C" w:rsidRDefault="00CC0975">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CC0975" w:rsidRPr="00A44C0C" w:rsidRDefault="008E3FD6">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b/>
          <w:i/>
          <w:sz w:val="22"/>
          <w:szCs w:val="22"/>
        </w:rPr>
        <w:t>FUNDAMENTACIÓN Y MOTIVACIÓN DE LOS ACTOS ADMINISTRATIVOS</w:t>
      </w:r>
      <w:r w:rsidRPr="00A44C0C">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w:t>
      </w:r>
      <w:r w:rsidRPr="00A44C0C">
        <w:rPr>
          <w:rFonts w:ascii="Palatino Linotype" w:eastAsia="Palatino Linotype" w:hAnsi="Palatino Linotype" w:cs="Palatino Linotype"/>
          <w:i/>
          <w:sz w:val="22"/>
          <w:szCs w:val="22"/>
        </w:rPr>
        <w:lastRenderedPageBreak/>
        <w:t xml:space="preserve">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A44C0C">
        <w:rPr>
          <w:rFonts w:ascii="Palatino Linotype" w:eastAsia="Palatino Linotype" w:hAnsi="Palatino Linotype" w:cs="Palatino Linotype"/>
          <w:i/>
          <w:sz w:val="22"/>
          <w:szCs w:val="22"/>
        </w:rPr>
        <w:t>subincisos</w:t>
      </w:r>
      <w:proofErr w:type="spellEnd"/>
      <w:r w:rsidRPr="00A44C0C">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rsidR="00CC0975" w:rsidRPr="00A44C0C" w:rsidRDefault="00CC0975">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rsidR="00CC0975" w:rsidRPr="00A44C0C" w:rsidRDefault="00CC0975">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CC0975" w:rsidRPr="00A44C0C" w:rsidRDefault="008E3FD6">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b/>
          <w:i/>
          <w:sz w:val="22"/>
          <w:szCs w:val="22"/>
        </w:rPr>
        <w:t xml:space="preserve"> Artículo 160.</w:t>
      </w:r>
      <w:r w:rsidRPr="00A44C0C">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C0975" w:rsidRPr="00A44C0C" w:rsidRDefault="00CC0975">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CC0975" w:rsidRPr="00A44C0C" w:rsidRDefault="008E3FD6">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b/>
          <w:i/>
          <w:sz w:val="22"/>
          <w:szCs w:val="22"/>
        </w:rPr>
        <w:t>Artículo 164.</w:t>
      </w:r>
      <w:r w:rsidRPr="00A44C0C">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A44C0C">
        <w:rPr>
          <w:rFonts w:ascii="Palatino Linotype" w:eastAsia="Palatino Linotype" w:hAnsi="Palatino Linotype" w:cs="Palatino Linotype"/>
          <w:i/>
          <w:sz w:val="22"/>
          <w:szCs w:val="22"/>
          <w:u w:val="single"/>
        </w:rPr>
        <w:t>el sujeto obligado deberá ofrecer otra u otras modalidades de entrega.</w:t>
      </w:r>
      <w:r w:rsidRPr="00A44C0C">
        <w:rPr>
          <w:rFonts w:ascii="Palatino Linotype" w:eastAsia="Palatino Linotype" w:hAnsi="Palatino Linotype" w:cs="Palatino Linotype"/>
          <w:i/>
          <w:sz w:val="22"/>
          <w:szCs w:val="22"/>
        </w:rPr>
        <w:t xml:space="preserve"> En cualquier caso, se deberá fundar y motivar la necesidad de ofrecer otras modalidades.</w:t>
      </w:r>
    </w:p>
    <w:p w:rsidR="00CC0975" w:rsidRPr="00A44C0C" w:rsidRDefault="00CC0975">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Por lo cual, los Sujetos Obligados podrán poner a disposición, los documentos solicitados, en todo caso, por cualquier medio disponible en sus instalaciones, </w:t>
      </w:r>
      <w:r w:rsidRPr="00A44C0C">
        <w:rPr>
          <w:rFonts w:ascii="Palatino Linotype" w:eastAsia="Palatino Linotype" w:hAnsi="Palatino Linotype" w:cs="Palatino Linotype"/>
        </w:rPr>
        <w:lastRenderedPageBreak/>
        <w:t>cuando de forma fundada y motivada se determine que implica un análisis, estudio o procesamiento, cuya entrega o reproducción sobrepase las capacidades técnicas administrativas y humanas.</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A44C0C">
        <w:rPr>
          <w:rFonts w:ascii="Palatino Linotype" w:eastAsia="Palatino Linotype" w:hAnsi="Palatino Linotype" w:cs="Palatino Linotype"/>
          <w:b/>
        </w:rPr>
        <w:t>en la medida de lo posible, en la forma solicitada por el interesado, salvo que exista un impedimento justificado para atenderla</w:t>
      </w:r>
      <w:r w:rsidRPr="00A44C0C">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A44C0C">
        <w:rPr>
          <w:rFonts w:ascii="Palatino Linotype" w:eastAsia="Palatino Linotype" w:hAnsi="Palatino Linotype" w:cs="Palatino Linotype"/>
          <w:b/>
        </w:rPr>
        <w:t>sólo procede, en caso de que se acredite la imposibilidad de atenderla.</w:t>
      </w:r>
      <w:r w:rsidRPr="00A44C0C">
        <w:rPr>
          <w:rFonts w:ascii="Palatino Linotype" w:eastAsia="Palatino Linotype" w:hAnsi="Palatino Linotype" w:cs="Palatino Linotype"/>
        </w:rPr>
        <w:t xml:space="preserve"> </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Así, cuando se justifique el impedimento, </w:t>
      </w:r>
      <w:r w:rsidRPr="00A44C0C">
        <w:rPr>
          <w:rFonts w:ascii="Palatino Linotype" w:eastAsia="Palatino Linotype" w:hAnsi="Palatino Linotype" w:cs="Palatino Linotype"/>
          <w:b/>
        </w:rPr>
        <w:t>los Sujetos Obligados deberán ofrecer al particular otras modalidades de entrega que permita la información</w:t>
      </w:r>
      <w:r w:rsidRPr="00A44C0C">
        <w:rPr>
          <w:rFonts w:ascii="Palatino Linotype" w:eastAsia="Palatino Linotype" w:hAnsi="Palatino Linotype" w:cs="Palatino Linotype"/>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rsidR="00CC0975" w:rsidRPr="00A44C0C" w:rsidRDefault="00CC0975">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CC0975" w:rsidRPr="00A44C0C" w:rsidRDefault="008E3FD6">
      <w:pPr>
        <w:pBdr>
          <w:top w:val="nil"/>
          <w:left w:val="nil"/>
          <w:bottom w:val="nil"/>
          <w:right w:val="nil"/>
          <w:between w:val="nil"/>
        </w:pBdr>
        <w:ind w:left="851" w:right="851"/>
        <w:jc w:val="both"/>
        <w:rPr>
          <w:rFonts w:ascii="Palatino Linotype" w:eastAsia="Palatino Linotype" w:hAnsi="Palatino Linotype" w:cs="Palatino Linotype"/>
          <w:b/>
          <w:i/>
          <w:sz w:val="22"/>
          <w:szCs w:val="22"/>
          <w:u w:val="single"/>
        </w:rPr>
      </w:pPr>
      <w:r w:rsidRPr="00A44C0C">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A44C0C">
        <w:rPr>
          <w:rFonts w:ascii="Palatino Linotype" w:eastAsia="Palatino Linotype" w:hAnsi="Palatino Linotype" w:cs="Palatino Linotype"/>
          <w:i/>
          <w:sz w:val="22"/>
          <w:szCs w:val="22"/>
        </w:rPr>
        <w:t xml:space="preserve"> De una interpretación a los artículos 133 de la Ley General de Transparencia y Acceso a </w:t>
      </w:r>
      <w:r w:rsidRPr="00A44C0C">
        <w:rPr>
          <w:rFonts w:ascii="Palatino Linotype" w:eastAsia="Palatino Linotype" w:hAnsi="Palatino Linotype" w:cs="Palatino Linotype"/>
          <w:i/>
          <w:sz w:val="22"/>
          <w:szCs w:val="22"/>
        </w:rPr>
        <w:lastRenderedPageBreak/>
        <w:t xml:space="preserve">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A44C0C">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p>
    <w:p w:rsidR="00CC0975" w:rsidRPr="00A44C0C" w:rsidRDefault="00CC0975">
      <w:pPr>
        <w:pBdr>
          <w:top w:val="nil"/>
          <w:left w:val="nil"/>
          <w:bottom w:val="nil"/>
          <w:right w:val="nil"/>
          <w:between w:val="nil"/>
        </w:pBdr>
        <w:ind w:left="851" w:right="851"/>
        <w:jc w:val="both"/>
        <w:rPr>
          <w:rFonts w:ascii="Palatino Linotype" w:eastAsia="Palatino Linotype" w:hAnsi="Palatino Linotype" w:cs="Palatino Linotype"/>
          <w:b/>
          <w:i/>
          <w:sz w:val="22"/>
          <w:szCs w:val="22"/>
          <w:u w:val="single"/>
        </w:rPr>
      </w:pPr>
    </w:p>
    <w:p w:rsidR="00CC0975" w:rsidRPr="00A44C0C" w:rsidRDefault="008E3FD6">
      <w:pPr>
        <w:spacing w:line="360" w:lineRule="auto"/>
        <w:jc w:val="both"/>
        <w:rPr>
          <w:rFonts w:ascii="Palatino Linotype" w:eastAsia="Palatino Linotype" w:hAnsi="Palatino Linotype" w:cs="Palatino Linotype"/>
          <w:b/>
        </w:rPr>
      </w:pPr>
      <w:r w:rsidRPr="00A44C0C">
        <w:rPr>
          <w:rFonts w:ascii="Palatino Linotype" w:eastAsia="Palatino Linotype" w:hAnsi="Palatino Linotype" w:cs="Palatino Linotype"/>
        </w:rPr>
        <w:t>Del citado criterio, se desprende que cuando</w:t>
      </w:r>
      <w:r w:rsidRPr="00A44C0C">
        <w:rPr>
          <w:rFonts w:ascii="Palatino Linotype" w:eastAsia="Palatino Linotype" w:hAnsi="Palatino Linotype" w:cs="Palatino Linotype"/>
          <w:b/>
        </w:rPr>
        <w:t xml:space="preserve"> la información no pueda entregarse o enviarse en la modalidad elegida, </w:t>
      </w:r>
      <w:r w:rsidRPr="00A44C0C">
        <w:rPr>
          <w:rFonts w:ascii="Palatino Linotype" w:eastAsia="Palatino Linotype" w:hAnsi="Palatino Linotype" w:cs="Palatino Linotype"/>
        </w:rPr>
        <w:t xml:space="preserve">para que la obligación de acceso a la información se tenga por cumplida, </w:t>
      </w:r>
      <w:r w:rsidRPr="00A44C0C">
        <w:rPr>
          <w:rFonts w:ascii="Palatino Linotype" w:eastAsia="Palatino Linotype" w:hAnsi="Palatino Linotype" w:cs="Palatino Linotype"/>
          <w:b/>
        </w:rPr>
        <w:t>el Sujeto Obligado deberá ofrecer otra u otras modalidades de entrega.</w:t>
      </w:r>
      <w:r w:rsidRPr="00A44C0C">
        <w:rPr>
          <w:rFonts w:ascii="Palatino Linotype" w:eastAsia="Palatino Linotype" w:hAnsi="Palatino Linotype" w:cs="Palatino Linotype"/>
        </w:rPr>
        <w:t xml:space="preserve"> En cualquier caso, </w:t>
      </w:r>
      <w:r w:rsidRPr="00A44C0C">
        <w:rPr>
          <w:rFonts w:ascii="Palatino Linotype" w:eastAsia="Palatino Linotype" w:hAnsi="Palatino Linotype" w:cs="Palatino Linotype"/>
          <w:b/>
        </w:rPr>
        <w:t>se deberá fundar y motivar la necesidad de ofrecer otras modalidades</w:t>
      </w:r>
      <w:r w:rsidRPr="00A44C0C">
        <w:rPr>
          <w:rFonts w:ascii="Palatino Linotype" w:eastAsia="Palatino Linotype" w:hAnsi="Palatino Linotype" w:cs="Palatino Linotype"/>
        </w:rPr>
        <w:t xml:space="preserve"> que lo permitan, </w:t>
      </w:r>
      <w:r w:rsidRPr="00A44C0C">
        <w:rPr>
          <w:rFonts w:ascii="Palatino Linotype" w:eastAsia="Palatino Linotype" w:hAnsi="Palatino Linotype" w:cs="Palatino Linotype"/>
          <w:b/>
        </w:rPr>
        <w:t>procurando reducir los costos de entrega.</w:t>
      </w:r>
    </w:p>
    <w:p w:rsidR="00CC0975" w:rsidRPr="00A44C0C" w:rsidRDefault="00CC0975">
      <w:pPr>
        <w:spacing w:line="360" w:lineRule="auto"/>
        <w:jc w:val="both"/>
        <w:rPr>
          <w:rFonts w:ascii="Palatino Linotype" w:eastAsia="Palatino Linotype" w:hAnsi="Palatino Linotype" w:cs="Palatino Linotype"/>
          <w:b/>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Aunado a lo anterior, es de referir que el SAIMEX tiene el soporte tecnológico para que se puedan adjuntar archivos con un peso aproximado de hasta 500 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Situación que, como ha quedado demostrado, fue aprobada por el Comité de Transparencia del Ayuntamiento de Toluca en la septingentésima trigésima séptima sesión extraordinaria y en la septingentésima quincuagésima segunda sesión extraordinaria, donde se determinó el análisis y se acordó la aprobación de la propuesta de cambio de modalidad por consulta in situ para atender las solicitudes de información y emitir las respuestas correspondientes.  </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Por otro lado, resulta de importancia hacer énfasis que desde las respuestas iniciales, </w:t>
      </w:r>
      <w:r w:rsidRPr="00A44C0C">
        <w:rPr>
          <w:rFonts w:ascii="Palatino Linotype" w:eastAsia="Palatino Linotype" w:hAnsi="Palatino Linotype" w:cs="Palatino Linotype"/>
          <w:b/>
        </w:rPr>
        <w:t xml:space="preserve">EL SUJETO OBLIGADO </w:t>
      </w:r>
      <w:r w:rsidRPr="00A44C0C">
        <w:rPr>
          <w:rFonts w:ascii="Palatino Linotype" w:eastAsia="Palatino Linotype" w:hAnsi="Palatino Linotype" w:cs="Palatino Linotype"/>
        </w:rPr>
        <w:t xml:space="preserve">garantizó el ejercicio del Derecho de Acceso a la Información en pro de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considerando que con independencia de la consulta directa, se debían ofrecer otras formas de entrega, las cuales definió puntualmente en cada uno de los casos, y refirió las que tienen costo: </w:t>
      </w:r>
      <w:r w:rsidRPr="00A44C0C">
        <w:rPr>
          <w:rFonts w:ascii="Palatino Linotype" w:eastAsia="Palatino Linotype" w:hAnsi="Palatino Linotype" w:cs="Palatino Linotype"/>
          <w:b/>
          <w:u w:val="single"/>
        </w:rPr>
        <w:t>disco compacto, USB, copias simples o certificadas</w:t>
      </w:r>
      <w:r w:rsidRPr="00A44C0C">
        <w:rPr>
          <w:rFonts w:ascii="Palatino Linotype" w:eastAsia="Palatino Linotype" w:hAnsi="Palatino Linotype" w:cs="Palatino Linotype"/>
        </w:rPr>
        <w:t xml:space="preserve"> y se le informó del procedimiento a seguir para el pago respectivo; sin olvidar que también en caso de que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proporcionara </w:t>
      </w:r>
      <w:r w:rsidRPr="00A44C0C">
        <w:rPr>
          <w:rFonts w:ascii="Palatino Linotype" w:eastAsia="Palatino Linotype" w:hAnsi="Palatino Linotype" w:cs="Palatino Linotype"/>
          <w:b/>
          <w:u w:val="single"/>
        </w:rPr>
        <w:t>dispositivo electrónico o correo electrónico,</w:t>
      </w:r>
      <w:r w:rsidRPr="00A44C0C">
        <w:rPr>
          <w:rFonts w:ascii="Palatino Linotype" w:eastAsia="Palatino Linotype" w:hAnsi="Palatino Linotype" w:cs="Palatino Linotype"/>
        </w:rPr>
        <w:t xml:space="preserve"> no habría ningún costo para ella al momento de allegarse de la información pública.</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Ahora, también sirve de sustento a los cambios de modalidad invocados por </w:t>
      </w:r>
      <w:r w:rsidRPr="00A44C0C">
        <w:rPr>
          <w:rFonts w:ascii="Palatino Linotype" w:eastAsia="Palatino Linotype" w:hAnsi="Palatino Linotype" w:cs="Palatino Linotype"/>
          <w:b/>
        </w:rPr>
        <w:t xml:space="preserve">EL SUJETO OBLIGADO, </w:t>
      </w:r>
      <w:r w:rsidRPr="00A44C0C">
        <w:rPr>
          <w:rFonts w:ascii="Palatino Linotype" w:eastAsia="Palatino Linotype" w:hAnsi="Palatino Linotype" w:cs="Palatino Linotype"/>
        </w:rPr>
        <w:t xml:space="preserve">las manifestaciones hechas del conocimiento de </w:t>
      </w:r>
      <w:r w:rsidRPr="00A44C0C">
        <w:rPr>
          <w:rFonts w:ascii="Palatino Linotype" w:eastAsia="Palatino Linotype" w:hAnsi="Palatino Linotype" w:cs="Palatino Linotype"/>
          <w:b/>
        </w:rPr>
        <w:t xml:space="preserve">LA PARTE RECURRENTE </w:t>
      </w:r>
      <w:r w:rsidRPr="00A44C0C">
        <w:rPr>
          <w:rFonts w:ascii="Palatino Linotype" w:eastAsia="Palatino Linotype" w:hAnsi="Palatino Linotype" w:cs="Palatino Linotype"/>
        </w:rPr>
        <w:t xml:space="preserve">a través de los Informes Justificados, y es que en ellos se advierte que la Unidad de Transparencia realizó las solicitudes de registro en la Bitácora de Incidencias de la Dirección General de Informática para que dicha Unidad Administrativa del </w:t>
      </w:r>
      <w:proofErr w:type="spellStart"/>
      <w:r w:rsidRPr="00A44C0C">
        <w:rPr>
          <w:rFonts w:ascii="Palatino Linotype" w:eastAsia="Palatino Linotype" w:hAnsi="Palatino Linotype" w:cs="Palatino Linotype"/>
        </w:rPr>
        <w:t>Infoem</w:t>
      </w:r>
      <w:proofErr w:type="spellEnd"/>
      <w:r w:rsidRPr="00A44C0C">
        <w:rPr>
          <w:rFonts w:ascii="Palatino Linotype" w:eastAsia="Palatino Linotype" w:hAnsi="Palatino Linotype" w:cs="Palatino Linotype"/>
        </w:rPr>
        <w:t xml:space="preserve"> tuviera conocimiento del impedimento de remitir la información mediante el SAIMEX.</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De tales circunstancias, se advierte que el Ayuntamiento de Toluca acreditó el impedimento para proporcionar la información solicitada, a través del SAIMEX,</w:t>
      </w:r>
      <w:r w:rsidRPr="00A44C0C">
        <w:rPr>
          <w:rFonts w:ascii="Palatino Linotype" w:eastAsia="Palatino Linotype" w:hAnsi="Palatino Linotype" w:cs="Palatino Linotype"/>
          <w:b/>
        </w:rPr>
        <w:t xml:space="preserve"> </w:t>
      </w:r>
      <w:r w:rsidRPr="00A44C0C">
        <w:rPr>
          <w:rFonts w:ascii="Palatino Linotype" w:eastAsia="Palatino Linotype" w:hAnsi="Palatino Linotype" w:cs="Palatino Linotype"/>
        </w:rPr>
        <w:t>pues la misma sobrepasa las capacidades técnicas de dicho sistema; por lo cual, resulta procedente el cambio de modalidad a consulta directa.</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Asimismo, toda vez </w:t>
      </w:r>
      <w:r w:rsidRPr="00A44C0C">
        <w:rPr>
          <w:rFonts w:ascii="Palatino Linotype" w:eastAsia="Palatino Linotype" w:hAnsi="Palatino Linotype" w:cs="Palatino Linotype"/>
          <w:b/>
        </w:rPr>
        <w:t>EL SUJETO OBLIGADO</w:t>
      </w:r>
      <w:r w:rsidRPr="00A44C0C">
        <w:rPr>
          <w:rFonts w:ascii="Palatino Linotype" w:eastAsia="Palatino Linotype" w:hAnsi="Palatino Linotype" w:cs="Palatino Linotype"/>
        </w:rPr>
        <w:t xml:space="preserve">  hizo del conocimiento a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en las respuestas a sus solicitudes, que la información estaría disponible para su consulta por un plazo de sesenta días hábiles, este se deberá volver a contar a partir del día siguiente al que se notifique la presente resolución, en términos del segundo párrafo del artículo 166 de la Ley de Transparencia y Acceso a la Información Pública del Estado de México y Municipios.</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Si dentro del transcurso del término señalado en el párrafo anterior, </w:t>
      </w:r>
      <w:r w:rsidRPr="00A44C0C">
        <w:rPr>
          <w:rFonts w:ascii="Palatino Linotype" w:eastAsia="Palatino Linotype" w:hAnsi="Palatino Linotype" w:cs="Palatino Linotype"/>
          <w:b/>
        </w:rPr>
        <w:t xml:space="preserve">LA PARTE RECURRENTE </w:t>
      </w:r>
      <w:r w:rsidRPr="00A44C0C">
        <w:rPr>
          <w:rFonts w:ascii="Palatino Linotype" w:eastAsia="Palatino Linotype" w:hAnsi="Palatino Linotype" w:cs="Palatino Linotype"/>
        </w:rPr>
        <w:t xml:space="preserve">acude por la información, </w:t>
      </w:r>
      <w:r w:rsidRPr="00A44C0C">
        <w:rPr>
          <w:rFonts w:ascii="Palatino Linotype" w:eastAsia="Palatino Linotype" w:hAnsi="Palatino Linotype" w:cs="Palatino Linotype"/>
          <w:b/>
        </w:rPr>
        <w:t>EL SUJETO OBLIGADO</w:t>
      </w:r>
      <w:r w:rsidRPr="00A44C0C">
        <w:rPr>
          <w:rFonts w:ascii="Palatino Linotype" w:eastAsia="Palatino Linotype" w:hAnsi="Palatino Linotype" w:cs="Palatino Linotype"/>
        </w:rPr>
        <w:t xml:space="preserve"> debe remitir a este Instituto, por conducto de la Secretaría Técnica del Pleno, el acuse de recibo de la información de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sin embargo, si una vez fenecido el plazo, el solicitante no acudiera por los documentos ordenados, </w:t>
      </w:r>
      <w:r w:rsidRPr="00A44C0C">
        <w:rPr>
          <w:rFonts w:ascii="Palatino Linotype" w:eastAsia="Palatino Linotype" w:hAnsi="Palatino Linotype" w:cs="Palatino Linotype"/>
          <w:b/>
        </w:rPr>
        <w:t>EL SUJETO OBLIGADO</w:t>
      </w:r>
      <w:r w:rsidRPr="00A44C0C">
        <w:rPr>
          <w:rFonts w:ascii="Palatino Linotype" w:eastAsia="Palatino Linotype" w:hAnsi="Palatino Linotype" w:cs="Palatino Linotype"/>
        </w:rPr>
        <w:t xml:space="preserve">, mediante acuerdo </w:t>
      </w:r>
      <w:r w:rsidRPr="00A44C0C">
        <w:rPr>
          <w:rFonts w:ascii="Palatino Linotype" w:eastAsia="Palatino Linotype" w:hAnsi="Palatino Linotype" w:cs="Palatino Linotype"/>
          <w:b/>
        </w:rPr>
        <w:t>dará por concluida la solicitud</w:t>
      </w:r>
      <w:r w:rsidRPr="00A44C0C">
        <w:rPr>
          <w:rFonts w:ascii="Palatino Linotype" w:eastAsia="Palatino Linotype" w:hAnsi="Palatino Linotype" w:cs="Palatino Linotype"/>
        </w:rPr>
        <w:t xml:space="preserve"> y podrá, de ser el caso, realizar la destrucción del material en el que se reprodujo, situación que también deberá informar a este Instituto, por el mismo conducto.</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Así, derivado de que el Ayuntamiento de Toluca como </w:t>
      </w:r>
      <w:r w:rsidRPr="00A44C0C">
        <w:rPr>
          <w:rFonts w:ascii="Palatino Linotype" w:eastAsia="Palatino Linotype" w:hAnsi="Palatino Linotype" w:cs="Palatino Linotype"/>
          <w:b/>
        </w:rPr>
        <w:t>SUJETO OBLIGADO</w:t>
      </w:r>
      <w:r w:rsidRPr="00A44C0C">
        <w:rPr>
          <w:rFonts w:ascii="Palatino Linotype" w:eastAsia="Palatino Linotype" w:hAnsi="Palatino Linotype" w:cs="Palatino Linotype"/>
        </w:rPr>
        <w:t xml:space="preserve">, mediante sus Informes Justificados, acreditó la imposibilidad técnica con motivo de la remisión de la información concerniente a los registros en la Bitácora de Incidencias, se tiene por demostrada la imposibilidad técnica de remitir la información mediante del SAIMEX y se pone a disposición de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a efectos de que se haga llegar de la misma.</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pBdr>
          <w:top w:val="nil"/>
          <w:left w:val="nil"/>
          <w:bottom w:val="nil"/>
          <w:right w:val="nil"/>
          <w:between w:val="nil"/>
        </w:pBd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lastRenderedPageBreak/>
        <w:t>En consecuencia, ante la información adicional y precisa remitida en los Informes Justificados, conviene hacer alusión de manera específica a lo que señala el artículo 192, fracción III de la Ley de Transparencia y Acceso a la Información Pública del Estado de México y Municipios vigente, a saber:</w:t>
      </w:r>
    </w:p>
    <w:p w:rsidR="00CC0975" w:rsidRPr="00A44C0C" w:rsidRDefault="00CC0975">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CC0975" w:rsidRPr="00A44C0C" w:rsidRDefault="008E3FD6">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Artículo 192. El recurso será sobreseído, en todo o en parte, cuando una vez admitido, se actualicen alguno de los siguientes supuestos: </w:t>
      </w:r>
    </w:p>
    <w:p w:rsidR="00CC0975" w:rsidRPr="00A44C0C" w:rsidRDefault="008E3FD6">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w:t>
      </w:r>
    </w:p>
    <w:p w:rsidR="00CC0975" w:rsidRPr="00A44C0C" w:rsidRDefault="008E3FD6">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A44C0C">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p>
    <w:p w:rsidR="00CC0975" w:rsidRPr="00A44C0C" w:rsidRDefault="008E3FD6">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w:t>
      </w:r>
    </w:p>
    <w:p w:rsidR="00CC0975" w:rsidRPr="00A44C0C" w:rsidRDefault="008E3FD6">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 xml:space="preserve"> </w:t>
      </w:r>
    </w:p>
    <w:p w:rsidR="00CC0975" w:rsidRPr="00A44C0C" w:rsidRDefault="008E3FD6">
      <w:pPr>
        <w:pBdr>
          <w:top w:val="nil"/>
          <w:left w:val="nil"/>
          <w:bottom w:val="nil"/>
          <w:right w:val="nil"/>
          <w:between w:val="nil"/>
        </w:pBd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De lo establecido en el precepto legal citado se advierte que el sobreseimiento del recurso de revisión procede en los siguientes casos:</w:t>
      </w:r>
    </w:p>
    <w:p w:rsidR="00CC0975" w:rsidRPr="00A44C0C" w:rsidRDefault="00CC0975">
      <w:pPr>
        <w:pBdr>
          <w:top w:val="nil"/>
          <w:left w:val="nil"/>
          <w:bottom w:val="nil"/>
          <w:right w:val="nil"/>
          <w:between w:val="nil"/>
        </w:pBdr>
        <w:spacing w:line="360" w:lineRule="auto"/>
        <w:jc w:val="both"/>
      </w:pPr>
    </w:p>
    <w:p w:rsidR="00CC0975" w:rsidRPr="00A44C0C" w:rsidRDefault="008E3FD6">
      <w:pPr>
        <w:pBdr>
          <w:top w:val="nil"/>
          <w:left w:val="nil"/>
          <w:bottom w:val="nil"/>
          <w:right w:val="nil"/>
          <w:between w:val="nil"/>
        </w:pBdr>
        <w:spacing w:line="360" w:lineRule="auto"/>
        <w:ind w:left="284"/>
        <w:jc w:val="both"/>
      </w:pPr>
      <w:r w:rsidRPr="00A44C0C">
        <w:rPr>
          <w:rFonts w:ascii="Palatino Linotype" w:eastAsia="Palatino Linotype" w:hAnsi="Palatino Linotype" w:cs="Palatino Linotype"/>
        </w:rPr>
        <w:t>a) Cuando el Sujeto Obligado modifique el acto impugnado. </w:t>
      </w:r>
    </w:p>
    <w:p w:rsidR="00CC0975" w:rsidRPr="00A44C0C" w:rsidRDefault="008E3FD6">
      <w:pPr>
        <w:pBdr>
          <w:top w:val="nil"/>
          <w:left w:val="nil"/>
          <w:bottom w:val="nil"/>
          <w:right w:val="nil"/>
          <w:between w:val="nil"/>
        </w:pBdr>
        <w:spacing w:line="360" w:lineRule="auto"/>
        <w:ind w:left="284"/>
        <w:jc w:val="both"/>
        <w:rPr>
          <w:rFonts w:ascii="Palatino Linotype" w:eastAsia="Palatino Linotype" w:hAnsi="Palatino Linotype" w:cs="Palatino Linotype"/>
        </w:rPr>
      </w:pPr>
      <w:r w:rsidRPr="00A44C0C">
        <w:rPr>
          <w:rFonts w:ascii="Palatino Linotype" w:eastAsia="Palatino Linotype" w:hAnsi="Palatino Linotype" w:cs="Palatino Linotype"/>
        </w:rPr>
        <w:t>b) Cuando el Sujeto Obligado revoque el acto impugnado; </w:t>
      </w:r>
    </w:p>
    <w:p w:rsidR="00CC0975" w:rsidRPr="00A44C0C" w:rsidRDefault="00CC0975">
      <w:pPr>
        <w:pBdr>
          <w:top w:val="nil"/>
          <w:left w:val="nil"/>
          <w:bottom w:val="nil"/>
          <w:right w:val="nil"/>
          <w:between w:val="nil"/>
        </w:pBdr>
        <w:spacing w:line="360" w:lineRule="auto"/>
        <w:ind w:left="284"/>
        <w:jc w:val="both"/>
      </w:pPr>
    </w:p>
    <w:p w:rsidR="00CC0975" w:rsidRPr="00A44C0C" w:rsidRDefault="008E3FD6">
      <w:pPr>
        <w:pBdr>
          <w:top w:val="nil"/>
          <w:left w:val="nil"/>
          <w:bottom w:val="nil"/>
          <w:right w:val="nil"/>
          <w:between w:val="nil"/>
        </w:pBd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Quedando en ambos casos el acto combatido sin materia o sin efectos.</w:t>
      </w:r>
    </w:p>
    <w:p w:rsidR="00CC0975" w:rsidRPr="00A44C0C" w:rsidRDefault="00CC0975">
      <w:pPr>
        <w:pBdr>
          <w:top w:val="nil"/>
          <w:left w:val="nil"/>
          <w:bottom w:val="nil"/>
          <w:right w:val="nil"/>
          <w:between w:val="nil"/>
        </w:pBdr>
        <w:spacing w:line="360" w:lineRule="auto"/>
        <w:jc w:val="both"/>
      </w:pPr>
    </w:p>
    <w:p w:rsidR="00CC0975" w:rsidRPr="00A44C0C" w:rsidRDefault="008E3FD6">
      <w:pPr>
        <w:pBdr>
          <w:top w:val="nil"/>
          <w:left w:val="nil"/>
          <w:bottom w:val="nil"/>
          <w:right w:val="nil"/>
          <w:between w:val="nil"/>
        </w:pBd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Como se observa de lo anterior, un acto impugnado es modificado en aquellos casos en los que el Sujeto Obligado después de haber otorgado una respuesta, o haber omitido hacerlo (acto de no hacer), emite una o una diversa de manera posterior y en esta subsanó las deficiencias que hubiera tenido, quedando satisfecho el derecho accionado por la parte recurrente.</w:t>
      </w:r>
    </w:p>
    <w:p w:rsidR="00CC0975" w:rsidRPr="00A44C0C" w:rsidRDefault="00CC0975">
      <w:pPr>
        <w:pBdr>
          <w:top w:val="nil"/>
          <w:left w:val="nil"/>
          <w:bottom w:val="nil"/>
          <w:right w:val="nil"/>
          <w:between w:val="nil"/>
        </w:pBdr>
        <w:spacing w:line="360" w:lineRule="auto"/>
        <w:jc w:val="both"/>
      </w:pPr>
    </w:p>
    <w:p w:rsidR="00CC0975" w:rsidRPr="00A44C0C" w:rsidRDefault="008E3FD6">
      <w:pPr>
        <w:pBdr>
          <w:top w:val="nil"/>
          <w:left w:val="nil"/>
          <w:bottom w:val="nil"/>
          <w:right w:val="nil"/>
          <w:between w:val="nil"/>
        </w:pBd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Por lo que hace a la revocación, esta se actualiza cuando el Sujeto Obligado deja sin efectos la primera respuesta o su primer acto y en su lugar emite otro con las </w:t>
      </w:r>
      <w:r w:rsidRPr="00A44C0C">
        <w:rPr>
          <w:rFonts w:ascii="Palatino Linotype" w:eastAsia="Palatino Linotype" w:hAnsi="Palatino Linotype" w:cs="Palatino Linotype"/>
        </w:rPr>
        <w:lastRenderedPageBreak/>
        <w:t>características y cualidades suficientes para dejar satisfecho el ejercicio del derecho al acceso a la información pública.</w:t>
      </w:r>
    </w:p>
    <w:p w:rsidR="00CC0975" w:rsidRPr="00A44C0C" w:rsidRDefault="00CC0975">
      <w:pPr>
        <w:pBdr>
          <w:top w:val="nil"/>
          <w:left w:val="nil"/>
          <w:bottom w:val="nil"/>
          <w:right w:val="nil"/>
          <w:between w:val="nil"/>
        </w:pBdr>
        <w:spacing w:line="360" w:lineRule="auto"/>
        <w:jc w:val="both"/>
      </w:pPr>
    </w:p>
    <w:p w:rsidR="00CC0975" w:rsidRPr="00A44C0C" w:rsidRDefault="008E3FD6">
      <w:pPr>
        <w:pBdr>
          <w:top w:val="nil"/>
          <w:left w:val="nil"/>
          <w:bottom w:val="nil"/>
          <w:right w:val="nil"/>
          <w:between w:val="nil"/>
        </w:pBd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En este orden de ideas, un acto impugnado queda sin efectos, cuando aun existiendo jurídicamente (esto es, que no se ha modificado, ni revocado) ya no genera ninguna consecuencia legal.</w:t>
      </w:r>
    </w:p>
    <w:p w:rsidR="00CC0975" w:rsidRPr="00A44C0C" w:rsidRDefault="00CC0975">
      <w:pPr>
        <w:pBdr>
          <w:top w:val="nil"/>
          <w:left w:val="nil"/>
          <w:bottom w:val="nil"/>
          <w:right w:val="nil"/>
          <w:between w:val="nil"/>
        </w:pBdr>
        <w:spacing w:line="360" w:lineRule="auto"/>
        <w:jc w:val="both"/>
        <w:rPr>
          <w:rFonts w:ascii="Palatino Linotype" w:eastAsia="Palatino Linotype" w:hAnsi="Palatino Linotype" w:cs="Palatino Linotype"/>
        </w:rPr>
      </w:pPr>
    </w:p>
    <w:p w:rsidR="00CC0975" w:rsidRPr="00A44C0C" w:rsidRDefault="008E3FD6">
      <w:pPr>
        <w:pBdr>
          <w:top w:val="nil"/>
          <w:left w:val="nil"/>
          <w:bottom w:val="nil"/>
          <w:right w:val="nil"/>
          <w:between w:val="nil"/>
        </w:pBd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En tanto que, un acto impugnado queda sin materia, cuando ha sido satisfecha la pretensión de la parte recurrente de manera que el Sujeto Obligado entrega una respuesta completa aunque sea posterior a los términos previstos en la ley y mediante ésta concede la información solicitada.</w:t>
      </w:r>
    </w:p>
    <w:p w:rsidR="00CC0975" w:rsidRPr="00A44C0C" w:rsidRDefault="00CC0975">
      <w:pPr>
        <w:pBdr>
          <w:top w:val="nil"/>
          <w:left w:val="nil"/>
          <w:bottom w:val="nil"/>
          <w:right w:val="nil"/>
          <w:between w:val="nil"/>
        </w:pBdr>
        <w:spacing w:line="360" w:lineRule="auto"/>
        <w:jc w:val="both"/>
      </w:pPr>
    </w:p>
    <w:p w:rsidR="00CC0975" w:rsidRPr="00A44C0C" w:rsidRDefault="008E3FD6">
      <w:pPr>
        <w:pBdr>
          <w:top w:val="nil"/>
          <w:left w:val="nil"/>
          <w:bottom w:val="nil"/>
          <w:right w:val="nil"/>
          <w:between w:val="nil"/>
        </w:pBd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Ahora bien, en los casos que ya estudiamos, es evidente que </w:t>
      </w:r>
      <w:r w:rsidRPr="00A44C0C">
        <w:rPr>
          <w:rFonts w:ascii="Palatino Linotype" w:eastAsia="Palatino Linotype" w:hAnsi="Palatino Linotype" w:cs="Palatino Linotype"/>
          <w:b/>
        </w:rPr>
        <w:t>EL SUJETO OBLIGADO</w:t>
      </w:r>
      <w:r w:rsidRPr="00A44C0C">
        <w:rPr>
          <w:rFonts w:ascii="Palatino Linotype" w:eastAsia="Palatino Linotype" w:hAnsi="Palatino Linotype" w:cs="Palatino Linotype"/>
        </w:rPr>
        <w:t xml:space="preserve"> modificó sus respuestas, ya que, a través de sus pronunciamientos emitidos en la etapa de manifestaciones, atendió el planteamiento formulado en la interposición de los recursos de revisión, pues demostró la procedencia del cambio de modalidad combatido por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w:t>
      </w:r>
    </w:p>
    <w:p w:rsidR="00CC0975" w:rsidRPr="00A44C0C" w:rsidRDefault="00CC0975">
      <w:pPr>
        <w:pBdr>
          <w:top w:val="nil"/>
          <w:left w:val="nil"/>
          <w:bottom w:val="nil"/>
          <w:right w:val="nil"/>
          <w:between w:val="nil"/>
        </w:pBdr>
        <w:spacing w:line="360" w:lineRule="auto"/>
        <w:jc w:val="both"/>
      </w:pPr>
    </w:p>
    <w:p w:rsidR="00CC0975" w:rsidRPr="00A44C0C" w:rsidRDefault="008E3FD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bookmarkStart w:id="5" w:name="_heading=h.tyjcwt" w:colFirst="0" w:colLast="0"/>
      <w:bookmarkEnd w:id="5"/>
      <w:r w:rsidRPr="00A44C0C">
        <w:rPr>
          <w:rFonts w:ascii="Palatino Linotype" w:eastAsia="Palatino Linotype" w:hAnsi="Palatino Linotype" w:cs="Palatino Linotype"/>
        </w:rPr>
        <w:t>De este modo, cuando un Sujeto Obligado</w:t>
      </w:r>
      <w:r w:rsidRPr="00A44C0C">
        <w:rPr>
          <w:rFonts w:ascii="Palatino Linotype" w:eastAsia="Palatino Linotype" w:hAnsi="Palatino Linotype" w:cs="Palatino Linotype"/>
          <w:b/>
        </w:rPr>
        <w:t xml:space="preserve">, </w:t>
      </w:r>
      <w:r w:rsidRPr="00A44C0C">
        <w:rPr>
          <w:rFonts w:ascii="Palatino Linotype" w:eastAsia="Palatino Linotype" w:hAnsi="Palatino Linotype" w:cs="Palatino Linotype"/>
        </w:rPr>
        <w:t xml:space="preserve">antes de que se dicte resolución definitiva, remite información a la que en un primer momento omitió enviar; el recurso de revisión que al efecto se haya interpuesto queda sin materia lo que imposibilita el estudio de fondo de la </w:t>
      </w:r>
      <w:proofErr w:type="spellStart"/>
      <w:r w:rsidRPr="00A44C0C">
        <w:rPr>
          <w:rFonts w:ascii="Palatino Linotype" w:eastAsia="Palatino Linotype" w:hAnsi="Palatino Linotype" w:cs="Palatino Linotype"/>
          <w:i/>
        </w:rPr>
        <w:t>litis</w:t>
      </w:r>
      <w:proofErr w:type="spellEnd"/>
      <w:r w:rsidRPr="00A44C0C">
        <w:rPr>
          <w:rFonts w:ascii="Palatino Linotype" w:eastAsia="Palatino Linotype" w:hAnsi="Palatino Linotype" w:cs="Palatino Linotype"/>
        </w:rPr>
        <w:t xml:space="preserve"> planteada, debido a que la afectación en su esfera de derechos fue restituida por la propia autoridad que emitió el acto motivo de impugnación.</w:t>
      </w:r>
    </w:p>
    <w:p w:rsidR="00CC0975" w:rsidRPr="00A44C0C" w:rsidRDefault="00CC0975">
      <w:pPr>
        <w:pBdr>
          <w:top w:val="nil"/>
          <w:left w:val="nil"/>
          <w:bottom w:val="nil"/>
          <w:right w:val="nil"/>
          <w:between w:val="nil"/>
        </w:pBdr>
        <w:spacing w:line="360" w:lineRule="auto"/>
        <w:ind w:left="720"/>
        <w:rPr>
          <w:rFonts w:ascii="Palatino Linotype" w:eastAsia="Palatino Linotype" w:hAnsi="Palatino Linotype" w:cs="Palatino Linotype"/>
        </w:rPr>
      </w:pPr>
    </w:p>
    <w:p w:rsidR="00CC0975" w:rsidRPr="00A44C0C" w:rsidRDefault="008E3FD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u w:val="single"/>
        </w:rPr>
      </w:pPr>
      <w:r w:rsidRPr="00A44C0C">
        <w:rPr>
          <w:rFonts w:ascii="Palatino Linotype" w:eastAsia="Palatino Linotype" w:hAnsi="Palatino Linotype" w:cs="Palatino Linotype"/>
        </w:rPr>
        <w:t xml:space="preserve">Por lo tanto, para que se actualice el sobreseimiento de un recurso de revisión, el Sujeto Obligado puede entregar o completar la información al momento de rendir su </w:t>
      </w:r>
      <w:r w:rsidRPr="00A44C0C">
        <w:rPr>
          <w:rFonts w:ascii="Palatino Linotype" w:eastAsia="Palatino Linotype" w:hAnsi="Palatino Linotype" w:cs="Palatino Linotype"/>
          <w:b/>
          <w:u w:val="single"/>
        </w:rPr>
        <w:t>informe de justificación</w:t>
      </w:r>
      <w:r w:rsidRPr="00A44C0C">
        <w:rPr>
          <w:rFonts w:ascii="Palatino Linotype" w:eastAsia="Palatino Linotype" w:hAnsi="Palatino Linotype" w:cs="Palatino Linotype"/>
        </w:rPr>
        <w:t xml:space="preserve"> </w:t>
      </w:r>
      <w:r w:rsidRPr="00A44C0C">
        <w:rPr>
          <w:rFonts w:ascii="Palatino Linotype" w:eastAsia="Palatino Linotype" w:hAnsi="Palatino Linotype" w:cs="Palatino Linotype"/>
          <w:b/>
          <w:u w:val="single"/>
        </w:rPr>
        <w:t>dentro de los siete días</w:t>
      </w:r>
      <w:r w:rsidRPr="00A44C0C">
        <w:rPr>
          <w:rFonts w:ascii="Palatino Linotype" w:eastAsia="Palatino Linotype" w:hAnsi="Palatino Linotype" w:cs="Palatino Linotype"/>
        </w:rPr>
        <w:t xml:space="preserve"> previstos para manifestar lo que a su derecho convenga, </w:t>
      </w:r>
      <w:r w:rsidRPr="00A44C0C">
        <w:rPr>
          <w:rFonts w:ascii="Palatino Linotype" w:eastAsia="Palatino Linotype" w:hAnsi="Palatino Linotype" w:cs="Palatino Linotype"/>
          <w:b/>
          <w:u w:val="single"/>
        </w:rPr>
        <w:t xml:space="preserve">lo anterior también puede ocurrir si entrega la información después de ese lapso, pero antes del cierre de instrucción. </w:t>
      </w:r>
    </w:p>
    <w:p w:rsidR="00CC0975" w:rsidRPr="00A44C0C" w:rsidRDefault="00CC0975">
      <w:pPr>
        <w:pBdr>
          <w:top w:val="nil"/>
          <w:left w:val="nil"/>
          <w:bottom w:val="nil"/>
          <w:right w:val="nil"/>
          <w:between w:val="nil"/>
        </w:pBdr>
        <w:spacing w:line="360" w:lineRule="auto"/>
        <w:ind w:left="720"/>
        <w:rPr>
          <w:rFonts w:ascii="Palatino Linotype" w:eastAsia="Palatino Linotype" w:hAnsi="Palatino Linotype" w:cs="Palatino Linotype"/>
        </w:rPr>
      </w:pPr>
    </w:p>
    <w:p w:rsidR="00CC0975" w:rsidRPr="00A44C0C" w:rsidRDefault="008E3FD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Este Pleno advierte que </w:t>
      </w:r>
      <w:r w:rsidRPr="00A44C0C">
        <w:rPr>
          <w:rFonts w:ascii="Palatino Linotype" w:eastAsia="Palatino Linotype" w:hAnsi="Palatino Linotype" w:cs="Palatino Linotype"/>
          <w:b/>
        </w:rPr>
        <w:t>EL SUJETO OBLIGADO</w:t>
      </w:r>
      <w:r w:rsidRPr="00A44C0C">
        <w:rPr>
          <w:rFonts w:ascii="Palatino Linotype" w:eastAsia="Palatino Linotype" w:hAnsi="Palatino Linotype" w:cs="Palatino Linotype"/>
        </w:rPr>
        <w:t xml:space="preserve"> con la información enviada, </w:t>
      </w:r>
      <w:r w:rsidRPr="00A44C0C">
        <w:rPr>
          <w:rFonts w:ascii="Palatino Linotype" w:eastAsia="Palatino Linotype" w:hAnsi="Palatino Linotype" w:cs="Palatino Linotype"/>
          <w:b/>
        </w:rPr>
        <w:t>modifica</w:t>
      </w:r>
      <w:r w:rsidRPr="00A44C0C">
        <w:rPr>
          <w:rFonts w:ascii="Palatino Linotype" w:eastAsia="Palatino Linotype" w:hAnsi="Palatino Linotype" w:cs="Palatino Linotype"/>
        </w:rPr>
        <w:t xml:space="preserve"> </w:t>
      </w:r>
      <w:r w:rsidRPr="00A44C0C">
        <w:rPr>
          <w:rFonts w:ascii="Palatino Linotype" w:eastAsia="Palatino Linotype" w:hAnsi="Palatino Linotype" w:cs="Palatino Linotype"/>
          <w:u w:val="single"/>
        </w:rPr>
        <w:t>el acto que le dio origen al recurso de revisión, por lo que trae como consecuencia que el mismo quede sin materia</w:t>
      </w:r>
      <w:r w:rsidRPr="00A44C0C">
        <w:rPr>
          <w:rFonts w:ascii="Palatino Linotype" w:eastAsia="Palatino Linotype" w:hAnsi="Palatino Linotype" w:cs="Palatino Linotype"/>
        </w:rPr>
        <w:t xml:space="preserve">, actualizándose de este modo, la hipótesis jurídica contenida en la </w:t>
      </w:r>
      <w:r w:rsidRPr="00A44C0C">
        <w:rPr>
          <w:rFonts w:ascii="Palatino Linotype" w:eastAsia="Palatino Linotype" w:hAnsi="Palatino Linotype" w:cs="Palatino Linotype"/>
          <w:b/>
        </w:rPr>
        <w:t>fracción III</w:t>
      </w:r>
      <w:r w:rsidRPr="00A44C0C">
        <w:rPr>
          <w:rFonts w:ascii="Palatino Linotype" w:eastAsia="Palatino Linotype" w:hAnsi="Palatino Linotype" w:cs="Palatino Linotype"/>
        </w:rPr>
        <w:t xml:space="preserve"> del citado artículo </w:t>
      </w:r>
      <w:r w:rsidRPr="00A44C0C">
        <w:rPr>
          <w:rFonts w:ascii="Palatino Linotype" w:eastAsia="Palatino Linotype" w:hAnsi="Palatino Linotype" w:cs="Palatino Linotype"/>
          <w:b/>
        </w:rPr>
        <w:t>192</w:t>
      </w:r>
      <w:r w:rsidRPr="00A44C0C">
        <w:rPr>
          <w:rFonts w:ascii="Palatino Linotype" w:eastAsia="Palatino Linotype" w:hAnsi="Palatino Linotype" w:cs="Palatino Linotype"/>
        </w:rPr>
        <w:t>.</w:t>
      </w:r>
    </w:p>
    <w:p w:rsidR="00CC0975" w:rsidRPr="00A44C0C" w:rsidRDefault="00CC0975">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CC0975" w:rsidRPr="00A44C0C" w:rsidRDefault="008E3FD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r w:rsidRPr="00A44C0C">
        <w:rPr>
          <w:rFonts w:ascii="Palatino Linotype" w:eastAsia="Palatino Linotype" w:hAnsi="Palatino Linotype" w:cs="Palatino Linotype"/>
        </w:rPr>
        <w:t xml:space="preserve">Así, siendo el </w:t>
      </w:r>
      <w:r w:rsidRPr="00A44C0C">
        <w:rPr>
          <w:rFonts w:ascii="Palatino Linotype" w:eastAsia="Palatino Linotype" w:hAnsi="Palatino Linotype" w:cs="Palatino Linotype"/>
          <w:i/>
        </w:rPr>
        <w:t>sobreseimiento</w:t>
      </w:r>
      <w:r w:rsidRPr="00A44C0C">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este Instituto se encuentra imposibilitado para entrar al estudio de fondo del recurso de revisión, lo anterior con apoyo en la Tesis Aislada del Segundo Tribunal Colegiado del Segundo Distrito, de la Suprema Corte de Justicia de la Nación, registrada con el rubro: </w:t>
      </w:r>
      <w:r w:rsidRPr="00A44C0C">
        <w:rPr>
          <w:rFonts w:ascii="Palatino Linotype" w:eastAsia="Palatino Linotype" w:hAnsi="Palatino Linotype" w:cs="Palatino Linotype"/>
          <w:b/>
        </w:rPr>
        <w:t xml:space="preserve">SOBRESEIMIENTO, NO PERMITE ENTRAR AL ESTUDIO DE LAS CUESTIONES DE FONDO. </w:t>
      </w:r>
    </w:p>
    <w:p w:rsidR="00CC0975" w:rsidRPr="00A44C0C" w:rsidRDefault="00CC0975">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rsidR="00CC0975" w:rsidRPr="00A44C0C" w:rsidRDefault="008E3FD6">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w:t>
      </w:r>
    </w:p>
    <w:p w:rsidR="00CC0975" w:rsidRPr="00A44C0C" w:rsidRDefault="008E3FD6">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44C0C">
        <w:rPr>
          <w:rFonts w:ascii="Palatino Linotype" w:eastAsia="Palatino Linotype" w:hAnsi="Palatino Linotype" w:cs="Palatino Linotype"/>
          <w:i/>
          <w:sz w:val="22"/>
          <w:szCs w:val="22"/>
        </w:rPr>
        <w:lastRenderedPageBreak/>
        <w:t>Localización: 213609. II.2o.183 K. Tribunales Colegiados de Circuito. Octava Época. Semanario Judicial de la Federación. Tomo XIII, Febrero de 1994, Pág. 420</w:t>
      </w:r>
    </w:p>
    <w:p w:rsidR="00CC0975" w:rsidRPr="00A44C0C" w:rsidRDefault="00CC0975">
      <w:pPr>
        <w:tabs>
          <w:tab w:val="left" w:pos="7938"/>
        </w:tabs>
        <w:spacing w:line="360" w:lineRule="auto"/>
        <w:jc w:val="both"/>
        <w:rPr>
          <w:rFonts w:ascii="Palatino Linotype" w:eastAsia="Palatino Linotype" w:hAnsi="Palatino Linotype" w:cs="Palatino Linotype"/>
        </w:rPr>
      </w:pPr>
    </w:p>
    <w:p w:rsidR="00CC0975" w:rsidRPr="00A44C0C" w:rsidRDefault="008E3FD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Por lo tanto, en términos del artículo 186 fracción I este Pleno determina el </w:t>
      </w:r>
      <w:r w:rsidRPr="00A44C0C">
        <w:rPr>
          <w:rFonts w:ascii="Palatino Linotype" w:eastAsia="Palatino Linotype" w:hAnsi="Palatino Linotype" w:cs="Palatino Linotype"/>
          <w:b/>
        </w:rPr>
        <w:t xml:space="preserve">sobreseimiento </w:t>
      </w:r>
      <w:r w:rsidRPr="00A44C0C">
        <w:rPr>
          <w:rFonts w:ascii="Palatino Linotype" w:eastAsia="Palatino Linotype" w:hAnsi="Palatino Linotype" w:cs="Palatino Linotype"/>
        </w:rPr>
        <w:t xml:space="preserve">de los recursos de revisión </w:t>
      </w:r>
      <w:r w:rsidRPr="00A44C0C">
        <w:rPr>
          <w:rFonts w:ascii="Palatino Linotype" w:eastAsia="Palatino Linotype" w:hAnsi="Palatino Linotype" w:cs="Palatino Linotype"/>
          <w:b/>
        </w:rPr>
        <w:t xml:space="preserve">17399/INFOEM/IP/RR/2022, 17402/INFOEM/IP/RR/2022, 17403/INFOEM/IP/RR/2022, 17404/INFOEM/IP/RR/2022 y 17479/INFOEM/IP/RR/2022 </w:t>
      </w:r>
      <w:r w:rsidRPr="00A44C0C">
        <w:rPr>
          <w:rFonts w:ascii="Palatino Linotype" w:eastAsia="Palatino Linotype" w:hAnsi="Palatino Linotype" w:cs="Palatino Linotype"/>
        </w:rPr>
        <w:t xml:space="preserve">toda vez que la afectación al derecho de acceso a la información pública establecido constitucionalmente a favor de </w:t>
      </w:r>
      <w:r w:rsidRPr="00A44C0C">
        <w:rPr>
          <w:rFonts w:ascii="Palatino Linotype" w:eastAsia="Palatino Linotype" w:hAnsi="Palatino Linotype" w:cs="Palatino Linotype"/>
          <w:b/>
        </w:rPr>
        <w:t>LA PARTE RECURRENTE</w:t>
      </w:r>
      <w:r w:rsidRPr="00A44C0C">
        <w:rPr>
          <w:rFonts w:ascii="Palatino Linotype" w:eastAsia="Palatino Linotype" w:hAnsi="Palatino Linotype" w:cs="Palatino Linotype"/>
        </w:rPr>
        <w:t xml:space="preserve"> ha sido resarcida al proporcionar la información que ha sido observada por este Órgano Garante.</w:t>
      </w:r>
    </w:p>
    <w:p w:rsidR="00CC0975" w:rsidRPr="00A44C0C" w:rsidRDefault="00CC0975">
      <w:pPr>
        <w:spacing w:line="360" w:lineRule="auto"/>
        <w:ind w:right="51"/>
        <w:jc w:val="both"/>
        <w:rPr>
          <w:rFonts w:ascii="Palatino Linotype" w:eastAsia="Palatino Linotype" w:hAnsi="Palatino Linotype" w:cs="Palatino Linotype"/>
          <w:b/>
        </w:rPr>
      </w:pPr>
    </w:p>
    <w:p w:rsidR="00CC0975" w:rsidRPr="00A44C0C" w:rsidRDefault="008E3FD6">
      <w:pPr>
        <w:spacing w:line="360" w:lineRule="auto"/>
        <w:ind w:right="51"/>
        <w:jc w:val="both"/>
        <w:rPr>
          <w:rFonts w:ascii="Palatino Linotype" w:eastAsia="Palatino Linotype" w:hAnsi="Palatino Linotype" w:cs="Palatino Linotype"/>
        </w:rPr>
      </w:pPr>
      <w:r w:rsidRPr="00A44C0C">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 de la Ley de Transparencia y Acceso a la Información Pública del Estado de México y Municipios, este Pleno</w:t>
      </w:r>
    </w:p>
    <w:p w:rsidR="00CC0975" w:rsidRPr="00A44C0C" w:rsidRDefault="00CC0975">
      <w:pPr>
        <w:spacing w:line="360" w:lineRule="auto"/>
        <w:ind w:right="51"/>
        <w:jc w:val="both"/>
        <w:rPr>
          <w:rFonts w:ascii="Palatino Linotype" w:eastAsia="Palatino Linotype" w:hAnsi="Palatino Linotype" w:cs="Palatino Linotype"/>
        </w:rPr>
      </w:pPr>
    </w:p>
    <w:p w:rsidR="00A44C0C" w:rsidRPr="00A44C0C" w:rsidRDefault="00A44C0C">
      <w:pPr>
        <w:spacing w:line="360" w:lineRule="auto"/>
        <w:ind w:right="51"/>
        <w:jc w:val="both"/>
        <w:rPr>
          <w:rFonts w:ascii="Palatino Linotype" w:eastAsia="Palatino Linotype" w:hAnsi="Palatino Linotype" w:cs="Palatino Linotype"/>
        </w:rPr>
      </w:pPr>
    </w:p>
    <w:p w:rsidR="00A44C0C" w:rsidRPr="00A44C0C" w:rsidRDefault="00A44C0C">
      <w:pPr>
        <w:spacing w:line="360" w:lineRule="auto"/>
        <w:ind w:right="51"/>
        <w:jc w:val="both"/>
        <w:rPr>
          <w:rFonts w:ascii="Palatino Linotype" w:eastAsia="Palatino Linotype" w:hAnsi="Palatino Linotype" w:cs="Palatino Linotype"/>
        </w:rPr>
      </w:pPr>
    </w:p>
    <w:p w:rsidR="00A44C0C" w:rsidRPr="00A44C0C" w:rsidRDefault="00A44C0C">
      <w:pPr>
        <w:spacing w:line="360" w:lineRule="auto"/>
        <w:ind w:right="51"/>
        <w:jc w:val="both"/>
        <w:rPr>
          <w:rFonts w:ascii="Palatino Linotype" w:eastAsia="Palatino Linotype" w:hAnsi="Palatino Linotype" w:cs="Palatino Linotype"/>
        </w:rPr>
      </w:pPr>
    </w:p>
    <w:p w:rsidR="00CC0975" w:rsidRPr="00A44C0C" w:rsidRDefault="008E3FD6">
      <w:pPr>
        <w:numPr>
          <w:ilvl w:val="0"/>
          <w:numId w:val="2"/>
        </w:numPr>
        <w:pBdr>
          <w:top w:val="nil"/>
          <w:left w:val="nil"/>
          <w:bottom w:val="nil"/>
          <w:right w:val="nil"/>
          <w:between w:val="nil"/>
        </w:pBdr>
        <w:spacing w:line="360" w:lineRule="auto"/>
        <w:ind w:right="51"/>
        <w:jc w:val="center"/>
        <w:rPr>
          <w:rFonts w:ascii="Palatino Linotype" w:eastAsia="Palatino Linotype" w:hAnsi="Palatino Linotype" w:cs="Palatino Linotype"/>
          <w:b/>
        </w:rPr>
      </w:pPr>
      <w:r w:rsidRPr="00A44C0C">
        <w:rPr>
          <w:rFonts w:ascii="Palatino Linotype" w:eastAsia="Palatino Linotype" w:hAnsi="Palatino Linotype" w:cs="Palatino Linotype"/>
          <w:b/>
        </w:rPr>
        <w:t>R E S U E L V E:</w:t>
      </w:r>
    </w:p>
    <w:p w:rsidR="00CC0975" w:rsidRPr="00A44C0C" w:rsidRDefault="00CC0975">
      <w:pPr>
        <w:spacing w:line="360" w:lineRule="auto"/>
        <w:ind w:right="51"/>
        <w:jc w:val="both"/>
        <w:rPr>
          <w:rFonts w:ascii="Palatino Linotype" w:eastAsia="Palatino Linotype" w:hAnsi="Palatino Linotype" w:cs="Palatino Linotype"/>
        </w:rPr>
      </w:pPr>
    </w:p>
    <w:p w:rsidR="00CC0975" w:rsidRPr="00A44C0C" w:rsidRDefault="008E3FD6">
      <w:pPr>
        <w:pBdr>
          <w:top w:val="nil"/>
          <w:left w:val="nil"/>
          <w:bottom w:val="nil"/>
          <w:right w:val="nil"/>
          <w:between w:val="nil"/>
        </w:pBdr>
        <w:spacing w:line="360" w:lineRule="auto"/>
        <w:jc w:val="both"/>
      </w:pPr>
      <w:r w:rsidRPr="00A44C0C">
        <w:rPr>
          <w:rFonts w:ascii="Palatino Linotype" w:eastAsia="Palatino Linotype" w:hAnsi="Palatino Linotype" w:cs="Palatino Linotype"/>
          <w:b/>
        </w:rPr>
        <w:t xml:space="preserve">PRIMERO. </w:t>
      </w:r>
      <w:r w:rsidRPr="00A44C0C">
        <w:rPr>
          <w:rFonts w:ascii="Palatino Linotype" w:eastAsia="Palatino Linotype" w:hAnsi="Palatino Linotype" w:cs="Palatino Linotype"/>
        </w:rPr>
        <w:t>Se</w:t>
      </w:r>
      <w:r w:rsidRPr="00A44C0C">
        <w:rPr>
          <w:rFonts w:ascii="Palatino Linotype" w:eastAsia="Palatino Linotype" w:hAnsi="Palatino Linotype" w:cs="Palatino Linotype"/>
          <w:b/>
        </w:rPr>
        <w:t xml:space="preserve"> SOBRESEEN </w:t>
      </w:r>
      <w:r w:rsidRPr="00A44C0C">
        <w:rPr>
          <w:rFonts w:ascii="Palatino Linotype" w:eastAsia="Palatino Linotype" w:hAnsi="Palatino Linotype" w:cs="Palatino Linotype"/>
        </w:rPr>
        <w:t xml:space="preserve">los recursos de revisión </w:t>
      </w:r>
      <w:r w:rsidRPr="00A44C0C">
        <w:rPr>
          <w:rFonts w:ascii="Palatino Linotype" w:eastAsia="Palatino Linotype" w:hAnsi="Palatino Linotype" w:cs="Palatino Linotype"/>
          <w:b/>
        </w:rPr>
        <w:t xml:space="preserve">17399/INFOEM/IP/RR/2022, 17402/INFOEM/IP/RR/2022, 17403/INFOEM/IP/RR/2022, 17404/INFOEM/IP/RR/2022 y 17479/INFOEM/IP/RR/2022, </w:t>
      </w:r>
      <w:r w:rsidRPr="00A44C0C">
        <w:rPr>
          <w:rFonts w:ascii="Palatino Linotype" w:eastAsia="Palatino Linotype" w:hAnsi="Palatino Linotype" w:cs="Palatino Linotype"/>
        </w:rPr>
        <w:t xml:space="preserve">porque al </w:t>
      </w:r>
      <w:r w:rsidRPr="00A44C0C">
        <w:rPr>
          <w:rFonts w:ascii="Palatino Linotype" w:eastAsia="Palatino Linotype" w:hAnsi="Palatino Linotype" w:cs="Palatino Linotype"/>
          <w:b/>
        </w:rPr>
        <w:t xml:space="preserve">modificar las </w:t>
      </w:r>
      <w:r w:rsidRPr="00A44C0C">
        <w:rPr>
          <w:rFonts w:ascii="Palatino Linotype" w:eastAsia="Palatino Linotype" w:hAnsi="Palatino Linotype" w:cs="Palatino Linotype"/>
          <w:b/>
        </w:rPr>
        <w:lastRenderedPageBreak/>
        <w:t>respuestas</w:t>
      </w:r>
      <w:r w:rsidRPr="00A44C0C">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w:t>
      </w:r>
      <w:r w:rsidRPr="00A44C0C">
        <w:rPr>
          <w:rFonts w:ascii="Palatino Linotype" w:eastAsia="Palatino Linotype" w:hAnsi="Palatino Linotype" w:cs="Palatino Linotype"/>
          <w:b/>
        </w:rPr>
        <w:t>CONSIDERANDO</w:t>
      </w:r>
      <w:r w:rsidRPr="00A44C0C">
        <w:rPr>
          <w:rFonts w:ascii="Palatino Linotype" w:eastAsia="Palatino Linotype" w:hAnsi="Palatino Linotype" w:cs="Palatino Linotype"/>
        </w:rPr>
        <w:t xml:space="preserve"> </w:t>
      </w:r>
      <w:r w:rsidRPr="00A44C0C">
        <w:rPr>
          <w:rFonts w:ascii="Palatino Linotype" w:eastAsia="Palatino Linotype" w:hAnsi="Palatino Linotype" w:cs="Palatino Linotype"/>
          <w:b/>
        </w:rPr>
        <w:t xml:space="preserve">TERCERO </w:t>
      </w:r>
      <w:r w:rsidRPr="00A44C0C">
        <w:rPr>
          <w:rFonts w:ascii="Palatino Linotype" w:eastAsia="Palatino Linotype" w:hAnsi="Palatino Linotype" w:cs="Palatino Linotype"/>
        </w:rPr>
        <w:t>de la presente Resolución.</w:t>
      </w:r>
    </w:p>
    <w:p w:rsidR="00CC0975" w:rsidRPr="00A44C0C" w:rsidRDefault="00CC0975">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bookmarkStart w:id="6" w:name="_heading=h.1fob9te" w:colFirst="0" w:colLast="0"/>
      <w:bookmarkEnd w:id="6"/>
    </w:p>
    <w:p w:rsidR="00CC0975" w:rsidRPr="00A44C0C" w:rsidRDefault="008E3FD6">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b/>
        </w:rPr>
        <w:t xml:space="preserve">SEGUNDO. NOTIFÍQUESE, </w:t>
      </w:r>
      <w:r w:rsidRPr="00A44C0C">
        <w:rPr>
          <w:rFonts w:ascii="Palatino Linotype" w:eastAsia="Palatino Linotype" w:hAnsi="Palatino Linotype" w:cs="Palatino Linotype"/>
        </w:rPr>
        <w:t xml:space="preserve">a la Persona Titular de la Unidad de Transparencia del </w:t>
      </w:r>
      <w:r w:rsidRPr="00A44C0C">
        <w:rPr>
          <w:rFonts w:ascii="Palatino Linotype" w:eastAsia="Palatino Linotype" w:hAnsi="Palatino Linotype" w:cs="Palatino Linotype"/>
          <w:b/>
        </w:rPr>
        <w:t>SUJETO OBLIGADO</w:t>
      </w:r>
      <w:r w:rsidRPr="00A44C0C">
        <w:rPr>
          <w:rFonts w:ascii="Palatino Linotype" w:eastAsia="Palatino Linotype" w:hAnsi="Palatino Linotype" w:cs="Palatino Linotype"/>
        </w:rPr>
        <w:t xml:space="preserve"> la presente resolución, para su conocimiento.</w:t>
      </w:r>
    </w:p>
    <w:p w:rsidR="00CC0975" w:rsidRPr="00A44C0C" w:rsidRDefault="00CC0975">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b/>
        </w:rPr>
        <w:t>TERCERO. NOTIFÍQUESE,</w:t>
      </w:r>
      <w:r w:rsidRPr="00A44C0C">
        <w:rPr>
          <w:rFonts w:ascii="Palatino Linotype" w:eastAsia="Palatino Linotype" w:hAnsi="Palatino Linotype" w:cs="Palatino Linotype"/>
        </w:rPr>
        <w:t xml:space="preserve"> vía SAIMEX, a</w:t>
      </w:r>
      <w:r w:rsidRPr="00A44C0C">
        <w:rPr>
          <w:rFonts w:ascii="Palatino Linotype" w:eastAsia="Palatino Linotype" w:hAnsi="Palatino Linotype" w:cs="Palatino Linotype"/>
          <w:b/>
        </w:rPr>
        <w:t xml:space="preserve"> LA PARTE RECURRENTE</w:t>
      </w:r>
      <w:r w:rsidRPr="00A44C0C">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8E3FD6">
      <w:pPr>
        <w:spacing w:line="360" w:lineRule="auto"/>
        <w:jc w:val="both"/>
        <w:rPr>
          <w:rFonts w:ascii="Palatino Linotype" w:eastAsia="Palatino Linotype" w:hAnsi="Palatino Linotype" w:cs="Palatino Linotype"/>
        </w:rPr>
      </w:pPr>
      <w:r w:rsidRPr="00A44C0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DOS DE AGOSTO DE DOS MIL VEINTITRÉS, ANTE EL SECRETARIO TÉCNICO DEL PLENO ALEXIS TAPIA RAMÍREZ. </w:t>
      </w: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p w:rsidR="00CC0975" w:rsidRPr="00A44C0C" w:rsidRDefault="00CC0975">
      <w:pPr>
        <w:spacing w:line="360" w:lineRule="auto"/>
        <w:jc w:val="both"/>
        <w:rPr>
          <w:rFonts w:ascii="Palatino Linotype" w:eastAsia="Palatino Linotype" w:hAnsi="Palatino Linotype" w:cs="Palatino Linotype"/>
        </w:rPr>
      </w:pPr>
    </w:p>
    <w:sectPr w:rsidR="00CC0975" w:rsidRPr="00A44C0C">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820" w:rsidRDefault="00F63820">
      <w:r>
        <w:separator/>
      </w:r>
    </w:p>
  </w:endnote>
  <w:endnote w:type="continuationSeparator" w:id="0">
    <w:p w:rsidR="00F63820" w:rsidRDefault="00F63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975" w:rsidRDefault="008E3FD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865DF">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865DF">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rsidR="00CC0975" w:rsidRDefault="00CC097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975" w:rsidRDefault="008E3FD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865D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865DF">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rsidR="00CC0975" w:rsidRDefault="00CC097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820" w:rsidRDefault="00F63820">
      <w:r>
        <w:separator/>
      </w:r>
    </w:p>
  </w:footnote>
  <w:footnote w:type="continuationSeparator" w:id="0">
    <w:p w:rsidR="00F63820" w:rsidRDefault="00F63820">
      <w:r>
        <w:continuationSeparator/>
      </w:r>
    </w:p>
  </w:footnote>
  <w:footnote w:id="1">
    <w:p w:rsidR="00CC0975" w:rsidRDefault="008E3FD6">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975" w:rsidRDefault="008E3FD6">
    <w:pPr>
      <w:rPr>
        <w:rFonts w:ascii="Cambria" w:eastAsia="Cambria" w:hAnsi="Cambria" w:cs="Cambria"/>
      </w:rPr>
    </w:pPr>
    <w:r>
      <w:rPr>
        <w:noProof/>
      </w:rPr>
      <w:drawing>
        <wp:anchor distT="0" distB="0" distL="0" distR="0" simplePos="0" relativeHeight="251658240" behindDoc="1" locked="0" layoutInCell="1" hidden="0" allowOverlap="1">
          <wp:simplePos x="0" y="0"/>
          <wp:positionH relativeFrom="column">
            <wp:posOffset>-1071159</wp:posOffset>
          </wp:positionH>
          <wp:positionV relativeFrom="paragraph">
            <wp:posOffset>-487677</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e"/>
      <w:tblW w:w="5953" w:type="dxa"/>
      <w:tblInd w:w="3261" w:type="dxa"/>
      <w:tblLayout w:type="fixed"/>
      <w:tblLook w:val="0400" w:firstRow="0" w:lastRow="0" w:firstColumn="0" w:lastColumn="0" w:noHBand="0" w:noVBand="1"/>
    </w:tblPr>
    <w:tblGrid>
      <w:gridCol w:w="2489"/>
      <w:gridCol w:w="3464"/>
    </w:tblGrid>
    <w:tr w:rsidR="00CC0975">
      <w:tc>
        <w:tcPr>
          <w:tcW w:w="2489" w:type="dxa"/>
          <w:shd w:val="clear" w:color="auto" w:fill="auto"/>
        </w:tcPr>
        <w:p w:rsidR="00CC0975" w:rsidRDefault="008E3F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CC0975" w:rsidRDefault="008E3FD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17399/INFOEM/IP/RR/2022   y acumulados</w:t>
          </w:r>
        </w:p>
      </w:tc>
    </w:tr>
    <w:tr w:rsidR="00CC0975">
      <w:trPr>
        <w:trHeight w:val="228"/>
      </w:trPr>
      <w:tc>
        <w:tcPr>
          <w:tcW w:w="2489" w:type="dxa"/>
          <w:shd w:val="clear" w:color="auto" w:fill="auto"/>
          <w:vAlign w:val="center"/>
        </w:tcPr>
        <w:p w:rsidR="00CC0975" w:rsidRDefault="008E3F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CC0975" w:rsidRDefault="008E3FD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C0975">
      <w:tc>
        <w:tcPr>
          <w:tcW w:w="2489" w:type="dxa"/>
          <w:shd w:val="clear" w:color="auto" w:fill="auto"/>
          <w:vAlign w:val="center"/>
        </w:tcPr>
        <w:p w:rsidR="00CC0975" w:rsidRDefault="008E3FD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CC0975" w:rsidRDefault="008E3FD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C0975" w:rsidRDefault="008E3FD6">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975" w:rsidRDefault="00CC097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d"/>
      <w:tblW w:w="5670" w:type="dxa"/>
      <w:tblInd w:w="3174" w:type="dxa"/>
      <w:tblLayout w:type="fixed"/>
      <w:tblLook w:val="0400" w:firstRow="0" w:lastRow="0" w:firstColumn="0" w:lastColumn="0" w:noHBand="0" w:noVBand="1"/>
    </w:tblPr>
    <w:tblGrid>
      <w:gridCol w:w="2551"/>
      <w:gridCol w:w="3119"/>
    </w:tblGrid>
    <w:tr w:rsidR="00CC0975">
      <w:tc>
        <w:tcPr>
          <w:tcW w:w="2551" w:type="dxa"/>
          <w:shd w:val="clear" w:color="auto" w:fill="auto"/>
          <w:vAlign w:val="center"/>
        </w:tcPr>
        <w:p w:rsidR="00CC0975" w:rsidRDefault="008E3F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r>
            <w:rPr>
              <w:noProof/>
            </w:rPr>
            <w:drawing>
              <wp:anchor distT="0" distB="0" distL="0" distR="0" simplePos="0" relativeHeight="251659264" behindDoc="1" locked="0" layoutInCell="1" hidden="0" allowOverlap="1">
                <wp:simplePos x="0" y="0"/>
                <wp:positionH relativeFrom="column">
                  <wp:posOffset>-3177537</wp:posOffset>
                </wp:positionH>
                <wp:positionV relativeFrom="paragraph">
                  <wp:posOffset>-617852</wp:posOffset>
                </wp:positionV>
                <wp:extent cx="7809865" cy="10165715"/>
                <wp:effectExtent l="0" t="0" r="0" b="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c>
        <w:tcPr>
          <w:tcW w:w="3119" w:type="dxa"/>
          <w:shd w:val="clear" w:color="auto" w:fill="auto"/>
          <w:vAlign w:val="center"/>
        </w:tcPr>
        <w:p w:rsidR="00CC0975" w:rsidRDefault="008E3FD6">
          <w:pPr>
            <w:tabs>
              <w:tab w:val="left" w:pos="3153"/>
            </w:tabs>
            <w:ind w:left="-4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17399/INFOEM/IP/RR/2022 y acumulados</w:t>
          </w:r>
        </w:p>
      </w:tc>
    </w:tr>
    <w:tr w:rsidR="00CC0975">
      <w:trPr>
        <w:trHeight w:val="130"/>
      </w:trPr>
      <w:tc>
        <w:tcPr>
          <w:tcW w:w="2551" w:type="dxa"/>
          <w:shd w:val="clear" w:color="auto" w:fill="auto"/>
          <w:vAlign w:val="center"/>
        </w:tcPr>
        <w:p w:rsidR="00CC0975" w:rsidRDefault="008E3F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CC0975" w:rsidRDefault="004865DF" w:rsidP="004865DF">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w:t>
          </w:r>
        </w:p>
      </w:tc>
    </w:tr>
    <w:tr w:rsidR="00CC0975">
      <w:trPr>
        <w:trHeight w:val="228"/>
      </w:trPr>
      <w:tc>
        <w:tcPr>
          <w:tcW w:w="2551" w:type="dxa"/>
          <w:shd w:val="clear" w:color="auto" w:fill="auto"/>
          <w:vAlign w:val="center"/>
        </w:tcPr>
        <w:p w:rsidR="00CC0975" w:rsidRDefault="008E3F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CC0975" w:rsidRDefault="008E3FD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C0975">
      <w:tc>
        <w:tcPr>
          <w:tcW w:w="2551" w:type="dxa"/>
          <w:shd w:val="clear" w:color="auto" w:fill="auto"/>
          <w:vAlign w:val="center"/>
        </w:tcPr>
        <w:p w:rsidR="00CC0975" w:rsidRDefault="008E3FD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CC0975" w:rsidRDefault="008E3FD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C0975" w:rsidRDefault="00CC097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675972"/>
    <w:multiLevelType w:val="multilevel"/>
    <w:tmpl w:val="6FCAF7D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B1768D6"/>
    <w:multiLevelType w:val="multilevel"/>
    <w:tmpl w:val="5E30AA2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45DC5B63"/>
    <w:multiLevelType w:val="multilevel"/>
    <w:tmpl w:val="63E4B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92F5878"/>
    <w:multiLevelType w:val="multilevel"/>
    <w:tmpl w:val="589CD5B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9687C02"/>
    <w:multiLevelType w:val="multilevel"/>
    <w:tmpl w:val="4232EB5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975"/>
    <w:rsid w:val="004865DF"/>
    <w:rsid w:val="008E3FD6"/>
    <w:rsid w:val="00A44C0C"/>
    <w:rsid w:val="00BE12FC"/>
    <w:rsid w:val="00CC0975"/>
    <w:rsid w:val="00F638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9C25C2-06A2-44D4-BBDB-C5A64EE99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9ED"/>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top w:w="0" w:type="dxa"/>
        <w:left w:w="115" w:type="dxa"/>
        <w:bottom w:w="0" w:type="dxa"/>
        <w:right w:w="115" w:type="dxa"/>
      </w:tblCellMar>
    </w:tblPr>
  </w:style>
  <w:style w:type="table" w:customStyle="1" w:styleId="9">
    <w:name w:val="9"/>
    <w:basedOn w:val="TableNormal11"/>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top w:w="0" w:type="dxa"/>
        <w:left w:w="115" w:type="dxa"/>
        <w:bottom w:w="0" w:type="dxa"/>
        <w:right w:w="115" w:type="dxa"/>
      </w:tblCellMar>
    </w:tblPr>
  </w:style>
  <w:style w:type="table" w:customStyle="1" w:styleId="7">
    <w:name w:val="7"/>
    <w:basedOn w:val="TableNormal11"/>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
    <w:tblPr>
      <w:tblStyleRowBandSize w:val="1"/>
      <w:tblStyleColBandSize w:val="1"/>
      <w:tblCellMar>
        <w:top w:w="0" w:type="dxa"/>
        <w:left w:w="115" w:type="dxa"/>
        <w:bottom w:w="0" w:type="dxa"/>
        <w:right w:w="115" w:type="dxa"/>
      </w:tblCellMar>
    </w:tblPr>
  </w:style>
  <w:style w:type="table" w:customStyle="1" w:styleId="1">
    <w:name w:val="1"/>
    <w:basedOn w:val="TableNormal4"/>
    <w:tblPr>
      <w:tblStyleRowBandSize w:val="1"/>
      <w:tblStyleColBandSize w:val="1"/>
      <w:tblCellMar>
        <w:top w:w="0" w:type="dxa"/>
        <w:left w:w="115" w:type="dxa"/>
        <w:bottom w:w="0" w:type="dxa"/>
        <w:right w:w="115" w:type="dxa"/>
      </w:tblCellMar>
    </w:tblPr>
  </w:style>
  <w:style w:type="table" w:customStyle="1" w:styleId="23">
    <w:name w:val="23"/>
    <w:basedOn w:val="TableNormal5"/>
    <w:tblPr>
      <w:tblStyleRowBandSize w:val="1"/>
      <w:tblStyleColBandSize w:val="1"/>
      <w:tblCellMar>
        <w:top w:w="0" w:type="dxa"/>
        <w:left w:w="115" w:type="dxa"/>
        <w:bottom w:w="0" w:type="dxa"/>
        <w:right w:w="115" w:type="dxa"/>
      </w:tblCellMar>
    </w:tblPr>
  </w:style>
  <w:style w:type="table" w:customStyle="1" w:styleId="22">
    <w:name w:val="22"/>
    <w:basedOn w:val="TableNormal5"/>
    <w:tblPr>
      <w:tblStyleRowBandSize w:val="1"/>
      <w:tblStyleColBandSize w:val="1"/>
      <w:tblCellMar>
        <w:top w:w="0" w:type="dxa"/>
        <w:left w:w="115" w:type="dxa"/>
        <w:bottom w:w="0" w:type="dxa"/>
        <w:right w:w="115" w:type="dxa"/>
      </w:tblCellMar>
    </w:tblPr>
  </w:style>
  <w:style w:type="table" w:customStyle="1" w:styleId="21">
    <w:name w:val="21"/>
    <w:basedOn w:val="TableNormal6"/>
    <w:tblPr>
      <w:tblStyleRowBandSize w:val="1"/>
      <w:tblStyleColBandSize w:val="1"/>
      <w:tblCellMar>
        <w:top w:w="0" w:type="dxa"/>
        <w:left w:w="115" w:type="dxa"/>
        <w:bottom w:w="0" w:type="dxa"/>
        <w:right w:w="115" w:type="dxa"/>
      </w:tblCellMar>
    </w:tblPr>
  </w:style>
  <w:style w:type="table" w:customStyle="1" w:styleId="20">
    <w:name w:val="20"/>
    <w:basedOn w:val="TableNormal6"/>
    <w:tblPr>
      <w:tblStyleRowBandSize w:val="1"/>
      <w:tblStyleColBandSize w:val="1"/>
      <w:tblCellMar>
        <w:top w:w="0" w:type="dxa"/>
        <w:left w:w="115" w:type="dxa"/>
        <w:bottom w:w="0" w:type="dxa"/>
        <w:right w:w="115" w:type="dxa"/>
      </w:tblCellMar>
    </w:tblPr>
  </w:style>
  <w:style w:type="table" w:customStyle="1" w:styleId="19">
    <w:name w:val="19"/>
    <w:basedOn w:val="TableNormal7"/>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top w:w="0" w:type="dxa"/>
        <w:left w:w="115" w:type="dxa"/>
        <w:bottom w:w="0" w:type="dxa"/>
        <w:right w:w="115" w:type="dxa"/>
      </w:tblCellMar>
    </w:tblPr>
  </w:style>
  <w:style w:type="table" w:customStyle="1" w:styleId="17">
    <w:name w:val="17"/>
    <w:basedOn w:val="TableNormal7"/>
    <w:tblPr>
      <w:tblStyleRowBandSize w:val="1"/>
      <w:tblStyleColBandSize w:val="1"/>
      <w:tblCellMar>
        <w:top w:w="0" w:type="dxa"/>
        <w:left w:w="115" w:type="dxa"/>
        <w:bottom w:w="0" w:type="dxa"/>
        <w:right w:w="115" w:type="dxa"/>
      </w:tblCellMar>
    </w:tblPr>
  </w:style>
  <w:style w:type="table" w:customStyle="1" w:styleId="16">
    <w:name w:val="16"/>
    <w:basedOn w:val="TableNormal8"/>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top w:w="0" w:type="dxa"/>
        <w:left w:w="115" w:type="dxa"/>
        <w:bottom w:w="0" w:type="dxa"/>
        <w:right w:w="115" w:type="dxa"/>
      </w:tblCellMar>
    </w:tblPr>
  </w:style>
  <w:style w:type="table" w:customStyle="1" w:styleId="14">
    <w:name w:val="14"/>
    <w:basedOn w:val="TableNormal8"/>
    <w:tblPr>
      <w:tblStyleRowBandSize w:val="1"/>
      <w:tblStyleColBandSize w:val="1"/>
      <w:tblCellMar>
        <w:top w:w="0" w:type="dxa"/>
        <w:left w:w="115" w:type="dxa"/>
        <w:bottom w:w="0" w:type="dxa"/>
        <w:right w:w="115" w:type="dxa"/>
      </w:tblCellMar>
    </w:tblPr>
  </w:style>
  <w:style w:type="table" w:customStyle="1" w:styleId="13">
    <w:name w:val="13"/>
    <w:basedOn w:val="TableNormal9"/>
    <w:tblPr>
      <w:tblStyleRowBandSize w:val="1"/>
      <w:tblStyleColBandSize w:val="1"/>
      <w:tblCellMar>
        <w:top w:w="0" w:type="dxa"/>
        <w:left w:w="115" w:type="dxa"/>
        <w:bottom w:w="0" w:type="dxa"/>
        <w:right w:w="115" w:type="dxa"/>
      </w:tblCellMar>
    </w:tblPr>
  </w:style>
  <w:style w:type="table" w:customStyle="1" w:styleId="12">
    <w:name w:val="12"/>
    <w:basedOn w:val="TableNormal9"/>
    <w:tblPr>
      <w:tblStyleRowBandSize w:val="1"/>
      <w:tblStyleColBandSize w:val="1"/>
      <w:tblCellMar>
        <w:top w:w="0" w:type="dxa"/>
        <w:left w:w="115" w:type="dxa"/>
        <w:bottom w:w="0" w:type="dxa"/>
        <w:right w:w="115" w:type="dxa"/>
      </w:tblCellMar>
    </w:tblPr>
  </w:style>
  <w:style w:type="table" w:customStyle="1" w:styleId="26">
    <w:name w:val="26"/>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top w:w="0" w:type="dxa"/>
        <w:left w:w="115" w:type="dxa"/>
        <w:bottom w:w="0" w:type="dxa"/>
        <w:right w:w="115" w:type="dxa"/>
      </w:tblCellMar>
    </w:tblPr>
  </w:style>
  <w:style w:type="table" w:customStyle="1" w:styleId="24">
    <w:name w:val="24"/>
    <w:basedOn w:val="TableNormal10"/>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3"/>
    <w:tblPr>
      <w:tblStyleRowBandSize w:val="1"/>
      <w:tblStyleColBandSize w:val="1"/>
      <w:tblCellMar>
        <w:top w:w="0" w:type="dxa"/>
        <w:left w:w="108" w:type="dxa"/>
        <w:bottom w:w="0" w:type="dxa"/>
        <w:right w:w="108" w:type="dxa"/>
      </w:tblCellMar>
    </w:tblPr>
  </w:style>
  <w:style w:type="table" w:customStyle="1" w:styleId="a0">
    <w:basedOn w:val="TableNormal3"/>
    <w:tblPr>
      <w:tblStyleRowBandSize w:val="1"/>
      <w:tblStyleColBandSize w:val="1"/>
      <w:tblCellMar>
        <w:top w:w="0" w:type="dxa"/>
        <w:left w:w="108" w:type="dxa"/>
        <w:bottom w:w="0" w:type="dxa"/>
        <w:right w:w="108" w:type="dxa"/>
      </w:tblCellMar>
    </w:tblPr>
  </w:style>
  <w:style w:type="table" w:customStyle="1" w:styleId="a2">
    <w:basedOn w:val="TableNormal3"/>
    <w:tblPr>
      <w:tblStyleRowBandSize w:val="1"/>
      <w:tblStyleColBandSize w:val="1"/>
      <w:tblCellMar>
        <w:top w:w="0" w:type="dxa"/>
        <w:left w:w="108" w:type="dxa"/>
        <w:bottom w:w="0" w:type="dxa"/>
        <w:right w:w="108" w:type="dxa"/>
      </w:tblCellMar>
    </w:tblPr>
  </w:style>
  <w:style w:type="table" w:customStyle="1" w:styleId="a3">
    <w:basedOn w:val="TableNormal3"/>
    <w:tblPr>
      <w:tblStyleRowBandSize w:val="1"/>
      <w:tblStyleColBandSize w:val="1"/>
      <w:tblCellMar>
        <w:top w:w="0" w:type="dxa"/>
        <w:left w:w="108" w:type="dxa"/>
        <w:bottom w:w="0" w:type="dxa"/>
        <w:right w:w="108" w:type="dxa"/>
      </w:tblCellMar>
    </w:tblPr>
  </w:style>
  <w:style w:type="table" w:customStyle="1" w:styleId="a4">
    <w:basedOn w:val="TableNormal3"/>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a6">
    <w:basedOn w:val="TableNormal3"/>
    <w:tblPr>
      <w:tblStyleRowBandSize w:val="1"/>
      <w:tblStyleColBandSize w:val="1"/>
      <w:tblCellMar>
        <w:top w:w="0" w:type="dxa"/>
        <w:left w:w="115" w:type="dxa"/>
        <w:bottom w:w="0" w:type="dxa"/>
        <w:right w:w="115" w:type="dxa"/>
      </w:tblCellMar>
    </w:tblPr>
  </w:style>
  <w:style w:type="paragraph" w:customStyle="1" w:styleId="Citas">
    <w:name w:val="Citas"/>
    <w:basedOn w:val="Normal"/>
    <w:qFormat/>
    <w:rsid w:val="0073487B"/>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2"/>
    <w:tblPr>
      <w:tblStyleRowBandSize w:val="1"/>
      <w:tblStyleColBandSize w:val="1"/>
      <w:tblCellMar>
        <w:top w:w="0" w:type="dxa"/>
        <w:left w:w="115" w:type="dxa"/>
        <w:bottom w:w="0" w:type="dxa"/>
        <w:right w:w="115" w:type="dxa"/>
      </w:tblCellMar>
    </w:tblPr>
  </w:style>
  <w:style w:type="table" w:customStyle="1" w:styleId="a9">
    <w:basedOn w:val="TableNormal2"/>
    <w:tblPr>
      <w:tblStyleRowBandSize w:val="1"/>
      <w:tblStyleColBandSize w:val="1"/>
      <w:tblCellMar>
        <w:top w:w="0" w:type="dxa"/>
        <w:left w:w="108" w:type="dxa"/>
        <w:bottom w:w="0" w:type="dxa"/>
        <w:right w:w="108"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table" w:customStyle="1" w:styleId="ae">
    <w:basedOn w:val="TableNormal2"/>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59305.page"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aimex.org.mx/saimex/solicitud/downloadAttach/1661478.page"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61477.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saimex.org.mx/saimex/solicitud/downloadAttach/1659306.page" TargetMode="External"/><Relationship Id="rId14" Type="http://schemas.openxmlformats.org/officeDocument/2006/relationships/image" Target="media/image3.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Q2b1dW7wYaNgnTuGS7+OWflDkA==">CgMxLjAyCGguZ2pkZ3hzMgloLjJzOGV5bzEyCWguMzBqMHpsbDIOaC5sdWI3N3BubWZ0dDYyCGgudHlqY3d0MgloLjFmb2I5dGU4AHIhMWtVaC1XclRjZFEteHoxN1JldXdSYU9IbHo4MVVrZzFC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8063</Words>
  <Characters>44349</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2023-08-04T17:26:00Z</cp:lastPrinted>
  <dcterms:created xsi:type="dcterms:W3CDTF">2023-08-16T18:10:00Z</dcterms:created>
  <dcterms:modified xsi:type="dcterms:W3CDTF">2023-08-16T18:10:00Z</dcterms:modified>
</cp:coreProperties>
</file>