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660" w:rsidRPr="00EA4073" w:rsidRDefault="000E1A3E">
      <w:pPr>
        <w:spacing w:before="240" w:after="240" w:line="360" w:lineRule="auto"/>
        <w:jc w:val="both"/>
        <w:rPr>
          <w:rFonts w:ascii="Palatino Linotype" w:eastAsia="Palatino Linotype" w:hAnsi="Palatino Linotype" w:cs="Palatino Linotype"/>
        </w:rPr>
      </w:pPr>
      <w:bookmarkStart w:id="0" w:name="_GoBack"/>
      <w:bookmarkEnd w:id="0"/>
      <w:r w:rsidRPr="00EA407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veintiuno de junio de dos mil veintitrés. </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b/>
        </w:rPr>
        <w:t>VISTO</w:t>
      </w:r>
      <w:r w:rsidRPr="00EA4073">
        <w:rPr>
          <w:rFonts w:ascii="Palatino Linotype" w:eastAsia="Palatino Linotype" w:hAnsi="Palatino Linotype" w:cs="Palatino Linotype"/>
        </w:rPr>
        <w:t xml:space="preserve"> el expediente formado con motivo del recurso de revisión </w:t>
      </w:r>
      <w:r w:rsidRPr="00EA4073">
        <w:rPr>
          <w:rFonts w:ascii="Palatino Linotype" w:eastAsia="Palatino Linotype" w:hAnsi="Palatino Linotype" w:cs="Palatino Linotype"/>
          <w:b/>
        </w:rPr>
        <w:t>16434/INFOEM/IP/RR/2022</w:t>
      </w:r>
      <w:r w:rsidRPr="00EA4073">
        <w:rPr>
          <w:rFonts w:ascii="Palatino Linotype" w:eastAsia="Palatino Linotype" w:hAnsi="Palatino Linotype" w:cs="Palatino Linotype"/>
        </w:rPr>
        <w:t xml:space="preserve">, interpuesto por </w:t>
      </w:r>
      <w:r w:rsidRPr="00EA4073">
        <w:rPr>
          <w:rFonts w:ascii="Palatino Linotype" w:eastAsia="Palatino Linotype" w:hAnsi="Palatino Linotype" w:cs="Palatino Linotype"/>
          <w:b/>
        </w:rPr>
        <w:t>un particular que no proporcionó su nombre,</w:t>
      </w:r>
      <w:r w:rsidRPr="00EA4073">
        <w:rPr>
          <w:rFonts w:ascii="Palatino Linotype" w:eastAsia="Palatino Linotype" w:hAnsi="Palatino Linotype" w:cs="Palatino Linotype"/>
        </w:rPr>
        <w:t xml:space="preserve"> al cual en lo sucesivo se le denominara la parte </w:t>
      </w:r>
      <w:r w:rsidRPr="00EA4073">
        <w:rPr>
          <w:rFonts w:ascii="Palatino Linotype" w:eastAsia="Palatino Linotype" w:hAnsi="Palatino Linotype" w:cs="Palatino Linotype"/>
          <w:b/>
        </w:rPr>
        <w:t>RECURRENTE,</w:t>
      </w:r>
      <w:r w:rsidRPr="00EA4073">
        <w:rPr>
          <w:rFonts w:ascii="Palatino Linotype" w:eastAsia="Palatino Linotype" w:hAnsi="Palatino Linotype" w:cs="Palatino Linotype"/>
        </w:rPr>
        <w:t xml:space="preserve"> en contra de la respuesta a su solicitud por parte del </w:t>
      </w:r>
      <w:r w:rsidRPr="00EA4073">
        <w:rPr>
          <w:rFonts w:ascii="Palatino Linotype" w:eastAsia="Palatino Linotype" w:hAnsi="Palatino Linotype" w:cs="Palatino Linotype"/>
          <w:b/>
        </w:rPr>
        <w:t xml:space="preserve">Ayuntamiento de Zinacantepec, </w:t>
      </w:r>
      <w:r w:rsidRPr="00EA4073">
        <w:rPr>
          <w:rFonts w:ascii="Palatino Linotype" w:eastAsia="Palatino Linotype" w:hAnsi="Palatino Linotype" w:cs="Palatino Linotype"/>
        </w:rPr>
        <w:t xml:space="preserve">en lo sucesivo el </w:t>
      </w:r>
      <w:r w:rsidRPr="00EA4073">
        <w:rPr>
          <w:rFonts w:ascii="Palatino Linotype" w:eastAsia="Palatino Linotype" w:hAnsi="Palatino Linotype" w:cs="Palatino Linotype"/>
          <w:b/>
        </w:rPr>
        <w:t xml:space="preserve">SUJETO OBLIGADO, </w:t>
      </w:r>
      <w:r w:rsidRPr="00EA4073">
        <w:rPr>
          <w:rFonts w:ascii="Palatino Linotype" w:eastAsia="Palatino Linotype" w:hAnsi="Palatino Linotype" w:cs="Palatino Linotype"/>
        </w:rPr>
        <w:t xml:space="preserve">se procede a dictar la presente resolución con base en los siguientes: </w:t>
      </w:r>
    </w:p>
    <w:p w:rsidR="00867660" w:rsidRPr="00EA4073" w:rsidRDefault="000E1A3E">
      <w:pPr>
        <w:spacing w:before="240" w:after="240" w:line="360" w:lineRule="auto"/>
        <w:jc w:val="center"/>
        <w:rPr>
          <w:rFonts w:ascii="Palatino Linotype" w:eastAsia="Palatino Linotype" w:hAnsi="Palatino Linotype" w:cs="Palatino Linotype"/>
          <w:b/>
        </w:rPr>
      </w:pPr>
      <w:r w:rsidRPr="00EA4073">
        <w:rPr>
          <w:rFonts w:ascii="Palatino Linotype" w:eastAsia="Palatino Linotype" w:hAnsi="Palatino Linotype" w:cs="Palatino Linotype"/>
          <w:b/>
        </w:rPr>
        <w:t>I. A N T E C E D E N T E S</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b/>
        </w:rPr>
        <w:t>1. Solicitud de acceso a la información.</w:t>
      </w:r>
      <w:r w:rsidRPr="00EA4073">
        <w:rPr>
          <w:rFonts w:ascii="Palatino Linotype" w:eastAsia="Palatino Linotype" w:hAnsi="Palatino Linotype" w:cs="Palatino Linotype"/>
        </w:rPr>
        <w:t xml:space="preserve"> Con fecha </w:t>
      </w:r>
      <w:r w:rsidRPr="00EA4073">
        <w:rPr>
          <w:rFonts w:ascii="Palatino Linotype" w:eastAsia="Palatino Linotype" w:hAnsi="Palatino Linotype" w:cs="Palatino Linotype"/>
          <w:b/>
        </w:rPr>
        <w:t>trece de octubre de dos mil veintidós,</w:t>
      </w:r>
      <w:r w:rsidRPr="00EA4073">
        <w:rPr>
          <w:rFonts w:ascii="Palatino Linotype" w:eastAsia="Palatino Linotype" w:hAnsi="Palatino Linotype" w:cs="Palatino Linotype"/>
        </w:rPr>
        <w:t xml:space="preserve"> la parte </w:t>
      </w:r>
      <w:r w:rsidRPr="00EA4073">
        <w:rPr>
          <w:rFonts w:ascii="Palatino Linotype" w:eastAsia="Palatino Linotype" w:hAnsi="Palatino Linotype" w:cs="Palatino Linotype"/>
          <w:b/>
        </w:rPr>
        <w:t xml:space="preserve">RECURRENTE </w:t>
      </w:r>
      <w:r w:rsidRPr="00EA4073">
        <w:rPr>
          <w:rFonts w:ascii="Palatino Linotype" w:eastAsia="Palatino Linotype" w:hAnsi="Palatino Linotype" w:cs="Palatino Linotype"/>
        </w:rPr>
        <w:t xml:space="preserve">presentó, través del Sistema de Acceso a la Información Mexiquense, en lo subsecuente el </w:t>
      </w:r>
      <w:r w:rsidRPr="00EA4073">
        <w:rPr>
          <w:rFonts w:ascii="Palatino Linotype" w:eastAsia="Palatino Linotype" w:hAnsi="Palatino Linotype" w:cs="Palatino Linotype"/>
          <w:b/>
        </w:rPr>
        <w:t>SAIMEX,</w:t>
      </w:r>
      <w:r w:rsidRPr="00EA4073">
        <w:rPr>
          <w:rFonts w:ascii="Palatino Linotype" w:eastAsia="Palatino Linotype" w:hAnsi="Palatino Linotype" w:cs="Palatino Linotype"/>
        </w:rPr>
        <w:t xml:space="preserve"> ante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la solicitud de acceso a la información pública, a la que se le asignó el número</w:t>
      </w:r>
      <w:r w:rsidRPr="00EA4073">
        <w:rPr>
          <w:rFonts w:ascii="Palatino Linotype" w:eastAsia="Palatino Linotype" w:hAnsi="Palatino Linotype" w:cs="Palatino Linotype"/>
          <w:b/>
        </w:rPr>
        <w:t xml:space="preserve"> 01094/ZINACANT/IP/2022, </w:t>
      </w:r>
      <w:r w:rsidRPr="00EA4073">
        <w:rPr>
          <w:rFonts w:ascii="Palatino Linotype" w:eastAsia="Palatino Linotype" w:hAnsi="Palatino Linotype" w:cs="Palatino Linotype"/>
        </w:rPr>
        <w:t xml:space="preserve">mediante la cual requirió la información siguiente: </w:t>
      </w:r>
    </w:p>
    <w:p w:rsidR="00867660" w:rsidRPr="00EA4073" w:rsidRDefault="000E1A3E">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EA4073">
        <w:rPr>
          <w:rFonts w:ascii="Palatino Linotype" w:eastAsia="Palatino Linotype" w:hAnsi="Palatino Linotype" w:cs="Palatino Linotype"/>
          <w:i/>
          <w:sz w:val="22"/>
          <w:szCs w:val="22"/>
        </w:rPr>
        <w:t>“SE SOLICITA SABER LOS CAPITALES Y CREDITOS A FAVOR DEL MUNICIPIO, ASI COMO LOS PRODUCTOS QUE GENEREN LOS MISMOS” (Sic)</w:t>
      </w:r>
    </w:p>
    <w:p w:rsidR="00867660" w:rsidRPr="00EA4073" w:rsidRDefault="00867660">
      <w:pPr>
        <w:ind w:left="851" w:right="902"/>
        <w:jc w:val="both"/>
        <w:rPr>
          <w:rFonts w:ascii="Palatino Linotype" w:eastAsia="Palatino Linotype" w:hAnsi="Palatino Linotype" w:cs="Palatino Linotype"/>
          <w:i/>
          <w:sz w:val="22"/>
          <w:szCs w:val="22"/>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b/>
        </w:rPr>
        <w:t>Modalidad de Entrega:</w:t>
      </w:r>
      <w:r w:rsidRPr="00EA4073">
        <w:rPr>
          <w:rFonts w:ascii="Palatino Linotype" w:eastAsia="Palatino Linotype" w:hAnsi="Palatino Linotype" w:cs="Palatino Linotype"/>
        </w:rPr>
        <w:t xml:space="preserve"> A través de SAIMEX.</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after="240" w:line="360" w:lineRule="auto"/>
        <w:jc w:val="both"/>
        <w:rPr>
          <w:rFonts w:ascii="Palatino Linotype" w:eastAsia="Palatino Linotype" w:hAnsi="Palatino Linotype" w:cs="Palatino Linotype"/>
          <w:b/>
        </w:rPr>
      </w:pPr>
      <w:r w:rsidRPr="00EA4073">
        <w:rPr>
          <w:rFonts w:ascii="Palatino Linotype" w:eastAsia="Palatino Linotype" w:hAnsi="Palatino Linotype" w:cs="Palatino Linotype"/>
          <w:b/>
        </w:rPr>
        <w:lastRenderedPageBreak/>
        <w:t xml:space="preserve">2. Solicitud de Aclaración, </w:t>
      </w:r>
      <w:r w:rsidRPr="00EA4073">
        <w:rPr>
          <w:rFonts w:ascii="Palatino Linotype" w:eastAsia="Palatino Linotype" w:hAnsi="Palatino Linotype" w:cs="Palatino Linotype"/>
        </w:rPr>
        <w:t xml:space="preserve">Con fecha </w:t>
      </w:r>
      <w:r w:rsidRPr="00EA4073">
        <w:rPr>
          <w:rFonts w:ascii="Palatino Linotype" w:eastAsia="Palatino Linotype" w:hAnsi="Palatino Linotype" w:cs="Palatino Linotype"/>
          <w:b/>
        </w:rPr>
        <w:t>veinte de octubre del dos mil veintidós</w:t>
      </w:r>
      <w:r w:rsidRPr="00EA4073">
        <w:rPr>
          <w:rFonts w:ascii="Palatino Linotype" w:eastAsia="Palatino Linotype" w:hAnsi="Palatino Linotype" w:cs="Palatino Linotype"/>
        </w:rPr>
        <w:t xml:space="preserve">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requirió al particular que complemente y/o aclare su solicitud, la cual versa como sigue:</w:t>
      </w:r>
    </w:p>
    <w:p w:rsidR="00867660" w:rsidRPr="00EA4073" w:rsidRDefault="000E1A3E">
      <w:pPr>
        <w:ind w:left="851" w:right="900"/>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 xml:space="preserve">“Con fundamento en el </w:t>
      </w:r>
      <w:proofErr w:type="spellStart"/>
      <w:r w:rsidRPr="00EA4073">
        <w:rPr>
          <w:rFonts w:ascii="Palatino Linotype" w:eastAsia="Palatino Linotype" w:hAnsi="Palatino Linotype" w:cs="Palatino Linotype"/>
          <w:i/>
          <w:sz w:val="22"/>
          <w:szCs w:val="22"/>
        </w:rPr>
        <w:t>articulo</w:t>
      </w:r>
      <w:proofErr w:type="spellEnd"/>
      <w:r w:rsidRPr="00EA4073">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rsidR="00867660" w:rsidRPr="00EA4073" w:rsidRDefault="000E1A3E">
      <w:pPr>
        <w:ind w:left="851" w:right="900"/>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rsidR="00867660" w:rsidRPr="00EA4073" w:rsidRDefault="000E1A3E">
      <w:pPr>
        <w:ind w:left="851" w:right="900"/>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867660" w:rsidRPr="00EA4073" w:rsidRDefault="000E1A3E">
      <w:pPr>
        <w:ind w:left="851" w:right="900"/>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ATENTAMENTE</w:t>
      </w:r>
    </w:p>
    <w:p w:rsidR="00867660" w:rsidRPr="00EA4073" w:rsidRDefault="000E1A3E">
      <w:pPr>
        <w:ind w:left="851" w:right="900"/>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ING. JESUS EMMANUEL ENCASTIN RENDON” (Sic)</w:t>
      </w:r>
    </w:p>
    <w:p w:rsidR="00867660" w:rsidRPr="00EA4073" w:rsidRDefault="00867660">
      <w:pPr>
        <w:ind w:left="851" w:right="900"/>
        <w:jc w:val="both"/>
        <w:rPr>
          <w:rFonts w:ascii="Palatino Linotype" w:eastAsia="Palatino Linotype" w:hAnsi="Palatino Linotype" w:cs="Palatino Linotype"/>
          <w:i/>
          <w:sz w:val="22"/>
          <w:szCs w:val="22"/>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b/>
        </w:rPr>
        <w:t xml:space="preserve">3. Aclaración de Solicitud. </w:t>
      </w:r>
      <w:r w:rsidRPr="00EA4073">
        <w:rPr>
          <w:rFonts w:ascii="Palatino Linotype" w:eastAsia="Palatino Linotype" w:hAnsi="Palatino Linotype" w:cs="Palatino Linotype"/>
        </w:rPr>
        <w:t xml:space="preserve">De las constancias que obran en el expediente electrónico del SAIMEX, se advierte que el solicitante en fecha </w:t>
      </w:r>
      <w:r w:rsidRPr="00EA4073">
        <w:rPr>
          <w:rFonts w:ascii="Palatino Linotype" w:eastAsia="Palatino Linotype" w:hAnsi="Palatino Linotype" w:cs="Palatino Linotype"/>
          <w:b/>
        </w:rPr>
        <w:t>veinte de octubre del año dos mil veintidós</w:t>
      </w:r>
      <w:r w:rsidRPr="00EA4073">
        <w:rPr>
          <w:rFonts w:ascii="Palatino Linotype" w:eastAsia="Palatino Linotype" w:hAnsi="Palatino Linotype" w:cs="Palatino Linotype"/>
        </w:rPr>
        <w:t>, desahogó su aclaración en los siguientes términos:</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ind w:left="851" w:right="900"/>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“NUEVAMENTE EL TITULAR, PSEUDO EXPERTO EN TRANSPARENCIA REQUIERE UNA ACLARACIÓN A TRAVÉS DE UN MACHOTE CHAFA, CUANDO NI SIQUIERA ESPECIFICA EN QUE REQUIERE LA ACLARACIÓN. LA SOLICITUD ES MUY ESPECIFICA, Y ESTAMOS AL PENDIENTE DEL SAIMEX, INGE” (Sic)</w:t>
      </w:r>
    </w:p>
    <w:p w:rsidR="00867660" w:rsidRPr="00EA4073" w:rsidRDefault="00867660">
      <w:pPr>
        <w:spacing w:before="240" w:after="240" w:line="360" w:lineRule="auto"/>
        <w:jc w:val="both"/>
        <w:rPr>
          <w:rFonts w:ascii="Palatino Linotype" w:eastAsia="Palatino Linotype" w:hAnsi="Palatino Linotype" w:cs="Palatino Linotype"/>
          <w:b/>
        </w:rPr>
      </w:pPr>
    </w:p>
    <w:p w:rsidR="00867660" w:rsidRPr="00EA4073" w:rsidRDefault="000E1A3E">
      <w:pPr>
        <w:spacing w:before="240" w:after="240" w:line="360" w:lineRule="auto"/>
        <w:jc w:val="both"/>
        <w:rPr>
          <w:rFonts w:ascii="Palatino Linotype" w:eastAsia="Palatino Linotype" w:hAnsi="Palatino Linotype" w:cs="Palatino Linotype"/>
          <w:b/>
        </w:rPr>
      </w:pPr>
      <w:r w:rsidRPr="00EA4073">
        <w:rPr>
          <w:rFonts w:ascii="Palatino Linotype" w:eastAsia="Palatino Linotype" w:hAnsi="Palatino Linotype" w:cs="Palatino Linotype"/>
          <w:b/>
        </w:rPr>
        <w:lastRenderedPageBreak/>
        <w:t xml:space="preserve">4. Respuesta. </w:t>
      </w:r>
      <w:r w:rsidRPr="00EA4073">
        <w:rPr>
          <w:rFonts w:ascii="Palatino Linotype" w:eastAsia="Palatino Linotype" w:hAnsi="Palatino Linotype" w:cs="Palatino Linotype"/>
        </w:rPr>
        <w:t xml:space="preserve">Con fecha </w:t>
      </w:r>
      <w:r w:rsidRPr="00EA4073">
        <w:rPr>
          <w:rFonts w:ascii="Palatino Linotype" w:eastAsia="Palatino Linotype" w:hAnsi="Palatino Linotype" w:cs="Palatino Linotype"/>
          <w:b/>
        </w:rPr>
        <w:t>once de noviembre de dos mil veintidós</w:t>
      </w:r>
      <w:r w:rsidRPr="00EA4073">
        <w:rPr>
          <w:rFonts w:ascii="Palatino Linotype" w:eastAsia="Palatino Linotype" w:hAnsi="Palatino Linotype" w:cs="Palatino Linotype"/>
        </w:rPr>
        <w:t xml:space="preserve">, el </w:t>
      </w:r>
      <w:r w:rsidRPr="00EA4073">
        <w:rPr>
          <w:rFonts w:ascii="Palatino Linotype" w:eastAsia="Palatino Linotype" w:hAnsi="Palatino Linotype" w:cs="Palatino Linotype"/>
          <w:b/>
        </w:rPr>
        <w:t xml:space="preserve">SUJETO OBLIGADO </w:t>
      </w:r>
      <w:r w:rsidRPr="00EA4073">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867660" w:rsidRPr="00EA4073" w:rsidRDefault="000E1A3E">
      <w:pPr>
        <w:spacing w:before="240" w:after="240"/>
        <w:ind w:left="851" w:right="902"/>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“…Se adjunta la respuesta a la solicitud interpuesta a través de esta plataforma digital...” (Sic)</w:t>
      </w:r>
    </w:p>
    <w:p w:rsidR="00867660" w:rsidRPr="00EA4073" w:rsidRDefault="000E1A3E">
      <w:pPr>
        <w:spacing w:before="240" w:after="240" w:line="360" w:lineRule="auto"/>
        <w:ind w:right="49"/>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adjuntó los siguientes archivos:</w:t>
      </w:r>
    </w:p>
    <w:p w:rsidR="00867660" w:rsidRPr="00EA4073" w:rsidRDefault="000E1A3E">
      <w:pPr>
        <w:spacing w:before="240" w:after="240" w:line="360" w:lineRule="auto"/>
        <w:ind w:right="49"/>
        <w:jc w:val="both"/>
        <w:rPr>
          <w:rFonts w:ascii="Palatino Linotype" w:eastAsia="Palatino Linotype" w:hAnsi="Palatino Linotype" w:cs="Palatino Linotype"/>
        </w:rPr>
      </w:pPr>
      <w:r w:rsidRPr="00EA4073">
        <w:rPr>
          <w:rFonts w:ascii="Palatino Linotype" w:eastAsia="Palatino Linotype" w:hAnsi="Palatino Linotype" w:cs="Palatino Linotype"/>
        </w:rPr>
        <w:t>“</w:t>
      </w:r>
      <w:hyperlink r:id="rId8">
        <w:r w:rsidRPr="00EA4073">
          <w:rPr>
            <w:rFonts w:ascii="Palatino Linotype" w:eastAsia="Palatino Linotype" w:hAnsi="Palatino Linotype" w:cs="Palatino Linotype"/>
            <w:b/>
            <w:i/>
          </w:rPr>
          <w:t>respuesta de solicitud 1094-22.pdf</w:t>
        </w:r>
      </w:hyperlink>
      <w:r w:rsidRPr="00EA4073">
        <w:rPr>
          <w:rFonts w:ascii="Palatino Linotype" w:eastAsia="Palatino Linotype" w:hAnsi="Palatino Linotype" w:cs="Palatino Linotype"/>
          <w:b/>
          <w:i/>
        </w:rPr>
        <w:t>”</w:t>
      </w:r>
      <w:r w:rsidRPr="00EA4073">
        <w:rPr>
          <w:rFonts w:ascii="Palatino Linotype" w:eastAsia="Palatino Linotype" w:hAnsi="Palatino Linotype" w:cs="Palatino Linotype"/>
        </w:rPr>
        <w:t xml:space="preserve">, por medio del cual la Unidad de Transparencia del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informó que dicha información puede ser consultada a través de la página de internet en el Portal de Información Pública de Oficio Mexiquense (IPOMEX), del Municipio de Zinacantepec dentro del siguiente enlace: </w:t>
      </w:r>
    </w:p>
    <w:p w:rsidR="00867660" w:rsidRPr="00EA4073" w:rsidRDefault="000E1A3E">
      <w:pPr>
        <w:spacing w:before="240" w:after="240" w:line="360" w:lineRule="auto"/>
        <w:ind w:right="49"/>
        <w:jc w:val="both"/>
        <w:rPr>
          <w:rFonts w:ascii="Palatino Linotype" w:eastAsia="Palatino Linotype" w:hAnsi="Palatino Linotype" w:cs="Palatino Linotype"/>
        </w:rPr>
      </w:pPr>
      <w:r w:rsidRPr="00EA4073">
        <w:rPr>
          <w:rFonts w:ascii="Palatino Linotype" w:eastAsia="Palatino Linotype" w:hAnsi="Palatino Linotype" w:cs="Palatino Linotype"/>
        </w:rPr>
        <w:t>https://www.ipomex.org.mx/ipo3/lgt/indice/ZINACANTEPEC/art_92_xxvi.web</w:t>
      </w:r>
    </w:p>
    <w:p w:rsidR="00867660" w:rsidRPr="00EA4073" w:rsidRDefault="000E1A3E">
      <w:pPr>
        <w:spacing w:before="240" w:after="240" w:line="360" w:lineRule="auto"/>
        <w:ind w:right="49"/>
        <w:jc w:val="both"/>
        <w:rPr>
          <w:rFonts w:ascii="Palatino Linotype" w:eastAsia="Palatino Linotype" w:hAnsi="Palatino Linotype" w:cs="Palatino Linotype"/>
        </w:rPr>
      </w:pPr>
      <w:r w:rsidRPr="00EA4073">
        <w:rPr>
          <w:rFonts w:ascii="Palatino Linotype" w:eastAsia="Palatino Linotype" w:hAnsi="Palatino Linotype" w:cs="Palatino Linotype"/>
          <w:b/>
        </w:rPr>
        <w:t xml:space="preserve">3. Interposición del recurso de revisión. </w:t>
      </w:r>
      <w:r w:rsidRPr="00EA4073">
        <w:rPr>
          <w:rFonts w:ascii="Palatino Linotype" w:eastAsia="Palatino Linotype" w:hAnsi="Palatino Linotype" w:cs="Palatino Linotype"/>
        </w:rPr>
        <w:t xml:space="preserve">Inconforme con los términos de la respuesta emitida por parte del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el </w:t>
      </w:r>
      <w:r w:rsidRPr="00EA4073">
        <w:rPr>
          <w:rFonts w:ascii="Palatino Linotype" w:eastAsia="Palatino Linotype" w:hAnsi="Palatino Linotype" w:cs="Palatino Linotype"/>
          <w:b/>
        </w:rPr>
        <w:t>catorce de noviembre del año dos mil veintidós,</w:t>
      </w:r>
      <w:r w:rsidRPr="00EA4073">
        <w:rPr>
          <w:rFonts w:ascii="Palatino Linotype" w:eastAsia="Palatino Linotype" w:hAnsi="Palatino Linotype" w:cs="Palatino Linotype"/>
        </w:rPr>
        <w:t xml:space="preserve"> la parte </w:t>
      </w:r>
      <w:r w:rsidRPr="00EA4073">
        <w:rPr>
          <w:rFonts w:ascii="Palatino Linotype" w:eastAsia="Palatino Linotype" w:hAnsi="Palatino Linotype" w:cs="Palatino Linotype"/>
          <w:b/>
        </w:rPr>
        <w:t>RECURRENTE</w:t>
      </w:r>
      <w:r w:rsidRPr="00EA4073">
        <w:rPr>
          <w:rFonts w:ascii="Palatino Linotype" w:eastAsia="Palatino Linotype" w:hAnsi="Palatino Linotype" w:cs="Palatino Linotype"/>
        </w:rPr>
        <w:t xml:space="preserve"> interpuso el recurso de revisión a través de </w:t>
      </w:r>
      <w:r w:rsidRPr="00EA4073">
        <w:rPr>
          <w:rFonts w:ascii="Palatino Linotype" w:eastAsia="Palatino Linotype" w:hAnsi="Palatino Linotype" w:cs="Palatino Linotype"/>
          <w:b/>
        </w:rPr>
        <w:t xml:space="preserve">SAIMEX, </w:t>
      </w:r>
      <w:r w:rsidRPr="00EA4073">
        <w:rPr>
          <w:rFonts w:ascii="Palatino Linotype" w:eastAsia="Palatino Linotype" w:hAnsi="Palatino Linotype" w:cs="Palatino Linotype"/>
        </w:rPr>
        <w:t>en donde se manifestó de la siguiente manera:</w:t>
      </w:r>
    </w:p>
    <w:p w:rsidR="00867660" w:rsidRPr="00EA4073" w:rsidRDefault="000E1A3E">
      <w:pPr>
        <w:tabs>
          <w:tab w:val="left" w:pos="2745"/>
        </w:tabs>
        <w:spacing w:before="240" w:after="240" w:line="360" w:lineRule="auto"/>
        <w:jc w:val="both"/>
        <w:rPr>
          <w:rFonts w:ascii="Palatino Linotype" w:eastAsia="Palatino Linotype" w:hAnsi="Palatino Linotype" w:cs="Palatino Linotype"/>
          <w:b/>
        </w:rPr>
      </w:pPr>
      <w:r w:rsidRPr="00EA4073">
        <w:rPr>
          <w:rFonts w:ascii="Palatino Linotype" w:eastAsia="Palatino Linotype" w:hAnsi="Palatino Linotype" w:cs="Palatino Linotype"/>
          <w:b/>
        </w:rPr>
        <w:t xml:space="preserve">Acto impugnado: </w:t>
      </w:r>
      <w:r w:rsidRPr="00EA4073">
        <w:rPr>
          <w:rFonts w:ascii="Palatino Linotype" w:eastAsia="Palatino Linotype" w:hAnsi="Palatino Linotype" w:cs="Palatino Linotype"/>
          <w:b/>
        </w:rPr>
        <w:tab/>
      </w:r>
    </w:p>
    <w:p w:rsidR="00867660" w:rsidRPr="00EA4073" w:rsidRDefault="000E1A3E">
      <w:pPr>
        <w:spacing w:line="360" w:lineRule="auto"/>
        <w:ind w:left="851" w:right="900"/>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“NO ENTREGA INFORMACIÓN” (Sic)</w:t>
      </w: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b/>
        </w:rPr>
        <w:t>Y Razones o motivos de inconformidad</w:t>
      </w:r>
      <w:r w:rsidRPr="00EA4073">
        <w:rPr>
          <w:rFonts w:ascii="Palatino Linotype" w:eastAsia="Palatino Linotype" w:hAnsi="Palatino Linotype" w:cs="Palatino Linotype"/>
        </w:rPr>
        <w:t>:</w:t>
      </w:r>
    </w:p>
    <w:p w:rsidR="00867660" w:rsidRPr="00EA4073" w:rsidRDefault="000E1A3E">
      <w:pPr>
        <w:spacing w:line="360"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sidRPr="00EA4073">
        <w:rPr>
          <w:rFonts w:ascii="Palatino Linotype" w:eastAsia="Palatino Linotype" w:hAnsi="Palatino Linotype" w:cs="Palatino Linotype"/>
          <w:i/>
          <w:sz w:val="22"/>
          <w:szCs w:val="22"/>
        </w:rPr>
        <w:t xml:space="preserve"> “NO ENTREGA INFORMACIÓN” (Sic)</w:t>
      </w:r>
    </w:p>
    <w:p w:rsidR="00867660" w:rsidRPr="00EA4073" w:rsidRDefault="00867660">
      <w:pPr>
        <w:spacing w:line="360" w:lineRule="auto"/>
        <w:ind w:right="51"/>
        <w:jc w:val="both"/>
        <w:rPr>
          <w:rFonts w:ascii="Palatino Linotype" w:eastAsia="Palatino Linotype" w:hAnsi="Palatino Linotype" w:cs="Palatino Linotype"/>
          <w:b/>
        </w:rPr>
      </w:pPr>
    </w:p>
    <w:p w:rsidR="00867660" w:rsidRPr="00EA4073" w:rsidRDefault="000E1A3E">
      <w:pPr>
        <w:spacing w:line="360" w:lineRule="auto"/>
        <w:ind w:right="51"/>
        <w:jc w:val="both"/>
        <w:rPr>
          <w:rFonts w:ascii="Palatino Linotype" w:eastAsia="Palatino Linotype" w:hAnsi="Palatino Linotype" w:cs="Palatino Linotype"/>
        </w:rPr>
      </w:pPr>
      <w:r w:rsidRPr="00EA4073">
        <w:rPr>
          <w:rFonts w:ascii="Palatino Linotype" w:eastAsia="Palatino Linotype" w:hAnsi="Palatino Linotype" w:cs="Palatino Linotype"/>
          <w:b/>
        </w:rPr>
        <w:lastRenderedPageBreak/>
        <w:t xml:space="preserve">4. Turno. </w:t>
      </w:r>
      <w:r w:rsidRPr="00EA407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A4073">
        <w:rPr>
          <w:rFonts w:ascii="Palatino Linotype" w:eastAsia="Palatino Linotype" w:hAnsi="Palatino Linotype" w:cs="Palatino Linotype"/>
          <w:b/>
        </w:rPr>
        <w:t xml:space="preserve">Guadalupe Ramírez Peña, </w:t>
      </w:r>
      <w:r w:rsidRPr="00EA4073">
        <w:rPr>
          <w:rFonts w:ascii="Palatino Linotype" w:eastAsia="Palatino Linotype" w:hAnsi="Palatino Linotype" w:cs="Palatino Linotype"/>
        </w:rPr>
        <w:t xml:space="preserve">a efecto de que analizara sobre su admisión o su </w:t>
      </w:r>
      <w:proofErr w:type="spellStart"/>
      <w:r w:rsidRPr="00EA4073">
        <w:rPr>
          <w:rFonts w:ascii="Palatino Linotype" w:eastAsia="Palatino Linotype" w:hAnsi="Palatino Linotype" w:cs="Palatino Linotype"/>
        </w:rPr>
        <w:t>desechamiento</w:t>
      </w:r>
      <w:proofErr w:type="spellEnd"/>
      <w:r w:rsidRPr="00EA4073">
        <w:rPr>
          <w:rFonts w:ascii="Palatino Linotype" w:eastAsia="Palatino Linotype" w:hAnsi="Palatino Linotype" w:cs="Palatino Linotype"/>
        </w:rPr>
        <w:t>.</w:t>
      </w:r>
    </w:p>
    <w:p w:rsidR="00867660" w:rsidRPr="00EA4073" w:rsidRDefault="00867660">
      <w:pPr>
        <w:spacing w:line="360" w:lineRule="auto"/>
        <w:ind w:right="51"/>
        <w:jc w:val="both"/>
        <w:rPr>
          <w:rFonts w:ascii="Palatino Linotype" w:eastAsia="Palatino Linotype" w:hAnsi="Palatino Linotype" w:cs="Palatino Linotype"/>
        </w:rPr>
      </w:pPr>
    </w:p>
    <w:p w:rsidR="00867660" w:rsidRPr="00EA4073" w:rsidRDefault="000E1A3E">
      <w:pPr>
        <w:spacing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b/>
        </w:rPr>
        <w:t>5. Admisión del Recurso de revisión.</w:t>
      </w:r>
      <w:r w:rsidRPr="00EA4073">
        <w:rPr>
          <w:rFonts w:ascii="Palatino Linotype" w:eastAsia="Palatino Linotype" w:hAnsi="Palatino Linotype" w:cs="Palatino Linotype"/>
        </w:rPr>
        <w:t xml:space="preserve"> Con fecha</w:t>
      </w:r>
      <w:r w:rsidRPr="00EA4073">
        <w:rPr>
          <w:rFonts w:ascii="Palatino Linotype" w:eastAsia="Palatino Linotype" w:hAnsi="Palatino Linotype" w:cs="Palatino Linotype"/>
          <w:b/>
        </w:rPr>
        <w:t xml:space="preserve"> diecisiete de noviembre de dos mil veintidós, </w:t>
      </w:r>
      <w:r w:rsidRPr="00EA407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A4073">
        <w:rPr>
          <w:rFonts w:ascii="Palatino Linotype" w:eastAsia="Palatino Linotype" w:hAnsi="Palatino Linotype" w:cs="Palatino Linotype"/>
          <w:b/>
        </w:rPr>
        <w:t xml:space="preserve">SUJETO OBLIGADO </w:t>
      </w:r>
      <w:r w:rsidRPr="00EA4073">
        <w:rPr>
          <w:rFonts w:ascii="Palatino Linotype" w:eastAsia="Palatino Linotype" w:hAnsi="Palatino Linotype" w:cs="Palatino Linotype"/>
        </w:rPr>
        <w:t>presentara su informe justificado.</w:t>
      </w:r>
    </w:p>
    <w:p w:rsidR="00867660" w:rsidRPr="00EA4073" w:rsidRDefault="000E1A3E">
      <w:pPr>
        <w:spacing w:after="240" w:line="360" w:lineRule="auto"/>
        <w:jc w:val="both"/>
        <w:rPr>
          <w:rFonts w:ascii="Palatino Linotype" w:eastAsia="Palatino Linotype" w:hAnsi="Palatino Linotype" w:cs="Palatino Linotype"/>
        </w:rPr>
      </w:pPr>
      <w:bookmarkStart w:id="3" w:name="_heading=h.2s8eyo1" w:colFirst="0" w:colLast="0"/>
      <w:bookmarkEnd w:id="3"/>
      <w:r w:rsidRPr="00EA4073">
        <w:rPr>
          <w:rFonts w:ascii="Palatino Linotype" w:eastAsia="Palatino Linotype" w:hAnsi="Palatino Linotype" w:cs="Palatino Linotype"/>
          <w:b/>
        </w:rPr>
        <w:t>6. Manifestaciones</w:t>
      </w:r>
      <w:r w:rsidRPr="00EA4073">
        <w:rPr>
          <w:rFonts w:ascii="Palatino Linotype" w:eastAsia="Palatino Linotype" w:hAnsi="Palatino Linotype" w:cs="Palatino Linotype"/>
        </w:rPr>
        <w:t>. En fechas nueve de enero del dos mil veintitrés</w:t>
      </w:r>
      <w:r w:rsidRPr="00EA4073">
        <w:rPr>
          <w:rFonts w:ascii="Palatino Linotype" w:eastAsia="Palatino Linotype" w:hAnsi="Palatino Linotype" w:cs="Palatino Linotype"/>
          <w:b/>
        </w:rPr>
        <w:t xml:space="preserve">, </w:t>
      </w:r>
      <w:r w:rsidRPr="00EA4073">
        <w:rPr>
          <w:rFonts w:ascii="Palatino Linotype" w:eastAsia="Palatino Linotype" w:hAnsi="Palatino Linotype" w:cs="Palatino Linotype"/>
        </w:rPr>
        <w:t xml:space="preserve">el </w:t>
      </w:r>
      <w:r w:rsidRPr="00EA4073">
        <w:rPr>
          <w:rFonts w:ascii="Palatino Linotype" w:eastAsia="Palatino Linotype" w:hAnsi="Palatino Linotype" w:cs="Palatino Linotype"/>
          <w:b/>
        </w:rPr>
        <w:t xml:space="preserve">SUJETO OBLIGADO </w:t>
      </w:r>
      <w:r w:rsidRPr="00EA4073">
        <w:rPr>
          <w:rFonts w:ascii="Palatino Linotype" w:eastAsia="Palatino Linotype" w:hAnsi="Palatino Linotype" w:cs="Palatino Linotype"/>
        </w:rPr>
        <w:t>remitió, a través del SAIMEX, el siguiente archivo electrónico:</w:t>
      </w:r>
    </w:p>
    <w:p w:rsidR="00867660" w:rsidRPr="00EA4073" w:rsidRDefault="000E1A3E">
      <w:pPr>
        <w:spacing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b/>
          <w:i/>
        </w:rPr>
        <w:t>“</w:t>
      </w:r>
      <w:hyperlink r:id="rId9">
        <w:r w:rsidRPr="00EA4073">
          <w:rPr>
            <w:rFonts w:ascii="Palatino Linotype" w:eastAsia="Palatino Linotype" w:hAnsi="Palatino Linotype" w:cs="Palatino Linotype"/>
            <w:b/>
            <w:i/>
          </w:rPr>
          <w:t>respuesta de solicitud 1094-221.pdf</w:t>
        </w:r>
      </w:hyperlink>
      <w:r w:rsidRPr="00EA4073">
        <w:rPr>
          <w:rFonts w:ascii="Palatino Linotype" w:eastAsia="Palatino Linotype" w:hAnsi="Palatino Linotype" w:cs="Palatino Linotype"/>
          <w:b/>
          <w:i/>
        </w:rPr>
        <w:t>”</w:t>
      </w:r>
      <w:r w:rsidRPr="00EA4073">
        <w:rPr>
          <w:rFonts w:ascii="Palatino Linotype" w:eastAsia="Palatino Linotype" w:hAnsi="Palatino Linotype" w:cs="Palatino Linotype"/>
        </w:rPr>
        <w:t xml:space="preserve">, por medio del cual la Unidad de Transparencia del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informó que con el fin de poder darle una oportuna contestación al hoy </w:t>
      </w:r>
      <w:r w:rsidRPr="00EA4073">
        <w:rPr>
          <w:rFonts w:ascii="Palatino Linotype" w:eastAsia="Palatino Linotype" w:hAnsi="Palatino Linotype" w:cs="Palatino Linotype"/>
          <w:b/>
        </w:rPr>
        <w:t>RECURRENTE</w:t>
      </w:r>
      <w:r w:rsidRPr="00EA4073">
        <w:rPr>
          <w:rFonts w:ascii="Palatino Linotype" w:eastAsia="Palatino Linotype" w:hAnsi="Palatino Linotype" w:cs="Palatino Linotype"/>
        </w:rPr>
        <w:t xml:space="preserve">, este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al realizar un análisis en su solicitud procedió a turnarla al Servidor Público Habilitado poseedor de la información, mismo que informó que lo solicitado se encuentra dentro del Portal de Información Pública de Oficio Mexiquense (IPOMEX), cabe hacer mención que dentro de dicho sistema se carga la información que este Sujeto </w:t>
      </w:r>
      <w:r w:rsidRPr="00EA4073">
        <w:rPr>
          <w:rFonts w:ascii="Palatino Linotype" w:eastAsia="Palatino Linotype" w:hAnsi="Palatino Linotype" w:cs="Palatino Linotype"/>
        </w:rPr>
        <w:lastRenderedPageBreak/>
        <w:t xml:space="preserve">Obligado debe transparentar de conformidad con la Ley de Transparencia y Acceso a la información Pública de Oficio Mexiquense del Estado de México y Municipios en su artículo 92, por lo anteriormente expuesto se proporciona enlace para la consulta de lo peticionado: </w:t>
      </w:r>
    </w:p>
    <w:p w:rsidR="00867660" w:rsidRPr="00EA4073" w:rsidRDefault="000E1A3E">
      <w:pPr>
        <w:spacing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-https://www.ipomex.org.mx/ipo3/lgt/indice/ZINACANTEPEC/art_92_xxvi.web </w:t>
      </w:r>
    </w:p>
    <w:p w:rsidR="00867660" w:rsidRPr="00EA4073" w:rsidRDefault="000E1A3E">
      <w:pPr>
        <w:spacing w:after="240" w:line="360" w:lineRule="auto"/>
        <w:jc w:val="both"/>
      </w:pPr>
      <w:r w:rsidRPr="00EA4073">
        <w:rPr>
          <w:rFonts w:ascii="Palatino Linotype" w:eastAsia="Palatino Linotype" w:hAnsi="Palatino Linotype" w:cs="Palatino Linotype"/>
        </w:rPr>
        <w:t>-https://www.zinacantepec.gob.mx/conac.php</w:t>
      </w:r>
      <w:r w:rsidRPr="00EA4073">
        <w:t xml:space="preserve"> </w:t>
      </w:r>
    </w:p>
    <w:p w:rsidR="00867660" w:rsidRPr="00EA4073" w:rsidRDefault="000E1A3E">
      <w:pPr>
        <w:spacing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Documentos que se hicieron del conocimiento de la parte </w:t>
      </w:r>
      <w:r w:rsidRPr="00EA4073">
        <w:rPr>
          <w:rFonts w:ascii="Palatino Linotype" w:eastAsia="Palatino Linotype" w:hAnsi="Palatino Linotype" w:cs="Palatino Linotype"/>
          <w:b/>
        </w:rPr>
        <w:t>RECURRENTE</w:t>
      </w:r>
      <w:r w:rsidRPr="00EA4073">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rsidR="00867660" w:rsidRPr="00EA4073" w:rsidRDefault="000E1A3E">
      <w:pPr>
        <w:widowControl w:val="0"/>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b/>
        </w:rPr>
        <w:t>7. Ampliación del plazo.</w:t>
      </w:r>
      <w:r w:rsidRPr="00EA4073">
        <w:rPr>
          <w:rFonts w:ascii="Palatino Linotype" w:eastAsia="Palatino Linotype" w:hAnsi="Palatino Linotype" w:cs="Palatino Linotype"/>
        </w:rPr>
        <w:t xml:space="preserve"> En fecha nueve de mayo del año dos mil veintitrés, con fundamento en el artículo 181, párrafo tercero de la Ley de Transparencia y Acceso a la Información Pública del Estado de México y Municipios, se acordó la ampliación del plazo para su resolución.</w:t>
      </w:r>
    </w:p>
    <w:p w:rsidR="00867660" w:rsidRPr="00EA4073" w:rsidRDefault="00867660">
      <w:pPr>
        <w:widowControl w:val="0"/>
        <w:spacing w:line="360" w:lineRule="auto"/>
        <w:jc w:val="both"/>
        <w:rPr>
          <w:rFonts w:ascii="Palatino Linotype" w:eastAsia="Palatino Linotype" w:hAnsi="Palatino Linotype" w:cs="Palatino Linotype"/>
        </w:rPr>
      </w:pPr>
    </w:p>
    <w:p w:rsidR="00867660" w:rsidRPr="00EA4073" w:rsidRDefault="000E1A3E">
      <w:pPr>
        <w:widowControl w:val="0"/>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strike/>
        </w:rPr>
      </w:pPr>
      <w:r w:rsidRPr="00EA407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numPr>
          <w:ilvl w:val="0"/>
          <w:numId w:val="3"/>
        </w:numPr>
        <w:ind w:left="851"/>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867660" w:rsidRPr="00EA4073" w:rsidRDefault="00867660">
      <w:pPr>
        <w:ind w:left="851" w:hanging="360"/>
        <w:jc w:val="both"/>
        <w:rPr>
          <w:rFonts w:ascii="Palatino Linotype" w:eastAsia="Palatino Linotype" w:hAnsi="Palatino Linotype" w:cs="Palatino Linotype"/>
        </w:rPr>
      </w:pPr>
    </w:p>
    <w:p w:rsidR="00867660" w:rsidRPr="00EA4073" w:rsidRDefault="000E1A3E">
      <w:pPr>
        <w:numPr>
          <w:ilvl w:val="0"/>
          <w:numId w:val="3"/>
        </w:numPr>
        <w:ind w:left="851"/>
        <w:jc w:val="both"/>
        <w:rPr>
          <w:rFonts w:ascii="Palatino Linotype" w:eastAsia="Palatino Linotype" w:hAnsi="Palatino Linotype" w:cs="Palatino Linotype"/>
        </w:rPr>
      </w:pPr>
      <w:r w:rsidRPr="00EA4073">
        <w:rPr>
          <w:rFonts w:ascii="Palatino Linotype" w:eastAsia="Palatino Linotype" w:hAnsi="Palatino Linotype" w:cs="Palatino Linotype"/>
        </w:rPr>
        <w:lastRenderedPageBreak/>
        <w:t>Actividad Procesal del interesado. Acciones u omisiones del interesado.</w:t>
      </w:r>
    </w:p>
    <w:p w:rsidR="00867660" w:rsidRPr="00EA4073" w:rsidRDefault="00867660">
      <w:pPr>
        <w:ind w:left="851" w:hanging="360"/>
        <w:jc w:val="both"/>
        <w:rPr>
          <w:rFonts w:ascii="Palatino Linotype" w:eastAsia="Palatino Linotype" w:hAnsi="Palatino Linotype" w:cs="Palatino Linotype"/>
        </w:rPr>
      </w:pPr>
    </w:p>
    <w:p w:rsidR="00867660" w:rsidRPr="00EA4073" w:rsidRDefault="000E1A3E">
      <w:pPr>
        <w:numPr>
          <w:ilvl w:val="0"/>
          <w:numId w:val="3"/>
        </w:numPr>
        <w:ind w:left="851"/>
        <w:jc w:val="both"/>
        <w:rPr>
          <w:rFonts w:ascii="Palatino Linotype" w:eastAsia="Palatino Linotype" w:hAnsi="Palatino Linotype" w:cs="Palatino Linotype"/>
        </w:rPr>
      </w:pPr>
      <w:r w:rsidRPr="00EA4073">
        <w:rPr>
          <w:rFonts w:ascii="Palatino Linotype" w:eastAsia="Palatino Linotype" w:hAnsi="Palatino Linotype" w:cs="Palatino Linotype"/>
        </w:rPr>
        <w:t>Conducta de la Autoridad: Las Acciones u omisiones realizadas en el procedimiento. Así como si la autoridad actuó con la debida diligencia.</w:t>
      </w:r>
    </w:p>
    <w:p w:rsidR="00867660" w:rsidRPr="00EA4073" w:rsidRDefault="00867660">
      <w:pPr>
        <w:ind w:left="851" w:hanging="360"/>
        <w:rPr>
          <w:rFonts w:ascii="Palatino Linotype" w:eastAsia="Palatino Linotype" w:hAnsi="Palatino Linotype" w:cs="Palatino Linotype"/>
        </w:rPr>
      </w:pPr>
    </w:p>
    <w:p w:rsidR="00867660" w:rsidRPr="00EA4073" w:rsidRDefault="000E1A3E">
      <w:pPr>
        <w:ind w:left="851" w:hanging="360"/>
        <w:jc w:val="both"/>
        <w:rPr>
          <w:rFonts w:ascii="Palatino Linotype" w:eastAsia="Palatino Linotype" w:hAnsi="Palatino Linotype" w:cs="Palatino Linotype"/>
        </w:rPr>
      </w:pPr>
      <w:r w:rsidRPr="00EA4073">
        <w:rPr>
          <w:rFonts w:ascii="Palatino Linotype" w:eastAsia="Palatino Linotype" w:hAnsi="Palatino Linotype" w:cs="Palatino Linotype"/>
        </w:rPr>
        <w:t>d) La afectación generada en la situación jurídica de la persona involucrada en el proceso: Violación a sus derechos humanos.</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b/>
        </w:rPr>
      </w:pPr>
      <w:r w:rsidRPr="00EA4073">
        <w:rPr>
          <w:rFonts w:ascii="Palatino Linotype" w:eastAsia="Palatino Linotype" w:hAnsi="Palatino Linotype" w:cs="Palatino Linotype"/>
        </w:rPr>
        <w:t>Argumento que encuentra sustento en la jurisprudencia P</w:t>
      </w:r>
      <w:proofErr w:type="gramStart"/>
      <w:r w:rsidRPr="00EA4073">
        <w:rPr>
          <w:rFonts w:ascii="Palatino Linotype" w:eastAsia="Palatino Linotype" w:hAnsi="Palatino Linotype" w:cs="Palatino Linotype"/>
        </w:rPr>
        <w:t>./</w:t>
      </w:r>
      <w:proofErr w:type="gramEnd"/>
      <w:r w:rsidRPr="00EA4073">
        <w:rPr>
          <w:rFonts w:ascii="Palatino Linotype" w:eastAsia="Palatino Linotype" w:hAnsi="Palatino Linotype" w:cs="Palatino Linotype"/>
        </w:rPr>
        <w:t xml:space="preserve">J. 32/92 emitida por el Pleno de la Suprema Corte de Justicia de la Nación de rubro </w:t>
      </w:r>
      <w:r w:rsidRPr="00EA407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A4073">
        <w:rPr>
          <w:rFonts w:ascii="Palatino Linotype" w:eastAsia="Palatino Linotype" w:hAnsi="Palatino Linotype" w:cs="Palatino Linotype"/>
        </w:rPr>
        <w:t>, visible en la Gaceta del Seminario Judicial de la Federación con el registro digital 205635.</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EA4073">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 </w:t>
      </w:r>
      <w:r w:rsidRPr="00EA4073">
        <w:rPr>
          <w:rFonts w:ascii="Palatino Linotype" w:eastAsia="Palatino Linotype" w:hAnsi="Palatino Linotype" w:cs="Palatino Linotype"/>
          <w:i/>
        </w:rPr>
        <w:t>“PLAZO RAZONABLE PARA RESOLVER. DIMENSIÓN Y EFECTOS DE ESTE CONCEPTO CUANDO SE ADUCE EXCESIVA CARGA DE TRABAJO.”</w:t>
      </w:r>
      <w:r w:rsidRPr="00EA4073">
        <w:rPr>
          <w:rFonts w:ascii="Palatino Linotype" w:eastAsia="Palatino Linotype" w:hAnsi="Palatino Linotype" w:cs="Palatino Linotype"/>
        </w:rPr>
        <w:t xml:space="preserve"> consultable en el Seminario Judicial de la Federación y su gaceta, con el registro digital 2002351.</w:t>
      </w:r>
    </w:p>
    <w:p w:rsidR="00867660" w:rsidRPr="00EA4073" w:rsidRDefault="00867660">
      <w:pPr>
        <w:spacing w:line="360" w:lineRule="auto"/>
        <w:jc w:val="both"/>
        <w:rPr>
          <w:rFonts w:ascii="Palatino Linotype" w:eastAsia="Palatino Linotype" w:hAnsi="Palatino Linotype" w:cs="Palatino Linotype"/>
          <w:b/>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i/>
        </w:rPr>
        <w:t>“PLAZO RAZONABLE PARA RESOLVER. CONCEPTO Y ELEMENTOS QUE LO INTEGRAN A LA LUZ DEL DERECHO INTERNACIONAL DE LOS DERECHOS HUMANOS.”</w:t>
      </w:r>
      <w:r w:rsidRPr="00EA4073">
        <w:rPr>
          <w:rFonts w:ascii="Palatino Linotype" w:eastAsia="Palatino Linotype" w:hAnsi="Palatino Linotype" w:cs="Palatino Linotype"/>
        </w:rPr>
        <w:t>, visible en el Seminario Judicial de la Federación y su gaceta, con el registro digital 2002350.</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b/>
        </w:rPr>
        <w:lastRenderedPageBreak/>
        <w:t xml:space="preserve">8. Cierre de instrucción. </w:t>
      </w:r>
      <w:r w:rsidRPr="00EA407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EA4073">
        <w:rPr>
          <w:rFonts w:ascii="Palatino Linotype" w:eastAsia="Palatino Linotype" w:hAnsi="Palatino Linotype" w:cs="Palatino Linotype"/>
          <w:b/>
        </w:rPr>
        <w:t xml:space="preserve">dieciséis de mayo de dos mil veintitrés, </w:t>
      </w:r>
      <w:r w:rsidRPr="00EA4073">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867660" w:rsidRPr="00EA4073" w:rsidRDefault="000E1A3E">
      <w:pPr>
        <w:widowControl w:val="0"/>
        <w:spacing w:line="360" w:lineRule="auto"/>
        <w:jc w:val="center"/>
        <w:rPr>
          <w:rFonts w:ascii="Palatino Linotype" w:eastAsia="Palatino Linotype" w:hAnsi="Palatino Linotype" w:cs="Palatino Linotype"/>
          <w:b/>
        </w:rPr>
      </w:pPr>
      <w:r w:rsidRPr="00EA4073">
        <w:rPr>
          <w:rFonts w:ascii="Palatino Linotype" w:eastAsia="Palatino Linotype" w:hAnsi="Palatino Linotype" w:cs="Palatino Linotype"/>
          <w:b/>
        </w:rPr>
        <w:t>II. C O N S I D E R A N D O S</w:t>
      </w:r>
    </w:p>
    <w:p w:rsidR="00867660" w:rsidRPr="00EA4073" w:rsidRDefault="00867660">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b/>
        </w:rPr>
        <w:t>Primero. Competencia.</w:t>
      </w:r>
      <w:r w:rsidRPr="00EA407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867660" w:rsidRPr="00EA4073" w:rsidRDefault="000E1A3E">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EA4073">
        <w:rPr>
          <w:rFonts w:ascii="Palatino Linotype" w:eastAsia="Palatino Linotype" w:hAnsi="Palatino Linotype" w:cs="Palatino Linotype"/>
          <w:b/>
        </w:rPr>
        <w:lastRenderedPageBreak/>
        <w:t xml:space="preserve">Segundo. Oportunidad y </w:t>
      </w:r>
      <w:proofErr w:type="spellStart"/>
      <w:r w:rsidRPr="00EA4073">
        <w:rPr>
          <w:rFonts w:ascii="Palatino Linotype" w:eastAsia="Palatino Linotype" w:hAnsi="Palatino Linotype" w:cs="Palatino Linotype"/>
          <w:b/>
        </w:rPr>
        <w:t>Procedibilidad</w:t>
      </w:r>
      <w:proofErr w:type="spellEnd"/>
      <w:r w:rsidRPr="00EA4073">
        <w:rPr>
          <w:rFonts w:ascii="Palatino Linotype" w:eastAsia="Palatino Linotype" w:hAnsi="Palatino Linotype" w:cs="Palatino Linotype"/>
          <w:b/>
        </w:rPr>
        <w:t xml:space="preserve"> del Recurso de Revisión. </w:t>
      </w:r>
      <w:r w:rsidRPr="00EA4073">
        <w:rPr>
          <w:rFonts w:ascii="Palatino Linotype" w:eastAsia="Palatino Linotype" w:hAnsi="Palatino Linotype" w:cs="Palatino Linotype"/>
        </w:rPr>
        <w:t xml:space="preserve">Previo al estudio del fondo del asunto, se procede a analizar los requisitos de oportunidad y </w:t>
      </w:r>
      <w:proofErr w:type="spellStart"/>
      <w:r w:rsidRPr="00EA4073">
        <w:rPr>
          <w:rFonts w:ascii="Palatino Linotype" w:eastAsia="Palatino Linotype" w:hAnsi="Palatino Linotype" w:cs="Palatino Linotype"/>
        </w:rPr>
        <w:t>procedibilidad</w:t>
      </w:r>
      <w:proofErr w:type="spellEnd"/>
      <w:r w:rsidRPr="00EA4073">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Al respecto la Ley de Transparencia y Acceso a la Información Pública del Estado de México y Municipios, establece lo siguiente:</w:t>
      </w:r>
    </w:p>
    <w:p w:rsidR="00867660" w:rsidRPr="00EA4073" w:rsidRDefault="000E1A3E">
      <w:pPr>
        <w:ind w:left="851" w:right="900"/>
        <w:jc w:val="both"/>
        <w:rPr>
          <w:rFonts w:ascii="Palatino Linotype" w:eastAsia="Palatino Linotype" w:hAnsi="Palatino Linotype" w:cs="Palatino Linotype"/>
          <w:i/>
          <w:sz w:val="28"/>
          <w:szCs w:val="28"/>
        </w:rPr>
      </w:pPr>
      <w:r w:rsidRPr="00EA4073">
        <w:rPr>
          <w:rFonts w:ascii="Palatino Linotype" w:eastAsia="Palatino Linotype" w:hAnsi="Palatino Linotype" w:cs="Palatino Linotype"/>
          <w:b/>
          <w:i/>
          <w:sz w:val="22"/>
          <w:szCs w:val="22"/>
        </w:rPr>
        <w:t xml:space="preserve">“Artículo 178. </w:t>
      </w:r>
      <w:r w:rsidRPr="00EA4073">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67660" w:rsidRPr="00EA4073" w:rsidRDefault="000E1A3E">
      <w:pPr>
        <w:spacing w:before="240" w:after="240" w:line="360" w:lineRule="auto"/>
        <w:ind w:right="49"/>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remitió la respuesta a la solicitud de información el día </w:t>
      </w:r>
      <w:r w:rsidRPr="00EA4073">
        <w:rPr>
          <w:rFonts w:ascii="Palatino Linotype" w:eastAsia="Palatino Linotype" w:hAnsi="Palatino Linotype" w:cs="Palatino Linotype"/>
          <w:b/>
        </w:rPr>
        <w:t>once de noviembre de dos mil veintidós y</w:t>
      </w:r>
      <w:r w:rsidRPr="00EA4073">
        <w:rPr>
          <w:rFonts w:ascii="Palatino Linotype" w:eastAsia="Palatino Linotype" w:hAnsi="Palatino Linotype" w:cs="Palatino Linotype"/>
        </w:rPr>
        <w:t xml:space="preserve"> la parte </w:t>
      </w:r>
      <w:r w:rsidRPr="00EA4073">
        <w:rPr>
          <w:rFonts w:ascii="Palatino Linotype" w:eastAsia="Palatino Linotype" w:hAnsi="Palatino Linotype" w:cs="Palatino Linotype"/>
          <w:b/>
        </w:rPr>
        <w:t>RECURRENTE</w:t>
      </w:r>
      <w:r w:rsidRPr="00EA4073">
        <w:rPr>
          <w:rFonts w:ascii="Palatino Linotype" w:eastAsia="Palatino Linotype" w:hAnsi="Palatino Linotype" w:cs="Palatino Linotype"/>
        </w:rPr>
        <w:t xml:space="preserve"> presentó su recurso de revisión el </w:t>
      </w:r>
      <w:r w:rsidRPr="00EA4073">
        <w:rPr>
          <w:rFonts w:ascii="Palatino Linotype" w:eastAsia="Palatino Linotype" w:hAnsi="Palatino Linotype" w:cs="Palatino Linotype"/>
          <w:b/>
        </w:rPr>
        <w:t xml:space="preserve">trece del mismo mes y año </w:t>
      </w:r>
      <w:r w:rsidRPr="00EA4073">
        <w:rPr>
          <w:rFonts w:ascii="Palatino Linotype" w:eastAsia="Palatino Linotype" w:hAnsi="Palatino Linotype" w:cs="Palatino Linotype"/>
        </w:rPr>
        <w:t xml:space="preserve">; no obstante, en términos del calendario oficial de este Organismo Garante para los años 2022 y 2023, se tuvo por presentado el recurso de revisión el </w:t>
      </w:r>
      <w:r w:rsidRPr="00EA4073">
        <w:rPr>
          <w:rFonts w:ascii="Palatino Linotype" w:eastAsia="Palatino Linotype" w:hAnsi="Palatino Linotype" w:cs="Palatino Linotype"/>
          <w:b/>
        </w:rPr>
        <w:t xml:space="preserve">catorce de noviembre del año dos mil veintidós; </w:t>
      </w:r>
      <w:r w:rsidRPr="00EA4073">
        <w:rPr>
          <w:rFonts w:ascii="Palatino Linotype" w:eastAsia="Palatino Linotype" w:hAnsi="Palatino Linotype" w:cs="Palatino Linotype"/>
        </w:rPr>
        <w:t xml:space="preserve">esto es, el primer día hábil siguiente a la respuesta a  la solicitud  de información. </w:t>
      </w: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lastRenderedPageBreak/>
        <w:t xml:space="preserve">En ese sentido, al considerar la fecha en que se formuló la solicitud y la fecha en la que respondió a ésta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así como, en la que se interpuso el recurso de revisión, este se encuentra dentro de los márgenes temporales previstos en el citado precepto legal.</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Por cuanto hace a la </w:t>
      </w:r>
      <w:proofErr w:type="spellStart"/>
      <w:r w:rsidRPr="00EA4073">
        <w:rPr>
          <w:rFonts w:ascii="Palatino Linotype" w:eastAsia="Palatino Linotype" w:hAnsi="Palatino Linotype" w:cs="Palatino Linotype"/>
        </w:rPr>
        <w:t>procedibilidad</w:t>
      </w:r>
      <w:proofErr w:type="spellEnd"/>
      <w:r w:rsidRPr="00EA4073">
        <w:rPr>
          <w:rFonts w:ascii="Palatino Linotype" w:eastAsia="Palatino Linotype" w:hAnsi="Palatino Linotype" w:cs="Palatino Linotype"/>
        </w:rPr>
        <w:t xml:space="preserve"> del recurso de revisión, es de suma importancia señalar que la parte </w:t>
      </w:r>
      <w:r w:rsidRPr="00EA4073">
        <w:rPr>
          <w:rFonts w:ascii="Palatino Linotype" w:eastAsia="Palatino Linotype" w:hAnsi="Palatino Linotype" w:cs="Palatino Linotype"/>
          <w:b/>
        </w:rPr>
        <w:t>RECURRENTE</w:t>
      </w:r>
      <w:r w:rsidRPr="00EA4073">
        <w:rPr>
          <w:rFonts w:ascii="Palatino Linotype" w:eastAsia="Palatino Linotype" w:hAnsi="Palatino Linotype" w:cs="Palatino Linotype"/>
        </w:rPr>
        <w:t>, no proporcionó su nombre</w:t>
      </w:r>
      <w:r w:rsidRPr="00EA4073">
        <w:rPr>
          <w:rFonts w:ascii="Palatino Linotype" w:eastAsia="Palatino Linotype" w:hAnsi="Palatino Linotype" w:cs="Palatino Linotype"/>
          <w:b/>
        </w:rPr>
        <w:t>,</w:t>
      </w:r>
      <w:r w:rsidRPr="00EA4073">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67660" w:rsidRPr="00EA4073" w:rsidRDefault="000E1A3E">
      <w:pPr>
        <w:spacing w:before="240" w:after="240" w:line="276" w:lineRule="auto"/>
        <w:ind w:left="851" w:right="902"/>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w:t>
      </w:r>
      <w:r w:rsidRPr="00EA4073">
        <w:rPr>
          <w:rFonts w:ascii="Palatino Linotype" w:eastAsia="Palatino Linotype" w:hAnsi="Palatino Linotype" w:cs="Palatino Linotype"/>
          <w:b/>
          <w:i/>
          <w:sz w:val="22"/>
          <w:szCs w:val="22"/>
        </w:rPr>
        <w:t xml:space="preserve">Las solicitudes </w:t>
      </w:r>
      <w:r w:rsidRPr="00EA4073">
        <w:rPr>
          <w:rFonts w:ascii="Palatino Linotype" w:eastAsia="Palatino Linotype" w:hAnsi="Palatino Linotype" w:cs="Palatino Linotype"/>
          <w:i/>
          <w:sz w:val="22"/>
          <w:szCs w:val="22"/>
        </w:rPr>
        <w:t xml:space="preserve">anónimas, con </w:t>
      </w:r>
      <w:r w:rsidRPr="00EA4073">
        <w:rPr>
          <w:rFonts w:ascii="Palatino Linotype" w:eastAsia="Palatino Linotype" w:hAnsi="Palatino Linotype" w:cs="Palatino Linotype"/>
          <w:b/>
          <w:i/>
          <w:sz w:val="22"/>
          <w:szCs w:val="22"/>
        </w:rPr>
        <w:t>nombre incompleto o seudónimo</w:t>
      </w:r>
      <w:r w:rsidRPr="00EA4073">
        <w:rPr>
          <w:rFonts w:ascii="Palatino Linotype" w:eastAsia="Palatino Linotype" w:hAnsi="Palatino Linotype" w:cs="Palatino Linotype"/>
          <w:i/>
          <w:sz w:val="22"/>
          <w:szCs w:val="22"/>
        </w:rPr>
        <w:t xml:space="preserve"> </w:t>
      </w:r>
      <w:r w:rsidRPr="00EA4073">
        <w:rPr>
          <w:rFonts w:ascii="Palatino Linotype" w:eastAsia="Palatino Linotype" w:hAnsi="Palatino Linotype" w:cs="Palatino Linotype"/>
          <w:b/>
          <w:i/>
          <w:sz w:val="22"/>
          <w:szCs w:val="22"/>
        </w:rPr>
        <w:t>serán procedentes para su trámite por parte del sujeto obligado ante quien se presente</w:t>
      </w:r>
      <w:r w:rsidRPr="00EA4073">
        <w:rPr>
          <w:rFonts w:ascii="Palatino Linotype" w:eastAsia="Palatino Linotype" w:hAnsi="Palatino Linotype" w:cs="Palatino Linotype"/>
          <w:i/>
          <w:sz w:val="22"/>
          <w:szCs w:val="22"/>
        </w:rPr>
        <w:t>. No podrá requerirse información adicional con motivo del nombre proporcionado por el solicitante."(Sic)</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Así también, por cuanto hace a la </w:t>
      </w:r>
      <w:proofErr w:type="spellStart"/>
      <w:r w:rsidRPr="00EA4073">
        <w:rPr>
          <w:rFonts w:ascii="Palatino Linotype" w:eastAsia="Palatino Linotype" w:hAnsi="Palatino Linotype" w:cs="Palatino Linotype"/>
        </w:rPr>
        <w:t>procedibilidad</w:t>
      </w:r>
      <w:proofErr w:type="spellEnd"/>
      <w:r w:rsidRPr="00EA4073">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I de la ley de la materia, que a la letra dice:</w:t>
      </w:r>
    </w:p>
    <w:p w:rsidR="00867660" w:rsidRPr="00EA4073" w:rsidRDefault="000E1A3E">
      <w:pPr>
        <w:ind w:left="1276" w:right="1752"/>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w:t>
      </w:r>
      <w:r w:rsidRPr="00EA4073">
        <w:rPr>
          <w:rFonts w:ascii="Palatino Linotype" w:eastAsia="Palatino Linotype" w:hAnsi="Palatino Linotype" w:cs="Palatino Linotype"/>
          <w:b/>
          <w:i/>
          <w:sz w:val="22"/>
          <w:szCs w:val="22"/>
        </w:rPr>
        <w:t xml:space="preserve">Artículo 179. </w:t>
      </w:r>
      <w:r w:rsidRPr="00EA4073">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EA4073">
        <w:rPr>
          <w:rFonts w:ascii="Palatino Linotype" w:eastAsia="Palatino Linotype" w:hAnsi="Palatino Linotype" w:cs="Palatino Linotype"/>
          <w:i/>
        </w:rPr>
        <w:t>causas</w:t>
      </w:r>
      <w:r w:rsidRPr="00EA4073">
        <w:rPr>
          <w:rFonts w:ascii="Palatino Linotype" w:eastAsia="Palatino Linotype" w:hAnsi="Palatino Linotype" w:cs="Palatino Linotype"/>
          <w:i/>
          <w:sz w:val="22"/>
          <w:szCs w:val="22"/>
        </w:rPr>
        <w:t>:</w:t>
      </w:r>
    </w:p>
    <w:p w:rsidR="00867660" w:rsidRPr="00EA4073" w:rsidRDefault="00867660">
      <w:pPr>
        <w:ind w:left="1276" w:right="1752"/>
        <w:jc w:val="both"/>
        <w:rPr>
          <w:rFonts w:ascii="Palatino Linotype" w:eastAsia="Palatino Linotype" w:hAnsi="Palatino Linotype" w:cs="Palatino Linotype"/>
          <w:i/>
          <w:sz w:val="22"/>
          <w:szCs w:val="22"/>
        </w:rPr>
      </w:pPr>
    </w:p>
    <w:p w:rsidR="00867660" w:rsidRPr="00EA4073" w:rsidRDefault="000E1A3E">
      <w:pPr>
        <w:ind w:left="1276" w:right="1752"/>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I. La negativa de la información solicitada…” (Sic)</w:t>
      </w:r>
    </w:p>
    <w:p w:rsidR="00867660" w:rsidRPr="00EA4073" w:rsidRDefault="000E1A3E">
      <w:pPr>
        <w:spacing w:before="280" w:after="28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b/>
        </w:rPr>
        <w:t>Tercero. Materia de Revisión</w:t>
      </w:r>
      <w:r w:rsidRPr="00EA4073">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EA4073">
        <w:rPr>
          <w:rFonts w:ascii="Palatino Linotype" w:eastAsia="Palatino Linotype" w:hAnsi="Palatino Linotype" w:cs="Palatino Linotype"/>
          <w:b/>
        </w:rPr>
        <w:t xml:space="preserve">verificar si la respuesta como informe justificado otorgados por el SUJETO OBLIGADO es adecuada y suficiente para satisfacer el derecho de acceso a la información pública </w:t>
      </w:r>
      <w:r w:rsidRPr="00EA4073">
        <w:rPr>
          <w:rFonts w:ascii="Palatino Linotype" w:eastAsia="Palatino Linotype" w:hAnsi="Palatino Linotype" w:cs="Palatino Linotype"/>
        </w:rPr>
        <w:t xml:space="preserve">del </w:t>
      </w:r>
      <w:r w:rsidRPr="00EA4073">
        <w:rPr>
          <w:rFonts w:ascii="Palatino Linotype" w:eastAsia="Palatino Linotype" w:hAnsi="Palatino Linotype" w:cs="Palatino Linotype"/>
          <w:b/>
        </w:rPr>
        <w:t>RECURRENTE</w:t>
      </w:r>
      <w:r w:rsidRPr="00EA4073">
        <w:rPr>
          <w:rFonts w:ascii="Palatino Linotype" w:eastAsia="Palatino Linotype" w:hAnsi="Palatino Linotype" w:cs="Palatino Linotype"/>
        </w:rPr>
        <w:t>, o en su defecto, en caso de ser procedente, ordenar la entrega de información.</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b/>
        </w:rPr>
        <w:t xml:space="preserve">Cuarto. Estudio de fondo del asunto. </w:t>
      </w:r>
      <w:r w:rsidRPr="00EA4073">
        <w:rPr>
          <w:rFonts w:ascii="Palatino Linotype" w:eastAsia="Palatino Linotype" w:hAnsi="Palatino Linotype" w:cs="Palatino Linotype"/>
        </w:rPr>
        <w:t xml:space="preserve">Es conveniente analizar si la respuesta del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867660" w:rsidRPr="00EA4073" w:rsidRDefault="000E1A3E">
      <w:pPr>
        <w:spacing w:before="240"/>
        <w:ind w:left="709" w:right="760"/>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lastRenderedPageBreak/>
        <w:t>“</w:t>
      </w:r>
      <w:r w:rsidRPr="00EA4073">
        <w:rPr>
          <w:rFonts w:ascii="Palatino Linotype" w:eastAsia="Palatino Linotype" w:hAnsi="Palatino Linotype" w:cs="Palatino Linotype"/>
          <w:b/>
          <w:i/>
          <w:sz w:val="22"/>
          <w:szCs w:val="22"/>
        </w:rPr>
        <w:t>Artículo 4</w:t>
      </w:r>
      <w:r w:rsidRPr="00EA407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67660" w:rsidRPr="00EA4073" w:rsidRDefault="000E1A3E">
      <w:pPr>
        <w:ind w:left="709" w:right="760"/>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A407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67660" w:rsidRPr="00EA4073" w:rsidRDefault="000E1A3E">
      <w:pPr>
        <w:ind w:left="709" w:right="760"/>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A4073">
        <w:rPr>
          <w:rFonts w:ascii="Palatino Linotype" w:eastAsia="Palatino Linotype" w:hAnsi="Palatino Linotype" w:cs="Palatino Linotype"/>
          <w:i/>
          <w:sz w:val="22"/>
          <w:szCs w:val="22"/>
        </w:rPr>
        <w:t>.”(Sic)</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ind w:left="567" w:right="758"/>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“Artículo 12.-</w:t>
      </w:r>
      <w:r w:rsidRPr="00EA407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867660" w:rsidRPr="00EA4073" w:rsidRDefault="00867660">
      <w:pPr>
        <w:ind w:left="567" w:right="758"/>
        <w:jc w:val="both"/>
        <w:rPr>
          <w:rFonts w:ascii="Palatino Linotype" w:eastAsia="Palatino Linotype" w:hAnsi="Palatino Linotype" w:cs="Palatino Linotype"/>
          <w:i/>
          <w:sz w:val="22"/>
          <w:szCs w:val="22"/>
        </w:rPr>
      </w:pPr>
    </w:p>
    <w:p w:rsidR="00867660" w:rsidRPr="00EA4073" w:rsidRDefault="000E1A3E">
      <w:pPr>
        <w:ind w:left="567" w:right="758"/>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A4073">
        <w:rPr>
          <w:rFonts w:ascii="Palatino Linotype" w:eastAsia="Palatino Linotype" w:hAnsi="Palatino Linotype" w:cs="Palatino Linotype"/>
          <w:i/>
          <w:sz w:val="22"/>
          <w:szCs w:val="22"/>
        </w:rPr>
        <w:t xml:space="preserve">. </w:t>
      </w:r>
      <w:r w:rsidRPr="00EA4073">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EA4073">
        <w:rPr>
          <w:rFonts w:ascii="Palatino Linotype" w:eastAsia="Palatino Linotype" w:hAnsi="Palatino Linotype" w:cs="Palatino Linotype"/>
          <w:b/>
          <w:i/>
          <w:sz w:val="22"/>
          <w:szCs w:val="22"/>
        </w:rPr>
        <w:lastRenderedPageBreak/>
        <w:t>obligados a generarla, resumirla, efectuar cálculos o practicar investigaciones.” (Sic)</w:t>
      </w:r>
    </w:p>
    <w:p w:rsidR="00867660" w:rsidRPr="00EA4073" w:rsidRDefault="00867660">
      <w:pPr>
        <w:spacing w:line="360" w:lineRule="auto"/>
        <w:ind w:right="-93"/>
        <w:jc w:val="both"/>
        <w:rPr>
          <w:rFonts w:ascii="Palatino Linotype" w:eastAsia="Palatino Linotype" w:hAnsi="Palatino Linotype" w:cs="Palatino Linotype"/>
        </w:rPr>
      </w:pPr>
    </w:p>
    <w:p w:rsidR="00867660" w:rsidRPr="00EA4073" w:rsidRDefault="000E1A3E">
      <w:pPr>
        <w:spacing w:line="360" w:lineRule="auto"/>
        <w:ind w:right="-93"/>
        <w:jc w:val="both"/>
        <w:rPr>
          <w:rFonts w:ascii="Palatino Linotype" w:eastAsia="Palatino Linotype" w:hAnsi="Palatino Linotype" w:cs="Palatino Linotype"/>
        </w:rPr>
      </w:pPr>
      <w:r w:rsidRPr="00EA4073">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867660" w:rsidRPr="00EA4073" w:rsidRDefault="00867660">
      <w:pPr>
        <w:spacing w:line="360" w:lineRule="auto"/>
        <w:ind w:right="-93"/>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b/>
        </w:rPr>
      </w:pPr>
      <w:r w:rsidRPr="00EA4073">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EA4073">
        <w:rPr>
          <w:rFonts w:ascii="Palatino Linotype" w:eastAsia="Palatino Linotype" w:hAnsi="Palatino Linotype" w:cs="Palatino Linotype"/>
          <w:b/>
        </w:rPr>
        <w:t xml:space="preserve"> </w:t>
      </w:r>
    </w:p>
    <w:p w:rsidR="00867660" w:rsidRPr="00EA4073" w:rsidRDefault="00867660">
      <w:pPr>
        <w:ind w:left="851" w:right="850"/>
        <w:jc w:val="both"/>
        <w:rPr>
          <w:rFonts w:ascii="Palatino Linotype" w:eastAsia="Palatino Linotype" w:hAnsi="Palatino Linotype" w:cs="Palatino Linotype"/>
        </w:rPr>
      </w:pPr>
    </w:p>
    <w:p w:rsidR="00867660" w:rsidRPr="00EA4073" w:rsidRDefault="000E1A3E">
      <w:pPr>
        <w:ind w:left="851" w:right="901"/>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w:t>
      </w:r>
      <w:r w:rsidRPr="00EA4073">
        <w:rPr>
          <w:rFonts w:ascii="Palatino Linotype" w:eastAsia="Palatino Linotype" w:hAnsi="Palatino Linotype" w:cs="Palatino Linotype"/>
          <w:b/>
          <w:i/>
          <w:sz w:val="22"/>
          <w:szCs w:val="22"/>
        </w:rPr>
        <w:t>No existe obligación de elaborar documentos ad hoc para atender las solicitudes de acceso a la información.</w:t>
      </w:r>
      <w:r w:rsidRPr="00EA407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67660" w:rsidRPr="00EA4073" w:rsidRDefault="000E1A3E">
      <w:pPr>
        <w:ind w:left="851" w:right="901"/>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 xml:space="preserve">Resoluciones: </w:t>
      </w:r>
    </w:p>
    <w:p w:rsidR="00867660" w:rsidRPr="00EA4073" w:rsidRDefault="000E1A3E">
      <w:pPr>
        <w:ind w:left="851" w:right="901"/>
        <w:jc w:val="both"/>
        <w:rPr>
          <w:rFonts w:ascii="Palatino Linotype" w:eastAsia="Palatino Linotype" w:hAnsi="Palatino Linotype" w:cs="Palatino Linotype"/>
          <w:i/>
          <w:sz w:val="22"/>
          <w:szCs w:val="22"/>
        </w:rPr>
      </w:pPr>
      <w:r w:rsidRPr="00EA4073">
        <w:rPr>
          <w:rFonts w:ascii="Noto Sans Symbols" w:eastAsia="Noto Sans Symbols" w:hAnsi="Noto Sans Symbols" w:cs="Noto Sans Symbols"/>
          <w:i/>
          <w:sz w:val="22"/>
          <w:szCs w:val="22"/>
        </w:rPr>
        <w:t>∙</w:t>
      </w:r>
      <w:r w:rsidRPr="00EA4073">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867660" w:rsidRPr="00EA4073" w:rsidRDefault="000E1A3E">
      <w:pPr>
        <w:ind w:left="851" w:right="901"/>
        <w:jc w:val="both"/>
        <w:rPr>
          <w:rFonts w:ascii="Palatino Linotype" w:eastAsia="Palatino Linotype" w:hAnsi="Palatino Linotype" w:cs="Palatino Linotype"/>
          <w:i/>
          <w:sz w:val="22"/>
          <w:szCs w:val="22"/>
        </w:rPr>
      </w:pPr>
      <w:r w:rsidRPr="00EA4073">
        <w:rPr>
          <w:rFonts w:ascii="Noto Sans Symbols" w:eastAsia="Noto Sans Symbols" w:hAnsi="Noto Sans Symbols" w:cs="Noto Sans Symbols"/>
          <w:i/>
          <w:sz w:val="22"/>
          <w:szCs w:val="22"/>
        </w:rPr>
        <w:t>∙</w:t>
      </w:r>
      <w:r w:rsidRPr="00EA4073">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867660" w:rsidRPr="00EA4073" w:rsidRDefault="000E1A3E">
      <w:pPr>
        <w:ind w:left="851" w:right="901"/>
        <w:jc w:val="both"/>
        <w:rPr>
          <w:rFonts w:ascii="Palatino Linotype" w:eastAsia="Palatino Linotype" w:hAnsi="Palatino Linotype" w:cs="Palatino Linotype"/>
          <w:i/>
          <w:sz w:val="22"/>
          <w:szCs w:val="22"/>
        </w:rPr>
      </w:pPr>
      <w:r w:rsidRPr="00EA4073">
        <w:rPr>
          <w:rFonts w:ascii="Noto Sans Symbols" w:eastAsia="Noto Sans Symbols" w:hAnsi="Noto Sans Symbols" w:cs="Noto Sans Symbols"/>
          <w:i/>
          <w:sz w:val="22"/>
          <w:szCs w:val="22"/>
        </w:rPr>
        <w:lastRenderedPageBreak/>
        <w:t>∙</w:t>
      </w:r>
      <w:r w:rsidRPr="00EA4073">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867660" w:rsidRPr="00EA4073" w:rsidRDefault="00867660">
      <w:pPr>
        <w:spacing w:line="360" w:lineRule="auto"/>
        <w:ind w:right="-93"/>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ind w:right="49"/>
        <w:jc w:val="both"/>
        <w:rPr>
          <w:rFonts w:ascii="Palatino Linotype" w:eastAsia="Palatino Linotype" w:hAnsi="Palatino Linotype" w:cs="Palatino Linotype"/>
        </w:rPr>
      </w:pPr>
      <w:r w:rsidRPr="00EA4073">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867660" w:rsidRPr="00EA4073" w:rsidRDefault="00867660">
      <w:pPr>
        <w:spacing w:line="360" w:lineRule="auto"/>
        <w:ind w:right="49"/>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EA4073">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rsidR="00867660" w:rsidRPr="00EA4073" w:rsidRDefault="00867660">
      <w:pPr>
        <w:ind w:left="851" w:right="899"/>
        <w:jc w:val="both"/>
        <w:rPr>
          <w:rFonts w:ascii="Palatino Linotype" w:eastAsia="Palatino Linotype" w:hAnsi="Palatino Linotype" w:cs="Palatino Linotype"/>
          <w:i/>
          <w:sz w:val="22"/>
          <w:szCs w:val="22"/>
        </w:rPr>
      </w:pPr>
    </w:p>
    <w:p w:rsidR="00867660" w:rsidRPr="00EA4073" w:rsidRDefault="000E1A3E">
      <w:pPr>
        <w:ind w:left="851" w:right="89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w:t>
      </w:r>
      <w:r w:rsidRPr="00EA4073">
        <w:rPr>
          <w:rFonts w:ascii="Palatino Linotype" w:eastAsia="Palatino Linotype" w:hAnsi="Palatino Linotype" w:cs="Palatino Linotype"/>
          <w:b/>
          <w:i/>
          <w:sz w:val="22"/>
          <w:szCs w:val="22"/>
        </w:rPr>
        <w:t xml:space="preserve">Artículo 3. </w:t>
      </w:r>
      <w:r w:rsidRPr="00EA4073">
        <w:rPr>
          <w:rFonts w:ascii="Palatino Linotype" w:eastAsia="Palatino Linotype" w:hAnsi="Palatino Linotype" w:cs="Palatino Linotype"/>
          <w:i/>
          <w:sz w:val="22"/>
          <w:szCs w:val="22"/>
        </w:rPr>
        <w:t>Para los efectos de la presente Ley se entenderá por:</w:t>
      </w:r>
    </w:p>
    <w:p w:rsidR="00867660" w:rsidRPr="00EA4073" w:rsidRDefault="000E1A3E">
      <w:pPr>
        <w:ind w:left="851" w:right="89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w:t>
      </w:r>
    </w:p>
    <w:p w:rsidR="00867660" w:rsidRPr="00EA4073" w:rsidRDefault="000E1A3E">
      <w:pPr>
        <w:ind w:left="851" w:right="89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XI. Documento:</w:t>
      </w:r>
      <w:r w:rsidRPr="00EA4073">
        <w:rPr>
          <w:rFonts w:ascii="Palatino Linotype" w:eastAsia="Palatino Linotype" w:hAnsi="Palatino Linotype" w:cs="Palatino Linotype"/>
          <w:i/>
          <w:sz w:val="22"/>
          <w:szCs w:val="22"/>
        </w:rPr>
        <w:t xml:space="preserve"> Los expedientes, reportes, estudios, actas</w:t>
      </w:r>
      <w:r w:rsidRPr="00EA4073">
        <w:rPr>
          <w:rFonts w:ascii="Palatino Linotype" w:eastAsia="Palatino Linotype" w:hAnsi="Palatino Linotype" w:cs="Palatino Linotype"/>
          <w:b/>
          <w:i/>
          <w:sz w:val="22"/>
          <w:szCs w:val="22"/>
        </w:rPr>
        <w:t>,</w:t>
      </w:r>
      <w:r w:rsidRPr="00EA407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867660" w:rsidRPr="00EA4073" w:rsidRDefault="00867660">
      <w:pPr>
        <w:ind w:left="851" w:right="899"/>
        <w:jc w:val="both"/>
        <w:rPr>
          <w:rFonts w:ascii="Palatino Linotype" w:eastAsia="Palatino Linotype" w:hAnsi="Palatino Linotype" w:cs="Palatino Linotype"/>
          <w:sz w:val="22"/>
          <w:szCs w:val="22"/>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867660" w:rsidRPr="00EA4073" w:rsidRDefault="00867660">
      <w:pPr>
        <w:ind w:left="851" w:right="899"/>
        <w:jc w:val="both"/>
        <w:rPr>
          <w:rFonts w:ascii="Palatino Linotype" w:eastAsia="Palatino Linotype" w:hAnsi="Palatino Linotype" w:cs="Palatino Linotype"/>
        </w:rPr>
      </w:pPr>
    </w:p>
    <w:p w:rsidR="00867660" w:rsidRPr="00EA4073" w:rsidRDefault="000E1A3E">
      <w:pPr>
        <w:ind w:left="851" w:right="899"/>
        <w:jc w:val="both"/>
        <w:rPr>
          <w:rFonts w:ascii="Palatino Linotype" w:eastAsia="Palatino Linotype" w:hAnsi="Palatino Linotype" w:cs="Palatino Linotype"/>
          <w:b/>
          <w:i/>
          <w:sz w:val="22"/>
          <w:szCs w:val="22"/>
        </w:rPr>
      </w:pPr>
      <w:r w:rsidRPr="00EA4073">
        <w:rPr>
          <w:rFonts w:ascii="Palatino Linotype" w:eastAsia="Palatino Linotype" w:hAnsi="Palatino Linotype" w:cs="Palatino Linotype"/>
          <w:b/>
          <w:sz w:val="22"/>
          <w:szCs w:val="22"/>
        </w:rPr>
        <w:t>“</w:t>
      </w:r>
      <w:r w:rsidRPr="00EA4073">
        <w:rPr>
          <w:rFonts w:ascii="Palatino Linotype" w:eastAsia="Palatino Linotype" w:hAnsi="Palatino Linotype" w:cs="Palatino Linotype"/>
          <w:b/>
          <w:i/>
          <w:sz w:val="22"/>
          <w:szCs w:val="22"/>
        </w:rPr>
        <w:t>CRITERIO 0002-11</w:t>
      </w:r>
    </w:p>
    <w:p w:rsidR="00867660" w:rsidRPr="00EA4073" w:rsidRDefault="000E1A3E">
      <w:pPr>
        <w:ind w:left="851" w:right="89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A407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67660" w:rsidRPr="00EA4073" w:rsidRDefault="000E1A3E">
      <w:pPr>
        <w:ind w:left="851" w:right="89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En consecuencia el acceso a la información se refiere a que se cumplan cualquiera de los siguientes tres supuestos:</w:t>
      </w:r>
    </w:p>
    <w:p w:rsidR="00867660" w:rsidRPr="00EA4073" w:rsidRDefault="000E1A3E">
      <w:pPr>
        <w:ind w:left="851" w:right="89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867660" w:rsidRPr="00EA4073" w:rsidRDefault="000E1A3E">
      <w:pPr>
        <w:ind w:left="851" w:right="899"/>
        <w:jc w:val="both"/>
        <w:rPr>
          <w:rFonts w:ascii="Palatino Linotype" w:eastAsia="Palatino Linotype" w:hAnsi="Palatino Linotype" w:cs="Palatino Linotype"/>
          <w:b/>
          <w:i/>
          <w:sz w:val="22"/>
          <w:szCs w:val="22"/>
        </w:rPr>
      </w:pPr>
      <w:r w:rsidRPr="00EA4073">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rsidR="00867660" w:rsidRPr="00EA4073" w:rsidRDefault="000E1A3E">
      <w:pPr>
        <w:ind w:left="851" w:right="899"/>
        <w:jc w:val="both"/>
        <w:rPr>
          <w:rFonts w:ascii="Palatino Linotype" w:eastAsia="Palatino Linotype" w:hAnsi="Palatino Linotype" w:cs="Palatino Linotype"/>
          <w:b/>
          <w:i/>
          <w:sz w:val="22"/>
          <w:szCs w:val="22"/>
        </w:rPr>
      </w:pPr>
      <w:r w:rsidRPr="00EA4073">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Ahora bien, del análisis de la solicitud de información motivo del recurso de revisión que ahora se resuelve, se advierte que el particular requirió al  Ayuntamiento de Zinacantepec, lo siguiente:</w:t>
      </w:r>
    </w:p>
    <w:p w:rsidR="00867660" w:rsidRPr="00EA4073" w:rsidRDefault="000E1A3E">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Los capitales y créditos a favor del municipio, así como los productos que generen los mismos.</w:t>
      </w:r>
    </w:p>
    <w:p w:rsidR="00867660" w:rsidRPr="00EA4073" w:rsidRDefault="000E1A3E">
      <w:pPr>
        <w:spacing w:before="240" w:after="240" w:line="360" w:lineRule="auto"/>
        <w:ind w:right="49"/>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En respuesta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informó que dicha información puede ser consultada a través de la página de internet del sistema de Información Pública de Oficio Mexiquense (IPOMEX), del Municipio de Zinacantepec dentro del siguiente enlace: </w:t>
      </w:r>
    </w:p>
    <w:p w:rsidR="00867660" w:rsidRPr="00EA4073" w:rsidRDefault="000E1A3E">
      <w:pPr>
        <w:spacing w:before="240" w:after="240" w:line="360" w:lineRule="auto"/>
        <w:ind w:right="49"/>
        <w:jc w:val="both"/>
        <w:rPr>
          <w:rFonts w:ascii="Palatino Linotype" w:eastAsia="Palatino Linotype" w:hAnsi="Palatino Linotype" w:cs="Palatino Linotype"/>
        </w:rPr>
      </w:pPr>
      <w:r w:rsidRPr="00EA4073">
        <w:rPr>
          <w:rFonts w:ascii="Palatino Linotype" w:eastAsia="Palatino Linotype" w:hAnsi="Palatino Linotype" w:cs="Palatino Linotype"/>
        </w:rPr>
        <w:t>https://www.ipomex.org.mx/ipo3/lgt/indice/ZINACANTEPEC/art_92_xxvi.web</w:t>
      </w:r>
    </w:p>
    <w:p w:rsidR="00867660" w:rsidRPr="00EA4073" w:rsidRDefault="000E1A3E">
      <w:pPr>
        <w:spacing w:before="240" w:line="360" w:lineRule="auto"/>
        <w:ind w:right="49"/>
        <w:jc w:val="both"/>
        <w:rPr>
          <w:rFonts w:ascii="Palatino Linotype" w:eastAsia="Palatino Linotype" w:hAnsi="Palatino Linotype" w:cs="Palatino Linotype"/>
        </w:rPr>
      </w:pPr>
      <w:r w:rsidRPr="00EA4073">
        <w:rPr>
          <w:rFonts w:ascii="Palatino Linotype" w:eastAsia="Palatino Linotype" w:hAnsi="Palatino Linotype" w:cs="Palatino Linotype"/>
        </w:rPr>
        <w:t>Sin embargo el particular de sus motivos de inconformidad se advierte que se quejó porque no le entregaron la información.</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Mediante informe justificado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informó que lo solicitado se encuentra dentro del Sistema de Información Pública de Oficio Mexiquense (IPOMEX), de conformidad con la Ley de Transparencia y Acceso a la información Pública de Oficio Mexiquense del Estado de México y Municipios en su artículo 92, </w:t>
      </w:r>
      <w:r w:rsidRPr="00EA4073">
        <w:rPr>
          <w:rFonts w:ascii="Palatino Linotype" w:eastAsia="Palatino Linotype" w:hAnsi="Palatino Linotype" w:cs="Palatino Linotype"/>
        </w:rPr>
        <w:lastRenderedPageBreak/>
        <w:t xml:space="preserve">por lo anteriormente expuesto se proporciona enlace para la consulta de lo peticionado: </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-https://www.ipomex.org.mx/ipo3/lgt/indice/ZINACANTEPEC/art_92_xxvi.web </w:t>
      </w:r>
    </w:p>
    <w:p w:rsidR="00867660" w:rsidRPr="00EA4073" w:rsidRDefault="000E1A3E">
      <w:pPr>
        <w:spacing w:after="240" w:line="360" w:lineRule="auto"/>
        <w:jc w:val="both"/>
      </w:pPr>
      <w:r w:rsidRPr="00EA4073">
        <w:rPr>
          <w:rFonts w:ascii="Palatino Linotype" w:eastAsia="Palatino Linotype" w:hAnsi="Palatino Linotype" w:cs="Palatino Linotype"/>
        </w:rPr>
        <w:t>-https://www.zinacantepec.gob.mx/conac.php</w:t>
      </w:r>
      <w:r w:rsidRPr="00EA4073">
        <w:t xml:space="preserve"> </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En virtud de lo anterior, se determina que la información emitida por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en su respuesta como informe justificado, no cumple con lo establecido por los artículos 4, 12, 24 último párrafo, 161 y 162 de la Ley de Transparencia y Acceso a la Información Pública del Estado de México y Municipios; de ahí que, los motivos de inconformidad acontecen fundados para modificar la respuesta del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en razón de las consideraciones de derecho que a continuación se exponen:</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Antes del estudio de fondo, se debe precisar que la parte solicitante fue omisa en señalar el periodo sobre el cual requería la información, en ejercicio de la facultad de suplencia prevista en los artículos 13 y 181 párrafo cuarto de la Ley de Transparencia y Acceso a la Información Pública del Estado de México y Municipios, este Organismo Garante estima adecuado, ordenar la entrega, de ser el caso, del soporte documental generado en el año inmediato anterior contado a partir de la fecha de presentación de la solicitud, es decir, del trece de octubre de dos mil veintiuno al trece de octubre de dos mil veintidós.</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lastRenderedPageBreak/>
        <w:t>Lo anterior se robustece con el criterio de interpretación 03/19 emitido por el Instituto Nacional de Transparencia Acceso a la Información y Protección de Datos Personales, INAI, en el cual es del tenor literal siguiente:</w:t>
      </w:r>
    </w:p>
    <w:p w:rsidR="00867660" w:rsidRPr="00EA4073" w:rsidRDefault="000E1A3E">
      <w:pPr>
        <w:ind w:left="851" w:right="89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867660" w:rsidRPr="00EA4073" w:rsidRDefault="00867660">
      <w:pPr>
        <w:ind w:right="899"/>
        <w:jc w:val="both"/>
        <w:rPr>
          <w:rFonts w:ascii="Palatino Linotype" w:eastAsia="Palatino Linotype" w:hAnsi="Palatino Linotype" w:cs="Palatino Linotype"/>
          <w:i/>
          <w:sz w:val="22"/>
          <w:szCs w:val="22"/>
        </w:rPr>
      </w:pP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Ahora bien, sobre la naturaleza de la información solicitada, debemos comenzar precisando que se entiende por capital y crédito, los cuales son definidos por el diccionario de la Real Academia Española, como:</w:t>
      </w:r>
    </w:p>
    <w:p w:rsidR="00867660" w:rsidRPr="00EA4073" w:rsidRDefault="000E1A3E">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Capital:</w:t>
      </w:r>
    </w:p>
    <w:p w:rsidR="00867660" w:rsidRPr="00EA4073" w:rsidRDefault="000E1A3E">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“Valor de lo que, de manera periódica o accidental, rinde u ocasiona rentas, intereses o frutos.” (Sic)</w:t>
      </w:r>
    </w:p>
    <w:p w:rsidR="00867660" w:rsidRPr="00EA4073" w:rsidRDefault="000E1A3E">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“Cantidad de dinero que se presta, se impone o se deja a censo sobre una o varias fincas, sobre todo cuando es de alguna importancia.”(Sic)</w:t>
      </w:r>
    </w:p>
    <w:p w:rsidR="00867660" w:rsidRPr="00EA4073" w:rsidRDefault="00867660">
      <w:pPr>
        <w:pBdr>
          <w:top w:val="nil"/>
          <w:left w:val="nil"/>
          <w:bottom w:val="nil"/>
          <w:right w:val="nil"/>
          <w:between w:val="nil"/>
        </w:pBdr>
        <w:ind w:left="567" w:right="567"/>
        <w:jc w:val="both"/>
        <w:rPr>
          <w:rFonts w:ascii="Arimo" w:eastAsia="Arimo" w:hAnsi="Arimo" w:cs="Arimo"/>
          <w:sz w:val="26"/>
          <w:szCs w:val="26"/>
        </w:rPr>
      </w:pPr>
    </w:p>
    <w:p w:rsidR="00867660" w:rsidRPr="00EA4073" w:rsidRDefault="000E1A3E">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Crédito:</w:t>
      </w:r>
    </w:p>
    <w:p w:rsidR="00867660" w:rsidRPr="00EA4073" w:rsidRDefault="000E1A3E">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“Cantidad de dinero u otro medio de pago que una persona o entidad, especialmente bancaria, presta a otra bajo determinadas condiciones de devolución.”(Sic)</w:t>
      </w:r>
    </w:p>
    <w:p w:rsidR="00867660" w:rsidRPr="00EA4073" w:rsidRDefault="00867660">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rsidR="00867660" w:rsidRPr="00EA4073" w:rsidRDefault="000E1A3E">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EA4073">
        <w:rPr>
          <w:rFonts w:ascii="Palatino Linotype" w:eastAsia="Palatino Linotype" w:hAnsi="Palatino Linotype" w:cs="Palatino Linotype"/>
        </w:rPr>
        <w:t>De los anteriores preceptos legales podemos concluir que el capital como el crédito, tiene una relación entre sí, ya que corresponden a la cantidad de dinero que devienen de un préstamo y que generan un fruto, ganancias o rentas, dependiendo de la condiciones del empréstito.</w:t>
      </w:r>
    </w:p>
    <w:p w:rsidR="00867660" w:rsidRPr="00EA4073" w:rsidRDefault="00867660">
      <w:pPr>
        <w:pBdr>
          <w:top w:val="nil"/>
          <w:left w:val="nil"/>
          <w:bottom w:val="nil"/>
          <w:right w:val="nil"/>
          <w:between w:val="nil"/>
        </w:pBdr>
        <w:spacing w:line="360" w:lineRule="auto"/>
        <w:ind w:right="567"/>
        <w:jc w:val="both"/>
        <w:rPr>
          <w:rFonts w:ascii="Palatino Linotype" w:eastAsia="Palatino Linotype" w:hAnsi="Palatino Linotype" w:cs="Palatino Linotype"/>
        </w:rPr>
      </w:pPr>
    </w:p>
    <w:p w:rsidR="00867660" w:rsidRPr="00EA4073" w:rsidRDefault="000E1A3E">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EA4073">
        <w:rPr>
          <w:rFonts w:ascii="Palatino Linotype" w:eastAsia="Palatino Linotype" w:hAnsi="Palatino Linotype" w:cs="Palatino Linotype"/>
        </w:rPr>
        <w:lastRenderedPageBreak/>
        <w:t xml:space="preserve">Luego entonces, podemos decir que el capital y el crédito es la cantidad de dinero que posee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y que genera intereses o productos (por ejemplo el saldo en cuentas bancarias o fondos de ahorro que generan intereses).</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Ahora bien, es pertinente señalar que la información solicitada por el particular, esta forma parte de la hacienda pública municipal, en términos de lo señalado por el artículo 97 fracción II de la Ley Orgánica Municipal del Estado de México, que señala:</w:t>
      </w:r>
    </w:p>
    <w:p w:rsidR="00867660" w:rsidRPr="00EA4073" w:rsidRDefault="000E1A3E">
      <w:pPr>
        <w:spacing w:before="240"/>
        <w:ind w:left="567" w:right="618"/>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“Artículo 97.- La hacienda pública municipal se integra por:</w:t>
      </w:r>
    </w:p>
    <w:p w:rsidR="00867660" w:rsidRPr="00EA4073" w:rsidRDefault="000E1A3E">
      <w:pPr>
        <w:ind w:left="567" w:right="618"/>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w:t>
      </w:r>
    </w:p>
    <w:p w:rsidR="00867660" w:rsidRPr="00EA4073" w:rsidRDefault="000E1A3E">
      <w:pPr>
        <w:ind w:left="567" w:right="618"/>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II. Los capitales y créditos a favor del municipio, así como los intereses y productos que generen los mismos</w:t>
      </w:r>
      <w:r w:rsidRPr="00EA4073">
        <w:rPr>
          <w:rFonts w:ascii="Palatino Linotype" w:eastAsia="Palatino Linotype" w:hAnsi="Palatino Linotype" w:cs="Palatino Linotype"/>
          <w:i/>
          <w:sz w:val="22"/>
          <w:szCs w:val="22"/>
        </w:rPr>
        <w:t>…</w:t>
      </w:r>
      <w:proofErr w:type="gramStart"/>
      <w:r w:rsidRPr="00EA4073">
        <w:rPr>
          <w:rFonts w:ascii="Palatino Linotype" w:eastAsia="Palatino Linotype" w:hAnsi="Palatino Linotype" w:cs="Palatino Linotype"/>
          <w:i/>
          <w:sz w:val="22"/>
          <w:szCs w:val="22"/>
        </w:rPr>
        <w:t>”(</w:t>
      </w:r>
      <w:proofErr w:type="gramEnd"/>
      <w:r w:rsidRPr="00EA4073">
        <w:rPr>
          <w:rFonts w:ascii="Palatino Linotype" w:eastAsia="Palatino Linotype" w:hAnsi="Palatino Linotype" w:cs="Palatino Linotype"/>
          <w:i/>
          <w:sz w:val="22"/>
          <w:szCs w:val="22"/>
        </w:rPr>
        <w:t>Sic)</w:t>
      </w:r>
    </w:p>
    <w:p w:rsidR="00867660" w:rsidRPr="00EA4073" w:rsidRDefault="00867660">
      <w:pPr>
        <w:ind w:left="567" w:right="618"/>
        <w:jc w:val="both"/>
        <w:rPr>
          <w:rFonts w:ascii="Palatino Linotype" w:eastAsia="Palatino Linotype" w:hAnsi="Palatino Linotype" w:cs="Palatino Linotype"/>
          <w:i/>
          <w:sz w:val="22"/>
          <w:szCs w:val="22"/>
        </w:rPr>
      </w:pPr>
    </w:p>
    <w:p w:rsidR="00867660" w:rsidRPr="00EA4073" w:rsidRDefault="000E1A3E">
      <w:pPr>
        <w:spacing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Hacienda Pública Municipal, que es administrada por el Tesorero Municipal del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en términos de lo señalado por el artículo 95 fracción I de la Ley Orgánica Municipal del Estado de México, que señala: </w:t>
      </w:r>
    </w:p>
    <w:p w:rsidR="00867660" w:rsidRPr="00EA4073" w:rsidRDefault="000E1A3E">
      <w:pPr>
        <w:spacing w:before="240"/>
        <w:ind w:left="567" w:right="618"/>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 xml:space="preserve">“Artículo 95.- Son atribuciones del tesorero municipal: </w:t>
      </w:r>
    </w:p>
    <w:p w:rsidR="00867660" w:rsidRPr="00EA4073" w:rsidRDefault="000E1A3E">
      <w:pPr>
        <w:ind w:left="567" w:right="618"/>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I. Administrar la hacienda pública municipal, de conformidad con las disposiciones legales aplicables…” (Sic)</w:t>
      </w:r>
    </w:p>
    <w:p w:rsidR="00867660" w:rsidRPr="00EA4073" w:rsidRDefault="00867660">
      <w:pPr>
        <w:spacing w:line="360" w:lineRule="auto"/>
        <w:ind w:right="51"/>
        <w:jc w:val="both"/>
        <w:rPr>
          <w:rFonts w:ascii="Palatino Linotype" w:eastAsia="Palatino Linotype" w:hAnsi="Palatino Linotype" w:cs="Palatino Linotype"/>
        </w:rPr>
      </w:pP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En ese sentido, tomando en consideración que los capitales y créditos forman parte de la hacienda pública municipal, la cual debe administrar el Tesorero Municipal y se entiende que es el patrimonio del Municipio, en términos de lo señalado por el artículo 3 fracción XXII del Código Financiero del Estado de México y Municipios, que señala:</w:t>
      </w:r>
    </w:p>
    <w:p w:rsidR="00867660" w:rsidRPr="00EA4073" w:rsidRDefault="00867660">
      <w:pPr>
        <w:spacing w:before="240" w:after="240" w:line="360" w:lineRule="auto"/>
        <w:jc w:val="both"/>
        <w:rPr>
          <w:rFonts w:ascii="Palatino Linotype" w:eastAsia="Palatino Linotype" w:hAnsi="Palatino Linotype" w:cs="Palatino Linotype"/>
        </w:rPr>
      </w:pPr>
    </w:p>
    <w:p w:rsidR="00867660" w:rsidRPr="00EA4073" w:rsidRDefault="000E1A3E">
      <w:pPr>
        <w:spacing w:before="240"/>
        <w:ind w:left="567" w:right="618"/>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lastRenderedPageBreak/>
        <w:t>“Artículo 3.- Para efectos de este Código, Ley de Ingresos del Estado y del Presupuesto de Egresos se entenderá por</w:t>
      </w:r>
    </w:p>
    <w:p w:rsidR="00867660" w:rsidRPr="00EA4073" w:rsidRDefault="000E1A3E">
      <w:pPr>
        <w:ind w:left="567" w:right="618"/>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XXII. Hacienda Pública</w:t>
      </w:r>
      <w:r w:rsidRPr="00EA4073">
        <w:rPr>
          <w:rFonts w:ascii="Palatino Linotype" w:eastAsia="Palatino Linotype" w:hAnsi="Palatino Linotype" w:cs="Palatino Linotype"/>
          <w:i/>
          <w:sz w:val="22"/>
          <w:szCs w:val="22"/>
        </w:rPr>
        <w:t xml:space="preserve">. </w:t>
      </w:r>
      <w:r w:rsidRPr="00EA4073">
        <w:rPr>
          <w:rFonts w:ascii="Palatino Linotype" w:eastAsia="Palatino Linotype" w:hAnsi="Palatino Linotype" w:cs="Palatino Linotype"/>
          <w:i/>
          <w:sz w:val="22"/>
          <w:szCs w:val="22"/>
          <w:u w:val="single"/>
        </w:rPr>
        <w:t>A la obtención, administración y aplicación de los ingresos públicos del gobierno, en el ámbito de su competencia, que se conforma por las contribuciones, productos, aprovechamientos</w:t>
      </w:r>
      <w:r w:rsidRPr="00EA4073">
        <w:rPr>
          <w:rFonts w:ascii="Palatino Linotype" w:eastAsia="Palatino Linotype" w:hAnsi="Palatino Linotype" w:cs="Palatino Linotype"/>
          <w:i/>
          <w:sz w:val="22"/>
          <w:szCs w:val="22"/>
        </w:rPr>
        <w:t xml:space="preserve">, bienes, propiedades </w:t>
      </w:r>
      <w:r w:rsidRPr="00EA4073">
        <w:rPr>
          <w:rFonts w:ascii="Palatino Linotype" w:eastAsia="Palatino Linotype" w:hAnsi="Palatino Linotype" w:cs="Palatino Linotype"/>
          <w:i/>
          <w:sz w:val="22"/>
          <w:szCs w:val="22"/>
          <w:u w:val="single"/>
        </w:rPr>
        <w:t xml:space="preserve">y derechos que al gobierno, estatal o municipal le pertenecen y </w:t>
      </w:r>
      <w:r w:rsidRPr="00EA4073">
        <w:rPr>
          <w:rFonts w:ascii="Palatino Linotype" w:eastAsia="Palatino Linotype" w:hAnsi="Palatino Linotype" w:cs="Palatino Linotype"/>
          <w:b/>
          <w:i/>
          <w:sz w:val="22"/>
          <w:szCs w:val="22"/>
          <w:u w:val="single"/>
        </w:rPr>
        <w:t>forman parte de su patrimonio</w:t>
      </w:r>
      <w:r w:rsidRPr="00EA4073">
        <w:rPr>
          <w:rFonts w:ascii="Palatino Linotype" w:eastAsia="Palatino Linotype" w:hAnsi="Palatino Linotype" w:cs="Palatino Linotype"/>
          <w:i/>
          <w:sz w:val="22"/>
          <w:szCs w:val="22"/>
        </w:rPr>
        <w:t>” (Sic)</w:t>
      </w:r>
    </w:p>
    <w:p w:rsidR="00867660" w:rsidRPr="00EA4073" w:rsidRDefault="00867660">
      <w:pPr>
        <w:spacing w:after="240" w:line="360" w:lineRule="auto"/>
        <w:jc w:val="both"/>
        <w:rPr>
          <w:rFonts w:ascii="Palatino Linotype" w:eastAsia="Palatino Linotype" w:hAnsi="Palatino Linotype" w:cs="Palatino Linotype"/>
        </w:rPr>
      </w:pPr>
    </w:p>
    <w:p w:rsidR="00867660" w:rsidRPr="00EA4073" w:rsidRDefault="000E1A3E">
      <w:pPr>
        <w:tabs>
          <w:tab w:val="left" w:pos="7938"/>
        </w:tabs>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Por consiguiente, de manera enunciativa mas no limitada, el documento en donde constaría la información solicitada, serían las conciliaciones bancarias, en ese sentido, los Lineamientos de Control Financiero y Administrativo para las Entidades Fiscalizables Municipales del Estado de México, publicados en la Gaceta de Gobierno en fecha 11 de julio de 2013, establecen lo siguiente:</w:t>
      </w:r>
    </w:p>
    <w:p w:rsidR="00867660" w:rsidRPr="00EA4073" w:rsidRDefault="00867660">
      <w:pPr>
        <w:tabs>
          <w:tab w:val="left" w:pos="7938"/>
        </w:tabs>
        <w:spacing w:line="360" w:lineRule="auto"/>
        <w:jc w:val="both"/>
        <w:rPr>
          <w:rFonts w:ascii="Palatino Linotype" w:eastAsia="Palatino Linotype" w:hAnsi="Palatino Linotype" w:cs="Palatino Linotype"/>
        </w:rPr>
      </w:pP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rPr>
        <w:t>“</w:t>
      </w:r>
      <w:r w:rsidRPr="00EA4073">
        <w:rPr>
          <w:rFonts w:ascii="Palatino Linotype" w:eastAsia="Palatino Linotype" w:hAnsi="Palatino Linotype" w:cs="Palatino Linotype"/>
          <w:i/>
        </w:rPr>
        <w:t xml:space="preserve">DÉCIMO QUINTO: El tesorero deberá identificar y verificar los cálculos y registrar en el periodo correspondiente los intereses generados </w:t>
      </w:r>
      <w:r w:rsidRPr="00EA4073">
        <w:rPr>
          <w:rFonts w:ascii="Palatino Linotype" w:eastAsia="Palatino Linotype" w:hAnsi="Palatino Linotype" w:cs="Palatino Linotype"/>
          <w:b/>
          <w:i/>
          <w:u w:val="single"/>
        </w:rPr>
        <w:t>en cada una de las cuentas bancarias</w:t>
      </w:r>
      <w:r w:rsidRPr="00EA4073">
        <w:rPr>
          <w:rFonts w:ascii="Palatino Linotype" w:eastAsia="Palatino Linotype" w:hAnsi="Palatino Linotype" w:cs="Palatino Linotype"/>
          <w:i/>
        </w:rPr>
        <w:t>.</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i/>
        </w:rPr>
        <w:t>…</w:t>
      </w:r>
    </w:p>
    <w:p w:rsidR="00867660" w:rsidRPr="00EA4073" w:rsidRDefault="000E1A3E">
      <w:pPr>
        <w:tabs>
          <w:tab w:val="left" w:pos="7938"/>
        </w:tabs>
        <w:ind w:left="851" w:right="851"/>
        <w:jc w:val="center"/>
        <w:rPr>
          <w:rFonts w:ascii="Palatino Linotype" w:eastAsia="Palatino Linotype" w:hAnsi="Palatino Linotype" w:cs="Palatino Linotype"/>
          <w:b/>
          <w:i/>
        </w:rPr>
      </w:pPr>
      <w:r w:rsidRPr="00EA4073">
        <w:rPr>
          <w:rFonts w:ascii="Palatino Linotype" w:eastAsia="Palatino Linotype" w:hAnsi="Palatino Linotype" w:cs="Palatino Linotype"/>
          <w:b/>
          <w:i/>
        </w:rPr>
        <w:t>TÍTULO SEGUNDO</w:t>
      </w:r>
    </w:p>
    <w:p w:rsidR="00867660" w:rsidRPr="00EA4073" w:rsidRDefault="000E1A3E">
      <w:pPr>
        <w:tabs>
          <w:tab w:val="left" w:pos="7938"/>
        </w:tabs>
        <w:ind w:left="851" w:right="851"/>
        <w:jc w:val="center"/>
        <w:rPr>
          <w:rFonts w:ascii="Palatino Linotype" w:eastAsia="Palatino Linotype" w:hAnsi="Palatino Linotype" w:cs="Palatino Linotype"/>
          <w:b/>
          <w:i/>
        </w:rPr>
      </w:pPr>
      <w:r w:rsidRPr="00EA4073">
        <w:rPr>
          <w:rFonts w:ascii="Palatino Linotype" w:eastAsia="Palatino Linotype" w:hAnsi="Palatino Linotype" w:cs="Palatino Linotype"/>
          <w:b/>
          <w:i/>
        </w:rPr>
        <w:t>LINEAMIENTOS DE CONTROL</w:t>
      </w:r>
    </w:p>
    <w:p w:rsidR="00867660" w:rsidRPr="00EA4073" w:rsidRDefault="000E1A3E">
      <w:pPr>
        <w:tabs>
          <w:tab w:val="left" w:pos="7938"/>
        </w:tabs>
        <w:ind w:left="851" w:right="851"/>
        <w:jc w:val="center"/>
        <w:rPr>
          <w:rFonts w:ascii="Palatino Linotype" w:eastAsia="Palatino Linotype" w:hAnsi="Palatino Linotype" w:cs="Palatino Linotype"/>
          <w:b/>
          <w:i/>
        </w:rPr>
      </w:pPr>
      <w:r w:rsidRPr="00EA4073">
        <w:rPr>
          <w:rFonts w:ascii="Palatino Linotype" w:eastAsia="Palatino Linotype" w:hAnsi="Palatino Linotype" w:cs="Palatino Linotype"/>
          <w:b/>
          <w:i/>
        </w:rPr>
        <w:t>FINANCIERO Y ADMINISTRATIVO</w:t>
      </w:r>
    </w:p>
    <w:p w:rsidR="00867660" w:rsidRPr="00EA4073" w:rsidRDefault="00867660">
      <w:pPr>
        <w:tabs>
          <w:tab w:val="left" w:pos="7938"/>
        </w:tabs>
        <w:ind w:left="851" w:right="851"/>
        <w:jc w:val="both"/>
        <w:rPr>
          <w:rFonts w:ascii="Palatino Linotype" w:eastAsia="Palatino Linotype" w:hAnsi="Palatino Linotype" w:cs="Palatino Linotype"/>
          <w:b/>
          <w:i/>
        </w:rPr>
      </w:pPr>
    </w:p>
    <w:p w:rsidR="00867660" w:rsidRPr="00EA4073" w:rsidRDefault="000E1A3E">
      <w:pPr>
        <w:tabs>
          <w:tab w:val="left" w:pos="7938"/>
        </w:tabs>
        <w:ind w:left="851" w:right="851"/>
        <w:jc w:val="both"/>
        <w:rPr>
          <w:rFonts w:ascii="Palatino Linotype" w:eastAsia="Palatino Linotype" w:hAnsi="Palatino Linotype" w:cs="Palatino Linotype"/>
          <w:b/>
          <w:i/>
        </w:rPr>
      </w:pPr>
      <w:r w:rsidRPr="00EA4073">
        <w:rPr>
          <w:rFonts w:ascii="Palatino Linotype" w:eastAsia="Palatino Linotype" w:hAnsi="Palatino Linotype" w:cs="Palatino Linotype"/>
          <w:b/>
          <w:i/>
        </w:rPr>
        <w:t>INGRESOS</w:t>
      </w:r>
    </w:p>
    <w:p w:rsidR="00867660" w:rsidRPr="00EA4073" w:rsidRDefault="000E1A3E">
      <w:pPr>
        <w:tabs>
          <w:tab w:val="left" w:pos="7938"/>
        </w:tabs>
        <w:ind w:left="851" w:right="851"/>
        <w:jc w:val="both"/>
        <w:rPr>
          <w:rFonts w:ascii="Palatino Linotype" w:eastAsia="Palatino Linotype" w:hAnsi="Palatino Linotype" w:cs="Palatino Linotype"/>
          <w:b/>
          <w:i/>
        </w:rPr>
      </w:pPr>
      <w:r w:rsidRPr="00EA4073">
        <w:rPr>
          <w:rFonts w:ascii="Palatino Linotype" w:eastAsia="Palatino Linotype" w:hAnsi="Palatino Linotype" w:cs="Palatino Linotype"/>
          <w:b/>
          <w:i/>
        </w:rPr>
        <w:t>EFECTIVO</w:t>
      </w:r>
    </w:p>
    <w:p w:rsidR="00867660" w:rsidRPr="00EA4073" w:rsidRDefault="000E1A3E">
      <w:pPr>
        <w:tabs>
          <w:tab w:val="left" w:pos="7938"/>
        </w:tabs>
        <w:ind w:left="851" w:right="851"/>
        <w:jc w:val="both"/>
        <w:rPr>
          <w:rFonts w:ascii="Palatino Linotype" w:eastAsia="Palatino Linotype" w:hAnsi="Palatino Linotype" w:cs="Palatino Linotype"/>
          <w:b/>
          <w:i/>
        </w:rPr>
      </w:pPr>
      <w:r w:rsidRPr="00EA4073">
        <w:rPr>
          <w:rFonts w:ascii="Palatino Linotype" w:eastAsia="Palatino Linotype" w:hAnsi="Palatino Linotype" w:cs="Palatino Linotype"/>
          <w:b/>
          <w:i/>
        </w:rPr>
        <w:t>Son obligaciones a cargo del Tesorero:</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i/>
        </w:rPr>
        <w:t>…</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i/>
        </w:rPr>
        <w:t xml:space="preserve">2. Depositar íntegra y diariamente los ingresos recaudados de la entidad fiscalizable municipal, </w:t>
      </w:r>
      <w:r w:rsidRPr="00EA4073">
        <w:rPr>
          <w:rFonts w:ascii="Palatino Linotype" w:eastAsia="Palatino Linotype" w:hAnsi="Palatino Linotype" w:cs="Palatino Linotype"/>
          <w:b/>
          <w:i/>
          <w:u w:val="single"/>
        </w:rPr>
        <w:t>en la cuenta bancaria de recursos propios correspondiente</w:t>
      </w:r>
      <w:r w:rsidRPr="00EA4073">
        <w:rPr>
          <w:rFonts w:ascii="Palatino Linotype" w:eastAsia="Palatino Linotype" w:hAnsi="Palatino Linotype" w:cs="Palatino Linotype"/>
          <w:i/>
        </w:rPr>
        <w:t>, cuando se cuente con institución bancaria en la localidad. En caso de no contar con ésta, el depósito deberá realizarse a más tardar al tercer día hábil de aquel en que se recaudó.</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i/>
        </w:rPr>
        <w:t>…</w:t>
      </w:r>
    </w:p>
    <w:p w:rsidR="00867660" w:rsidRPr="00EA4073" w:rsidRDefault="000E1A3E">
      <w:pPr>
        <w:tabs>
          <w:tab w:val="left" w:pos="7938"/>
        </w:tabs>
        <w:ind w:left="851" w:right="851"/>
        <w:jc w:val="both"/>
        <w:rPr>
          <w:rFonts w:ascii="Palatino Linotype" w:eastAsia="Palatino Linotype" w:hAnsi="Palatino Linotype" w:cs="Palatino Linotype"/>
          <w:b/>
          <w:i/>
        </w:rPr>
      </w:pPr>
      <w:r w:rsidRPr="00EA4073">
        <w:rPr>
          <w:rFonts w:ascii="Palatino Linotype" w:eastAsia="Palatino Linotype" w:hAnsi="Palatino Linotype" w:cs="Palatino Linotype"/>
          <w:b/>
          <w:i/>
        </w:rPr>
        <w:t>BANCOS</w:t>
      </w:r>
    </w:p>
    <w:p w:rsidR="00867660" w:rsidRPr="00EA4073" w:rsidRDefault="000E1A3E">
      <w:pPr>
        <w:tabs>
          <w:tab w:val="left" w:pos="7938"/>
        </w:tabs>
        <w:ind w:left="851" w:right="851"/>
        <w:jc w:val="both"/>
        <w:rPr>
          <w:rFonts w:ascii="Palatino Linotype" w:eastAsia="Palatino Linotype" w:hAnsi="Palatino Linotype" w:cs="Palatino Linotype"/>
          <w:b/>
          <w:i/>
        </w:rPr>
      </w:pPr>
      <w:r w:rsidRPr="00EA4073">
        <w:rPr>
          <w:rFonts w:ascii="Palatino Linotype" w:eastAsia="Palatino Linotype" w:hAnsi="Palatino Linotype" w:cs="Palatino Linotype"/>
          <w:b/>
          <w:i/>
        </w:rPr>
        <w:lastRenderedPageBreak/>
        <w:t>…</w:t>
      </w:r>
    </w:p>
    <w:p w:rsidR="00867660" w:rsidRPr="00EA4073" w:rsidRDefault="000E1A3E">
      <w:pPr>
        <w:tabs>
          <w:tab w:val="left" w:pos="7938"/>
        </w:tabs>
        <w:ind w:left="851" w:right="851"/>
        <w:jc w:val="both"/>
        <w:rPr>
          <w:rFonts w:ascii="Palatino Linotype" w:eastAsia="Palatino Linotype" w:hAnsi="Palatino Linotype" w:cs="Palatino Linotype"/>
          <w:b/>
          <w:i/>
        </w:rPr>
      </w:pPr>
      <w:r w:rsidRPr="00EA4073">
        <w:rPr>
          <w:rFonts w:ascii="Palatino Linotype" w:eastAsia="Palatino Linotype" w:hAnsi="Palatino Linotype" w:cs="Palatino Linotype"/>
          <w:b/>
          <w:i/>
        </w:rPr>
        <w:t>Son obligaciones del Presidente y Tesorero:</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i/>
        </w:rPr>
        <w:t xml:space="preserve">23. </w:t>
      </w:r>
      <w:r w:rsidRPr="00EA4073">
        <w:rPr>
          <w:rFonts w:ascii="Palatino Linotype" w:eastAsia="Palatino Linotype" w:hAnsi="Palatino Linotype" w:cs="Palatino Linotype"/>
          <w:b/>
          <w:i/>
          <w:u w:val="single"/>
        </w:rPr>
        <w:t xml:space="preserve">El presidente y tesorero o equivalente deberán </w:t>
      </w:r>
      <w:proofErr w:type="spellStart"/>
      <w:r w:rsidRPr="00EA4073">
        <w:rPr>
          <w:rFonts w:ascii="Palatino Linotype" w:eastAsia="Palatino Linotype" w:hAnsi="Palatino Linotype" w:cs="Palatino Linotype"/>
          <w:b/>
          <w:i/>
          <w:u w:val="single"/>
        </w:rPr>
        <w:t>aperturar</w:t>
      </w:r>
      <w:proofErr w:type="spellEnd"/>
      <w:r w:rsidRPr="00EA4073">
        <w:rPr>
          <w:rFonts w:ascii="Palatino Linotype" w:eastAsia="Palatino Linotype" w:hAnsi="Palatino Linotype" w:cs="Palatino Linotype"/>
          <w:b/>
          <w:i/>
          <w:u w:val="single"/>
        </w:rPr>
        <w:t xml:space="preserve"> las cuentas bancarias</w:t>
      </w:r>
      <w:r w:rsidRPr="00EA4073">
        <w:rPr>
          <w:rFonts w:ascii="Palatino Linotype" w:eastAsia="Palatino Linotype" w:hAnsi="Palatino Linotype" w:cs="Palatino Linotype"/>
          <w:i/>
        </w:rPr>
        <w:t xml:space="preserve"> como personas jurídicas colectivas con fines no lucrativos o entes gubernamentales con firmas mancomunadas, a nombre de la entidad fiscalizable municipal, con el nombre del programa o recurso y el contrato respectivo por cada uno de los recursos federales, estatales o municipales.</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i/>
        </w:rPr>
        <w:t>…</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i/>
        </w:rPr>
        <w:t xml:space="preserve">24. Abstenerse de mezclar tanto </w:t>
      </w:r>
      <w:r w:rsidRPr="00EA4073">
        <w:rPr>
          <w:rFonts w:ascii="Palatino Linotype" w:eastAsia="Palatino Linotype" w:hAnsi="Palatino Linotype" w:cs="Palatino Linotype"/>
          <w:b/>
          <w:i/>
          <w:u w:val="single"/>
        </w:rPr>
        <w:t>en las cuentas bancarias</w:t>
      </w:r>
      <w:r w:rsidRPr="00EA4073">
        <w:rPr>
          <w:rFonts w:ascii="Palatino Linotype" w:eastAsia="Palatino Linotype" w:hAnsi="Palatino Linotype" w:cs="Palatino Linotype"/>
          <w:i/>
        </w:rPr>
        <w:t xml:space="preserve"> como en sus registros contables, los ingresos provenientes de recursos federales, estatales o municipales entre sí, </w:t>
      </w:r>
      <w:r w:rsidRPr="00EA4073">
        <w:rPr>
          <w:rFonts w:ascii="Palatino Linotype" w:eastAsia="Palatino Linotype" w:hAnsi="Palatino Linotype" w:cs="Palatino Linotype"/>
          <w:b/>
          <w:i/>
          <w:u w:val="single"/>
        </w:rPr>
        <w:t>incluyendo los de financiamiento a corto y largo plazo</w:t>
      </w:r>
      <w:r w:rsidRPr="00EA4073">
        <w:rPr>
          <w:rFonts w:ascii="Palatino Linotype" w:eastAsia="Palatino Linotype" w:hAnsi="Palatino Linotype" w:cs="Palatino Linotype"/>
          <w:i/>
        </w:rPr>
        <w:t xml:space="preserve"> y </w:t>
      </w:r>
      <w:r w:rsidRPr="00EA4073">
        <w:rPr>
          <w:rFonts w:ascii="Palatino Linotype" w:eastAsia="Palatino Linotype" w:hAnsi="Palatino Linotype" w:cs="Palatino Linotype"/>
          <w:b/>
          <w:i/>
          <w:u w:val="single"/>
        </w:rPr>
        <w:t>deberán contabilizar individualmente en una cuenta específica cada uno de ellos</w:t>
      </w:r>
      <w:r w:rsidRPr="00EA4073">
        <w:rPr>
          <w:rFonts w:ascii="Palatino Linotype" w:eastAsia="Palatino Linotype" w:hAnsi="Palatino Linotype" w:cs="Palatino Linotype"/>
          <w:i/>
        </w:rPr>
        <w:t>.</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i/>
        </w:rPr>
        <w:t>…</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b/>
          <w:i/>
        </w:rPr>
        <w:t>CONSTRUCCIONES EN PROCESO EN BIENES DEL DOMINIO PÚBLICO</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i/>
        </w:rPr>
        <w:t>…</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i/>
        </w:rPr>
        <w:t xml:space="preserve">51. Tratándose de la realización de obras que cuenten con aportaciones comunitarias, independientemente de que se ejecuten con recursos federales, estatales o municipales, el tesorero deberá llevar a cabo el seguimiento, ejecución y control de dichas aportaciones, </w:t>
      </w:r>
      <w:r w:rsidRPr="00EA4073">
        <w:rPr>
          <w:rFonts w:ascii="Palatino Linotype" w:eastAsia="Palatino Linotype" w:hAnsi="Palatino Linotype" w:cs="Palatino Linotype"/>
          <w:b/>
          <w:i/>
          <w:u w:val="single"/>
        </w:rPr>
        <w:t>debiendo depositarlas en la cuenta bancaria específica del fondo de donde provengan los recursos</w:t>
      </w:r>
      <w:r w:rsidRPr="00EA4073">
        <w:rPr>
          <w:rFonts w:ascii="Palatino Linotype" w:eastAsia="Palatino Linotype" w:hAnsi="Palatino Linotype" w:cs="Palatino Linotype"/>
          <w:i/>
        </w:rPr>
        <w:t>, así mismo, deberá elaborar el recibo oficial de ingresos correspondiente con copia al comité comunitario.</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i/>
        </w:rPr>
        <w:t>…</w:t>
      </w:r>
    </w:p>
    <w:p w:rsidR="00867660" w:rsidRPr="00EA4073" w:rsidRDefault="000E1A3E">
      <w:pPr>
        <w:tabs>
          <w:tab w:val="left" w:pos="7938"/>
        </w:tabs>
        <w:ind w:left="851" w:right="851"/>
        <w:jc w:val="both"/>
        <w:rPr>
          <w:rFonts w:ascii="Palatino Linotype" w:eastAsia="Palatino Linotype" w:hAnsi="Palatino Linotype" w:cs="Palatino Linotype"/>
          <w:b/>
          <w:i/>
        </w:rPr>
      </w:pPr>
      <w:r w:rsidRPr="00EA4073">
        <w:rPr>
          <w:rFonts w:ascii="Palatino Linotype" w:eastAsia="Palatino Linotype" w:hAnsi="Palatino Linotype" w:cs="Palatino Linotype"/>
          <w:b/>
          <w:i/>
        </w:rPr>
        <w:t>SUELDOS Y SALARIOS POR PAGAR</w:t>
      </w:r>
    </w:p>
    <w:p w:rsidR="00867660" w:rsidRPr="00EA4073" w:rsidRDefault="000E1A3E">
      <w:pPr>
        <w:tabs>
          <w:tab w:val="left" w:pos="7938"/>
        </w:tabs>
        <w:ind w:left="851" w:right="851"/>
        <w:jc w:val="both"/>
        <w:rPr>
          <w:rFonts w:ascii="Palatino Linotype" w:eastAsia="Palatino Linotype" w:hAnsi="Palatino Linotype" w:cs="Palatino Linotype"/>
          <w:b/>
          <w:i/>
        </w:rPr>
      </w:pPr>
      <w:r w:rsidRPr="00EA4073">
        <w:rPr>
          <w:rFonts w:ascii="Palatino Linotype" w:eastAsia="Palatino Linotype" w:hAnsi="Palatino Linotype" w:cs="Palatino Linotype"/>
          <w:b/>
          <w:i/>
        </w:rPr>
        <w:t>Son obligaciones del Tesorero:</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i/>
        </w:rPr>
        <w:t>…</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i/>
        </w:rPr>
        <w:t xml:space="preserve">66. Depositar los sueldos y salarios no cobrados en un plazo no mayor a cinco días hábiles siguientes a la fecha en que debió hacerse el pago, </w:t>
      </w:r>
      <w:r w:rsidRPr="00EA4073">
        <w:rPr>
          <w:rFonts w:ascii="Palatino Linotype" w:eastAsia="Palatino Linotype" w:hAnsi="Palatino Linotype" w:cs="Palatino Linotype"/>
          <w:b/>
          <w:i/>
          <w:u w:val="single"/>
        </w:rPr>
        <w:t>en la cuenta bancaria de la cual salió el recurso</w:t>
      </w:r>
      <w:r w:rsidRPr="00EA4073">
        <w:rPr>
          <w:rFonts w:ascii="Palatino Linotype" w:eastAsia="Palatino Linotype" w:hAnsi="Palatino Linotype" w:cs="Palatino Linotype"/>
          <w:i/>
        </w:rPr>
        <w:t>.”</w:t>
      </w:r>
    </w:p>
    <w:p w:rsidR="00867660" w:rsidRPr="00EA4073" w:rsidRDefault="00867660">
      <w:pPr>
        <w:tabs>
          <w:tab w:val="left" w:pos="7938"/>
        </w:tabs>
        <w:spacing w:line="360" w:lineRule="auto"/>
        <w:jc w:val="both"/>
        <w:rPr>
          <w:rFonts w:ascii="Palatino Linotype" w:eastAsia="Palatino Linotype" w:hAnsi="Palatino Linotype" w:cs="Palatino Linotype"/>
        </w:rPr>
      </w:pPr>
    </w:p>
    <w:p w:rsidR="00867660" w:rsidRPr="00EA4073" w:rsidRDefault="000E1A3E">
      <w:pPr>
        <w:tabs>
          <w:tab w:val="left" w:pos="7938"/>
        </w:tabs>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Como podemos apreciar en el punto 24 (veinticuatro) se le impone al Tesorero municipal abstenerse de mezclar tanto en las cuentas bancarias como en sus </w:t>
      </w:r>
      <w:r w:rsidRPr="00EA4073">
        <w:rPr>
          <w:rFonts w:ascii="Palatino Linotype" w:eastAsia="Palatino Linotype" w:hAnsi="Palatino Linotype" w:cs="Palatino Linotype"/>
        </w:rPr>
        <w:lastRenderedPageBreak/>
        <w:t>registros contables, los ingresos provenientes de recursos federales, estatales o municipales entre sí, incluyendo los de financiamiento a corto y largo plazo, estableciendo que dichos recursos se deberán contabilizar individualmente en una cuenta específica para cada uno de ellos, en el punto 51 (cincuenta y uno) se impone al tesorero llevar a cabo el seguimiento, ejecución y control de las aportaciones a las obras, debiendo depositarlas en la cuenta bancaria específica del fondo de donde provengan los recursos.</w:t>
      </w:r>
    </w:p>
    <w:p w:rsidR="00867660" w:rsidRPr="00EA4073" w:rsidRDefault="00867660">
      <w:pPr>
        <w:tabs>
          <w:tab w:val="left" w:pos="7938"/>
        </w:tabs>
        <w:spacing w:line="360" w:lineRule="auto"/>
        <w:jc w:val="both"/>
        <w:rPr>
          <w:rFonts w:ascii="Palatino Linotype" w:eastAsia="Palatino Linotype" w:hAnsi="Palatino Linotype" w:cs="Palatino Linotype"/>
        </w:rPr>
      </w:pPr>
    </w:p>
    <w:p w:rsidR="00867660" w:rsidRPr="00EA4073" w:rsidRDefault="000E1A3E">
      <w:pPr>
        <w:tabs>
          <w:tab w:val="left" w:pos="7938"/>
        </w:tabs>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Ahora bien, las conciliaciones bancarias se deberán remitir en el Informe Trimestral Municipal 2022 que se entrega al Órgano Superior de Fiscalización del Estado de México (OSFEM), cuya integración se detallará la información que se deberá entregar, la cual se divide en cuatro módulos, dentro de los cuales se observa el modulo uno correspondiente a la información contable y financiera, como se advierte en la siguiente imagen: </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i/>
        </w:rPr>
      </w:pPr>
      <w:r w:rsidRPr="00EA4073">
        <w:rPr>
          <w:noProof/>
          <w:lang w:val="es-MX"/>
        </w:rPr>
        <w:drawing>
          <wp:inline distT="0" distB="0" distL="0" distR="0">
            <wp:extent cx="5114516" cy="2092012"/>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41786" t="33411" r="26527" b="35478"/>
                    <a:stretch>
                      <a:fillRect/>
                    </a:stretch>
                  </pic:blipFill>
                  <pic:spPr>
                    <a:xfrm>
                      <a:off x="0" y="0"/>
                      <a:ext cx="5114516" cy="2092012"/>
                    </a:xfrm>
                    <a:prstGeom prst="rect">
                      <a:avLst/>
                    </a:prstGeom>
                    <a:ln/>
                  </pic:spPr>
                </pic:pic>
              </a:graphicData>
            </a:graphic>
          </wp:inline>
        </w:drawing>
      </w:r>
      <w:proofErr w:type="gramStart"/>
      <w:r w:rsidRPr="00EA4073">
        <w:rPr>
          <w:rFonts w:ascii="Palatino Linotype" w:eastAsia="Palatino Linotype" w:hAnsi="Palatino Linotype" w:cs="Palatino Linotype"/>
        </w:rPr>
        <w:t>cinco</w:t>
      </w:r>
      <w:proofErr w:type="gramEnd"/>
      <w:r w:rsidRPr="00EA4073">
        <w:rPr>
          <w:rFonts w:ascii="Palatino Linotype" w:eastAsia="Palatino Linotype" w:hAnsi="Palatino Linotype" w:cs="Palatino Linotype"/>
        </w:rPr>
        <w:t xml:space="preserve"> </w:t>
      </w:r>
    </w:p>
    <w:p w:rsidR="00867660" w:rsidRPr="00EA4073" w:rsidRDefault="000E1A3E">
      <w:pPr>
        <w:tabs>
          <w:tab w:val="left" w:pos="7938"/>
        </w:tabs>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En cuanto a la documentación que contienen el  </w:t>
      </w:r>
      <w:r w:rsidRPr="00EA4073">
        <w:rPr>
          <w:rFonts w:ascii="Palatino Linotype" w:eastAsia="Palatino Linotype" w:hAnsi="Palatino Linotype" w:cs="Palatino Linotype"/>
          <w:b/>
          <w:i/>
        </w:rPr>
        <w:t>Módulo 1.- Información Contable y financiera</w:t>
      </w:r>
      <w:r w:rsidRPr="00EA4073">
        <w:rPr>
          <w:rFonts w:ascii="Palatino Linotype" w:eastAsia="Palatino Linotype" w:hAnsi="Palatino Linotype" w:cs="Palatino Linotype"/>
        </w:rPr>
        <w:t xml:space="preserve">, los Lineamientos para la integración y entrega del Informe Trimestral </w:t>
      </w:r>
      <w:r w:rsidRPr="00EA4073">
        <w:rPr>
          <w:rFonts w:ascii="Palatino Linotype" w:eastAsia="Palatino Linotype" w:hAnsi="Palatino Linotype" w:cs="Palatino Linotype"/>
        </w:rPr>
        <w:lastRenderedPageBreak/>
        <w:t>Municipal 2022, describen cada punto que deberá completar cada módulo, respectivamente, dentro de las cuales se localiza lo referente a las conciliaciones bancarias, la cual se deberá integrar con lo siguiente:</w:t>
      </w:r>
    </w:p>
    <w:p w:rsidR="00867660" w:rsidRPr="00EA4073" w:rsidRDefault="00867660">
      <w:pPr>
        <w:tabs>
          <w:tab w:val="left" w:pos="7938"/>
        </w:tabs>
        <w:spacing w:line="360" w:lineRule="auto"/>
        <w:jc w:val="both"/>
        <w:rPr>
          <w:rFonts w:ascii="Palatino Linotype" w:eastAsia="Palatino Linotype" w:hAnsi="Palatino Linotype" w:cs="Palatino Linotype"/>
        </w:rPr>
      </w:pPr>
    </w:p>
    <w:p w:rsidR="00867660" w:rsidRPr="00EA4073" w:rsidRDefault="000E1A3E">
      <w:pPr>
        <w:tabs>
          <w:tab w:val="left" w:pos="7938"/>
        </w:tabs>
        <w:ind w:left="851" w:right="851"/>
        <w:jc w:val="center"/>
        <w:rPr>
          <w:rFonts w:ascii="Palatino Linotype" w:eastAsia="Palatino Linotype" w:hAnsi="Palatino Linotype" w:cs="Palatino Linotype"/>
          <w:b/>
          <w:i/>
        </w:rPr>
      </w:pPr>
      <w:r w:rsidRPr="00EA4073">
        <w:rPr>
          <w:rFonts w:ascii="Palatino Linotype" w:eastAsia="Palatino Linotype" w:hAnsi="Palatino Linotype" w:cs="Palatino Linotype"/>
          <w:b/>
          <w:i/>
        </w:rPr>
        <w:t xml:space="preserve"> “Contenido</w:t>
      </w:r>
    </w:p>
    <w:p w:rsidR="00867660" w:rsidRPr="00EA4073" w:rsidRDefault="000E1A3E">
      <w:pPr>
        <w:tabs>
          <w:tab w:val="left" w:pos="7938"/>
        </w:tabs>
        <w:ind w:left="851" w:right="851"/>
        <w:jc w:val="both"/>
        <w:rPr>
          <w:rFonts w:ascii="Palatino Linotype" w:eastAsia="Palatino Linotype" w:hAnsi="Palatino Linotype" w:cs="Palatino Linotype"/>
          <w:b/>
          <w:i/>
        </w:rPr>
      </w:pPr>
      <w:r w:rsidRPr="00EA4073">
        <w:rPr>
          <w:rFonts w:ascii="Palatino Linotype" w:eastAsia="Palatino Linotype" w:hAnsi="Palatino Linotype" w:cs="Palatino Linotype"/>
          <w:b/>
          <w:i/>
        </w:rPr>
        <w:t xml:space="preserve">Estructura de la Integración del Módulo 1 </w:t>
      </w:r>
    </w:p>
    <w:p w:rsidR="00867660" w:rsidRPr="00EA4073" w:rsidRDefault="000E1A3E">
      <w:pPr>
        <w:tabs>
          <w:tab w:val="left" w:pos="7938"/>
        </w:tabs>
        <w:ind w:left="851" w:right="851"/>
        <w:jc w:val="both"/>
        <w:rPr>
          <w:rFonts w:ascii="Palatino Linotype" w:eastAsia="Palatino Linotype" w:hAnsi="Palatino Linotype" w:cs="Palatino Linotype"/>
          <w:i/>
        </w:rPr>
      </w:pPr>
      <w:proofErr w:type="spellStart"/>
      <w:r w:rsidRPr="00EA4073">
        <w:rPr>
          <w:rFonts w:ascii="Palatino Linotype" w:eastAsia="Palatino Linotype" w:hAnsi="Palatino Linotype" w:cs="Palatino Linotype"/>
          <w:b/>
          <w:i/>
        </w:rPr>
        <w:t>Submódulo</w:t>
      </w:r>
      <w:proofErr w:type="spellEnd"/>
      <w:r w:rsidRPr="00EA4073">
        <w:rPr>
          <w:rFonts w:ascii="Palatino Linotype" w:eastAsia="Palatino Linotype" w:hAnsi="Palatino Linotype" w:cs="Palatino Linotype"/>
          <w:b/>
          <w:i/>
        </w:rPr>
        <w:t>-Estados Financieros</w:t>
      </w:r>
    </w:p>
    <w:p w:rsidR="00867660" w:rsidRPr="00EA4073" w:rsidRDefault="000E1A3E">
      <w:pPr>
        <w:tabs>
          <w:tab w:val="left" w:pos="7938"/>
        </w:tabs>
        <w:ind w:left="851" w:right="851"/>
        <w:jc w:val="both"/>
        <w:rPr>
          <w:rFonts w:ascii="Palatino Linotype" w:eastAsia="Palatino Linotype" w:hAnsi="Palatino Linotype" w:cs="Palatino Linotype"/>
          <w:i/>
        </w:rPr>
      </w:pPr>
      <w:r w:rsidRPr="00EA4073">
        <w:rPr>
          <w:rFonts w:ascii="Palatino Linotype" w:eastAsia="Palatino Linotype" w:hAnsi="Palatino Linotype" w:cs="Palatino Linotype"/>
          <w:i/>
        </w:rPr>
        <w:t>…</w:t>
      </w:r>
    </w:p>
    <w:p w:rsidR="00867660" w:rsidRPr="00EA4073" w:rsidRDefault="000E1A3E">
      <w:pPr>
        <w:tabs>
          <w:tab w:val="left" w:pos="7938"/>
        </w:tabs>
        <w:ind w:left="851" w:right="851"/>
        <w:jc w:val="both"/>
        <w:rPr>
          <w:rFonts w:ascii="Palatino Linotype" w:eastAsia="Palatino Linotype" w:hAnsi="Palatino Linotype" w:cs="Palatino Linotype"/>
          <w:b/>
          <w:i/>
        </w:rPr>
      </w:pPr>
      <w:r w:rsidRPr="00EA4073">
        <w:rPr>
          <w:rFonts w:ascii="Palatino Linotype" w:eastAsia="Palatino Linotype" w:hAnsi="Palatino Linotype" w:cs="Palatino Linotype"/>
          <w:b/>
          <w:i/>
        </w:rPr>
        <w:t xml:space="preserve">14. Conciliaciones Bancarias </w:t>
      </w:r>
    </w:p>
    <w:p w:rsidR="00867660" w:rsidRPr="00EA4073" w:rsidRDefault="000E1A3E">
      <w:pPr>
        <w:tabs>
          <w:tab w:val="left" w:pos="7938"/>
        </w:tabs>
        <w:ind w:left="851" w:right="851"/>
        <w:jc w:val="both"/>
        <w:rPr>
          <w:rFonts w:ascii="Palatino Linotype" w:eastAsia="Palatino Linotype" w:hAnsi="Palatino Linotype" w:cs="Palatino Linotype"/>
          <w:b/>
          <w:i/>
        </w:rPr>
      </w:pPr>
      <w:r w:rsidRPr="00EA4073">
        <w:rPr>
          <w:rFonts w:ascii="Palatino Linotype" w:eastAsia="Palatino Linotype" w:hAnsi="Palatino Linotype" w:cs="Palatino Linotype"/>
          <w:b/>
          <w:i/>
        </w:rPr>
        <w:t xml:space="preserve">14.1 Conciliaciones Bancarias: Carátula con el detalle de la relación de partidas en conciliación </w:t>
      </w:r>
    </w:p>
    <w:p w:rsidR="00867660" w:rsidRPr="00EA4073" w:rsidRDefault="000E1A3E">
      <w:pPr>
        <w:tabs>
          <w:tab w:val="left" w:pos="7938"/>
        </w:tabs>
        <w:ind w:left="1418" w:right="851"/>
        <w:jc w:val="both"/>
        <w:rPr>
          <w:rFonts w:ascii="Palatino Linotype" w:eastAsia="Palatino Linotype" w:hAnsi="Palatino Linotype" w:cs="Palatino Linotype"/>
          <w:b/>
          <w:i/>
        </w:rPr>
      </w:pPr>
      <w:r w:rsidRPr="00EA4073">
        <w:rPr>
          <w:rFonts w:ascii="Palatino Linotype" w:eastAsia="Palatino Linotype" w:hAnsi="Palatino Linotype" w:cs="Palatino Linotype"/>
          <w:b/>
          <w:i/>
        </w:rPr>
        <w:t xml:space="preserve">Instructivo de llenado de la Conciliación Bancaria: Carátula con el detalle de la relación de partidas en conciliación </w:t>
      </w:r>
    </w:p>
    <w:p w:rsidR="00867660" w:rsidRPr="00EA4073" w:rsidRDefault="000E1A3E">
      <w:pPr>
        <w:tabs>
          <w:tab w:val="left" w:pos="7938"/>
        </w:tabs>
        <w:ind w:left="851" w:right="851"/>
        <w:jc w:val="both"/>
        <w:rPr>
          <w:rFonts w:ascii="Palatino Linotype" w:eastAsia="Palatino Linotype" w:hAnsi="Palatino Linotype" w:cs="Palatino Linotype"/>
          <w:b/>
          <w:i/>
        </w:rPr>
      </w:pPr>
      <w:r w:rsidRPr="00EA4073">
        <w:rPr>
          <w:rFonts w:ascii="Palatino Linotype" w:eastAsia="Palatino Linotype" w:hAnsi="Palatino Linotype" w:cs="Palatino Linotype"/>
          <w:b/>
          <w:i/>
          <w:u w:val="single"/>
        </w:rPr>
        <w:t>14.2 Conciliaciones Bancarias: Estado de cuenta bancario</w:t>
      </w:r>
      <w:r w:rsidRPr="00EA4073">
        <w:rPr>
          <w:rFonts w:ascii="Palatino Linotype" w:eastAsia="Palatino Linotype" w:hAnsi="Palatino Linotype" w:cs="Palatino Linotype"/>
          <w:b/>
          <w:i/>
        </w:rPr>
        <w:t>”</w:t>
      </w:r>
    </w:p>
    <w:p w:rsidR="00867660" w:rsidRPr="00EA4073" w:rsidRDefault="00867660">
      <w:pPr>
        <w:tabs>
          <w:tab w:val="left" w:pos="7938"/>
        </w:tabs>
        <w:ind w:left="851" w:right="851"/>
        <w:jc w:val="both"/>
        <w:rPr>
          <w:rFonts w:ascii="Palatino Linotype" w:eastAsia="Palatino Linotype" w:hAnsi="Palatino Linotype" w:cs="Palatino Linotype"/>
          <w:i/>
        </w:rPr>
      </w:pPr>
    </w:p>
    <w:p w:rsidR="00867660" w:rsidRPr="00EA4073" w:rsidRDefault="000E1A3E">
      <w:pPr>
        <w:tabs>
          <w:tab w:val="left" w:pos="7938"/>
        </w:tabs>
        <w:spacing w:line="360" w:lineRule="auto"/>
        <w:jc w:val="both"/>
        <w:rPr>
          <w:rFonts w:ascii="Palatino Linotype" w:eastAsia="Palatino Linotype" w:hAnsi="Palatino Linotype" w:cs="Palatino Linotype"/>
        </w:rPr>
      </w:pPr>
      <w:r w:rsidRPr="00EA4073">
        <w:rPr>
          <w:noProof/>
          <w:lang w:val="es-MX"/>
        </w:rPr>
        <w:drawing>
          <wp:inline distT="0" distB="0" distL="0" distR="0">
            <wp:extent cx="5499100" cy="3892550"/>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40394" t="13277" r="27019" b="8266"/>
                    <a:stretch>
                      <a:fillRect/>
                    </a:stretch>
                  </pic:blipFill>
                  <pic:spPr>
                    <a:xfrm>
                      <a:off x="0" y="0"/>
                      <a:ext cx="5499100" cy="3892550"/>
                    </a:xfrm>
                    <a:prstGeom prst="rect">
                      <a:avLst/>
                    </a:prstGeom>
                    <a:ln/>
                  </pic:spPr>
                </pic:pic>
              </a:graphicData>
            </a:graphic>
          </wp:inline>
        </w:drawing>
      </w:r>
    </w:p>
    <w:p w:rsidR="00867660" w:rsidRPr="00EA4073" w:rsidRDefault="000E1A3E">
      <w:pPr>
        <w:tabs>
          <w:tab w:val="left" w:pos="7938"/>
        </w:tabs>
        <w:spacing w:line="360" w:lineRule="auto"/>
        <w:jc w:val="both"/>
        <w:rPr>
          <w:rFonts w:ascii="Palatino Linotype" w:eastAsia="Palatino Linotype" w:hAnsi="Palatino Linotype" w:cs="Palatino Linotype"/>
        </w:rPr>
      </w:pPr>
      <w:r w:rsidRPr="00EA4073">
        <w:rPr>
          <w:noProof/>
          <w:lang w:val="es-MX"/>
        </w:rPr>
        <w:lastRenderedPageBreak/>
        <w:drawing>
          <wp:inline distT="0" distB="0" distL="0" distR="0">
            <wp:extent cx="5588000" cy="5486400"/>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41073" t="22530" r="26341" b="14100"/>
                    <a:stretch>
                      <a:fillRect/>
                    </a:stretch>
                  </pic:blipFill>
                  <pic:spPr>
                    <a:xfrm>
                      <a:off x="0" y="0"/>
                      <a:ext cx="5588000" cy="5486400"/>
                    </a:xfrm>
                    <a:prstGeom prst="rect">
                      <a:avLst/>
                    </a:prstGeom>
                    <a:ln/>
                  </pic:spPr>
                </pic:pic>
              </a:graphicData>
            </a:graphic>
          </wp:inline>
        </w:drawing>
      </w:r>
    </w:p>
    <w:p w:rsidR="00867660" w:rsidRPr="00EA4073" w:rsidRDefault="00867660">
      <w:pPr>
        <w:tabs>
          <w:tab w:val="left" w:pos="7938"/>
        </w:tabs>
        <w:spacing w:line="360" w:lineRule="auto"/>
        <w:jc w:val="both"/>
        <w:rPr>
          <w:rFonts w:ascii="Palatino Linotype" w:eastAsia="Palatino Linotype" w:hAnsi="Palatino Linotype" w:cs="Palatino Linotype"/>
        </w:rPr>
      </w:pPr>
    </w:p>
    <w:p w:rsidR="00867660" w:rsidRPr="00EA4073" w:rsidRDefault="000E1A3E">
      <w:pPr>
        <w:spacing w:line="360" w:lineRule="auto"/>
        <w:ind w:right="51"/>
        <w:jc w:val="both"/>
        <w:rPr>
          <w:rFonts w:ascii="Palatino Linotype" w:eastAsia="Palatino Linotype" w:hAnsi="Palatino Linotype" w:cs="Palatino Linotype"/>
        </w:rPr>
      </w:pPr>
      <w:r w:rsidRPr="00EA4073">
        <w:rPr>
          <w:rFonts w:ascii="Palatino Linotype" w:eastAsia="Palatino Linotype" w:hAnsi="Palatino Linotype" w:cs="Palatino Linotype"/>
        </w:rPr>
        <w:t>Precisado lo anterior, en cuanto a las ligas electrónicas proporcionadas en respuesta como en informe justificado, las cuales corresponde a:</w:t>
      </w:r>
    </w:p>
    <w:p w:rsidR="00867660" w:rsidRPr="00EA4073" w:rsidRDefault="00867660">
      <w:pPr>
        <w:spacing w:line="360" w:lineRule="auto"/>
        <w:ind w:right="51"/>
        <w:jc w:val="both"/>
        <w:rPr>
          <w:rFonts w:ascii="Palatino Linotype" w:eastAsia="Palatino Linotype" w:hAnsi="Palatino Linotype" w:cs="Palatino Linotype"/>
        </w:rPr>
      </w:pPr>
    </w:p>
    <w:p w:rsidR="00867660" w:rsidRPr="00EA4073" w:rsidRDefault="000D672C">
      <w:pPr>
        <w:spacing w:line="360" w:lineRule="auto"/>
        <w:ind w:right="51"/>
        <w:jc w:val="both"/>
        <w:rPr>
          <w:rFonts w:ascii="Palatino Linotype" w:eastAsia="Palatino Linotype" w:hAnsi="Palatino Linotype" w:cs="Palatino Linotype"/>
        </w:rPr>
      </w:pPr>
      <w:hyperlink r:id="rId13">
        <w:r w:rsidR="000E1A3E" w:rsidRPr="00EA4073">
          <w:rPr>
            <w:rFonts w:ascii="Palatino Linotype" w:eastAsia="Palatino Linotype" w:hAnsi="Palatino Linotype" w:cs="Palatino Linotype"/>
            <w:u w:val="single"/>
          </w:rPr>
          <w:t>https://www.ipomex.org.mx/ipo3/lgt/indice/ZINACANTEPEC/art_92_xxvi.web</w:t>
        </w:r>
      </w:hyperlink>
    </w:p>
    <w:p w:rsidR="00867660" w:rsidRPr="00EA4073" w:rsidRDefault="00867660">
      <w:pPr>
        <w:spacing w:line="360" w:lineRule="auto"/>
        <w:ind w:right="51"/>
        <w:jc w:val="both"/>
      </w:pPr>
    </w:p>
    <w:p w:rsidR="00867660" w:rsidRPr="00EA4073" w:rsidRDefault="000E1A3E">
      <w:pPr>
        <w:spacing w:line="360" w:lineRule="auto"/>
        <w:ind w:right="51"/>
        <w:jc w:val="both"/>
        <w:rPr>
          <w:rFonts w:ascii="Palatino Linotype" w:eastAsia="Palatino Linotype" w:hAnsi="Palatino Linotype" w:cs="Palatino Linotype"/>
        </w:rPr>
      </w:pPr>
      <w:r w:rsidRPr="00EA4073">
        <w:rPr>
          <w:noProof/>
          <w:lang w:val="es-MX"/>
        </w:rPr>
        <w:lastRenderedPageBreak/>
        <w:drawing>
          <wp:inline distT="0" distB="0" distL="0" distR="0">
            <wp:extent cx="5256319" cy="7253193"/>
            <wp:effectExtent l="0" t="0" r="0" b="0"/>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18398" t="6395" r="19411" b="19462"/>
                    <a:stretch>
                      <a:fillRect/>
                    </a:stretch>
                  </pic:blipFill>
                  <pic:spPr>
                    <a:xfrm>
                      <a:off x="0" y="0"/>
                      <a:ext cx="5256319" cy="7253193"/>
                    </a:xfrm>
                    <a:prstGeom prst="rect">
                      <a:avLst/>
                    </a:prstGeom>
                    <a:ln/>
                  </pic:spPr>
                </pic:pic>
              </a:graphicData>
            </a:graphic>
          </wp:inline>
        </w:drawing>
      </w:r>
    </w:p>
    <w:p w:rsidR="00867660" w:rsidRPr="00EA4073" w:rsidRDefault="000D672C">
      <w:pPr>
        <w:spacing w:line="360" w:lineRule="auto"/>
        <w:ind w:right="51"/>
        <w:jc w:val="both"/>
        <w:rPr>
          <w:rFonts w:ascii="Palatino Linotype" w:eastAsia="Palatino Linotype" w:hAnsi="Palatino Linotype" w:cs="Palatino Linotype"/>
        </w:rPr>
      </w:pPr>
      <w:hyperlink r:id="rId15">
        <w:r w:rsidR="000E1A3E" w:rsidRPr="00EA4073">
          <w:rPr>
            <w:rFonts w:ascii="Palatino Linotype" w:eastAsia="Palatino Linotype" w:hAnsi="Palatino Linotype" w:cs="Palatino Linotype"/>
            <w:u w:val="single"/>
          </w:rPr>
          <w:t>https://www.zinacantepec.gob.mx/conac.php</w:t>
        </w:r>
      </w:hyperlink>
    </w:p>
    <w:p w:rsidR="00867660" w:rsidRPr="00EA4073" w:rsidRDefault="00867660">
      <w:pPr>
        <w:spacing w:line="360" w:lineRule="auto"/>
        <w:ind w:right="51"/>
        <w:jc w:val="both"/>
      </w:pPr>
    </w:p>
    <w:p w:rsidR="00867660" w:rsidRPr="00EA4073" w:rsidRDefault="000E1A3E">
      <w:pPr>
        <w:spacing w:line="360" w:lineRule="auto"/>
        <w:ind w:right="51"/>
        <w:jc w:val="both"/>
        <w:rPr>
          <w:rFonts w:ascii="Palatino Linotype" w:eastAsia="Palatino Linotype" w:hAnsi="Palatino Linotype" w:cs="Palatino Linotype"/>
        </w:rPr>
      </w:pPr>
      <w:r w:rsidRPr="00EA4073">
        <w:rPr>
          <w:noProof/>
          <w:lang w:val="es-MX"/>
        </w:rPr>
        <w:drawing>
          <wp:inline distT="0" distB="0" distL="0" distR="0">
            <wp:extent cx="5228256" cy="6541232"/>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13799" t="15817" r="37514" b="9328"/>
                    <a:stretch>
                      <a:fillRect/>
                    </a:stretch>
                  </pic:blipFill>
                  <pic:spPr>
                    <a:xfrm>
                      <a:off x="0" y="0"/>
                      <a:ext cx="5228256" cy="6541232"/>
                    </a:xfrm>
                    <a:prstGeom prst="rect">
                      <a:avLst/>
                    </a:prstGeom>
                    <a:ln/>
                  </pic:spPr>
                </pic:pic>
              </a:graphicData>
            </a:graphic>
          </wp:inline>
        </w:drawing>
      </w:r>
    </w:p>
    <w:p w:rsidR="00867660" w:rsidRPr="00EA4073" w:rsidRDefault="000E1A3E">
      <w:pPr>
        <w:spacing w:before="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lastRenderedPageBreak/>
        <w:t>La cuales corresponden, la primera a la deuda pública, la cual además de no tener relación con lo solicitado, no se advierte la información en la temporalidad solicitada por el particular y conjuntamente no se observan los productos generados por los mismos.</w:t>
      </w:r>
    </w:p>
    <w:p w:rsidR="00867660" w:rsidRPr="00EA4073" w:rsidRDefault="000E1A3E">
      <w:pPr>
        <w:spacing w:before="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La segunda, dirige a la página oficial del Ayuntamiento de Zinacantepec en la que en términos generales se observa la información contable, información presupuestaria, Ley de Disciplina Financiera y Transparencia, y difusión de la información financiera; sin que se advierta la información requerida por el particular.</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Por consiguiente, con dichas ligas electrónicas, no se colmó la pretensión de la parte </w:t>
      </w:r>
      <w:r w:rsidRPr="00EA4073">
        <w:rPr>
          <w:rFonts w:ascii="Palatino Linotype" w:eastAsia="Palatino Linotype" w:hAnsi="Palatino Linotype" w:cs="Palatino Linotype"/>
          <w:b/>
        </w:rPr>
        <w:t>RECURRENTE</w:t>
      </w:r>
      <w:r w:rsidRPr="00EA4073">
        <w:rPr>
          <w:rFonts w:ascii="Palatino Linotype" w:eastAsia="Palatino Linotype" w:hAnsi="Palatino Linotype" w:cs="Palatino Linotype"/>
        </w:rPr>
        <w:t xml:space="preserve"> en razón de que las mismas no arroja información requerida en concreto y además no se detalló el procedimiento específico de acceso a los datos solicitados.</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pBdr>
          <w:top w:val="nil"/>
          <w:left w:val="nil"/>
          <w:bottom w:val="nil"/>
          <w:right w:val="nil"/>
          <w:between w:val="nil"/>
        </w:pBd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867660" w:rsidRPr="00EA4073" w:rsidRDefault="00867660">
      <w:pPr>
        <w:pBdr>
          <w:top w:val="nil"/>
          <w:left w:val="nil"/>
          <w:bottom w:val="nil"/>
          <w:right w:val="nil"/>
          <w:between w:val="nil"/>
        </w:pBdr>
        <w:spacing w:line="360" w:lineRule="auto"/>
        <w:jc w:val="both"/>
        <w:rPr>
          <w:rFonts w:ascii="Palatino Linotype" w:eastAsia="Palatino Linotype" w:hAnsi="Palatino Linotype" w:cs="Palatino Linotype"/>
        </w:rPr>
      </w:pPr>
    </w:p>
    <w:p w:rsidR="00867660" w:rsidRPr="00EA4073" w:rsidRDefault="000E1A3E">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“Artículo 11.</w:t>
      </w:r>
      <w:r w:rsidRPr="00EA4073">
        <w:rPr>
          <w:rFonts w:ascii="Palatino Linotype" w:eastAsia="Palatino Linotype" w:hAnsi="Palatino Linotype" w:cs="Palatino Linotype"/>
          <w:i/>
          <w:sz w:val="22"/>
          <w:szCs w:val="22"/>
        </w:rPr>
        <w:t xml:space="preserve"> </w:t>
      </w:r>
      <w:r w:rsidRPr="00EA4073">
        <w:rPr>
          <w:rFonts w:ascii="Palatino Linotype" w:eastAsia="Palatino Linotype" w:hAnsi="Palatino Linotype" w:cs="Palatino Linotype"/>
          <w:b/>
          <w:i/>
          <w:sz w:val="22"/>
          <w:szCs w:val="22"/>
          <w:u w:val="single"/>
        </w:rPr>
        <w:t xml:space="preserve">En la generación, publicación y entrega de información se deberá garantizar que ésta sea accesible, actualizada, completa, congruente, confiable, </w:t>
      </w:r>
      <w:r w:rsidRPr="00EA4073">
        <w:rPr>
          <w:rFonts w:ascii="Palatino Linotype" w:eastAsia="Palatino Linotype" w:hAnsi="Palatino Linotype" w:cs="Palatino Linotype"/>
          <w:b/>
          <w:i/>
          <w:sz w:val="22"/>
          <w:szCs w:val="22"/>
          <w:u w:val="single"/>
        </w:rPr>
        <w:lastRenderedPageBreak/>
        <w:t>verificable, veraz, integral, oportuna y expedita</w:t>
      </w:r>
      <w:r w:rsidRPr="00EA4073">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867660" w:rsidRPr="00EA4073" w:rsidRDefault="000E1A3E">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w:t>
      </w:r>
    </w:p>
    <w:p w:rsidR="00867660" w:rsidRPr="00EA4073" w:rsidRDefault="00867660">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rsidR="00867660" w:rsidRPr="00EA4073" w:rsidRDefault="000E1A3E">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EA4073">
        <w:rPr>
          <w:rFonts w:ascii="Palatino Linotype" w:eastAsia="Palatino Linotype" w:hAnsi="Palatino Linotype" w:cs="Palatino Linotype"/>
          <w:b/>
          <w:i/>
          <w:sz w:val="22"/>
          <w:szCs w:val="22"/>
        </w:rPr>
        <w:t>Artículo 161.</w:t>
      </w:r>
      <w:r w:rsidRPr="00EA4073">
        <w:rPr>
          <w:rFonts w:ascii="Palatino Linotype" w:eastAsia="Palatino Linotype" w:hAnsi="Palatino Linotype" w:cs="Palatino Linotype"/>
          <w:i/>
          <w:sz w:val="22"/>
          <w:szCs w:val="22"/>
        </w:rPr>
        <w:t xml:space="preserve"> </w:t>
      </w:r>
      <w:r w:rsidRPr="00EA4073">
        <w:rPr>
          <w:rFonts w:ascii="Palatino Linotype" w:eastAsia="Palatino Linotype" w:hAnsi="Palatino Linotype" w:cs="Palatino Linotype"/>
          <w:b/>
          <w:i/>
          <w:sz w:val="22"/>
          <w:szCs w:val="22"/>
          <w:u w:val="single"/>
        </w:rPr>
        <w:t>Cuando la información requerida por el solicitante ya esté disponible al público</w:t>
      </w:r>
      <w:r w:rsidRPr="00EA4073">
        <w:rPr>
          <w:rFonts w:ascii="Palatino Linotype" w:eastAsia="Palatino Linotype" w:hAnsi="Palatino Linotype" w:cs="Palatino Linotype"/>
          <w:i/>
          <w:sz w:val="22"/>
          <w:szCs w:val="22"/>
        </w:rPr>
        <w:t xml:space="preserve"> en medios impresos, tales como libros, compendios, trípticos, registros públicos, </w:t>
      </w:r>
      <w:r w:rsidRPr="00EA4073">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867660" w:rsidRPr="00EA4073" w:rsidRDefault="00867660">
      <w:pPr>
        <w:pBdr>
          <w:top w:val="nil"/>
          <w:left w:val="nil"/>
          <w:bottom w:val="nil"/>
          <w:right w:val="nil"/>
          <w:between w:val="nil"/>
        </w:pBdr>
        <w:spacing w:line="360" w:lineRule="auto"/>
        <w:jc w:val="both"/>
        <w:rPr>
          <w:rFonts w:ascii="Palatino Linotype" w:eastAsia="Palatino Linotype" w:hAnsi="Palatino Linotype" w:cs="Palatino Linotype"/>
        </w:rPr>
      </w:pPr>
    </w:p>
    <w:p w:rsidR="00867660" w:rsidRPr="00EA4073" w:rsidRDefault="000E1A3E">
      <w:pPr>
        <w:pBdr>
          <w:top w:val="nil"/>
          <w:left w:val="nil"/>
          <w:bottom w:val="nil"/>
          <w:right w:val="nil"/>
          <w:between w:val="nil"/>
        </w:pBd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867660" w:rsidRPr="00EA4073" w:rsidRDefault="00867660">
      <w:pPr>
        <w:pBdr>
          <w:top w:val="nil"/>
          <w:left w:val="nil"/>
          <w:bottom w:val="nil"/>
          <w:right w:val="nil"/>
          <w:between w:val="nil"/>
        </w:pBdr>
        <w:spacing w:line="360" w:lineRule="auto"/>
        <w:jc w:val="both"/>
        <w:rPr>
          <w:rFonts w:ascii="Palatino Linotype" w:eastAsia="Palatino Linotype" w:hAnsi="Palatino Linotype" w:cs="Palatino Linotype"/>
        </w:rPr>
      </w:pPr>
    </w:p>
    <w:p w:rsidR="00867660" w:rsidRPr="00EA4073" w:rsidRDefault="000E1A3E">
      <w:pPr>
        <w:numPr>
          <w:ilvl w:val="0"/>
          <w:numId w:val="4"/>
        </w:numPr>
        <w:pBdr>
          <w:top w:val="nil"/>
          <w:left w:val="nil"/>
          <w:bottom w:val="nil"/>
          <w:right w:val="nil"/>
          <w:between w:val="nil"/>
        </w:pBdr>
        <w:ind w:left="1134" w:hanging="567"/>
        <w:jc w:val="both"/>
        <w:rPr>
          <w:rFonts w:ascii="Palatino Linotype" w:eastAsia="Palatino Linotype" w:hAnsi="Palatino Linotype" w:cs="Palatino Linotype"/>
        </w:rPr>
      </w:pPr>
      <w:r w:rsidRPr="00EA4073">
        <w:rPr>
          <w:rFonts w:ascii="Palatino Linotype" w:eastAsia="Palatino Linotype" w:hAnsi="Palatino Linotype" w:cs="Palatino Linotype"/>
        </w:rPr>
        <w:t>La fuente</w:t>
      </w:r>
    </w:p>
    <w:p w:rsidR="00867660" w:rsidRPr="00EA4073" w:rsidRDefault="000E1A3E">
      <w:pPr>
        <w:numPr>
          <w:ilvl w:val="0"/>
          <w:numId w:val="4"/>
        </w:numPr>
        <w:pBdr>
          <w:top w:val="nil"/>
          <w:left w:val="nil"/>
          <w:bottom w:val="nil"/>
          <w:right w:val="nil"/>
          <w:between w:val="nil"/>
        </w:pBdr>
        <w:ind w:left="1134" w:hanging="567"/>
        <w:jc w:val="both"/>
        <w:rPr>
          <w:rFonts w:ascii="Palatino Linotype" w:eastAsia="Palatino Linotype" w:hAnsi="Palatino Linotype" w:cs="Palatino Linotype"/>
        </w:rPr>
      </w:pPr>
      <w:r w:rsidRPr="00EA4073">
        <w:rPr>
          <w:rFonts w:ascii="Palatino Linotype" w:eastAsia="Palatino Linotype" w:hAnsi="Palatino Linotype" w:cs="Palatino Linotype"/>
        </w:rPr>
        <w:t>El lugar y</w:t>
      </w:r>
    </w:p>
    <w:p w:rsidR="00867660" w:rsidRPr="00EA4073" w:rsidRDefault="000E1A3E">
      <w:pPr>
        <w:numPr>
          <w:ilvl w:val="0"/>
          <w:numId w:val="4"/>
        </w:numPr>
        <w:pBdr>
          <w:top w:val="nil"/>
          <w:left w:val="nil"/>
          <w:bottom w:val="nil"/>
          <w:right w:val="nil"/>
          <w:between w:val="nil"/>
        </w:pBdr>
        <w:ind w:left="1134" w:hanging="567"/>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La forma </w:t>
      </w:r>
    </w:p>
    <w:p w:rsidR="00867660" w:rsidRPr="00EA4073" w:rsidRDefault="00867660">
      <w:pPr>
        <w:pBdr>
          <w:top w:val="nil"/>
          <w:left w:val="nil"/>
          <w:bottom w:val="nil"/>
          <w:right w:val="nil"/>
          <w:between w:val="nil"/>
        </w:pBdr>
        <w:spacing w:line="360" w:lineRule="auto"/>
        <w:jc w:val="both"/>
        <w:rPr>
          <w:rFonts w:ascii="Palatino Linotype" w:eastAsia="Palatino Linotype" w:hAnsi="Palatino Linotype" w:cs="Palatino Linotype"/>
        </w:rPr>
      </w:pPr>
    </w:p>
    <w:p w:rsidR="00867660" w:rsidRPr="00EA4073" w:rsidRDefault="000E1A3E">
      <w:pPr>
        <w:pBdr>
          <w:top w:val="nil"/>
          <w:left w:val="nil"/>
          <w:bottom w:val="nil"/>
          <w:right w:val="nil"/>
          <w:between w:val="nil"/>
        </w:pBd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Asimismo, se establece que la fuente de la información deberá ser:</w:t>
      </w:r>
    </w:p>
    <w:p w:rsidR="00867660" w:rsidRPr="00EA4073" w:rsidRDefault="00867660">
      <w:pPr>
        <w:pBdr>
          <w:top w:val="nil"/>
          <w:left w:val="nil"/>
          <w:bottom w:val="nil"/>
          <w:right w:val="nil"/>
          <w:between w:val="nil"/>
        </w:pBdr>
        <w:spacing w:line="360" w:lineRule="auto"/>
        <w:jc w:val="both"/>
        <w:rPr>
          <w:rFonts w:ascii="Palatino Linotype" w:eastAsia="Palatino Linotype" w:hAnsi="Palatino Linotype" w:cs="Palatino Linotype"/>
        </w:rPr>
      </w:pPr>
    </w:p>
    <w:p w:rsidR="00867660" w:rsidRPr="00EA4073" w:rsidRDefault="000E1A3E">
      <w:pPr>
        <w:numPr>
          <w:ilvl w:val="0"/>
          <w:numId w:val="5"/>
        </w:numPr>
        <w:pBdr>
          <w:top w:val="nil"/>
          <w:left w:val="nil"/>
          <w:bottom w:val="nil"/>
          <w:right w:val="nil"/>
          <w:between w:val="nil"/>
        </w:pBdr>
        <w:ind w:left="1134" w:hanging="556"/>
        <w:jc w:val="both"/>
        <w:rPr>
          <w:rFonts w:ascii="Palatino Linotype" w:eastAsia="Palatino Linotype" w:hAnsi="Palatino Linotype" w:cs="Palatino Linotype"/>
        </w:rPr>
      </w:pPr>
      <w:r w:rsidRPr="00EA4073">
        <w:rPr>
          <w:rFonts w:ascii="Palatino Linotype" w:eastAsia="Palatino Linotype" w:hAnsi="Palatino Linotype" w:cs="Palatino Linotype"/>
        </w:rPr>
        <w:t>Precisa</w:t>
      </w:r>
    </w:p>
    <w:p w:rsidR="00867660" w:rsidRPr="00EA4073" w:rsidRDefault="000E1A3E">
      <w:pPr>
        <w:numPr>
          <w:ilvl w:val="0"/>
          <w:numId w:val="5"/>
        </w:numPr>
        <w:pBdr>
          <w:top w:val="nil"/>
          <w:left w:val="nil"/>
          <w:bottom w:val="nil"/>
          <w:right w:val="nil"/>
          <w:between w:val="nil"/>
        </w:pBdr>
        <w:ind w:left="1134" w:hanging="556"/>
        <w:jc w:val="both"/>
        <w:rPr>
          <w:rFonts w:ascii="Palatino Linotype" w:eastAsia="Palatino Linotype" w:hAnsi="Palatino Linotype" w:cs="Palatino Linotype"/>
        </w:rPr>
      </w:pPr>
      <w:r w:rsidRPr="00EA4073">
        <w:rPr>
          <w:rFonts w:ascii="Palatino Linotype" w:eastAsia="Palatino Linotype" w:hAnsi="Palatino Linotype" w:cs="Palatino Linotype"/>
        </w:rPr>
        <w:t>Concreta</w:t>
      </w:r>
    </w:p>
    <w:p w:rsidR="00867660" w:rsidRPr="00EA4073" w:rsidRDefault="000E1A3E">
      <w:pPr>
        <w:numPr>
          <w:ilvl w:val="0"/>
          <w:numId w:val="5"/>
        </w:numPr>
        <w:pBdr>
          <w:top w:val="nil"/>
          <w:left w:val="nil"/>
          <w:bottom w:val="nil"/>
          <w:right w:val="nil"/>
          <w:between w:val="nil"/>
        </w:pBdr>
        <w:ind w:left="1134" w:hanging="556"/>
        <w:jc w:val="both"/>
        <w:rPr>
          <w:rFonts w:ascii="Palatino Linotype" w:eastAsia="Palatino Linotype" w:hAnsi="Palatino Linotype" w:cs="Palatino Linotype"/>
        </w:rPr>
      </w:pPr>
      <w:r w:rsidRPr="00EA4073">
        <w:rPr>
          <w:rFonts w:ascii="Palatino Linotype" w:eastAsia="Palatino Linotype" w:hAnsi="Palatino Linotype" w:cs="Palatino Linotype"/>
          <w:b/>
        </w:rPr>
        <w:lastRenderedPageBreak/>
        <w:t>Y no debe implicar que el solicitante realice una búsqueda en toda la información que se encuentre disponible</w:t>
      </w:r>
      <w:r w:rsidRPr="00EA4073">
        <w:rPr>
          <w:rFonts w:ascii="Palatino Linotype" w:eastAsia="Palatino Linotype" w:hAnsi="Palatino Linotype" w:cs="Palatino Linotype"/>
        </w:rPr>
        <w:t>.</w:t>
      </w:r>
    </w:p>
    <w:p w:rsidR="00867660" w:rsidRPr="00EA4073" w:rsidRDefault="00867660">
      <w:pPr>
        <w:pBdr>
          <w:top w:val="nil"/>
          <w:left w:val="nil"/>
          <w:bottom w:val="nil"/>
          <w:right w:val="nil"/>
          <w:between w:val="nil"/>
        </w:pBdr>
        <w:spacing w:line="360" w:lineRule="auto"/>
        <w:jc w:val="both"/>
        <w:rPr>
          <w:rFonts w:ascii="Palatino Linotype" w:eastAsia="Palatino Linotype" w:hAnsi="Palatino Linotype" w:cs="Palatino Linotype"/>
        </w:rPr>
      </w:pPr>
    </w:p>
    <w:p w:rsidR="00867660" w:rsidRPr="00EA4073" w:rsidRDefault="000E1A3E">
      <w:pPr>
        <w:pBdr>
          <w:top w:val="nil"/>
          <w:left w:val="nil"/>
          <w:bottom w:val="nil"/>
          <w:right w:val="nil"/>
          <w:between w:val="nil"/>
        </w:pBd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Imperativos legales que establecen el procedimiento que debe seguir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se limitó a indicar la dirección electrónica de su página oficial y de su IPOMEX, sin que señalara puntualmente el procedimiento que el particular debe seguir para acceder 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867660" w:rsidRPr="00EA4073" w:rsidRDefault="00867660">
      <w:pPr>
        <w:pBdr>
          <w:top w:val="nil"/>
          <w:left w:val="nil"/>
          <w:bottom w:val="nil"/>
          <w:right w:val="nil"/>
          <w:between w:val="nil"/>
        </w:pBdr>
        <w:spacing w:line="360" w:lineRule="auto"/>
        <w:jc w:val="both"/>
        <w:rPr>
          <w:rFonts w:ascii="Palatino Linotype" w:eastAsia="Palatino Linotype" w:hAnsi="Palatino Linotype" w:cs="Palatino Linotype"/>
        </w:rPr>
      </w:pPr>
    </w:p>
    <w:p w:rsidR="00867660" w:rsidRPr="00EA4073" w:rsidRDefault="000E1A3E">
      <w:pPr>
        <w:pBdr>
          <w:top w:val="nil"/>
          <w:left w:val="nil"/>
          <w:bottom w:val="nil"/>
          <w:right w:val="nil"/>
          <w:between w:val="nil"/>
        </w:pBd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De tal forma que este Instituto estima que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incumplió lo establecido en la Ley de la Materia, por lo cual es procedente revocar la respuesta a la solicitud del particular y ordenar la entrega de la información requerida.</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En otro orden de ideas, regresando con la respuesta como informe justificado, de una revisión al presente expediente electrónico en el SAIMEX, si bien es cierto que de la respuesta se advierte que el titular de la Unidad de Transparencia señaló que la solicitud se procedió a turnarla al Servidor Público Habilitado poseedor de la información, mismo que indicó que le informó que lo solicitado se encuentra dentro del Sistema de Información Pública de Oficio Mexiquense (IPOMEX), sin embargo, </w:t>
      </w:r>
      <w:r w:rsidRPr="00EA4073">
        <w:rPr>
          <w:rFonts w:ascii="Palatino Linotype" w:eastAsia="Palatino Linotype" w:hAnsi="Palatino Linotype" w:cs="Palatino Linotype"/>
        </w:rPr>
        <w:lastRenderedPageBreak/>
        <w:t xml:space="preserve">en primer lugar dentro de las ligas electrónicas remitidas en respuesta como informe justificado no se advierte de manera clara, precisa y concreta, la información requerida por el particular dentro de la temporalidad solicita, lo que implica que la parte solicitante haga una búsqueda de toda la información que yace en los enlaces electrónicos, como así se precisó en el punto anterior. </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En segundo lugar, no se advierte alguna constancia que la solicitud de haya turnado a la Tesorería Municipal, con lo cual se acredita que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867660" w:rsidRPr="00EA4073" w:rsidRDefault="000E1A3E">
      <w:pPr>
        <w:spacing w:before="240" w:after="240"/>
        <w:ind w:left="709" w:right="902"/>
        <w:jc w:val="both"/>
        <w:rPr>
          <w:rFonts w:ascii="Palatino Linotype" w:eastAsia="Palatino Linotype" w:hAnsi="Palatino Linotype" w:cs="Palatino Linotype"/>
          <w:i/>
          <w:sz w:val="20"/>
          <w:szCs w:val="20"/>
        </w:rPr>
      </w:pPr>
      <w:r w:rsidRPr="00EA4073">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867660" w:rsidRPr="00EA4073" w:rsidRDefault="000E1A3E">
      <w:pPr>
        <w:shd w:val="clear" w:color="auto" w:fill="FFFFFF"/>
        <w:spacing w:before="240" w:after="240" w:line="360" w:lineRule="auto"/>
        <w:jc w:val="both"/>
      </w:pPr>
      <w:r w:rsidRPr="00EA4073">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rsidR="00867660" w:rsidRPr="00EA4073" w:rsidRDefault="000E1A3E">
      <w:pPr>
        <w:shd w:val="clear" w:color="auto" w:fill="FFFFFF"/>
        <w:spacing w:after="240" w:line="276" w:lineRule="auto"/>
        <w:ind w:left="993" w:right="1041"/>
        <w:jc w:val="both"/>
      </w:pPr>
      <w:r w:rsidRPr="00EA4073">
        <w:rPr>
          <w:rFonts w:ascii="Palatino Linotype" w:eastAsia="Palatino Linotype" w:hAnsi="Palatino Linotype" w:cs="Palatino Linotype"/>
          <w:b/>
          <w:i/>
          <w:sz w:val="22"/>
          <w:szCs w:val="22"/>
        </w:rPr>
        <w:lastRenderedPageBreak/>
        <w:t>“Artículo 162.</w:t>
      </w:r>
      <w:r w:rsidRPr="00EA4073">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00867660" w:rsidRPr="00EA4073" w:rsidRDefault="000E1A3E">
      <w:pPr>
        <w:shd w:val="clear" w:color="auto" w:fill="FFFFFF"/>
        <w:spacing w:line="360" w:lineRule="auto"/>
        <w:jc w:val="both"/>
      </w:pPr>
      <w:r w:rsidRPr="00EA4073">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EA4073">
        <w:rPr>
          <w:rFonts w:ascii="Palatino Linotype" w:eastAsia="Palatino Linotype" w:hAnsi="Palatino Linotype" w:cs="Palatino Linotype"/>
          <w:vertAlign w:val="superscript"/>
        </w:rPr>
        <w:footnoteReference w:id="1"/>
      </w:r>
      <w:r w:rsidRPr="00EA4073">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867660" w:rsidRPr="00EA4073" w:rsidRDefault="00867660">
      <w:pPr>
        <w:shd w:val="clear" w:color="auto" w:fill="FFFFFF"/>
        <w:ind w:left="993" w:right="1041"/>
        <w:jc w:val="both"/>
        <w:rPr>
          <w:rFonts w:ascii="Palatino Linotype" w:eastAsia="Palatino Linotype" w:hAnsi="Palatino Linotype" w:cs="Palatino Linotype"/>
          <w:b/>
          <w:i/>
          <w:sz w:val="22"/>
          <w:szCs w:val="22"/>
        </w:rPr>
      </w:pPr>
    </w:p>
    <w:p w:rsidR="00867660" w:rsidRPr="00EA4073" w:rsidRDefault="000E1A3E">
      <w:pPr>
        <w:shd w:val="clear" w:color="auto" w:fill="FFFFFF"/>
        <w:ind w:left="993" w:right="1041"/>
        <w:jc w:val="both"/>
      </w:pPr>
      <w:r w:rsidRPr="00EA4073">
        <w:rPr>
          <w:rFonts w:ascii="Palatino Linotype" w:eastAsia="Palatino Linotype" w:hAnsi="Palatino Linotype" w:cs="Palatino Linotype"/>
          <w:b/>
          <w:i/>
          <w:sz w:val="22"/>
          <w:szCs w:val="22"/>
        </w:rPr>
        <w:t>“Artículo 160. </w:t>
      </w:r>
      <w:r w:rsidRPr="00EA4073">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67660" w:rsidRPr="00EA4073" w:rsidRDefault="000E1A3E">
      <w:pPr>
        <w:shd w:val="clear" w:color="auto" w:fill="FFFFFF"/>
        <w:ind w:left="993" w:right="1041"/>
        <w:jc w:val="both"/>
      </w:pPr>
      <w:r w:rsidRPr="00EA4073">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867660" w:rsidRPr="00EA4073" w:rsidRDefault="000E1A3E">
      <w:pPr>
        <w:shd w:val="clear" w:color="auto" w:fill="FFFFFF"/>
        <w:ind w:left="993" w:right="1041"/>
        <w:jc w:val="both"/>
      </w:pPr>
      <w:r w:rsidRPr="00EA4073">
        <w:rPr>
          <w:rFonts w:ascii="Palatino Linotype" w:eastAsia="Palatino Linotype" w:hAnsi="Palatino Linotype" w:cs="Palatino Linotype"/>
          <w:b/>
          <w:i/>
          <w:sz w:val="22"/>
          <w:szCs w:val="22"/>
        </w:rPr>
        <w:lastRenderedPageBreak/>
        <w:t>Artículo 163.</w:t>
      </w:r>
      <w:r w:rsidRPr="00EA4073">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rsidR="00867660" w:rsidRPr="00EA4073" w:rsidRDefault="000E1A3E">
      <w:pPr>
        <w:shd w:val="clear" w:color="auto" w:fill="FFFFFF"/>
        <w:ind w:left="993" w:right="1041"/>
        <w:jc w:val="both"/>
      </w:pPr>
      <w:r w:rsidRPr="00EA4073">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867660" w:rsidRPr="00EA4073" w:rsidRDefault="000E1A3E">
      <w:pPr>
        <w:shd w:val="clear" w:color="auto" w:fill="FFFFFF"/>
        <w:ind w:left="993" w:right="1041"/>
        <w:jc w:val="both"/>
      </w:pPr>
      <w:r w:rsidRPr="00EA4073">
        <w:rPr>
          <w:rFonts w:ascii="Palatino Linotype" w:eastAsia="Palatino Linotype" w:hAnsi="Palatino Linotype" w:cs="Palatino Linotype"/>
          <w:b/>
          <w:i/>
          <w:sz w:val="22"/>
          <w:szCs w:val="22"/>
        </w:rPr>
        <w:t>Artículo 165.</w:t>
      </w:r>
      <w:r w:rsidRPr="00EA4073">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rsidR="00867660" w:rsidRPr="00EA4073" w:rsidRDefault="000E1A3E">
      <w:pPr>
        <w:shd w:val="clear" w:color="auto" w:fill="FFFFFF"/>
        <w:ind w:left="993" w:right="1041"/>
        <w:jc w:val="both"/>
      </w:pPr>
      <w:r w:rsidRPr="00EA4073">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867660" w:rsidRPr="00EA4073" w:rsidRDefault="000E1A3E">
      <w:pPr>
        <w:shd w:val="clear" w:color="auto" w:fill="FFFFFF"/>
        <w:spacing w:after="240"/>
        <w:ind w:left="993" w:right="1041"/>
        <w:jc w:val="both"/>
      </w:pPr>
      <w:r w:rsidRPr="00EA4073">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rsidR="00867660" w:rsidRPr="00EA4073" w:rsidRDefault="000E1A3E">
      <w:pPr>
        <w:shd w:val="clear" w:color="auto" w:fill="FFFFFF"/>
        <w:spacing w:before="240" w:after="240" w:line="360" w:lineRule="auto"/>
        <w:jc w:val="both"/>
      </w:pPr>
      <w:r w:rsidRPr="00EA4073">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EA4073">
        <w:rPr>
          <w:rFonts w:ascii="Palatino Linotype" w:eastAsia="Palatino Linotype" w:hAnsi="Palatino Linotype" w:cs="Palatino Linotype"/>
          <w:vertAlign w:val="superscript"/>
        </w:rPr>
        <w:footnoteReference w:id="2"/>
      </w:r>
      <w:r w:rsidRPr="00EA4073">
        <w:rPr>
          <w:rFonts w:ascii="Palatino Linotype" w:eastAsia="Palatino Linotype" w:hAnsi="Palatino Linotype" w:cs="Palatino Linotype"/>
        </w:rPr>
        <w:t xml:space="preserve">, situación que no se advierte en el presente caso, toda vez que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a través de su Unidad de Transparencia no ha brindado el acceso a la información solicitada por el particular, por ende para tener por satisfecho el derecho humano en mérito, será necesario que la Unidad de Transparencia en estricto apego al procedimiento descrito realice una búsqueda </w:t>
      </w:r>
      <w:r w:rsidRPr="00EA4073">
        <w:rPr>
          <w:rFonts w:ascii="Palatino Linotype" w:eastAsia="Palatino Linotype" w:hAnsi="Palatino Linotype" w:cs="Palatino Linotype"/>
        </w:rPr>
        <w:lastRenderedPageBreak/>
        <w:t>exhaustiva y razonable de la información, turnando a las áreas competentes la solicitud con el objetivo de brindar contestación al requerimiento.</w:t>
      </w:r>
    </w:p>
    <w:p w:rsidR="00867660" w:rsidRPr="00EA4073" w:rsidRDefault="000E1A3E">
      <w:pPr>
        <w:spacing w:line="360" w:lineRule="auto"/>
        <w:ind w:right="51"/>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En mérito de lo anterior, se colige que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 como pudieran ser de manera enunciativa mas no limitada, la Tesorería Municipal en términos de sus atribuciones señaladas en párrafos anteriores. </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Razones por las cuales lo procedente es ordenar la búsqueda exhaustiva y razonable del documento o documentos en donde consten los capitales y créditos a favor del Municipio de Zinacantepec, así como los productos que generen los mismos del periodo comprendido del trece de octubre de dos mil veintiuno al trece de octubre de dos mil veintidós, de ser procedente en versión pública conforme a lo señalado por el considerando quinto del presente fallo.  </w:t>
      </w: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b/>
        </w:rPr>
        <w:t xml:space="preserve">Quinto. Versión Pública. </w:t>
      </w:r>
      <w:r w:rsidRPr="00EA4073">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EA4073">
        <w:rPr>
          <w:rFonts w:ascii="Palatino Linotype" w:eastAsia="Palatino Linotype" w:hAnsi="Palatino Linotype" w:cs="Palatino Linotype"/>
          <w:b/>
        </w:rPr>
        <w:t>RECURRENTE</w:t>
      </w:r>
      <w:r w:rsidRPr="00EA4073">
        <w:rPr>
          <w:rFonts w:ascii="Palatino Linotype" w:eastAsia="Palatino Linotype" w:hAnsi="Palatino Linotype" w:cs="Palatino Linotype"/>
        </w:rPr>
        <w:t xml:space="preserve"> sin menoscabar el derecho a la protección de los datos personales de terceros.</w:t>
      </w:r>
    </w:p>
    <w:p w:rsidR="00867660" w:rsidRPr="00EA4073" w:rsidRDefault="000E1A3E">
      <w:pPr>
        <w:spacing w:before="240" w:after="240" w:line="360" w:lineRule="auto"/>
        <w:ind w:right="50"/>
        <w:jc w:val="both"/>
        <w:rPr>
          <w:rFonts w:ascii="Palatino Linotype" w:eastAsia="Palatino Linotype" w:hAnsi="Palatino Linotype" w:cs="Palatino Linotype"/>
        </w:rPr>
      </w:pPr>
      <w:r w:rsidRPr="00EA4073">
        <w:rPr>
          <w:rFonts w:ascii="Palatino Linotype" w:eastAsia="Palatino Linotype" w:hAnsi="Palatino Linotype" w:cs="Palatino Linotype"/>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rsidR="00867660" w:rsidRPr="00EA4073" w:rsidRDefault="000E1A3E">
      <w:pPr>
        <w:ind w:left="993" w:right="1041"/>
        <w:jc w:val="both"/>
        <w:rPr>
          <w:rFonts w:ascii="Palatino Linotype" w:eastAsia="Palatino Linotype" w:hAnsi="Palatino Linotype" w:cs="Palatino Linotype"/>
          <w:b/>
          <w:i/>
          <w:sz w:val="22"/>
          <w:szCs w:val="22"/>
        </w:rPr>
      </w:pPr>
      <w:r w:rsidRPr="00EA4073">
        <w:rPr>
          <w:rFonts w:ascii="Palatino Linotype" w:eastAsia="Palatino Linotype" w:hAnsi="Palatino Linotype" w:cs="Palatino Linotype"/>
          <w:b/>
          <w:i/>
          <w:sz w:val="22"/>
          <w:szCs w:val="22"/>
        </w:rPr>
        <w:t xml:space="preserve"> “Artículo 3. Para los efectos de la presente Ley se entenderá por:</w:t>
      </w:r>
    </w:p>
    <w:p w:rsidR="00867660" w:rsidRPr="00EA4073" w:rsidRDefault="000E1A3E">
      <w:pPr>
        <w:ind w:left="993" w:right="1041"/>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IX. Datos personales:</w:t>
      </w:r>
      <w:r w:rsidRPr="00EA4073">
        <w:rPr>
          <w:rFonts w:ascii="Palatino Linotype" w:eastAsia="Palatino Linotype" w:hAnsi="Palatino Linotype" w:cs="Palatino Linotype"/>
          <w:i/>
          <w:sz w:val="22"/>
          <w:szCs w:val="22"/>
        </w:rPr>
        <w:t xml:space="preserve"> </w:t>
      </w:r>
      <w:r w:rsidRPr="00EA4073">
        <w:rPr>
          <w:rFonts w:ascii="Palatino Linotype" w:eastAsia="Palatino Linotype" w:hAnsi="Palatino Linotype" w:cs="Palatino Linotype"/>
          <w:b/>
          <w:i/>
          <w:sz w:val="22"/>
          <w:szCs w:val="22"/>
        </w:rPr>
        <w:t>La información concerniente a una persona, identificada o identificable</w:t>
      </w:r>
      <w:r w:rsidRPr="00EA4073">
        <w:rPr>
          <w:rFonts w:ascii="Palatino Linotype" w:eastAsia="Palatino Linotype" w:hAnsi="Palatino Linotype" w:cs="Palatino Linotype"/>
          <w:i/>
          <w:sz w:val="22"/>
          <w:szCs w:val="22"/>
        </w:rPr>
        <w:t xml:space="preserve"> según lo dispuesto por la Ley de Protección de Datos Personales del Estado de México;</w:t>
      </w:r>
    </w:p>
    <w:p w:rsidR="00867660" w:rsidRPr="00EA4073" w:rsidRDefault="000E1A3E">
      <w:pPr>
        <w:ind w:left="993" w:right="1041"/>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XX. Información clasificada:</w:t>
      </w:r>
      <w:r w:rsidRPr="00EA4073">
        <w:rPr>
          <w:rFonts w:ascii="Palatino Linotype" w:eastAsia="Palatino Linotype" w:hAnsi="Palatino Linotype" w:cs="Palatino Linotype"/>
          <w:i/>
          <w:sz w:val="22"/>
          <w:szCs w:val="22"/>
        </w:rPr>
        <w:t xml:space="preserve"> Aquella considerada por la presente Ley como reservada o confidencial;</w:t>
      </w:r>
    </w:p>
    <w:p w:rsidR="00867660" w:rsidRPr="00EA4073" w:rsidRDefault="000E1A3E">
      <w:pPr>
        <w:ind w:left="993" w:right="1041"/>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XXXII. Protección de Datos Personales:</w:t>
      </w:r>
      <w:r w:rsidRPr="00EA4073">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867660" w:rsidRPr="00EA4073" w:rsidRDefault="000E1A3E">
      <w:pPr>
        <w:ind w:left="993" w:right="1041"/>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XLV. Versión pública</w:t>
      </w:r>
      <w:r w:rsidRPr="00EA4073">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867660" w:rsidRPr="00EA4073" w:rsidRDefault="00867660">
      <w:pPr>
        <w:ind w:left="993" w:right="1041"/>
        <w:jc w:val="both"/>
        <w:rPr>
          <w:rFonts w:ascii="Palatino Linotype" w:eastAsia="Palatino Linotype" w:hAnsi="Palatino Linotype" w:cs="Palatino Linotype"/>
          <w:i/>
          <w:sz w:val="22"/>
          <w:szCs w:val="22"/>
        </w:rPr>
      </w:pPr>
    </w:p>
    <w:p w:rsidR="00867660" w:rsidRPr="00EA4073" w:rsidRDefault="000E1A3E">
      <w:pPr>
        <w:ind w:left="993" w:right="1041"/>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“Artículo 6.</w:t>
      </w:r>
      <w:r w:rsidRPr="00EA4073">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867660" w:rsidRPr="00EA4073" w:rsidRDefault="00867660">
      <w:pPr>
        <w:ind w:left="993" w:right="1041"/>
        <w:jc w:val="both"/>
        <w:rPr>
          <w:rFonts w:ascii="Palatino Linotype" w:eastAsia="Palatino Linotype" w:hAnsi="Palatino Linotype" w:cs="Palatino Linotype"/>
          <w:i/>
          <w:sz w:val="22"/>
          <w:szCs w:val="22"/>
        </w:rPr>
      </w:pPr>
    </w:p>
    <w:p w:rsidR="00867660" w:rsidRPr="00EA4073" w:rsidRDefault="000E1A3E">
      <w:pPr>
        <w:ind w:left="993" w:right="1041"/>
        <w:jc w:val="both"/>
        <w:rPr>
          <w:rFonts w:ascii="Palatino Linotype" w:eastAsia="Palatino Linotype" w:hAnsi="Palatino Linotype" w:cs="Palatino Linotype"/>
          <w:b/>
          <w:i/>
          <w:sz w:val="22"/>
          <w:szCs w:val="22"/>
        </w:rPr>
      </w:pPr>
      <w:r w:rsidRPr="00EA4073">
        <w:rPr>
          <w:rFonts w:ascii="Palatino Linotype" w:eastAsia="Palatino Linotype" w:hAnsi="Palatino Linotype" w:cs="Palatino Linotype"/>
          <w:b/>
          <w:i/>
          <w:sz w:val="22"/>
          <w:szCs w:val="22"/>
        </w:rPr>
        <w:t>“Artículo 137.</w:t>
      </w:r>
      <w:r w:rsidRPr="00EA4073">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67660" w:rsidRPr="00EA4073" w:rsidRDefault="00867660">
      <w:pPr>
        <w:ind w:left="993" w:right="1041"/>
        <w:jc w:val="both"/>
        <w:rPr>
          <w:rFonts w:ascii="Palatino Linotype" w:eastAsia="Palatino Linotype" w:hAnsi="Palatino Linotype" w:cs="Palatino Linotype"/>
          <w:b/>
          <w:i/>
          <w:sz w:val="22"/>
          <w:szCs w:val="22"/>
        </w:rPr>
      </w:pPr>
    </w:p>
    <w:p w:rsidR="00867660" w:rsidRPr="00EA4073" w:rsidRDefault="000E1A3E">
      <w:pPr>
        <w:ind w:left="993" w:right="1041"/>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“Artículo 143</w:t>
      </w:r>
      <w:r w:rsidRPr="00EA407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867660" w:rsidRPr="00EA4073" w:rsidRDefault="000E1A3E">
      <w:pPr>
        <w:ind w:left="993" w:right="1041"/>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lastRenderedPageBreak/>
        <w:t>I.</w:t>
      </w:r>
      <w:r w:rsidRPr="00EA4073">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867660" w:rsidRPr="00EA4073" w:rsidRDefault="000E1A3E">
      <w:pPr>
        <w:ind w:left="993" w:right="1041"/>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867660" w:rsidRPr="00EA4073" w:rsidRDefault="000E1A3E">
      <w:pPr>
        <w:ind w:left="993" w:right="1041"/>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867660" w:rsidRPr="00EA4073" w:rsidRDefault="00867660">
      <w:pPr>
        <w:ind w:left="993" w:right="1041"/>
        <w:jc w:val="both"/>
        <w:rPr>
          <w:rFonts w:ascii="Palatino Linotype" w:eastAsia="Palatino Linotype" w:hAnsi="Palatino Linotype" w:cs="Palatino Linotype"/>
          <w:i/>
          <w:sz w:val="22"/>
          <w:szCs w:val="22"/>
        </w:rPr>
      </w:pPr>
    </w:p>
    <w:p w:rsidR="00867660" w:rsidRPr="00EA4073" w:rsidRDefault="000E1A3E">
      <w:pPr>
        <w:spacing w:line="360" w:lineRule="auto"/>
        <w:ind w:right="51"/>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EA4073">
        <w:rPr>
          <w:rFonts w:ascii="Palatino Linotype" w:eastAsia="Palatino Linotype" w:hAnsi="Palatino Linotype" w:cs="Palatino Linotype"/>
          <w:b/>
        </w:rPr>
        <w:t>RECURRENTE</w:t>
      </w:r>
      <w:r w:rsidRPr="00EA4073">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867660" w:rsidRPr="00EA4073" w:rsidRDefault="00867660">
      <w:pPr>
        <w:spacing w:line="360" w:lineRule="auto"/>
        <w:ind w:right="51"/>
        <w:jc w:val="both"/>
        <w:rPr>
          <w:rFonts w:ascii="Palatino Linotype" w:eastAsia="Palatino Linotype" w:hAnsi="Palatino Linotype" w:cs="Palatino Linotype"/>
        </w:rPr>
      </w:pPr>
    </w:p>
    <w:p w:rsidR="00867660" w:rsidRPr="00EA4073" w:rsidRDefault="000E1A3E">
      <w:pPr>
        <w:spacing w:line="360" w:lineRule="auto"/>
        <w:ind w:right="50"/>
        <w:jc w:val="both"/>
        <w:rPr>
          <w:rFonts w:ascii="Palatino Linotype" w:eastAsia="Palatino Linotype" w:hAnsi="Palatino Linotype" w:cs="Palatino Linotype"/>
        </w:rPr>
      </w:pPr>
      <w:r w:rsidRPr="00EA4073">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867660" w:rsidRPr="00EA4073" w:rsidRDefault="00867660">
      <w:pPr>
        <w:spacing w:line="360" w:lineRule="auto"/>
        <w:ind w:right="50"/>
        <w:jc w:val="both"/>
        <w:rPr>
          <w:rFonts w:ascii="Palatino Linotype" w:eastAsia="Palatino Linotype" w:hAnsi="Palatino Linotype" w:cs="Palatino Linotype"/>
        </w:rPr>
      </w:pPr>
    </w:p>
    <w:p w:rsidR="00867660" w:rsidRPr="00EA4073" w:rsidRDefault="000E1A3E">
      <w:pPr>
        <w:spacing w:line="360" w:lineRule="auto"/>
        <w:ind w:right="51"/>
        <w:jc w:val="both"/>
        <w:rPr>
          <w:rFonts w:ascii="Palatino Linotype" w:eastAsia="Palatino Linotype" w:hAnsi="Palatino Linotype" w:cs="Palatino Linotype"/>
        </w:rPr>
      </w:pPr>
      <w:r w:rsidRPr="00EA4073">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867660" w:rsidRPr="00EA4073" w:rsidRDefault="00867660">
      <w:pPr>
        <w:spacing w:line="360" w:lineRule="auto"/>
        <w:ind w:right="51"/>
        <w:jc w:val="both"/>
        <w:rPr>
          <w:rFonts w:ascii="Palatino Linotype" w:eastAsia="Palatino Linotype" w:hAnsi="Palatino Linotype" w:cs="Palatino Linotype"/>
        </w:rPr>
      </w:pPr>
    </w:p>
    <w:p w:rsidR="00867660" w:rsidRPr="00EA4073" w:rsidRDefault="000E1A3E">
      <w:pPr>
        <w:ind w:left="992" w:right="1043"/>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“Artículo 49.</w:t>
      </w:r>
      <w:r w:rsidRPr="00EA4073">
        <w:rPr>
          <w:rFonts w:ascii="Palatino Linotype" w:eastAsia="Palatino Linotype" w:hAnsi="Palatino Linotype" w:cs="Palatino Linotype"/>
          <w:i/>
          <w:sz w:val="22"/>
          <w:szCs w:val="22"/>
        </w:rPr>
        <w:t xml:space="preserve"> </w:t>
      </w:r>
      <w:r w:rsidRPr="00EA4073">
        <w:rPr>
          <w:rFonts w:ascii="Palatino Linotype" w:eastAsia="Palatino Linotype" w:hAnsi="Palatino Linotype" w:cs="Palatino Linotype"/>
          <w:b/>
          <w:i/>
          <w:sz w:val="22"/>
          <w:szCs w:val="22"/>
        </w:rPr>
        <w:t>Los Comités de Transparencia</w:t>
      </w:r>
      <w:r w:rsidRPr="00EA4073">
        <w:rPr>
          <w:rFonts w:ascii="Palatino Linotype" w:eastAsia="Palatino Linotype" w:hAnsi="Palatino Linotype" w:cs="Palatino Linotype"/>
          <w:i/>
          <w:sz w:val="22"/>
          <w:szCs w:val="22"/>
        </w:rPr>
        <w:t xml:space="preserve"> tendrán las siguientes atribuciones:</w:t>
      </w:r>
    </w:p>
    <w:p w:rsidR="00867660" w:rsidRPr="00EA4073" w:rsidRDefault="000E1A3E">
      <w:pPr>
        <w:ind w:left="992" w:right="1043"/>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VIII. Aprobar, modificar o revocar la clasificación de la información</w:t>
      </w:r>
      <w:r w:rsidRPr="00EA4073">
        <w:rPr>
          <w:rFonts w:ascii="Palatino Linotype" w:eastAsia="Palatino Linotype" w:hAnsi="Palatino Linotype" w:cs="Palatino Linotype"/>
          <w:i/>
          <w:sz w:val="22"/>
          <w:szCs w:val="22"/>
        </w:rPr>
        <w:t>…”</w:t>
      </w:r>
    </w:p>
    <w:p w:rsidR="00867660" w:rsidRPr="00EA4073" w:rsidRDefault="000E1A3E">
      <w:pPr>
        <w:ind w:left="992" w:right="1043"/>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w:t>
      </w:r>
      <w:r w:rsidRPr="00EA4073">
        <w:rPr>
          <w:rFonts w:ascii="Palatino Linotype" w:eastAsia="Palatino Linotype" w:hAnsi="Palatino Linotype" w:cs="Palatino Linotype"/>
          <w:b/>
          <w:i/>
          <w:sz w:val="22"/>
          <w:szCs w:val="22"/>
        </w:rPr>
        <w:t>Artículo 53.</w:t>
      </w:r>
      <w:r w:rsidRPr="00EA4073">
        <w:rPr>
          <w:rFonts w:ascii="Palatino Linotype" w:eastAsia="Palatino Linotype" w:hAnsi="Palatino Linotype" w:cs="Palatino Linotype"/>
          <w:i/>
          <w:sz w:val="22"/>
          <w:szCs w:val="22"/>
        </w:rPr>
        <w:t xml:space="preserve"> Las </w:t>
      </w:r>
      <w:r w:rsidRPr="00EA4073">
        <w:rPr>
          <w:rFonts w:ascii="Palatino Linotype" w:eastAsia="Palatino Linotype" w:hAnsi="Palatino Linotype" w:cs="Palatino Linotype"/>
          <w:b/>
          <w:i/>
          <w:sz w:val="22"/>
          <w:szCs w:val="22"/>
        </w:rPr>
        <w:t>Unidades de Transparencia</w:t>
      </w:r>
      <w:r w:rsidRPr="00EA4073">
        <w:rPr>
          <w:rFonts w:ascii="Palatino Linotype" w:eastAsia="Palatino Linotype" w:hAnsi="Palatino Linotype" w:cs="Palatino Linotype"/>
          <w:i/>
          <w:sz w:val="22"/>
          <w:szCs w:val="22"/>
        </w:rPr>
        <w:t xml:space="preserve"> tendrán las siguientes </w:t>
      </w:r>
      <w:r w:rsidRPr="00EA4073">
        <w:rPr>
          <w:rFonts w:ascii="Palatino Linotype" w:eastAsia="Palatino Linotype" w:hAnsi="Palatino Linotype" w:cs="Palatino Linotype"/>
          <w:b/>
          <w:i/>
          <w:sz w:val="22"/>
          <w:szCs w:val="22"/>
        </w:rPr>
        <w:t>funciones</w:t>
      </w:r>
      <w:r w:rsidRPr="00EA4073">
        <w:rPr>
          <w:rFonts w:ascii="Palatino Linotype" w:eastAsia="Palatino Linotype" w:hAnsi="Palatino Linotype" w:cs="Palatino Linotype"/>
          <w:i/>
          <w:sz w:val="22"/>
          <w:szCs w:val="22"/>
        </w:rPr>
        <w:t>:</w:t>
      </w:r>
    </w:p>
    <w:p w:rsidR="00867660" w:rsidRPr="00EA4073" w:rsidRDefault="000E1A3E">
      <w:pPr>
        <w:ind w:left="992" w:right="1043"/>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X. Presentar ante el Comité, el proyecto de clasificación de información</w:t>
      </w:r>
      <w:r w:rsidRPr="00EA4073">
        <w:rPr>
          <w:rFonts w:ascii="Palatino Linotype" w:eastAsia="Palatino Linotype" w:hAnsi="Palatino Linotype" w:cs="Palatino Linotype"/>
          <w:i/>
          <w:sz w:val="22"/>
          <w:szCs w:val="22"/>
        </w:rPr>
        <w:t xml:space="preserve">…” </w:t>
      </w:r>
    </w:p>
    <w:p w:rsidR="00867660" w:rsidRPr="00EA4073" w:rsidRDefault="000E1A3E">
      <w:pPr>
        <w:ind w:left="992" w:right="1043"/>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“Artículo 59.</w:t>
      </w:r>
      <w:r w:rsidRPr="00EA4073">
        <w:rPr>
          <w:rFonts w:ascii="Palatino Linotype" w:eastAsia="Palatino Linotype" w:hAnsi="Palatino Linotype" w:cs="Palatino Linotype"/>
          <w:i/>
          <w:sz w:val="22"/>
          <w:szCs w:val="22"/>
        </w:rPr>
        <w:t xml:space="preserve"> Los </w:t>
      </w:r>
      <w:r w:rsidRPr="00EA4073">
        <w:rPr>
          <w:rFonts w:ascii="Palatino Linotype" w:eastAsia="Palatino Linotype" w:hAnsi="Palatino Linotype" w:cs="Palatino Linotype"/>
          <w:b/>
          <w:i/>
          <w:sz w:val="22"/>
          <w:szCs w:val="22"/>
        </w:rPr>
        <w:t>servidores públicos habilitados</w:t>
      </w:r>
      <w:r w:rsidRPr="00EA4073">
        <w:rPr>
          <w:rFonts w:ascii="Palatino Linotype" w:eastAsia="Palatino Linotype" w:hAnsi="Palatino Linotype" w:cs="Palatino Linotype"/>
          <w:i/>
          <w:sz w:val="22"/>
          <w:szCs w:val="22"/>
        </w:rPr>
        <w:t xml:space="preserve"> tendrán las </w:t>
      </w:r>
      <w:r w:rsidRPr="00EA4073">
        <w:rPr>
          <w:rFonts w:ascii="Palatino Linotype" w:eastAsia="Palatino Linotype" w:hAnsi="Palatino Linotype" w:cs="Palatino Linotype"/>
          <w:b/>
          <w:i/>
          <w:sz w:val="22"/>
          <w:szCs w:val="22"/>
        </w:rPr>
        <w:t>funciones</w:t>
      </w:r>
      <w:r w:rsidRPr="00EA4073">
        <w:rPr>
          <w:rFonts w:ascii="Palatino Linotype" w:eastAsia="Palatino Linotype" w:hAnsi="Palatino Linotype" w:cs="Palatino Linotype"/>
          <w:i/>
          <w:sz w:val="22"/>
          <w:szCs w:val="22"/>
        </w:rPr>
        <w:t xml:space="preserve"> siguientes:</w:t>
      </w:r>
    </w:p>
    <w:p w:rsidR="00867660" w:rsidRPr="00EA4073" w:rsidRDefault="000E1A3E">
      <w:pPr>
        <w:ind w:left="992" w:right="1043"/>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A4073">
        <w:rPr>
          <w:rFonts w:ascii="Palatino Linotype" w:eastAsia="Palatino Linotype" w:hAnsi="Palatino Linotype" w:cs="Palatino Linotype"/>
          <w:i/>
          <w:sz w:val="22"/>
          <w:szCs w:val="22"/>
        </w:rPr>
        <w:t>, la cual tendrá los fundamentos y argumentos en que se basa dicha propuesta…”(Sic)</w:t>
      </w:r>
    </w:p>
    <w:p w:rsidR="00867660" w:rsidRPr="00EA4073" w:rsidRDefault="00867660">
      <w:pPr>
        <w:ind w:left="992" w:right="1043"/>
        <w:jc w:val="both"/>
        <w:rPr>
          <w:rFonts w:ascii="Palatino Linotype" w:eastAsia="Palatino Linotype" w:hAnsi="Palatino Linotype" w:cs="Palatino Linotype"/>
          <w:i/>
          <w:sz w:val="22"/>
          <w:szCs w:val="22"/>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sidRPr="00EA4073">
        <w:rPr>
          <w:rFonts w:ascii="Palatino Linotype" w:eastAsia="Palatino Linotype" w:hAnsi="Palatino Linotype" w:cs="Palatino Linotype"/>
        </w:rPr>
        <w:lastRenderedPageBreak/>
        <w:t>de clasificación de la información y finalmente sea éste último quien apruebe, modifique o revoque la clasificación de la información solicitada.</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after="240"/>
        <w:ind w:left="993" w:right="1041"/>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w:t>
      </w:r>
      <w:r w:rsidRPr="00EA4073">
        <w:rPr>
          <w:rFonts w:ascii="Palatino Linotype" w:eastAsia="Palatino Linotype" w:hAnsi="Palatino Linotype" w:cs="Palatino Linotype"/>
          <w:b/>
          <w:i/>
          <w:sz w:val="22"/>
          <w:szCs w:val="22"/>
        </w:rPr>
        <w:t>Artículo 149.</w:t>
      </w:r>
      <w:r w:rsidRPr="00EA4073">
        <w:rPr>
          <w:rFonts w:ascii="Palatino Linotype" w:eastAsia="Palatino Linotype" w:hAnsi="Palatino Linotype" w:cs="Palatino Linotype"/>
          <w:i/>
          <w:sz w:val="22"/>
          <w:szCs w:val="22"/>
        </w:rPr>
        <w:t xml:space="preserve"> El </w:t>
      </w:r>
      <w:r w:rsidRPr="00EA4073">
        <w:rPr>
          <w:rFonts w:ascii="Palatino Linotype" w:eastAsia="Palatino Linotype" w:hAnsi="Palatino Linotype" w:cs="Palatino Linotype"/>
          <w:b/>
          <w:i/>
          <w:sz w:val="22"/>
          <w:szCs w:val="22"/>
        </w:rPr>
        <w:t>acuerdo que clasifique la información como confidencial</w:t>
      </w:r>
      <w:r w:rsidRPr="00EA407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867660" w:rsidRPr="00EA4073" w:rsidRDefault="00867660">
      <w:pPr>
        <w:spacing w:before="240" w:line="360" w:lineRule="auto"/>
        <w:ind w:right="51"/>
        <w:jc w:val="both"/>
        <w:rPr>
          <w:rFonts w:ascii="Palatino Linotype" w:eastAsia="Palatino Linotype" w:hAnsi="Palatino Linotype" w:cs="Palatino Linotype"/>
          <w:i/>
          <w:sz w:val="22"/>
          <w:szCs w:val="22"/>
        </w:rPr>
      </w:pPr>
    </w:p>
    <w:p w:rsidR="00867660" w:rsidRPr="00EA4073" w:rsidRDefault="000E1A3E">
      <w:pPr>
        <w:spacing w:line="360" w:lineRule="auto"/>
        <w:ind w:right="51"/>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Es decir,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867660" w:rsidRPr="00EA4073" w:rsidRDefault="00867660">
      <w:pPr>
        <w:spacing w:line="360" w:lineRule="auto"/>
        <w:ind w:right="51"/>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Es así, que por cuanto hace al número de cuenta bancaria de los particulares debe ser clasificado como confidencial con fundamento en las fracciones I y II del artículo </w:t>
      </w:r>
      <w:r w:rsidRPr="00EA4073">
        <w:rPr>
          <w:rFonts w:ascii="Palatino Linotype" w:eastAsia="Palatino Linotype" w:hAnsi="Palatino Linotype" w:cs="Palatino Linotype"/>
        </w:rPr>
        <w:lastRenderedPageBreak/>
        <w:t>143 de la Ley de la Materia de la Entidad; en razón de que, con su difusión se estaría poniendo en riesgo la seguridad de su titular.</w:t>
      </w:r>
    </w:p>
    <w:p w:rsidR="00867660" w:rsidRPr="00EA4073" w:rsidRDefault="00867660">
      <w:pPr>
        <w:spacing w:line="360" w:lineRule="auto"/>
        <w:ind w:right="50"/>
        <w:jc w:val="both"/>
        <w:rPr>
          <w:rFonts w:ascii="Palatino Linotype" w:eastAsia="Palatino Linotype" w:hAnsi="Palatino Linotype" w:cs="Palatino Linotype"/>
        </w:rPr>
      </w:pPr>
    </w:p>
    <w:p w:rsidR="00867660" w:rsidRPr="00EA4073" w:rsidRDefault="000E1A3E">
      <w:pPr>
        <w:spacing w:line="360" w:lineRule="auto"/>
        <w:ind w:right="51"/>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867660" w:rsidRPr="00EA4073" w:rsidRDefault="00867660">
      <w:pPr>
        <w:spacing w:line="360" w:lineRule="auto"/>
        <w:ind w:right="51"/>
        <w:jc w:val="both"/>
        <w:rPr>
          <w:rFonts w:ascii="Palatino Linotype" w:eastAsia="Palatino Linotype" w:hAnsi="Palatino Linotype" w:cs="Palatino Linotype"/>
        </w:rPr>
      </w:pPr>
    </w:p>
    <w:p w:rsidR="00867660" w:rsidRPr="00EA4073" w:rsidRDefault="000E1A3E">
      <w:pPr>
        <w:spacing w:line="360" w:lineRule="auto"/>
        <w:ind w:right="50"/>
        <w:jc w:val="both"/>
        <w:rPr>
          <w:rFonts w:ascii="Palatino Linotype" w:eastAsia="Palatino Linotype" w:hAnsi="Palatino Linotype" w:cs="Palatino Linotype"/>
        </w:rPr>
      </w:pPr>
      <w:r w:rsidRPr="00EA4073">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rsidR="00867660" w:rsidRPr="00EA4073" w:rsidRDefault="00867660">
      <w:pPr>
        <w:ind w:right="50"/>
        <w:jc w:val="both"/>
        <w:rPr>
          <w:rFonts w:ascii="Palatino Linotype" w:eastAsia="Palatino Linotype" w:hAnsi="Palatino Linotype" w:cs="Palatino Linotype"/>
        </w:rPr>
      </w:pPr>
    </w:p>
    <w:p w:rsidR="00867660" w:rsidRPr="00EA4073" w:rsidRDefault="000E1A3E">
      <w:pPr>
        <w:ind w:left="851" w:right="1134"/>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“Cuentas bancarias y/o CLABE interbancaria de personas físicas y morales privadas.</w:t>
      </w:r>
      <w:r w:rsidRPr="00EA4073">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867660" w:rsidRPr="00EA4073" w:rsidRDefault="00867660">
      <w:pPr>
        <w:ind w:left="851" w:right="899"/>
        <w:jc w:val="center"/>
        <w:rPr>
          <w:rFonts w:ascii="Palatino Linotype" w:eastAsia="Palatino Linotype" w:hAnsi="Palatino Linotype" w:cs="Palatino Linotype"/>
          <w:b/>
          <w:i/>
          <w:sz w:val="22"/>
          <w:szCs w:val="22"/>
        </w:rPr>
      </w:pPr>
    </w:p>
    <w:p w:rsidR="00867660" w:rsidRPr="00EA4073" w:rsidRDefault="000E1A3E">
      <w:pPr>
        <w:spacing w:line="360" w:lineRule="auto"/>
        <w:ind w:right="50"/>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Ahora bien, por cuanto hace a las cuentas bancarias de los Sujetos obligados, dicha información no puede considerarse como confidencial, pues la difusión de dichas </w:t>
      </w:r>
      <w:r w:rsidRPr="00EA4073">
        <w:rPr>
          <w:rFonts w:ascii="Palatino Linotype" w:eastAsia="Palatino Linotype" w:hAnsi="Palatino Linotype" w:cs="Palatino Linotype"/>
        </w:rPr>
        <w:lastRenderedPageBreak/>
        <w:t>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867660" w:rsidRPr="00EA4073" w:rsidRDefault="00867660">
      <w:pPr>
        <w:ind w:right="50"/>
        <w:jc w:val="both"/>
        <w:rPr>
          <w:rFonts w:ascii="Palatino Linotype" w:eastAsia="Palatino Linotype" w:hAnsi="Palatino Linotype" w:cs="Palatino Linotype"/>
        </w:rPr>
      </w:pPr>
    </w:p>
    <w:p w:rsidR="00867660" w:rsidRPr="00EA4073" w:rsidRDefault="000E1A3E">
      <w:pPr>
        <w:ind w:left="851" w:right="1134"/>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w:t>
      </w:r>
      <w:r w:rsidRPr="00EA4073">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EA4073">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867660" w:rsidRPr="00EA4073" w:rsidRDefault="00867660">
      <w:pPr>
        <w:spacing w:line="360" w:lineRule="auto"/>
        <w:ind w:right="51"/>
        <w:jc w:val="both"/>
        <w:rPr>
          <w:rFonts w:ascii="Palatino Linotype" w:eastAsia="Palatino Linotype" w:hAnsi="Palatino Linotype" w:cs="Palatino Linotype"/>
        </w:rPr>
      </w:pPr>
    </w:p>
    <w:p w:rsidR="00867660" w:rsidRPr="00EA4073" w:rsidRDefault="000E1A3E">
      <w:pPr>
        <w:spacing w:before="240" w:after="240" w:line="360" w:lineRule="auto"/>
        <w:ind w:right="50"/>
        <w:jc w:val="both"/>
        <w:rPr>
          <w:rFonts w:ascii="Palatino Linotype" w:eastAsia="Palatino Linotype" w:hAnsi="Palatino Linotype" w:cs="Palatino Linotype"/>
        </w:rPr>
      </w:pPr>
      <w:r w:rsidRPr="00EA4073">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867660" w:rsidRPr="00EA4073" w:rsidRDefault="000E1A3E">
      <w:pPr>
        <w:spacing w:before="240" w:after="240" w:line="360" w:lineRule="auto"/>
        <w:ind w:right="50"/>
        <w:jc w:val="both"/>
        <w:rPr>
          <w:rFonts w:ascii="Palatino Linotype" w:eastAsia="Palatino Linotype" w:hAnsi="Palatino Linotype" w:cs="Palatino Linotype"/>
        </w:rPr>
      </w:pPr>
      <w:r w:rsidRPr="00EA4073">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867660" w:rsidRPr="00EA4073" w:rsidRDefault="000E1A3E">
      <w:pPr>
        <w:spacing w:before="240" w:after="240" w:line="360" w:lineRule="auto"/>
        <w:ind w:right="50"/>
        <w:jc w:val="both"/>
        <w:rPr>
          <w:rFonts w:ascii="Palatino Linotype" w:eastAsia="Palatino Linotype" w:hAnsi="Palatino Linotype" w:cs="Palatino Linotype"/>
        </w:rPr>
      </w:pPr>
      <w:r w:rsidRPr="00EA4073">
        <w:rPr>
          <w:rFonts w:ascii="Palatino Linotype" w:eastAsia="Palatino Linotype" w:hAnsi="Palatino Linotype" w:cs="Palatino Linotype"/>
        </w:rPr>
        <w:lastRenderedPageBreak/>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Al respecto, se destaca que la versión pública que elabore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EA4073">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EA4073">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867660" w:rsidRPr="00EA4073" w:rsidRDefault="00867660">
      <w:pPr>
        <w:ind w:left="709" w:right="709"/>
        <w:jc w:val="both"/>
        <w:rPr>
          <w:rFonts w:ascii="Palatino Linotype" w:eastAsia="Palatino Linotype" w:hAnsi="Palatino Linotype" w:cs="Palatino Linotype"/>
          <w:b/>
          <w:i/>
          <w:sz w:val="22"/>
          <w:szCs w:val="22"/>
        </w:rPr>
      </w:pPr>
    </w:p>
    <w:p w:rsidR="00867660" w:rsidRPr="00EA4073" w:rsidRDefault="000E1A3E">
      <w:pPr>
        <w:ind w:left="709" w:right="709"/>
        <w:jc w:val="both"/>
        <w:rPr>
          <w:rFonts w:ascii="Palatino Linotype" w:eastAsia="Palatino Linotype" w:hAnsi="Palatino Linotype" w:cs="Palatino Linotype"/>
          <w:b/>
          <w:i/>
          <w:sz w:val="22"/>
          <w:szCs w:val="22"/>
        </w:rPr>
      </w:pPr>
      <w:r w:rsidRPr="00EA4073">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w:t>
      </w:r>
      <w:r w:rsidRPr="00EA4073">
        <w:rPr>
          <w:rFonts w:ascii="Palatino Linotype" w:eastAsia="Palatino Linotype" w:hAnsi="Palatino Linotype" w:cs="Palatino Linotype"/>
          <w:b/>
          <w:i/>
          <w:sz w:val="22"/>
          <w:szCs w:val="22"/>
        </w:rPr>
        <w:t>Segundo.-</w:t>
      </w:r>
      <w:r w:rsidRPr="00EA4073">
        <w:rPr>
          <w:rFonts w:ascii="Palatino Linotype" w:eastAsia="Palatino Linotype" w:hAnsi="Palatino Linotype" w:cs="Palatino Linotype"/>
          <w:i/>
          <w:sz w:val="22"/>
          <w:szCs w:val="22"/>
        </w:rPr>
        <w:t xml:space="preserve"> Para efectos de los presentes Lineamientos Generales, se entenderá por:</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lastRenderedPageBreak/>
        <w:t>XVIII.</w:t>
      </w:r>
      <w:r w:rsidRPr="00EA4073">
        <w:rPr>
          <w:rFonts w:ascii="Palatino Linotype" w:eastAsia="Palatino Linotype" w:hAnsi="Palatino Linotype" w:cs="Palatino Linotype"/>
          <w:i/>
          <w:sz w:val="22"/>
          <w:szCs w:val="22"/>
        </w:rPr>
        <w:t xml:space="preserve"> </w:t>
      </w:r>
      <w:r w:rsidRPr="00EA4073">
        <w:rPr>
          <w:rFonts w:ascii="Palatino Linotype" w:eastAsia="Palatino Linotype" w:hAnsi="Palatino Linotype" w:cs="Palatino Linotype"/>
          <w:b/>
          <w:i/>
          <w:sz w:val="22"/>
          <w:szCs w:val="22"/>
        </w:rPr>
        <w:t>Versión pública:</w:t>
      </w:r>
      <w:r w:rsidRPr="00EA407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A4073">
        <w:rPr>
          <w:rFonts w:ascii="Palatino Linotype" w:eastAsia="Palatino Linotype" w:hAnsi="Palatino Linotype" w:cs="Palatino Linotype"/>
          <w:b/>
          <w:i/>
          <w:sz w:val="22"/>
          <w:szCs w:val="22"/>
          <w:u w:val="single"/>
        </w:rPr>
        <w:t>fundando y motivando la</w:t>
      </w:r>
      <w:r w:rsidRPr="00EA4073">
        <w:rPr>
          <w:rFonts w:ascii="Palatino Linotype" w:eastAsia="Palatino Linotype" w:hAnsi="Palatino Linotype" w:cs="Palatino Linotype"/>
          <w:i/>
          <w:sz w:val="22"/>
          <w:szCs w:val="22"/>
        </w:rPr>
        <w:t xml:space="preserve"> reserva o </w:t>
      </w:r>
      <w:r w:rsidRPr="00EA4073">
        <w:rPr>
          <w:rFonts w:ascii="Palatino Linotype" w:eastAsia="Palatino Linotype" w:hAnsi="Palatino Linotype" w:cs="Palatino Linotype"/>
          <w:b/>
          <w:i/>
          <w:sz w:val="22"/>
          <w:szCs w:val="22"/>
          <w:u w:val="single"/>
        </w:rPr>
        <w:t>confidencialidad</w:t>
      </w:r>
      <w:r w:rsidRPr="00EA4073">
        <w:rPr>
          <w:rFonts w:ascii="Palatino Linotype" w:eastAsia="Palatino Linotype" w:hAnsi="Palatino Linotype" w:cs="Palatino Linotype"/>
          <w:i/>
          <w:sz w:val="22"/>
          <w:szCs w:val="22"/>
        </w:rPr>
        <w:t>, a través de la resolución que para tal efecto emita el Comité de Transparencia.</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Cuarto.</w:t>
      </w:r>
      <w:r w:rsidRPr="00EA4073">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Quinto.</w:t>
      </w:r>
      <w:r w:rsidRPr="00EA407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67660" w:rsidRPr="00EA4073" w:rsidRDefault="000E1A3E">
      <w:pPr>
        <w:ind w:left="709" w:right="709"/>
        <w:jc w:val="both"/>
        <w:rPr>
          <w:rFonts w:ascii="Palatino Linotype" w:eastAsia="Palatino Linotype" w:hAnsi="Palatino Linotype" w:cs="Palatino Linotype"/>
          <w:b/>
          <w:i/>
          <w:sz w:val="22"/>
          <w:szCs w:val="22"/>
        </w:rPr>
      </w:pPr>
      <w:r w:rsidRPr="00EA4073">
        <w:rPr>
          <w:rFonts w:ascii="Palatino Linotype" w:eastAsia="Palatino Linotype" w:hAnsi="Palatino Linotype" w:cs="Palatino Linotype"/>
          <w:b/>
          <w:i/>
          <w:sz w:val="22"/>
          <w:szCs w:val="22"/>
        </w:rPr>
        <w:t>…</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Séptimo.</w:t>
      </w:r>
      <w:r w:rsidRPr="00EA4073">
        <w:rPr>
          <w:rFonts w:ascii="Palatino Linotype" w:eastAsia="Palatino Linotype" w:hAnsi="Palatino Linotype" w:cs="Palatino Linotype"/>
          <w:i/>
          <w:sz w:val="22"/>
          <w:szCs w:val="22"/>
        </w:rPr>
        <w:t xml:space="preserve"> La clasificación de la información se llevará a cabo en el momento en que:</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I.</w:t>
      </w:r>
      <w:r w:rsidRPr="00EA4073">
        <w:rPr>
          <w:rFonts w:ascii="Palatino Linotype" w:eastAsia="Palatino Linotype" w:hAnsi="Palatino Linotype" w:cs="Palatino Linotype"/>
          <w:i/>
          <w:sz w:val="22"/>
          <w:szCs w:val="22"/>
        </w:rPr>
        <w:t xml:space="preserve"> Se reciba una solicitud de acceso a la información;</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II.</w:t>
      </w:r>
      <w:r w:rsidRPr="00EA4073">
        <w:rPr>
          <w:rFonts w:ascii="Palatino Linotype" w:eastAsia="Palatino Linotype" w:hAnsi="Palatino Linotype" w:cs="Palatino Linotype"/>
          <w:i/>
          <w:sz w:val="22"/>
          <w:szCs w:val="22"/>
        </w:rPr>
        <w:t xml:space="preserve"> Se determine mediante resolución de autoridad competente, o</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III.</w:t>
      </w:r>
      <w:r w:rsidRPr="00EA407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Octavo.</w:t>
      </w:r>
      <w:r w:rsidRPr="00EA407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Noveno.</w:t>
      </w:r>
      <w:r w:rsidRPr="00EA407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Décimo.</w:t>
      </w:r>
      <w:r w:rsidRPr="00EA407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Décimo primero.</w:t>
      </w:r>
      <w:r w:rsidRPr="00EA407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67660" w:rsidRPr="00EA4073" w:rsidRDefault="000E1A3E">
      <w:pPr>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w:t>
      </w:r>
    </w:p>
    <w:p w:rsidR="00867660" w:rsidRPr="00EA4073" w:rsidRDefault="000E1A3E">
      <w:pPr>
        <w:ind w:left="709" w:right="709"/>
        <w:jc w:val="center"/>
        <w:rPr>
          <w:rFonts w:ascii="Palatino Linotype" w:eastAsia="Palatino Linotype" w:hAnsi="Palatino Linotype" w:cs="Palatino Linotype"/>
          <w:b/>
          <w:i/>
          <w:sz w:val="22"/>
          <w:szCs w:val="22"/>
        </w:rPr>
      </w:pPr>
      <w:r w:rsidRPr="00EA4073">
        <w:rPr>
          <w:rFonts w:ascii="Palatino Linotype" w:eastAsia="Palatino Linotype" w:hAnsi="Palatino Linotype" w:cs="Palatino Linotype"/>
          <w:b/>
          <w:i/>
          <w:sz w:val="22"/>
          <w:szCs w:val="22"/>
        </w:rPr>
        <w:t>CAPÍTULO VIII</w:t>
      </w:r>
    </w:p>
    <w:p w:rsidR="00867660" w:rsidRPr="00EA4073" w:rsidRDefault="000E1A3E">
      <w:pPr>
        <w:ind w:left="709" w:right="709"/>
        <w:jc w:val="center"/>
        <w:rPr>
          <w:rFonts w:ascii="Palatino Linotype" w:eastAsia="Palatino Linotype" w:hAnsi="Palatino Linotype" w:cs="Palatino Linotype"/>
          <w:b/>
          <w:i/>
          <w:sz w:val="22"/>
          <w:szCs w:val="22"/>
        </w:rPr>
      </w:pPr>
      <w:r w:rsidRPr="00EA4073">
        <w:rPr>
          <w:rFonts w:ascii="Palatino Linotype" w:eastAsia="Palatino Linotype" w:hAnsi="Palatino Linotype" w:cs="Palatino Linotype"/>
          <w:b/>
          <w:i/>
          <w:sz w:val="22"/>
          <w:szCs w:val="22"/>
        </w:rPr>
        <w:t>DE LA LEYENDA DE CLASIFICACIÓN</w:t>
      </w:r>
    </w:p>
    <w:p w:rsidR="00867660" w:rsidRPr="00EA4073" w:rsidRDefault="000E1A3E">
      <w:pPr>
        <w:spacing w:after="160"/>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Quincuagésimo</w:t>
      </w:r>
      <w:r w:rsidRPr="00EA4073">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867660" w:rsidRPr="00EA4073" w:rsidRDefault="000E1A3E">
      <w:pPr>
        <w:spacing w:after="160"/>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t>[…]</w:t>
      </w:r>
    </w:p>
    <w:p w:rsidR="00867660" w:rsidRPr="00EA4073" w:rsidRDefault="000E1A3E">
      <w:pPr>
        <w:spacing w:after="160"/>
        <w:ind w:left="709" w:right="709"/>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b/>
          <w:i/>
          <w:sz w:val="22"/>
          <w:szCs w:val="22"/>
        </w:rPr>
        <w:t xml:space="preserve">Quincuagésimo tercero. </w:t>
      </w:r>
      <w:r w:rsidRPr="00EA4073">
        <w:rPr>
          <w:rFonts w:ascii="Palatino Linotype" w:eastAsia="Palatino Linotype" w:hAnsi="Palatino Linotype" w:cs="Palatino Linotype"/>
          <w:b/>
          <w:i/>
          <w:sz w:val="22"/>
          <w:szCs w:val="22"/>
          <w:u w:val="single"/>
        </w:rPr>
        <w:t>El formato para señalar la clasificación parcial de un documento</w:t>
      </w:r>
      <w:r w:rsidRPr="00EA4073">
        <w:rPr>
          <w:rFonts w:ascii="Palatino Linotype" w:eastAsia="Palatino Linotype" w:hAnsi="Palatino Linotype" w:cs="Palatino Linotype"/>
          <w:i/>
          <w:sz w:val="22"/>
          <w:szCs w:val="22"/>
        </w:rPr>
        <w:t>, es el siguiente:</w:t>
      </w:r>
    </w:p>
    <w:tbl>
      <w:tblPr>
        <w:tblStyle w:val="aa"/>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EA4073" w:rsidRPr="00EA4073">
        <w:trPr>
          <w:jc w:val="center"/>
        </w:trPr>
        <w:tc>
          <w:tcPr>
            <w:tcW w:w="1159" w:type="dxa"/>
            <w:tcBorders>
              <w:top w:val="nil"/>
              <w:left w:val="nil"/>
              <w:bottom w:val="single" w:sz="4" w:space="0" w:color="000000"/>
              <w:right w:val="single" w:sz="4" w:space="0" w:color="000000"/>
            </w:tcBorders>
          </w:tcPr>
          <w:p w:rsidR="00867660" w:rsidRPr="00EA4073" w:rsidRDefault="00867660">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center"/>
              <w:rPr>
                <w:rFonts w:ascii="Palatino Linotype" w:eastAsia="Palatino Linotype" w:hAnsi="Palatino Linotype" w:cs="Palatino Linotype"/>
                <w:b/>
                <w:i/>
              </w:rPr>
            </w:pPr>
            <w:r w:rsidRPr="00EA4073">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center"/>
              <w:rPr>
                <w:rFonts w:ascii="Palatino Linotype" w:eastAsia="Palatino Linotype" w:hAnsi="Palatino Linotype" w:cs="Palatino Linotype"/>
                <w:b/>
                <w:i/>
              </w:rPr>
            </w:pPr>
            <w:r w:rsidRPr="00EA4073">
              <w:rPr>
                <w:rFonts w:ascii="Palatino Linotype" w:eastAsia="Palatino Linotype" w:hAnsi="Palatino Linotype" w:cs="Palatino Linotype"/>
                <w:b/>
                <w:i/>
              </w:rPr>
              <w:t>Dónde:</w:t>
            </w:r>
          </w:p>
        </w:tc>
      </w:tr>
      <w:tr w:rsidR="00EA4073" w:rsidRPr="00EA4073">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867660" w:rsidRPr="00EA4073" w:rsidRDefault="000E1A3E">
            <w:pPr>
              <w:jc w:val="center"/>
              <w:rPr>
                <w:rFonts w:ascii="Palatino Linotype" w:eastAsia="Palatino Linotype" w:hAnsi="Palatino Linotype" w:cs="Palatino Linotype"/>
                <w:b/>
                <w:i/>
              </w:rPr>
            </w:pPr>
            <w:r w:rsidRPr="00EA4073">
              <w:rPr>
                <w:rFonts w:ascii="Palatino Linotype" w:eastAsia="Palatino Linotype" w:hAnsi="Palatino Linotype" w:cs="Palatino Linotype"/>
                <w:b/>
                <w:i/>
              </w:rPr>
              <w:t xml:space="preserve">Sello oficial o logotipo </w:t>
            </w:r>
            <w:r w:rsidRPr="00EA4073">
              <w:rPr>
                <w:rFonts w:ascii="Palatino Linotype" w:eastAsia="Palatino Linotype" w:hAnsi="Palatino Linotype" w:cs="Palatino Linotype"/>
                <w:b/>
                <w:i/>
              </w:rPr>
              <w:lastRenderedPageBreak/>
              <w:t>del sujeto obligado</w:t>
            </w:r>
          </w:p>
        </w:tc>
        <w:tc>
          <w:tcPr>
            <w:tcW w:w="1990"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center"/>
              <w:rPr>
                <w:rFonts w:ascii="Palatino Linotype" w:eastAsia="Palatino Linotype" w:hAnsi="Palatino Linotype" w:cs="Palatino Linotype"/>
                <w:i/>
              </w:rPr>
            </w:pPr>
            <w:r w:rsidRPr="00EA4073">
              <w:rPr>
                <w:rFonts w:ascii="Palatino Linotype" w:eastAsia="Palatino Linotype" w:hAnsi="Palatino Linotype" w:cs="Palatino Linotype"/>
                <w:i/>
              </w:rPr>
              <w:lastRenderedPageBreak/>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both"/>
              <w:rPr>
                <w:rFonts w:ascii="Palatino Linotype" w:eastAsia="Palatino Linotype" w:hAnsi="Palatino Linotype" w:cs="Palatino Linotype"/>
                <w:i/>
              </w:rPr>
            </w:pPr>
            <w:r w:rsidRPr="00EA4073">
              <w:rPr>
                <w:rFonts w:ascii="Palatino Linotype" w:eastAsia="Palatino Linotype" w:hAnsi="Palatino Linotype" w:cs="Palatino Linotype"/>
                <w:i/>
              </w:rPr>
              <w:t>Se anotará la fecha en la que el Comité de Transparencia confirmó la clasificación del documento, en su caso.</w:t>
            </w:r>
          </w:p>
        </w:tc>
      </w:tr>
      <w:tr w:rsidR="00EA4073" w:rsidRPr="00EA407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67660" w:rsidRPr="00EA4073" w:rsidRDefault="008676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center"/>
              <w:rPr>
                <w:rFonts w:ascii="Palatino Linotype" w:eastAsia="Palatino Linotype" w:hAnsi="Palatino Linotype" w:cs="Palatino Linotype"/>
                <w:i/>
              </w:rPr>
            </w:pPr>
            <w:r w:rsidRPr="00EA4073">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both"/>
              <w:rPr>
                <w:rFonts w:ascii="Palatino Linotype" w:eastAsia="Palatino Linotype" w:hAnsi="Palatino Linotype" w:cs="Palatino Linotype"/>
                <w:i/>
              </w:rPr>
            </w:pPr>
            <w:r w:rsidRPr="00EA4073">
              <w:rPr>
                <w:rFonts w:ascii="Palatino Linotype" w:eastAsia="Palatino Linotype" w:hAnsi="Palatino Linotype" w:cs="Palatino Linotype"/>
                <w:i/>
              </w:rPr>
              <w:t>Se señalará el nombre del área del cual es titular quien clasifica.</w:t>
            </w:r>
          </w:p>
        </w:tc>
      </w:tr>
      <w:tr w:rsidR="00EA4073" w:rsidRPr="00EA407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67660" w:rsidRPr="00EA4073" w:rsidRDefault="008676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center"/>
              <w:rPr>
                <w:rFonts w:ascii="Palatino Linotype" w:eastAsia="Palatino Linotype" w:hAnsi="Palatino Linotype" w:cs="Palatino Linotype"/>
                <w:i/>
              </w:rPr>
            </w:pPr>
            <w:r w:rsidRPr="00EA4073">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both"/>
              <w:rPr>
                <w:rFonts w:ascii="Palatino Linotype" w:eastAsia="Palatino Linotype" w:hAnsi="Palatino Linotype" w:cs="Palatino Linotype"/>
                <w:i/>
              </w:rPr>
            </w:pPr>
            <w:r w:rsidRPr="00EA4073">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EA4073">
              <w:rPr>
                <w:rFonts w:ascii="Palatino Linotype" w:eastAsia="Palatino Linotype" w:hAnsi="Palatino Linotype" w:cs="Palatino Linotype"/>
                <w:i/>
              </w:rPr>
              <w:t>anotarán</w:t>
            </w:r>
            <w:proofErr w:type="gramEnd"/>
            <w:r w:rsidRPr="00EA4073">
              <w:rPr>
                <w:rFonts w:ascii="Palatino Linotype" w:eastAsia="Palatino Linotype" w:hAnsi="Palatino Linotype" w:cs="Palatino Linotype"/>
                <w:i/>
              </w:rPr>
              <w:t xml:space="preserve"> todas las páginas que lo conforman. Si el documento no contiene información reservada, se tachará este apartado.</w:t>
            </w:r>
          </w:p>
        </w:tc>
      </w:tr>
      <w:tr w:rsidR="00EA4073" w:rsidRPr="00EA407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67660" w:rsidRPr="00EA4073" w:rsidRDefault="008676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center"/>
              <w:rPr>
                <w:rFonts w:ascii="Palatino Linotype" w:eastAsia="Palatino Linotype" w:hAnsi="Palatino Linotype" w:cs="Palatino Linotype"/>
                <w:i/>
              </w:rPr>
            </w:pPr>
            <w:r w:rsidRPr="00EA4073">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both"/>
              <w:rPr>
                <w:rFonts w:ascii="Palatino Linotype" w:eastAsia="Palatino Linotype" w:hAnsi="Palatino Linotype" w:cs="Palatino Linotype"/>
                <w:i/>
              </w:rPr>
            </w:pPr>
            <w:r w:rsidRPr="00EA4073">
              <w:rPr>
                <w:rFonts w:ascii="Palatino Linotype" w:eastAsia="Palatino Linotype" w:hAnsi="Palatino Linotype" w:cs="Palatino Linotype"/>
                <w:i/>
              </w:rPr>
              <w:t>Se anotará el número de años o meses por los que se mantendrá el documento o las partes del mismo como reservado.</w:t>
            </w:r>
          </w:p>
        </w:tc>
      </w:tr>
      <w:tr w:rsidR="00EA4073" w:rsidRPr="00EA407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67660" w:rsidRPr="00EA4073" w:rsidRDefault="008676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center"/>
              <w:rPr>
                <w:rFonts w:ascii="Palatino Linotype" w:eastAsia="Palatino Linotype" w:hAnsi="Palatino Linotype" w:cs="Palatino Linotype"/>
                <w:i/>
              </w:rPr>
            </w:pPr>
            <w:r w:rsidRPr="00EA4073">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both"/>
              <w:rPr>
                <w:rFonts w:ascii="Palatino Linotype" w:eastAsia="Palatino Linotype" w:hAnsi="Palatino Linotype" w:cs="Palatino Linotype"/>
                <w:i/>
              </w:rPr>
            </w:pPr>
            <w:r w:rsidRPr="00EA4073">
              <w:rPr>
                <w:rFonts w:ascii="Palatino Linotype" w:eastAsia="Palatino Linotype" w:hAnsi="Palatino Linotype" w:cs="Palatino Linotype"/>
                <w:i/>
              </w:rPr>
              <w:t>Se señalará el nombre del ordenamiento, el o los artículos, fracción(es), párrafo(s) con base en los cuales se sustente la reserva.</w:t>
            </w:r>
          </w:p>
        </w:tc>
      </w:tr>
      <w:tr w:rsidR="00EA4073" w:rsidRPr="00EA407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67660" w:rsidRPr="00EA4073" w:rsidRDefault="008676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center"/>
              <w:rPr>
                <w:rFonts w:ascii="Palatino Linotype" w:eastAsia="Palatino Linotype" w:hAnsi="Palatino Linotype" w:cs="Palatino Linotype"/>
                <w:i/>
              </w:rPr>
            </w:pPr>
            <w:r w:rsidRPr="00EA4073">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both"/>
              <w:rPr>
                <w:rFonts w:ascii="Palatino Linotype" w:eastAsia="Palatino Linotype" w:hAnsi="Palatino Linotype" w:cs="Palatino Linotype"/>
                <w:i/>
              </w:rPr>
            </w:pPr>
            <w:r w:rsidRPr="00EA4073">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EA4073" w:rsidRPr="00EA407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67660" w:rsidRPr="00EA4073" w:rsidRDefault="008676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center"/>
              <w:rPr>
                <w:rFonts w:ascii="Palatino Linotype" w:eastAsia="Palatino Linotype" w:hAnsi="Palatino Linotype" w:cs="Palatino Linotype"/>
                <w:i/>
              </w:rPr>
            </w:pPr>
            <w:r w:rsidRPr="00EA4073">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both"/>
              <w:rPr>
                <w:rFonts w:ascii="Palatino Linotype" w:eastAsia="Palatino Linotype" w:hAnsi="Palatino Linotype" w:cs="Palatino Linotype"/>
                <w:i/>
              </w:rPr>
            </w:pPr>
            <w:r w:rsidRPr="00EA4073">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A4073" w:rsidRPr="00EA407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67660" w:rsidRPr="00EA4073" w:rsidRDefault="008676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center"/>
              <w:rPr>
                <w:rFonts w:ascii="Palatino Linotype" w:eastAsia="Palatino Linotype" w:hAnsi="Palatino Linotype" w:cs="Palatino Linotype"/>
                <w:i/>
              </w:rPr>
            </w:pPr>
            <w:r w:rsidRPr="00EA4073">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both"/>
              <w:rPr>
                <w:rFonts w:ascii="Palatino Linotype" w:eastAsia="Palatino Linotype" w:hAnsi="Palatino Linotype" w:cs="Palatino Linotype"/>
                <w:i/>
              </w:rPr>
            </w:pPr>
            <w:r w:rsidRPr="00EA4073">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EA4073" w:rsidRPr="00EA407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67660" w:rsidRPr="00EA4073" w:rsidRDefault="008676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center"/>
              <w:rPr>
                <w:rFonts w:ascii="Palatino Linotype" w:eastAsia="Palatino Linotype" w:hAnsi="Palatino Linotype" w:cs="Palatino Linotype"/>
                <w:i/>
              </w:rPr>
            </w:pPr>
            <w:r w:rsidRPr="00EA4073">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both"/>
              <w:rPr>
                <w:rFonts w:ascii="Palatino Linotype" w:eastAsia="Palatino Linotype" w:hAnsi="Palatino Linotype" w:cs="Palatino Linotype"/>
                <w:i/>
              </w:rPr>
            </w:pPr>
            <w:r w:rsidRPr="00EA4073">
              <w:rPr>
                <w:rFonts w:ascii="Palatino Linotype" w:eastAsia="Palatino Linotype" w:hAnsi="Palatino Linotype" w:cs="Palatino Linotype"/>
                <w:i/>
              </w:rPr>
              <w:t>Rúbrica autógrafa de quien clasifica.</w:t>
            </w:r>
          </w:p>
        </w:tc>
      </w:tr>
      <w:tr w:rsidR="00EA4073" w:rsidRPr="00EA407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67660" w:rsidRPr="00EA4073" w:rsidRDefault="008676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center"/>
              <w:rPr>
                <w:rFonts w:ascii="Palatino Linotype" w:eastAsia="Palatino Linotype" w:hAnsi="Palatino Linotype" w:cs="Palatino Linotype"/>
                <w:i/>
              </w:rPr>
            </w:pPr>
            <w:r w:rsidRPr="00EA4073">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both"/>
              <w:rPr>
                <w:rFonts w:ascii="Palatino Linotype" w:eastAsia="Palatino Linotype" w:hAnsi="Palatino Linotype" w:cs="Palatino Linotype"/>
                <w:i/>
              </w:rPr>
            </w:pPr>
            <w:r w:rsidRPr="00EA4073">
              <w:rPr>
                <w:rFonts w:ascii="Palatino Linotype" w:eastAsia="Palatino Linotype" w:hAnsi="Palatino Linotype" w:cs="Palatino Linotype"/>
                <w:i/>
              </w:rPr>
              <w:t>Se anotará la fecha en que se desclasifica el documento.</w:t>
            </w:r>
          </w:p>
        </w:tc>
      </w:tr>
      <w:tr w:rsidR="00EA4073" w:rsidRPr="00EA407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67660" w:rsidRPr="00EA4073" w:rsidRDefault="008676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67660" w:rsidRPr="00EA4073" w:rsidRDefault="000E1A3E">
            <w:pPr>
              <w:jc w:val="center"/>
              <w:rPr>
                <w:rFonts w:ascii="Palatino Linotype" w:eastAsia="Palatino Linotype" w:hAnsi="Palatino Linotype" w:cs="Palatino Linotype"/>
                <w:i/>
              </w:rPr>
            </w:pPr>
            <w:r w:rsidRPr="00EA4073">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867660" w:rsidRPr="00EA4073" w:rsidRDefault="000E1A3E">
            <w:pPr>
              <w:rPr>
                <w:rFonts w:ascii="Palatino Linotype" w:eastAsia="Palatino Linotype" w:hAnsi="Palatino Linotype" w:cs="Palatino Linotype"/>
                <w:i/>
              </w:rPr>
            </w:pPr>
            <w:r w:rsidRPr="00EA4073">
              <w:rPr>
                <w:rFonts w:ascii="Palatino Linotype" w:eastAsia="Palatino Linotype" w:hAnsi="Palatino Linotype" w:cs="Palatino Linotype"/>
                <w:i/>
              </w:rPr>
              <w:t>Rúbrica autógrafa de quien desclasifica.</w:t>
            </w:r>
          </w:p>
        </w:tc>
      </w:tr>
    </w:tbl>
    <w:p w:rsidR="00867660" w:rsidRPr="00EA4073" w:rsidRDefault="00867660">
      <w:pPr>
        <w:spacing w:before="240" w:line="360" w:lineRule="auto"/>
        <w:ind w:right="51"/>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hd w:val="clear" w:color="auto" w:fill="FFFFFF"/>
        <w:spacing w:line="360" w:lineRule="auto"/>
        <w:ind w:right="51"/>
        <w:jc w:val="both"/>
        <w:rPr>
          <w:rFonts w:ascii="Palatino Linotype" w:eastAsia="Palatino Linotype" w:hAnsi="Palatino Linotype" w:cs="Palatino Linotype"/>
          <w:b/>
        </w:rPr>
      </w:pPr>
      <w:r w:rsidRPr="00EA407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EA4073">
        <w:rPr>
          <w:rFonts w:ascii="Palatino Linotype" w:eastAsia="Palatino Linotype" w:hAnsi="Palatino Linotype" w:cs="Palatino Linotype"/>
          <w:b/>
        </w:rPr>
        <w:t>RECURRENTE.</w:t>
      </w:r>
    </w:p>
    <w:p w:rsidR="00867660" w:rsidRPr="00EA4073" w:rsidRDefault="00867660">
      <w:pPr>
        <w:shd w:val="clear" w:color="auto" w:fill="FFFFFF"/>
        <w:spacing w:line="360" w:lineRule="auto"/>
        <w:ind w:right="51"/>
        <w:jc w:val="both"/>
        <w:rPr>
          <w:rFonts w:ascii="Palatino Linotype" w:eastAsia="Palatino Linotype" w:hAnsi="Palatino Linotype" w:cs="Palatino Linotype"/>
        </w:rPr>
      </w:pPr>
    </w:p>
    <w:p w:rsidR="00867660" w:rsidRPr="00EA4073" w:rsidRDefault="000E1A3E">
      <w:pPr>
        <w:spacing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w:t>
      </w:r>
      <w:r w:rsidRPr="00EA4073">
        <w:rPr>
          <w:rFonts w:ascii="Palatino Linotype" w:eastAsia="Palatino Linotype" w:hAnsi="Palatino Linotype" w:cs="Palatino Linotype"/>
        </w:rPr>
        <w:lastRenderedPageBreak/>
        <w:t>México y Municipios permite la elaboración de versiones públicas en las que se suprima aquella información relacionada con la vida privada.</w:t>
      </w:r>
    </w:p>
    <w:p w:rsidR="00867660" w:rsidRPr="00EA4073" w:rsidRDefault="00867660">
      <w:pPr>
        <w:spacing w:line="360" w:lineRule="auto"/>
        <w:jc w:val="both"/>
        <w:rPr>
          <w:rFonts w:ascii="Palatino Linotype" w:eastAsia="Palatino Linotype" w:hAnsi="Palatino Linotype" w:cs="Palatino Linotype"/>
        </w:rPr>
      </w:pPr>
    </w:p>
    <w:p w:rsidR="00867660" w:rsidRPr="00EA4073" w:rsidRDefault="000E1A3E">
      <w:pPr>
        <w:spacing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867660" w:rsidRPr="00EA4073" w:rsidRDefault="000E1A3E">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A4073">
        <w:rPr>
          <w:rFonts w:ascii="Palatino Linotype" w:eastAsia="Palatino Linotype" w:hAnsi="Palatino Linotype" w:cs="Palatino Linotype"/>
          <w:b/>
        </w:rPr>
        <w:t>R E S U E L V E:</w:t>
      </w:r>
    </w:p>
    <w:p w:rsidR="00867660" w:rsidRPr="00EA4073" w:rsidRDefault="000E1A3E">
      <w:pPr>
        <w:spacing w:before="240" w:after="240" w:line="360" w:lineRule="auto"/>
        <w:jc w:val="both"/>
        <w:rPr>
          <w:rFonts w:ascii="Palatino Linotype" w:eastAsia="Palatino Linotype" w:hAnsi="Palatino Linotype" w:cs="Palatino Linotype"/>
        </w:rPr>
      </w:pPr>
      <w:r w:rsidRPr="00EA4073">
        <w:rPr>
          <w:rFonts w:ascii="Palatino Linotype" w:eastAsia="Palatino Linotype" w:hAnsi="Palatino Linotype" w:cs="Palatino Linotype"/>
          <w:b/>
        </w:rPr>
        <w:t xml:space="preserve">Primero. </w:t>
      </w:r>
      <w:r w:rsidRPr="00EA4073">
        <w:rPr>
          <w:rFonts w:ascii="Palatino Linotype" w:eastAsia="Palatino Linotype" w:hAnsi="Palatino Linotype" w:cs="Palatino Linotype"/>
        </w:rPr>
        <w:t xml:space="preserve">Resultan fundados los motivos de inconformidad hechos valer por el </w:t>
      </w:r>
      <w:r w:rsidRPr="00EA4073">
        <w:rPr>
          <w:rFonts w:ascii="Palatino Linotype" w:eastAsia="Palatino Linotype" w:hAnsi="Palatino Linotype" w:cs="Palatino Linotype"/>
          <w:b/>
        </w:rPr>
        <w:t>RECURRENTE</w:t>
      </w:r>
      <w:r w:rsidRPr="00EA4073">
        <w:rPr>
          <w:rFonts w:ascii="Palatino Linotype" w:eastAsia="Palatino Linotype" w:hAnsi="Palatino Linotype" w:cs="Palatino Linotype"/>
        </w:rPr>
        <w:t xml:space="preserve"> en el Recurso de Revisión </w:t>
      </w:r>
      <w:r w:rsidRPr="00EA4073">
        <w:rPr>
          <w:rFonts w:ascii="Palatino Linotype" w:eastAsia="Palatino Linotype" w:hAnsi="Palatino Linotype" w:cs="Palatino Linotype"/>
          <w:b/>
        </w:rPr>
        <w:t xml:space="preserve">16434/INFOEM/IP/RR/2022; </w:t>
      </w:r>
      <w:r w:rsidRPr="00EA4073">
        <w:rPr>
          <w:rFonts w:ascii="Palatino Linotype" w:eastAsia="Palatino Linotype" w:hAnsi="Palatino Linotype" w:cs="Palatino Linotype"/>
        </w:rPr>
        <w:t xml:space="preserve">por lo que, en términos del considerando </w:t>
      </w:r>
      <w:r w:rsidRPr="00EA4073">
        <w:rPr>
          <w:rFonts w:ascii="Palatino Linotype" w:eastAsia="Palatino Linotype" w:hAnsi="Palatino Linotype" w:cs="Palatino Linotype"/>
          <w:b/>
        </w:rPr>
        <w:t xml:space="preserve">Cuarto </w:t>
      </w:r>
      <w:r w:rsidRPr="00EA4073">
        <w:rPr>
          <w:rFonts w:ascii="Palatino Linotype" w:eastAsia="Palatino Linotype" w:hAnsi="Palatino Linotype" w:cs="Palatino Linotype"/>
        </w:rPr>
        <w:t xml:space="preserve">de esta resolución, se </w:t>
      </w:r>
      <w:r w:rsidRPr="00EA4073">
        <w:rPr>
          <w:rFonts w:ascii="Palatino Linotype" w:eastAsia="Palatino Linotype" w:hAnsi="Palatino Linotype" w:cs="Palatino Linotype"/>
          <w:b/>
        </w:rPr>
        <w:t xml:space="preserve">REVOCA </w:t>
      </w:r>
      <w:r w:rsidRPr="00EA4073">
        <w:rPr>
          <w:rFonts w:ascii="Palatino Linotype" w:eastAsia="Palatino Linotype" w:hAnsi="Palatino Linotype" w:cs="Palatino Linotype"/>
        </w:rPr>
        <w:t xml:space="preserve">la respuesta emitida por 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w:t>
      </w:r>
    </w:p>
    <w:p w:rsidR="00867660" w:rsidRPr="00EA4073" w:rsidRDefault="000E1A3E">
      <w:pPr>
        <w:spacing w:before="240" w:after="240" w:line="360" w:lineRule="auto"/>
        <w:ind w:right="49"/>
        <w:jc w:val="both"/>
        <w:rPr>
          <w:rFonts w:ascii="Palatino Linotype" w:eastAsia="Palatino Linotype" w:hAnsi="Palatino Linotype" w:cs="Palatino Linotype"/>
        </w:rPr>
      </w:pPr>
      <w:r w:rsidRPr="00EA4073">
        <w:rPr>
          <w:rFonts w:ascii="Palatino Linotype" w:eastAsia="Palatino Linotype" w:hAnsi="Palatino Linotype" w:cs="Palatino Linotype"/>
          <w:b/>
        </w:rPr>
        <w:t xml:space="preserve">Segundo. </w:t>
      </w:r>
      <w:r w:rsidRPr="00EA4073">
        <w:rPr>
          <w:rFonts w:ascii="Palatino Linotype" w:eastAsia="Palatino Linotype" w:hAnsi="Palatino Linotype" w:cs="Palatino Linotype"/>
        </w:rPr>
        <w:t>Se</w:t>
      </w:r>
      <w:r w:rsidRPr="00EA4073">
        <w:rPr>
          <w:rFonts w:ascii="Palatino Linotype" w:eastAsia="Palatino Linotype" w:hAnsi="Palatino Linotype" w:cs="Palatino Linotype"/>
          <w:b/>
        </w:rPr>
        <w:t xml:space="preserve"> ORDENA </w:t>
      </w:r>
      <w:r w:rsidRPr="00EA4073">
        <w:rPr>
          <w:rFonts w:ascii="Palatino Linotype" w:eastAsia="Palatino Linotype" w:hAnsi="Palatino Linotype" w:cs="Palatino Linotype"/>
        </w:rPr>
        <w:t xml:space="preserve">al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a que,</w:t>
      </w:r>
      <w:r w:rsidRPr="00EA4073">
        <w:rPr>
          <w:rFonts w:ascii="Palatino Linotype" w:eastAsia="Palatino Linotype" w:hAnsi="Palatino Linotype" w:cs="Palatino Linotype"/>
          <w:b/>
        </w:rPr>
        <w:t xml:space="preserve"> </w:t>
      </w:r>
      <w:r w:rsidRPr="00EA4073">
        <w:rPr>
          <w:rFonts w:ascii="Palatino Linotype" w:eastAsia="Palatino Linotype" w:hAnsi="Palatino Linotype" w:cs="Palatino Linotype"/>
        </w:rPr>
        <w:t>en términos del Considerando Cuarto y Quinto, haga entrega previa búsqueda exhaustiva y razonable, vía SAIMEX, en versión pública de ser procedente, del documento o documentos en donde conste lo siguiente:</w:t>
      </w:r>
    </w:p>
    <w:p w:rsidR="00867660" w:rsidRPr="00EA4073" w:rsidRDefault="000E1A3E">
      <w:pPr>
        <w:numPr>
          <w:ilvl w:val="0"/>
          <w:numId w:val="6"/>
        </w:numPr>
        <w:pBdr>
          <w:top w:val="nil"/>
          <w:left w:val="nil"/>
          <w:bottom w:val="nil"/>
          <w:right w:val="nil"/>
          <w:between w:val="nil"/>
        </w:pBdr>
        <w:spacing w:before="240" w:line="360" w:lineRule="auto"/>
        <w:ind w:right="40"/>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rPr>
        <w:t>Los capitales y créditos a favor del Municipio de Zinacantepec, así como los productos generados por  los mismos del periodo comprendido del trece de octubre de dos mil veintiuno al trece de octubre de dos mil veintidós.</w:t>
      </w:r>
    </w:p>
    <w:p w:rsidR="00867660" w:rsidRPr="00EA4073" w:rsidRDefault="00867660">
      <w:pPr>
        <w:pBdr>
          <w:top w:val="nil"/>
          <w:left w:val="nil"/>
          <w:bottom w:val="nil"/>
          <w:right w:val="nil"/>
          <w:between w:val="nil"/>
        </w:pBdr>
        <w:spacing w:line="360" w:lineRule="auto"/>
        <w:ind w:left="720" w:right="40"/>
        <w:jc w:val="both"/>
        <w:rPr>
          <w:rFonts w:ascii="Palatino Linotype" w:eastAsia="Palatino Linotype" w:hAnsi="Palatino Linotype" w:cs="Palatino Linotype"/>
          <w:i/>
          <w:sz w:val="22"/>
          <w:szCs w:val="22"/>
        </w:rPr>
      </w:pPr>
    </w:p>
    <w:p w:rsidR="00867660" w:rsidRPr="00EA4073" w:rsidRDefault="000E1A3E">
      <w:pPr>
        <w:pBdr>
          <w:top w:val="nil"/>
          <w:left w:val="nil"/>
          <w:bottom w:val="nil"/>
          <w:right w:val="nil"/>
          <w:between w:val="nil"/>
        </w:pBdr>
        <w:spacing w:after="240" w:line="360" w:lineRule="auto"/>
        <w:ind w:left="720" w:right="40"/>
        <w:jc w:val="both"/>
        <w:rPr>
          <w:rFonts w:ascii="Palatino Linotype" w:eastAsia="Palatino Linotype" w:hAnsi="Palatino Linotype" w:cs="Palatino Linotype"/>
          <w:i/>
          <w:sz w:val="22"/>
          <w:szCs w:val="22"/>
        </w:rPr>
      </w:pPr>
      <w:r w:rsidRPr="00EA4073">
        <w:rPr>
          <w:rFonts w:ascii="Palatino Linotype" w:eastAsia="Palatino Linotype" w:hAnsi="Palatino Linotype" w:cs="Palatino Linotype"/>
          <w:i/>
          <w:sz w:val="22"/>
          <w:szCs w:val="22"/>
        </w:rPr>
        <w:lastRenderedPageBreak/>
        <w:t>De ser procedente,</w:t>
      </w:r>
      <w:r w:rsidRPr="00EA4073">
        <w:rPr>
          <w:rFonts w:ascii="Palatino Linotype" w:eastAsia="Palatino Linotype" w:hAnsi="Palatino Linotype" w:cs="Palatino Linotype"/>
        </w:rPr>
        <w:t xml:space="preserve"> </w:t>
      </w:r>
      <w:r w:rsidRPr="00EA4073">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867660" w:rsidRPr="00EA4073" w:rsidRDefault="000E1A3E">
      <w:pPr>
        <w:spacing w:line="360" w:lineRule="auto"/>
        <w:ind w:right="49"/>
        <w:jc w:val="both"/>
        <w:rPr>
          <w:rFonts w:ascii="Palatino Linotype" w:eastAsia="Palatino Linotype" w:hAnsi="Palatino Linotype" w:cs="Palatino Linotype"/>
        </w:rPr>
      </w:pPr>
      <w:r w:rsidRPr="00EA4073">
        <w:rPr>
          <w:rFonts w:ascii="Palatino Linotype" w:eastAsia="Palatino Linotype" w:hAnsi="Palatino Linotype" w:cs="Palatino Linotype"/>
          <w:b/>
        </w:rPr>
        <w:t xml:space="preserve">Tercero. Notifíquese, </w:t>
      </w:r>
      <w:r w:rsidRPr="00EA4073">
        <w:rPr>
          <w:rFonts w:ascii="Palatino Linotype" w:eastAsia="Palatino Linotype" w:hAnsi="Palatino Linotype" w:cs="Palatino Linotype"/>
        </w:rPr>
        <w:t xml:space="preserve">vía </w:t>
      </w:r>
      <w:r w:rsidRPr="00EA4073">
        <w:rPr>
          <w:rFonts w:ascii="Palatino Linotype" w:eastAsia="Palatino Linotype" w:hAnsi="Palatino Linotype" w:cs="Palatino Linotype"/>
          <w:b/>
        </w:rPr>
        <w:t>SAIMEX</w:t>
      </w:r>
      <w:r w:rsidRPr="00EA4073">
        <w:rPr>
          <w:rFonts w:ascii="Palatino Linotype" w:eastAsia="Palatino Linotype" w:hAnsi="Palatino Linotype" w:cs="Palatino Linotype"/>
        </w:rPr>
        <w:t xml:space="preserve">, al Titular de la Unidad de Transparencia del </w:t>
      </w:r>
      <w:r w:rsidRPr="00EA4073">
        <w:rPr>
          <w:rFonts w:ascii="Palatino Linotype" w:eastAsia="Palatino Linotype" w:hAnsi="Palatino Linotype" w:cs="Palatino Linotype"/>
          <w:b/>
        </w:rPr>
        <w:t>Sujeto Obligado,</w:t>
      </w:r>
      <w:r w:rsidRPr="00EA4073">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67660" w:rsidRPr="00EA4073" w:rsidRDefault="00867660">
      <w:pPr>
        <w:spacing w:line="360" w:lineRule="auto"/>
        <w:ind w:right="49"/>
        <w:jc w:val="both"/>
        <w:rPr>
          <w:rFonts w:ascii="Palatino Linotype" w:eastAsia="Palatino Linotype" w:hAnsi="Palatino Linotype" w:cs="Palatino Linotype"/>
          <w:b/>
        </w:rPr>
      </w:pPr>
    </w:p>
    <w:p w:rsidR="00867660" w:rsidRPr="00EA4073" w:rsidRDefault="000E1A3E">
      <w:pPr>
        <w:spacing w:line="360" w:lineRule="auto"/>
        <w:ind w:right="49"/>
        <w:jc w:val="both"/>
        <w:rPr>
          <w:rFonts w:ascii="Palatino Linotype" w:eastAsia="Palatino Linotype" w:hAnsi="Palatino Linotype" w:cs="Palatino Linotype"/>
        </w:rPr>
      </w:pPr>
      <w:r w:rsidRPr="00EA4073">
        <w:rPr>
          <w:rFonts w:ascii="Palatino Linotype" w:eastAsia="Palatino Linotype" w:hAnsi="Palatino Linotype" w:cs="Palatino Linotype"/>
          <w:b/>
        </w:rPr>
        <w:t>Cuarto. Notifíquese vía SAIMEX</w:t>
      </w:r>
      <w:r w:rsidRPr="00EA4073">
        <w:rPr>
          <w:rFonts w:ascii="Palatino Linotype" w:eastAsia="Palatino Linotype" w:hAnsi="Palatino Linotype" w:cs="Palatino Linotype"/>
        </w:rPr>
        <w:t xml:space="preserve">, a la parte </w:t>
      </w:r>
      <w:r w:rsidRPr="00EA4073">
        <w:rPr>
          <w:rFonts w:ascii="Palatino Linotype" w:eastAsia="Palatino Linotype" w:hAnsi="Palatino Linotype" w:cs="Palatino Linotype"/>
          <w:b/>
        </w:rPr>
        <w:t>RECURRENTE</w:t>
      </w:r>
      <w:r w:rsidRPr="00EA407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867660" w:rsidRPr="00EA4073" w:rsidRDefault="000E1A3E">
      <w:pPr>
        <w:spacing w:before="240" w:after="240" w:line="360" w:lineRule="auto"/>
        <w:jc w:val="both"/>
        <w:rPr>
          <w:rFonts w:ascii="Palatino Linotype" w:eastAsia="Palatino Linotype" w:hAnsi="Palatino Linotype" w:cs="Palatino Linotype"/>
          <w:b/>
        </w:rPr>
      </w:pPr>
      <w:r w:rsidRPr="00EA4073">
        <w:rPr>
          <w:rFonts w:ascii="Palatino Linotype" w:eastAsia="Palatino Linotype" w:hAnsi="Palatino Linotype" w:cs="Palatino Linotype"/>
          <w:b/>
        </w:rPr>
        <w:lastRenderedPageBreak/>
        <w:t>Quinto.</w:t>
      </w:r>
      <w:r w:rsidRPr="00EA4073">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867660" w:rsidRDefault="000E1A3E">
      <w:pPr>
        <w:spacing w:before="240" w:after="240" w:line="360" w:lineRule="auto"/>
        <w:jc w:val="both"/>
        <w:rPr>
          <w:rFonts w:ascii="Palatino Linotype" w:eastAsia="Palatino Linotype" w:hAnsi="Palatino Linotype" w:cs="Palatino Linotype"/>
        </w:rPr>
      </w:pPr>
      <w:bookmarkStart w:id="5" w:name="_heading=h.17dp8vu" w:colFirst="0" w:colLast="0"/>
      <w:bookmarkEnd w:id="5"/>
      <w:r w:rsidRPr="00EA4073">
        <w:rPr>
          <w:rFonts w:ascii="Palatino Linotype" w:eastAsia="Palatino Linotype" w:hAnsi="Palatino Linotype" w:cs="Palatino Linotype"/>
        </w:rPr>
        <w:t xml:space="preserve">ASÍ LO APROBÓ POR UNANIMIDAD DE VOTOS EL PLENO DEL INSTITUTO DE TRANSPARENCIA, ACCESO A LA INFORMACIÓN PÚBLICA Y PROTECCIÓN DE DATOS PERSONALES DEL ESTADO DE MÉXICO Y MUNICIPIOS, CONFORMADO POR LOS COMISIONADOS JOSÉ MARTÍNEZ VILCHIS; </w:t>
      </w:r>
      <w:r w:rsidR="008043CF">
        <w:rPr>
          <w:rFonts w:ascii="Palatino Linotype" w:eastAsia="Palatino Linotype" w:hAnsi="Palatino Linotype" w:cs="Palatino Linotype"/>
        </w:rPr>
        <w:t>MARÍA DEL ROSARIO MEJÍ</w:t>
      </w:r>
      <w:r w:rsidRPr="00EA4073">
        <w:rPr>
          <w:rFonts w:ascii="Palatino Linotype" w:eastAsia="Palatino Linotype" w:hAnsi="Palatino Linotype" w:cs="Palatino Linotype"/>
        </w:rPr>
        <w:t>A AYA</w:t>
      </w:r>
      <w:r w:rsidR="008043CF">
        <w:rPr>
          <w:rFonts w:ascii="Palatino Linotype" w:eastAsia="Palatino Linotype" w:hAnsi="Palatino Linotype" w:cs="Palatino Linotype"/>
        </w:rPr>
        <w:t>LA</w:t>
      </w:r>
      <w:r w:rsidR="00A42052">
        <w:rPr>
          <w:rFonts w:ascii="Palatino Linotype" w:eastAsia="Palatino Linotype" w:hAnsi="Palatino Linotype" w:cs="Palatino Linotype"/>
        </w:rPr>
        <w:t>;</w:t>
      </w:r>
      <w:r w:rsidR="008043CF">
        <w:rPr>
          <w:rFonts w:ascii="Palatino Linotype" w:eastAsia="Palatino Linotype" w:hAnsi="Palatino Linotype" w:cs="Palatino Linotype"/>
        </w:rPr>
        <w:t xml:space="preserve"> SHARON CRISTINA MORALES MARTÍ</w:t>
      </w:r>
      <w:r w:rsidRPr="00EA4073">
        <w:rPr>
          <w:rFonts w:ascii="Palatino Linotype" w:eastAsia="Palatino Linotype" w:hAnsi="Palatino Linotype" w:cs="Palatino Linotype"/>
        </w:rPr>
        <w:t>NEZ: LUIS GUSTAVO PARRA NORIEGA Y GUADALUPE RAMÍREZ PEÑA; EN LA VIGÉSIMA TERCERA SESIÓN ORDINARIA CELEBRADA EL VEINTIUNO DE JUNIO DE DOS MIL VEINTITRÉS, ANTE LA COORDINADORA DE PROYECTOS CATALINA CAMARILLO ROSAS, EN SUPLENCIA DEL SECRETARIO TÉCNICO DEL PLENO ALEXIS TAPIA RAMÍREZ.</w:t>
      </w:r>
    </w:p>
    <w:p w:rsidR="00A42052" w:rsidRDefault="00A42052">
      <w:pPr>
        <w:spacing w:before="240" w:after="240" w:line="360" w:lineRule="auto"/>
        <w:jc w:val="both"/>
        <w:rPr>
          <w:rFonts w:ascii="Palatino Linotype" w:eastAsia="Palatino Linotype" w:hAnsi="Palatino Linotype" w:cs="Palatino Linotype"/>
        </w:rPr>
      </w:pPr>
    </w:p>
    <w:p w:rsidR="00A42052" w:rsidRDefault="00A42052">
      <w:pPr>
        <w:spacing w:before="240" w:after="240" w:line="360" w:lineRule="auto"/>
        <w:jc w:val="both"/>
        <w:rPr>
          <w:rFonts w:ascii="Palatino Linotype" w:eastAsia="Palatino Linotype" w:hAnsi="Palatino Linotype" w:cs="Palatino Linotype"/>
        </w:rPr>
      </w:pPr>
    </w:p>
    <w:p w:rsidR="00A42052" w:rsidRDefault="00A42052">
      <w:pPr>
        <w:spacing w:before="240" w:after="240" w:line="360" w:lineRule="auto"/>
        <w:jc w:val="both"/>
        <w:rPr>
          <w:rFonts w:ascii="Palatino Linotype" w:eastAsia="Palatino Linotype" w:hAnsi="Palatino Linotype" w:cs="Palatino Linotype"/>
        </w:rPr>
      </w:pPr>
    </w:p>
    <w:p w:rsidR="00A42052" w:rsidRDefault="00A42052">
      <w:pPr>
        <w:spacing w:before="240" w:after="240" w:line="360" w:lineRule="auto"/>
        <w:jc w:val="both"/>
        <w:rPr>
          <w:rFonts w:ascii="Palatino Linotype" w:eastAsia="Palatino Linotype" w:hAnsi="Palatino Linotype" w:cs="Palatino Linotype"/>
        </w:rPr>
      </w:pPr>
    </w:p>
    <w:p w:rsidR="00A42052" w:rsidRDefault="00A42052">
      <w:pPr>
        <w:spacing w:before="240" w:after="240" w:line="360" w:lineRule="auto"/>
        <w:jc w:val="both"/>
        <w:rPr>
          <w:rFonts w:ascii="Palatino Linotype" w:eastAsia="Palatino Linotype" w:hAnsi="Palatino Linotype" w:cs="Palatino Linotype"/>
        </w:rPr>
      </w:pPr>
    </w:p>
    <w:p w:rsidR="00A42052" w:rsidRDefault="00A42052">
      <w:pPr>
        <w:spacing w:before="240" w:after="240" w:line="360" w:lineRule="auto"/>
        <w:jc w:val="both"/>
        <w:rPr>
          <w:rFonts w:ascii="Palatino Linotype" w:eastAsia="Palatino Linotype" w:hAnsi="Palatino Linotype" w:cs="Palatino Linotype"/>
        </w:rPr>
      </w:pPr>
    </w:p>
    <w:p w:rsidR="00A42052" w:rsidRDefault="00A42052">
      <w:pPr>
        <w:spacing w:before="240" w:after="240" w:line="360" w:lineRule="auto"/>
        <w:jc w:val="both"/>
        <w:rPr>
          <w:rFonts w:ascii="Palatino Linotype" w:eastAsia="Palatino Linotype" w:hAnsi="Palatino Linotype" w:cs="Palatino Linotype"/>
        </w:rPr>
      </w:pPr>
    </w:p>
    <w:p w:rsidR="00A42052" w:rsidRPr="00EA4073" w:rsidRDefault="00A42052">
      <w:pPr>
        <w:spacing w:before="240" w:after="240" w:line="360" w:lineRule="auto"/>
        <w:jc w:val="both"/>
        <w:rPr>
          <w:rFonts w:ascii="Palatino Linotype" w:eastAsia="Palatino Linotype" w:hAnsi="Palatino Linotype" w:cs="Palatino Linotype"/>
        </w:rPr>
      </w:pPr>
    </w:p>
    <w:sectPr w:rsidR="00A42052" w:rsidRPr="00EA4073">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5D6" w:rsidRDefault="00AA45D6">
      <w:r>
        <w:separator/>
      </w:r>
    </w:p>
  </w:endnote>
  <w:endnote w:type="continuationSeparator" w:id="0">
    <w:p w:rsidR="00AA45D6" w:rsidRDefault="00AA4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m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60" w:rsidRDefault="000E1A3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672C">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672C">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rsidR="00867660" w:rsidRDefault="0086766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60" w:rsidRDefault="000E1A3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672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672C">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rsidR="00867660" w:rsidRDefault="0086766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5D6" w:rsidRDefault="00AA45D6">
      <w:r>
        <w:separator/>
      </w:r>
    </w:p>
  </w:footnote>
  <w:footnote w:type="continuationSeparator" w:id="0">
    <w:p w:rsidR="00AA45D6" w:rsidRDefault="00AA45D6">
      <w:r>
        <w:continuationSeparator/>
      </w:r>
    </w:p>
  </w:footnote>
  <w:footnote w:id="1">
    <w:p w:rsidR="00867660" w:rsidRDefault="000E1A3E">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rsidR="00867660" w:rsidRDefault="000E1A3E">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60" w:rsidRDefault="000E1A3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-1080131</wp:posOffset>
          </wp:positionH>
          <wp:positionV relativeFrom="paragraph">
            <wp:posOffset>-488311</wp:posOffset>
          </wp:positionV>
          <wp:extent cx="7809865" cy="10165715"/>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953" w:type="dxa"/>
      <w:tblInd w:w="3261" w:type="dxa"/>
      <w:tblLayout w:type="fixed"/>
      <w:tblLook w:val="0400" w:firstRow="0" w:lastRow="0" w:firstColumn="0" w:lastColumn="0" w:noHBand="0" w:noVBand="1"/>
    </w:tblPr>
    <w:tblGrid>
      <w:gridCol w:w="2489"/>
      <w:gridCol w:w="3464"/>
    </w:tblGrid>
    <w:tr w:rsidR="00867660">
      <w:tc>
        <w:tcPr>
          <w:tcW w:w="2489" w:type="dxa"/>
          <w:shd w:val="clear" w:color="auto" w:fill="auto"/>
        </w:tcPr>
        <w:p w:rsidR="00867660" w:rsidRDefault="000E1A3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867660" w:rsidRDefault="000E1A3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16434/INFOEM/IP/RR/2022</w:t>
          </w:r>
        </w:p>
      </w:tc>
    </w:tr>
    <w:tr w:rsidR="00867660">
      <w:trPr>
        <w:trHeight w:val="228"/>
      </w:trPr>
      <w:tc>
        <w:tcPr>
          <w:tcW w:w="2489" w:type="dxa"/>
          <w:shd w:val="clear" w:color="auto" w:fill="auto"/>
          <w:vAlign w:val="center"/>
        </w:tcPr>
        <w:p w:rsidR="00867660" w:rsidRDefault="000E1A3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867660" w:rsidRDefault="000E1A3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867660">
      <w:tc>
        <w:tcPr>
          <w:tcW w:w="2489" w:type="dxa"/>
          <w:shd w:val="clear" w:color="auto" w:fill="auto"/>
          <w:vAlign w:val="center"/>
        </w:tcPr>
        <w:p w:rsidR="00867660" w:rsidRDefault="000E1A3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867660" w:rsidRDefault="000E1A3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867660" w:rsidRDefault="000E1A3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60" w:rsidRDefault="0086766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b"/>
      <w:tblW w:w="5670" w:type="dxa"/>
      <w:tblInd w:w="3261" w:type="dxa"/>
      <w:tblLayout w:type="fixed"/>
      <w:tblLook w:val="0400" w:firstRow="0" w:lastRow="0" w:firstColumn="0" w:lastColumn="0" w:noHBand="0" w:noVBand="1"/>
    </w:tblPr>
    <w:tblGrid>
      <w:gridCol w:w="2551"/>
      <w:gridCol w:w="3119"/>
    </w:tblGrid>
    <w:tr w:rsidR="00867660">
      <w:tc>
        <w:tcPr>
          <w:tcW w:w="2551" w:type="dxa"/>
          <w:shd w:val="clear" w:color="auto" w:fill="auto"/>
          <w:vAlign w:val="center"/>
        </w:tcPr>
        <w:p w:rsidR="00867660" w:rsidRDefault="000E1A3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867660" w:rsidRDefault="000E1A3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16434/INFOEM/IP/RR/2022</w:t>
          </w:r>
        </w:p>
      </w:tc>
    </w:tr>
    <w:tr w:rsidR="00867660">
      <w:trPr>
        <w:trHeight w:val="130"/>
      </w:trPr>
      <w:tc>
        <w:tcPr>
          <w:tcW w:w="2551" w:type="dxa"/>
          <w:shd w:val="clear" w:color="auto" w:fill="auto"/>
          <w:vAlign w:val="center"/>
        </w:tcPr>
        <w:p w:rsidR="00867660" w:rsidRDefault="000E1A3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867660" w:rsidRDefault="00867660">
          <w:pPr>
            <w:ind w:left="-45" w:right="176"/>
            <w:jc w:val="both"/>
            <w:rPr>
              <w:rFonts w:ascii="Palatino Linotype" w:eastAsia="Palatino Linotype" w:hAnsi="Palatino Linotype" w:cs="Palatino Linotype"/>
              <w:b/>
              <w:sz w:val="22"/>
              <w:szCs w:val="22"/>
            </w:rPr>
          </w:pPr>
        </w:p>
      </w:tc>
    </w:tr>
    <w:tr w:rsidR="00867660">
      <w:trPr>
        <w:trHeight w:val="228"/>
      </w:trPr>
      <w:tc>
        <w:tcPr>
          <w:tcW w:w="2551" w:type="dxa"/>
          <w:shd w:val="clear" w:color="auto" w:fill="auto"/>
          <w:vAlign w:val="center"/>
        </w:tcPr>
        <w:p w:rsidR="00867660" w:rsidRDefault="000E1A3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867660" w:rsidRDefault="000E1A3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867660">
      <w:tc>
        <w:tcPr>
          <w:tcW w:w="2551" w:type="dxa"/>
          <w:shd w:val="clear" w:color="auto" w:fill="auto"/>
          <w:vAlign w:val="center"/>
        </w:tcPr>
        <w:p w:rsidR="00867660" w:rsidRDefault="000E1A3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867660" w:rsidRDefault="000E1A3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867660" w:rsidRDefault="000E1A3E">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-1089656</wp:posOffset>
          </wp:positionH>
          <wp:positionV relativeFrom="paragraph">
            <wp:posOffset>-1169666</wp:posOffset>
          </wp:positionV>
          <wp:extent cx="7809865" cy="10165715"/>
          <wp:effectExtent l="0" t="0" r="0" b="0"/>
          <wp:wrapNone/>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D6284E"/>
    <w:multiLevelType w:val="multilevel"/>
    <w:tmpl w:val="DB90A4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A9113AA"/>
    <w:multiLevelType w:val="multilevel"/>
    <w:tmpl w:val="0C627D2E"/>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nsid w:val="3C1231FA"/>
    <w:multiLevelType w:val="multilevel"/>
    <w:tmpl w:val="E3283C0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71F3843"/>
    <w:multiLevelType w:val="multilevel"/>
    <w:tmpl w:val="59BCECF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BA17EC4"/>
    <w:multiLevelType w:val="multilevel"/>
    <w:tmpl w:val="DE0874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74E42AC4"/>
    <w:multiLevelType w:val="multilevel"/>
    <w:tmpl w:val="9F10C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660"/>
    <w:rsid w:val="000D672C"/>
    <w:rsid w:val="000E1A3E"/>
    <w:rsid w:val="008043CF"/>
    <w:rsid w:val="00867660"/>
    <w:rsid w:val="008D7019"/>
    <w:rsid w:val="00A42052"/>
    <w:rsid w:val="00AA45D6"/>
    <w:rsid w:val="00EA40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E4450F-7E9F-4CDB-BA6F-4BA46E786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32403.page" TargetMode="External"/><Relationship Id="rId13" Type="http://schemas.openxmlformats.org/officeDocument/2006/relationships/hyperlink" Target="https://www.ipomex.org.mx/ipo3/lgt/indice/ZINACANTEPEC/art_92_xxvi.web"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zinacantepec.gob.mx/conac.php"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1674975.page"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OJjgXxsJGkMPVHu32vaDkNTOXQ==">CgMxLjAyCGguZ2pkZ3hzMgloLjMwajB6bGwyCWguMnM4ZXlvMTIIaC50eWpjd3QyCWguMTdkcDh2dTgAciExVDlnMFFKdG9YS21NV29mSXdxMnZXV29OR01pMVA2STc=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11154</Words>
  <Characters>61350</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2023-06-23T19:09:00Z</cp:lastPrinted>
  <dcterms:created xsi:type="dcterms:W3CDTF">2023-06-29T19:14:00Z</dcterms:created>
  <dcterms:modified xsi:type="dcterms:W3CDTF">2023-06-29T19:14:00Z</dcterms:modified>
</cp:coreProperties>
</file>