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81A77" w14:textId="77777777" w:rsidR="00866C63" w:rsidRDefault="00062E12">
      <w:pPr>
        <w:spacing w:before="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seis de diciembre de dos mil veintitrés.</w:t>
      </w:r>
    </w:p>
    <w:p w14:paraId="7B5C28B5" w14:textId="77777777" w:rsidR="00866C63" w:rsidRDefault="00866C63">
      <w:pPr>
        <w:spacing w:line="360" w:lineRule="auto"/>
        <w:rPr>
          <w:rFonts w:ascii="Palatino Linotype" w:eastAsia="Palatino Linotype" w:hAnsi="Palatino Linotype" w:cs="Palatino Linotype"/>
          <w:sz w:val="24"/>
          <w:szCs w:val="24"/>
        </w:rPr>
      </w:pPr>
    </w:p>
    <w:p w14:paraId="1992B406" w14:textId="72792A5B"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02849/INFOEM/IP/RR/2023</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sz w:val="24"/>
          <w:szCs w:val="24"/>
        </w:rPr>
        <w:t xml:space="preserve"> X</w:t>
      </w:r>
      <w:r w:rsidR="006F3C0D">
        <w:rPr>
          <w:rFonts w:ascii="Palatino Linotype" w:eastAsia="Palatino Linotype" w:hAnsi="Palatino Linotype" w:cs="Palatino Linotype"/>
          <w:b/>
          <w:sz w:val="24"/>
          <w:szCs w:val="24"/>
        </w:rPr>
        <w:t>XXXXXXX</w:t>
      </w:r>
      <w:r>
        <w:rPr>
          <w:rFonts w:ascii="Palatino Linotype" w:eastAsia="Palatino Linotype" w:hAnsi="Palatino Linotype" w:cs="Palatino Linotype"/>
          <w:b/>
          <w:sz w:val="24"/>
          <w:szCs w:val="24"/>
        </w:rPr>
        <w:t xml:space="preserve"> X</w:t>
      </w:r>
      <w:r w:rsidR="006F3C0D">
        <w:rPr>
          <w:rFonts w:ascii="Palatino Linotype" w:eastAsia="Palatino Linotype" w:hAnsi="Palatino Linotype" w:cs="Palatino Linotype"/>
          <w:b/>
          <w:sz w:val="24"/>
          <w:szCs w:val="24"/>
        </w:rPr>
        <w:t xml:space="preserve">XXXXXXXX </w:t>
      </w:r>
      <w:r>
        <w:rPr>
          <w:rFonts w:ascii="Palatino Linotype" w:eastAsia="Palatino Linotype" w:hAnsi="Palatino Linotype" w:cs="Palatino Linotype"/>
          <w:b/>
          <w:sz w:val="24"/>
          <w:szCs w:val="24"/>
        </w:rPr>
        <w:t>X</w:t>
      </w:r>
      <w:r w:rsidR="006F3C0D">
        <w:rPr>
          <w:rFonts w:ascii="Palatino Linotype" w:eastAsia="Palatino Linotype" w:hAnsi="Palatino Linotype" w:cs="Palatino Linotype"/>
          <w:b/>
          <w:sz w:val="24"/>
          <w:szCs w:val="24"/>
        </w:rPr>
        <w:t>XXXXXXXX</w:t>
      </w:r>
      <w:r>
        <w:rPr>
          <w:rFonts w:ascii="Palatino Linotype" w:eastAsia="Palatino Linotype" w:hAnsi="Palatino Linotype" w:cs="Palatino Linotype"/>
          <w:sz w:val="24"/>
          <w:szCs w:val="24"/>
        </w:rPr>
        <w:t xml:space="preserve">,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00036/XALATLA/IP/2023</w:t>
      </w:r>
      <w:r>
        <w:rPr>
          <w:rFonts w:ascii="Palatino Linotype" w:eastAsia="Palatino Linotype" w:hAnsi="Palatino Linotype" w:cs="Palatino Linotype"/>
          <w:sz w:val="24"/>
          <w:szCs w:val="24"/>
        </w:rPr>
        <w:t>, por parte del</w:t>
      </w:r>
      <w:r>
        <w:rPr>
          <w:rFonts w:ascii="Palatino Linotype" w:eastAsia="Palatino Linotype" w:hAnsi="Palatino Linotype" w:cs="Palatino Linotype"/>
          <w:b/>
          <w:sz w:val="24"/>
          <w:szCs w:val="24"/>
        </w:rPr>
        <w:t xml:space="preserve"> Ayuntamiento de Xalatlaco</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14:paraId="2C10FEDB" w14:textId="77777777" w:rsidR="00866C63" w:rsidRDefault="00866C63"/>
    <w:p w14:paraId="230DE5A3" w14:textId="77777777" w:rsidR="00866C63" w:rsidRDefault="00062E12">
      <w:pPr>
        <w:spacing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14:paraId="672F5C07" w14:textId="77777777" w:rsidR="00866C63" w:rsidRDefault="00866C63">
      <w:pPr>
        <w:spacing w:line="360" w:lineRule="auto"/>
        <w:jc w:val="both"/>
        <w:rPr>
          <w:rFonts w:ascii="Palatino Linotype" w:eastAsia="Palatino Linotype" w:hAnsi="Palatino Linotype" w:cs="Palatino Linotype"/>
          <w:sz w:val="24"/>
          <w:szCs w:val="24"/>
        </w:rPr>
      </w:pPr>
    </w:p>
    <w:p w14:paraId="1EEA7321" w14:textId="77777777" w:rsidR="00866C63" w:rsidRDefault="00062E12">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dieciséis de mayo de dos mil veintitrés,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00036/XALATLA/IP/2023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234F72C3" w14:textId="77777777" w:rsidR="00866C63" w:rsidRDefault="00866C63">
      <w:pPr>
        <w:spacing w:line="360" w:lineRule="auto"/>
        <w:ind w:right="49"/>
        <w:jc w:val="both"/>
        <w:rPr>
          <w:rFonts w:ascii="Palatino Linotype" w:eastAsia="Palatino Linotype" w:hAnsi="Palatino Linotype" w:cs="Palatino Linotype"/>
          <w:sz w:val="24"/>
          <w:szCs w:val="24"/>
        </w:rPr>
      </w:pPr>
    </w:p>
    <w:p w14:paraId="39F2580A" w14:textId="77777777" w:rsidR="00866C63" w:rsidRDefault="00062E12">
      <w:pPr>
        <w:spacing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color w:val="000000"/>
        </w:rPr>
        <w:t>cual</w:t>
      </w:r>
      <w:proofErr w:type="spellEnd"/>
      <w:r>
        <w:rPr>
          <w:rFonts w:ascii="Palatino Linotype" w:eastAsia="Palatino Linotype" w:hAnsi="Palatino Linotype" w:cs="Palatino Linotype"/>
          <w:i/>
          <w:color w:val="000000"/>
        </w:rPr>
        <w:t xml:space="preserve"> fue el medio para adquirir el servicio y dispersión de combustibles para el ayuntamiento, </w:t>
      </w:r>
      <w:proofErr w:type="spellStart"/>
      <w:r>
        <w:rPr>
          <w:rFonts w:ascii="Palatino Linotype" w:eastAsia="Palatino Linotype" w:hAnsi="Palatino Linotype" w:cs="Palatino Linotype"/>
          <w:i/>
          <w:color w:val="000000"/>
        </w:rPr>
        <w:t>asi</w:t>
      </w:r>
      <w:proofErr w:type="spellEnd"/>
      <w:r>
        <w:rPr>
          <w:rFonts w:ascii="Palatino Linotype" w:eastAsia="Palatino Linotype" w:hAnsi="Palatino Linotype" w:cs="Palatino Linotype"/>
          <w:i/>
          <w:color w:val="000000"/>
        </w:rPr>
        <w:t xml:space="preserve"> mismo requiero el contrato y </w:t>
      </w:r>
      <w:proofErr w:type="spellStart"/>
      <w:r>
        <w:rPr>
          <w:rFonts w:ascii="Palatino Linotype" w:eastAsia="Palatino Linotype" w:hAnsi="Palatino Linotype" w:cs="Palatino Linotype"/>
          <w:i/>
          <w:color w:val="000000"/>
        </w:rPr>
        <w:t>bitacoras</w:t>
      </w:r>
      <w:proofErr w:type="spellEnd"/>
      <w:r>
        <w:rPr>
          <w:rFonts w:ascii="Palatino Linotype" w:eastAsia="Palatino Linotype" w:hAnsi="Palatino Linotype" w:cs="Palatino Linotype"/>
          <w:i/>
          <w:color w:val="000000"/>
        </w:rPr>
        <w:t xml:space="preserve"> de </w:t>
      </w:r>
      <w:proofErr w:type="spellStart"/>
      <w:r>
        <w:rPr>
          <w:rFonts w:ascii="Palatino Linotype" w:eastAsia="Palatino Linotype" w:hAnsi="Palatino Linotype" w:cs="Palatino Linotype"/>
          <w:i/>
          <w:color w:val="000000"/>
        </w:rPr>
        <w:t>dispersion</w:t>
      </w:r>
      <w:proofErr w:type="spellEnd"/>
      <w:r>
        <w:rPr>
          <w:rFonts w:ascii="Palatino Linotype" w:eastAsia="Palatino Linotype" w:hAnsi="Palatino Linotype" w:cs="Palatino Linotype"/>
          <w:i/>
          <w:color w:val="000000"/>
        </w:rPr>
        <w:t xml:space="preserve"> del combustible” (Sic).</w:t>
      </w:r>
    </w:p>
    <w:p w14:paraId="21285020" w14:textId="77777777" w:rsidR="00866C63" w:rsidRDefault="00866C63">
      <w:pPr>
        <w:spacing w:line="276" w:lineRule="auto"/>
        <w:ind w:left="709" w:right="758"/>
        <w:jc w:val="both"/>
        <w:rPr>
          <w:rFonts w:ascii="Palatino Linotype" w:eastAsia="Palatino Linotype" w:hAnsi="Palatino Linotype" w:cs="Palatino Linotype"/>
          <w:i/>
          <w:color w:val="000000"/>
        </w:rPr>
      </w:pPr>
    </w:p>
    <w:p w14:paraId="2296A2F5" w14:textId="77777777" w:rsidR="00866C63" w:rsidRDefault="00062E12">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07F667D9" w14:textId="77777777" w:rsidR="00866C63" w:rsidRDefault="00062E12">
      <w:pPr>
        <w:spacing w:line="360" w:lineRule="auto"/>
        <w:jc w:val="both"/>
      </w:pPr>
      <w:r>
        <w:rPr>
          <w:rFonts w:ascii="Palatino Linotype" w:eastAsia="Palatino Linotype" w:hAnsi="Palatino Linotype" w:cs="Palatino Linotype"/>
          <w:b/>
          <w:sz w:val="24"/>
          <w:szCs w:val="24"/>
        </w:rPr>
        <w:lastRenderedPageBreak/>
        <w:t xml:space="preserve">2. RESPUESTA.  </w:t>
      </w:r>
      <w:r>
        <w:rPr>
          <w:rFonts w:ascii="Palatino Linotype" w:eastAsia="Palatino Linotype" w:hAnsi="Palatino Linotype" w:cs="Palatino Linotype"/>
          <w:sz w:val="24"/>
          <w:szCs w:val="24"/>
        </w:rPr>
        <w:t xml:space="preserve">Con fecha veintidós de mayo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12FAB751" w14:textId="77777777" w:rsidR="00866C63" w:rsidRDefault="00866C63">
      <w:pPr>
        <w:spacing w:line="360" w:lineRule="auto"/>
        <w:jc w:val="both"/>
      </w:pPr>
    </w:p>
    <w:p w14:paraId="37575CD8" w14:textId="77777777" w:rsidR="00866C63" w:rsidRDefault="00062E12">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roofErr w:type="spellStart"/>
      <w:r>
        <w:rPr>
          <w:rFonts w:ascii="Palatino Linotype" w:eastAsia="Palatino Linotype" w:hAnsi="Palatino Linotype" w:cs="Palatino Linotype"/>
          <w:i/>
        </w:rPr>
        <w:t>cual</w:t>
      </w:r>
      <w:proofErr w:type="spellEnd"/>
      <w:r>
        <w:rPr>
          <w:rFonts w:ascii="Palatino Linotype" w:eastAsia="Palatino Linotype" w:hAnsi="Palatino Linotype" w:cs="Palatino Linotype"/>
          <w:i/>
        </w:rPr>
        <w:t xml:space="preserve"> fue el medio de dispersión de combustible para el ayuntamiento</w:t>
      </w:r>
    </w:p>
    <w:p w14:paraId="2D9189B6" w14:textId="77777777" w:rsidR="00866C63" w:rsidRDefault="00062E12">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435CCA48" w14:textId="77777777" w:rsidR="00866C63" w:rsidRDefault="00062E12">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CÉSAR MANUEL GARCÉS ROJAS”</w:t>
      </w:r>
    </w:p>
    <w:p w14:paraId="59C90AB7" w14:textId="77777777" w:rsidR="00866C63" w:rsidRDefault="00866C63">
      <w:pPr>
        <w:spacing w:line="360" w:lineRule="auto"/>
        <w:jc w:val="both"/>
        <w:rPr>
          <w:rFonts w:ascii="Palatino Linotype" w:eastAsia="Palatino Linotype" w:hAnsi="Palatino Linotype" w:cs="Palatino Linotype"/>
          <w:b/>
          <w:sz w:val="24"/>
          <w:szCs w:val="24"/>
        </w:rPr>
      </w:pPr>
    </w:p>
    <w:p w14:paraId="10ACF12A"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tal efecto adjuntó el archivo electrónico:</w:t>
      </w:r>
    </w:p>
    <w:p w14:paraId="55AC9433" w14:textId="77777777" w:rsidR="00866C63" w:rsidRDefault="00866C63">
      <w:pPr>
        <w:spacing w:line="360" w:lineRule="auto"/>
        <w:jc w:val="both"/>
        <w:rPr>
          <w:rFonts w:ascii="Palatino Linotype" w:eastAsia="Palatino Linotype" w:hAnsi="Palatino Linotype" w:cs="Palatino Linotype"/>
          <w:sz w:val="24"/>
          <w:szCs w:val="24"/>
        </w:rPr>
      </w:pPr>
    </w:p>
    <w:p w14:paraId="58BE4E5B"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roofErr w:type="spellStart"/>
      <w:r>
        <w:rPr>
          <w:rFonts w:ascii="Palatino Linotype" w:eastAsia="Palatino Linotype" w:hAnsi="Palatino Linotype" w:cs="Palatino Linotype"/>
          <w:b/>
          <w:i/>
          <w:sz w:val="24"/>
          <w:szCs w:val="24"/>
          <w:u w:val="single"/>
        </w:rPr>
        <w:t>CamScanner</w:t>
      </w:r>
      <w:proofErr w:type="spellEnd"/>
      <w:r>
        <w:rPr>
          <w:rFonts w:ascii="Palatino Linotype" w:eastAsia="Palatino Linotype" w:hAnsi="Palatino Linotype" w:cs="Palatino Linotype"/>
          <w:b/>
          <w:i/>
          <w:sz w:val="24"/>
          <w:szCs w:val="24"/>
          <w:u w:val="single"/>
        </w:rPr>
        <w:t xml:space="preserve"> 22-05-2023 12.51.pdf</w:t>
      </w:r>
      <w:r>
        <w:rPr>
          <w:rFonts w:ascii="Palatino Linotype" w:eastAsia="Palatino Linotype" w:hAnsi="Palatino Linotype" w:cs="Palatino Linotype"/>
          <w:sz w:val="24"/>
          <w:szCs w:val="24"/>
        </w:rPr>
        <w:t xml:space="preserve">”: Oficio de fecha diecinueve de mayo de dos mil veintitrés, signado por el Titular de la Dirección de Administración, mediante el cual solicita sea aclarado y/o puntualizado el periodo del cual se requiere la información, lo anterior para estar en posibilidades de responder concretamente. </w:t>
      </w:r>
    </w:p>
    <w:p w14:paraId="17D0CD22" w14:textId="77777777" w:rsidR="00866C63" w:rsidRDefault="00866C63">
      <w:pPr>
        <w:spacing w:line="360" w:lineRule="auto"/>
        <w:jc w:val="both"/>
        <w:rPr>
          <w:rFonts w:ascii="Palatino Linotype" w:eastAsia="Palatino Linotype" w:hAnsi="Palatino Linotype" w:cs="Palatino Linotype"/>
          <w:sz w:val="24"/>
          <w:szCs w:val="24"/>
        </w:rPr>
      </w:pPr>
    </w:p>
    <w:p w14:paraId="405A3D2F" w14:textId="77777777" w:rsidR="00866C63" w:rsidRDefault="00062E12">
      <w:pPr>
        <w:spacing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veintidós de mayo de dos mil veintitrés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sz w:val="24"/>
          <w:szCs w:val="24"/>
        </w:rPr>
        <w:t>02849/INFOEM/IP/RR/2023</w:t>
      </w:r>
      <w:r>
        <w:rPr>
          <w:rFonts w:ascii="Palatino Linotype" w:eastAsia="Palatino Linotype" w:hAnsi="Palatino Linotype" w:cs="Palatino Linotype"/>
          <w:sz w:val="24"/>
          <w:szCs w:val="24"/>
        </w:rPr>
        <w:t xml:space="preserve">, en el cual manifiesta, lo siguiente: </w:t>
      </w:r>
    </w:p>
    <w:p w14:paraId="60EA17E1" w14:textId="77777777" w:rsidR="00866C63" w:rsidRDefault="00866C63">
      <w:pPr>
        <w:spacing w:line="360" w:lineRule="auto"/>
        <w:ind w:right="-234"/>
        <w:jc w:val="both"/>
        <w:rPr>
          <w:rFonts w:ascii="Palatino Linotype" w:eastAsia="Palatino Linotype" w:hAnsi="Palatino Linotype" w:cs="Palatino Linotype"/>
          <w:sz w:val="24"/>
          <w:szCs w:val="24"/>
        </w:rPr>
      </w:pPr>
    </w:p>
    <w:p w14:paraId="0FA2EA7C" w14:textId="77777777" w:rsidR="00866C63" w:rsidRDefault="00062E12">
      <w:pPr>
        <w:numPr>
          <w:ilvl w:val="0"/>
          <w:numId w:val="6"/>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780A3F0E" w14:textId="77777777" w:rsidR="00866C63" w:rsidRDefault="00062E12">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proofErr w:type="spellStart"/>
      <w:r>
        <w:rPr>
          <w:rFonts w:ascii="Palatino Linotype" w:eastAsia="Palatino Linotype" w:hAnsi="Palatino Linotype" w:cs="Palatino Linotype"/>
          <w:i/>
          <w:color w:val="000000"/>
        </w:rPr>
        <w:t>cual</w:t>
      </w:r>
      <w:proofErr w:type="spellEnd"/>
      <w:r>
        <w:rPr>
          <w:rFonts w:ascii="Palatino Linotype" w:eastAsia="Palatino Linotype" w:hAnsi="Palatino Linotype" w:cs="Palatino Linotype"/>
          <w:i/>
          <w:color w:val="000000"/>
        </w:rPr>
        <w:t xml:space="preserve"> fue el medio para adquirir el servicio y dispersión de combustibles para el ayuntamiento, </w:t>
      </w:r>
      <w:proofErr w:type="spellStart"/>
      <w:r>
        <w:rPr>
          <w:rFonts w:ascii="Palatino Linotype" w:eastAsia="Palatino Linotype" w:hAnsi="Palatino Linotype" w:cs="Palatino Linotype"/>
          <w:i/>
          <w:color w:val="000000"/>
        </w:rPr>
        <w:t>asi</w:t>
      </w:r>
      <w:proofErr w:type="spellEnd"/>
      <w:r>
        <w:rPr>
          <w:rFonts w:ascii="Palatino Linotype" w:eastAsia="Palatino Linotype" w:hAnsi="Palatino Linotype" w:cs="Palatino Linotype"/>
          <w:i/>
          <w:color w:val="000000"/>
        </w:rPr>
        <w:t xml:space="preserve"> mismo requiero el contrato y </w:t>
      </w:r>
      <w:proofErr w:type="spellStart"/>
      <w:r>
        <w:rPr>
          <w:rFonts w:ascii="Palatino Linotype" w:eastAsia="Palatino Linotype" w:hAnsi="Palatino Linotype" w:cs="Palatino Linotype"/>
          <w:i/>
          <w:color w:val="000000"/>
        </w:rPr>
        <w:t>bitacoras</w:t>
      </w:r>
      <w:proofErr w:type="spellEnd"/>
      <w:r>
        <w:rPr>
          <w:rFonts w:ascii="Palatino Linotype" w:eastAsia="Palatino Linotype" w:hAnsi="Palatino Linotype" w:cs="Palatino Linotype"/>
          <w:i/>
          <w:color w:val="000000"/>
        </w:rPr>
        <w:t xml:space="preserve"> de </w:t>
      </w:r>
      <w:proofErr w:type="spellStart"/>
      <w:r>
        <w:rPr>
          <w:rFonts w:ascii="Palatino Linotype" w:eastAsia="Palatino Linotype" w:hAnsi="Palatino Linotype" w:cs="Palatino Linotype"/>
          <w:i/>
          <w:color w:val="000000"/>
        </w:rPr>
        <w:t>dispersion</w:t>
      </w:r>
      <w:proofErr w:type="spellEnd"/>
      <w:r>
        <w:rPr>
          <w:rFonts w:ascii="Palatino Linotype" w:eastAsia="Palatino Linotype" w:hAnsi="Palatino Linotype" w:cs="Palatino Linotype"/>
          <w:i/>
          <w:color w:val="000000"/>
        </w:rPr>
        <w:t xml:space="preserve"> del combustible</w:t>
      </w:r>
      <w:r>
        <w:rPr>
          <w:rFonts w:ascii="Palatino Linotype" w:eastAsia="Palatino Linotype" w:hAnsi="Palatino Linotype" w:cs="Palatino Linotype"/>
          <w:i/>
        </w:rPr>
        <w:t>” [sic]</w:t>
      </w:r>
    </w:p>
    <w:p w14:paraId="3C21FC24" w14:textId="77777777" w:rsidR="00866C63" w:rsidRDefault="00062E12">
      <w:pPr>
        <w:numPr>
          <w:ilvl w:val="0"/>
          <w:numId w:val="6"/>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7ED2B4E2" w14:textId="77777777" w:rsidR="00866C63" w:rsidRDefault="00062E12">
      <w:pPr>
        <w:spacing w:before="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lastRenderedPageBreak/>
        <w:t>“</w:t>
      </w:r>
      <w:r>
        <w:rPr>
          <w:rFonts w:ascii="Palatino Linotype" w:eastAsia="Palatino Linotype" w:hAnsi="Palatino Linotype" w:cs="Palatino Linotype"/>
          <w:i/>
          <w:color w:val="000000"/>
        </w:rPr>
        <w:t xml:space="preserve">hasta parece que de verdad son ignorantes en la materia, no respetan los criterios de </w:t>
      </w:r>
      <w:proofErr w:type="spellStart"/>
      <w:r>
        <w:rPr>
          <w:rFonts w:ascii="Palatino Linotype" w:eastAsia="Palatino Linotype" w:hAnsi="Palatino Linotype" w:cs="Palatino Linotype"/>
          <w:i/>
          <w:color w:val="000000"/>
        </w:rPr>
        <w:t>maxima</w:t>
      </w:r>
      <w:proofErr w:type="spellEnd"/>
      <w:r>
        <w:rPr>
          <w:rFonts w:ascii="Palatino Linotype" w:eastAsia="Palatino Linotype" w:hAnsi="Palatino Linotype" w:cs="Palatino Linotype"/>
          <w:i/>
          <w:color w:val="000000"/>
        </w:rPr>
        <w:t xml:space="preserve"> publicidad, el </w:t>
      </w:r>
      <w:proofErr w:type="spellStart"/>
      <w:r>
        <w:rPr>
          <w:rFonts w:ascii="Palatino Linotype" w:eastAsia="Palatino Linotype" w:hAnsi="Palatino Linotype" w:cs="Palatino Linotype"/>
          <w:i/>
          <w:color w:val="000000"/>
        </w:rPr>
        <w:t>inai</w:t>
      </w:r>
      <w:proofErr w:type="spellEnd"/>
      <w:r>
        <w:rPr>
          <w:rFonts w:ascii="Palatino Linotype" w:eastAsia="Palatino Linotype" w:hAnsi="Palatino Linotype" w:cs="Palatino Linotype"/>
          <w:i/>
          <w:color w:val="000000"/>
        </w:rPr>
        <w:t xml:space="preserve"> establece que en el supuesto de que el particular no haya señalado el periodo sobre el que requiere la información, deberá interpretarse que su requerimiento se refiere al del año inmediato anterior contado a partir de la fecha en que se presentó la solicitud, pero no se preocupen </w:t>
      </w:r>
      <w:proofErr w:type="spellStart"/>
      <w:r>
        <w:rPr>
          <w:rFonts w:ascii="Palatino Linotype" w:eastAsia="Palatino Linotype" w:hAnsi="Palatino Linotype" w:cs="Palatino Linotype"/>
          <w:i/>
          <w:color w:val="000000"/>
        </w:rPr>
        <w:t>aqui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estan</w:t>
      </w:r>
      <w:proofErr w:type="spellEnd"/>
      <w:r>
        <w:rPr>
          <w:rFonts w:ascii="Palatino Linotype" w:eastAsia="Palatino Linotype" w:hAnsi="Palatino Linotype" w:cs="Palatino Linotype"/>
          <w:i/>
          <w:color w:val="000000"/>
        </w:rPr>
        <w:t xml:space="preserve"> sus maestros que les enseñaran a trabajar......” </w:t>
      </w:r>
      <w:r>
        <w:rPr>
          <w:rFonts w:ascii="Palatino Linotype" w:eastAsia="Palatino Linotype" w:hAnsi="Palatino Linotype" w:cs="Palatino Linotype"/>
          <w:i/>
        </w:rPr>
        <w:t>[sic]</w:t>
      </w:r>
    </w:p>
    <w:p w14:paraId="74725110" w14:textId="77777777" w:rsidR="00866C63" w:rsidRDefault="00866C63">
      <w:pPr>
        <w:spacing w:line="360" w:lineRule="auto"/>
        <w:jc w:val="both"/>
        <w:rPr>
          <w:rFonts w:ascii="Palatino Linotype" w:eastAsia="Palatino Linotype" w:hAnsi="Palatino Linotype" w:cs="Palatino Linotype"/>
          <w:sz w:val="24"/>
          <w:szCs w:val="24"/>
        </w:rPr>
      </w:pPr>
    </w:p>
    <w:p w14:paraId="609CC28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78DFAEA6" w14:textId="77777777" w:rsidR="00866C63" w:rsidRDefault="00866C63">
      <w:pPr>
        <w:spacing w:line="360" w:lineRule="auto"/>
        <w:jc w:val="both"/>
        <w:rPr>
          <w:rFonts w:ascii="Palatino Linotype" w:eastAsia="Palatino Linotype" w:hAnsi="Palatino Linotype" w:cs="Palatino Linotype"/>
          <w:sz w:val="24"/>
          <w:szCs w:val="24"/>
        </w:rPr>
      </w:pPr>
    </w:p>
    <w:p w14:paraId="383C0EF1"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veinticinco de mayo de dos mil veintitrés,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7315F81B" w14:textId="77777777" w:rsidR="00866C63" w:rsidRDefault="00866C63">
      <w:pPr>
        <w:spacing w:line="360" w:lineRule="auto"/>
        <w:jc w:val="both"/>
        <w:rPr>
          <w:rFonts w:ascii="Palatino Linotype" w:eastAsia="Palatino Linotype" w:hAnsi="Palatino Linotype" w:cs="Palatino Linotype"/>
          <w:sz w:val="24"/>
          <w:szCs w:val="24"/>
        </w:rPr>
      </w:pPr>
    </w:p>
    <w:p w14:paraId="2CDC2BBB" w14:textId="77777777" w:rsidR="00866C63" w:rsidRDefault="00062E12">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El veintitrés de junio y cuatro de agosto de dos mil veintitrés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14:paraId="15866B98" w14:textId="77777777" w:rsidR="00866C63" w:rsidRDefault="00866C63">
      <w:pPr>
        <w:spacing w:line="360" w:lineRule="auto"/>
        <w:jc w:val="both"/>
        <w:rPr>
          <w:rFonts w:ascii="Palatino Linotype" w:eastAsia="Palatino Linotype" w:hAnsi="Palatino Linotype" w:cs="Palatino Linotype"/>
          <w:sz w:val="24"/>
          <w:szCs w:val="24"/>
        </w:rPr>
      </w:pPr>
    </w:p>
    <w:p w14:paraId="60DA64B5" w14:textId="77777777" w:rsidR="00866C63" w:rsidRDefault="00062E12">
      <w:pPr>
        <w:spacing w:line="360" w:lineRule="auto"/>
        <w:jc w:val="both"/>
        <w:rPr>
          <w:rFonts w:ascii="Palatino Linotype" w:eastAsia="Palatino Linotype" w:hAnsi="Palatino Linotype" w:cs="Palatino Linotype"/>
          <w:strike/>
          <w:color w:val="FF0000"/>
          <w:sz w:val="24"/>
          <w:szCs w:val="24"/>
          <w:highlight w:val="yellow"/>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solicitud 36.pdf</w:t>
      </w:r>
      <w:r>
        <w:rPr>
          <w:rFonts w:ascii="Palatino Linotype" w:eastAsia="Palatino Linotype" w:hAnsi="Palatino Linotype" w:cs="Palatino Linotype"/>
          <w:sz w:val="24"/>
          <w:szCs w:val="24"/>
        </w:rPr>
        <w:t>”: Oficio de fecha diecinueve de mayo de dos mil veintitrés, signado por el Titular de la Dirección de Administración, mediante el cual solicita sea aclarado y/o puntualizado el periodo del cual se requiere la información, lo anterior para estar en posibilidades de responder concretamente.</w:t>
      </w:r>
    </w:p>
    <w:p w14:paraId="35566053" w14:textId="77777777" w:rsidR="00866C63" w:rsidRDefault="00866C63">
      <w:pPr>
        <w:spacing w:line="360" w:lineRule="auto"/>
        <w:jc w:val="both"/>
        <w:rPr>
          <w:rFonts w:ascii="Palatino Linotype" w:eastAsia="Palatino Linotype" w:hAnsi="Palatino Linotype" w:cs="Palatino Linotype"/>
          <w:strike/>
          <w:color w:val="FF0000"/>
          <w:sz w:val="24"/>
          <w:szCs w:val="24"/>
          <w:highlight w:val="yellow"/>
        </w:rPr>
      </w:pPr>
    </w:p>
    <w:p w14:paraId="4DBA318F"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Solicitud 36 (2).</w:t>
      </w:r>
      <w:proofErr w:type="spellStart"/>
      <w:r>
        <w:rPr>
          <w:rFonts w:ascii="Palatino Linotype" w:eastAsia="Palatino Linotype" w:hAnsi="Palatino Linotype" w:cs="Palatino Linotype"/>
          <w:b/>
          <w:i/>
          <w:sz w:val="24"/>
          <w:szCs w:val="24"/>
          <w:u w:val="single"/>
        </w:rPr>
        <w:t>pdf</w:t>
      </w:r>
      <w:proofErr w:type="spellEnd"/>
      <w:r>
        <w:rPr>
          <w:rFonts w:ascii="Palatino Linotype" w:eastAsia="Palatino Linotype" w:hAnsi="Palatino Linotype" w:cs="Palatino Linotype"/>
          <w:sz w:val="24"/>
          <w:szCs w:val="24"/>
        </w:rPr>
        <w:t>”: Oficio de fecha dieciocho de julio de dos mil veintitrés, signado por la Titular de la Dirección de Administración, mediante el cual menciona que anexa el Contrato de Suministro de Combustible, respecto de las bitácoras de combustible, al ser un control interno, cada área maneja su registro.</w:t>
      </w:r>
    </w:p>
    <w:p w14:paraId="7B0C19E1" w14:textId="77777777" w:rsidR="00866C63" w:rsidRDefault="00866C63">
      <w:pPr>
        <w:spacing w:line="360" w:lineRule="auto"/>
        <w:jc w:val="both"/>
        <w:rPr>
          <w:rFonts w:ascii="Palatino Linotype" w:eastAsia="Palatino Linotype" w:hAnsi="Palatino Linotype" w:cs="Palatino Linotype"/>
          <w:sz w:val="24"/>
          <w:szCs w:val="24"/>
        </w:rPr>
      </w:pPr>
    </w:p>
    <w:p w14:paraId="1A49D243" w14:textId="77777777" w:rsidR="00866C63" w:rsidRDefault="00062E12">
      <w:pPr>
        <w:spacing w:line="360" w:lineRule="auto"/>
        <w:jc w:val="both"/>
        <w:rPr>
          <w:rFonts w:ascii="Palatino Linotype" w:eastAsia="Palatino Linotype" w:hAnsi="Palatino Linotype" w:cs="Palatino Linotype"/>
          <w:b/>
          <w:i/>
          <w:sz w:val="24"/>
          <w:szCs w:val="24"/>
          <w:u w:val="single"/>
        </w:rPr>
      </w:pPr>
      <w:r>
        <w:rPr>
          <w:rFonts w:ascii="Palatino Linotype" w:eastAsia="Palatino Linotype" w:hAnsi="Palatino Linotype" w:cs="Palatino Linotype"/>
          <w:sz w:val="24"/>
          <w:szCs w:val="24"/>
        </w:rPr>
        <w:t xml:space="preserve">Contrato abierto de suministro de combustible No. LPNP/XAL/ADM/001/2022. </w:t>
      </w:r>
      <w:r>
        <w:rPr>
          <w:rFonts w:ascii="Palatino Linotype" w:eastAsia="Palatino Linotype" w:hAnsi="Palatino Linotype" w:cs="Palatino Linotype"/>
          <w:strike/>
          <w:color w:val="FF0000"/>
          <w:sz w:val="24"/>
          <w:szCs w:val="24"/>
        </w:rPr>
        <w:t xml:space="preserve"> </w:t>
      </w:r>
    </w:p>
    <w:p w14:paraId="1D142231" w14:textId="77777777" w:rsidR="00866C63" w:rsidRDefault="00866C63">
      <w:pPr>
        <w:spacing w:line="360" w:lineRule="auto"/>
        <w:jc w:val="both"/>
        <w:rPr>
          <w:rFonts w:ascii="Palatino Linotype" w:eastAsia="Palatino Linotype" w:hAnsi="Palatino Linotype" w:cs="Palatino Linotype"/>
          <w:color w:val="FF0000"/>
          <w:sz w:val="24"/>
          <w:szCs w:val="24"/>
        </w:rPr>
      </w:pPr>
    </w:p>
    <w:p w14:paraId="28708114"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Mismos que se pusieron a la vista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en fecha seis de noviembre de dos mil veintitrés, siendo omiso de emitir sus manifestaciones, conforme a derecho le corresponde.</w:t>
      </w:r>
    </w:p>
    <w:p w14:paraId="7F14967B" w14:textId="77777777" w:rsidR="00866C63" w:rsidRDefault="00866C63">
      <w:pPr>
        <w:spacing w:line="360" w:lineRule="auto"/>
        <w:jc w:val="both"/>
        <w:rPr>
          <w:rFonts w:ascii="Palatino Linotype" w:eastAsia="Palatino Linotype" w:hAnsi="Palatino Linotype" w:cs="Palatino Linotype"/>
          <w:color w:val="FF0000"/>
          <w:sz w:val="24"/>
          <w:szCs w:val="24"/>
          <w:highlight w:val="green"/>
        </w:rPr>
      </w:pPr>
    </w:p>
    <w:p w14:paraId="53DDF20E" w14:textId="77777777" w:rsidR="00866C63" w:rsidRDefault="00062E12">
      <w:pPr>
        <w:spacing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7. ALCANCE AL INFORME JUSTIFICADO.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 xml:space="preserve">trece de noviembre de dos mil veintitrés </w:t>
      </w:r>
      <w:r>
        <w:rPr>
          <w:rFonts w:ascii="Palatino Linotype" w:eastAsia="Palatino Linotype" w:hAnsi="Palatino Linotype" w:cs="Palatino Linotype"/>
          <w:sz w:val="24"/>
          <w:szCs w:val="24"/>
        </w:rPr>
        <w:t xml:space="preserve">se recibió, a través del Sistema de Acceso a la Información Mexiquense (SAIMEX), el Alcance al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14:paraId="049BE938" w14:textId="77777777" w:rsidR="00866C63" w:rsidRDefault="00866C63">
      <w:pPr>
        <w:spacing w:line="360" w:lineRule="auto"/>
        <w:ind w:right="-234"/>
        <w:jc w:val="both"/>
        <w:rPr>
          <w:rFonts w:ascii="Palatino Linotype" w:eastAsia="Palatino Linotype" w:hAnsi="Palatino Linotype" w:cs="Palatino Linotype"/>
          <w:sz w:val="24"/>
          <w:szCs w:val="24"/>
        </w:rPr>
      </w:pPr>
    </w:p>
    <w:p w14:paraId="6C4EAC8F" w14:textId="77777777" w:rsidR="00866C63" w:rsidRDefault="00062E12">
      <w:pPr>
        <w:spacing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b/>
          <w:i/>
          <w:sz w:val="24"/>
          <w:szCs w:val="24"/>
        </w:rPr>
        <w:t>“</w:t>
      </w:r>
      <w:r>
        <w:rPr>
          <w:rFonts w:ascii="Palatino Linotype" w:eastAsia="Palatino Linotype" w:hAnsi="Palatino Linotype" w:cs="Palatino Linotype"/>
          <w:b/>
          <w:i/>
          <w:sz w:val="24"/>
          <w:szCs w:val="24"/>
          <w:u w:val="single"/>
        </w:rPr>
        <w:t xml:space="preserve">Acuerdo del </w:t>
      </w:r>
      <w:proofErr w:type="spellStart"/>
      <w:r>
        <w:rPr>
          <w:rFonts w:ascii="Palatino Linotype" w:eastAsia="Palatino Linotype" w:hAnsi="Palatino Linotype" w:cs="Palatino Linotype"/>
          <w:b/>
          <w:i/>
          <w:sz w:val="24"/>
          <w:szCs w:val="24"/>
          <w:u w:val="single"/>
        </w:rPr>
        <w:t>comite</w:t>
      </w:r>
      <w:proofErr w:type="spellEnd"/>
      <w:r>
        <w:rPr>
          <w:rFonts w:ascii="Palatino Linotype" w:eastAsia="Palatino Linotype" w:hAnsi="Palatino Linotype" w:cs="Palatino Linotype"/>
          <w:b/>
          <w:i/>
          <w:sz w:val="24"/>
          <w:szCs w:val="24"/>
          <w:u w:val="single"/>
        </w:rPr>
        <w:t xml:space="preserve"> 36-05.pdf</w:t>
      </w:r>
      <w:r>
        <w:rPr>
          <w:rFonts w:ascii="Palatino Linotype" w:eastAsia="Palatino Linotype" w:hAnsi="Palatino Linotype" w:cs="Palatino Linotype"/>
          <w:b/>
          <w:i/>
          <w:sz w:val="24"/>
          <w:szCs w:val="24"/>
        </w:rPr>
        <w:t>”</w:t>
      </w:r>
      <w:r>
        <w:rPr>
          <w:rFonts w:ascii="Palatino Linotype" w:eastAsia="Palatino Linotype" w:hAnsi="Palatino Linotype" w:cs="Palatino Linotype"/>
          <w:sz w:val="24"/>
          <w:szCs w:val="24"/>
        </w:rPr>
        <w:t xml:space="preserve">: Catorceavo punto de un acta del comité de transparencia, en donde se señala el acuerdo </w:t>
      </w:r>
      <w:r>
        <w:rPr>
          <w:rFonts w:ascii="Palatino Linotype" w:eastAsia="Palatino Linotype" w:hAnsi="Palatino Linotype" w:cs="Palatino Linotype"/>
          <w:sz w:val="24"/>
          <w:szCs w:val="24"/>
        </w:rPr>
        <w:lastRenderedPageBreak/>
        <w:t xml:space="preserve">CT/XALA/05EXTRAORD/2023/DOCEAVO, mediante cual precisa que se aprueba la versión pública de la solicitud de información que dio origen al recurso de revisión citado al rubro. </w:t>
      </w:r>
    </w:p>
    <w:p w14:paraId="213ED207" w14:textId="77777777" w:rsidR="00866C63" w:rsidRDefault="00866C63">
      <w:pPr>
        <w:spacing w:line="360" w:lineRule="auto"/>
        <w:jc w:val="both"/>
        <w:rPr>
          <w:rFonts w:ascii="Palatino Linotype" w:eastAsia="Palatino Linotype" w:hAnsi="Palatino Linotype" w:cs="Palatino Linotype"/>
          <w:sz w:val="24"/>
          <w:szCs w:val="24"/>
        </w:rPr>
      </w:pPr>
    </w:p>
    <w:p w14:paraId="020C1590"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Mismo que se puso a la vista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fecha quince de noviembre de dos mil veintidós. </w:t>
      </w:r>
    </w:p>
    <w:p w14:paraId="24A3DF93" w14:textId="77777777" w:rsidR="00866C63" w:rsidRDefault="00866C63">
      <w:pPr>
        <w:spacing w:line="360" w:lineRule="auto"/>
        <w:jc w:val="both"/>
        <w:rPr>
          <w:rFonts w:ascii="Palatino Linotype" w:eastAsia="Palatino Linotype" w:hAnsi="Palatino Linotype" w:cs="Palatino Linotype"/>
          <w:sz w:val="24"/>
          <w:szCs w:val="24"/>
        </w:rPr>
      </w:pPr>
    </w:p>
    <w:p w14:paraId="3DC4CEF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color w:val="000000"/>
          <w:sz w:val="24"/>
          <w:szCs w:val="24"/>
        </w:rPr>
        <w:t xml:space="preserve">quince </w:t>
      </w:r>
      <w:r>
        <w:rPr>
          <w:rFonts w:ascii="Palatino Linotype" w:eastAsia="Palatino Linotype" w:hAnsi="Palatino Linotype" w:cs="Palatino Linotype"/>
          <w:sz w:val="24"/>
          <w:szCs w:val="24"/>
        </w:rPr>
        <w:t>de noviembre</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4244ABED" w14:textId="77777777" w:rsidR="00866C63" w:rsidRDefault="00866C63">
      <w:pPr>
        <w:spacing w:line="360" w:lineRule="auto"/>
        <w:jc w:val="both"/>
        <w:rPr>
          <w:rFonts w:ascii="Palatino Linotype" w:eastAsia="Palatino Linotype" w:hAnsi="Palatino Linotype" w:cs="Palatino Linotype"/>
          <w:sz w:val="24"/>
          <w:szCs w:val="24"/>
        </w:rPr>
      </w:pPr>
    </w:p>
    <w:p w14:paraId="5F8486E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7A3823A8" w14:textId="77777777" w:rsidR="00866C63" w:rsidRDefault="00866C63">
      <w:pPr>
        <w:spacing w:line="360" w:lineRule="auto"/>
        <w:jc w:val="both"/>
        <w:rPr>
          <w:rFonts w:ascii="Palatino Linotype" w:eastAsia="Palatino Linotype" w:hAnsi="Palatino Linotype" w:cs="Palatino Linotype"/>
          <w:sz w:val="24"/>
          <w:szCs w:val="24"/>
        </w:rPr>
      </w:pPr>
    </w:p>
    <w:p w14:paraId="56BCD8C5"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25D4D768"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588273" w14:textId="77777777" w:rsidR="00866C63" w:rsidRDefault="00866C63">
      <w:pPr>
        <w:spacing w:line="360" w:lineRule="auto"/>
        <w:jc w:val="both"/>
        <w:rPr>
          <w:rFonts w:ascii="Palatino Linotype" w:eastAsia="Palatino Linotype" w:hAnsi="Palatino Linotype" w:cs="Palatino Linotype"/>
          <w:sz w:val="24"/>
          <w:szCs w:val="24"/>
        </w:rPr>
      </w:pPr>
    </w:p>
    <w:p w14:paraId="6B91758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56B0B5" w14:textId="77777777" w:rsidR="00866C63" w:rsidRDefault="00866C63">
      <w:pPr>
        <w:spacing w:line="360" w:lineRule="auto"/>
        <w:jc w:val="both"/>
        <w:rPr>
          <w:rFonts w:ascii="Palatino Linotype" w:eastAsia="Palatino Linotype" w:hAnsi="Palatino Linotype" w:cs="Palatino Linotype"/>
          <w:sz w:val="24"/>
          <w:szCs w:val="24"/>
        </w:rPr>
      </w:pPr>
    </w:p>
    <w:p w14:paraId="06C5E28E"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0910A0B" w14:textId="77777777" w:rsidR="00866C63" w:rsidRDefault="00866C63">
      <w:pPr>
        <w:spacing w:line="360" w:lineRule="auto"/>
        <w:jc w:val="both"/>
        <w:rPr>
          <w:rFonts w:ascii="Palatino Linotype" w:eastAsia="Palatino Linotype" w:hAnsi="Palatino Linotype" w:cs="Palatino Linotype"/>
          <w:sz w:val="24"/>
          <w:szCs w:val="24"/>
        </w:rPr>
      </w:pPr>
    </w:p>
    <w:p w14:paraId="073B4B80" w14:textId="77777777" w:rsidR="00866C63" w:rsidRDefault="00062E12">
      <w:pPr>
        <w:numPr>
          <w:ilvl w:val="0"/>
          <w:numId w:val="7"/>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8CC1896" w14:textId="77777777" w:rsidR="00866C63" w:rsidRDefault="00062E12">
      <w:pPr>
        <w:numPr>
          <w:ilvl w:val="0"/>
          <w:numId w:val="7"/>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18D7F6FB" w14:textId="77777777" w:rsidR="00866C63" w:rsidRDefault="00062E12">
      <w:pPr>
        <w:numPr>
          <w:ilvl w:val="0"/>
          <w:numId w:val="7"/>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302AAF69" w14:textId="77777777" w:rsidR="00866C63" w:rsidRDefault="00062E12">
      <w:pPr>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09819C5"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21977A" w14:textId="77777777" w:rsidR="00866C63" w:rsidRDefault="00866C63">
      <w:pPr>
        <w:spacing w:line="360" w:lineRule="auto"/>
        <w:jc w:val="both"/>
        <w:rPr>
          <w:rFonts w:ascii="Palatino Linotype" w:eastAsia="Palatino Linotype" w:hAnsi="Palatino Linotype" w:cs="Palatino Linotype"/>
          <w:sz w:val="24"/>
          <w:szCs w:val="24"/>
        </w:rPr>
      </w:pPr>
    </w:p>
    <w:p w14:paraId="21BCCF01"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635E2F3B" w14:textId="77777777" w:rsidR="00866C63" w:rsidRDefault="00866C63">
      <w:pPr>
        <w:spacing w:line="360" w:lineRule="auto"/>
        <w:jc w:val="both"/>
        <w:rPr>
          <w:rFonts w:ascii="Palatino Linotype" w:eastAsia="Palatino Linotype" w:hAnsi="Palatino Linotype" w:cs="Palatino Linotype"/>
          <w:sz w:val="24"/>
          <w:szCs w:val="24"/>
        </w:rPr>
      </w:pPr>
    </w:p>
    <w:p w14:paraId="2F46CA6B"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49D0387F" w14:textId="77777777" w:rsidR="00866C63" w:rsidRDefault="00866C63">
      <w:pPr>
        <w:spacing w:line="360" w:lineRule="auto"/>
        <w:jc w:val="both"/>
        <w:rPr>
          <w:rFonts w:ascii="Palatino Linotype" w:eastAsia="Palatino Linotype" w:hAnsi="Palatino Linotype" w:cs="Palatino Linotype"/>
          <w:sz w:val="24"/>
          <w:szCs w:val="24"/>
        </w:rPr>
      </w:pPr>
    </w:p>
    <w:p w14:paraId="541440DE"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8097199" w14:textId="77777777" w:rsidR="00866C63" w:rsidRDefault="00866C63">
      <w:pPr>
        <w:spacing w:line="360" w:lineRule="auto"/>
        <w:jc w:val="both"/>
        <w:rPr>
          <w:rFonts w:ascii="Palatino Linotype" w:eastAsia="Palatino Linotype" w:hAnsi="Palatino Linotype" w:cs="Palatino Linotype"/>
          <w:sz w:val="24"/>
          <w:szCs w:val="24"/>
        </w:rPr>
      </w:pPr>
    </w:p>
    <w:p w14:paraId="0D57B21B"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78588022" w14:textId="77777777" w:rsidR="00866C63" w:rsidRDefault="00866C63">
      <w:pPr>
        <w:spacing w:line="360" w:lineRule="auto"/>
        <w:jc w:val="both"/>
        <w:rPr>
          <w:rFonts w:ascii="Palatino Linotype" w:eastAsia="Palatino Linotype" w:hAnsi="Palatino Linotype" w:cs="Palatino Linotype"/>
          <w:sz w:val="24"/>
          <w:szCs w:val="24"/>
        </w:rPr>
      </w:pPr>
    </w:p>
    <w:p w14:paraId="76389FBE"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755544EA" w14:textId="77777777" w:rsidR="00866C63" w:rsidRDefault="00866C63">
      <w:pPr>
        <w:spacing w:line="360" w:lineRule="auto"/>
        <w:jc w:val="both"/>
        <w:rPr>
          <w:rFonts w:ascii="Palatino Linotype" w:eastAsia="Palatino Linotype" w:hAnsi="Palatino Linotype" w:cs="Palatino Linotype"/>
          <w:sz w:val="24"/>
          <w:szCs w:val="24"/>
        </w:rPr>
      </w:pPr>
    </w:p>
    <w:p w14:paraId="6341BFD0"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C6883AC" w14:textId="77777777" w:rsidR="00866C63" w:rsidRDefault="00866C63">
      <w:pPr>
        <w:spacing w:line="360" w:lineRule="auto"/>
        <w:jc w:val="both"/>
        <w:rPr>
          <w:rFonts w:ascii="Palatino Linotype" w:eastAsia="Palatino Linotype" w:hAnsi="Palatino Linotype" w:cs="Palatino Linotype"/>
          <w:sz w:val="24"/>
          <w:szCs w:val="24"/>
        </w:rPr>
      </w:pPr>
    </w:p>
    <w:p w14:paraId="00905A05"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DEL CIERRE DE INSTRUCCIÓN. </w:t>
      </w:r>
      <w:r>
        <w:rPr>
          <w:rFonts w:ascii="Palatino Linotype" w:eastAsia="Palatino Linotype" w:hAnsi="Palatino Linotype" w:cs="Palatino Linotype"/>
          <w:color w:val="000000"/>
          <w:sz w:val="24"/>
          <w:szCs w:val="24"/>
        </w:rPr>
        <w:t xml:space="preserve">El veintiocho de noviembre de dos mil veintitrés, al no existir diligencias pendientes por desahogar, se emitió el acuerdo por medio del cual se declaró cerrada la instrucción y se determinó pasar el expediente a resolución, en términos del artículo 185 fracción VI y VIII de la Ley de </w:t>
      </w:r>
      <w:r>
        <w:rPr>
          <w:rFonts w:ascii="Palatino Linotype" w:eastAsia="Palatino Linotype" w:hAnsi="Palatino Linotype" w:cs="Palatino Linotype"/>
          <w:color w:val="000000"/>
          <w:sz w:val="24"/>
          <w:szCs w:val="24"/>
        </w:rPr>
        <w:lastRenderedPageBreak/>
        <w:t>Transparencia y Acceso a la Información Pública del Estado de México y Municipios, iniciando el término legal para dictar resolución definitiva del asunto.</w:t>
      </w:r>
    </w:p>
    <w:p w14:paraId="3CDA2119" w14:textId="77777777" w:rsidR="00866C63" w:rsidRDefault="00866C63">
      <w:pPr>
        <w:spacing w:line="360" w:lineRule="auto"/>
        <w:jc w:val="both"/>
        <w:rPr>
          <w:rFonts w:ascii="Palatino Linotype" w:eastAsia="Palatino Linotype" w:hAnsi="Palatino Linotype" w:cs="Palatino Linotype"/>
          <w:sz w:val="24"/>
          <w:szCs w:val="24"/>
        </w:rPr>
      </w:pPr>
    </w:p>
    <w:p w14:paraId="1734872A"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5321559" w14:textId="77777777" w:rsidR="00866C63" w:rsidRDefault="00866C63">
      <w:pPr>
        <w:spacing w:line="360" w:lineRule="auto"/>
        <w:rPr>
          <w:rFonts w:ascii="Palatino Linotype" w:eastAsia="Palatino Linotype" w:hAnsi="Palatino Linotype" w:cs="Palatino Linotype"/>
          <w:sz w:val="24"/>
          <w:szCs w:val="24"/>
        </w:rPr>
      </w:pPr>
    </w:p>
    <w:p w14:paraId="7D69CEEB" w14:textId="77777777" w:rsidR="00866C63" w:rsidRDefault="00062E12">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5F341A89" w14:textId="77777777" w:rsidR="00866C63" w:rsidRDefault="00866C63">
      <w:pPr>
        <w:spacing w:line="360" w:lineRule="auto"/>
        <w:jc w:val="both"/>
        <w:rPr>
          <w:rFonts w:ascii="Palatino Linotype" w:eastAsia="Palatino Linotype" w:hAnsi="Palatino Linotype" w:cs="Palatino Linotype"/>
          <w:b/>
          <w:sz w:val="24"/>
          <w:szCs w:val="24"/>
        </w:rPr>
      </w:pPr>
    </w:p>
    <w:p w14:paraId="6CEADBB3"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8FB4B61" w14:textId="77777777" w:rsidR="00866C63" w:rsidRDefault="00866C63">
      <w:pPr>
        <w:spacing w:line="360" w:lineRule="auto"/>
        <w:jc w:val="both"/>
        <w:rPr>
          <w:rFonts w:ascii="Palatino Linotype" w:eastAsia="Palatino Linotype" w:hAnsi="Palatino Linotype" w:cs="Palatino Linotype"/>
          <w:sz w:val="24"/>
          <w:szCs w:val="24"/>
        </w:rPr>
      </w:pPr>
    </w:p>
    <w:p w14:paraId="2B878AB4" w14:textId="77777777" w:rsidR="00866C63" w:rsidRDefault="00062E12">
      <w:pPr>
        <w:spacing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SEGUNDO. OPORTUNIDAD Y PROCEDIBILIDAD DEL RECURSO DE REVISIÓN.  </w:t>
      </w:r>
      <w:r>
        <w:rPr>
          <w:rFonts w:ascii="Palatino Linotype" w:eastAsia="Palatino Linotype" w:hAnsi="Palatino Linotype" w:cs="Palatino Linotype"/>
          <w:color w:val="000000"/>
          <w:sz w:val="24"/>
          <w:szCs w:val="24"/>
        </w:rPr>
        <w:t xml:space="preserve">Previo al estudio del fondo del asunto, se procede a analizar los </w:t>
      </w:r>
      <w:r>
        <w:rPr>
          <w:rFonts w:ascii="Palatino Linotype" w:eastAsia="Palatino Linotype" w:hAnsi="Palatino Linotype" w:cs="Palatino Linotype"/>
          <w:color w:val="000000"/>
          <w:sz w:val="24"/>
          <w:szCs w:val="24"/>
        </w:rPr>
        <w:lastRenderedPageBreak/>
        <w:t>requisitos de oportunidad y procedibilidad que debe reunir el recurso de revisión interpuesto, previsto en el artículo 178 y 180 de la Ley de Transparencia y Acceso a la Información Pública del Estado de México y Municipios.</w:t>
      </w:r>
    </w:p>
    <w:p w14:paraId="09E0D34A" w14:textId="77777777" w:rsidR="00866C63" w:rsidRDefault="00866C63">
      <w:pPr>
        <w:spacing w:line="360" w:lineRule="auto"/>
        <w:ind w:right="49"/>
        <w:jc w:val="both"/>
        <w:rPr>
          <w:rFonts w:ascii="Palatino Linotype" w:eastAsia="Palatino Linotype" w:hAnsi="Palatino Linotype" w:cs="Palatino Linotype"/>
          <w:color w:val="000000"/>
          <w:sz w:val="24"/>
          <w:szCs w:val="24"/>
        </w:rPr>
      </w:pPr>
    </w:p>
    <w:p w14:paraId="111684B1"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ésta fue pronunciada el día veintidós de mayo del año dos mil veintitrés, mientras que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la misma fecha que se pronunció la respuesta, </w:t>
      </w:r>
      <w:r>
        <w:rPr>
          <w:rFonts w:ascii="Palatino Linotype" w:eastAsia="Palatino Linotype" w:hAnsi="Palatino Linotype" w:cs="Palatino Linotype"/>
          <w:color w:val="000000"/>
          <w:sz w:val="24"/>
          <w:szCs w:val="24"/>
        </w:rPr>
        <w:t>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27ED46BB" w14:textId="77777777" w:rsidR="00866C63" w:rsidRDefault="00866C63">
      <w:pPr>
        <w:spacing w:line="360" w:lineRule="auto"/>
        <w:jc w:val="both"/>
        <w:rPr>
          <w:rFonts w:ascii="Palatino Linotype" w:eastAsia="Palatino Linotype" w:hAnsi="Palatino Linotype" w:cs="Palatino Linotype"/>
          <w:sz w:val="24"/>
          <w:szCs w:val="24"/>
        </w:rPr>
      </w:pPr>
    </w:p>
    <w:p w14:paraId="54BF31E6" w14:textId="77777777" w:rsidR="00866C63" w:rsidRDefault="00062E12">
      <w:pPr>
        <w:spacing w:line="360" w:lineRule="auto"/>
        <w:ind w:right="-234"/>
        <w:jc w:val="both"/>
        <w:rPr>
          <w:color w:val="000000"/>
          <w:sz w:val="24"/>
          <w:szCs w:val="24"/>
        </w:rPr>
      </w:pPr>
      <w:r>
        <w:rPr>
          <w:rFonts w:ascii="Palatino Linotype" w:eastAsia="Palatino Linotype" w:hAnsi="Palatino Linotype" w:cs="Palatino Linotype"/>
          <w:color w:val="000000"/>
          <w:sz w:val="24"/>
          <w:szCs w:val="24"/>
        </w:rPr>
        <w:t xml:space="preserve">Resulta aplicable el siguiente criterio de este Organismo Garante que se robustece con la jurisprudencia número </w:t>
      </w:r>
      <w:proofErr w:type="gramStart"/>
      <w:r>
        <w:rPr>
          <w:rFonts w:ascii="Palatino Linotype" w:eastAsia="Palatino Linotype" w:hAnsi="Palatino Linotype" w:cs="Palatino Linotype"/>
          <w:color w:val="000000"/>
          <w:sz w:val="24"/>
          <w:szCs w:val="24"/>
        </w:rPr>
        <w:t>la./</w:t>
      </w:r>
      <w:proofErr w:type="gramEnd"/>
      <w:r>
        <w:rPr>
          <w:rFonts w:ascii="Palatino Linotype" w:eastAsia="Palatino Linotype" w:hAnsi="Palatino Linotype" w:cs="Palatino Linotype"/>
          <w:color w:val="000000"/>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Pr>
          <w:i/>
          <w:color w:val="000000"/>
          <w:sz w:val="24"/>
          <w:szCs w:val="24"/>
        </w:rPr>
        <w:t> </w:t>
      </w:r>
    </w:p>
    <w:p w14:paraId="45EA26B6" w14:textId="77777777" w:rsidR="00866C63" w:rsidRDefault="00866C63">
      <w:pPr>
        <w:shd w:val="clear" w:color="auto" w:fill="FFFFFF"/>
        <w:spacing w:line="360" w:lineRule="auto"/>
        <w:ind w:left="567" w:right="760"/>
        <w:jc w:val="both"/>
        <w:rPr>
          <w:rFonts w:ascii="Palatino Linotype" w:eastAsia="Palatino Linotype" w:hAnsi="Palatino Linotype" w:cs="Palatino Linotype"/>
          <w:color w:val="000000"/>
          <w:sz w:val="24"/>
          <w:szCs w:val="24"/>
        </w:rPr>
      </w:pPr>
    </w:p>
    <w:p w14:paraId="42DBEC02" w14:textId="77777777" w:rsidR="00866C63" w:rsidRDefault="00062E12">
      <w:pPr>
        <w:shd w:val="clear" w:color="auto" w:fill="FFFFFF"/>
        <w:spacing w:line="276" w:lineRule="auto"/>
        <w:ind w:left="567" w:right="760"/>
        <w:jc w:val="both"/>
        <w:rPr>
          <w:color w:val="000000"/>
          <w:sz w:val="22"/>
          <w:szCs w:val="22"/>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sz w:val="22"/>
          <w:szCs w:val="22"/>
        </w:rPr>
        <w:t>RECURSO DE RECLAMACIÓN. SU INTERPOSICIÓN NO ES EXTEMPORÁNEA SI SE REALIZA ANTES DE QUE INICIE EL PLAZO PARA HACERLO.</w:t>
      </w:r>
    </w:p>
    <w:p w14:paraId="09F9E50B" w14:textId="77777777" w:rsidR="00866C63" w:rsidRDefault="00062E12">
      <w:pPr>
        <w:shd w:val="clear" w:color="auto" w:fill="FFFFFF"/>
        <w:spacing w:line="276" w:lineRule="auto"/>
        <w:ind w:left="567" w:right="760"/>
        <w:jc w:val="both"/>
        <w:rPr>
          <w:color w:val="000000"/>
          <w:sz w:val="22"/>
          <w:szCs w:val="22"/>
        </w:rPr>
      </w:pPr>
      <w:r>
        <w:rPr>
          <w:rFonts w:ascii="Palatino Linotype" w:eastAsia="Palatino Linotype" w:hAnsi="Palatino Linotype" w:cs="Palatino Linotype"/>
          <w:i/>
          <w:color w:val="000000"/>
          <w:sz w:val="22"/>
          <w:szCs w:val="22"/>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52D48214" w14:textId="77777777" w:rsidR="00866C63" w:rsidRDefault="00062E12">
      <w:pPr>
        <w:shd w:val="clear" w:color="auto" w:fill="FFFFFF"/>
        <w:spacing w:line="276" w:lineRule="auto"/>
        <w:ind w:left="567" w:right="76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De ahí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si dicho recurso se interpone antes de que inicie el plazo para hacerlo, su presentación no es extemporánea…</w:t>
      </w:r>
      <w:r>
        <w:rPr>
          <w:rFonts w:ascii="Palatino Linotype" w:eastAsia="Palatino Linotype" w:hAnsi="Palatino Linotype" w:cs="Palatino Linotype"/>
          <w:color w:val="000000"/>
          <w:sz w:val="22"/>
          <w:szCs w:val="22"/>
        </w:rPr>
        <w:t>"(Sic)</w:t>
      </w:r>
    </w:p>
    <w:p w14:paraId="3D8F241D" w14:textId="77777777" w:rsidR="00866C63" w:rsidRDefault="00866C63">
      <w:pPr>
        <w:shd w:val="clear" w:color="auto" w:fill="FFFFFF"/>
        <w:spacing w:line="276" w:lineRule="auto"/>
        <w:ind w:left="567" w:right="760"/>
        <w:jc w:val="both"/>
        <w:rPr>
          <w:rFonts w:ascii="Palatino Linotype" w:eastAsia="Palatino Linotype" w:hAnsi="Palatino Linotype" w:cs="Palatino Linotype"/>
          <w:color w:val="000000"/>
          <w:sz w:val="28"/>
          <w:szCs w:val="28"/>
        </w:rPr>
      </w:pPr>
    </w:p>
    <w:p w14:paraId="37694720"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esta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5CDA6141" w14:textId="77777777" w:rsidR="00866C63" w:rsidRDefault="00866C63">
      <w:pPr>
        <w:spacing w:line="360" w:lineRule="auto"/>
        <w:jc w:val="both"/>
        <w:rPr>
          <w:rFonts w:ascii="Palatino Linotype" w:eastAsia="Palatino Linotype" w:hAnsi="Palatino Linotype" w:cs="Palatino Linotype"/>
          <w:sz w:val="24"/>
          <w:szCs w:val="24"/>
        </w:rPr>
      </w:pPr>
    </w:p>
    <w:p w14:paraId="40D1D128"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Además, por cuanto hace a la procedibilidad del recurso de revisión, es de suma importancia señalar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proporcionó un seudónimo, como se advierte en el detalle de seguimiento del SAIMEX, no obstante lo anterior,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C51BD81"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76DFCCC2" w14:textId="77777777" w:rsidR="00866C63" w:rsidRDefault="00062E12">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sz w:val="22"/>
          <w:szCs w:val="22"/>
        </w:rPr>
        <w:t xml:space="preserve">Las solicitudes </w:t>
      </w:r>
      <w:r>
        <w:rPr>
          <w:rFonts w:ascii="Palatino Linotype" w:eastAsia="Palatino Linotype" w:hAnsi="Palatino Linotype" w:cs="Palatino Linotype"/>
          <w:i/>
          <w:color w:val="000000"/>
          <w:sz w:val="22"/>
          <w:szCs w:val="22"/>
        </w:rPr>
        <w:t xml:space="preserve">anónimas, </w:t>
      </w:r>
      <w:r>
        <w:rPr>
          <w:rFonts w:ascii="Palatino Linotype" w:eastAsia="Palatino Linotype" w:hAnsi="Palatino Linotype" w:cs="Palatino Linotype"/>
          <w:b/>
          <w:i/>
          <w:color w:val="000000"/>
          <w:sz w:val="22"/>
          <w:szCs w:val="22"/>
        </w:rPr>
        <w:t>con</w:t>
      </w:r>
      <w:r>
        <w:rPr>
          <w:rFonts w:ascii="Palatino Linotype" w:eastAsia="Palatino Linotype" w:hAnsi="Palatino Linotype" w:cs="Palatino Linotype"/>
          <w:i/>
          <w:color w:val="000000"/>
          <w:sz w:val="22"/>
          <w:szCs w:val="22"/>
        </w:rPr>
        <w:t xml:space="preserve"> nombre incompleto o </w:t>
      </w:r>
      <w:r>
        <w:rPr>
          <w:rFonts w:ascii="Palatino Linotype" w:eastAsia="Palatino Linotype" w:hAnsi="Palatino Linotype" w:cs="Palatino Linotype"/>
          <w:b/>
          <w:i/>
          <w:color w:val="000000"/>
          <w:sz w:val="22"/>
          <w:szCs w:val="22"/>
        </w:rPr>
        <w:t>seudónimo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serán procedentes para su trámite por parte del sujeto obligado ante quien se presente</w:t>
      </w:r>
      <w:r>
        <w:rPr>
          <w:rFonts w:ascii="Palatino Linotype" w:eastAsia="Palatino Linotype" w:hAnsi="Palatino Linotype" w:cs="Palatino Linotype"/>
          <w:i/>
          <w:color w:val="000000"/>
          <w:sz w:val="22"/>
          <w:szCs w:val="22"/>
        </w:rPr>
        <w:t>. No podrá requerirse información adicional con motivo del nombre proporcionado por el solicitante."</w:t>
      </w:r>
    </w:p>
    <w:p w14:paraId="02BF38F3" w14:textId="77777777" w:rsidR="00866C63" w:rsidRDefault="00866C63">
      <w:pPr>
        <w:spacing w:line="276" w:lineRule="auto"/>
        <w:ind w:left="851" w:right="902"/>
        <w:jc w:val="both"/>
        <w:rPr>
          <w:rFonts w:ascii="Palatino Linotype" w:eastAsia="Palatino Linotype" w:hAnsi="Palatino Linotype" w:cs="Palatino Linotype"/>
          <w:color w:val="000000"/>
          <w:sz w:val="24"/>
          <w:szCs w:val="24"/>
        </w:rPr>
      </w:pPr>
    </w:p>
    <w:p w14:paraId="7CF86929" w14:textId="77777777" w:rsidR="00866C63" w:rsidRDefault="00062E12">
      <w:pP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color w:val="000000"/>
          <w:sz w:val="24"/>
          <w:szCs w:val="24"/>
        </w:rPr>
        <w:t xml:space="preserve">EL SAIMEX.  </w:t>
      </w:r>
    </w:p>
    <w:p w14:paraId="60E75483" w14:textId="77777777" w:rsidR="00866C63" w:rsidRDefault="00866C63">
      <w:pPr>
        <w:spacing w:line="360" w:lineRule="auto"/>
        <w:jc w:val="both"/>
        <w:rPr>
          <w:rFonts w:ascii="Palatino Linotype" w:eastAsia="Palatino Linotype" w:hAnsi="Palatino Linotype" w:cs="Palatino Linotype"/>
          <w:b/>
          <w:color w:val="000000"/>
          <w:sz w:val="24"/>
          <w:szCs w:val="24"/>
        </w:rPr>
      </w:pPr>
    </w:p>
    <w:p w14:paraId="25A217DB" w14:textId="77777777" w:rsidR="00866C63" w:rsidRDefault="00062E12">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Finalmente, resulta procedente la interposición del recurso, según lo aducido por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en sus razones o motivos de inconformidad, de acuerdo al artículo 179, fracción</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I</w:t>
      </w:r>
      <w:r>
        <w:rPr>
          <w:rFonts w:ascii="Palatino Linotype" w:eastAsia="Palatino Linotype" w:hAnsi="Palatino Linotype" w:cs="Palatino Linotype"/>
          <w:color w:val="000000"/>
          <w:sz w:val="32"/>
          <w:szCs w:val="32"/>
        </w:rPr>
        <w:t xml:space="preserve"> </w:t>
      </w:r>
      <w:r>
        <w:rPr>
          <w:rFonts w:ascii="Palatino Linotype" w:eastAsia="Palatino Linotype" w:hAnsi="Palatino Linotype" w:cs="Palatino Linotype"/>
          <w:color w:val="000000"/>
          <w:sz w:val="24"/>
          <w:szCs w:val="24"/>
        </w:rPr>
        <w:t>de la Ley de Transparencia y Acceso a la Información Pública del Estado de México y Municipios; que a la letra dice:</w:t>
      </w:r>
    </w:p>
    <w:p w14:paraId="567A0679" w14:textId="77777777" w:rsidR="00866C63" w:rsidRDefault="00866C6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sz w:val="24"/>
          <w:szCs w:val="24"/>
        </w:rPr>
      </w:pPr>
    </w:p>
    <w:p w14:paraId="22572899" w14:textId="77777777" w:rsidR="00866C63" w:rsidRDefault="00062E12">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 “Artículo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04BD4ADB" w14:textId="77777777" w:rsidR="00866C63" w:rsidRDefault="00062E12">
      <w:pPr>
        <w:pBdr>
          <w:top w:val="nil"/>
          <w:left w:val="nil"/>
          <w:bottom w:val="nil"/>
          <w:right w:val="nil"/>
          <w:between w:val="nil"/>
        </w:pBdr>
        <w:ind w:left="992" w:right="104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6CED5BCB" w14:textId="77777777" w:rsidR="00866C63" w:rsidRDefault="00062E12">
      <w:pPr>
        <w:pBdr>
          <w:top w:val="nil"/>
          <w:left w:val="nil"/>
          <w:bottom w:val="nil"/>
          <w:right w:val="nil"/>
          <w:between w:val="nil"/>
        </w:pBdr>
        <w:ind w:left="992" w:right="104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XI. La falta de trámite a una solicitud;”</w:t>
      </w:r>
    </w:p>
    <w:p w14:paraId="68E76957" w14:textId="77777777" w:rsidR="00866C63" w:rsidRDefault="00866C63">
      <w:pPr>
        <w:pBdr>
          <w:top w:val="nil"/>
          <w:left w:val="nil"/>
          <w:bottom w:val="nil"/>
          <w:right w:val="nil"/>
          <w:between w:val="nil"/>
        </w:pBdr>
        <w:spacing w:line="360" w:lineRule="auto"/>
        <w:ind w:right="-147"/>
        <w:jc w:val="both"/>
        <w:rPr>
          <w:rFonts w:ascii="Palatino Linotype" w:eastAsia="Palatino Linotype" w:hAnsi="Palatino Linotype" w:cs="Palatino Linotype"/>
          <w:sz w:val="24"/>
          <w:szCs w:val="24"/>
        </w:rPr>
      </w:pPr>
    </w:p>
    <w:p w14:paraId="10C10C58" w14:textId="77777777" w:rsidR="00866C63" w:rsidRDefault="00062E12">
      <w:pPr>
        <w:spacing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TERCERO. MATERIA DE LA REVISIÓN. </w:t>
      </w:r>
      <w:r>
        <w:rPr>
          <w:rFonts w:ascii="Palatino Linotype" w:eastAsia="Palatino Linotype" w:hAnsi="Palatino Linotype" w:cs="Palatino Linotype"/>
          <w:color w:val="000000"/>
          <w:sz w:val="24"/>
          <w:szCs w:val="24"/>
        </w:rPr>
        <w:t>De la revisión a las constancias y documentos que obran en el expediente electrónico se advierte, que el tema sobre el que este Organismo Garante de Transparencia y Acceso a la Información se pronunciará será: verificar si la respuesta e informe justificado otorgado por</w:t>
      </w:r>
      <w:r>
        <w:rPr>
          <w:rFonts w:ascii="Palatino Linotype" w:eastAsia="Palatino Linotype" w:hAnsi="Palatino Linotype" w:cs="Palatino Linotype"/>
          <w:b/>
          <w:color w:val="000000"/>
          <w:sz w:val="24"/>
          <w:szCs w:val="24"/>
        </w:rPr>
        <w:t xml:space="preserve"> 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strike/>
          <w:color w:val="000000"/>
          <w:sz w:val="24"/>
          <w:szCs w:val="24"/>
        </w:rPr>
        <w:t xml:space="preserve"> </w:t>
      </w:r>
      <w:r>
        <w:rPr>
          <w:rFonts w:ascii="Palatino Linotype" w:eastAsia="Palatino Linotype" w:hAnsi="Palatino Linotype" w:cs="Palatino Linotype"/>
          <w:sz w:val="24"/>
          <w:szCs w:val="24"/>
        </w:rPr>
        <w:t xml:space="preserve">son adecuada y suficientes </w:t>
      </w:r>
      <w:r>
        <w:rPr>
          <w:rFonts w:ascii="Palatino Linotype" w:eastAsia="Palatino Linotype" w:hAnsi="Palatino Linotype" w:cs="Palatino Linotype"/>
          <w:color w:val="000000"/>
          <w:sz w:val="24"/>
          <w:szCs w:val="24"/>
        </w:rPr>
        <w:t xml:space="preserve">para satisfacer el derecho de acceso a la información pública de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o en su defecto, en caso de ser procedente, ordenar la entrega de información.</w:t>
      </w:r>
    </w:p>
    <w:p w14:paraId="5903485C" w14:textId="77777777" w:rsidR="00866C63" w:rsidRDefault="00866C63">
      <w:pPr>
        <w:spacing w:line="360" w:lineRule="auto"/>
        <w:ind w:right="-234"/>
        <w:jc w:val="both"/>
        <w:rPr>
          <w:rFonts w:ascii="Palatino Linotype" w:eastAsia="Palatino Linotype" w:hAnsi="Palatino Linotype" w:cs="Palatino Linotype"/>
          <w:color w:val="000000"/>
          <w:sz w:val="24"/>
          <w:szCs w:val="24"/>
        </w:rPr>
      </w:pPr>
    </w:p>
    <w:p w14:paraId="6DFBDAB2"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 xml:space="preserve">CUARTO. ESTUDIO Y RESOLUCIÓN DEL ASUNTO.  </w:t>
      </w:r>
      <w:r>
        <w:rPr>
          <w:rFonts w:ascii="Palatino Linotype" w:eastAsia="Palatino Linotype" w:hAnsi="Palatino Linotype" w:cs="Palatino Linotype"/>
          <w:color w:val="000000"/>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201C05E"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483DD0F5" w14:textId="77777777" w:rsidR="00866C63" w:rsidRDefault="00062E12">
      <w:pPr>
        <w:tabs>
          <w:tab w:val="left" w:pos="709"/>
        </w:tabs>
        <w:spacing w:line="276" w:lineRule="auto"/>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rPr>
        <w:t>, así como de las garantías para su protección, cuyo ejercicio no podrá restringirse ni suspenderse, salvo en los casos y bajo las condiciones que esta Constitución establece.</w:t>
      </w:r>
    </w:p>
    <w:p w14:paraId="068615C2" w14:textId="77777777" w:rsidR="00866C63" w:rsidRDefault="00062E12">
      <w:pPr>
        <w:tabs>
          <w:tab w:val="left" w:pos="709"/>
        </w:tabs>
        <w:spacing w:line="276" w:lineRule="auto"/>
        <w:ind w:left="851" w:right="85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Las normas relativas a los derechos humanos se interpretarán de conformidad con esta Constitución y con los tratados internacionales de la materia favoreciendo en todo tiempo a las personas la protección más amplia.</w:t>
      </w:r>
    </w:p>
    <w:p w14:paraId="60FD6347" w14:textId="77777777" w:rsidR="00866C63" w:rsidRDefault="00062E12">
      <w:pPr>
        <w:tabs>
          <w:tab w:val="left" w:pos="709"/>
        </w:tabs>
        <w:spacing w:line="276" w:lineRule="auto"/>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14:paraId="73D696A6" w14:textId="77777777" w:rsidR="00866C63" w:rsidRDefault="00062E12">
      <w:pPr>
        <w:tabs>
          <w:tab w:val="left" w:pos="709"/>
        </w:tabs>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0A5E41D0" w14:textId="77777777" w:rsidR="00866C63" w:rsidRDefault="00062E12">
      <w:pPr>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6o.</w:t>
      </w:r>
    </w:p>
    <w:p w14:paraId="5D0F846E" w14:textId="77777777" w:rsidR="00866C63" w:rsidRDefault="00062E12">
      <w:pPr>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37584ED2" w14:textId="77777777" w:rsidR="00866C63" w:rsidRDefault="00062E1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 Para el ejercicio del derecho de acceso a la información, la Federación y </w:t>
      </w:r>
      <w:r>
        <w:rPr>
          <w:rFonts w:ascii="Palatino Linotype" w:eastAsia="Palatino Linotype" w:hAnsi="Palatino Linotype" w:cs="Palatino Linotype"/>
          <w:b/>
          <w:i/>
          <w:color w:val="000000"/>
          <w:u w:val="single"/>
        </w:rPr>
        <w:t>las entidades federativas</w:t>
      </w: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xml:space="preserve"> en el ámbito de sus respectivas competencias, se regirán por los siguientes principios y bases:</w:t>
      </w:r>
    </w:p>
    <w:p w14:paraId="51D4A67B" w14:textId="77777777" w:rsidR="00866C63" w:rsidRDefault="00062E1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w:t>
      </w:r>
    </w:p>
    <w:p w14:paraId="66038E81"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 </w:t>
      </w:r>
      <w:r>
        <w:rPr>
          <w:rFonts w:ascii="Palatino Linotype" w:eastAsia="Palatino Linotype" w:hAnsi="Palatino Linotype" w:cs="Palatino Linotype"/>
          <w:b/>
          <w:i/>
          <w:color w:val="000000"/>
          <w:u w:val="single"/>
        </w:rPr>
        <w:t>Toda la información en posesión de cualquier autoridad, entidad, órgano y organismo de los Poderes</w:t>
      </w:r>
      <w:r>
        <w:rPr>
          <w:rFonts w:ascii="Palatino Linotype" w:eastAsia="Palatino Linotype" w:hAnsi="Palatino Linotype" w:cs="Palatino Linotype"/>
          <w:i/>
          <w:color w:val="000000"/>
        </w:rPr>
        <w:t xml:space="preserve"> Ejecutivo, Legislativo </w:t>
      </w:r>
      <w:r>
        <w:rPr>
          <w:rFonts w:ascii="Palatino Linotype" w:eastAsia="Palatino Linotype" w:hAnsi="Palatino Linotype" w:cs="Palatino Linotype"/>
          <w:b/>
          <w:i/>
          <w:color w:val="000000"/>
          <w:u w:val="single"/>
        </w:rPr>
        <w:t>y Judicial</w:t>
      </w:r>
      <w:r>
        <w:rPr>
          <w:rFonts w:ascii="Palatino Linotype" w:eastAsia="Palatino Linotype" w:hAnsi="Palatino Linotype" w:cs="Palatino Linotype"/>
          <w:i/>
          <w:color w:val="000000"/>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rPr>
        <w:t xml:space="preserve">es pública y sólo podrá ser reservada </w:t>
      </w:r>
      <w:r>
        <w:rPr>
          <w:rFonts w:ascii="Palatino Linotype" w:eastAsia="Palatino Linotype" w:hAnsi="Palatino Linotype" w:cs="Palatino Linotype"/>
          <w:b/>
          <w:i/>
          <w:color w:val="000000"/>
        </w:rPr>
        <w:lastRenderedPageBreak/>
        <w:t>temporalmente por razones de interés público y seguridad nacional,</w:t>
      </w:r>
      <w:r>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7ED231" w14:textId="77777777" w:rsidR="00866C63" w:rsidRDefault="00062E12">
      <w:pPr>
        <w:spacing w:line="276" w:lineRule="auto"/>
        <w:ind w:left="851"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II. La información que se refiere a la vida privada y los datos personales será protegida en los términos y con las excepciones que fijen las leyes.</w:t>
      </w:r>
    </w:p>
    <w:p w14:paraId="695267C8"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w:t>
      </w:r>
    </w:p>
    <w:p w14:paraId="19645686"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III. </w:t>
      </w:r>
      <w:r>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rPr>
        <w:t xml:space="preserve"> a sus datos personales o a la rectificación de éstos.</w:t>
      </w:r>
    </w:p>
    <w:p w14:paraId="3958179D"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w:t>
      </w:r>
    </w:p>
    <w:p w14:paraId="038EC013"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IV. </w:t>
      </w:r>
      <w:r>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14:paraId="166B4ACF"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 </w:t>
      </w:r>
      <w:r>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D2199A1" w14:textId="77777777" w:rsidR="00866C63" w:rsidRDefault="00062E1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VI. </w:t>
      </w:r>
      <w:r>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7D0F7254" w14:textId="77777777" w:rsidR="00866C63" w:rsidRDefault="00062E12">
      <w:pP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VII. </w:t>
      </w:r>
      <w:r>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14:paraId="54A1ED3C" w14:textId="77777777" w:rsidR="00866C63" w:rsidRDefault="00866C63">
      <w:pPr>
        <w:ind w:right="851"/>
        <w:jc w:val="both"/>
        <w:rPr>
          <w:rFonts w:ascii="Palatino Linotype" w:eastAsia="Palatino Linotype" w:hAnsi="Palatino Linotype" w:cs="Palatino Linotype"/>
          <w:i/>
          <w:color w:val="000000"/>
        </w:rPr>
      </w:pPr>
    </w:p>
    <w:p w14:paraId="63170637" w14:textId="77777777" w:rsidR="00866C63" w:rsidRDefault="00062E12">
      <w:pPr>
        <w:tabs>
          <w:tab w:val="left" w:pos="709"/>
        </w:tabs>
        <w:spacing w:before="16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55649A5"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5A53F45D"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En primer lugar, es conveniente analizar si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1D2812E"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63B2A30A" w14:textId="77777777" w:rsidR="00866C63" w:rsidRDefault="00062E12">
      <w:pPr>
        <w:spacing w:line="276" w:lineRule="auto"/>
        <w:ind w:left="709" w:right="7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4.</w:t>
      </w:r>
      <w:r>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25B4F6" w14:textId="77777777" w:rsidR="00866C63" w:rsidRDefault="00866C63">
      <w:pPr>
        <w:spacing w:line="276" w:lineRule="auto"/>
        <w:ind w:left="709" w:right="760"/>
        <w:jc w:val="both"/>
        <w:rPr>
          <w:rFonts w:ascii="Palatino Linotype" w:eastAsia="Palatino Linotype" w:hAnsi="Palatino Linotype" w:cs="Palatino Linotype"/>
          <w:i/>
          <w:color w:val="000000"/>
        </w:rPr>
      </w:pPr>
    </w:p>
    <w:p w14:paraId="5C9C24A5" w14:textId="77777777" w:rsidR="00866C63" w:rsidRDefault="00062E12">
      <w:pPr>
        <w:spacing w:line="276" w:lineRule="auto"/>
        <w:ind w:left="709" w:right="76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color w:val="000000"/>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D36C1A1" w14:textId="77777777" w:rsidR="00866C63" w:rsidRDefault="00062E12">
      <w:pPr>
        <w:spacing w:line="276" w:lineRule="auto"/>
        <w:ind w:left="709" w:right="76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color w:val="000000"/>
        </w:rPr>
        <w:t>.”(</w:t>
      </w:r>
      <w:proofErr w:type="gramEnd"/>
      <w:r>
        <w:rPr>
          <w:rFonts w:ascii="Palatino Linotype" w:eastAsia="Palatino Linotype" w:hAnsi="Palatino Linotype" w:cs="Palatino Linotype"/>
          <w:i/>
          <w:color w:val="000000"/>
        </w:rPr>
        <w:t>Sic)</w:t>
      </w:r>
    </w:p>
    <w:p w14:paraId="68AF28B5" w14:textId="77777777" w:rsidR="00866C63" w:rsidRDefault="00866C63">
      <w:pPr>
        <w:spacing w:line="360" w:lineRule="auto"/>
        <w:ind w:left="709" w:right="760"/>
        <w:jc w:val="both"/>
        <w:rPr>
          <w:rFonts w:ascii="Palatino Linotype" w:eastAsia="Palatino Linotype" w:hAnsi="Palatino Linotype" w:cs="Palatino Linotype"/>
          <w:color w:val="000000"/>
          <w:sz w:val="24"/>
          <w:szCs w:val="24"/>
        </w:rPr>
      </w:pPr>
    </w:p>
    <w:p w14:paraId="22B9A543"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se desprende que los Sujetos Obligados tienen el deber de atender las solicitudes de acceso a la información pública que se les hagan de su conocimiento </w:t>
      </w:r>
      <w:r>
        <w:rPr>
          <w:rFonts w:ascii="Palatino Linotype" w:eastAsia="Palatino Linotype" w:hAnsi="Palatino Linotype" w:cs="Palatino Linotype"/>
          <w:color w:val="000000"/>
          <w:sz w:val="24"/>
          <w:szCs w:val="24"/>
        </w:rPr>
        <w:lastRenderedPageBreak/>
        <w:t>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705B855"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417D692C" w14:textId="77777777" w:rsidR="00866C63" w:rsidRDefault="00062E12">
      <w:pPr>
        <w:spacing w:line="276" w:lineRule="auto"/>
        <w:ind w:left="567"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12.-</w:t>
      </w:r>
      <w:r>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14:paraId="0338A417" w14:textId="77777777" w:rsidR="00866C63" w:rsidRDefault="00062E12">
      <w:pPr>
        <w:spacing w:line="276" w:lineRule="auto"/>
        <w:ind w:left="567" w:right="758"/>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La obligación de proporcionar información no comprende el procesamiento de la misma, ni el presentarla conforme al interés del solicitante; no estarán obligados a generarla, resumirla, efectuar cálculos o practicar investigaciones.” (Sic)</w:t>
      </w:r>
    </w:p>
    <w:p w14:paraId="2EFBB76F" w14:textId="77777777" w:rsidR="00866C63" w:rsidRDefault="00866C63">
      <w:pPr>
        <w:spacing w:line="360" w:lineRule="auto"/>
        <w:ind w:left="567" w:right="758"/>
        <w:jc w:val="both"/>
        <w:rPr>
          <w:rFonts w:ascii="Palatino Linotype" w:eastAsia="Palatino Linotype" w:hAnsi="Palatino Linotype" w:cs="Palatino Linotype"/>
          <w:color w:val="000000"/>
          <w:sz w:val="24"/>
          <w:szCs w:val="24"/>
        </w:rPr>
      </w:pPr>
    </w:p>
    <w:p w14:paraId="09B8F632"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7C9909E"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2ABDB692" w14:textId="77777777" w:rsidR="00866C63" w:rsidRDefault="00062E12">
      <w:pPr>
        <w:spacing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color w:val="000000"/>
          <w:sz w:val="24"/>
          <w:szCs w:val="24"/>
        </w:rPr>
        <w:lastRenderedPageBreak/>
        <w:t>Ley de Transparencia y Acceso a la Información Pública del Estado de México y Municipios.</w:t>
      </w:r>
    </w:p>
    <w:p w14:paraId="4B11C938" w14:textId="77777777" w:rsidR="00866C63" w:rsidRDefault="00866C63">
      <w:pPr>
        <w:spacing w:line="360" w:lineRule="auto"/>
        <w:ind w:right="49"/>
        <w:jc w:val="both"/>
        <w:rPr>
          <w:rFonts w:ascii="Palatino Linotype" w:eastAsia="Palatino Linotype" w:hAnsi="Palatino Linotype" w:cs="Palatino Linotype"/>
          <w:color w:val="000000"/>
          <w:sz w:val="24"/>
          <w:szCs w:val="24"/>
        </w:rPr>
      </w:pPr>
    </w:p>
    <w:p w14:paraId="04613C71"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otra parte, conviene mencionar que la Ley de Transparencia vigente en el Estado de México refiere: </w:t>
      </w:r>
    </w:p>
    <w:p w14:paraId="21587F63"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5B1BC59D"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18.</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color w:val="000000"/>
        </w:rPr>
        <w:t xml:space="preserve"> y reutilización de la información que generen.</w:t>
      </w:r>
    </w:p>
    <w:p w14:paraId="53791145"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19. </w:t>
      </w:r>
      <w:r>
        <w:rPr>
          <w:rFonts w:ascii="Palatino Linotype" w:eastAsia="Palatino Linotype" w:hAnsi="Palatino Linotype" w:cs="Palatino Linotype"/>
          <w:b/>
          <w:i/>
          <w:color w:val="000000"/>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color w:val="000000"/>
        </w:rPr>
        <w:t>.</w:t>
      </w:r>
    </w:p>
    <w:p w14:paraId="669859DB"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los casos en que ciertas facultades, competencias o funciones no se hayan ejercido, se debe motivar la respuesta en función de las causas que motiven tal circunstancia. </w:t>
      </w:r>
    </w:p>
    <w:p w14:paraId="7DBC25EF" w14:textId="77777777" w:rsidR="00866C63" w:rsidRDefault="00062E12">
      <w:pP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60839EF"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74A36641"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B96C30D" w14:textId="77777777" w:rsidR="00866C63" w:rsidRDefault="00866C63">
      <w:pPr>
        <w:spacing w:line="360" w:lineRule="auto"/>
        <w:jc w:val="both"/>
        <w:rPr>
          <w:rFonts w:ascii="Palatino Linotype" w:eastAsia="Palatino Linotype" w:hAnsi="Palatino Linotype" w:cs="Palatino Linotype"/>
          <w:sz w:val="24"/>
          <w:szCs w:val="24"/>
        </w:rPr>
      </w:pPr>
    </w:p>
    <w:p w14:paraId="21C591E1"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37A3B82"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7349AABD"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 xml:space="preserve">Artículo 3. </w:t>
      </w:r>
      <w:r>
        <w:rPr>
          <w:rFonts w:ascii="Palatino Linotype" w:eastAsia="Palatino Linotype" w:hAnsi="Palatino Linotype" w:cs="Palatino Linotype"/>
          <w:i/>
          <w:color w:val="000000"/>
        </w:rPr>
        <w:t>Para los efectos de la presente Ley se entenderá por:</w:t>
      </w:r>
    </w:p>
    <w:p w14:paraId="6C27FD8F"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55373C2D"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XI. Documento:</w:t>
      </w:r>
      <w:r>
        <w:rPr>
          <w:rFonts w:ascii="Palatino Linotype" w:eastAsia="Palatino Linotype" w:hAnsi="Palatino Linotype" w:cs="Palatino Linotype"/>
          <w:i/>
          <w:color w:val="000000"/>
        </w:rPr>
        <w:t xml:space="preserve"> Los expedientes, reportes, estudios, actas</w:t>
      </w: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30C7379" w14:textId="77777777" w:rsidR="00866C63" w:rsidRDefault="00866C63">
      <w:pPr>
        <w:spacing w:line="360" w:lineRule="auto"/>
        <w:ind w:left="851" w:right="899"/>
        <w:jc w:val="both"/>
        <w:rPr>
          <w:rFonts w:ascii="Palatino Linotype" w:eastAsia="Palatino Linotype" w:hAnsi="Palatino Linotype" w:cs="Palatino Linotype"/>
          <w:color w:val="000000"/>
          <w:sz w:val="24"/>
          <w:szCs w:val="24"/>
        </w:rPr>
      </w:pPr>
    </w:p>
    <w:p w14:paraId="4FB6BCBA"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730842"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481099E7" w14:textId="77777777" w:rsidR="00866C63" w:rsidRDefault="00062E12">
      <w:pPr>
        <w:spacing w:line="276" w:lineRule="auto"/>
        <w:ind w:left="851" w:right="899"/>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000000"/>
        </w:rPr>
        <w:lastRenderedPageBreak/>
        <w:t>“</w:t>
      </w:r>
      <w:r>
        <w:rPr>
          <w:rFonts w:ascii="Palatino Linotype" w:eastAsia="Palatino Linotype" w:hAnsi="Palatino Linotype" w:cs="Palatino Linotype"/>
          <w:b/>
          <w:i/>
          <w:color w:val="000000"/>
        </w:rPr>
        <w:t>CRITERIO 0002-11</w:t>
      </w:r>
    </w:p>
    <w:p w14:paraId="3FED0929"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85465C"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w:t>
      </w:r>
      <w:proofErr w:type="gramStart"/>
      <w:r>
        <w:rPr>
          <w:rFonts w:ascii="Palatino Linotype" w:eastAsia="Palatino Linotype" w:hAnsi="Palatino Linotype" w:cs="Palatino Linotype"/>
          <w:i/>
          <w:color w:val="000000"/>
        </w:rPr>
        <w:t>consecuencia</w:t>
      </w:r>
      <w:proofErr w:type="gramEnd"/>
      <w:r>
        <w:rPr>
          <w:rFonts w:ascii="Palatino Linotype" w:eastAsia="Palatino Linotype" w:hAnsi="Palatino Linotype" w:cs="Palatino Linotype"/>
          <w:i/>
          <w:color w:val="000000"/>
        </w:rPr>
        <w:t xml:space="preserve"> el acceso a la información se refiere a que se cumplan cualquiera de los siguientes tres supuestos:</w:t>
      </w:r>
    </w:p>
    <w:p w14:paraId="2AE8F072"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 Que se trate de información registrada en cualquier soporte documental, </w:t>
      </w:r>
      <w:proofErr w:type="gramStart"/>
      <w:r>
        <w:rPr>
          <w:rFonts w:ascii="Palatino Linotype" w:eastAsia="Palatino Linotype" w:hAnsi="Palatino Linotype" w:cs="Palatino Linotype"/>
          <w:i/>
          <w:color w:val="000000"/>
        </w:rPr>
        <w:t>que</w:t>
      </w:r>
      <w:proofErr w:type="gramEnd"/>
      <w:r>
        <w:rPr>
          <w:rFonts w:ascii="Palatino Linotype" w:eastAsia="Palatino Linotype" w:hAnsi="Palatino Linotype" w:cs="Palatino Linotype"/>
          <w:i/>
          <w:color w:val="000000"/>
        </w:rPr>
        <w:t xml:space="preserve"> en ejercicio de las atribuciones conferidas, sea generada por los Sujetos Obligados;</w:t>
      </w:r>
    </w:p>
    <w:p w14:paraId="455D01A8"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2) Que se trate de información registrada en cualquier soporte documental, </w:t>
      </w:r>
      <w:proofErr w:type="gramStart"/>
      <w:r>
        <w:rPr>
          <w:rFonts w:ascii="Palatino Linotype" w:eastAsia="Palatino Linotype" w:hAnsi="Palatino Linotype" w:cs="Palatino Linotype"/>
          <w:i/>
          <w:color w:val="000000"/>
        </w:rPr>
        <w:t>que</w:t>
      </w:r>
      <w:proofErr w:type="gramEnd"/>
      <w:r>
        <w:rPr>
          <w:rFonts w:ascii="Palatino Linotype" w:eastAsia="Palatino Linotype" w:hAnsi="Palatino Linotype" w:cs="Palatino Linotype"/>
          <w:i/>
          <w:color w:val="000000"/>
        </w:rPr>
        <w:t xml:space="preserve"> en ejercicio de las atribuciones conferidas, sea administrada por los Sujetos Obligados, y</w:t>
      </w:r>
    </w:p>
    <w:p w14:paraId="1C15655F"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3) Que se trate de información registrada en cualquier soporte documental, </w:t>
      </w:r>
      <w:proofErr w:type="gramStart"/>
      <w:r>
        <w:rPr>
          <w:rFonts w:ascii="Palatino Linotype" w:eastAsia="Palatino Linotype" w:hAnsi="Palatino Linotype" w:cs="Palatino Linotype"/>
          <w:i/>
          <w:color w:val="000000"/>
        </w:rPr>
        <w:t>que</w:t>
      </w:r>
      <w:proofErr w:type="gramEnd"/>
      <w:r>
        <w:rPr>
          <w:rFonts w:ascii="Palatino Linotype" w:eastAsia="Palatino Linotype" w:hAnsi="Palatino Linotype" w:cs="Palatino Linotype"/>
          <w:i/>
          <w:color w:val="000000"/>
        </w:rPr>
        <w:t xml:space="preserve"> en ejercicio de las atribuciones conferidas, se encuentre en posesión de los Sujetos Obligados.” </w:t>
      </w:r>
    </w:p>
    <w:p w14:paraId="7BDEB118" w14:textId="77777777" w:rsidR="00866C63" w:rsidRDefault="00866C63">
      <w:pPr>
        <w:spacing w:line="360" w:lineRule="auto"/>
        <w:ind w:left="851" w:right="899"/>
        <w:jc w:val="both"/>
        <w:rPr>
          <w:rFonts w:ascii="Palatino Linotype" w:eastAsia="Palatino Linotype" w:hAnsi="Palatino Linotype" w:cs="Palatino Linotype"/>
          <w:color w:val="000000"/>
          <w:sz w:val="24"/>
          <w:szCs w:val="24"/>
        </w:rPr>
      </w:pPr>
    </w:p>
    <w:p w14:paraId="293CDFC7"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ahí que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color w:val="000000"/>
          <w:sz w:val="24"/>
          <w:szCs w:val="24"/>
          <w:vertAlign w:val="superscript"/>
        </w:rPr>
        <w:footnoteReference w:id="1"/>
      </w:r>
      <w:r>
        <w:rPr>
          <w:rFonts w:ascii="Palatino Linotype" w:eastAsia="Palatino Linotype" w:hAnsi="Palatino Linotype" w:cs="Palatino Linotype"/>
          <w:color w:val="000000"/>
          <w:sz w:val="24"/>
          <w:szCs w:val="24"/>
        </w:rPr>
        <w:t xml:space="preserve">, así como de interés público, es decir, aquella que resulta relevante o beneficiosa para la sociedad y no simplemente de interés individual, y cuya divulgación resulta útil para que el público comprenda las </w:t>
      </w:r>
      <w:r>
        <w:rPr>
          <w:rFonts w:ascii="Palatino Linotype" w:eastAsia="Palatino Linotype" w:hAnsi="Palatino Linotype" w:cs="Palatino Linotype"/>
          <w:color w:val="000000"/>
          <w:sz w:val="24"/>
          <w:szCs w:val="24"/>
        </w:rPr>
        <w:lastRenderedPageBreak/>
        <w:t>actividades que llevan a cabo los Sujetos Obligados</w:t>
      </w:r>
      <w:r>
        <w:rPr>
          <w:rFonts w:ascii="Palatino Linotype" w:eastAsia="Palatino Linotype" w:hAnsi="Palatino Linotype" w:cs="Palatino Linotype"/>
          <w:color w:val="000000"/>
          <w:sz w:val="24"/>
          <w:szCs w:val="24"/>
          <w:vertAlign w:val="superscript"/>
        </w:rPr>
        <w:footnoteReference w:id="2"/>
      </w:r>
      <w:r>
        <w:rPr>
          <w:rFonts w:ascii="Palatino Linotype" w:eastAsia="Palatino Linotype" w:hAnsi="Palatino Linotype" w:cs="Palatino Linotype"/>
          <w:color w:val="000000"/>
          <w:sz w:val="24"/>
          <w:szCs w:val="24"/>
        </w:rPr>
        <w:t xml:space="preserve">, como pudiera tratarse de aquella relacionada con las obligaciones de </w:t>
      </w:r>
      <w:r>
        <w:rPr>
          <w:rFonts w:ascii="Palatino Linotype" w:eastAsia="Palatino Linotype" w:hAnsi="Palatino Linotype" w:cs="Palatino Linotype"/>
          <w:sz w:val="24"/>
          <w:szCs w:val="24"/>
        </w:rPr>
        <w:t>transparencia</w:t>
      </w:r>
      <w:r>
        <w:rPr>
          <w:rFonts w:ascii="Palatino Linotype" w:eastAsia="Palatino Linotype" w:hAnsi="Palatino Linotype" w:cs="Palatino Linotype"/>
          <w:color w:val="000000"/>
          <w:sz w:val="24"/>
          <w:szCs w:val="24"/>
        </w:rPr>
        <w:t xml:space="preserve"> señaladas en los artículos 92 y 100 de la Ley de la Materia.</w:t>
      </w:r>
    </w:p>
    <w:p w14:paraId="1F61AB17"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00ED4403" w14:textId="77777777" w:rsidR="00866C63" w:rsidRDefault="00062E12">
      <w:pPr>
        <w:spacing w:after="28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este sentido, cabe reiterar que el particular solicitó al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lo siguiente:</w:t>
      </w:r>
    </w:p>
    <w:p w14:paraId="2956D27A" w14:textId="77777777" w:rsidR="00866C63" w:rsidRDefault="00062E12">
      <w:pPr>
        <w:numPr>
          <w:ilvl w:val="0"/>
          <w:numId w:val="1"/>
        </w:numPr>
        <w:pBdr>
          <w:top w:val="nil"/>
          <w:left w:val="nil"/>
          <w:bottom w:val="nil"/>
          <w:right w:val="nil"/>
          <w:between w:val="nil"/>
        </w:pBdr>
        <w:spacing w:after="28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Medio y contrato para adquirir el servicio y las bitácoras de dispersión del combustible. </w:t>
      </w:r>
    </w:p>
    <w:p w14:paraId="02D54C52" w14:textId="77777777" w:rsidR="00866C63" w:rsidRDefault="00062E12">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por conducto del Dirección de Administración, solicita sea aclarado y/o puntualizado el periodo del cual se requiere la información, lo anterior para estar en posibilidades de responder concretamente. </w:t>
      </w:r>
    </w:p>
    <w:p w14:paraId="4BDD9508" w14:textId="77777777" w:rsidR="00866C63" w:rsidRDefault="00866C6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sz w:val="24"/>
          <w:szCs w:val="24"/>
        </w:rPr>
      </w:pPr>
    </w:p>
    <w:p w14:paraId="0EAB2EB0"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que la temporalidad de la información solicitada es del año inmediato anterior contado a partir de la fecha en que se presentó la solicitud.</w:t>
      </w:r>
    </w:p>
    <w:p w14:paraId="582ACF68" w14:textId="77777777" w:rsidR="00866C63" w:rsidRDefault="00866C63">
      <w:pPr>
        <w:spacing w:line="360" w:lineRule="auto"/>
        <w:jc w:val="both"/>
        <w:rPr>
          <w:rFonts w:ascii="Palatino Linotype" w:eastAsia="Palatino Linotype" w:hAnsi="Palatino Linotype" w:cs="Palatino Linotype"/>
          <w:sz w:val="24"/>
          <w:szCs w:val="24"/>
        </w:rPr>
      </w:pPr>
    </w:p>
    <w:p w14:paraId="7D63AED5"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Admitido el presente recurso de revisión, en términos del artículo 185 fracción II</w:t>
      </w:r>
      <w:r>
        <w:rPr>
          <w:rFonts w:ascii="Palatino Linotype" w:eastAsia="Palatino Linotype" w:hAnsi="Palatino Linotype" w:cs="Palatino Linotype"/>
          <w:color w:val="000000"/>
          <w:sz w:val="24"/>
          <w:szCs w:val="24"/>
          <w:vertAlign w:val="superscript"/>
        </w:rPr>
        <w:footnoteReference w:id="3"/>
      </w:r>
      <w:r>
        <w:rPr>
          <w:rFonts w:ascii="Palatino Linotype" w:eastAsia="Palatino Linotype" w:hAnsi="Palatino Linotype" w:cs="Palatino Linotype"/>
          <w:color w:val="000000"/>
          <w:sz w:val="24"/>
          <w:szCs w:val="24"/>
        </w:rPr>
        <w:t xml:space="preserve"> de la Ley de Transparencia y Acceso a la Información Pública del Estado de México y </w:t>
      </w:r>
      <w:r>
        <w:rPr>
          <w:rFonts w:ascii="Palatino Linotype" w:eastAsia="Palatino Linotype" w:hAnsi="Palatino Linotype" w:cs="Palatino Linotype"/>
          <w:color w:val="000000"/>
          <w:sz w:val="24"/>
          <w:szCs w:val="24"/>
        </w:rPr>
        <w:lastRenderedPageBreak/>
        <w:t>Municipios, se integró el expediente y se puso a disposición de las partes para que, en un plazo máximo de siete días hábiles, manifestaran lo que a su derecho resultara conveniente. Admitido el presente recurso de revisión, en términos del artículo 185 fracción II</w:t>
      </w:r>
      <w:r>
        <w:rPr>
          <w:rFonts w:ascii="Palatino Linotype" w:eastAsia="Palatino Linotype" w:hAnsi="Palatino Linotype" w:cs="Palatino Linotype"/>
          <w:color w:val="000000"/>
          <w:sz w:val="24"/>
          <w:szCs w:val="24"/>
          <w:vertAlign w:val="superscript"/>
        </w:rPr>
        <w:footnoteReference w:id="4"/>
      </w:r>
      <w:r>
        <w:rPr>
          <w:rFonts w:ascii="Palatino Linotype" w:eastAsia="Palatino Linotype" w:hAnsi="Palatino Linotype" w:cs="Palatino Linotype"/>
          <w:color w:val="000000"/>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4370A5A"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7E950AF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Cabe resaltar que durante la etapa de manifestaciones</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fue omisa de rendir alegatos, por lo que respecta al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por conducto del </w:t>
      </w:r>
      <w:proofErr w:type="gramStart"/>
      <w:r>
        <w:rPr>
          <w:rFonts w:ascii="Palatino Linotype" w:eastAsia="Palatino Linotype" w:hAnsi="Palatino Linotype" w:cs="Palatino Linotype"/>
          <w:sz w:val="24"/>
          <w:szCs w:val="24"/>
        </w:rPr>
        <w:t>Director</w:t>
      </w:r>
      <w:proofErr w:type="gramEnd"/>
      <w:r>
        <w:rPr>
          <w:rFonts w:ascii="Palatino Linotype" w:eastAsia="Palatino Linotype" w:hAnsi="Palatino Linotype" w:cs="Palatino Linotype"/>
          <w:sz w:val="24"/>
          <w:szCs w:val="24"/>
        </w:rPr>
        <w:t xml:space="preserve"> de Administración, menciona que el medio para adquirir el servicio y dispersión de combustible fue por licitación pública nacional presencial, anexan el contrato abierto de suministro de combustible No. LPNP/XAL/ADM/001/2022, respecto de las bitácoras de combustible, al ser un control interno, cada área maneja su registro, asimismo, mediante alcance al informe justificado, adjuntó el catorceavo punto de un acta del comité de transparencia, en donde se señala el acuerdo CT/XALA/05EXTRAORD/2023/DOCEAVO, mediante cual precisa que se aprueba la versión pública de la solicitud de información que dio origen al recurso de revisión citado al rubro. </w:t>
      </w:r>
    </w:p>
    <w:p w14:paraId="36D291B4" w14:textId="77777777" w:rsidR="00866C63" w:rsidRDefault="00866C63">
      <w:pPr>
        <w:spacing w:line="360" w:lineRule="auto"/>
        <w:jc w:val="both"/>
        <w:rPr>
          <w:rFonts w:ascii="Palatino Linotype" w:eastAsia="Palatino Linotype" w:hAnsi="Palatino Linotype" w:cs="Palatino Linotype"/>
          <w:sz w:val="24"/>
          <w:szCs w:val="24"/>
        </w:rPr>
      </w:pPr>
    </w:p>
    <w:p w14:paraId="472C767D"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Aclarado lo anterior</w:t>
      </w:r>
      <w:r>
        <w:rPr>
          <w:rFonts w:ascii="Palatino Linotype" w:eastAsia="Palatino Linotype" w:hAnsi="Palatino Linotype" w:cs="Palatino Linotype"/>
          <w:color w:val="000000"/>
          <w:sz w:val="24"/>
          <w:szCs w:val="24"/>
        </w:rPr>
        <w:t xml:space="preserve">, de esta manera, se procede al análisis de la respuesta proporcionada por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o en su defecto ordenar la entrega del o los documentos que lo satisfagan.</w:t>
      </w:r>
    </w:p>
    <w:p w14:paraId="0FCA79EC" w14:textId="77777777" w:rsidR="00866C63" w:rsidRDefault="00866C63">
      <w:pPr>
        <w:spacing w:line="360" w:lineRule="auto"/>
        <w:jc w:val="both"/>
        <w:rPr>
          <w:rFonts w:ascii="Palatino Linotype" w:eastAsia="Palatino Linotype" w:hAnsi="Palatino Linotype" w:cs="Palatino Linotype"/>
          <w:sz w:val="24"/>
          <w:szCs w:val="24"/>
        </w:rPr>
      </w:pPr>
    </w:p>
    <w:p w14:paraId="65B40469"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primera instancia, es de señalar que el área que se pronuncio fue la Dirección de Administración, misma que cuenta con las siguientes atribuciones:</w:t>
      </w:r>
    </w:p>
    <w:p w14:paraId="461A1A65" w14:textId="77777777" w:rsidR="00866C63" w:rsidRDefault="00866C63">
      <w:pPr>
        <w:spacing w:line="360" w:lineRule="auto"/>
        <w:jc w:val="both"/>
        <w:rPr>
          <w:rFonts w:ascii="Palatino Linotype" w:eastAsia="Palatino Linotype" w:hAnsi="Palatino Linotype" w:cs="Palatino Linotype"/>
          <w:sz w:val="24"/>
          <w:szCs w:val="24"/>
        </w:rPr>
      </w:pPr>
    </w:p>
    <w:p w14:paraId="72735DE5" w14:textId="77777777" w:rsidR="00866C63" w:rsidRDefault="00062E12">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333333"/>
          <w:sz w:val="22"/>
          <w:szCs w:val="22"/>
          <w:highlight w:val="white"/>
        </w:rPr>
        <w:t>“REGLAMENTO ORGÁNICO DE LA ADMINISTRACIÓN PÚBLICA MUNICIPAL DE XALATLACO.</w:t>
      </w:r>
    </w:p>
    <w:p w14:paraId="4EE605CA" w14:textId="77777777" w:rsidR="00866C63" w:rsidRDefault="00062E12">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 xml:space="preserve">Artículo 79.- La Dirección de Administración estará a cargo de un </w:t>
      </w:r>
      <w:proofErr w:type="gramStart"/>
      <w:r>
        <w:rPr>
          <w:rFonts w:ascii="Palatino Linotype" w:eastAsia="Palatino Linotype" w:hAnsi="Palatino Linotype" w:cs="Palatino Linotype"/>
          <w:i/>
          <w:sz w:val="22"/>
          <w:szCs w:val="22"/>
        </w:rPr>
        <w:t>Director</w:t>
      </w:r>
      <w:proofErr w:type="gramEnd"/>
      <w:r>
        <w:rPr>
          <w:rFonts w:ascii="Palatino Linotype" w:eastAsia="Palatino Linotype" w:hAnsi="Palatino Linotype" w:cs="Palatino Linotype"/>
          <w:i/>
          <w:sz w:val="22"/>
          <w:szCs w:val="22"/>
        </w:rPr>
        <w:t xml:space="preserve"> a quien le corresponderá el ejercicio de las atribuciones siguientes:</w:t>
      </w:r>
    </w:p>
    <w:p w14:paraId="6978E9ED" w14:textId="77777777" w:rsidR="00866C63" w:rsidRDefault="00062E12">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p>
    <w:p w14:paraId="5EB3173E" w14:textId="77777777" w:rsidR="00866C63" w:rsidRDefault="00062E12">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VII. Supervisar que el control, mantenimiento y adquisición del parque vehicular oficial, así como el suministro de energéticos, se realice de manera oportuna, apegándose a la normatividad establecida;</w:t>
      </w:r>
    </w:p>
    <w:p w14:paraId="178F7FD1" w14:textId="77777777" w:rsidR="00866C63" w:rsidRDefault="00062E12">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p>
    <w:p w14:paraId="772723AE"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Establecer y difundir entre las diversas dependencias, las políticas, manuales y procedimientos de carácter interno necesarios para la administración y el control eficiente de los recursos humanos, los recursos materiales, del parque vehicular, así como el mantenimiento adecuado y la conservación de los muebles e inmuebles propiedad municipal;”</w:t>
      </w:r>
    </w:p>
    <w:p w14:paraId="3390B13D" w14:textId="77777777" w:rsidR="00866C63" w:rsidRDefault="00866C63">
      <w:pPr>
        <w:spacing w:line="276" w:lineRule="auto"/>
        <w:ind w:left="851" w:right="899"/>
        <w:jc w:val="both"/>
        <w:rPr>
          <w:rFonts w:ascii="Palatino Linotype" w:eastAsia="Palatino Linotype" w:hAnsi="Palatino Linotype" w:cs="Palatino Linotype"/>
          <w:i/>
          <w:color w:val="000000"/>
        </w:rPr>
      </w:pPr>
    </w:p>
    <w:p w14:paraId="50EC41B5"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acuerdo a lo anterior, la Dirección de Administración, supervisa el control, mantenimiento y adquisición del parque vehicular oficial, así como el suministro de energéticos mediante el control eficiente de los recursos humanos, los recursos materiales, del parque vehicular. </w:t>
      </w:r>
    </w:p>
    <w:p w14:paraId="12A1A0B6" w14:textId="77777777" w:rsidR="00866C63" w:rsidRDefault="00866C63">
      <w:pPr>
        <w:spacing w:line="360" w:lineRule="auto"/>
        <w:jc w:val="both"/>
        <w:rPr>
          <w:rFonts w:ascii="Palatino Linotype" w:eastAsia="Palatino Linotype" w:hAnsi="Palatino Linotype" w:cs="Palatino Linotype"/>
          <w:sz w:val="24"/>
          <w:szCs w:val="24"/>
        </w:rPr>
      </w:pPr>
    </w:p>
    <w:p w14:paraId="5D9F256E"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a lo anterior, resulta necesario precisar que de las constancias que obran en el expediente, se logra vislumbrar a las áreas a las cuales se les turnó la solicitud de información; de tal circunstancia, resulta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 1.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2. Los sujetos obligados otorgaran acceso a los documentos que se encuentren en sus archivos o que estén obligados a documentar de acuerdo con sus facultades, competencias o funciones, en el formato en que el solicitante manifieste, de entre aquellos formatos existentes. </w:t>
      </w:r>
    </w:p>
    <w:p w14:paraId="3D6BD975" w14:textId="77777777" w:rsidR="00866C63" w:rsidRDefault="00866C63">
      <w:pPr>
        <w:spacing w:line="360" w:lineRule="auto"/>
        <w:jc w:val="both"/>
        <w:rPr>
          <w:highlight w:val="green"/>
        </w:rPr>
      </w:pPr>
    </w:p>
    <w:p w14:paraId="6D8237F1"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el Sujeto Obligado siguió el procedimiento antes descrito. </w:t>
      </w:r>
    </w:p>
    <w:p w14:paraId="37A8FB9B" w14:textId="77777777" w:rsidR="00866C63" w:rsidRDefault="00866C63">
      <w:pPr>
        <w:spacing w:line="360" w:lineRule="auto"/>
        <w:jc w:val="both"/>
        <w:rPr>
          <w:rFonts w:ascii="Palatino Linotype" w:eastAsia="Palatino Linotype" w:hAnsi="Palatino Linotype" w:cs="Palatino Linotype"/>
          <w:sz w:val="24"/>
          <w:szCs w:val="24"/>
        </w:rPr>
      </w:pPr>
    </w:p>
    <w:p w14:paraId="68C9483E"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 circunstancia, se logra colegir que el Sujeto Obligado cumplió con parte del procedimiento de búsqueda establecido en el artículo 162 de la Ley de Transparencia y Acceso a la Información Pública del Estado de México y Municipios, toda vez, que gestionó el requerimiento de información a la Dirección de Administración</w:t>
      </w:r>
    </w:p>
    <w:p w14:paraId="0CE551B0" w14:textId="77777777" w:rsidR="00866C63" w:rsidRDefault="00866C63">
      <w:pPr>
        <w:spacing w:line="360" w:lineRule="auto"/>
        <w:jc w:val="both"/>
        <w:rPr>
          <w:rFonts w:ascii="Palatino Linotype" w:eastAsia="Palatino Linotype" w:hAnsi="Palatino Linotype" w:cs="Palatino Linotype"/>
          <w:sz w:val="24"/>
          <w:szCs w:val="24"/>
        </w:rPr>
      </w:pPr>
    </w:p>
    <w:p w14:paraId="547B7446"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Precisado lo anterior se procede al análisis de la respuesta. </w:t>
      </w:r>
    </w:p>
    <w:p w14:paraId="1F288922" w14:textId="77777777" w:rsidR="00866C63" w:rsidRDefault="00866C63">
      <w:pPr>
        <w:spacing w:line="360" w:lineRule="auto"/>
        <w:jc w:val="both"/>
        <w:rPr>
          <w:rFonts w:ascii="Palatino Linotype" w:eastAsia="Palatino Linotype" w:hAnsi="Palatino Linotype" w:cs="Palatino Linotype"/>
          <w:sz w:val="24"/>
          <w:szCs w:val="24"/>
        </w:rPr>
      </w:pPr>
    </w:p>
    <w:p w14:paraId="71219FCF" w14:textId="77777777" w:rsidR="00866C63" w:rsidRDefault="00062E1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Respecto al medio y contrato para adquirir el combustible.</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410"/>
        <w:gridCol w:w="2126"/>
        <w:gridCol w:w="2126"/>
      </w:tblGrid>
      <w:tr w:rsidR="00866C63" w14:paraId="1A5F9EF7" w14:textId="77777777">
        <w:tc>
          <w:tcPr>
            <w:tcW w:w="2410" w:type="dxa"/>
            <w:tcBorders>
              <w:top w:val="single" w:sz="4" w:space="0" w:color="000000"/>
              <w:left w:val="single" w:sz="4" w:space="0" w:color="000000"/>
              <w:bottom w:val="single" w:sz="4" w:space="0" w:color="000000"/>
              <w:right w:val="single" w:sz="4" w:space="0" w:color="000000"/>
            </w:tcBorders>
            <w:shd w:val="clear" w:color="auto" w:fill="BFBFBF"/>
          </w:tcPr>
          <w:p w14:paraId="31FCCCD3" w14:textId="77777777" w:rsidR="00866C63" w:rsidRDefault="00062E1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cPr>
          <w:p w14:paraId="4A4A819C" w14:textId="77777777" w:rsidR="00866C63" w:rsidRDefault="00062E1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275B180A" w14:textId="77777777" w:rsidR="00866C63" w:rsidRDefault="00062E12">
            <w:pPr>
              <w:spacing w:before="240" w:after="240"/>
              <w:ind w:firstLine="114"/>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Informe Justificado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6CB5ED5B" w14:textId="77777777" w:rsidR="00866C63" w:rsidRDefault="00062E1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866C63" w14:paraId="3E405E79" w14:textId="77777777">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1623A94"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Medio y contrato para adquirir el combustible.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06E193C"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La Dirección de Administración, solicita sea aclarado y/o puntualizado el periodo del cual se requiere la información, lo anterior para estar en posibilidades de responder concretamente.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ACAC1A0"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El </w:t>
            </w:r>
            <w:proofErr w:type="gramStart"/>
            <w:r>
              <w:rPr>
                <w:rFonts w:ascii="Palatino Linotype" w:eastAsia="Palatino Linotype" w:hAnsi="Palatino Linotype" w:cs="Palatino Linotype"/>
                <w:color w:val="000000"/>
                <w:sz w:val="18"/>
                <w:szCs w:val="18"/>
              </w:rPr>
              <w:t>Director</w:t>
            </w:r>
            <w:proofErr w:type="gramEnd"/>
            <w:r>
              <w:rPr>
                <w:rFonts w:ascii="Palatino Linotype" w:eastAsia="Palatino Linotype" w:hAnsi="Palatino Linotype" w:cs="Palatino Linotype"/>
                <w:color w:val="000000"/>
                <w:sz w:val="18"/>
                <w:szCs w:val="18"/>
              </w:rPr>
              <w:t xml:space="preserve"> de Administración, menciona que el medio para adquirir el servicio y dispersión de combustible fue por licitación pública nacional presencial y anexa la aparente versión pública del contrato abierto de suministro de combustible No. LPNP/XAL/ADM/001/2022.</w:t>
            </w:r>
          </w:p>
          <w:p w14:paraId="7F73051E"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Catorceavo punto de un acta del comité de transparencia, en donde se señala el acuerdo CT/XALA/05EXTRAORD/2023/DOCEAVO, mediante cual precisa que se aprueba la versión pública de la solicitud de información que dio origen al recurso de revisión citado al rubro.</w:t>
            </w:r>
          </w:p>
        </w:tc>
        <w:tc>
          <w:tcPr>
            <w:tcW w:w="2126" w:type="dxa"/>
            <w:tcBorders>
              <w:top w:val="single" w:sz="4" w:space="0" w:color="000000"/>
              <w:left w:val="single" w:sz="4" w:space="0" w:color="000000"/>
              <w:bottom w:val="single" w:sz="4" w:space="0" w:color="000000"/>
              <w:right w:val="single" w:sz="4" w:space="0" w:color="000000"/>
            </w:tcBorders>
          </w:tcPr>
          <w:p w14:paraId="7A98429C"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Parcialmente. </w:t>
            </w:r>
          </w:p>
        </w:tc>
      </w:tr>
    </w:tbl>
    <w:p w14:paraId="46750EEA" w14:textId="77777777" w:rsidR="00866C63" w:rsidRDefault="00866C63">
      <w:pPr>
        <w:spacing w:line="360" w:lineRule="auto"/>
        <w:jc w:val="both"/>
        <w:rPr>
          <w:rFonts w:ascii="Palatino Linotype" w:eastAsia="Palatino Linotype" w:hAnsi="Palatino Linotype" w:cs="Palatino Linotype"/>
          <w:sz w:val="24"/>
          <w:szCs w:val="24"/>
        </w:rPr>
      </w:pPr>
    </w:p>
    <w:p w14:paraId="13CA0160"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se advierte respecto al medio por el que se contrató se da por colmado pues señalo la Dirección de Administración, el medio para adquirir el servicio y dispersión de combustible fue por licitación pública nacional, además dicha </w:t>
      </w:r>
      <w:r>
        <w:rPr>
          <w:rFonts w:ascii="Palatino Linotype" w:eastAsia="Palatino Linotype" w:hAnsi="Palatino Linotype" w:cs="Palatino Linotype"/>
          <w:color w:val="000000"/>
          <w:sz w:val="24"/>
          <w:szCs w:val="24"/>
        </w:rPr>
        <w:lastRenderedPageBreak/>
        <w:t xml:space="preserve">información es coincidente con lo </w:t>
      </w:r>
      <w:proofErr w:type="spellStart"/>
      <w:r>
        <w:rPr>
          <w:rFonts w:ascii="Palatino Linotype" w:eastAsia="Palatino Linotype" w:hAnsi="Palatino Linotype" w:cs="Palatino Linotype"/>
          <w:color w:val="000000"/>
          <w:sz w:val="24"/>
          <w:szCs w:val="24"/>
        </w:rPr>
        <w:t>refeirido</w:t>
      </w:r>
      <w:proofErr w:type="spellEnd"/>
      <w:r>
        <w:rPr>
          <w:rFonts w:ascii="Palatino Linotype" w:eastAsia="Palatino Linotype" w:hAnsi="Palatino Linotype" w:cs="Palatino Linotype"/>
          <w:color w:val="000000"/>
          <w:sz w:val="24"/>
          <w:szCs w:val="24"/>
        </w:rPr>
        <w:t xml:space="preserve"> en el contrato en la página dos, antecedente sexto, del cual se advierte que en efecto fue adjudicado el contrato de referencia como resultado de una licitación pública nacional. </w:t>
      </w:r>
    </w:p>
    <w:p w14:paraId="47A37599" w14:textId="77777777" w:rsidR="00866C63" w:rsidRDefault="00866C63">
      <w:pPr>
        <w:spacing w:line="360" w:lineRule="auto"/>
        <w:jc w:val="both"/>
        <w:rPr>
          <w:rFonts w:ascii="Palatino Linotype" w:eastAsia="Palatino Linotype" w:hAnsi="Palatino Linotype" w:cs="Palatino Linotype"/>
          <w:sz w:val="24"/>
          <w:szCs w:val="24"/>
        </w:rPr>
      </w:pPr>
    </w:p>
    <w:p w14:paraId="64E3517C"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w:t>
      </w:r>
      <w:proofErr w:type="gramStart"/>
      <w:r>
        <w:rPr>
          <w:rFonts w:ascii="Palatino Linotype" w:eastAsia="Palatino Linotype" w:hAnsi="Palatino Linotype" w:cs="Palatino Linotype"/>
          <w:sz w:val="24"/>
          <w:szCs w:val="24"/>
        </w:rPr>
        <w:t>bien</w:t>
      </w:r>
      <w:proofErr w:type="gramEnd"/>
      <w:r>
        <w:rPr>
          <w:rFonts w:ascii="Palatino Linotype" w:eastAsia="Palatino Linotype" w:hAnsi="Palatino Linotype" w:cs="Palatino Linotype"/>
          <w:sz w:val="24"/>
          <w:szCs w:val="24"/>
        </w:rPr>
        <w:t xml:space="preserve"> sobre el contrato remitido, se observa que testo diversos datos, por lo que conviene mencionar que López Olvera, Miguel Alejandro </w:t>
      </w:r>
      <w:proofErr w:type="spellStart"/>
      <w:r>
        <w:rPr>
          <w:rFonts w:ascii="Palatino Linotype" w:eastAsia="Palatino Linotype" w:hAnsi="Palatino Linotype" w:cs="Palatino Linotype"/>
          <w:sz w:val="24"/>
          <w:szCs w:val="24"/>
        </w:rPr>
        <w:t>Cancino</w:t>
      </w:r>
      <w:proofErr w:type="spellEnd"/>
      <w:r>
        <w:rPr>
          <w:rFonts w:ascii="Palatino Linotype" w:eastAsia="Palatino Linotype" w:hAnsi="Palatino Linotype" w:cs="Palatino Linotype"/>
          <w:sz w:val="24"/>
          <w:szCs w:val="24"/>
        </w:rPr>
        <w:t xml:space="preserve">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 Así, los artículos 1°, fracción III, y 4° 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Además, conforme a los artículos 26 y 27 de dicho ordenamiento jurídico, las adquisiciones, arrendamientos y servicios, se adjudicarán a través de procedimientos de licitación pública, invitación restringida y adjudicación directa. 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Ayuntamiento </w:t>
      </w:r>
      <w:r>
        <w:rPr>
          <w:rFonts w:ascii="Palatino Linotype" w:eastAsia="Palatino Linotype" w:hAnsi="Palatino Linotype" w:cs="Palatino Linotype"/>
          <w:sz w:val="24"/>
          <w:szCs w:val="24"/>
        </w:rPr>
        <w:lastRenderedPageBreak/>
        <w:t>y la persona a la cual haya ganado el procedimiento respectivo, dentro de los diez días hábiles siguientes a la notificación del fallo. Asimismo, el artículo 92, fracción XXIX y XXXII, de la Ley de Transparencia y Acceso a la Información Pública del Estado de México y Municipios, precisa que es información pública de oficio, la documentación sobre los procesos y resultados sobre procedimientos de adjudicación directa, invitación restringida y licitación de pública, que incluye la versión pública del expediente respectivo y de los contratos celebrados.</w:t>
      </w:r>
    </w:p>
    <w:p w14:paraId="7FB9F941" w14:textId="77777777" w:rsidR="00866C63" w:rsidRDefault="00866C63">
      <w:pPr>
        <w:spacing w:line="360" w:lineRule="auto"/>
        <w:jc w:val="both"/>
        <w:rPr>
          <w:rFonts w:ascii="Palatino Linotype" w:eastAsia="Palatino Linotype" w:hAnsi="Palatino Linotype" w:cs="Palatino Linotype"/>
          <w:sz w:val="24"/>
          <w:szCs w:val="24"/>
        </w:rPr>
      </w:pPr>
    </w:p>
    <w:p w14:paraId="1C9C327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w:t>
      </w:r>
      <w:proofErr w:type="gramStart"/>
      <w:r>
        <w:rPr>
          <w:rFonts w:ascii="Palatino Linotype" w:eastAsia="Palatino Linotype" w:hAnsi="Palatino Linotype" w:cs="Palatino Linotype"/>
          <w:sz w:val="24"/>
          <w:szCs w:val="24"/>
        </w:rPr>
        <w:t>sentido  de</w:t>
      </w:r>
      <w:proofErr w:type="gramEnd"/>
      <w:r>
        <w:rPr>
          <w:rFonts w:ascii="Palatino Linotype" w:eastAsia="Palatino Linotype" w:hAnsi="Palatino Linotype" w:cs="Palatino Linotype"/>
          <w:sz w:val="24"/>
          <w:szCs w:val="24"/>
        </w:rPr>
        <w:t xml:space="preserve"> una revisión, al contrato entregado en respuesta, se advierte que  testó la siguiente información: </w:t>
      </w:r>
    </w:p>
    <w:p w14:paraId="2F47EE65" w14:textId="77777777" w:rsidR="00866C63" w:rsidRDefault="00866C63">
      <w:pPr>
        <w:spacing w:line="360" w:lineRule="auto"/>
        <w:jc w:val="both"/>
        <w:rPr>
          <w:rFonts w:ascii="Palatino Linotype" w:eastAsia="Palatino Linotype" w:hAnsi="Palatino Linotype" w:cs="Palatino Linotype"/>
          <w:sz w:val="24"/>
          <w:szCs w:val="24"/>
        </w:rPr>
      </w:pPr>
    </w:p>
    <w:p w14:paraId="75916E4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Datos de Actas notariales;</w:t>
      </w:r>
    </w:p>
    <w:p w14:paraId="673FC473"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Instrumento notarial (Notaría); </w:t>
      </w:r>
    </w:p>
    <w:p w14:paraId="14604DF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Domicilio legal del contratista; </w:t>
      </w:r>
    </w:p>
    <w:p w14:paraId="4D9BBC9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Registro Federal de Contribuyentes (RFC); </w:t>
      </w:r>
    </w:p>
    <w:p w14:paraId="6A9DFD96"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color w:val="000000"/>
          <w:sz w:val="24"/>
          <w:szCs w:val="24"/>
        </w:rPr>
        <w:t xml:space="preserve"> Nombre y firma del representante legal.</w:t>
      </w:r>
    </w:p>
    <w:p w14:paraId="4A164772" w14:textId="77777777" w:rsidR="00866C63" w:rsidRDefault="00866C63">
      <w:pPr>
        <w:spacing w:line="360" w:lineRule="auto"/>
        <w:jc w:val="both"/>
        <w:rPr>
          <w:rFonts w:ascii="Palatino Linotype" w:eastAsia="Palatino Linotype" w:hAnsi="Palatino Linotype" w:cs="Palatino Linotype"/>
          <w:sz w:val="24"/>
          <w:szCs w:val="24"/>
        </w:rPr>
      </w:pPr>
    </w:p>
    <w:p w14:paraId="53BFC617" w14:textId="77777777" w:rsidR="00866C63" w:rsidRDefault="00062E12">
      <w:pPr>
        <w:spacing w:line="360" w:lineRule="auto"/>
        <w:jc w:val="both"/>
      </w:pPr>
      <w:r>
        <w:rPr>
          <w:rFonts w:ascii="Palatino Linotype" w:eastAsia="Palatino Linotype" w:hAnsi="Palatino Linotype" w:cs="Palatino Linotype"/>
          <w:sz w:val="24"/>
          <w:szCs w:val="24"/>
        </w:rPr>
        <w:t xml:space="preserve">En ese contexto, resulta procedente analizar si dichos datos son públicos o clasificados;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w:t>
      </w:r>
      <w:r>
        <w:rPr>
          <w:rFonts w:ascii="Palatino Linotype" w:eastAsia="Palatino Linotype" w:hAnsi="Palatino Linotype" w:cs="Palatino Linotype"/>
          <w:sz w:val="24"/>
          <w:szCs w:val="24"/>
        </w:rPr>
        <w:lastRenderedPageBreak/>
        <w:t>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Pr>
          <w:sz w:val="24"/>
          <w:szCs w:val="24"/>
        </w:rPr>
        <w:t xml:space="preserve"> </w:t>
      </w:r>
    </w:p>
    <w:p w14:paraId="7F1F4CD9" w14:textId="77777777" w:rsidR="00866C63" w:rsidRDefault="00866C63">
      <w:pPr>
        <w:spacing w:line="360" w:lineRule="auto"/>
        <w:jc w:val="both"/>
        <w:rPr>
          <w:rFonts w:ascii="Palatino Linotype" w:eastAsia="Palatino Linotype" w:hAnsi="Palatino Linotype" w:cs="Palatino Linotype"/>
          <w:sz w:val="24"/>
          <w:szCs w:val="24"/>
        </w:rPr>
      </w:pPr>
    </w:p>
    <w:p w14:paraId="6ED421A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 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B1B26FB"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BB35103" w14:textId="77777777" w:rsidR="00866C63" w:rsidRDefault="00866C63">
      <w:pPr>
        <w:spacing w:line="360" w:lineRule="auto"/>
        <w:jc w:val="both"/>
      </w:pPr>
    </w:p>
    <w:p w14:paraId="6937B428"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el artículo 145 de la Ley de Transparencia y Acceso a la Información Pública del Estado de México y Municipios, prevé que para que los Sujetos Obligados puedan permitir el acceso a la información confidencial, requieren </w:t>
      </w:r>
      <w:r>
        <w:rPr>
          <w:rFonts w:ascii="Palatino Linotype" w:eastAsia="Palatino Linotype" w:hAnsi="Palatino Linotype" w:cs="Palatino Linotype"/>
          <w:sz w:val="24"/>
          <w:szCs w:val="24"/>
        </w:rPr>
        <w:lastRenderedPageBreak/>
        <w:t xml:space="preserve">obtener el consentimiento de los particulares titulares de la información, excepto cuando i) la información se encuentre en registros públicos o fuentes de acceso público, </w:t>
      </w:r>
      <w:proofErr w:type="spellStart"/>
      <w:r>
        <w:rPr>
          <w:rFonts w:ascii="Palatino Linotype" w:eastAsia="Palatino Linotype" w:hAnsi="Palatino Linotype" w:cs="Palatino Linotype"/>
          <w:sz w:val="24"/>
          <w:szCs w:val="24"/>
        </w:rPr>
        <w:t>ii</w:t>
      </w:r>
      <w:proofErr w:type="spellEnd"/>
      <w:r>
        <w:rPr>
          <w:rFonts w:ascii="Palatino Linotype" w:eastAsia="Palatino Linotype" w:hAnsi="Palatino Linotype" w:cs="Palatino Linotype"/>
          <w:sz w:val="24"/>
          <w:szCs w:val="24"/>
        </w:rPr>
        <w:t xml:space="preserve">) por ley tenga el carácter de pública, </w:t>
      </w:r>
      <w:proofErr w:type="spellStart"/>
      <w:r>
        <w:rPr>
          <w:rFonts w:ascii="Palatino Linotype" w:eastAsia="Palatino Linotype" w:hAnsi="Palatino Linotype" w:cs="Palatino Linotype"/>
          <w:sz w:val="24"/>
          <w:szCs w:val="24"/>
        </w:rPr>
        <w:t>iii</w:t>
      </w:r>
      <w:proofErr w:type="spellEnd"/>
      <w:r>
        <w:rPr>
          <w:rFonts w:ascii="Palatino Linotype" w:eastAsia="Palatino Linotype" w:hAnsi="Palatino Linotype" w:cs="Palatino Linotype"/>
          <w:sz w:val="24"/>
          <w:szCs w:val="24"/>
        </w:rPr>
        <w:t xml:space="preserve">) exista una orden judicial, </w:t>
      </w:r>
      <w:proofErr w:type="spellStart"/>
      <w:r>
        <w:rPr>
          <w:rFonts w:ascii="Palatino Linotype" w:eastAsia="Palatino Linotype" w:hAnsi="Palatino Linotype" w:cs="Palatino Linotype"/>
          <w:sz w:val="24"/>
          <w:szCs w:val="24"/>
        </w:rPr>
        <w:t>iv</w:t>
      </w:r>
      <w:proofErr w:type="spellEnd"/>
      <w:r>
        <w:rPr>
          <w:rFonts w:ascii="Palatino Linotype" w:eastAsia="Palatino Linotype" w:hAnsi="Palatino Linotype" w:cs="Palatino Linotype"/>
          <w:sz w:val="24"/>
          <w:szCs w:val="24"/>
        </w:rPr>
        <w:t>) por razones de seguridad nacional y salubridad general o v) para proteger los derechos de terceros o cuando se transmita entre sujetos obligados en términos de los tratados y los acuerdos interinstitucionales. En términos de lo expuesto, la documentación y aquellos datos que se consideren confidenciales, serán una limitante del derecho de acceso a la información, siempre y cuando: A. Se trate de datos personales o información privada; esto es, información concerniente a una persona física o jurídico colectiva y que esta sea identificada o identificable. B. Para la difusión de los datos, se requiera el consentimiento del titular.</w:t>
      </w:r>
    </w:p>
    <w:p w14:paraId="19075B18" w14:textId="77777777" w:rsidR="00866C63" w:rsidRDefault="00866C63">
      <w:pPr>
        <w:spacing w:line="360" w:lineRule="auto"/>
        <w:jc w:val="both"/>
        <w:rPr>
          <w:rFonts w:ascii="Palatino Linotype" w:eastAsia="Palatino Linotype" w:hAnsi="Palatino Linotype" w:cs="Palatino Linotype"/>
          <w:sz w:val="24"/>
          <w:szCs w:val="24"/>
        </w:rPr>
      </w:pPr>
    </w:p>
    <w:p w14:paraId="4A3E6529"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56BBADA2" w14:textId="77777777" w:rsidR="00866C63" w:rsidRDefault="00866C63">
      <w:pPr>
        <w:spacing w:line="360" w:lineRule="auto"/>
        <w:jc w:val="both"/>
        <w:rPr>
          <w:rFonts w:ascii="Palatino Linotype" w:eastAsia="Palatino Linotype" w:hAnsi="Palatino Linotype" w:cs="Palatino Linotype"/>
          <w:sz w:val="24"/>
          <w:szCs w:val="24"/>
        </w:rPr>
      </w:pPr>
    </w:p>
    <w:p w14:paraId="79011496"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en el artículo 5° de dicho ordenamiento jurídico, establece que es la Ley aplicable para todo tratamiento de datos personales.</w:t>
      </w:r>
    </w:p>
    <w:p w14:paraId="397FBE8C" w14:textId="77777777" w:rsidR="00866C63" w:rsidRDefault="00866C63">
      <w:pPr>
        <w:spacing w:line="360" w:lineRule="auto"/>
        <w:jc w:val="both"/>
      </w:pPr>
    </w:p>
    <w:p w14:paraId="74BDC4AB"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w:t>
      </w:r>
    </w:p>
    <w:p w14:paraId="2F2EBCB9" w14:textId="77777777" w:rsidR="00866C63" w:rsidRDefault="00866C63">
      <w:pPr>
        <w:spacing w:line="360" w:lineRule="auto"/>
        <w:jc w:val="both"/>
        <w:rPr>
          <w:rFonts w:ascii="Palatino Linotype" w:eastAsia="Palatino Linotype" w:hAnsi="Palatino Linotype" w:cs="Palatino Linotype"/>
          <w:sz w:val="24"/>
          <w:szCs w:val="24"/>
        </w:rPr>
      </w:pPr>
    </w:p>
    <w:p w14:paraId="2F0ACE90"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CA33D7C" w14:textId="77777777" w:rsidR="00866C63" w:rsidRDefault="00866C63">
      <w:pPr>
        <w:spacing w:line="360" w:lineRule="auto"/>
        <w:jc w:val="both"/>
      </w:pPr>
    </w:p>
    <w:p w14:paraId="2D7A895A"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0F40A3A" w14:textId="77777777" w:rsidR="00866C63" w:rsidRDefault="00866C63">
      <w:pPr>
        <w:spacing w:line="360" w:lineRule="auto"/>
        <w:jc w:val="both"/>
        <w:rPr>
          <w:rFonts w:ascii="Palatino Linotype" w:eastAsia="Palatino Linotype" w:hAnsi="Palatino Linotype" w:cs="Palatino Linotype"/>
          <w:sz w:val="24"/>
          <w:szCs w:val="24"/>
        </w:rPr>
      </w:pPr>
    </w:p>
    <w:p w14:paraId="3D392651"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tal suerte, las instituciones públicas tienen la doble responsabilidad, por un lado, de proteger los datos personales y por otro, darles publicidad cuando la relevancia de esos datos sea de interés público. </w:t>
      </w:r>
    </w:p>
    <w:p w14:paraId="547FC3B2" w14:textId="77777777" w:rsidR="00866C63" w:rsidRDefault="00866C63">
      <w:pPr>
        <w:spacing w:line="360" w:lineRule="auto"/>
        <w:jc w:val="both"/>
        <w:rPr>
          <w:rFonts w:ascii="Palatino Linotype" w:eastAsia="Palatino Linotype" w:hAnsi="Palatino Linotype" w:cs="Palatino Linotype"/>
          <w:sz w:val="24"/>
          <w:szCs w:val="24"/>
        </w:rPr>
      </w:pPr>
    </w:p>
    <w:p w14:paraId="44836E70"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1309250" w14:textId="77777777" w:rsidR="00866C63" w:rsidRDefault="00866C63">
      <w:pPr>
        <w:spacing w:line="360" w:lineRule="auto"/>
        <w:jc w:val="both"/>
      </w:pPr>
    </w:p>
    <w:p w14:paraId="3F69AF73"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47CA4F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w:t>
      </w:r>
    </w:p>
    <w:p w14:paraId="4CD0B8DF" w14:textId="77777777" w:rsidR="00866C63" w:rsidRDefault="00866C63">
      <w:pPr>
        <w:spacing w:line="360" w:lineRule="auto"/>
        <w:jc w:val="both"/>
        <w:rPr>
          <w:rFonts w:ascii="Palatino Linotype" w:eastAsia="Palatino Linotype" w:hAnsi="Palatino Linotype" w:cs="Palatino Linotype"/>
          <w:sz w:val="24"/>
          <w:szCs w:val="24"/>
        </w:rPr>
      </w:pPr>
    </w:p>
    <w:p w14:paraId="7E511E7F"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Bajo ese contexto, se analizarán si los datos mencionados, deben ser considerados confidenciales, en términos del artículo 143, fracción I, de la Ley de Transparencia y Acceso a la Información Pública del Estado de México y Municipios, o públicos tal como se expone a continuación:</w:t>
      </w:r>
    </w:p>
    <w:p w14:paraId="090BE607" w14:textId="77777777" w:rsidR="00866C63" w:rsidRDefault="00866C63">
      <w:pPr>
        <w:spacing w:line="360" w:lineRule="auto"/>
        <w:jc w:val="both"/>
      </w:pPr>
    </w:p>
    <w:p w14:paraId="28843FA2" w14:textId="77777777" w:rsidR="00866C63" w:rsidRDefault="00062E1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4"/>
          <w:szCs w:val="24"/>
        </w:rPr>
        <w:t>- Datos de identificación de Actas Constitutivas.</w:t>
      </w:r>
    </w:p>
    <w:p w14:paraId="748A0051" w14:textId="77777777" w:rsidR="00866C63" w:rsidRDefault="00866C63">
      <w:pPr>
        <w:spacing w:line="360" w:lineRule="auto"/>
        <w:jc w:val="both"/>
      </w:pPr>
    </w:p>
    <w:p w14:paraId="6D3B14CA"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Sobre este documento, se debe señalar que debe ser analizado en su integridad, al ser este un acto que emana de la libertad de las personas para asociarse, derecho humano, que es reconocido en el artículo 9° de la Constitución Política de los Estados Unidos Mexicanos. En esa tesitura, debe entenderse que las personas físicas pueden asociarse para crear personas morales, y con este acto dotarlas de personalidad jurídica.</w:t>
      </w:r>
    </w:p>
    <w:p w14:paraId="0E9982D8" w14:textId="77777777" w:rsidR="00866C63" w:rsidRDefault="00866C63">
      <w:pPr>
        <w:spacing w:line="360" w:lineRule="auto"/>
        <w:jc w:val="both"/>
        <w:rPr>
          <w:rFonts w:ascii="Palatino Linotype" w:eastAsia="Palatino Linotype" w:hAnsi="Palatino Linotype" w:cs="Palatino Linotype"/>
          <w:sz w:val="24"/>
          <w:szCs w:val="24"/>
        </w:rPr>
      </w:pPr>
    </w:p>
    <w:p w14:paraId="323D5CE1"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necesario precisar que la Doctrina Jurídica, ha reconocido que las personas morales son realidades orgánicas que nacen de un acto social constitutivo, en el que </w:t>
      </w:r>
      <w:r>
        <w:rPr>
          <w:rFonts w:ascii="Palatino Linotype" w:eastAsia="Palatino Linotype" w:hAnsi="Palatino Linotype" w:cs="Palatino Linotype"/>
          <w:sz w:val="24"/>
          <w:szCs w:val="24"/>
        </w:rPr>
        <w:lastRenderedPageBreak/>
        <w:t xml:space="preserve">la voluntad de las partes se proyecta unilateralmente y crea un complejo de derechos y deberes de las partes entre </w:t>
      </w:r>
      <w:proofErr w:type="spellStart"/>
      <w:r>
        <w:rPr>
          <w:rFonts w:ascii="Palatino Linotype" w:eastAsia="Palatino Linotype" w:hAnsi="Palatino Linotype" w:cs="Palatino Linotype"/>
          <w:sz w:val="24"/>
          <w:szCs w:val="24"/>
        </w:rPr>
        <w:t>si</w:t>
      </w:r>
      <w:proofErr w:type="spellEnd"/>
      <w:r>
        <w:rPr>
          <w:rFonts w:ascii="Palatino Linotype" w:eastAsia="Palatino Linotype" w:hAnsi="Palatino Linotype" w:cs="Palatino Linotype"/>
          <w:sz w:val="24"/>
          <w:szCs w:val="24"/>
        </w:rPr>
        <w:t xml:space="preserve"> y de estas con la corporación y, sobre todo, crea la norma jurídica objetiva, es decir, los estatutos que constituyen la ley de la sociedad., (Manuel García Rendón. (2016). Sociedades Mercantiles. Ciudad de México. Oxford. Pág. 18). De lo anterior, se puede inferir que las sociedades no nacen de un contrato ordinario, si no, de un contrato de organización. </w:t>
      </w:r>
    </w:p>
    <w:p w14:paraId="7720F75B" w14:textId="77777777" w:rsidR="00866C63" w:rsidRDefault="00866C63">
      <w:pPr>
        <w:spacing w:line="360" w:lineRule="auto"/>
        <w:jc w:val="both"/>
        <w:rPr>
          <w:rFonts w:ascii="Palatino Linotype" w:eastAsia="Palatino Linotype" w:hAnsi="Palatino Linotype" w:cs="Palatino Linotype"/>
          <w:sz w:val="24"/>
          <w:szCs w:val="24"/>
        </w:rPr>
      </w:pPr>
    </w:p>
    <w:p w14:paraId="46BE532C"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No debe perderse de vista, que el contrato social de una sociedad mercantil está sujeto a diversas formalidades de entre las cuales destaca la prevista en el artículo 5°, primer párrafo de la Ley General de Sociedad Mercantiles, al señalar:</w:t>
      </w:r>
    </w:p>
    <w:p w14:paraId="0E89953B" w14:textId="77777777" w:rsidR="00866C63" w:rsidRDefault="00866C63">
      <w:pPr>
        <w:spacing w:line="360" w:lineRule="auto"/>
        <w:jc w:val="both"/>
        <w:rPr>
          <w:rFonts w:ascii="Palatino Linotype" w:eastAsia="Palatino Linotype" w:hAnsi="Palatino Linotype" w:cs="Palatino Linotype"/>
          <w:sz w:val="24"/>
          <w:szCs w:val="24"/>
        </w:rPr>
      </w:pPr>
    </w:p>
    <w:p w14:paraId="4F2EAE88" w14:textId="77777777" w:rsidR="00866C63" w:rsidRDefault="00062E12">
      <w:pPr>
        <w:spacing w:after="160"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2"/>
          <w:szCs w:val="22"/>
        </w:rPr>
        <w:t>Artículo 5o. Las sociedades se constituirán ante fedatario público y en la misma forma se harán constar con sus modificaciones. El fedatario público no autorizará la escritura o póliza cuando los estatutos o sus modificaciones contravengan lo dispuesto por esta Ley.</w:t>
      </w:r>
      <w:r>
        <w:rPr>
          <w:rFonts w:ascii="Palatino Linotype" w:eastAsia="Palatino Linotype" w:hAnsi="Palatino Linotype" w:cs="Palatino Linotype"/>
          <w:sz w:val="24"/>
          <w:szCs w:val="24"/>
        </w:rPr>
        <w:t>”</w:t>
      </w:r>
    </w:p>
    <w:p w14:paraId="4CEA76CA"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debe entenderse que la constitución de una sociedad mercantil emana de un acuerdo de voluntades de sus socios, del cual deriva un contrato social y que, a su vez, la Ley le establece formalidades.</w:t>
      </w:r>
    </w:p>
    <w:p w14:paraId="59DC05FD" w14:textId="77777777" w:rsidR="00866C63" w:rsidRDefault="00866C63">
      <w:pPr>
        <w:spacing w:line="360" w:lineRule="auto"/>
        <w:jc w:val="both"/>
        <w:rPr>
          <w:rFonts w:ascii="Palatino Linotype" w:eastAsia="Palatino Linotype" w:hAnsi="Palatino Linotype" w:cs="Palatino Linotype"/>
          <w:sz w:val="24"/>
          <w:szCs w:val="24"/>
        </w:rPr>
      </w:pPr>
    </w:p>
    <w:p w14:paraId="68DE963F"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dicho contrato social, también conocido como acta constitutiva, conforme al artículo 6° de la Ley General de Sociedades Mercantiles, se conforma de los siguientes datos:</w:t>
      </w:r>
    </w:p>
    <w:p w14:paraId="3E36D8D6" w14:textId="77777777" w:rsidR="00866C63" w:rsidRDefault="00866C63">
      <w:pPr>
        <w:spacing w:line="360" w:lineRule="auto"/>
        <w:jc w:val="both"/>
        <w:rPr>
          <w:rFonts w:ascii="Palatino Linotype" w:eastAsia="Palatino Linotype" w:hAnsi="Palatino Linotype" w:cs="Palatino Linotype"/>
          <w:sz w:val="24"/>
          <w:szCs w:val="24"/>
        </w:rPr>
      </w:pPr>
    </w:p>
    <w:p w14:paraId="59295D70"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1. Los nombres, nacionalidad y domicilio de las personas físicas o morales que constituyan la sociedad; </w:t>
      </w:r>
    </w:p>
    <w:p w14:paraId="22F26768"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2. El objeto de la sociedad; </w:t>
      </w:r>
    </w:p>
    <w:p w14:paraId="4875D2D4"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3. Su razón social o denominación; </w:t>
      </w:r>
    </w:p>
    <w:p w14:paraId="6B25E4E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4. Su duración, misma que podrá ser indefinida; </w:t>
      </w:r>
    </w:p>
    <w:p w14:paraId="27CA9216"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5. El importe del capital social; </w:t>
      </w:r>
    </w:p>
    <w:p w14:paraId="215323B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6. La expresión de lo que cada socio aporte en dinero o en otros bienes; el valor atribuido a éstos y el criterio seguido para su valorización. </w:t>
      </w:r>
    </w:p>
    <w:p w14:paraId="0D8D2501"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7. Cuando el capital sea variable, así se expresará indicándose el mínimo que se fije; 8. El domicilio de la sociedad;</w:t>
      </w:r>
    </w:p>
    <w:p w14:paraId="7AD159D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9. La manera conforme a la cual haya de administrarse la sociedad y las facultades de los administradores; </w:t>
      </w:r>
    </w:p>
    <w:p w14:paraId="4C6FD1E9"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10. El nombramiento de los administradores y la designación de los que han de llevar la firma social; </w:t>
      </w:r>
    </w:p>
    <w:p w14:paraId="78D4C4F6"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11. La manera de hacer la distribución de las utilidades y pérdidas entre los miembros de la sociedad; </w:t>
      </w:r>
    </w:p>
    <w:p w14:paraId="15951219"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12. El importe del fondo de reserva; </w:t>
      </w:r>
    </w:p>
    <w:p w14:paraId="12E3FEF5"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13. Los casos en que la sociedad haya de disolverse anticipadamente, y </w:t>
      </w:r>
    </w:p>
    <w:p w14:paraId="4FB8C77B"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14. Las bases para practicar la liquidación de la sociedad y el modo de proceder a la elección de los liquidadores, cuando no hayan sido designados anticipadamente. </w:t>
      </w:r>
    </w:p>
    <w:p w14:paraId="7EC9A8A6" w14:textId="77777777" w:rsidR="00866C63" w:rsidRDefault="00866C63">
      <w:pPr>
        <w:spacing w:line="360" w:lineRule="auto"/>
        <w:jc w:val="both"/>
      </w:pPr>
    </w:p>
    <w:p w14:paraId="1957E8E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es necesario precisar que la publicidad de información relativa a la constitución legal de una empresa proveedora del Estado, debe considerarse de interés público, lo anterior es así, pues debe privilegiarse el principio de máxima </w:t>
      </w:r>
      <w:r>
        <w:rPr>
          <w:rFonts w:ascii="Palatino Linotype" w:eastAsia="Palatino Linotype" w:hAnsi="Palatino Linotype" w:cs="Palatino Linotype"/>
          <w:sz w:val="24"/>
          <w:szCs w:val="24"/>
        </w:rPr>
        <w:lastRenderedPageBreak/>
        <w:t>publicidad y rendición de cuentas; pues su publicidad radica en que permite a la ciudadanía conocer de manera clara y precisa, que una empresa que está obteniendo recursos públicos, se encuentra debidamente registrada y constituida; Sobre el tema, el artículo 116, último párrafo de la Ley General de Transparencia y Acceso a la Información Pública y el 143, fracción III, de la Ley de Transparencia y Acceso a la Información Pública del Estado de México y Municipios, establecen que será información confidencial, aquella que presenten los particulares con dicho carácter. Además, el Cuadragésimo de los Lineamientos Generales en Materia de Clasificación y Desclasificación de la Información, así́ como, para la Elaboración de Versiones Públicas, establece que la información susceptible a ser clasificada por dicha causal, es la siguiente:</w:t>
      </w:r>
    </w:p>
    <w:p w14:paraId="5C8DF440" w14:textId="77777777" w:rsidR="00866C63" w:rsidRDefault="00866C63">
      <w:pPr>
        <w:spacing w:line="360" w:lineRule="auto"/>
        <w:jc w:val="both"/>
        <w:rPr>
          <w:rFonts w:ascii="Palatino Linotype" w:eastAsia="Palatino Linotype" w:hAnsi="Palatino Linotype" w:cs="Palatino Linotype"/>
          <w:sz w:val="24"/>
          <w:szCs w:val="24"/>
        </w:rPr>
      </w:pPr>
    </w:p>
    <w:p w14:paraId="4CE02666"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Symbol" w:eastAsia="Symbol" w:hAnsi="Symbol" w:cs="Symbol"/>
          <w:sz w:val="24"/>
          <w:szCs w:val="24"/>
        </w:rPr>
        <w:t>∙</w:t>
      </w:r>
      <w:r>
        <w:rPr>
          <w:rFonts w:ascii="Palatino Linotype" w:eastAsia="Palatino Linotype" w:hAnsi="Palatino Linotype" w:cs="Palatino Linotype"/>
          <w:sz w:val="24"/>
          <w:szCs w:val="24"/>
        </w:rPr>
        <w:t xml:space="preserve"> La que se refiera al patrimonio de una persona moral, y</w:t>
      </w:r>
    </w:p>
    <w:p w14:paraId="4E2DE727" w14:textId="77777777" w:rsidR="00866C63" w:rsidRDefault="00866C63">
      <w:pPr>
        <w:spacing w:line="360" w:lineRule="auto"/>
        <w:jc w:val="both"/>
        <w:rPr>
          <w:rFonts w:ascii="Palatino Linotype" w:eastAsia="Palatino Linotype" w:hAnsi="Palatino Linotype" w:cs="Palatino Linotype"/>
          <w:sz w:val="24"/>
          <w:szCs w:val="24"/>
        </w:rPr>
      </w:pPr>
    </w:p>
    <w:p w14:paraId="5209A3AD" w14:textId="77777777" w:rsidR="00866C63" w:rsidRDefault="00062E12">
      <w:pPr>
        <w:spacing w:line="360" w:lineRule="auto"/>
        <w:jc w:val="both"/>
        <w:rPr>
          <w:rFonts w:ascii="Palatino Linotype" w:eastAsia="Palatino Linotype" w:hAnsi="Palatino Linotype" w:cs="Palatino Linotype"/>
          <w:sz w:val="24"/>
          <w:szCs w:val="24"/>
        </w:rPr>
      </w:pPr>
      <w:r>
        <w:rPr>
          <w:rFonts w:ascii="Symbol" w:eastAsia="Symbol" w:hAnsi="Symbol" w:cs="Symbol"/>
          <w:sz w:val="24"/>
          <w:szCs w:val="24"/>
        </w:rPr>
        <w:t>∙</w:t>
      </w:r>
      <w:r>
        <w:rPr>
          <w:rFonts w:ascii="Palatino Linotype" w:eastAsia="Palatino Linotype" w:hAnsi="Palatino Linotype" w:cs="Palatino Linotype"/>
          <w:sz w:val="24"/>
          <w:szCs w:val="24"/>
        </w:rPr>
        <w:t xml:space="preserve"> La que comprenda hechos y actos de carácter económico, contable, jurídico o administrativo relativos a una persona, que pudiera ser útil para un competidor; así como, aquella relativa a detalles sobre el manejo de una empresa, sobre su proceso de toma de decisiones o información que pudiera afectar sus negociaciones. Conforme a dicha circunstancia, se logra observar que los únicos datos que son clasificables, son aquellos que den pauta del patrimonio de la persona moral y de los socios, pues corresponden al conjunto de bienes, derechos y obligaciones correspondientes a una persona moral y física, que constituyen una universalidad jurídica; por lo que, revelar dicha información se estaría vulnerando su privacidad, al ser el conjunto de bienes y activos con los que cuenta. Así mismo, resultaría </w:t>
      </w:r>
      <w:r>
        <w:rPr>
          <w:rFonts w:ascii="Palatino Linotype" w:eastAsia="Palatino Linotype" w:hAnsi="Palatino Linotype" w:cs="Palatino Linotype"/>
          <w:sz w:val="24"/>
          <w:szCs w:val="24"/>
        </w:rPr>
        <w:lastRenderedPageBreak/>
        <w:t>procedente la clasificación de los datos de carácter económico, contable, jurídico o administrativo que de ventaja a un tercero; como, aquellos que den detalles sobre el manejo de una empresa, el proceso de toma de decisiones o información que afecten sus negociaciones. No obstante, por lo que, hace los datos de identificación de las Actas Constitutivas del proveedor, no es susceptible a ser clasificado en términos del artículo 143, fracción I, de la Ley de Transparencia y Acceso a la Información Pública del Estado de México.</w:t>
      </w:r>
    </w:p>
    <w:p w14:paraId="56D8FBE3" w14:textId="77777777" w:rsidR="00866C63" w:rsidRDefault="00866C63">
      <w:pPr>
        <w:spacing w:line="360" w:lineRule="auto"/>
        <w:jc w:val="both"/>
        <w:rPr>
          <w:rFonts w:ascii="Palatino Linotype" w:eastAsia="Palatino Linotype" w:hAnsi="Palatino Linotype" w:cs="Palatino Linotype"/>
          <w:sz w:val="24"/>
          <w:szCs w:val="24"/>
        </w:rPr>
      </w:pPr>
    </w:p>
    <w:p w14:paraId="5D441DB6" w14:textId="77777777" w:rsidR="00866C63" w:rsidRDefault="00062E12">
      <w:pPr>
        <w:numPr>
          <w:ilvl w:val="0"/>
          <w:numId w:val="3"/>
        </w:numPr>
        <w:spacing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Datos de identificación </w:t>
      </w:r>
      <w:r>
        <w:rPr>
          <w:rFonts w:ascii="Palatino Linotype" w:eastAsia="Palatino Linotype" w:hAnsi="Palatino Linotype" w:cs="Palatino Linotype"/>
          <w:b/>
          <w:sz w:val="24"/>
          <w:szCs w:val="24"/>
        </w:rPr>
        <w:t>del instrumento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notarial</w:t>
      </w:r>
      <w:r>
        <w:rPr>
          <w:rFonts w:ascii="Palatino Linotype" w:eastAsia="Palatino Linotype" w:hAnsi="Palatino Linotype" w:cs="Palatino Linotype"/>
          <w:b/>
          <w:color w:val="000000"/>
          <w:sz w:val="24"/>
          <w:szCs w:val="24"/>
        </w:rPr>
        <w:t>.</w:t>
      </w:r>
    </w:p>
    <w:p w14:paraId="1934BEB0" w14:textId="77777777" w:rsidR="00866C63" w:rsidRDefault="00866C63">
      <w:pPr>
        <w:spacing w:line="360" w:lineRule="auto"/>
        <w:ind w:left="720"/>
        <w:jc w:val="both"/>
        <w:rPr>
          <w:rFonts w:ascii="Palatino Linotype" w:eastAsia="Palatino Linotype" w:hAnsi="Palatino Linotype" w:cs="Palatino Linotype"/>
          <w:color w:val="000000"/>
          <w:sz w:val="24"/>
          <w:szCs w:val="24"/>
        </w:rPr>
      </w:pPr>
    </w:p>
    <w:p w14:paraId="17842B2D" w14:textId="77777777" w:rsidR="00866C63" w:rsidRDefault="00062E12">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Al respecto, el </w:t>
      </w:r>
      <w:r>
        <w:rPr>
          <w:rFonts w:ascii="Palatino Linotype" w:eastAsia="Palatino Linotype" w:hAnsi="Palatino Linotype" w:cs="Palatino Linotype"/>
          <w:sz w:val="24"/>
          <w:szCs w:val="24"/>
        </w:rPr>
        <w:t xml:space="preserve">artículo 50, de la Ley del Notariado del Estado de México, el cual, en la parte que interesa prevé lo siguiente: </w:t>
      </w:r>
    </w:p>
    <w:p w14:paraId="44790A88" w14:textId="77777777" w:rsidR="00866C63" w:rsidRDefault="00866C63">
      <w:pPr>
        <w:spacing w:line="360" w:lineRule="auto"/>
        <w:jc w:val="both"/>
        <w:rPr>
          <w:rFonts w:ascii="Palatino Linotype" w:eastAsia="Palatino Linotype" w:hAnsi="Palatino Linotype" w:cs="Palatino Linotype"/>
          <w:sz w:val="24"/>
          <w:szCs w:val="24"/>
        </w:rPr>
      </w:pPr>
    </w:p>
    <w:p w14:paraId="7295CB2F" w14:textId="77777777" w:rsidR="00866C63" w:rsidRDefault="00062E12">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50. </w:t>
      </w:r>
      <w:r>
        <w:rPr>
          <w:rFonts w:ascii="Palatino Linotype" w:eastAsia="Palatino Linotype" w:hAnsi="Palatino Linotype" w:cs="Palatino Linotype"/>
          <w:i/>
          <w:sz w:val="22"/>
          <w:szCs w:val="22"/>
          <w:u w:val="single"/>
        </w:rPr>
        <w:t>Protocolo es el libro o conjunto de libros físicos o electrónicos que se forman con los folios físicos o electrónicos separados y numerados progresivamente en los que el notario asienta y autentifica, con las formalidades de ley, los actos y hechos jurídicos otorgados ante su fe</w:t>
      </w:r>
      <w:r>
        <w:rPr>
          <w:rFonts w:ascii="Palatino Linotype" w:eastAsia="Palatino Linotype" w:hAnsi="Palatino Linotype" w:cs="Palatino Linotype"/>
          <w:i/>
          <w:sz w:val="22"/>
          <w:szCs w:val="22"/>
        </w:rPr>
        <w:t>, así como los libros de cotejos y sus correspondientes apéndices e índices.</w:t>
      </w:r>
    </w:p>
    <w:p w14:paraId="77A0CAB9" w14:textId="77777777" w:rsidR="00866C63" w:rsidRDefault="00866C63">
      <w:pPr>
        <w:spacing w:line="276" w:lineRule="auto"/>
        <w:ind w:left="567" w:right="567"/>
        <w:jc w:val="both"/>
        <w:rPr>
          <w:rFonts w:ascii="Palatino Linotype" w:eastAsia="Palatino Linotype" w:hAnsi="Palatino Linotype" w:cs="Palatino Linotype"/>
          <w:i/>
          <w:sz w:val="22"/>
          <w:szCs w:val="22"/>
        </w:rPr>
      </w:pPr>
    </w:p>
    <w:p w14:paraId="6E8E16C3" w14:textId="77777777" w:rsidR="00866C63" w:rsidRDefault="00062E12">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Protocolos pueden ser físicos o electrónicos, dependiendo del formato en el que se encuentren los folios que contengan los actos o hechos jurídicos en los que el notario haya otorgado su fe. </w:t>
      </w:r>
    </w:p>
    <w:p w14:paraId="5C0C24E8" w14:textId="77777777" w:rsidR="00866C63" w:rsidRDefault="00866C63">
      <w:pPr>
        <w:spacing w:line="276" w:lineRule="auto"/>
        <w:ind w:left="567" w:right="567"/>
        <w:jc w:val="both"/>
        <w:rPr>
          <w:rFonts w:ascii="Palatino Linotype" w:eastAsia="Palatino Linotype" w:hAnsi="Palatino Linotype" w:cs="Palatino Linotype"/>
          <w:i/>
          <w:sz w:val="22"/>
          <w:szCs w:val="22"/>
        </w:rPr>
      </w:pPr>
    </w:p>
    <w:p w14:paraId="58F0D20A" w14:textId="77777777" w:rsidR="00866C63" w:rsidRDefault="00062E12">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protocolo electrónico es el libro o conjunto de libros en formato digital, que se forma con folios electrónicos separados y numerados progresivamente en los que el notario asienta y autentifica, con las formalidades de la ley, los actos jurídicos que fueron realizados de forma electrónica y otorgados ante su fe, así como sus correspondientes apéndices e índices.”</w:t>
      </w:r>
    </w:p>
    <w:p w14:paraId="29B6A9D8" w14:textId="77777777" w:rsidR="00866C63" w:rsidRDefault="00866C63">
      <w:pPr>
        <w:spacing w:line="360" w:lineRule="auto"/>
        <w:jc w:val="both"/>
        <w:rPr>
          <w:rFonts w:ascii="Palatino Linotype" w:eastAsia="Palatino Linotype" w:hAnsi="Palatino Linotype" w:cs="Palatino Linotype"/>
          <w:sz w:val="24"/>
          <w:szCs w:val="24"/>
        </w:rPr>
      </w:pPr>
    </w:p>
    <w:p w14:paraId="5F9E7FA2"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en aras de delimitar la naturaleza jurídica de los instrumentos que expide el notario, conviene traer al estudio lo resuelto en el </w:t>
      </w:r>
      <w:r>
        <w:rPr>
          <w:rFonts w:ascii="Palatino Linotype" w:eastAsia="Palatino Linotype" w:hAnsi="Palatino Linotype" w:cs="Palatino Linotype"/>
          <w:b/>
          <w:sz w:val="24"/>
          <w:szCs w:val="24"/>
        </w:rPr>
        <w:t>Amparo Directo en Revisión 5073/2018</w:t>
      </w:r>
      <w:r>
        <w:rPr>
          <w:rFonts w:ascii="Palatino Linotype" w:eastAsia="Palatino Linotype" w:hAnsi="Palatino Linotype" w:cs="Palatino Linotype"/>
          <w:sz w:val="24"/>
          <w:szCs w:val="24"/>
        </w:rPr>
        <w:t>, Ponente: Juan Luis González Alcántara Carrancá, resuelto por la Primera Sala de la Suprema Corte de Justicia de la Nación, sesionado el veintidós de enero de dos mil veinte, en donde se sostuvo lo siguiente:</w:t>
      </w:r>
    </w:p>
    <w:p w14:paraId="5E936495" w14:textId="77777777" w:rsidR="00866C63" w:rsidRDefault="00866C63">
      <w:pPr>
        <w:spacing w:line="360" w:lineRule="auto"/>
        <w:jc w:val="both"/>
        <w:rPr>
          <w:rFonts w:ascii="Palatino Linotype" w:eastAsia="Palatino Linotype" w:hAnsi="Palatino Linotype" w:cs="Palatino Linotype"/>
          <w:sz w:val="22"/>
          <w:szCs w:val="22"/>
        </w:rPr>
      </w:pPr>
    </w:p>
    <w:p w14:paraId="57869633" w14:textId="77777777" w:rsidR="00866C63" w:rsidRDefault="00062E12">
      <w:pPr>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13CF5D9" w14:textId="77777777" w:rsidR="00866C63" w:rsidRDefault="00062E12">
      <w:pPr>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137.</w:t>
      </w:r>
      <w:r>
        <w:rPr>
          <w:rFonts w:ascii="Palatino Linotype" w:eastAsia="Palatino Linotype" w:hAnsi="Palatino Linotype" w:cs="Palatino Linotype"/>
          <w:i/>
        </w:rPr>
        <w:tab/>
        <w:t xml:space="preserve">Instrumentos que expide el notario. Observadas </w:t>
      </w:r>
      <w:r>
        <w:rPr>
          <w:rFonts w:ascii="Palatino Linotype" w:eastAsia="Palatino Linotype" w:hAnsi="Palatino Linotype" w:cs="Palatino Linotype"/>
          <w:i/>
          <w:u w:val="single"/>
        </w:rPr>
        <w:t>las funciones del notario</w:t>
      </w:r>
      <w:r>
        <w:rPr>
          <w:rFonts w:ascii="Palatino Linotype" w:eastAsia="Palatino Linotype" w:hAnsi="Palatino Linotype" w:cs="Palatino Linotype"/>
          <w:i/>
        </w:rPr>
        <w:t xml:space="preserve">, éstas </w:t>
      </w:r>
      <w:r>
        <w:rPr>
          <w:rFonts w:ascii="Palatino Linotype" w:eastAsia="Palatino Linotype" w:hAnsi="Palatino Linotype" w:cs="Palatino Linotype"/>
          <w:i/>
          <w:u w:val="single"/>
        </w:rPr>
        <w:t>deben materializarse y estar contenidas en documentos con carácter de públicos, al cual se le denomina instrumento público</w:t>
      </w:r>
      <w:r>
        <w:rPr>
          <w:rFonts w:ascii="Palatino Linotype" w:eastAsia="Palatino Linotype" w:hAnsi="Palatino Linotype" w:cs="Palatino Linotype"/>
          <w:i/>
        </w:rPr>
        <w:t xml:space="preserve">, entendido, a decir de </w:t>
      </w:r>
      <w:proofErr w:type="gramStart"/>
      <w:r>
        <w:rPr>
          <w:rFonts w:ascii="Palatino Linotype" w:eastAsia="Palatino Linotype" w:hAnsi="Palatino Linotype" w:cs="Palatino Linotype"/>
          <w:i/>
        </w:rPr>
        <w:t>Sanahuja ,</w:t>
      </w:r>
      <w:proofErr w:type="gramEnd"/>
      <w:r>
        <w:rPr>
          <w:rFonts w:ascii="Palatino Linotype" w:eastAsia="Palatino Linotype" w:hAnsi="Palatino Linotype" w:cs="Palatino Linotype"/>
          <w:i/>
        </w:rPr>
        <w:t xml:space="preserve"> como el documento autorizado por el notario y es la condición para que se cumplan los efectos de autenticidad, legalidad y ejecutoriedad previstos en la ley. Esto es, proviene del sujeto autorizado por el Estado, quien mediante el otorgamiento de la patente de notario concede a dicho sujeto, por razón de la selección de su persona, la cualidad jurídica de notario.</w:t>
      </w:r>
    </w:p>
    <w:p w14:paraId="7AB05F12" w14:textId="77777777" w:rsidR="00866C63" w:rsidRDefault="00866C63">
      <w:pPr>
        <w:spacing w:line="276" w:lineRule="auto"/>
        <w:ind w:left="567" w:right="567"/>
        <w:jc w:val="both"/>
        <w:rPr>
          <w:rFonts w:ascii="Palatino Linotype" w:eastAsia="Palatino Linotype" w:hAnsi="Palatino Linotype" w:cs="Palatino Linotype"/>
          <w:i/>
        </w:rPr>
      </w:pPr>
    </w:p>
    <w:p w14:paraId="5B3C1C31" w14:textId="77777777" w:rsidR="00866C63" w:rsidRDefault="00062E12">
      <w:pPr>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138.</w:t>
      </w:r>
      <w:r>
        <w:rPr>
          <w:rFonts w:ascii="Palatino Linotype" w:eastAsia="Palatino Linotype" w:hAnsi="Palatino Linotype" w:cs="Palatino Linotype"/>
          <w:i/>
        </w:rPr>
        <w:tab/>
        <w:t xml:space="preserve">Por tanto, para dicho autor, se puede concluir que </w:t>
      </w:r>
      <w:r>
        <w:rPr>
          <w:rFonts w:ascii="Palatino Linotype" w:eastAsia="Palatino Linotype" w:hAnsi="Palatino Linotype" w:cs="Palatino Linotype"/>
          <w:i/>
          <w:u w:val="single"/>
        </w:rPr>
        <w:t>el instrumento notarial es la forma adecuada para autenticar los hechos y las relaciones jurídicas en la normalidad y obtener los efectos adecuados a la naturaleza específica de la relación</w:t>
      </w:r>
      <w:r>
        <w:rPr>
          <w:rFonts w:ascii="Palatino Linotype" w:eastAsia="Palatino Linotype" w:hAnsi="Palatino Linotype" w:cs="Palatino Linotype"/>
          <w:i/>
        </w:rPr>
        <w:t>. Además, se hace constar la existencia de un hecho, con abstracción de las consecuencias legales que pueda tener, o constatar un hecho jurídico con las consecuencias inmediatas que del mismo se deducen.</w:t>
      </w:r>
    </w:p>
    <w:p w14:paraId="2C1257F2" w14:textId="77777777" w:rsidR="00866C63" w:rsidRDefault="00062E12">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6C4B814" w14:textId="77777777" w:rsidR="00866C63" w:rsidRDefault="00866C63">
      <w:pPr>
        <w:spacing w:line="360" w:lineRule="auto"/>
        <w:jc w:val="both"/>
        <w:rPr>
          <w:rFonts w:ascii="Palatino Linotype" w:eastAsia="Palatino Linotype" w:hAnsi="Palatino Linotype" w:cs="Palatino Linotype"/>
          <w:sz w:val="22"/>
          <w:szCs w:val="22"/>
        </w:rPr>
      </w:pPr>
    </w:p>
    <w:p w14:paraId="53D6B6F3"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párrafos anteriores, los principales instrumentos son dos: la escritura y el acta notariales, tal como lo prevén los artículos 78 y 98 de la Ley del Notariado del Estado de México prevé lo siguiente: </w:t>
      </w:r>
    </w:p>
    <w:p w14:paraId="6F356064" w14:textId="77777777" w:rsidR="00866C63" w:rsidRDefault="00866C63">
      <w:pPr>
        <w:spacing w:line="360" w:lineRule="auto"/>
        <w:jc w:val="both"/>
        <w:rPr>
          <w:rFonts w:ascii="Palatino Linotype" w:eastAsia="Palatino Linotype" w:hAnsi="Palatino Linotype" w:cs="Palatino Linotype"/>
          <w:sz w:val="24"/>
          <w:szCs w:val="24"/>
        </w:rPr>
      </w:pPr>
    </w:p>
    <w:p w14:paraId="6DBFCD8B" w14:textId="77777777" w:rsidR="00866C63" w:rsidRDefault="00062E12">
      <w:pPr>
        <w:numPr>
          <w:ilvl w:val="0"/>
          <w:numId w:val="4"/>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Escritura</w:t>
      </w:r>
      <w:r>
        <w:rPr>
          <w:rFonts w:ascii="Palatino Linotype" w:eastAsia="Palatino Linotype" w:hAnsi="Palatino Linotype" w:cs="Palatino Linotype"/>
          <w:sz w:val="24"/>
          <w:szCs w:val="24"/>
        </w:rPr>
        <w:t>. Es el instrumento original que el notario asienta en el protocolo físico o electrónico para hacer constar uno o más actos jurídicos, autorizados con firma autógrafa o electrónica y sello.</w:t>
      </w:r>
    </w:p>
    <w:p w14:paraId="723D3904" w14:textId="77777777" w:rsidR="00866C63" w:rsidRDefault="00866C63">
      <w:pPr>
        <w:spacing w:line="360" w:lineRule="auto"/>
        <w:ind w:left="720"/>
        <w:jc w:val="both"/>
        <w:rPr>
          <w:rFonts w:ascii="Palatino Linotype" w:eastAsia="Palatino Linotype" w:hAnsi="Palatino Linotype" w:cs="Palatino Linotype"/>
          <w:sz w:val="24"/>
          <w:szCs w:val="24"/>
        </w:rPr>
      </w:pPr>
    </w:p>
    <w:p w14:paraId="31C14178" w14:textId="77777777" w:rsidR="00866C63" w:rsidRDefault="00062E12">
      <w:pPr>
        <w:numPr>
          <w:ilvl w:val="0"/>
          <w:numId w:val="4"/>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Acta notarial</w:t>
      </w:r>
      <w:r>
        <w:rPr>
          <w:rFonts w:ascii="Palatino Linotype" w:eastAsia="Palatino Linotype" w:hAnsi="Palatino Linotype" w:cs="Palatino Linotype"/>
          <w:sz w:val="24"/>
          <w:szCs w:val="24"/>
        </w:rPr>
        <w:t>: es el instrumento original que el notario a solicitud de parte, asienta en el protocolo para hacer constar uno o varios hechos presenciados por él, autorizados con su firma y sello.</w:t>
      </w:r>
    </w:p>
    <w:p w14:paraId="5DF96B8A" w14:textId="77777777" w:rsidR="00866C63" w:rsidRDefault="00866C63">
      <w:pPr>
        <w:spacing w:line="360" w:lineRule="auto"/>
        <w:jc w:val="both"/>
        <w:rPr>
          <w:rFonts w:ascii="Palatino Linotype" w:eastAsia="Palatino Linotype" w:hAnsi="Palatino Linotype" w:cs="Palatino Linotype"/>
          <w:sz w:val="24"/>
          <w:szCs w:val="24"/>
        </w:rPr>
      </w:pPr>
    </w:p>
    <w:p w14:paraId="449F69E5"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las consideraciones expuestas, si las funciones del notario deben materializarse a través de instrumentos notariales tales como, escritura pública y acta notarial, estas forman parte del protocolo que es el libro o conjunto de libros físicos o electrónicos que se forman con los folios físicos o electrónicos separados y numerados progresivamente en los que el notario asienta y autentifica, con las formalidades de ley, los actos y hechos jurídicos otorgados ante su fe. </w:t>
      </w:r>
    </w:p>
    <w:p w14:paraId="32AE4B16" w14:textId="77777777" w:rsidR="00866C63" w:rsidRDefault="00866C63">
      <w:pPr>
        <w:spacing w:line="360" w:lineRule="auto"/>
        <w:jc w:val="both"/>
        <w:rPr>
          <w:rFonts w:ascii="Palatino Linotype" w:eastAsia="Palatino Linotype" w:hAnsi="Palatino Linotype" w:cs="Palatino Linotype"/>
          <w:sz w:val="24"/>
          <w:szCs w:val="24"/>
        </w:rPr>
      </w:pPr>
    </w:p>
    <w:p w14:paraId="63835D1D"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En esos términos, el folio y datos que conforman la identificación de un instrumento notarial, el número de Notario y Notaría Pública no pueden ser un dato susceptible de </w:t>
      </w:r>
      <w:r>
        <w:rPr>
          <w:rFonts w:ascii="Palatino Linotype" w:eastAsia="Palatino Linotype" w:hAnsi="Palatino Linotype" w:cs="Palatino Linotype"/>
          <w:color w:val="000000"/>
          <w:sz w:val="24"/>
          <w:szCs w:val="24"/>
        </w:rPr>
        <w:t>ser clasificados.</w:t>
      </w:r>
    </w:p>
    <w:p w14:paraId="4197FE5F"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7F065E5F" w14:textId="77777777" w:rsidR="00866C63" w:rsidRDefault="00062E12">
      <w:pPr>
        <w:numPr>
          <w:ilvl w:val="0"/>
          <w:numId w:val="3"/>
        </w:numP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Domicilio fiscal o legal para recibir y oír notificaciones (proveedor persona moral). </w:t>
      </w:r>
    </w:p>
    <w:p w14:paraId="325F56E0" w14:textId="77777777" w:rsidR="00866C63" w:rsidRDefault="00866C63">
      <w:pPr>
        <w:spacing w:line="360" w:lineRule="auto"/>
        <w:jc w:val="both"/>
        <w:rPr>
          <w:rFonts w:ascii="Palatino Linotype" w:eastAsia="Palatino Linotype" w:hAnsi="Palatino Linotype" w:cs="Palatino Linotype"/>
          <w:b/>
          <w:color w:val="000000"/>
          <w:sz w:val="24"/>
          <w:szCs w:val="24"/>
        </w:rPr>
      </w:pPr>
    </w:p>
    <w:p w14:paraId="0E94ACAA" w14:textId="77777777" w:rsidR="00866C63" w:rsidRDefault="00062E12">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acuerdo a lo señalado en los artículos 2.17 y 2.21 del Código Civil del Estado de México, el domicilio de una persona física, es el lugar donde reside, en donde tiene </w:t>
      </w:r>
      <w:r>
        <w:rPr>
          <w:rFonts w:ascii="Palatino Linotype" w:eastAsia="Palatino Linotype" w:hAnsi="Palatino Linotype" w:cs="Palatino Linotype"/>
          <w:sz w:val="24"/>
          <w:szCs w:val="24"/>
        </w:rPr>
        <w:lastRenderedPageBreak/>
        <w:t>el principal asiente de negocios, o en su caso, el dónde se halle; mientras, que el de personas jurídicas colectivas, es aquel donde se halle establecida su administración o ejerza sus actividades.</w:t>
      </w:r>
    </w:p>
    <w:p w14:paraId="78B0AEB3" w14:textId="77777777" w:rsidR="00866C63" w:rsidRDefault="00866C63">
      <w:pPr>
        <w:spacing w:line="360" w:lineRule="auto"/>
        <w:ind w:right="-93"/>
        <w:jc w:val="both"/>
        <w:rPr>
          <w:rFonts w:ascii="Palatino Linotype" w:eastAsia="Palatino Linotype" w:hAnsi="Palatino Linotype" w:cs="Palatino Linotype"/>
          <w:sz w:val="24"/>
          <w:szCs w:val="24"/>
        </w:rPr>
      </w:pPr>
    </w:p>
    <w:p w14:paraId="2D2B0B08" w14:textId="77777777" w:rsidR="00866C63" w:rsidRDefault="00062E12">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misma manera, lo establece los diversos 29 y 33 del Código Civil Federal, al precisar que el domicilio de personas físicas</w:t>
      </w:r>
      <w:r>
        <w:rPr>
          <w:rFonts w:ascii="Palatino Linotype" w:eastAsia="Palatino Linotype" w:hAnsi="Palatino Linotype" w:cs="Palatino Linotype"/>
          <w:b/>
          <w:sz w:val="24"/>
          <w:szCs w:val="24"/>
        </w:rPr>
        <w:t xml:space="preserve">, es el lugar donde residen habitualmente, el lugar del centro principal de sus negocios, donde residan o el lugar donde se encuentren; </w:t>
      </w:r>
      <w:r>
        <w:rPr>
          <w:rFonts w:ascii="Palatino Linotype" w:eastAsia="Palatino Linotype" w:hAnsi="Palatino Linotype" w:cs="Palatino Linotype"/>
          <w:sz w:val="24"/>
          <w:szCs w:val="24"/>
        </w:rPr>
        <w:t>mientras que, de las personas morales, aquel donde se halle su administración.</w:t>
      </w:r>
    </w:p>
    <w:p w14:paraId="6752EB13" w14:textId="77777777" w:rsidR="00866C63" w:rsidRDefault="00866C63">
      <w:pPr>
        <w:spacing w:line="360" w:lineRule="auto"/>
        <w:ind w:right="-93"/>
        <w:jc w:val="both"/>
        <w:rPr>
          <w:rFonts w:ascii="Palatino Linotype" w:eastAsia="Palatino Linotype" w:hAnsi="Palatino Linotype" w:cs="Palatino Linotype"/>
          <w:b/>
          <w:sz w:val="22"/>
          <w:szCs w:val="22"/>
        </w:rPr>
      </w:pPr>
    </w:p>
    <w:p w14:paraId="73112871"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respecto al domicilio fiscal, resulta necesario traer el artículo 10 del Código Fiscal de la Federación, que establece que, tratándose de personas físicas, corresponderá dicho dato:</w:t>
      </w:r>
    </w:p>
    <w:p w14:paraId="74497082" w14:textId="77777777" w:rsidR="00866C63" w:rsidRDefault="00866C63">
      <w:pPr>
        <w:spacing w:line="360" w:lineRule="auto"/>
        <w:jc w:val="both"/>
        <w:rPr>
          <w:rFonts w:ascii="Palatino Linotype" w:eastAsia="Palatino Linotype" w:hAnsi="Palatino Linotype" w:cs="Palatino Linotype"/>
          <w:sz w:val="24"/>
          <w:szCs w:val="24"/>
        </w:rPr>
      </w:pPr>
    </w:p>
    <w:p w14:paraId="406E1600" w14:textId="77777777" w:rsidR="00866C63" w:rsidRDefault="00062E12">
      <w:pPr>
        <w:numPr>
          <w:ilvl w:val="0"/>
          <w:numId w:val="5"/>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lugar donde realizan actividades empresariales, el local, en que se encuentre el principal asiente de sus negocios, y</w:t>
      </w:r>
    </w:p>
    <w:p w14:paraId="5A4ED1B2" w14:textId="77777777" w:rsidR="00866C63" w:rsidRDefault="00866C63">
      <w:pPr>
        <w:spacing w:line="360" w:lineRule="auto"/>
        <w:ind w:left="720"/>
        <w:jc w:val="both"/>
        <w:rPr>
          <w:rFonts w:ascii="Palatino Linotype" w:eastAsia="Palatino Linotype" w:hAnsi="Palatino Linotype" w:cs="Palatino Linotype"/>
          <w:sz w:val="24"/>
          <w:szCs w:val="24"/>
        </w:rPr>
      </w:pPr>
    </w:p>
    <w:p w14:paraId="1CCF6F62" w14:textId="77777777" w:rsidR="00866C63" w:rsidRDefault="00062E12">
      <w:pPr>
        <w:numPr>
          <w:ilvl w:val="0"/>
          <w:numId w:val="5"/>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casa habitación, cuando no cuenta con un local o lugar donde realice las acciones previamente señaladas.</w:t>
      </w:r>
    </w:p>
    <w:p w14:paraId="5CF0D4A6" w14:textId="77777777" w:rsidR="00866C63" w:rsidRDefault="00866C63">
      <w:pPr>
        <w:spacing w:line="360" w:lineRule="auto"/>
        <w:jc w:val="both"/>
        <w:rPr>
          <w:rFonts w:ascii="Palatino Linotype" w:eastAsia="Palatino Linotype" w:hAnsi="Palatino Linotype" w:cs="Palatino Linotype"/>
          <w:sz w:val="24"/>
          <w:szCs w:val="24"/>
        </w:rPr>
      </w:pPr>
    </w:p>
    <w:p w14:paraId="1E1ABA2D"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Mientras que, en el caso de personas morales, el domicilio fiscal, corresponderá al local donde se encuentra la administración principal del negocio.</w:t>
      </w:r>
    </w:p>
    <w:p w14:paraId="026509F9"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793C3CB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Como se logra observar, el domicilio fiscal de los proveedores personas físicas, se encuentra en dos supuestos, por lo que, se procede a su análisis. 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16F23F95" w14:textId="77777777" w:rsidR="00866C63" w:rsidRDefault="00866C63">
      <w:pPr>
        <w:shd w:val="clear" w:color="auto" w:fill="FFFFFF"/>
        <w:spacing w:line="360" w:lineRule="auto"/>
        <w:jc w:val="both"/>
        <w:rPr>
          <w:rFonts w:ascii="Palatino Linotype" w:eastAsia="Palatino Linotype" w:hAnsi="Palatino Linotype" w:cs="Palatino Linotype"/>
          <w:sz w:val="24"/>
          <w:szCs w:val="24"/>
        </w:rPr>
      </w:pPr>
    </w:p>
    <w:p w14:paraId="667DEE59" w14:textId="77777777" w:rsidR="00866C63" w:rsidRDefault="00062E12">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082DC785" w14:textId="77777777" w:rsidR="00866C63" w:rsidRDefault="00866C63">
      <w:pPr>
        <w:spacing w:line="360" w:lineRule="auto"/>
        <w:jc w:val="both"/>
        <w:rPr>
          <w:rFonts w:ascii="Palatino Linotype" w:eastAsia="Palatino Linotype" w:hAnsi="Palatino Linotype" w:cs="Palatino Linotype"/>
          <w:sz w:val="24"/>
          <w:szCs w:val="24"/>
        </w:rPr>
      </w:pPr>
    </w:p>
    <w:p w14:paraId="5F4BDE1B" w14:textId="77777777" w:rsidR="00866C63" w:rsidRDefault="00062E12">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14:anchorId="39EAB7AB" wp14:editId="7C94EA04">
            <wp:extent cx="4676775" cy="62865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8366"/>
                    <a:stretch>
                      <a:fillRect/>
                    </a:stretch>
                  </pic:blipFill>
                  <pic:spPr>
                    <a:xfrm>
                      <a:off x="0" y="0"/>
                      <a:ext cx="4676775" cy="628650"/>
                    </a:xfrm>
                    <a:prstGeom prst="rect">
                      <a:avLst/>
                    </a:prstGeom>
                    <a:ln/>
                  </pic:spPr>
                </pic:pic>
              </a:graphicData>
            </a:graphic>
          </wp:inline>
        </w:drawing>
      </w:r>
    </w:p>
    <w:p w14:paraId="7C9492C3" w14:textId="77777777" w:rsidR="00866C63" w:rsidRDefault="00062E12">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77E2A5EB" wp14:editId="4D041BFC">
            <wp:extent cx="4667250" cy="280035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67250" cy="280035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31B276E1" wp14:editId="26875188">
                <wp:simplePos x="0" y="0"/>
                <wp:positionH relativeFrom="column">
                  <wp:posOffset>508000</wp:posOffset>
                </wp:positionH>
                <wp:positionV relativeFrom="paragraph">
                  <wp:posOffset>1574800</wp:posOffset>
                </wp:positionV>
                <wp:extent cx="4657725" cy="1247775"/>
                <wp:effectExtent l="0" t="0" r="0" b="0"/>
                <wp:wrapNone/>
                <wp:docPr id="34" name="Rectángulo 34"/>
                <wp:cNvGraphicFramePr/>
                <a:graphic xmlns:a="http://schemas.openxmlformats.org/drawingml/2006/main">
                  <a:graphicData uri="http://schemas.microsoft.com/office/word/2010/wordprocessingShape">
                    <wps:wsp>
                      <wps:cNvSpPr/>
                      <wps:spPr>
                        <a:xfrm>
                          <a:off x="3036188" y="3175163"/>
                          <a:ext cx="4619625" cy="1209675"/>
                        </a:xfrm>
                        <a:prstGeom prst="rect">
                          <a:avLst/>
                        </a:prstGeom>
                        <a:noFill/>
                        <a:ln w="38100" cap="flat" cmpd="sng">
                          <a:solidFill>
                            <a:srgbClr val="000000"/>
                          </a:solidFill>
                          <a:prstDash val="solid"/>
                          <a:miter lim="800000"/>
                          <a:headEnd type="none" w="sm" len="sm"/>
                          <a:tailEnd type="none" w="sm" len="sm"/>
                        </a:ln>
                      </wps:spPr>
                      <wps:txbx>
                        <w:txbxContent>
                          <w:p w14:paraId="10479800" w14:textId="77777777" w:rsidR="00866C63" w:rsidRDefault="00866C6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508000</wp:posOffset>
                </wp:positionH>
                <wp:positionV relativeFrom="paragraph">
                  <wp:posOffset>1574800</wp:posOffset>
                </wp:positionV>
                <wp:extent cx="4657725" cy="1247775"/>
                <wp:effectExtent b="0" l="0" r="0" t="0"/>
                <wp:wrapNone/>
                <wp:docPr id="3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4657725" cy="1247775"/>
                        </a:xfrm>
                        <a:prstGeom prst="rect"/>
                        <a:ln/>
                      </pic:spPr>
                    </pic:pic>
                  </a:graphicData>
                </a:graphic>
              </wp:anchor>
            </w:drawing>
          </mc:Fallback>
        </mc:AlternateContent>
      </w:r>
    </w:p>
    <w:p w14:paraId="6ACF44B0" w14:textId="77777777" w:rsidR="00866C63" w:rsidRDefault="00866C63">
      <w:pPr>
        <w:spacing w:line="360" w:lineRule="auto"/>
        <w:jc w:val="both"/>
        <w:rPr>
          <w:rFonts w:ascii="Palatino Linotype" w:eastAsia="Palatino Linotype" w:hAnsi="Palatino Linotype" w:cs="Palatino Linotype"/>
          <w:sz w:val="24"/>
          <w:szCs w:val="24"/>
        </w:rPr>
      </w:pPr>
    </w:p>
    <w:p w14:paraId="2C8B0BE6" w14:textId="77777777" w:rsidR="00866C63" w:rsidRDefault="00062E12">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6D54490C" w14:textId="77777777" w:rsidR="00866C63" w:rsidRDefault="00866C63">
      <w:pPr>
        <w:spacing w:line="360" w:lineRule="auto"/>
        <w:ind w:right="-93"/>
        <w:jc w:val="both"/>
        <w:rPr>
          <w:rFonts w:ascii="Palatino Linotype" w:eastAsia="Palatino Linotype" w:hAnsi="Palatino Linotype" w:cs="Palatino Linotype"/>
          <w:sz w:val="24"/>
          <w:szCs w:val="24"/>
        </w:rPr>
      </w:pPr>
    </w:p>
    <w:p w14:paraId="55835109"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14:paraId="29C8B3E4"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13AA01B4" w14:textId="77777777" w:rsidR="00866C63" w:rsidRDefault="00062E12">
      <w:pPr>
        <w:numPr>
          <w:ilvl w:val="0"/>
          <w:numId w:val="3"/>
        </w:numP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Registro Federal de Contribuyentes del proveedor (RFC) [Persona moral].</w:t>
      </w:r>
    </w:p>
    <w:p w14:paraId="7C1021FD" w14:textId="77777777" w:rsidR="00866C63" w:rsidRDefault="00866C63">
      <w:pPr>
        <w:spacing w:line="360" w:lineRule="auto"/>
        <w:ind w:left="720"/>
        <w:jc w:val="both"/>
        <w:rPr>
          <w:rFonts w:ascii="Palatino Linotype" w:eastAsia="Palatino Linotype" w:hAnsi="Palatino Linotype" w:cs="Palatino Linotype"/>
          <w:b/>
          <w:color w:val="000000"/>
          <w:sz w:val="22"/>
          <w:szCs w:val="22"/>
        </w:rPr>
      </w:pPr>
    </w:p>
    <w:p w14:paraId="11F4F1AE" w14:textId="77777777" w:rsidR="00866C63" w:rsidRDefault="00062E12">
      <w:pPr>
        <w:spacing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el </w:t>
      </w:r>
      <w:r>
        <w:rPr>
          <w:rFonts w:ascii="Palatino Linotype" w:eastAsia="Palatino Linotype" w:hAnsi="Palatino Linotype" w:cs="Palatino Linotype"/>
          <w:b/>
          <w:sz w:val="24"/>
          <w:szCs w:val="24"/>
        </w:rPr>
        <w:t>Registro Federal de Contribuyentes (RFC)</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si bien este Instituto ha sostenido que el RFC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CE862F8" w14:textId="77777777" w:rsidR="00866C63" w:rsidRDefault="00866C63">
      <w:pPr>
        <w:spacing w:line="360" w:lineRule="auto"/>
        <w:ind w:right="50"/>
        <w:jc w:val="both"/>
        <w:rPr>
          <w:rFonts w:ascii="Palatino Linotype" w:eastAsia="Palatino Linotype" w:hAnsi="Palatino Linotype" w:cs="Palatino Linotype"/>
          <w:sz w:val="24"/>
          <w:szCs w:val="24"/>
        </w:rPr>
      </w:pPr>
    </w:p>
    <w:p w14:paraId="7A29BE39" w14:textId="77777777" w:rsidR="00866C63" w:rsidRDefault="00062E12">
      <w:pPr>
        <w:spacing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E7393E8" w14:textId="77777777" w:rsidR="00866C63" w:rsidRDefault="00866C63">
      <w:pPr>
        <w:spacing w:line="360" w:lineRule="auto"/>
        <w:ind w:right="50"/>
        <w:jc w:val="both"/>
        <w:rPr>
          <w:rFonts w:ascii="Palatino Linotype" w:eastAsia="Palatino Linotype" w:hAnsi="Palatino Linotype" w:cs="Palatino Linotype"/>
          <w:sz w:val="24"/>
          <w:szCs w:val="24"/>
        </w:rPr>
      </w:pPr>
    </w:p>
    <w:p w14:paraId="22FE0738" w14:textId="77777777" w:rsidR="00866C63" w:rsidRDefault="00062E12">
      <w:pPr>
        <w:spacing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las personas físicas o jurídico colectivas que realicen las actividades contratadas por las instituciones, renuncian implícitamente a una parte de su derecho a la intimidad al obtener beneficios y lucros de los recursos públicos por dicha contratación, por lo que </w:t>
      </w:r>
      <w:r>
        <w:rPr>
          <w:rFonts w:ascii="Palatino Linotype" w:eastAsia="Palatino Linotype" w:hAnsi="Palatino Linotype" w:cs="Palatino Linotype"/>
          <w:b/>
          <w:sz w:val="24"/>
          <w:szCs w:val="24"/>
        </w:rPr>
        <w:t>no puede considerarse como información clasificada lo relativo a su registro federal de contribuyentes</w:t>
      </w:r>
      <w:r>
        <w:rPr>
          <w:rFonts w:ascii="Palatino Linotype" w:eastAsia="Palatino Linotype" w:hAnsi="Palatino Linotype" w:cs="Palatino Linotype"/>
          <w:sz w:val="24"/>
          <w:szCs w:val="24"/>
        </w:rPr>
        <w:t>, atento a que dicha información es la que puede generar certeza en los gobernados en que se está ejerciendo debidamente el presupuesto.</w:t>
      </w:r>
    </w:p>
    <w:p w14:paraId="0667C451" w14:textId="77777777" w:rsidR="00866C63" w:rsidRDefault="00866C63">
      <w:pPr>
        <w:spacing w:line="360" w:lineRule="auto"/>
        <w:ind w:right="50"/>
        <w:jc w:val="both"/>
        <w:rPr>
          <w:rFonts w:ascii="Palatino Linotype" w:eastAsia="Palatino Linotype" w:hAnsi="Palatino Linotype" w:cs="Palatino Linotype"/>
          <w:sz w:val="24"/>
          <w:szCs w:val="24"/>
        </w:rPr>
      </w:pPr>
    </w:p>
    <w:p w14:paraId="55E30A2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Robustece lo anterior el criterio orientador 04/21 emitido por el Instituto Nacional de Transparencia, Acceso a la Información y Protección de Datos Personales, INAI, el cual refiere:</w:t>
      </w:r>
    </w:p>
    <w:p w14:paraId="020952E3"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“Registro Federal de Contribuyentes (RFC) de personas físicas proveedoras o contratistas. </w:t>
      </w:r>
      <w:r>
        <w:rPr>
          <w:rFonts w:ascii="Palatino Linotype" w:eastAsia="Palatino Linotype" w:hAnsi="Palatino Linotype" w:cs="Palatino Linotype"/>
          <w:i/>
          <w:sz w:val="22"/>
          <w:szCs w:val="22"/>
        </w:rPr>
        <w:t xml:space="preserve">El RFC de contratistas o proveedores de los sujetos obligados debe ser público, </w:t>
      </w:r>
      <w:proofErr w:type="gramStart"/>
      <w:r>
        <w:rPr>
          <w:rFonts w:ascii="Palatino Linotype" w:eastAsia="Palatino Linotype" w:hAnsi="Palatino Linotype" w:cs="Palatino Linotype"/>
          <w:i/>
          <w:sz w:val="22"/>
          <w:szCs w:val="22"/>
        </w:rPr>
        <w:t>ya que</w:t>
      </w:r>
      <w:proofErr w:type="gramEnd"/>
      <w:r>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3ABD8457" w14:textId="77777777" w:rsidR="00866C63" w:rsidRDefault="00866C63">
      <w:pPr>
        <w:spacing w:line="360" w:lineRule="auto"/>
        <w:ind w:left="851" w:right="902"/>
        <w:jc w:val="both"/>
        <w:rPr>
          <w:rFonts w:ascii="Palatino Linotype" w:eastAsia="Palatino Linotype" w:hAnsi="Palatino Linotype" w:cs="Palatino Linotype"/>
          <w:sz w:val="24"/>
          <w:szCs w:val="24"/>
        </w:rPr>
      </w:pPr>
    </w:p>
    <w:p w14:paraId="138AC817" w14:textId="77777777" w:rsidR="00866C63" w:rsidRDefault="00062E1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Nombre y firma del representante legal. </w:t>
      </w:r>
    </w:p>
    <w:p w14:paraId="4E2AD39A" w14:textId="77777777" w:rsidR="00866C63" w:rsidRDefault="00866C63">
      <w:pPr>
        <w:pBdr>
          <w:top w:val="nil"/>
          <w:left w:val="nil"/>
          <w:bottom w:val="nil"/>
          <w:right w:val="nil"/>
          <w:between w:val="nil"/>
        </w:pBdr>
        <w:spacing w:line="360" w:lineRule="auto"/>
        <w:ind w:left="720" w:right="51"/>
        <w:jc w:val="both"/>
        <w:rPr>
          <w:rFonts w:ascii="Palatino Linotype" w:eastAsia="Palatino Linotype" w:hAnsi="Palatino Linotype" w:cs="Palatino Linotype"/>
          <w:color w:val="000000"/>
          <w:sz w:val="24"/>
          <w:szCs w:val="24"/>
        </w:rPr>
      </w:pPr>
    </w:p>
    <w:p w14:paraId="5C048C17" w14:textId="77777777" w:rsidR="00866C63" w:rsidRDefault="00062E12">
      <w:pP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Relacionado con lo anterior, el </w:t>
      </w:r>
      <w:r>
        <w:rPr>
          <w:rFonts w:ascii="Palatino Linotype" w:eastAsia="Palatino Linotype" w:hAnsi="Palatino Linotype" w:cs="Palatino Linotype"/>
          <w:b/>
          <w:sz w:val="24"/>
          <w:szCs w:val="24"/>
        </w:rPr>
        <w:t>nombre de las personas físicas</w:t>
      </w:r>
      <w:r>
        <w:rPr>
          <w:rFonts w:ascii="Palatino Linotype" w:eastAsia="Palatino Linotype" w:hAnsi="Palatino Linotype" w:cs="Palatino Linotype"/>
          <w:sz w:val="24"/>
          <w:szCs w:val="24"/>
        </w:rPr>
        <w:t xml:space="preserve"> o los </w:t>
      </w:r>
      <w:r>
        <w:rPr>
          <w:rFonts w:ascii="Palatino Linotype" w:eastAsia="Palatino Linotype" w:hAnsi="Palatino Linotype" w:cs="Palatino Linotype"/>
          <w:b/>
          <w:sz w:val="24"/>
          <w:szCs w:val="24"/>
        </w:rPr>
        <w:t>representantes legales de las personas morales</w:t>
      </w:r>
      <w:r>
        <w:rPr>
          <w:rFonts w:ascii="Palatino Linotype" w:eastAsia="Palatino Linotype" w:hAnsi="Palatino Linotype" w:cs="Palatino Linotype"/>
          <w:sz w:val="24"/>
          <w:szCs w:val="24"/>
        </w:rPr>
        <w:t>, en su calidad de proveedores, contratistas o prestadores de servicios,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57F43B2" w14:textId="77777777" w:rsidR="00866C63" w:rsidRDefault="00866C63">
      <w:pPr>
        <w:spacing w:line="360" w:lineRule="auto"/>
        <w:ind w:right="51"/>
        <w:jc w:val="both"/>
        <w:rPr>
          <w:rFonts w:ascii="Palatino Linotype" w:eastAsia="Palatino Linotype" w:hAnsi="Palatino Linotype" w:cs="Palatino Linotype"/>
          <w:sz w:val="24"/>
          <w:szCs w:val="24"/>
        </w:rPr>
      </w:pPr>
    </w:p>
    <w:p w14:paraId="6E54C85F" w14:textId="77777777" w:rsidR="00866C63" w:rsidRDefault="00062E12">
      <w:pP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4597D401" w14:textId="77777777" w:rsidR="00866C63" w:rsidRDefault="00866C63">
      <w:pPr>
        <w:spacing w:line="360" w:lineRule="auto"/>
        <w:ind w:right="51"/>
        <w:jc w:val="both"/>
        <w:rPr>
          <w:rFonts w:ascii="Palatino Linotype" w:eastAsia="Palatino Linotype" w:hAnsi="Palatino Linotype" w:cs="Palatino Linotype"/>
          <w:sz w:val="24"/>
          <w:szCs w:val="24"/>
        </w:rPr>
      </w:pPr>
    </w:p>
    <w:p w14:paraId="6CAD0EFD"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w:t>
      </w:r>
    </w:p>
    <w:p w14:paraId="4624FDF1"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2ECE1C" w14:textId="77777777" w:rsidR="00866C63" w:rsidRDefault="00866C63">
      <w:pPr>
        <w:spacing w:before="120" w:line="276" w:lineRule="auto"/>
        <w:ind w:left="851" w:right="902"/>
        <w:jc w:val="both"/>
        <w:rPr>
          <w:rFonts w:ascii="Palatino Linotype" w:eastAsia="Palatino Linotype" w:hAnsi="Palatino Linotype" w:cs="Palatino Linotype"/>
          <w:i/>
        </w:rPr>
      </w:pPr>
    </w:p>
    <w:p w14:paraId="62A5CD8E"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resulta aplicable el contenido del criterio de interpretación 01/19 emitido por el Instituto Nacional de Transparencia, Acceso a la Información, y Protección de Datos Personales, INAI, que lleva por rubro y texto los siguientes</w:t>
      </w:r>
    </w:p>
    <w:p w14:paraId="0DCBA212" w14:textId="77777777" w:rsidR="00866C63" w:rsidRDefault="00866C63">
      <w:pPr>
        <w:spacing w:line="360" w:lineRule="auto"/>
        <w:jc w:val="both"/>
        <w:rPr>
          <w:rFonts w:ascii="Palatino Linotype" w:eastAsia="Palatino Linotype" w:hAnsi="Palatino Linotype" w:cs="Palatino Linotype"/>
          <w:sz w:val="24"/>
          <w:szCs w:val="24"/>
        </w:rPr>
      </w:pPr>
    </w:p>
    <w:p w14:paraId="58154C14" w14:textId="77777777" w:rsidR="00866C63" w:rsidRDefault="00062E12">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Datos de identificación del representante o apoderado legal.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Naturaleza jurídica. </w:t>
      </w:r>
      <w:r>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Pr>
          <w:rFonts w:ascii="Palatino Linotype" w:eastAsia="Palatino Linotype" w:hAnsi="Palatino Linotype" w:cs="Palatino Linotype"/>
          <w:i/>
          <w:sz w:val="22"/>
          <w:szCs w:val="22"/>
        </w:rPr>
        <w:t>.”</w:t>
      </w:r>
    </w:p>
    <w:p w14:paraId="4414764E" w14:textId="77777777" w:rsidR="00866C63" w:rsidRDefault="00866C63">
      <w:pPr>
        <w:spacing w:line="276" w:lineRule="auto"/>
        <w:rPr>
          <w:rFonts w:ascii="Palatino Linotype" w:eastAsia="Palatino Linotype" w:hAnsi="Palatino Linotype" w:cs="Palatino Linotype"/>
          <w:color w:val="000000"/>
          <w:sz w:val="28"/>
          <w:szCs w:val="28"/>
        </w:rPr>
      </w:pPr>
    </w:p>
    <w:p w14:paraId="600B5C69" w14:textId="77777777" w:rsidR="00866C63" w:rsidRDefault="00062E12">
      <w:pPr>
        <w:spacing w:line="276"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Motivo por el que es susceptible de entregar el nombre y firma del representante legal de los representantes legales de las personas jurídico colectivas. </w:t>
      </w:r>
    </w:p>
    <w:p w14:paraId="2EE50C53" w14:textId="77777777" w:rsidR="00866C63" w:rsidRDefault="00866C63">
      <w:pPr>
        <w:spacing w:line="360" w:lineRule="auto"/>
        <w:jc w:val="both"/>
        <w:rPr>
          <w:rFonts w:ascii="Palatino Linotype" w:eastAsia="Palatino Linotype" w:hAnsi="Palatino Linotype" w:cs="Palatino Linotype"/>
          <w:sz w:val="24"/>
          <w:szCs w:val="24"/>
        </w:rPr>
      </w:pPr>
    </w:p>
    <w:p w14:paraId="2416A060"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procede su entrega en una correcta versión pública del contrato entregado en informe justificado, aunado a ello se advierte que este contrato tiene la siguiente vigencia: </w:t>
      </w:r>
    </w:p>
    <w:p w14:paraId="13133CA6" w14:textId="77777777" w:rsidR="00866C63" w:rsidRDefault="00866C63">
      <w:pPr>
        <w:spacing w:line="360" w:lineRule="auto"/>
        <w:jc w:val="both"/>
        <w:rPr>
          <w:rFonts w:ascii="Palatino Linotype" w:eastAsia="Palatino Linotype" w:hAnsi="Palatino Linotype" w:cs="Palatino Linotype"/>
          <w:sz w:val="24"/>
          <w:szCs w:val="24"/>
        </w:rPr>
      </w:pPr>
    </w:p>
    <w:p w14:paraId="640A6180" w14:textId="77777777" w:rsidR="00866C63" w:rsidRDefault="00062E12">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304FA64C" wp14:editId="7AAB8DEB">
            <wp:extent cx="5659999" cy="639548"/>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7155" t="54878" r="12763" b="32928"/>
                    <a:stretch>
                      <a:fillRect/>
                    </a:stretch>
                  </pic:blipFill>
                  <pic:spPr>
                    <a:xfrm>
                      <a:off x="0" y="0"/>
                      <a:ext cx="5659999" cy="639548"/>
                    </a:xfrm>
                    <a:prstGeom prst="rect">
                      <a:avLst/>
                    </a:prstGeom>
                    <a:ln/>
                  </pic:spPr>
                </pic:pic>
              </a:graphicData>
            </a:graphic>
          </wp:inline>
        </w:drawing>
      </w:r>
    </w:p>
    <w:p w14:paraId="7D4B6A5A" w14:textId="77777777" w:rsidR="00866C63" w:rsidRDefault="00866C63">
      <w:pPr>
        <w:spacing w:line="360" w:lineRule="auto"/>
        <w:jc w:val="both"/>
        <w:rPr>
          <w:rFonts w:ascii="Palatino Linotype" w:eastAsia="Palatino Linotype" w:hAnsi="Palatino Linotype" w:cs="Palatino Linotype"/>
        </w:rPr>
      </w:pPr>
    </w:p>
    <w:p w14:paraId="513BEC64" w14:textId="77777777" w:rsidR="00866C63" w:rsidRDefault="00062E1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Al respecto, es de recordar que </w:t>
      </w: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 xml:space="preserve">al momento de solicitar la información no específico la temporalidad de la información solicitada, </w:t>
      </w:r>
      <w:r>
        <w:rPr>
          <w:rFonts w:ascii="Palatino Linotype" w:eastAsia="Palatino Linotype" w:hAnsi="Palatino Linotype" w:cs="Palatino Linotype"/>
        </w:rPr>
        <w:t xml:space="preserve">, por lo que </w:t>
      </w:r>
      <w:r>
        <w:rPr>
          <w:rFonts w:ascii="Palatino Linotype" w:eastAsia="Palatino Linotype" w:hAnsi="Palatino Linotype" w:cs="Palatino Linotype"/>
          <w:sz w:val="24"/>
          <w:szCs w:val="24"/>
        </w:rPr>
        <w:t xml:space="preserve">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dieciséis de mayo de dos mil veintidós al dieciséis de mayo de dos mil veintitrés. </w:t>
      </w:r>
    </w:p>
    <w:p w14:paraId="02E88F2D" w14:textId="77777777" w:rsidR="00866C63" w:rsidRDefault="00866C63">
      <w:pPr>
        <w:spacing w:line="360" w:lineRule="auto"/>
        <w:jc w:val="both"/>
        <w:rPr>
          <w:rFonts w:ascii="Palatino Linotype" w:eastAsia="Palatino Linotype" w:hAnsi="Palatino Linotype" w:cs="Palatino Linotype"/>
          <w:sz w:val="24"/>
          <w:szCs w:val="24"/>
        </w:rPr>
      </w:pPr>
    </w:p>
    <w:p w14:paraId="2EC95278"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aplicable el Criterio 03-19, emitido por el Instituto Nacional de Transparencia, Acceso a la Información y Protección de Datos Personales, que dice: </w:t>
      </w:r>
    </w:p>
    <w:p w14:paraId="7C6D8402" w14:textId="77777777" w:rsidR="00866C63" w:rsidRDefault="00866C63">
      <w:pPr>
        <w:spacing w:line="360" w:lineRule="auto"/>
        <w:jc w:val="both"/>
        <w:rPr>
          <w:rFonts w:ascii="Palatino Linotype" w:eastAsia="Palatino Linotype" w:hAnsi="Palatino Linotype" w:cs="Palatino Linotype"/>
          <w:sz w:val="24"/>
          <w:szCs w:val="24"/>
        </w:rPr>
      </w:pPr>
    </w:p>
    <w:p w14:paraId="106E3D56"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Periodo de búsqueda de la información.</w:t>
      </w:r>
      <w:r>
        <w:rPr>
          <w:rFonts w:ascii="Palatino Linotype" w:eastAsia="Palatino Linotype" w:hAnsi="Palatino Linotype" w:cs="Palatino Linotype"/>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033C26A" w14:textId="77777777" w:rsidR="00866C63" w:rsidRDefault="00866C63">
      <w:pPr>
        <w:spacing w:line="360" w:lineRule="auto"/>
        <w:jc w:val="both"/>
        <w:rPr>
          <w:rFonts w:ascii="Palatino Linotype" w:eastAsia="Palatino Linotype" w:hAnsi="Palatino Linotype" w:cs="Palatino Linotype"/>
        </w:rPr>
      </w:pPr>
    </w:p>
    <w:p w14:paraId="0CB642DD"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Motivo por el que se ordena el documento donde conste el tipo de procedimiento de adquisición o adjudicación y el contrato correspondiente a la adquisición de combustible, que en su caso </w:t>
      </w:r>
      <w:proofErr w:type="gramStart"/>
      <w:r>
        <w:rPr>
          <w:rFonts w:ascii="Palatino Linotype" w:eastAsia="Palatino Linotype" w:hAnsi="Palatino Linotype" w:cs="Palatino Linotype"/>
          <w:sz w:val="24"/>
          <w:szCs w:val="24"/>
        </w:rPr>
        <w:t>se  haya</w:t>
      </w:r>
      <w:proofErr w:type="gramEnd"/>
      <w:r>
        <w:rPr>
          <w:rFonts w:ascii="Palatino Linotype" w:eastAsia="Palatino Linotype" w:hAnsi="Palatino Linotype" w:cs="Palatino Linotype"/>
          <w:sz w:val="24"/>
          <w:szCs w:val="24"/>
        </w:rPr>
        <w:t xml:space="preserve"> celebrado del primero de enero de dos mil veintitrés al dieciséis de mayo de dos mil veintitrés.</w:t>
      </w:r>
    </w:p>
    <w:p w14:paraId="472FD08E" w14:textId="77777777" w:rsidR="00866C63" w:rsidRDefault="00866C63">
      <w:pPr>
        <w:spacing w:line="360" w:lineRule="auto"/>
        <w:jc w:val="both"/>
        <w:rPr>
          <w:rFonts w:ascii="Palatino Linotype" w:eastAsia="Palatino Linotype" w:hAnsi="Palatino Linotype" w:cs="Palatino Linotype"/>
          <w:sz w:val="24"/>
          <w:szCs w:val="24"/>
        </w:rPr>
      </w:pPr>
    </w:p>
    <w:p w14:paraId="1060C13D"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Sin embargo,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6AE1F8FB" w14:textId="77777777" w:rsidR="00866C63" w:rsidRDefault="00866C63">
      <w:pPr>
        <w:spacing w:line="360" w:lineRule="auto"/>
        <w:jc w:val="both"/>
        <w:rPr>
          <w:rFonts w:ascii="Palatino Linotype" w:eastAsia="Palatino Linotype" w:hAnsi="Palatino Linotype" w:cs="Palatino Linotype"/>
          <w:sz w:val="24"/>
          <w:szCs w:val="24"/>
          <w:highlight w:val="red"/>
        </w:rPr>
      </w:pPr>
    </w:p>
    <w:p w14:paraId="7A199B62" w14:textId="77777777" w:rsidR="00866C63" w:rsidRDefault="00062E1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w:t>
      </w:r>
    </w:p>
    <w:p w14:paraId="436AF583" w14:textId="77777777" w:rsidR="00866C63" w:rsidRDefault="00062E1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959869E" w14:textId="77777777" w:rsidR="00866C63" w:rsidRDefault="00866C63">
      <w:pPr>
        <w:spacing w:line="360" w:lineRule="auto"/>
        <w:ind w:right="51"/>
        <w:jc w:val="both"/>
        <w:rPr>
          <w:rFonts w:ascii="Palatino Linotype" w:eastAsia="Palatino Linotype" w:hAnsi="Palatino Linotype" w:cs="Palatino Linotype"/>
          <w:sz w:val="24"/>
          <w:szCs w:val="24"/>
        </w:rPr>
      </w:pPr>
    </w:p>
    <w:p w14:paraId="7A8E480B" w14:textId="77777777" w:rsidR="00866C63" w:rsidRDefault="00062E12">
      <w:pPr>
        <w:pBdr>
          <w:top w:val="nil"/>
          <w:left w:val="nil"/>
          <w:bottom w:val="nil"/>
          <w:right w:val="nil"/>
          <w:between w:val="nil"/>
        </w:pBdr>
        <w:spacing w:line="360" w:lineRule="auto"/>
        <w:ind w:right="-91"/>
        <w:jc w:val="both"/>
        <w:rPr>
          <w:color w:val="000000"/>
          <w:sz w:val="24"/>
          <w:szCs w:val="24"/>
        </w:rPr>
      </w:pPr>
      <w:r>
        <w:rPr>
          <w:rFonts w:ascii="Palatino Linotype" w:eastAsia="Palatino Linotype" w:hAnsi="Palatino Linotype" w:cs="Palatino Linotype"/>
          <w:color w:val="000000"/>
          <w:sz w:val="24"/>
          <w:szCs w:val="24"/>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w:t>
      </w:r>
      <w:proofErr w:type="gramStart"/>
      <w:r>
        <w:rPr>
          <w:rFonts w:ascii="Palatino Linotype" w:eastAsia="Palatino Linotype" w:hAnsi="Palatino Linotype" w:cs="Palatino Linotype"/>
          <w:color w:val="000000"/>
          <w:sz w:val="24"/>
          <w:szCs w:val="24"/>
        </w:rPr>
        <w:t>XIII  de</w:t>
      </w:r>
      <w:proofErr w:type="gramEnd"/>
      <w:r>
        <w:rPr>
          <w:rFonts w:ascii="Palatino Linotype" w:eastAsia="Palatino Linotype" w:hAnsi="Palatino Linotype" w:cs="Palatino Linotype"/>
          <w:color w:val="000000"/>
          <w:sz w:val="24"/>
          <w:szCs w:val="24"/>
        </w:rPr>
        <w:t xml:space="preserve"> la Ley de Transparencia y Acceso a la Información Pública del Estado de México y Municipios.</w:t>
      </w:r>
    </w:p>
    <w:p w14:paraId="3F6EB685" w14:textId="77777777" w:rsidR="00866C63" w:rsidRDefault="00866C63">
      <w:pPr>
        <w:spacing w:line="360" w:lineRule="auto"/>
        <w:jc w:val="both"/>
        <w:rPr>
          <w:rFonts w:ascii="Palatino Linotype" w:eastAsia="Palatino Linotype" w:hAnsi="Palatino Linotype" w:cs="Palatino Linotype"/>
        </w:rPr>
      </w:pPr>
    </w:p>
    <w:p w14:paraId="155CF525" w14:textId="77777777" w:rsidR="00866C63" w:rsidRDefault="00062E1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Respecto a las bitácoras de dispersión del combustible.</w:t>
      </w:r>
    </w:p>
    <w:p w14:paraId="2A354457" w14:textId="77777777" w:rsidR="00866C63" w:rsidRDefault="00866C63">
      <w:pPr>
        <w:spacing w:line="360" w:lineRule="auto"/>
        <w:jc w:val="both"/>
        <w:rPr>
          <w:rFonts w:ascii="Palatino Linotype" w:eastAsia="Palatino Linotype" w:hAnsi="Palatino Linotype" w:cs="Palatino Linotype"/>
          <w:sz w:val="24"/>
          <w:szCs w:val="24"/>
        </w:rPr>
      </w:pP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410"/>
        <w:gridCol w:w="2126"/>
        <w:gridCol w:w="2126"/>
      </w:tblGrid>
      <w:tr w:rsidR="00866C63" w14:paraId="57E700EA" w14:textId="77777777">
        <w:tc>
          <w:tcPr>
            <w:tcW w:w="2410" w:type="dxa"/>
            <w:tcBorders>
              <w:top w:val="single" w:sz="4" w:space="0" w:color="000000"/>
              <w:left w:val="single" w:sz="4" w:space="0" w:color="000000"/>
              <w:bottom w:val="single" w:sz="4" w:space="0" w:color="000000"/>
              <w:right w:val="single" w:sz="4" w:space="0" w:color="000000"/>
            </w:tcBorders>
            <w:shd w:val="clear" w:color="auto" w:fill="BFBFBF"/>
          </w:tcPr>
          <w:p w14:paraId="588B8469" w14:textId="77777777" w:rsidR="00866C63" w:rsidRDefault="00062E1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cPr>
          <w:p w14:paraId="7B63A2EE" w14:textId="77777777" w:rsidR="00866C63" w:rsidRDefault="00062E1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386E8F27" w14:textId="77777777" w:rsidR="00866C63" w:rsidRDefault="00062E12">
            <w:pPr>
              <w:spacing w:before="240" w:after="240"/>
              <w:ind w:firstLine="114"/>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Informe Justificado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0476AD67" w14:textId="77777777" w:rsidR="00866C63" w:rsidRDefault="00062E1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866C63" w14:paraId="2C98D6BE" w14:textId="77777777">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1AE933"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Bitácoras de dispersión del combustible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7711B5A"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La Dirección de Administración, solicita sea aclarado y/o puntualizado el periodo del cual se requiere la información, lo anterior para estar en posibilidades de responder concretamente.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330CA9"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El </w:t>
            </w:r>
            <w:proofErr w:type="gramStart"/>
            <w:r>
              <w:rPr>
                <w:rFonts w:ascii="Palatino Linotype" w:eastAsia="Palatino Linotype" w:hAnsi="Palatino Linotype" w:cs="Palatino Linotype"/>
                <w:color w:val="000000"/>
                <w:sz w:val="18"/>
                <w:szCs w:val="18"/>
              </w:rPr>
              <w:t>Director</w:t>
            </w:r>
            <w:proofErr w:type="gramEnd"/>
            <w:r>
              <w:rPr>
                <w:rFonts w:ascii="Palatino Linotype" w:eastAsia="Palatino Linotype" w:hAnsi="Palatino Linotype" w:cs="Palatino Linotype"/>
                <w:color w:val="000000"/>
                <w:sz w:val="18"/>
                <w:szCs w:val="18"/>
              </w:rPr>
              <w:t xml:space="preserve"> de Administración, menciona que las bitácoras de combustible, al ser un control interno, cada área maneja su registro.</w:t>
            </w:r>
          </w:p>
        </w:tc>
        <w:tc>
          <w:tcPr>
            <w:tcW w:w="2126" w:type="dxa"/>
            <w:tcBorders>
              <w:top w:val="single" w:sz="4" w:space="0" w:color="000000"/>
              <w:left w:val="single" w:sz="4" w:space="0" w:color="000000"/>
              <w:bottom w:val="single" w:sz="4" w:space="0" w:color="000000"/>
              <w:right w:val="single" w:sz="4" w:space="0" w:color="000000"/>
            </w:tcBorders>
          </w:tcPr>
          <w:p w14:paraId="76797560" w14:textId="77777777" w:rsidR="00866C63" w:rsidRDefault="00062E12">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No. </w:t>
            </w:r>
          </w:p>
        </w:tc>
      </w:tr>
    </w:tbl>
    <w:p w14:paraId="7E72FC07" w14:textId="77777777" w:rsidR="00866C63" w:rsidRDefault="00866C63">
      <w:pPr>
        <w:spacing w:line="360" w:lineRule="auto"/>
        <w:jc w:val="both"/>
        <w:rPr>
          <w:rFonts w:ascii="Palatino Linotype" w:eastAsia="Palatino Linotype" w:hAnsi="Palatino Linotype" w:cs="Palatino Linotype"/>
          <w:sz w:val="24"/>
          <w:szCs w:val="24"/>
        </w:rPr>
      </w:pPr>
    </w:p>
    <w:p w14:paraId="1C3BA3E9"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corresponde a este punto de la solicitud, es de recordar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se limitó a mencionar que las bitácoras de combustible son de carácter interno, por lo que cada área maneja su registro.</w:t>
      </w:r>
    </w:p>
    <w:p w14:paraId="370BF5CA" w14:textId="77777777" w:rsidR="00866C63" w:rsidRDefault="00866C63">
      <w:pPr>
        <w:spacing w:line="360" w:lineRule="auto"/>
        <w:jc w:val="both"/>
        <w:rPr>
          <w:rFonts w:ascii="Palatino Linotype" w:eastAsia="Palatino Linotype" w:hAnsi="Palatino Linotype" w:cs="Palatino Linotype"/>
          <w:sz w:val="24"/>
          <w:szCs w:val="24"/>
        </w:rPr>
      </w:pPr>
    </w:p>
    <w:p w14:paraId="60E11F8C"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Bajo estas consideraciones, se considera oportuno señalar el significado de la palabra dispersión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de acuerdo a la Real Academia Española, su significado es el siguiente:</w:t>
      </w:r>
    </w:p>
    <w:p w14:paraId="37841D8B" w14:textId="77777777" w:rsidR="00866C63" w:rsidRDefault="00866C63">
      <w:pPr>
        <w:spacing w:line="360" w:lineRule="auto"/>
        <w:jc w:val="both"/>
        <w:rPr>
          <w:rFonts w:ascii="Palatino Linotype" w:eastAsia="Palatino Linotype" w:hAnsi="Palatino Linotype" w:cs="Palatino Linotype"/>
          <w:sz w:val="24"/>
          <w:szCs w:val="24"/>
        </w:rPr>
      </w:pPr>
    </w:p>
    <w:p w14:paraId="626E359C" w14:textId="77777777" w:rsidR="00866C63" w:rsidRDefault="006F3C0D">
      <w:pPr>
        <w:spacing w:line="360" w:lineRule="auto"/>
        <w:jc w:val="both"/>
        <w:rPr>
          <w:rFonts w:ascii="Palatino Linotype" w:eastAsia="Palatino Linotype" w:hAnsi="Palatino Linotype" w:cs="Palatino Linotype"/>
          <w:color w:val="000000"/>
          <w:sz w:val="24"/>
          <w:szCs w:val="24"/>
        </w:rPr>
      </w:pPr>
      <w:hyperlink r:id="rId12">
        <w:r w:rsidR="00062E12">
          <w:rPr>
            <w:rFonts w:ascii="Palatino Linotype" w:eastAsia="Palatino Linotype" w:hAnsi="Palatino Linotype" w:cs="Palatino Linotype"/>
            <w:color w:val="0563C1"/>
            <w:sz w:val="24"/>
            <w:szCs w:val="24"/>
            <w:u w:val="single"/>
          </w:rPr>
          <w:t>https://www.rae.es/drae2001/dispersi%C3%B3n</w:t>
        </w:r>
      </w:hyperlink>
    </w:p>
    <w:p w14:paraId="390B92E4" w14:textId="77777777" w:rsidR="00866C63" w:rsidRDefault="00062E12">
      <w:pPr>
        <w:spacing w:line="360" w:lineRule="auto"/>
        <w:jc w:val="both"/>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4. f. Mat. Distribución estadística de un conjunto de valores.</w:t>
      </w:r>
    </w:p>
    <w:p w14:paraId="0C0EF9EA" w14:textId="77777777" w:rsidR="00866C63" w:rsidRDefault="00866C63">
      <w:pPr>
        <w:spacing w:line="360" w:lineRule="auto"/>
        <w:jc w:val="both"/>
        <w:rPr>
          <w:rFonts w:ascii="Palatino Linotype" w:eastAsia="Palatino Linotype" w:hAnsi="Palatino Linotype" w:cs="Palatino Linotype"/>
          <w:color w:val="000000"/>
          <w:sz w:val="24"/>
          <w:szCs w:val="24"/>
          <w:highlight w:val="white"/>
        </w:rPr>
      </w:pPr>
    </w:p>
    <w:p w14:paraId="35964B9E"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relación a ello,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requiere la distribución del combustible, circunstancia, por la que se señala de nueva forma la siguiente reglamentación:</w:t>
      </w:r>
    </w:p>
    <w:p w14:paraId="61DFBC6C" w14:textId="77777777" w:rsidR="00866C63" w:rsidRDefault="00866C63">
      <w:pPr>
        <w:spacing w:line="360" w:lineRule="auto"/>
        <w:jc w:val="both"/>
        <w:rPr>
          <w:rFonts w:ascii="Palatino Linotype" w:eastAsia="Palatino Linotype" w:hAnsi="Palatino Linotype" w:cs="Palatino Linotype"/>
          <w:sz w:val="24"/>
          <w:szCs w:val="24"/>
        </w:rPr>
      </w:pPr>
    </w:p>
    <w:p w14:paraId="5F4C54C6"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333333"/>
          <w:highlight w:val="white"/>
        </w:rPr>
        <w:t>REGLAMENTO ORGÁNICO DE LA ADMINISTRACIÓN PÚBLICA MUNICIPAL DE XALATLACO.</w:t>
      </w:r>
    </w:p>
    <w:p w14:paraId="0E5D0C18"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rPr>
        <w:t xml:space="preserve">Artículo 79.- La Dirección de Administración estará a cargo de un </w:t>
      </w:r>
      <w:proofErr w:type="gramStart"/>
      <w:r>
        <w:rPr>
          <w:rFonts w:ascii="Palatino Linotype" w:eastAsia="Palatino Linotype" w:hAnsi="Palatino Linotype" w:cs="Palatino Linotype"/>
          <w:i/>
        </w:rPr>
        <w:t>Director</w:t>
      </w:r>
      <w:proofErr w:type="gramEnd"/>
      <w:r>
        <w:rPr>
          <w:rFonts w:ascii="Palatino Linotype" w:eastAsia="Palatino Linotype" w:hAnsi="Palatino Linotype" w:cs="Palatino Linotype"/>
          <w:i/>
        </w:rPr>
        <w:t xml:space="preserve"> a quien le corresponderá el ejercicio de las atribuciones siguientes:</w:t>
      </w:r>
    </w:p>
    <w:p w14:paraId="22A5B83B"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w:t>
      </w:r>
    </w:p>
    <w:p w14:paraId="4A997C29"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rPr>
        <w:t>XXII. Supervisar que el control, mantenimiento y adquisición del parque vehicular oficial, así como el suministro de energéticos, se realice de manera oportuna, apegándose a la normatividad establecida;</w:t>
      </w:r>
    </w:p>
    <w:p w14:paraId="7D3D0ABB" w14:textId="77777777" w:rsidR="00866C63" w:rsidRDefault="00062E12">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81.- Corresponden obligatoriamente al </w:t>
      </w:r>
      <w:proofErr w:type="gramStart"/>
      <w:r>
        <w:rPr>
          <w:rFonts w:ascii="Palatino Linotype" w:eastAsia="Palatino Linotype" w:hAnsi="Palatino Linotype" w:cs="Palatino Linotype"/>
          <w:i/>
        </w:rPr>
        <w:t>Jefe</w:t>
      </w:r>
      <w:proofErr w:type="gramEnd"/>
      <w:r>
        <w:rPr>
          <w:rFonts w:ascii="Palatino Linotype" w:eastAsia="Palatino Linotype" w:hAnsi="Palatino Linotype" w:cs="Palatino Linotype"/>
          <w:i/>
        </w:rPr>
        <w:t xml:space="preserve"> del Departamento de Adquisiciones y Almacén desempeñar con diligencia y profesionalismo el despacho de los asuntos siguientes:</w:t>
      </w:r>
    </w:p>
    <w:p w14:paraId="29D19FF8"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p>
    <w:p w14:paraId="69F2C6A1" w14:textId="77777777" w:rsidR="00866C63" w:rsidRDefault="00062E12">
      <w:pPr>
        <w:spacing w:line="276"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rPr>
        <w:t>XXXII. Recibir, controlar, resguardar y distribuir los bienes de consumo, para la operación y funcionamiento de las dependencias;</w:t>
      </w:r>
    </w:p>
    <w:p w14:paraId="21BB1104" w14:textId="77777777" w:rsidR="00866C63" w:rsidRDefault="00062E12">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XXXIII. Clasificar y estibar los bienes de consumo por grupos y tipo de riesgo en tránsito para su posterior distribución, resguardándolo en las bodegas correspondientes;</w:t>
      </w:r>
    </w:p>
    <w:p w14:paraId="208889F7" w14:textId="77777777" w:rsidR="00866C63" w:rsidRDefault="00866C63">
      <w:pPr>
        <w:spacing w:line="276" w:lineRule="auto"/>
        <w:ind w:right="899"/>
        <w:jc w:val="both"/>
        <w:rPr>
          <w:rFonts w:ascii="Palatino Linotype" w:eastAsia="Palatino Linotype" w:hAnsi="Palatino Linotype" w:cs="Palatino Linotype"/>
          <w:i/>
          <w:color w:val="FF0000"/>
        </w:rPr>
      </w:pPr>
    </w:p>
    <w:p w14:paraId="31219575"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Conforme a ello, se establece que la Dirección de Administración supervisa el control del suministro de energéticos y el </w:t>
      </w:r>
      <w:proofErr w:type="gramStart"/>
      <w:r>
        <w:rPr>
          <w:rFonts w:ascii="Palatino Linotype" w:eastAsia="Palatino Linotype" w:hAnsi="Palatino Linotype" w:cs="Palatino Linotype"/>
          <w:color w:val="000000"/>
          <w:sz w:val="24"/>
          <w:szCs w:val="24"/>
        </w:rPr>
        <w:t>Jefe</w:t>
      </w:r>
      <w:proofErr w:type="gramEnd"/>
      <w:r>
        <w:rPr>
          <w:rFonts w:ascii="Palatino Linotype" w:eastAsia="Palatino Linotype" w:hAnsi="Palatino Linotype" w:cs="Palatino Linotype"/>
          <w:color w:val="000000"/>
          <w:sz w:val="24"/>
          <w:szCs w:val="24"/>
        </w:rPr>
        <w:t xml:space="preserve"> de Departamento de Adquisiciones y Almacén, recibe, controla, resguarda y distribuye los bienes de consumo, clasificando y estibando dichos bienes para su distribución, en correlación a lo señalado, lo siguientes lineamientos establecen lo siguiente:</w:t>
      </w:r>
    </w:p>
    <w:p w14:paraId="706F8357"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p>
    <w:p w14:paraId="010E98A5" w14:textId="77777777" w:rsidR="00866C63" w:rsidRDefault="00062E12">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LINEAMIENTOS PARA EL REGISTRO Y CONTROL DEL INVENTARIO Y LA CONCILIACIÓN Y DE51NCORPORACIÓN DE BIENES MUEBLES E INMUEBLES PARA LAS ENTIDADES FISCALIZABLES MUNICIPALES DEL ESTADO DE MÉXICO</w:t>
      </w:r>
    </w:p>
    <w:p w14:paraId="2802A51F" w14:textId="77777777" w:rsidR="00866C63" w:rsidRDefault="00866C63">
      <w:pPr>
        <w:spacing w:line="276" w:lineRule="auto"/>
        <w:ind w:left="851" w:right="899"/>
        <w:jc w:val="both"/>
        <w:rPr>
          <w:rFonts w:ascii="Palatino Linotype" w:eastAsia="Palatino Linotype" w:hAnsi="Palatino Linotype" w:cs="Palatino Linotype"/>
          <w:i/>
          <w:color w:val="000000"/>
          <w:sz w:val="22"/>
          <w:szCs w:val="22"/>
        </w:rPr>
      </w:pPr>
    </w:p>
    <w:p w14:paraId="08854C11" w14:textId="77777777" w:rsidR="00866C63" w:rsidRDefault="00062E12">
      <w:pPr>
        <w:spacing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DÉCIMO PRIMERO: Los servidores públicos municipales, tendrán en el ámbito de su competencia, respecto de los presentes Lineamientos, las obligaciones siguientes:</w:t>
      </w:r>
    </w:p>
    <w:p w14:paraId="7CC3D0D2" w14:textId="77777777" w:rsidR="00866C63" w:rsidRDefault="00062E12">
      <w:pPr>
        <w:spacing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p>
    <w:p w14:paraId="7F2F0A06" w14:textId="77777777" w:rsidR="00866C63" w:rsidRDefault="00062E12">
      <w:pPr>
        <w:spacing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 xml:space="preserve">VIGÉSIMO OCTAVO: Los servidores públicos municipales responsables de llevar el control del consumo de los combustibles y lubricantes de cada uno de los vehículos y maquinaria de la entidad fiscalizable municipal, por medio de los vales </w:t>
      </w:r>
      <w:r>
        <w:rPr>
          <w:rFonts w:ascii="Palatino Linotype" w:eastAsia="Palatino Linotype" w:hAnsi="Palatino Linotype" w:cs="Palatino Linotype"/>
          <w:i/>
          <w:sz w:val="22"/>
          <w:szCs w:val="22"/>
        </w:rPr>
        <w:lastRenderedPageBreak/>
        <w:t>de gasolina o por los consumos foráneos que realicen fuera del municipio, deberán llevar una bitácora de acuerdo al anexo 3.”</w:t>
      </w:r>
    </w:p>
    <w:p w14:paraId="4AA088D5" w14:textId="77777777" w:rsidR="00866C63" w:rsidRDefault="00866C63">
      <w:pPr>
        <w:spacing w:line="360" w:lineRule="auto"/>
        <w:jc w:val="both"/>
        <w:rPr>
          <w:rFonts w:ascii="Palatino Linotype" w:eastAsia="Palatino Linotype" w:hAnsi="Palatino Linotype" w:cs="Palatino Linotype"/>
          <w:i/>
          <w:sz w:val="22"/>
          <w:szCs w:val="22"/>
        </w:rPr>
      </w:pPr>
    </w:p>
    <w:p w14:paraId="0BAE2893" w14:textId="77777777" w:rsidR="00866C63" w:rsidRDefault="00062E12">
      <w:pPr>
        <w:spacing w:line="360" w:lineRule="auto"/>
        <w:jc w:val="both"/>
        <w:rPr>
          <w:rFonts w:ascii="Palatino Linotype" w:eastAsia="Palatino Linotype" w:hAnsi="Palatino Linotype" w:cs="Palatino Linotype"/>
          <w:color w:val="FF0000"/>
          <w:sz w:val="24"/>
          <w:szCs w:val="24"/>
          <w:highlight w:val="green"/>
        </w:rPr>
      </w:pPr>
      <w:r>
        <w:rPr>
          <w:rFonts w:ascii="Palatino Linotype" w:eastAsia="Palatino Linotype" w:hAnsi="Palatino Linotype" w:cs="Palatino Linotype"/>
          <w:noProof/>
          <w:color w:val="FF0000"/>
          <w:sz w:val="24"/>
          <w:szCs w:val="24"/>
        </w:rPr>
        <w:drawing>
          <wp:inline distT="0" distB="0" distL="0" distR="0" wp14:anchorId="2270682F" wp14:editId="4D5997A2">
            <wp:extent cx="5612130" cy="2746375"/>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12130" cy="2746375"/>
                    </a:xfrm>
                    <a:prstGeom prst="rect">
                      <a:avLst/>
                    </a:prstGeom>
                    <a:ln/>
                  </pic:spPr>
                </pic:pic>
              </a:graphicData>
            </a:graphic>
          </wp:inline>
        </w:drawing>
      </w:r>
    </w:p>
    <w:p w14:paraId="33575709"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tenor,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w:t>
      </w:r>
    </w:p>
    <w:p w14:paraId="38B2C09F"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3C94711F" w14:textId="77777777" w:rsidR="00866C63" w:rsidRDefault="00062E12">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Motivo por el que se ordena, de ser procedente, en versión pública en términos del considerando quinto, el documento en el que conste la dispersión de combustible, del dieciséis de mayo de dos mil veintidós al dieciséis de mayo de dos mil veintitrés.</w:t>
      </w:r>
    </w:p>
    <w:p w14:paraId="25C4988A" w14:textId="77777777" w:rsidR="00866C63" w:rsidRDefault="00866C63">
      <w:pPr>
        <w:spacing w:line="360" w:lineRule="auto"/>
        <w:jc w:val="both"/>
        <w:rPr>
          <w:rFonts w:ascii="Palatino Linotype" w:eastAsia="Palatino Linotype" w:hAnsi="Palatino Linotype" w:cs="Palatino Linotype"/>
          <w:sz w:val="24"/>
          <w:szCs w:val="24"/>
        </w:rPr>
      </w:pPr>
    </w:p>
    <w:p w14:paraId="021CBDA7"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VERSIÓN PÚBLICA. </w:t>
      </w:r>
      <w:r>
        <w:rPr>
          <w:rFonts w:ascii="Palatino Linotype" w:eastAsia="Palatino Linotype" w:hAnsi="Palatino Linotype" w:cs="Palatino Linotype"/>
          <w:sz w:val="24"/>
          <w:szCs w:val="24"/>
        </w:rPr>
        <w:t>Finalmente, debe señalarse que de ser el caso en que los documentos que vayan a ser entregados por el</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sujeto obligado, para dar </w:t>
      </w:r>
      <w:r>
        <w:rPr>
          <w:rFonts w:ascii="Palatino Linotype" w:eastAsia="Palatino Linotype" w:hAnsi="Palatino Linotype" w:cs="Palatino Linotype"/>
          <w:sz w:val="24"/>
          <w:szCs w:val="24"/>
        </w:rPr>
        <w:lastRenderedPageBreak/>
        <w:t xml:space="preserve">cumplimiento a la presente resolución, contengan datos que deban ser clasificados,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23A46924" w14:textId="77777777" w:rsidR="00866C63" w:rsidRDefault="00866C63">
      <w:pPr>
        <w:spacing w:line="360" w:lineRule="auto"/>
        <w:jc w:val="both"/>
        <w:rPr>
          <w:rFonts w:ascii="Palatino Linotype" w:eastAsia="Palatino Linotype" w:hAnsi="Palatino Linotype" w:cs="Palatino Linotype"/>
          <w:sz w:val="24"/>
          <w:szCs w:val="24"/>
        </w:rPr>
      </w:pPr>
    </w:p>
    <w:p w14:paraId="756249C4"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6B4E42E" w14:textId="77777777" w:rsidR="00866C63" w:rsidRDefault="00866C63">
      <w:pPr>
        <w:spacing w:line="360" w:lineRule="auto"/>
        <w:jc w:val="both"/>
        <w:rPr>
          <w:rFonts w:ascii="Palatino Linotype" w:eastAsia="Palatino Linotype" w:hAnsi="Palatino Linotype" w:cs="Palatino Linotype"/>
          <w:sz w:val="24"/>
          <w:szCs w:val="24"/>
        </w:rPr>
      </w:pPr>
    </w:p>
    <w:p w14:paraId="74A29BD7"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1D416CDC"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1FA012C"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F0BD93E"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2499D480"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Información confidencial: </w:t>
      </w:r>
      <w:r>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79F616"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DE27DB0"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4FC9EA7"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A5F6514"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48B58622"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76E7A655"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2FE4FEDF"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F126B61"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AE5530"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B06CA1C"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E846C71"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940E8F2" w14:textId="77777777" w:rsidR="00866C63" w:rsidRDefault="00062E12">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A3540BE"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8016EAD" w14:textId="77777777" w:rsidR="00866C63" w:rsidRDefault="00062E12">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9FF986C" w14:textId="77777777" w:rsidR="00866C63" w:rsidRDefault="00866C63">
      <w:pPr>
        <w:spacing w:after="120" w:line="276" w:lineRule="auto"/>
        <w:ind w:left="851" w:right="902"/>
        <w:jc w:val="both"/>
        <w:rPr>
          <w:rFonts w:ascii="Palatino Linotype" w:eastAsia="Palatino Linotype" w:hAnsi="Palatino Linotype" w:cs="Palatino Linotype"/>
          <w:i/>
        </w:rPr>
      </w:pPr>
    </w:p>
    <w:p w14:paraId="1D873C35"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se destaca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sz w:val="24"/>
          <w:szCs w:val="24"/>
        </w:rPr>
        <w:lastRenderedPageBreak/>
        <w:t>LINEAMIENTOS GENERALES EN MATERIA DE CLASIFICACIÓN Y DESCLASIFICACIÓN DE LA INFORMACIÓN, ASÍ COMO PARA LA ELABORACIÓN DE VERSIONES PÚBLICAS</w:t>
      </w:r>
      <w:r>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81D6FFA" w14:textId="77777777" w:rsidR="00866C63" w:rsidRDefault="00866C63">
      <w:pPr>
        <w:spacing w:line="360" w:lineRule="auto"/>
        <w:jc w:val="both"/>
        <w:rPr>
          <w:rFonts w:ascii="Palatino Linotype" w:eastAsia="Palatino Linotype" w:hAnsi="Palatino Linotype" w:cs="Palatino Linotype"/>
          <w:sz w:val="24"/>
          <w:szCs w:val="24"/>
        </w:rPr>
      </w:pPr>
    </w:p>
    <w:p w14:paraId="4C5DC8E6"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44F0FBCB"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i/>
          <w:color w:val="000000"/>
          <w:sz w:val="22"/>
          <w:szCs w:val="22"/>
        </w:rPr>
        <w:t>“</w:t>
      </w:r>
      <w:proofErr w:type="gramStart"/>
      <w:r>
        <w:rPr>
          <w:rFonts w:ascii="Palatino Linotype" w:eastAsia="Palatino Linotype" w:hAnsi="Palatino Linotype" w:cs="Palatino Linotype"/>
          <w:b/>
          <w:i/>
          <w:color w:val="000000"/>
          <w:sz w:val="22"/>
          <w:szCs w:val="22"/>
        </w:rPr>
        <w:t>Segundo.-</w:t>
      </w:r>
      <w:proofErr w:type="gramEnd"/>
      <w:r>
        <w:rPr>
          <w:rFonts w:ascii="Palatino Linotype" w:eastAsia="Palatino Linotype" w:hAnsi="Palatino Linotype" w:cs="Palatino Linotype"/>
          <w:i/>
          <w:color w:val="000000"/>
          <w:sz w:val="22"/>
          <w:szCs w:val="22"/>
        </w:rPr>
        <w:t xml:space="preserve"> Para efectos de los presentes Lineamientos Generales, se entenderá por:</w:t>
      </w:r>
    </w:p>
    <w:p w14:paraId="6BF86539"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XVIII.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Versión pública:</w:t>
      </w:r>
      <w:r>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sz w:val="22"/>
          <w:szCs w:val="22"/>
          <w:u w:val="single"/>
        </w:rPr>
        <w:t>fundando y motivando la</w:t>
      </w:r>
      <w:r>
        <w:rPr>
          <w:rFonts w:ascii="Palatino Linotype" w:eastAsia="Palatino Linotype" w:hAnsi="Palatino Linotype" w:cs="Palatino Linotype"/>
          <w:i/>
          <w:color w:val="000000"/>
          <w:sz w:val="22"/>
          <w:szCs w:val="22"/>
        </w:rPr>
        <w:t xml:space="preserve"> reserva o </w:t>
      </w:r>
      <w:r>
        <w:rPr>
          <w:rFonts w:ascii="Palatino Linotype" w:eastAsia="Palatino Linotype" w:hAnsi="Palatino Linotype" w:cs="Palatino Linotype"/>
          <w:b/>
          <w:i/>
          <w:color w:val="000000"/>
          <w:sz w:val="22"/>
          <w:szCs w:val="22"/>
          <w:u w:val="single"/>
        </w:rPr>
        <w:t>confidencialidad</w:t>
      </w:r>
      <w:r>
        <w:rPr>
          <w:rFonts w:ascii="Palatino Linotype" w:eastAsia="Palatino Linotype" w:hAnsi="Palatino Linotype" w:cs="Palatino Linotype"/>
          <w:i/>
          <w:color w:val="000000"/>
          <w:sz w:val="22"/>
          <w:szCs w:val="22"/>
        </w:rPr>
        <w:t>, a través de la resolución que para tal efecto emita el Comité de Transparencia.</w:t>
      </w:r>
    </w:p>
    <w:p w14:paraId="33502AAD"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Cuarto.</w:t>
      </w:r>
      <w:r>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5820923"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08A558D6"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Quinto.</w:t>
      </w:r>
      <w:r>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4DCA68"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w:t>
      </w:r>
    </w:p>
    <w:p w14:paraId="255AC842"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lastRenderedPageBreak/>
        <w:t>Séptimo.</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26C1429A"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reciba una solicitud de acceso a la información;</w:t>
      </w:r>
    </w:p>
    <w:p w14:paraId="5F24D161"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w:t>
      </w:r>
      <w:proofErr w:type="gramStart"/>
      <w:r>
        <w:rPr>
          <w:rFonts w:ascii="Palatino Linotype" w:eastAsia="Palatino Linotype" w:hAnsi="Palatino Linotype" w:cs="Palatino Linotype"/>
          <w:i/>
          <w:color w:val="000000"/>
          <w:sz w:val="22"/>
          <w:szCs w:val="22"/>
        </w:rPr>
        <w:t>Se  determine</w:t>
      </w:r>
      <w:proofErr w:type="gramEnd"/>
      <w:r>
        <w:rPr>
          <w:rFonts w:ascii="Palatino Linotype" w:eastAsia="Palatino Linotype" w:hAnsi="Palatino Linotype" w:cs="Palatino Linotype"/>
          <w:i/>
          <w:color w:val="000000"/>
          <w:sz w:val="22"/>
          <w:szCs w:val="22"/>
        </w:rPr>
        <w:t xml:space="preserve"> mediante resolución del Comité de Transparencia, el órgano garante </w:t>
      </w:r>
    </w:p>
    <w:p w14:paraId="2281625D"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i/>
          <w:color w:val="000000"/>
          <w:sz w:val="22"/>
          <w:szCs w:val="22"/>
        </w:rPr>
        <w:t>competente, o en cumplimiento a una sentencia del Poder Judicial; o</w:t>
      </w:r>
    </w:p>
    <w:p w14:paraId="58A74161"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23841DE7"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1E7BDD78"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Octavo.</w:t>
      </w:r>
      <w:r>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0EC0110"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48F18CB1"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5AF3FE2"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Noveno.</w:t>
      </w:r>
      <w:r>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32BC48"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Décimo.</w:t>
      </w:r>
      <w:r>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86E07AC"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i/>
          <w:color w:val="000000"/>
          <w:sz w:val="22"/>
          <w:szCs w:val="22"/>
        </w:rPr>
        <w:lastRenderedPageBreak/>
        <w:t>En ausencia de los titulares de las áreas, la información será clasificada o desclasificada por la persona que lo supla, en términos de la normativa que rija la actuación del sujeto obligado.</w:t>
      </w:r>
    </w:p>
    <w:p w14:paraId="70293270"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Décimo primero.</w:t>
      </w:r>
      <w:r>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780F489"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i/>
          <w:color w:val="000000"/>
          <w:sz w:val="22"/>
          <w:szCs w:val="22"/>
        </w:rPr>
        <w:t>[…]</w:t>
      </w:r>
    </w:p>
    <w:p w14:paraId="293223BB" w14:textId="77777777" w:rsidR="00866C63" w:rsidRDefault="00062E12">
      <w:pPr>
        <w:pBdr>
          <w:top w:val="nil"/>
          <w:left w:val="nil"/>
          <w:bottom w:val="nil"/>
          <w:right w:val="nil"/>
          <w:between w:val="nil"/>
        </w:pBdr>
        <w:spacing w:line="276" w:lineRule="auto"/>
        <w:ind w:left="709" w:right="709"/>
        <w:jc w:val="center"/>
        <w:rPr>
          <w:color w:val="000000"/>
          <w:sz w:val="22"/>
          <w:szCs w:val="22"/>
        </w:rPr>
      </w:pPr>
      <w:r>
        <w:rPr>
          <w:rFonts w:ascii="Palatino Linotype" w:eastAsia="Palatino Linotype" w:hAnsi="Palatino Linotype" w:cs="Palatino Linotype"/>
          <w:b/>
          <w:i/>
          <w:color w:val="000000"/>
          <w:sz w:val="22"/>
          <w:szCs w:val="22"/>
        </w:rPr>
        <w:t>CAPÍTULO VIII</w:t>
      </w:r>
    </w:p>
    <w:p w14:paraId="03918F6F" w14:textId="77777777" w:rsidR="00866C63" w:rsidRDefault="00062E12">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 LOS ELEMENTOS PARA LA CLASIFICACIÓN</w:t>
      </w:r>
    </w:p>
    <w:p w14:paraId="02384848"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w:t>
      </w:r>
      <w:r>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439930D"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 primero</w:t>
      </w:r>
      <w:r>
        <w:rPr>
          <w:rFonts w:ascii="Palatino Linotype" w:eastAsia="Palatino Linotype" w:hAnsi="Palatino Linotype" w:cs="Palatino Linotype"/>
          <w:i/>
          <w:color w:val="000000"/>
          <w:sz w:val="22"/>
          <w:szCs w:val="22"/>
        </w:rPr>
        <w:t>. Toda acta del Comité de Transparencia deberá contener:</w:t>
      </w:r>
    </w:p>
    <w:p w14:paraId="6FCB2999"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El número de sesión y fecha; </w:t>
      </w:r>
    </w:p>
    <w:p w14:paraId="6007B530"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El nombre del área que solicitó la clasificación de información;</w:t>
      </w:r>
    </w:p>
    <w:p w14:paraId="22BECDC7"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La fundamentación legal y motivación correspondiente;</w:t>
      </w:r>
    </w:p>
    <w:p w14:paraId="0CE90EE2"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La resolución o resoluciones aprobadas; y</w:t>
      </w:r>
    </w:p>
    <w:p w14:paraId="63ECA16E"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 rúbrica o firma digital de cada integrante del Comité de Transparencia. </w:t>
      </w:r>
    </w:p>
    <w:p w14:paraId="07F9F50C"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1B3A790C"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2D4270DE"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Descripción de las partes o secciones reservadas, en caso de clasificación parcial;</w:t>
      </w:r>
    </w:p>
    <w:p w14:paraId="68F0AE44"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El periodo por el que mantendrá su clasificación y fecha de expiración; y</w:t>
      </w:r>
    </w:p>
    <w:p w14:paraId="745A5AB0"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49561908"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070B34EE"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3FA4CF3"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Quincuagésimo segundo</w:t>
      </w:r>
      <w:r>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466F2D9"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3C7F503D"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7B361317"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64875EE0"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Señalar las personas o instancias autorizadas a acceder a la información clasificada.</w:t>
      </w:r>
    </w:p>
    <w:p w14:paraId="384FAB97" w14:textId="77777777" w:rsidR="00866C63" w:rsidRDefault="00062E12">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63768F21" w14:textId="77777777" w:rsidR="00866C63" w:rsidRDefault="00062E12">
      <w:pPr>
        <w:pBdr>
          <w:top w:val="nil"/>
          <w:left w:val="nil"/>
          <w:bottom w:val="nil"/>
          <w:right w:val="nil"/>
          <w:between w:val="nil"/>
        </w:pBdr>
        <w:spacing w:line="276" w:lineRule="auto"/>
        <w:ind w:left="709" w:right="709"/>
        <w:jc w:val="both"/>
        <w:rPr>
          <w:color w:val="000000"/>
          <w:sz w:val="22"/>
          <w:szCs w:val="22"/>
        </w:rPr>
      </w:pPr>
      <w:r>
        <w:rPr>
          <w:rFonts w:ascii="Palatino Linotype" w:eastAsia="Palatino Linotype" w:hAnsi="Palatino Linotype" w:cs="Palatino Linotype"/>
          <w:b/>
          <w:i/>
          <w:color w:val="000000"/>
          <w:sz w:val="22"/>
          <w:szCs w:val="22"/>
        </w:rPr>
        <w:t xml:space="preserve">Quincuagésimo tercero. </w:t>
      </w:r>
      <w:r>
        <w:rPr>
          <w:rFonts w:ascii="Palatino Linotype" w:eastAsia="Palatino Linotype" w:hAnsi="Palatino Linotype" w:cs="Palatino Linotype"/>
          <w:b/>
          <w:i/>
          <w:color w:val="000000"/>
          <w:sz w:val="22"/>
          <w:szCs w:val="22"/>
          <w:u w:val="single"/>
        </w:rPr>
        <w:t>El formato para señalar la clasificación de un documento o expediente que contenga información reservada, es el siguiente:</w:t>
      </w:r>
    </w:p>
    <w:tbl>
      <w:tblPr>
        <w:tblStyle w:val="a1"/>
        <w:tblW w:w="8833" w:type="dxa"/>
        <w:jc w:val="center"/>
        <w:tblInd w:w="0" w:type="dxa"/>
        <w:tblLayout w:type="fixed"/>
        <w:tblLook w:val="0400" w:firstRow="0" w:lastRow="0" w:firstColumn="0" w:lastColumn="0" w:noHBand="0" w:noVBand="1"/>
      </w:tblPr>
      <w:tblGrid>
        <w:gridCol w:w="1660"/>
        <w:gridCol w:w="1980"/>
        <w:gridCol w:w="5193"/>
      </w:tblGrid>
      <w:tr w:rsidR="00866C63" w14:paraId="24A7C7FE"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565DC592" w14:textId="77777777" w:rsidR="00866C63" w:rsidRDefault="00866C63">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71510C"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F1F7D"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Dónde:</w:t>
            </w:r>
          </w:p>
        </w:tc>
      </w:tr>
      <w:tr w:rsidR="00866C63" w14:paraId="1F070BE1"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B01CFC"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54D4DA"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678DA"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866C63" w14:paraId="6190FA8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5F718E" w14:textId="77777777" w:rsidR="00866C63" w:rsidRDefault="00866C6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9444FB"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71657"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señalará el nombre del área del cual es titular quien clasifica.</w:t>
            </w:r>
          </w:p>
        </w:tc>
      </w:tr>
      <w:tr w:rsidR="00866C63" w14:paraId="560B0F6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E898C4" w14:textId="77777777" w:rsidR="00866C63" w:rsidRDefault="00866C6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94AC2"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F5A6C0"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866C63" w14:paraId="18937F0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9F135" w14:textId="77777777" w:rsidR="00866C63" w:rsidRDefault="00866C6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7201E"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82300"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866C63" w14:paraId="14EEB54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7C388E" w14:textId="77777777" w:rsidR="00866C63" w:rsidRDefault="00866C6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28EB4"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9779D"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866C63" w14:paraId="716E831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D265B" w14:textId="77777777" w:rsidR="00866C63" w:rsidRDefault="00866C6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5486D"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84F7E"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866C63" w14:paraId="03E9DD8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70B67" w14:textId="77777777" w:rsidR="00866C63" w:rsidRDefault="00866C6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D3B5F"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8B73E4"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Rúbrica autógrafa o firma digital de quien clasifica.</w:t>
            </w:r>
          </w:p>
        </w:tc>
      </w:tr>
      <w:tr w:rsidR="00866C63" w14:paraId="5F8D9C1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E35204" w14:textId="77777777" w:rsidR="00866C63" w:rsidRDefault="00866C6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E271D"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F5E34"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la fecha en que se desclasifica el documento.</w:t>
            </w:r>
          </w:p>
        </w:tc>
      </w:tr>
      <w:tr w:rsidR="00866C63" w14:paraId="51BCC6D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AB4A0C" w14:textId="77777777" w:rsidR="00866C63" w:rsidRDefault="00866C6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4480B6" w14:textId="77777777" w:rsidR="00866C63" w:rsidRDefault="00062E12">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0A6B22" w14:textId="77777777" w:rsidR="00866C63" w:rsidRDefault="00062E12">
            <w:pPr>
              <w:pBdr>
                <w:top w:val="nil"/>
                <w:left w:val="nil"/>
                <w:bottom w:val="nil"/>
                <w:right w:val="nil"/>
                <w:between w:val="nil"/>
              </w:pBdr>
              <w:jc w:val="both"/>
              <w:rPr>
                <w:color w:val="000000"/>
              </w:rPr>
            </w:pPr>
            <w:r>
              <w:rPr>
                <w:rFonts w:ascii="Palatino Linotype" w:eastAsia="Palatino Linotype" w:hAnsi="Palatino Linotype" w:cs="Palatino Linotype"/>
                <w:i/>
                <w:color w:val="000000"/>
              </w:rPr>
              <w:t>Rúbrica autógrafa o firma digital de quien desclasifica.</w:t>
            </w:r>
          </w:p>
        </w:tc>
      </w:tr>
      <w:tr w:rsidR="00866C63" w14:paraId="001FE470"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56852" w14:textId="77777777" w:rsidR="00866C63" w:rsidRDefault="00866C63">
            <w:pPr>
              <w:widowControl w:val="0"/>
              <w:pBdr>
                <w:top w:val="nil"/>
                <w:left w:val="nil"/>
                <w:bottom w:val="nil"/>
                <w:right w:val="nil"/>
                <w:between w:val="nil"/>
              </w:pBdr>
              <w:spacing w:line="276" w:lineRule="auto"/>
              <w:rPr>
                <w:color w:val="000000"/>
              </w:rPr>
            </w:pPr>
          </w:p>
        </w:tc>
      </w:tr>
    </w:tbl>
    <w:p w14:paraId="628B5D93" w14:textId="77777777" w:rsidR="00866C63" w:rsidRDefault="00866C63">
      <w:pPr>
        <w:pBdr>
          <w:top w:val="nil"/>
          <w:left w:val="nil"/>
          <w:bottom w:val="nil"/>
          <w:right w:val="nil"/>
          <w:between w:val="nil"/>
        </w:pBdr>
        <w:ind w:right="709"/>
        <w:jc w:val="both"/>
        <w:rPr>
          <w:rFonts w:ascii="Palatino Linotype" w:eastAsia="Palatino Linotype" w:hAnsi="Palatino Linotype" w:cs="Palatino Linotype"/>
          <w:i/>
          <w:color w:val="000000"/>
        </w:rPr>
      </w:pPr>
    </w:p>
    <w:p w14:paraId="1791B5C9" w14:textId="77777777" w:rsidR="00866C63" w:rsidRDefault="00062E1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BF798AA" w14:textId="77777777" w:rsidR="00866C63" w:rsidRDefault="00062E12">
      <w:pPr>
        <w:pBdr>
          <w:top w:val="nil"/>
          <w:left w:val="nil"/>
          <w:bottom w:val="nil"/>
          <w:right w:val="nil"/>
          <w:between w:val="nil"/>
        </w:pBd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Pr>
          <w:rFonts w:ascii="Palatino Linotype" w:eastAsia="Palatino Linotype" w:hAnsi="Palatino Linotype" w:cs="Palatino Linotype"/>
          <w:i/>
          <w:color w:val="000000"/>
          <w:sz w:val="22"/>
          <w:szCs w:val="22"/>
        </w:rPr>
        <w:t>testado</w:t>
      </w:r>
      <w:proofErr w:type="spellEnd"/>
      <w:r>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Pr>
          <w:rFonts w:ascii="Palatino Linotype" w:eastAsia="Palatino Linotype" w:hAnsi="Palatino Linotype" w:cs="Palatino Linotype"/>
          <w:sz w:val="22"/>
          <w:szCs w:val="22"/>
        </w:rPr>
        <w:t>.</w:t>
      </w:r>
    </w:p>
    <w:p w14:paraId="74A897E2" w14:textId="77777777" w:rsidR="00866C63" w:rsidRDefault="00866C63">
      <w:pPr>
        <w:spacing w:line="360" w:lineRule="auto"/>
        <w:jc w:val="both"/>
        <w:rPr>
          <w:rFonts w:ascii="Palatino Linotype" w:eastAsia="Palatino Linotype" w:hAnsi="Palatino Linotype" w:cs="Palatino Linotype"/>
          <w:color w:val="FF0000"/>
        </w:rPr>
      </w:pPr>
    </w:p>
    <w:p w14:paraId="02D7A90C"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267CF339" w14:textId="77777777" w:rsidR="00866C63" w:rsidRDefault="00866C63">
      <w:pPr>
        <w:spacing w:line="360" w:lineRule="auto"/>
        <w:jc w:val="both"/>
        <w:rPr>
          <w:rFonts w:ascii="Palatino Linotype" w:eastAsia="Palatino Linotype" w:hAnsi="Palatino Linotype" w:cs="Palatino Linotype"/>
          <w:sz w:val="24"/>
          <w:szCs w:val="24"/>
        </w:rPr>
      </w:pPr>
    </w:p>
    <w:p w14:paraId="228B9E97" w14:textId="77777777" w:rsidR="00866C63" w:rsidRDefault="00062E12">
      <w:pPr>
        <w:shd w:val="clear" w:color="auto" w:fill="FFFFFF"/>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Pr>
          <w:rFonts w:ascii="Palatino Linotype" w:eastAsia="Palatino Linotype" w:hAnsi="Palatino Linotype" w:cs="Palatino Linotype"/>
          <w:sz w:val="24"/>
          <w:szCs w:val="24"/>
        </w:rPr>
        <w:lastRenderedPageBreak/>
        <w:t xml:space="preserve">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w:t>
      </w:r>
    </w:p>
    <w:p w14:paraId="614FB8E8"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A758302" w14:textId="77777777" w:rsidR="00866C63" w:rsidRDefault="00866C63">
      <w:pPr>
        <w:spacing w:line="360" w:lineRule="auto"/>
        <w:jc w:val="both"/>
        <w:rPr>
          <w:rFonts w:ascii="Palatino Linotype" w:eastAsia="Palatino Linotype" w:hAnsi="Palatino Linotype" w:cs="Palatino Linotype"/>
          <w:sz w:val="24"/>
          <w:szCs w:val="24"/>
        </w:rPr>
      </w:pPr>
    </w:p>
    <w:p w14:paraId="192FBEB1"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w:t>
      </w:r>
      <w:r>
        <w:rPr>
          <w:rFonts w:ascii="Palatino Linotype" w:eastAsia="Palatino Linotype" w:hAnsi="Palatino Linotype" w:cs="Palatino Linotype"/>
          <w:color w:val="000000"/>
          <w:sz w:val="24"/>
          <w:szCs w:val="24"/>
        </w:rPr>
        <w:t>párrafos 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de la Ley de Transparencia y Acceso a la Información Pública del Estado de México y Municipios, este Pleno:</w:t>
      </w:r>
    </w:p>
    <w:p w14:paraId="57B35368" w14:textId="77777777" w:rsidR="00866C63" w:rsidRDefault="00866C63">
      <w:pPr>
        <w:spacing w:line="360" w:lineRule="auto"/>
        <w:jc w:val="both"/>
        <w:rPr>
          <w:rFonts w:ascii="Palatino Linotype" w:eastAsia="Palatino Linotype" w:hAnsi="Palatino Linotype" w:cs="Palatino Linotype"/>
          <w:sz w:val="24"/>
          <w:szCs w:val="24"/>
        </w:rPr>
      </w:pPr>
    </w:p>
    <w:p w14:paraId="1593A516" w14:textId="77777777" w:rsidR="00866C63" w:rsidRDefault="00062E12">
      <w:pPr>
        <w:spacing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5C30EA79" w14:textId="77777777" w:rsidR="00866C63" w:rsidRDefault="00866C63">
      <w:pPr>
        <w:spacing w:line="360" w:lineRule="auto"/>
        <w:ind w:right="-93"/>
        <w:jc w:val="center"/>
        <w:rPr>
          <w:rFonts w:ascii="Palatino Linotype" w:eastAsia="Palatino Linotype" w:hAnsi="Palatino Linotype" w:cs="Palatino Linotype"/>
          <w:b/>
          <w:sz w:val="24"/>
          <w:szCs w:val="24"/>
        </w:rPr>
      </w:pPr>
    </w:p>
    <w:p w14:paraId="5BA0079C" w14:textId="77777777" w:rsidR="00866C63" w:rsidRDefault="00062E12">
      <w:pPr>
        <w:spacing w:line="360" w:lineRule="auto"/>
        <w:jc w:val="both"/>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fundados los motivos de inconformidad hechos valer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02849/INFOEM/IP/RR/2023,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color w:val="000000"/>
          <w:sz w:val="24"/>
          <w:szCs w:val="24"/>
        </w:rPr>
        <w:t xml:space="preserve">REVOCA </w:t>
      </w:r>
      <w:r>
        <w:rPr>
          <w:rFonts w:ascii="Palatino Linotype" w:eastAsia="Palatino Linotype" w:hAnsi="Palatino Linotype" w:cs="Palatino Linotype"/>
          <w:sz w:val="24"/>
          <w:szCs w:val="24"/>
        </w:rPr>
        <w:t xml:space="preserve">la respuesta emitida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2550DBD7" w14:textId="77777777" w:rsidR="00866C63" w:rsidRDefault="00866C63">
      <w:pPr>
        <w:spacing w:line="360" w:lineRule="auto"/>
        <w:jc w:val="both"/>
        <w:rPr>
          <w:rFonts w:ascii="Palatino Linotype" w:eastAsia="Palatino Linotype" w:hAnsi="Palatino Linotype" w:cs="Palatino Linotype"/>
          <w:sz w:val="24"/>
          <w:szCs w:val="24"/>
        </w:rPr>
      </w:pPr>
    </w:p>
    <w:p w14:paraId="2A0E9DB9" w14:textId="77777777" w:rsidR="00866C63" w:rsidRDefault="00062E12">
      <w:pPr>
        <w:spacing w:line="360" w:lineRule="auto"/>
        <w:jc w:val="both"/>
        <w:rPr>
          <w:rFonts w:ascii="Palatino Linotype" w:eastAsia="Palatino Linotype" w:hAnsi="Palatino Linotype" w:cs="Palatino Linotype"/>
          <w:sz w:val="24"/>
          <w:szCs w:val="24"/>
        </w:rPr>
      </w:pPr>
      <w:bookmarkStart w:id="0" w:name="_heading=h.kelgs2428oa6" w:colFirst="0" w:colLast="0"/>
      <w:bookmarkEnd w:id="0"/>
      <w:r>
        <w:rPr>
          <w:rFonts w:ascii="Palatino Linotype" w:eastAsia="Palatino Linotype" w:hAnsi="Palatino Linotype" w:cs="Palatino Linotype"/>
          <w:b/>
          <w:sz w:val="24"/>
          <w:szCs w:val="24"/>
        </w:rPr>
        <w:lastRenderedPageBreak/>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del Consideran</w:t>
      </w:r>
      <w:r>
        <w:rPr>
          <w:rFonts w:ascii="Palatino Linotype" w:eastAsia="Palatino Linotype" w:hAnsi="Palatino Linotype" w:cs="Palatino Linotype"/>
          <w:color w:val="000000"/>
          <w:sz w:val="24"/>
          <w:szCs w:val="24"/>
        </w:rPr>
        <w:t>do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de esta resolución, haga entrega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en versión pública de lo siguiente:</w:t>
      </w:r>
    </w:p>
    <w:p w14:paraId="0DC59B26" w14:textId="77777777" w:rsidR="00866C63" w:rsidRDefault="00866C63">
      <w:pPr>
        <w:spacing w:line="360" w:lineRule="auto"/>
        <w:jc w:val="both"/>
        <w:rPr>
          <w:rFonts w:ascii="Palatino Linotype" w:eastAsia="Palatino Linotype" w:hAnsi="Palatino Linotype" w:cs="Palatino Linotype"/>
          <w:sz w:val="24"/>
          <w:szCs w:val="24"/>
        </w:rPr>
      </w:pPr>
    </w:p>
    <w:p w14:paraId="70DDCB95" w14:textId="77777777" w:rsidR="00866C63" w:rsidRDefault="00062E1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Contrato entregado en informe justificado. </w:t>
      </w:r>
    </w:p>
    <w:p w14:paraId="07D7F79D" w14:textId="77777777" w:rsidR="00866C63" w:rsidRDefault="00062E1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Documento donde conste el tipo de procedimiento de adquisición o adjudicación y el contrato correspondiente a la adquisición de combustible, que en su caso </w:t>
      </w:r>
      <w:proofErr w:type="gramStart"/>
      <w:r>
        <w:rPr>
          <w:rFonts w:ascii="Palatino Linotype" w:eastAsia="Palatino Linotype" w:hAnsi="Palatino Linotype" w:cs="Palatino Linotype"/>
          <w:color w:val="000000"/>
          <w:sz w:val="24"/>
          <w:szCs w:val="24"/>
        </w:rPr>
        <w:t>se  haya</w:t>
      </w:r>
      <w:proofErr w:type="gramEnd"/>
      <w:r>
        <w:rPr>
          <w:rFonts w:ascii="Palatino Linotype" w:eastAsia="Palatino Linotype" w:hAnsi="Palatino Linotype" w:cs="Palatino Linotype"/>
          <w:color w:val="000000"/>
          <w:sz w:val="24"/>
          <w:szCs w:val="24"/>
        </w:rPr>
        <w:t xml:space="preserve"> celebrado del primero de enero de dos mil veintitrés al dieciséis de mayo de dos mil veintitrés. </w:t>
      </w:r>
    </w:p>
    <w:p w14:paraId="0342E57B" w14:textId="77777777" w:rsidR="00866C63" w:rsidRDefault="00062E1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Documento en el que conste la dispersión de combustible, del dieciséis de mayo de dos mil veintidós al dieciséis de mayo de dos mil veintitrés.</w:t>
      </w:r>
    </w:p>
    <w:p w14:paraId="386A4FF0" w14:textId="77777777" w:rsidR="00866C63" w:rsidRDefault="00866C63">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61898321" w14:textId="77777777" w:rsidR="00866C63" w:rsidRDefault="00062E12">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73786AC4" w14:textId="77777777" w:rsidR="00866C63" w:rsidRDefault="00866C63">
      <w:pPr>
        <w:pBdr>
          <w:top w:val="nil"/>
          <w:left w:val="nil"/>
          <w:bottom w:val="nil"/>
          <w:right w:val="nil"/>
          <w:between w:val="nil"/>
        </w:pBdr>
        <w:spacing w:line="276" w:lineRule="auto"/>
        <w:jc w:val="both"/>
        <w:rPr>
          <w:rFonts w:ascii="Palatino Linotype" w:eastAsia="Palatino Linotype" w:hAnsi="Palatino Linotype" w:cs="Palatino Linotype"/>
          <w:i/>
          <w:color w:val="000000"/>
        </w:rPr>
      </w:pPr>
    </w:p>
    <w:p w14:paraId="6DA4E2FA" w14:textId="77777777" w:rsidR="00866C63" w:rsidRDefault="00062E12">
      <w:pPr>
        <w:spacing w:line="276"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el supuesto que la información ordenada en el punto 2) no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69A481BC" w14:textId="77777777" w:rsidR="00866C63" w:rsidRDefault="00866C63">
      <w:pPr>
        <w:spacing w:line="360" w:lineRule="auto"/>
        <w:jc w:val="both"/>
        <w:rPr>
          <w:rFonts w:ascii="Palatino Linotype" w:eastAsia="Palatino Linotype" w:hAnsi="Palatino Linotype" w:cs="Palatino Linotype"/>
          <w:color w:val="000000"/>
          <w:sz w:val="24"/>
          <w:szCs w:val="24"/>
        </w:rPr>
      </w:pPr>
    </w:p>
    <w:p w14:paraId="6711FF4F"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vía SAIMEX, </w:t>
      </w:r>
      <w:r>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Pr>
          <w:rFonts w:ascii="Palatino Linotype" w:eastAsia="Palatino Linotype" w:hAnsi="Palatino Linotype" w:cs="Palatino Linotype"/>
          <w:sz w:val="24"/>
          <w:szCs w:val="24"/>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87C56C3" w14:textId="77777777" w:rsidR="00866C63" w:rsidRDefault="00866C63">
      <w:pPr>
        <w:spacing w:line="360" w:lineRule="auto"/>
        <w:jc w:val="both"/>
        <w:rPr>
          <w:rFonts w:ascii="Palatino Linotype" w:eastAsia="Palatino Linotype" w:hAnsi="Palatino Linotype" w:cs="Palatino Linotype"/>
          <w:sz w:val="24"/>
          <w:szCs w:val="24"/>
        </w:rPr>
      </w:pPr>
    </w:p>
    <w:p w14:paraId="1519413F"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4E8CF87" w14:textId="77777777" w:rsidR="00866C63" w:rsidRDefault="00866C6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bookmarkStart w:id="1" w:name="_heading=h.30j0zll" w:colFirst="0" w:colLast="0"/>
      <w:bookmarkEnd w:id="1"/>
    </w:p>
    <w:p w14:paraId="726E2603"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Notifíquese vía SAIMEX,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06B5353C" w14:textId="77777777" w:rsidR="00866C63" w:rsidRDefault="00866C63">
      <w:pPr>
        <w:spacing w:line="360" w:lineRule="auto"/>
        <w:jc w:val="both"/>
        <w:rPr>
          <w:rFonts w:ascii="Palatino Linotype" w:eastAsia="Palatino Linotype" w:hAnsi="Palatino Linotype" w:cs="Palatino Linotype"/>
          <w:sz w:val="24"/>
          <w:szCs w:val="24"/>
        </w:rPr>
      </w:pPr>
      <w:bookmarkStart w:id="2" w:name="_heading=h.gjdgxs" w:colFirst="0" w:colLast="0"/>
      <w:bookmarkEnd w:id="2"/>
    </w:p>
    <w:p w14:paraId="70C7E0E3" w14:textId="77777777" w:rsidR="00866C63" w:rsidRDefault="00062E1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w:t>
      </w:r>
      <w:r>
        <w:rPr>
          <w:rFonts w:ascii="Palatino Linotype" w:eastAsia="Palatino Linotype" w:hAnsi="Palatino Linotype" w:cs="Palatino Linotype"/>
          <w:sz w:val="24"/>
          <w:szCs w:val="24"/>
        </w:rPr>
        <w:lastRenderedPageBreak/>
        <w:t xml:space="preserve">CELEBRADA EL SEIS DE DICIEMBRE DE DOS MIL VEINTITRÉS, ANTE EL SECRETARIO TÉCNICO DEL PLENO ALEXIS TAPIA RAMÍREZ. </w:t>
      </w:r>
    </w:p>
    <w:bookmarkStart w:id="3" w:name="_heading=h.1fob9te" w:colFirst="0" w:colLast="0"/>
    <w:bookmarkEnd w:id="3"/>
    <w:p w14:paraId="3F0B571B" w14:textId="288546BA" w:rsidR="00866C63" w:rsidRDefault="00DB0960">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1BF71415" wp14:editId="31808D17">
                <wp:simplePos x="0" y="0"/>
                <wp:positionH relativeFrom="column">
                  <wp:posOffset>359559</wp:posOffset>
                </wp:positionH>
                <wp:positionV relativeFrom="paragraph">
                  <wp:posOffset>311784</wp:posOffset>
                </wp:positionV>
                <wp:extent cx="5252936" cy="6381345"/>
                <wp:effectExtent l="0" t="0" r="24130" b="19685"/>
                <wp:wrapNone/>
                <wp:docPr id="1" name="Conector recto 1"/>
                <wp:cNvGraphicFramePr/>
                <a:graphic xmlns:a="http://schemas.openxmlformats.org/drawingml/2006/main">
                  <a:graphicData uri="http://schemas.microsoft.com/office/word/2010/wordprocessingShape">
                    <wps:wsp>
                      <wps:cNvCnPr/>
                      <wps:spPr>
                        <a:xfrm>
                          <a:off x="0" y="0"/>
                          <a:ext cx="5252936" cy="6381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673B2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3pt,24.55pt" to="441.9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" strokecolor="#5b9bd5 [3204]" strokeweight=".5pt">
                <v:stroke joinstyle="miter"/>
              </v:line>
            </w:pict>
          </mc:Fallback>
        </mc:AlternateContent>
      </w:r>
    </w:p>
    <w:p w14:paraId="31197D5A" w14:textId="7BFF9F6F" w:rsidR="00866C63" w:rsidRDefault="00866C63">
      <w:pPr>
        <w:spacing w:line="360" w:lineRule="auto"/>
        <w:jc w:val="both"/>
        <w:rPr>
          <w:rFonts w:ascii="Palatino Linotype" w:eastAsia="Palatino Linotype" w:hAnsi="Palatino Linotype" w:cs="Palatino Linotype"/>
          <w:sz w:val="24"/>
          <w:szCs w:val="24"/>
        </w:rPr>
      </w:pPr>
    </w:p>
    <w:p w14:paraId="18945E43" w14:textId="0EF0EA6A" w:rsidR="00DB0960" w:rsidRDefault="00DB0960">
      <w:pPr>
        <w:spacing w:line="360" w:lineRule="auto"/>
        <w:jc w:val="both"/>
        <w:rPr>
          <w:rFonts w:ascii="Palatino Linotype" w:eastAsia="Palatino Linotype" w:hAnsi="Palatino Linotype" w:cs="Palatino Linotype"/>
          <w:sz w:val="24"/>
          <w:szCs w:val="24"/>
        </w:rPr>
      </w:pPr>
    </w:p>
    <w:p w14:paraId="4B5D8F37" w14:textId="5F4C1F59" w:rsidR="00DB0960" w:rsidRDefault="00DB0960">
      <w:pPr>
        <w:spacing w:line="360" w:lineRule="auto"/>
        <w:jc w:val="both"/>
        <w:rPr>
          <w:rFonts w:ascii="Palatino Linotype" w:eastAsia="Palatino Linotype" w:hAnsi="Palatino Linotype" w:cs="Palatino Linotype"/>
          <w:sz w:val="24"/>
          <w:szCs w:val="24"/>
        </w:rPr>
      </w:pPr>
    </w:p>
    <w:p w14:paraId="065B8888" w14:textId="00916BCD" w:rsidR="00DB0960" w:rsidRDefault="00DB0960">
      <w:pPr>
        <w:spacing w:line="360" w:lineRule="auto"/>
        <w:jc w:val="both"/>
        <w:rPr>
          <w:rFonts w:ascii="Palatino Linotype" w:eastAsia="Palatino Linotype" w:hAnsi="Palatino Linotype" w:cs="Palatino Linotype"/>
          <w:sz w:val="24"/>
          <w:szCs w:val="24"/>
        </w:rPr>
      </w:pPr>
    </w:p>
    <w:p w14:paraId="65E15942" w14:textId="112A2541" w:rsidR="00DB0960" w:rsidRDefault="00DB0960">
      <w:pPr>
        <w:spacing w:line="360" w:lineRule="auto"/>
        <w:jc w:val="both"/>
        <w:rPr>
          <w:rFonts w:ascii="Palatino Linotype" w:eastAsia="Palatino Linotype" w:hAnsi="Palatino Linotype" w:cs="Palatino Linotype"/>
          <w:sz w:val="24"/>
          <w:szCs w:val="24"/>
        </w:rPr>
      </w:pPr>
    </w:p>
    <w:p w14:paraId="18E3D940" w14:textId="78122D49" w:rsidR="00DB0960" w:rsidRDefault="00DB0960">
      <w:pPr>
        <w:spacing w:line="360" w:lineRule="auto"/>
        <w:jc w:val="both"/>
        <w:rPr>
          <w:rFonts w:ascii="Palatino Linotype" w:eastAsia="Palatino Linotype" w:hAnsi="Palatino Linotype" w:cs="Palatino Linotype"/>
          <w:sz w:val="24"/>
          <w:szCs w:val="24"/>
        </w:rPr>
      </w:pPr>
    </w:p>
    <w:p w14:paraId="6C603CD5" w14:textId="430AA633" w:rsidR="00DB0960" w:rsidRDefault="00DB0960">
      <w:pPr>
        <w:spacing w:line="360" w:lineRule="auto"/>
        <w:jc w:val="both"/>
        <w:rPr>
          <w:rFonts w:ascii="Palatino Linotype" w:eastAsia="Palatino Linotype" w:hAnsi="Palatino Linotype" w:cs="Palatino Linotype"/>
          <w:sz w:val="24"/>
          <w:szCs w:val="24"/>
        </w:rPr>
      </w:pPr>
    </w:p>
    <w:p w14:paraId="0A96BEE2" w14:textId="54259B19" w:rsidR="00DB0960" w:rsidRDefault="00DB0960">
      <w:pPr>
        <w:spacing w:line="360" w:lineRule="auto"/>
        <w:jc w:val="both"/>
        <w:rPr>
          <w:rFonts w:ascii="Palatino Linotype" w:eastAsia="Palatino Linotype" w:hAnsi="Palatino Linotype" w:cs="Palatino Linotype"/>
          <w:sz w:val="24"/>
          <w:szCs w:val="24"/>
        </w:rPr>
      </w:pPr>
    </w:p>
    <w:p w14:paraId="41BBF45C" w14:textId="629A44F0" w:rsidR="00DB0960" w:rsidRDefault="00DB0960">
      <w:pPr>
        <w:spacing w:line="360" w:lineRule="auto"/>
        <w:jc w:val="both"/>
        <w:rPr>
          <w:rFonts w:ascii="Palatino Linotype" w:eastAsia="Palatino Linotype" w:hAnsi="Palatino Linotype" w:cs="Palatino Linotype"/>
          <w:sz w:val="24"/>
          <w:szCs w:val="24"/>
        </w:rPr>
      </w:pPr>
    </w:p>
    <w:p w14:paraId="53538B05" w14:textId="470924DE" w:rsidR="00DB0960" w:rsidRDefault="00DB0960">
      <w:pPr>
        <w:spacing w:line="360" w:lineRule="auto"/>
        <w:jc w:val="both"/>
        <w:rPr>
          <w:rFonts w:ascii="Palatino Linotype" w:eastAsia="Palatino Linotype" w:hAnsi="Palatino Linotype" w:cs="Palatino Linotype"/>
          <w:sz w:val="24"/>
          <w:szCs w:val="24"/>
        </w:rPr>
      </w:pPr>
    </w:p>
    <w:p w14:paraId="44D8419F" w14:textId="375A5CF6" w:rsidR="00DB0960" w:rsidRDefault="00DB0960">
      <w:pPr>
        <w:spacing w:line="360" w:lineRule="auto"/>
        <w:jc w:val="both"/>
        <w:rPr>
          <w:rFonts w:ascii="Palatino Linotype" w:eastAsia="Palatino Linotype" w:hAnsi="Palatino Linotype" w:cs="Palatino Linotype"/>
          <w:sz w:val="24"/>
          <w:szCs w:val="24"/>
        </w:rPr>
      </w:pPr>
    </w:p>
    <w:p w14:paraId="20AD07EF" w14:textId="29162901" w:rsidR="00DB0960" w:rsidRDefault="00DB0960">
      <w:pPr>
        <w:spacing w:line="360" w:lineRule="auto"/>
        <w:jc w:val="both"/>
        <w:rPr>
          <w:rFonts w:ascii="Palatino Linotype" w:eastAsia="Palatino Linotype" w:hAnsi="Palatino Linotype" w:cs="Palatino Linotype"/>
          <w:sz w:val="24"/>
          <w:szCs w:val="24"/>
        </w:rPr>
      </w:pPr>
    </w:p>
    <w:p w14:paraId="522FC249" w14:textId="0D3D49D5" w:rsidR="00DB0960" w:rsidRDefault="00DB0960">
      <w:pPr>
        <w:spacing w:line="360" w:lineRule="auto"/>
        <w:jc w:val="both"/>
        <w:rPr>
          <w:rFonts w:ascii="Palatino Linotype" w:eastAsia="Palatino Linotype" w:hAnsi="Palatino Linotype" w:cs="Palatino Linotype"/>
          <w:sz w:val="24"/>
          <w:szCs w:val="24"/>
        </w:rPr>
      </w:pPr>
    </w:p>
    <w:p w14:paraId="034625A8" w14:textId="351F5721" w:rsidR="00DB0960" w:rsidRDefault="00DB0960">
      <w:pPr>
        <w:spacing w:line="360" w:lineRule="auto"/>
        <w:jc w:val="both"/>
        <w:rPr>
          <w:rFonts w:ascii="Palatino Linotype" w:eastAsia="Palatino Linotype" w:hAnsi="Palatino Linotype" w:cs="Palatino Linotype"/>
          <w:sz w:val="24"/>
          <w:szCs w:val="24"/>
        </w:rPr>
      </w:pPr>
    </w:p>
    <w:p w14:paraId="0E5E5034" w14:textId="5337A2BF" w:rsidR="00DB0960" w:rsidRDefault="00DB0960">
      <w:pPr>
        <w:spacing w:line="360" w:lineRule="auto"/>
        <w:jc w:val="both"/>
        <w:rPr>
          <w:rFonts w:ascii="Palatino Linotype" w:eastAsia="Palatino Linotype" w:hAnsi="Palatino Linotype" w:cs="Palatino Linotype"/>
          <w:sz w:val="24"/>
          <w:szCs w:val="24"/>
        </w:rPr>
      </w:pPr>
    </w:p>
    <w:p w14:paraId="186B5AA5" w14:textId="69813CF0" w:rsidR="00DB0960" w:rsidRDefault="00DB0960">
      <w:pPr>
        <w:spacing w:line="360" w:lineRule="auto"/>
        <w:jc w:val="both"/>
        <w:rPr>
          <w:rFonts w:ascii="Palatino Linotype" w:eastAsia="Palatino Linotype" w:hAnsi="Palatino Linotype" w:cs="Palatino Linotype"/>
          <w:sz w:val="24"/>
          <w:szCs w:val="24"/>
        </w:rPr>
      </w:pPr>
    </w:p>
    <w:p w14:paraId="1E0BAA97" w14:textId="409C2FCF" w:rsidR="00DB0960" w:rsidRDefault="00DB0960">
      <w:pPr>
        <w:spacing w:line="360" w:lineRule="auto"/>
        <w:jc w:val="both"/>
        <w:rPr>
          <w:rFonts w:ascii="Palatino Linotype" w:eastAsia="Palatino Linotype" w:hAnsi="Palatino Linotype" w:cs="Palatino Linotype"/>
          <w:sz w:val="24"/>
          <w:szCs w:val="24"/>
        </w:rPr>
      </w:pPr>
    </w:p>
    <w:p w14:paraId="42E2E095" w14:textId="14CE7971" w:rsidR="00DB0960" w:rsidRDefault="00DB0960">
      <w:pPr>
        <w:spacing w:line="360" w:lineRule="auto"/>
        <w:jc w:val="both"/>
        <w:rPr>
          <w:rFonts w:ascii="Palatino Linotype" w:eastAsia="Palatino Linotype" w:hAnsi="Palatino Linotype" w:cs="Palatino Linotype"/>
          <w:sz w:val="24"/>
          <w:szCs w:val="24"/>
        </w:rPr>
      </w:pPr>
    </w:p>
    <w:p w14:paraId="50159833" w14:textId="677CC68C" w:rsidR="00DB0960" w:rsidRDefault="00DB0960">
      <w:pPr>
        <w:spacing w:line="360" w:lineRule="auto"/>
        <w:jc w:val="both"/>
        <w:rPr>
          <w:rFonts w:ascii="Palatino Linotype" w:eastAsia="Palatino Linotype" w:hAnsi="Palatino Linotype" w:cs="Palatino Linotype"/>
          <w:sz w:val="24"/>
          <w:szCs w:val="24"/>
        </w:rPr>
      </w:pPr>
    </w:p>
    <w:p w14:paraId="38D9E9E3" w14:textId="1AEE7B10" w:rsidR="00DB0960" w:rsidRDefault="00DB0960">
      <w:pPr>
        <w:spacing w:line="360" w:lineRule="auto"/>
        <w:jc w:val="both"/>
        <w:rPr>
          <w:rFonts w:ascii="Palatino Linotype" w:eastAsia="Palatino Linotype" w:hAnsi="Palatino Linotype" w:cs="Palatino Linotype"/>
          <w:sz w:val="24"/>
          <w:szCs w:val="24"/>
        </w:rPr>
      </w:pPr>
    </w:p>
    <w:p w14:paraId="49F3E73C" w14:textId="2CFABB25" w:rsidR="00DB0960" w:rsidRDefault="00DB0960">
      <w:pPr>
        <w:spacing w:line="360" w:lineRule="auto"/>
        <w:jc w:val="both"/>
        <w:rPr>
          <w:rFonts w:ascii="Palatino Linotype" w:eastAsia="Palatino Linotype" w:hAnsi="Palatino Linotype" w:cs="Palatino Linotype"/>
          <w:sz w:val="24"/>
          <w:szCs w:val="24"/>
        </w:rPr>
      </w:pPr>
    </w:p>
    <w:p w14:paraId="29EA45D2" w14:textId="1B8558CA" w:rsidR="00DB0960" w:rsidRDefault="00DB0960">
      <w:pPr>
        <w:spacing w:line="360" w:lineRule="auto"/>
        <w:jc w:val="both"/>
        <w:rPr>
          <w:rFonts w:ascii="Palatino Linotype" w:eastAsia="Palatino Linotype" w:hAnsi="Palatino Linotype" w:cs="Palatino Linotype"/>
          <w:sz w:val="24"/>
          <w:szCs w:val="24"/>
        </w:rPr>
      </w:pPr>
    </w:p>
    <w:p w14:paraId="65AC0C81" w14:textId="1468A9E0" w:rsidR="00DB0960" w:rsidRDefault="00DB0960">
      <w:pPr>
        <w:spacing w:line="360" w:lineRule="auto"/>
        <w:jc w:val="both"/>
        <w:rPr>
          <w:rFonts w:ascii="Palatino Linotype" w:eastAsia="Palatino Linotype" w:hAnsi="Palatino Linotype" w:cs="Palatino Linotype"/>
          <w:sz w:val="24"/>
          <w:szCs w:val="24"/>
        </w:rPr>
      </w:pPr>
    </w:p>
    <w:p w14:paraId="0E49B744" w14:textId="3D086AB8" w:rsidR="00DB0960" w:rsidRDefault="00DB0960">
      <w:pPr>
        <w:spacing w:line="360" w:lineRule="auto"/>
        <w:jc w:val="both"/>
        <w:rPr>
          <w:rFonts w:ascii="Palatino Linotype" w:eastAsia="Palatino Linotype" w:hAnsi="Palatino Linotype" w:cs="Palatino Linotype"/>
          <w:sz w:val="24"/>
          <w:szCs w:val="24"/>
        </w:rPr>
      </w:pPr>
    </w:p>
    <w:p w14:paraId="06F2E578" w14:textId="77777777" w:rsidR="00DB0960" w:rsidRDefault="00DB0960">
      <w:pPr>
        <w:spacing w:line="360" w:lineRule="auto"/>
        <w:jc w:val="both"/>
        <w:rPr>
          <w:rFonts w:ascii="Palatino Linotype" w:eastAsia="Palatino Linotype" w:hAnsi="Palatino Linotype" w:cs="Palatino Linotype"/>
          <w:sz w:val="24"/>
          <w:szCs w:val="24"/>
        </w:rPr>
      </w:pPr>
    </w:p>
    <w:sectPr w:rsidR="00DB0960">
      <w:headerReference w:type="default" r:id="rId14"/>
      <w:footerReference w:type="default" r:id="rId15"/>
      <w:headerReference w:type="first" r:id="rId16"/>
      <w:footerReference w:type="first" r:id="rId1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628AD" w14:textId="77777777" w:rsidR="00062E12" w:rsidRDefault="00062E12">
      <w:r>
        <w:separator/>
      </w:r>
    </w:p>
  </w:endnote>
  <w:endnote w:type="continuationSeparator" w:id="0">
    <w:p w14:paraId="3FAC241E" w14:textId="77777777" w:rsidR="00062E12" w:rsidRDefault="00062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F633" w14:textId="77777777" w:rsidR="00866C63" w:rsidRDefault="00062E12">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b/>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DB0960">
      <w:rPr>
        <w:rFonts w:ascii="Palatino Linotype" w:eastAsia="Palatino Linotype" w:hAnsi="Palatino Linotype" w:cs="Palatino Linotype"/>
        <w:b/>
        <w:noProof/>
        <w:color w:val="000000"/>
      </w:rPr>
      <w:t>2</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DB0960">
      <w:rPr>
        <w:rFonts w:ascii="Palatino Linotype" w:eastAsia="Palatino Linotype" w:hAnsi="Palatino Linotype" w:cs="Palatino Linotype"/>
        <w:b/>
        <w:noProof/>
        <w:color w:val="000000"/>
      </w:rPr>
      <w:t>2</w:t>
    </w:r>
    <w:r>
      <w:rPr>
        <w:rFonts w:ascii="Palatino Linotype" w:eastAsia="Palatino Linotype" w:hAnsi="Palatino Linotype" w:cs="Palatino Linotype"/>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3B0D" w14:textId="77777777" w:rsidR="00866C63" w:rsidRDefault="00062E1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DB0960">
      <w:rPr>
        <w:rFonts w:ascii="Palatino Linotype" w:eastAsia="Palatino Linotype" w:hAnsi="Palatino Linotype" w:cs="Palatino Linotype"/>
        <w:b/>
        <w:noProof/>
        <w:color w:val="000000"/>
      </w:rPr>
      <w:t>1</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DB0960">
      <w:rPr>
        <w:rFonts w:ascii="Palatino Linotype" w:eastAsia="Palatino Linotype" w:hAnsi="Palatino Linotype" w:cs="Palatino Linotype"/>
        <w:b/>
        <w:noProof/>
        <w:color w:val="000000"/>
      </w:rPr>
      <w:t>2</w:t>
    </w:r>
    <w:r>
      <w:rPr>
        <w:rFonts w:ascii="Palatino Linotype" w:eastAsia="Palatino Linotype" w:hAnsi="Palatino Linotype" w:cs="Palatino Linotype"/>
        <w:b/>
        <w:color w:val="000000"/>
      </w:rPr>
      <w:fldChar w:fldCharType="end"/>
    </w:r>
  </w:p>
  <w:p w14:paraId="5E952A54" w14:textId="77777777" w:rsidR="00866C63" w:rsidRDefault="00866C6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C3278" w14:textId="77777777" w:rsidR="00062E12" w:rsidRDefault="00062E12">
      <w:r>
        <w:separator/>
      </w:r>
    </w:p>
  </w:footnote>
  <w:footnote w:type="continuationSeparator" w:id="0">
    <w:p w14:paraId="310C31F4" w14:textId="77777777" w:rsidR="00062E12" w:rsidRDefault="00062E12">
      <w:r>
        <w:continuationSeparator/>
      </w:r>
    </w:p>
  </w:footnote>
  <w:footnote w:id="1">
    <w:p w14:paraId="1812C450" w14:textId="77777777" w:rsidR="00866C63" w:rsidRDefault="00062E12">
      <w:pPr>
        <w:pBdr>
          <w:top w:val="nil"/>
          <w:left w:val="nil"/>
          <w:bottom w:val="nil"/>
          <w:right w:val="nil"/>
          <w:between w:val="nil"/>
        </w:pBdr>
        <w:rPr>
          <w:color w:val="000000"/>
        </w:rPr>
      </w:pPr>
      <w:r>
        <w:rPr>
          <w:vertAlign w:val="superscript"/>
        </w:rPr>
        <w:footnoteRef/>
      </w:r>
      <w:r>
        <w:rPr>
          <w:color w:val="00000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rPr>
        <w:t xml:space="preserve"> (…)</w:t>
      </w:r>
    </w:p>
  </w:footnote>
  <w:footnote w:id="2">
    <w:p w14:paraId="2301F33A" w14:textId="77777777" w:rsidR="00866C63" w:rsidRDefault="00062E1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CDCBA76" w14:textId="77777777" w:rsidR="00866C63" w:rsidRDefault="00062E12">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AE9F1CB" w14:textId="77777777" w:rsidR="00866C63" w:rsidRDefault="00062E12">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5BEDEA09" w14:textId="77777777" w:rsidR="00866C63" w:rsidRDefault="00062E12">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1384DAF" w14:textId="77777777" w:rsidR="00866C63" w:rsidRDefault="00062E12">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B58E" w14:textId="77777777" w:rsidR="00866C63" w:rsidRDefault="00866C63">
    <w:pPr>
      <w:widowControl w:val="0"/>
      <w:pBdr>
        <w:top w:val="nil"/>
        <w:left w:val="nil"/>
        <w:bottom w:val="nil"/>
        <w:right w:val="nil"/>
        <w:between w:val="nil"/>
      </w:pBdr>
      <w:spacing w:line="276" w:lineRule="auto"/>
      <w:rPr>
        <w:color w:val="000000"/>
      </w:rPr>
    </w:pPr>
  </w:p>
  <w:tbl>
    <w:tblPr>
      <w:tblStyle w:val="a3"/>
      <w:tblW w:w="10273" w:type="dxa"/>
      <w:tblInd w:w="-1281" w:type="dxa"/>
      <w:tblLayout w:type="fixed"/>
      <w:tblLook w:val="0400" w:firstRow="0" w:lastRow="0" w:firstColumn="0" w:lastColumn="0" w:noHBand="0" w:noVBand="1"/>
    </w:tblPr>
    <w:tblGrid>
      <w:gridCol w:w="5716"/>
      <w:gridCol w:w="4557"/>
    </w:tblGrid>
    <w:tr w:rsidR="00866C63" w14:paraId="22046DFF" w14:textId="77777777">
      <w:trPr>
        <w:trHeight w:val="246"/>
      </w:trPr>
      <w:tc>
        <w:tcPr>
          <w:tcW w:w="5716" w:type="dxa"/>
        </w:tcPr>
        <w:p w14:paraId="5833EFC3" w14:textId="77777777" w:rsidR="00866C63" w:rsidRDefault="00062E1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5B81EA40" w14:textId="77777777" w:rsidR="00866C63" w:rsidRDefault="00062E1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02849/INFOEM/IP/RR/2023.</w:t>
          </w:r>
        </w:p>
      </w:tc>
    </w:tr>
    <w:tr w:rsidR="00866C63" w14:paraId="09DD2544" w14:textId="77777777">
      <w:trPr>
        <w:trHeight w:val="212"/>
      </w:trPr>
      <w:tc>
        <w:tcPr>
          <w:tcW w:w="5716" w:type="dxa"/>
        </w:tcPr>
        <w:p w14:paraId="1EFC93D3" w14:textId="77777777" w:rsidR="00866C63" w:rsidRDefault="00062E1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5ABFC45E" w14:textId="77777777" w:rsidR="00866C63" w:rsidRDefault="00866C63">
          <w:pPr>
            <w:spacing w:after="120"/>
            <w:ind w:left="-486" w:right="214" w:firstLine="567"/>
            <w:jc w:val="right"/>
            <w:rPr>
              <w:rFonts w:ascii="Palatino Linotype" w:eastAsia="Palatino Linotype" w:hAnsi="Palatino Linotype" w:cs="Palatino Linotype"/>
              <w:sz w:val="24"/>
              <w:szCs w:val="24"/>
            </w:rPr>
          </w:pPr>
        </w:p>
      </w:tc>
    </w:tr>
    <w:tr w:rsidR="00866C63" w14:paraId="0934EAFE" w14:textId="77777777">
      <w:trPr>
        <w:trHeight w:val="264"/>
      </w:trPr>
      <w:tc>
        <w:tcPr>
          <w:tcW w:w="5716" w:type="dxa"/>
        </w:tcPr>
        <w:p w14:paraId="03EB5063" w14:textId="77777777" w:rsidR="00866C63" w:rsidRDefault="00062E12">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75779FA8" w14:textId="77777777" w:rsidR="00866C63" w:rsidRDefault="00062E12">
          <w:pPr>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Xalatlaco.</w:t>
          </w:r>
        </w:p>
      </w:tc>
    </w:tr>
    <w:tr w:rsidR="00866C63" w14:paraId="38C14878" w14:textId="77777777">
      <w:trPr>
        <w:trHeight w:val="373"/>
      </w:trPr>
      <w:tc>
        <w:tcPr>
          <w:tcW w:w="5716" w:type="dxa"/>
        </w:tcPr>
        <w:p w14:paraId="4E27C899" w14:textId="77777777" w:rsidR="00866C63" w:rsidRDefault="00062E1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67476381" w14:textId="77777777" w:rsidR="00866C63" w:rsidRDefault="00062E1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A06000E" w14:textId="77777777" w:rsidR="00866C63" w:rsidRDefault="00062E12">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26BFD6C7" wp14:editId="289F608B">
          <wp:simplePos x="0" y="0"/>
          <wp:positionH relativeFrom="column">
            <wp:posOffset>-1080134</wp:posOffset>
          </wp:positionH>
          <wp:positionV relativeFrom="paragraph">
            <wp:posOffset>-1359534</wp:posOffset>
          </wp:positionV>
          <wp:extent cx="7353300" cy="8658225"/>
          <wp:effectExtent l="0" t="0" r="0" b="0"/>
          <wp:wrapNone/>
          <wp:docPr id="4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683C" w14:textId="77777777" w:rsidR="00866C63" w:rsidRDefault="00866C6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2"/>
      <w:tblW w:w="10273" w:type="dxa"/>
      <w:tblInd w:w="-1281" w:type="dxa"/>
      <w:tblLayout w:type="fixed"/>
      <w:tblLook w:val="0400" w:firstRow="0" w:lastRow="0" w:firstColumn="0" w:lastColumn="0" w:noHBand="0" w:noVBand="1"/>
    </w:tblPr>
    <w:tblGrid>
      <w:gridCol w:w="5716"/>
      <w:gridCol w:w="4557"/>
    </w:tblGrid>
    <w:tr w:rsidR="00866C63" w14:paraId="1BCC0B12" w14:textId="77777777">
      <w:trPr>
        <w:trHeight w:val="246"/>
      </w:trPr>
      <w:tc>
        <w:tcPr>
          <w:tcW w:w="5716" w:type="dxa"/>
        </w:tcPr>
        <w:p w14:paraId="44E4B6CA" w14:textId="77777777" w:rsidR="00866C63" w:rsidRDefault="00062E1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154539EE" w14:textId="77777777" w:rsidR="00866C63" w:rsidRDefault="00062E1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02849/INFOEM/IP/RR/2023.</w:t>
          </w:r>
        </w:p>
      </w:tc>
    </w:tr>
    <w:tr w:rsidR="00866C63" w14:paraId="517834FF" w14:textId="77777777">
      <w:trPr>
        <w:trHeight w:val="212"/>
      </w:trPr>
      <w:tc>
        <w:tcPr>
          <w:tcW w:w="5716" w:type="dxa"/>
        </w:tcPr>
        <w:p w14:paraId="7DD1806F" w14:textId="77777777" w:rsidR="00866C63" w:rsidRDefault="00062E1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69392CCA" w14:textId="5CDE65B2" w:rsidR="00866C63" w:rsidRDefault="006F3C0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XXXXXXXXX XXXXXXXX</w:t>
          </w:r>
          <w:r w:rsidR="00062E12">
            <w:rPr>
              <w:rFonts w:ascii="Palatino Linotype" w:eastAsia="Palatino Linotype" w:hAnsi="Palatino Linotype" w:cs="Palatino Linotype"/>
              <w:sz w:val="24"/>
              <w:szCs w:val="24"/>
            </w:rPr>
            <w:t>X</w:t>
          </w:r>
          <w:r>
            <w:rPr>
              <w:rFonts w:ascii="Palatino Linotype" w:eastAsia="Palatino Linotype" w:hAnsi="Palatino Linotype" w:cs="Palatino Linotype"/>
              <w:sz w:val="24"/>
              <w:szCs w:val="24"/>
            </w:rPr>
            <w:t xml:space="preserve"> XXXXXXXXX</w:t>
          </w:r>
          <w:r w:rsidR="00062E12">
            <w:rPr>
              <w:rFonts w:ascii="Palatino Linotype" w:eastAsia="Palatino Linotype" w:hAnsi="Palatino Linotype" w:cs="Palatino Linotype"/>
              <w:sz w:val="24"/>
              <w:szCs w:val="24"/>
            </w:rPr>
            <w:t>.</w:t>
          </w:r>
        </w:p>
      </w:tc>
    </w:tr>
    <w:tr w:rsidR="00866C63" w14:paraId="4D511177" w14:textId="77777777">
      <w:trPr>
        <w:trHeight w:val="264"/>
      </w:trPr>
      <w:tc>
        <w:tcPr>
          <w:tcW w:w="5716" w:type="dxa"/>
        </w:tcPr>
        <w:p w14:paraId="0B95FEE5" w14:textId="77777777" w:rsidR="00866C63" w:rsidRDefault="00062E12">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14604C05" w14:textId="77777777" w:rsidR="00866C63" w:rsidRDefault="00062E12">
          <w:pPr>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Xalatlaco.</w:t>
          </w:r>
        </w:p>
      </w:tc>
    </w:tr>
    <w:tr w:rsidR="00866C63" w14:paraId="2B2B35F2" w14:textId="77777777">
      <w:trPr>
        <w:trHeight w:val="373"/>
      </w:trPr>
      <w:tc>
        <w:tcPr>
          <w:tcW w:w="5716" w:type="dxa"/>
        </w:tcPr>
        <w:p w14:paraId="3A17DE2B" w14:textId="77777777" w:rsidR="00866C63" w:rsidRDefault="00062E1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40B2EC97" w14:textId="77777777" w:rsidR="00866C63" w:rsidRDefault="00062E1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3C15DA1" w14:textId="77777777" w:rsidR="00866C63" w:rsidRDefault="00062E12">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9264" behindDoc="1" locked="0" layoutInCell="1" hidden="0" allowOverlap="1" wp14:anchorId="05477C95" wp14:editId="22830991">
          <wp:simplePos x="0" y="0"/>
          <wp:positionH relativeFrom="column">
            <wp:posOffset>-693419</wp:posOffset>
          </wp:positionH>
          <wp:positionV relativeFrom="paragraph">
            <wp:posOffset>-1390649</wp:posOffset>
          </wp:positionV>
          <wp:extent cx="7353300" cy="8658225"/>
          <wp:effectExtent l="0" t="0" r="0" b="0"/>
          <wp:wrapNone/>
          <wp:docPr id="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100A"/>
    <w:multiLevelType w:val="multilevel"/>
    <w:tmpl w:val="17B4A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500001"/>
    <w:multiLevelType w:val="multilevel"/>
    <w:tmpl w:val="A1AA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BAF5E20"/>
    <w:multiLevelType w:val="multilevel"/>
    <w:tmpl w:val="75B6243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D834EB"/>
    <w:multiLevelType w:val="multilevel"/>
    <w:tmpl w:val="9E58434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1C124C"/>
    <w:multiLevelType w:val="multilevel"/>
    <w:tmpl w:val="3EFA6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AF5889"/>
    <w:multiLevelType w:val="multilevel"/>
    <w:tmpl w:val="B16C10F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9D7639"/>
    <w:multiLevelType w:val="multilevel"/>
    <w:tmpl w:val="78DE78F4"/>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404B46"/>
    <w:multiLevelType w:val="multilevel"/>
    <w:tmpl w:val="E6DC4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7"/>
  </w:num>
  <w:num w:numId="3">
    <w:abstractNumId w:val="2"/>
  </w:num>
  <w:num w:numId="4">
    <w:abstractNumId w:val="4"/>
  </w:num>
  <w:num w:numId="5">
    <w:abstractNumId w:val="0"/>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63"/>
    <w:rsid w:val="00062E12"/>
    <w:rsid w:val="006F3C0D"/>
    <w:rsid w:val="00866C63"/>
    <w:rsid w:val="00DB09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57AD8"/>
  <w15:docId w15:val="{722BF6F1-F59E-4C85-A12A-1E0EAA9A9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77"/>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E803AF"/>
    <w:pPr>
      <w:tabs>
        <w:tab w:val="center" w:pos="4419"/>
        <w:tab w:val="right" w:pos="8838"/>
      </w:tabs>
    </w:pPr>
  </w:style>
  <w:style w:type="character" w:customStyle="1" w:styleId="EncabezadoCar">
    <w:name w:val="Encabezado Car"/>
    <w:basedOn w:val="Fuentedeprrafopredeter"/>
    <w:link w:val="Encabezado"/>
    <w:uiPriority w:val="99"/>
    <w:rsid w:val="00E803AF"/>
  </w:style>
  <w:style w:type="paragraph" w:styleId="Piedepgina">
    <w:name w:val="footer"/>
    <w:basedOn w:val="Normal"/>
    <w:link w:val="PiedepginaCar"/>
    <w:uiPriority w:val="99"/>
    <w:unhideWhenUsed/>
    <w:rsid w:val="00E803AF"/>
    <w:pPr>
      <w:tabs>
        <w:tab w:val="center" w:pos="4419"/>
        <w:tab w:val="right" w:pos="8838"/>
      </w:tabs>
    </w:pPr>
  </w:style>
  <w:style w:type="character" w:customStyle="1" w:styleId="PiedepginaCar">
    <w:name w:val="Pie de página Car"/>
    <w:basedOn w:val="Fuentedeprrafopredeter"/>
    <w:link w:val="Piedepgina"/>
    <w:uiPriority w:val="99"/>
    <w:rsid w:val="00E803A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814BD"/>
    <w:pPr>
      <w:ind w:left="720"/>
      <w:contextualSpacing/>
    </w:pPr>
  </w:style>
  <w:style w:type="character" w:customStyle="1" w:styleId="d">
    <w:name w:val="d"/>
    <w:basedOn w:val="Fuentedeprrafopredeter"/>
    <w:rsid w:val="00274074"/>
  </w:style>
  <w:style w:type="character" w:customStyle="1" w:styleId="b">
    <w:name w:val="b"/>
    <w:basedOn w:val="Fuentedeprrafopredeter"/>
    <w:rsid w:val="00274074"/>
  </w:style>
  <w:style w:type="character" w:customStyle="1" w:styleId="h">
    <w:name w:val="h"/>
    <w:basedOn w:val="Fuentedeprrafopredeter"/>
    <w:rsid w:val="00274074"/>
  </w:style>
  <w:style w:type="character" w:styleId="Hipervnculo">
    <w:name w:val="Hyperlink"/>
    <w:basedOn w:val="Fuentedeprrafopredeter"/>
    <w:uiPriority w:val="99"/>
    <w:unhideWhenUsed/>
    <w:rsid w:val="00B10C17"/>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C41377"/>
    <w:rPr>
      <w:rFonts w:ascii="Calibri" w:eastAsia="Calibri" w:hAnsi="Calibri" w:cs="Calibri"/>
      <w:lang w:eastAsia="es-MX"/>
    </w:rPr>
  </w:style>
  <w:style w:type="paragraph" w:styleId="NormalWeb">
    <w:name w:val="Normal (Web)"/>
    <w:basedOn w:val="Normal"/>
    <w:uiPriority w:val="99"/>
    <w:rsid w:val="002F23F4"/>
    <w:pPr>
      <w:spacing w:before="100" w:beforeAutospacing="1" w:after="100" w:afterAutospacing="1"/>
    </w:pPr>
    <w:rPr>
      <w:sz w:val="24"/>
      <w:szCs w:val="24"/>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ae.es/drae2001/dispersi%C3%B3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1ek/e4URSragb+BeEuD2+Wb4PA==">CgMxLjAyDmgua2VsZ3MyNDI4b2E2MgloLjMwajB6bGwyCGguZ2pkZ3hzMgloLjFmb2I5dGU4AHIhMUpvNV84MHptNEpOLWk4TTlDM2N5YTVySEsxRUs4cksz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14115</Words>
  <Characters>77633</Characters>
  <Application>Microsoft Office Word</Application>
  <DocSecurity>0</DocSecurity>
  <Lines>646</Lines>
  <Paragraphs>183</Paragraphs>
  <ScaleCrop>false</ScaleCrop>
  <Company/>
  <LinksUpToDate>false</LinksUpToDate>
  <CharactersWithSpaces>91565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2023-12-08T16:53:00Z</cp:lastPrinted>
  <dcterms:created xsi:type="dcterms:W3CDTF">2023-12-19T23:37:00Z</dcterms:created>
  <dcterms:modified xsi:type="dcterms:W3CDTF">2023-12-19T23:37:00Z</dcterms:modified>
</cp:coreProperties>
</file>