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B8A38" w14:textId="77777777" w:rsidR="000B72AC" w:rsidRPr="000612A7" w:rsidRDefault="00F53D96">
      <w:pPr>
        <w:spacing w:before="240" w:after="240" w:line="360" w:lineRule="auto"/>
        <w:jc w:val="both"/>
        <w:rPr>
          <w:rFonts w:ascii="Palatino Linotype" w:eastAsia="Palatino Linotype" w:hAnsi="Palatino Linotype" w:cs="Palatino Linotype"/>
        </w:rPr>
      </w:pPr>
      <w:bookmarkStart w:id="0" w:name="_GoBack"/>
      <w:bookmarkEnd w:id="0"/>
      <w:r w:rsidRPr="000612A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dieciocho de enero del dos mil veintitrés. </w:t>
      </w:r>
    </w:p>
    <w:p w14:paraId="28224D87"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Visto</w:t>
      </w:r>
      <w:r w:rsidRPr="000612A7">
        <w:rPr>
          <w:rFonts w:ascii="Palatino Linotype" w:eastAsia="Palatino Linotype" w:hAnsi="Palatino Linotype" w:cs="Palatino Linotype"/>
        </w:rPr>
        <w:t xml:space="preserve"> el expediente relativo al recurso de revisión </w:t>
      </w:r>
      <w:r w:rsidRPr="000612A7">
        <w:rPr>
          <w:rFonts w:ascii="Palatino Linotype" w:eastAsia="Palatino Linotype" w:hAnsi="Palatino Linotype" w:cs="Palatino Linotype"/>
          <w:b/>
        </w:rPr>
        <w:t>13769/INFOEM/IP/RR/2022,</w:t>
      </w:r>
      <w:r w:rsidRPr="000612A7">
        <w:rPr>
          <w:rFonts w:ascii="Palatino Linotype" w:eastAsia="Palatino Linotype" w:hAnsi="Palatino Linotype" w:cs="Palatino Linotype"/>
        </w:rPr>
        <w:t xml:space="preserve"> interpuesto </w:t>
      </w:r>
      <w:r w:rsidRPr="000612A7">
        <w:rPr>
          <w:rFonts w:ascii="Palatino Linotype" w:eastAsia="Palatino Linotype" w:hAnsi="Palatino Linotype" w:cs="Palatino Linotype"/>
          <w:b/>
        </w:rPr>
        <w:t>un particular que no proporcionó su nombre</w:t>
      </w:r>
      <w:r w:rsidRPr="000612A7">
        <w:rPr>
          <w:rFonts w:ascii="Palatino Linotype" w:eastAsia="Palatino Linotype" w:hAnsi="Palatino Linotype" w:cs="Palatino Linotype"/>
        </w:rPr>
        <w:t xml:space="preserve">, en lo sucesivo el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en contra de la respuesta a su solicitud de información con número de folio </w:t>
      </w:r>
      <w:r w:rsidRPr="000612A7">
        <w:rPr>
          <w:rFonts w:ascii="Palatino Linotype" w:eastAsia="Palatino Linotype" w:hAnsi="Palatino Linotype" w:cs="Palatino Linotype"/>
          <w:b/>
        </w:rPr>
        <w:t>00315/SMA/IP/2022,</w:t>
      </w:r>
      <w:r w:rsidRPr="000612A7">
        <w:rPr>
          <w:rFonts w:ascii="Palatino Linotype" w:eastAsia="Palatino Linotype" w:hAnsi="Palatino Linotype" w:cs="Palatino Linotype"/>
        </w:rPr>
        <w:t xml:space="preserve"> por parte de la </w:t>
      </w:r>
      <w:r w:rsidRPr="000612A7">
        <w:rPr>
          <w:rFonts w:ascii="Palatino Linotype" w:eastAsia="Palatino Linotype" w:hAnsi="Palatino Linotype" w:cs="Palatino Linotype"/>
          <w:b/>
        </w:rPr>
        <w:t>Secretaría del Medio Ambiente,</w:t>
      </w:r>
      <w:r w:rsidRPr="000612A7">
        <w:rPr>
          <w:rFonts w:ascii="Palatino Linotype" w:eastAsia="Palatino Linotype" w:hAnsi="Palatino Linotype" w:cs="Palatino Linotype"/>
        </w:rPr>
        <w:t xml:space="preserve"> en lo sucesivo el </w:t>
      </w:r>
      <w:r w:rsidRPr="000612A7">
        <w:rPr>
          <w:rFonts w:ascii="Palatino Linotype" w:eastAsia="Palatino Linotype" w:hAnsi="Palatino Linotype" w:cs="Palatino Linotype"/>
          <w:b/>
        </w:rPr>
        <w:t xml:space="preserve">SUJETO OBLIGADO; </w:t>
      </w:r>
      <w:r w:rsidRPr="000612A7">
        <w:rPr>
          <w:rFonts w:ascii="Palatino Linotype" w:eastAsia="Palatino Linotype" w:hAnsi="Palatino Linotype" w:cs="Palatino Linotype"/>
        </w:rPr>
        <w:t>se procede a dictar la presente resolución, con base en los siguientes:</w:t>
      </w:r>
    </w:p>
    <w:p w14:paraId="4704FCF3" w14:textId="77777777" w:rsidR="000B72AC" w:rsidRPr="000612A7" w:rsidRDefault="00F53D96">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0612A7">
        <w:rPr>
          <w:rFonts w:ascii="Palatino Linotype" w:eastAsia="Palatino Linotype" w:hAnsi="Palatino Linotype" w:cs="Palatino Linotype"/>
          <w:b/>
          <w:sz w:val="22"/>
          <w:szCs w:val="22"/>
        </w:rPr>
        <w:t>A N T E C E D E N T E S:</w:t>
      </w:r>
    </w:p>
    <w:p w14:paraId="2568C601" w14:textId="77777777" w:rsidR="000B72AC" w:rsidRPr="000612A7" w:rsidRDefault="00F53D96">
      <w:pPr>
        <w:spacing w:before="240" w:after="240" w:line="360" w:lineRule="auto"/>
        <w:jc w:val="both"/>
        <w:rPr>
          <w:rFonts w:ascii="Palatino Linotype" w:eastAsia="Palatino Linotype" w:hAnsi="Palatino Linotype" w:cs="Palatino Linotype"/>
          <w:b/>
        </w:rPr>
      </w:pPr>
      <w:r w:rsidRPr="000612A7">
        <w:rPr>
          <w:rFonts w:ascii="Palatino Linotype" w:eastAsia="Palatino Linotype" w:hAnsi="Palatino Linotype" w:cs="Palatino Linotype"/>
          <w:b/>
        </w:rPr>
        <w:t xml:space="preserve">1. Solicitud de acceso a la información. </w:t>
      </w:r>
      <w:r w:rsidRPr="000612A7">
        <w:rPr>
          <w:rFonts w:ascii="Palatino Linotype" w:eastAsia="Palatino Linotype" w:hAnsi="Palatino Linotype" w:cs="Palatino Linotype"/>
        </w:rPr>
        <w:t xml:space="preserve">Con fecha tres de agosto del dos mil veintidós, la parte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formuló solicitud de acceso a información pública al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a través del Sistema de Acceso a la Información Mexiquense, en adelante </w:t>
      </w:r>
      <w:r w:rsidRPr="000612A7">
        <w:rPr>
          <w:rFonts w:ascii="Palatino Linotype" w:eastAsia="Palatino Linotype" w:hAnsi="Palatino Linotype" w:cs="Palatino Linotype"/>
          <w:b/>
        </w:rPr>
        <w:t>SAIMEX,</w:t>
      </w:r>
      <w:r w:rsidRPr="000612A7">
        <w:rPr>
          <w:rFonts w:ascii="Palatino Linotype" w:eastAsia="Palatino Linotype" w:hAnsi="Palatino Linotype" w:cs="Palatino Linotype"/>
        </w:rPr>
        <w:t xml:space="preserve"> requiriéndole lo siguiente:</w:t>
      </w:r>
    </w:p>
    <w:p w14:paraId="3F80D208" w14:textId="77777777" w:rsidR="000B72AC" w:rsidRPr="000612A7" w:rsidRDefault="00F53D96">
      <w:pPr>
        <w:spacing w:before="240" w:after="240"/>
        <w:ind w:left="851" w:right="90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“solicito el listado de los lugares de estacionamiento al interior de la secretaria en </w:t>
      </w:r>
      <w:proofErr w:type="spellStart"/>
      <w:r w:rsidRPr="000612A7">
        <w:rPr>
          <w:rFonts w:ascii="Palatino Linotype" w:eastAsia="Palatino Linotype" w:hAnsi="Palatino Linotype" w:cs="Palatino Linotype"/>
          <w:i/>
          <w:sz w:val="22"/>
          <w:szCs w:val="22"/>
        </w:rPr>
        <w:t>metepec</w:t>
      </w:r>
      <w:proofErr w:type="spellEnd"/>
      <w:r w:rsidRPr="000612A7">
        <w:rPr>
          <w:rFonts w:ascii="Palatino Linotype" w:eastAsia="Palatino Linotype" w:hAnsi="Palatino Linotype" w:cs="Palatino Linotype"/>
          <w:i/>
          <w:sz w:val="22"/>
          <w:szCs w:val="22"/>
        </w:rPr>
        <w:t xml:space="preserve"> y en </w:t>
      </w:r>
      <w:proofErr w:type="spellStart"/>
      <w:r w:rsidRPr="000612A7">
        <w:rPr>
          <w:rFonts w:ascii="Palatino Linotype" w:eastAsia="Palatino Linotype" w:hAnsi="Palatino Linotype" w:cs="Palatino Linotype"/>
          <w:i/>
          <w:sz w:val="22"/>
          <w:szCs w:val="22"/>
        </w:rPr>
        <w:t>tlanepantla</w:t>
      </w:r>
      <w:proofErr w:type="spellEnd"/>
      <w:r w:rsidRPr="000612A7">
        <w:rPr>
          <w:rFonts w:ascii="Palatino Linotype" w:eastAsia="Palatino Linotype" w:hAnsi="Palatino Linotype" w:cs="Palatino Linotype"/>
          <w:i/>
          <w:sz w:val="22"/>
          <w:szCs w:val="22"/>
        </w:rPr>
        <w:t xml:space="preserve">, que </w:t>
      </w:r>
      <w:proofErr w:type="spellStart"/>
      <w:r w:rsidRPr="000612A7">
        <w:rPr>
          <w:rFonts w:ascii="Palatino Linotype" w:eastAsia="Palatino Linotype" w:hAnsi="Palatino Linotype" w:cs="Palatino Linotype"/>
          <w:i/>
          <w:sz w:val="22"/>
          <w:szCs w:val="22"/>
        </w:rPr>
        <w:t>vehiculo</w:t>
      </w:r>
      <w:proofErr w:type="spellEnd"/>
      <w:r w:rsidRPr="000612A7">
        <w:rPr>
          <w:rFonts w:ascii="Palatino Linotype" w:eastAsia="Palatino Linotype" w:hAnsi="Palatino Linotype" w:cs="Palatino Linotype"/>
          <w:i/>
          <w:sz w:val="22"/>
          <w:szCs w:val="22"/>
        </w:rPr>
        <w:t xml:space="preserve">, marca modelo </w:t>
      </w:r>
      <w:proofErr w:type="spellStart"/>
      <w:r w:rsidRPr="000612A7">
        <w:rPr>
          <w:rFonts w:ascii="Palatino Linotype" w:eastAsia="Palatino Linotype" w:hAnsi="Palatino Linotype" w:cs="Palatino Linotype"/>
          <w:i/>
          <w:sz w:val="22"/>
          <w:szCs w:val="22"/>
        </w:rPr>
        <w:t>quein</w:t>
      </w:r>
      <w:proofErr w:type="spellEnd"/>
      <w:r w:rsidRPr="000612A7">
        <w:rPr>
          <w:rFonts w:ascii="Palatino Linotype" w:eastAsia="Palatino Linotype" w:hAnsi="Palatino Linotype" w:cs="Palatino Linotype"/>
          <w:i/>
          <w:sz w:val="22"/>
          <w:szCs w:val="22"/>
        </w:rPr>
        <w:t xml:space="preserve"> lo tiene asignado el </w:t>
      </w:r>
      <w:proofErr w:type="spellStart"/>
      <w:r w:rsidRPr="000612A7">
        <w:rPr>
          <w:rFonts w:ascii="Palatino Linotype" w:eastAsia="Palatino Linotype" w:hAnsi="Palatino Linotype" w:cs="Palatino Linotype"/>
          <w:i/>
          <w:sz w:val="22"/>
          <w:szCs w:val="22"/>
        </w:rPr>
        <w:t>vehiculo</w:t>
      </w:r>
      <w:proofErr w:type="spellEnd"/>
      <w:r w:rsidRPr="000612A7">
        <w:rPr>
          <w:rFonts w:ascii="Palatino Linotype" w:eastAsia="Palatino Linotype" w:hAnsi="Palatino Linotype" w:cs="Palatino Linotype"/>
          <w:i/>
          <w:sz w:val="22"/>
          <w:szCs w:val="22"/>
        </w:rPr>
        <w:t xml:space="preserve"> y </w:t>
      </w:r>
      <w:proofErr w:type="spellStart"/>
      <w:r w:rsidRPr="000612A7">
        <w:rPr>
          <w:rFonts w:ascii="Palatino Linotype" w:eastAsia="Palatino Linotype" w:hAnsi="Palatino Linotype" w:cs="Palatino Linotype"/>
          <w:i/>
          <w:sz w:val="22"/>
          <w:szCs w:val="22"/>
        </w:rPr>
        <w:t>lugra</w:t>
      </w:r>
      <w:proofErr w:type="spellEnd"/>
      <w:r w:rsidRPr="000612A7">
        <w:rPr>
          <w:rFonts w:ascii="Palatino Linotype" w:eastAsia="Palatino Linotype" w:hAnsi="Palatino Linotype" w:cs="Palatino Linotype"/>
          <w:i/>
          <w:sz w:val="22"/>
          <w:szCs w:val="22"/>
        </w:rPr>
        <w:t xml:space="preserve"> de </w:t>
      </w:r>
      <w:proofErr w:type="spellStart"/>
      <w:r w:rsidRPr="000612A7">
        <w:rPr>
          <w:rFonts w:ascii="Palatino Linotype" w:eastAsia="Palatino Linotype" w:hAnsi="Palatino Linotype" w:cs="Palatino Linotype"/>
          <w:i/>
          <w:sz w:val="22"/>
          <w:szCs w:val="22"/>
        </w:rPr>
        <w:t>estaciionamiento</w:t>
      </w:r>
      <w:proofErr w:type="spellEnd"/>
      <w:r w:rsidRPr="000612A7">
        <w:rPr>
          <w:rFonts w:ascii="Palatino Linotype" w:eastAsia="Palatino Linotype" w:hAnsi="Palatino Linotype" w:cs="Palatino Linotype"/>
          <w:i/>
          <w:sz w:val="22"/>
          <w:szCs w:val="22"/>
        </w:rPr>
        <w:t>” (Sic)</w:t>
      </w:r>
    </w:p>
    <w:p w14:paraId="4C064330"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Modalidad elegida para la entrega de la información: </w:t>
      </w:r>
      <w:r w:rsidRPr="000612A7">
        <w:rPr>
          <w:rFonts w:ascii="Palatino Linotype" w:eastAsia="Palatino Linotype" w:hAnsi="Palatino Linotype" w:cs="Palatino Linotype"/>
        </w:rPr>
        <w:t xml:space="preserve">a través del </w:t>
      </w:r>
      <w:r w:rsidRPr="000612A7">
        <w:rPr>
          <w:rFonts w:ascii="Palatino Linotype" w:eastAsia="Palatino Linotype" w:hAnsi="Palatino Linotype" w:cs="Palatino Linotype"/>
          <w:b/>
        </w:rPr>
        <w:t>SAIMEX</w:t>
      </w:r>
      <w:r w:rsidRPr="000612A7">
        <w:rPr>
          <w:rFonts w:ascii="Palatino Linotype" w:eastAsia="Palatino Linotype" w:hAnsi="Palatino Linotype" w:cs="Palatino Linotype"/>
        </w:rPr>
        <w:t>.</w:t>
      </w:r>
    </w:p>
    <w:p w14:paraId="274C70D0"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lastRenderedPageBreak/>
        <w:t xml:space="preserve">2. Respuesta. </w:t>
      </w:r>
      <w:r w:rsidRPr="000612A7">
        <w:rPr>
          <w:rFonts w:ascii="Palatino Linotype" w:eastAsia="Palatino Linotype" w:hAnsi="Palatino Linotype" w:cs="Palatino Linotype"/>
        </w:rPr>
        <w:t xml:space="preserve">Con fecha veintitrés de agosto de dos mil veintidós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envió su respuesta a la solicitud de acceso a la información a través del SAIMEX, la cual versa como sigue:</w:t>
      </w:r>
    </w:p>
    <w:p w14:paraId="3A90B660" w14:textId="77777777" w:rsidR="000B72AC" w:rsidRPr="000612A7" w:rsidRDefault="00F53D96">
      <w:pPr>
        <w:spacing w:before="240"/>
        <w:ind w:left="851" w:right="90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B16068" w14:textId="77777777" w:rsidR="000B72AC" w:rsidRPr="000612A7" w:rsidRDefault="00F53D96">
      <w:pPr>
        <w:ind w:left="851" w:right="90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00315/SMA/IP/2022, por este medio se envía en archivo electrónico formato PDF, oficio 22100003000300S/1265/2022 de fecha 15 de agosto de 2022, emitido por la Coordinación Administrativa, mediante el cual da respuesta a lo requerido por el solicitante. Si se tuviese algún problema para descargarlo, favor de notificarlo al correo electrónico: medioambiente@itaipem.org.mx </w:t>
      </w:r>
    </w:p>
    <w:p w14:paraId="1BCC6653" w14:textId="77777777" w:rsidR="000B72AC" w:rsidRPr="000612A7" w:rsidRDefault="00F53D96">
      <w:pPr>
        <w:ind w:left="851" w:right="90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ATENTAMENTE</w:t>
      </w:r>
    </w:p>
    <w:p w14:paraId="0B7E5140" w14:textId="77777777" w:rsidR="000B72AC" w:rsidRPr="000612A7" w:rsidRDefault="00F53D96">
      <w:pPr>
        <w:ind w:left="851" w:right="90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LIC. JUAN JOSÉ ALVA SÁNCHEZ” (Sic)</w:t>
      </w:r>
    </w:p>
    <w:p w14:paraId="07FFC897" w14:textId="77777777" w:rsidR="000B72AC" w:rsidRPr="000612A7" w:rsidRDefault="000B72AC">
      <w:pPr>
        <w:ind w:left="851" w:right="902"/>
        <w:jc w:val="both"/>
        <w:rPr>
          <w:rFonts w:ascii="Palatino Linotype" w:eastAsia="Palatino Linotype" w:hAnsi="Palatino Linotype" w:cs="Palatino Linotype"/>
          <w:i/>
          <w:sz w:val="22"/>
          <w:szCs w:val="22"/>
        </w:rPr>
      </w:pPr>
    </w:p>
    <w:p w14:paraId="7ABEEF24" w14:textId="77777777" w:rsidR="000B72AC" w:rsidRPr="000612A7" w:rsidRDefault="00F53D96">
      <w:pPr>
        <w:spacing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adjuntó o a su respuesta el archivo electrónico denominado: </w:t>
      </w:r>
    </w:p>
    <w:p w14:paraId="09E93151"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w:t>
      </w:r>
      <w:hyperlink r:id="rId8">
        <w:r w:rsidRPr="000612A7">
          <w:rPr>
            <w:rFonts w:ascii="Palatino Linotype" w:eastAsia="Palatino Linotype" w:hAnsi="Palatino Linotype" w:cs="Palatino Linotype"/>
          </w:rPr>
          <w:t>1265 RESP AL FOL. 315 DEL SAIMEX.pdf</w:t>
        </w:r>
      </w:hyperlink>
      <w:r w:rsidRPr="000612A7">
        <w:rPr>
          <w:rFonts w:ascii="Palatino Linotype" w:eastAsia="Palatino Linotype" w:hAnsi="Palatino Linotype" w:cs="Palatino Linotype"/>
        </w:rPr>
        <w:t>”, por medio de la cual el Subdirector de administración del SUJETO OBLIGADO, informó que después de realizar una búsqueda minuciosa en los archivos de esa unidad, remitió el listado de los lugares de estacionamiento asignados a la Secretaría del Medio Ambiente, al interior del conjunto SEDAGRO en Metepec y en las oficinas arrendadas en el Municipio de Tlalnepantla, como se advierte a continuación en las siguientes imágenes que se insertan de manera ilustrativa:</w:t>
      </w:r>
    </w:p>
    <w:p w14:paraId="5215A001"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noProof/>
          <w:lang w:val="es-MX" w:eastAsia="es-MX"/>
        </w:rPr>
        <w:lastRenderedPageBreak/>
        <w:drawing>
          <wp:inline distT="0" distB="0" distL="0" distR="0" wp14:anchorId="7F297E53" wp14:editId="75E03A2C">
            <wp:extent cx="5660763" cy="7162006"/>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9602" t="22897" r="25448" b="5676"/>
                    <a:stretch>
                      <a:fillRect/>
                    </a:stretch>
                  </pic:blipFill>
                  <pic:spPr>
                    <a:xfrm>
                      <a:off x="0" y="0"/>
                      <a:ext cx="5660763" cy="7162006"/>
                    </a:xfrm>
                    <a:prstGeom prst="rect">
                      <a:avLst/>
                    </a:prstGeom>
                    <a:ln/>
                  </pic:spPr>
                </pic:pic>
              </a:graphicData>
            </a:graphic>
          </wp:inline>
        </w:drawing>
      </w:r>
    </w:p>
    <w:p w14:paraId="22A82D51" w14:textId="77777777" w:rsidR="000B72AC" w:rsidRPr="000612A7" w:rsidRDefault="00F53D96">
      <w:pPr>
        <w:spacing w:before="240" w:after="240" w:line="360" w:lineRule="auto"/>
        <w:jc w:val="both"/>
        <w:rPr>
          <w:rFonts w:ascii="Palatino Linotype" w:eastAsia="Palatino Linotype" w:hAnsi="Palatino Linotype" w:cs="Palatino Linotype"/>
          <w:b/>
        </w:rPr>
      </w:pPr>
      <w:r w:rsidRPr="000612A7">
        <w:rPr>
          <w:noProof/>
          <w:lang w:val="es-MX" w:eastAsia="es-MX"/>
        </w:rPr>
        <w:lastRenderedPageBreak/>
        <w:drawing>
          <wp:inline distT="0" distB="0" distL="0" distR="0" wp14:anchorId="3624AC49" wp14:editId="37F24190">
            <wp:extent cx="5611674" cy="7441316"/>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2341" t="30978" r="28488" b="1986"/>
                    <a:stretch>
                      <a:fillRect/>
                    </a:stretch>
                  </pic:blipFill>
                  <pic:spPr>
                    <a:xfrm>
                      <a:off x="0" y="0"/>
                      <a:ext cx="5611674" cy="7441316"/>
                    </a:xfrm>
                    <a:prstGeom prst="rect">
                      <a:avLst/>
                    </a:prstGeom>
                    <a:ln/>
                  </pic:spPr>
                </pic:pic>
              </a:graphicData>
            </a:graphic>
          </wp:inline>
        </w:drawing>
      </w:r>
    </w:p>
    <w:p w14:paraId="28DF45EF"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Finalmente indicó que la administración del estacionamiento que se encuentra al interior del conjunto SEDAGRO, en el municipio de Metepec, es administrado por la Secretaría del Campo del Gobierno del Estado de México.</w:t>
      </w:r>
    </w:p>
    <w:p w14:paraId="188A9C92"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3. Interposición del recurso de revisión. </w:t>
      </w:r>
      <w:r w:rsidRPr="000612A7">
        <w:rPr>
          <w:rFonts w:ascii="Palatino Linotype" w:eastAsia="Palatino Linotype" w:hAnsi="Palatino Linotype" w:cs="Palatino Linotype"/>
        </w:rPr>
        <w:t xml:space="preserve">Inconforme el solicitante con la respuesta del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interpuso recurso de revisión a través del SAIMEX en fecha veinticinco de agosto de dos mil veintidós, a través del cual expresó lo siguiente:</w:t>
      </w:r>
    </w:p>
    <w:p w14:paraId="18A5501A" w14:textId="77777777" w:rsidR="000B72AC" w:rsidRPr="000612A7" w:rsidRDefault="00F53D96">
      <w:pPr>
        <w:spacing w:line="360" w:lineRule="auto"/>
        <w:rPr>
          <w:rFonts w:ascii="Palatino Linotype" w:eastAsia="Palatino Linotype" w:hAnsi="Palatino Linotype" w:cs="Palatino Linotype"/>
          <w:b/>
        </w:rPr>
      </w:pPr>
      <w:r w:rsidRPr="000612A7">
        <w:rPr>
          <w:rFonts w:ascii="Palatino Linotype" w:eastAsia="Palatino Linotype" w:hAnsi="Palatino Linotype" w:cs="Palatino Linotype"/>
          <w:b/>
        </w:rPr>
        <w:t>a) Acto impugnado.</w:t>
      </w:r>
    </w:p>
    <w:p w14:paraId="18FEBEBA" w14:textId="77777777" w:rsidR="000B72AC" w:rsidRPr="000612A7" w:rsidRDefault="00F53D96">
      <w:pPr>
        <w:spacing w:after="240"/>
        <w:ind w:left="851" w:right="90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“me dieron </w:t>
      </w:r>
      <w:proofErr w:type="spellStart"/>
      <w:r w:rsidRPr="000612A7">
        <w:rPr>
          <w:rFonts w:ascii="Palatino Linotype" w:eastAsia="Palatino Linotype" w:hAnsi="Palatino Linotype" w:cs="Palatino Linotype"/>
          <w:i/>
          <w:sz w:val="22"/>
          <w:szCs w:val="22"/>
        </w:rPr>
        <w:t>informacin</w:t>
      </w:r>
      <w:proofErr w:type="spellEnd"/>
      <w:r w:rsidRPr="000612A7">
        <w:rPr>
          <w:rFonts w:ascii="Palatino Linotype" w:eastAsia="Palatino Linotype" w:hAnsi="Palatino Linotype" w:cs="Palatino Linotype"/>
          <w:i/>
          <w:sz w:val="22"/>
          <w:szCs w:val="22"/>
        </w:rPr>
        <w:t xml:space="preserve"> </w:t>
      </w:r>
      <w:proofErr w:type="spellStart"/>
      <w:r w:rsidRPr="000612A7">
        <w:rPr>
          <w:rFonts w:ascii="Palatino Linotype" w:eastAsia="Palatino Linotype" w:hAnsi="Palatino Linotype" w:cs="Palatino Linotype"/>
          <w:i/>
          <w:sz w:val="22"/>
          <w:szCs w:val="22"/>
        </w:rPr>
        <w:t>inmcompleta</w:t>
      </w:r>
      <w:proofErr w:type="spellEnd"/>
      <w:r w:rsidRPr="000612A7">
        <w:rPr>
          <w:rFonts w:ascii="Palatino Linotype" w:eastAsia="Palatino Linotype" w:hAnsi="Palatino Linotype" w:cs="Palatino Linotype"/>
          <w:i/>
          <w:sz w:val="22"/>
          <w:szCs w:val="22"/>
        </w:rPr>
        <w:t>” (Sic)</w:t>
      </w:r>
    </w:p>
    <w:p w14:paraId="7FE7B1C5" w14:textId="77777777" w:rsidR="000B72AC" w:rsidRPr="000612A7" w:rsidRDefault="00F53D96">
      <w:pPr>
        <w:spacing w:line="360" w:lineRule="auto"/>
        <w:jc w:val="both"/>
        <w:rPr>
          <w:rFonts w:ascii="Palatino Linotype" w:eastAsia="Palatino Linotype" w:hAnsi="Palatino Linotype" w:cs="Palatino Linotype"/>
          <w:b/>
        </w:rPr>
      </w:pPr>
      <w:r w:rsidRPr="000612A7">
        <w:rPr>
          <w:rFonts w:ascii="Palatino Linotype" w:eastAsia="Palatino Linotype" w:hAnsi="Palatino Linotype" w:cs="Palatino Linotype"/>
          <w:b/>
        </w:rPr>
        <w:t>b) Motivos de inconformidad.</w:t>
      </w:r>
    </w:p>
    <w:p w14:paraId="769BC85A" w14:textId="77777777" w:rsidR="000B72AC" w:rsidRPr="000612A7" w:rsidRDefault="00F53D96">
      <w:pPr>
        <w:spacing w:after="240"/>
        <w:ind w:left="851" w:right="90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“pregunto </w:t>
      </w:r>
      <w:proofErr w:type="spellStart"/>
      <w:r w:rsidRPr="000612A7">
        <w:rPr>
          <w:rFonts w:ascii="Palatino Linotype" w:eastAsia="Palatino Linotype" w:hAnsi="Palatino Linotype" w:cs="Palatino Linotype"/>
          <w:i/>
          <w:sz w:val="22"/>
          <w:szCs w:val="22"/>
        </w:rPr>
        <w:t>quien</w:t>
      </w:r>
      <w:proofErr w:type="spellEnd"/>
      <w:r w:rsidRPr="000612A7">
        <w:rPr>
          <w:rFonts w:ascii="Palatino Linotype" w:eastAsia="Palatino Linotype" w:hAnsi="Palatino Linotype" w:cs="Palatino Linotype"/>
          <w:i/>
          <w:sz w:val="22"/>
          <w:szCs w:val="22"/>
        </w:rPr>
        <w:t xml:space="preserve"> </w:t>
      </w:r>
      <w:proofErr w:type="spellStart"/>
      <w:r w:rsidRPr="000612A7">
        <w:rPr>
          <w:rFonts w:ascii="Palatino Linotype" w:eastAsia="Palatino Linotype" w:hAnsi="Palatino Linotype" w:cs="Palatino Linotype"/>
          <w:i/>
          <w:sz w:val="22"/>
          <w:szCs w:val="22"/>
        </w:rPr>
        <w:t>ocea</w:t>
      </w:r>
      <w:proofErr w:type="spellEnd"/>
      <w:r w:rsidRPr="000612A7">
        <w:rPr>
          <w:rFonts w:ascii="Palatino Linotype" w:eastAsia="Palatino Linotype" w:hAnsi="Palatino Linotype" w:cs="Palatino Linotype"/>
          <w:i/>
          <w:sz w:val="22"/>
          <w:szCs w:val="22"/>
        </w:rPr>
        <w:t xml:space="preserve"> persona que y trabaja en las oficinas que tiene un lugar de </w:t>
      </w:r>
      <w:proofErr w:type="spellStart"/>
      <w:r w:rsidRPr="000612A7">
        <w:rPr>
          <w:rFonts w:ascii="Palatino Linotype" w:eastAsia="Palatino Linotype" w:hAnsi="Palatino Linotype" w:cs="Palatino Linotype"/>
          <w:i/>
          <w:sz w:val="22"/>
          <w:szCs w:val="22"/>
        </w:rPr>
        <w:t>stacionamiento</w:t>
      </w:r>
      <w:proofErr w:type="spellEnd"/>
      <w:r w:rsidRPr="000612A7">
        <w:rPr>
          <w:rFonts w:ascii="Palatino Linotype" w:eastAsia="Palatino Linotype" w:hAnsi="Palatino Linotype" w:cs="Palatino Linotype"/>
          <w:i/>
          <w:sz w:val="22"/>
          <w:szCs w:val="22"/>
        </w:rPr>
        <w:t xml:space="preserve"> y me dicen que tiene el lugar una oficina, quiero saber </w:t>
      </w:r>
      <w:proofErr w:type="spellStart"/>
      <w:r w:rsidRPr="000612A7">
        <w:rPr>
          <w:rFonts w:ascii="Palatino Linotype" w:eastAsia="Palatino Linotype" w:hAnsi="Palatino Linotype" w:cs="Palatino Linotype"/>
          <w:i/>
          <w:sz w:val="22"/>
          <w:szCs w:val="22"/>
        </w:rPr>
        <w:t>que</w:t>
      </w:r>
      <w:proofErr w:type="spellEnd"/>
      <w:r w:rsidRPr="000612A7">
        <w:rPr>
          <w:rFonts w:ascii="Palatino Linotype" w:eastAsia="Palatino Linotype" w:hAnsi="Palatino Linotype" w:cs="Palatino Linotype"/>
          <w:i/>
          <w:sz w:val="22"/>
          <w:szCs w:val="22"/>
        </w:rPr>
        <w:t xml:space="preserve"> persona y </w:t>
      </w:r>
      <w:r w:rsidRPr="000612A7">
        <w:rPr>
          <w:rFonts w:ascii="Palatino Linotype" w:eastAsia="Palatino Linotype" w:hAnsi="Palatino Linotype" w:cs="Palatino Linotype"/>
          <w:b/>
          <w:i/>
          <w:sz w:val="22"/>
          <w:szCs w:val="22"/>
        </w:rPr>
        <w:t xml:space="preserve">pregunto </w:t>
      </w:r>
      <w:proofErr w:type="spellStart"/>
      <w:r w:rsidRPr="000612A7">
        <w:rPr>
          <w:rFonts w:ascii="Palatino Linotype" w:eastAsia="Palatino Linotype" w:hAnsi="Palatino Linotype" w:cs="Palatino Linotype"/>
          <w:b/>
          <w:i/>
          <w:sz w:val="22"/>
          <w:szCs w:val="22"/>
        </w:rPr>
        <w:t>como</w:t>
      </w:r>
      <w:proofErr w:type="spellEnd"/>
      <w:r w:rsidRPr="000612A7">
        <w:rPr>
          <w:rFonts w:ascii="Palatino Linotype" w:eastAsia="Palatino Linotype" w:hAnsi="Palatino Linotype" w:cs="Palatino Linotype"/>
          <w:b/>
          <w:i/>
          <w:sz w:val="22"/>
          <w:szCs w:val="22"/>
        </w:rPr>
        <w:t xml:space="preserve"> le dieron ese lugar,</w:t>
      </w:r>
      <w:r w:rsidRPr="000612A7">
        <w:rPr>
          <w:rFonts w:ascii="Palatino Linotype" w:eastAsia="Palatino Linotype" w:hAnsi="Palatino Linotype" w:cs="Palatino Linotype"/>
          <w:i/>
          <w:sz w:val="22"/>
          <w:szCs w:val="22"/>
        </w:rPr>
        <w:t xml:space="preserve"> modelo marca</w:t>
      </w:r>
      <w:r w:rsidRPr="000612A7">
        <w:rPr>
          <w:rFonts w:ascii="Palatino Linotype" w:eastAsia="Palatino Linotype" w:hAnsi="Palatino Linotype" w:cs="Palatino Linotype"/>
          <w:b/>
          <w:i/>
          <w:sz w:val="22"/>
          <w:szCs w:val="22"/>
        </w:rPr>
        <w:t xml:space="preserve"> color y </w:t>
      </w:r>
      <w:proofErr w:type="spellStart"/>
      <w:r w:rsidRPr="000612A7">
        <w:rPr>
          <w:rFonts w:ascii="Palatino Linotype" w:eastAsia="Palatino Linotype" w:hAnsi="Palatino Linotype" w:cs="Palatino Linotype"/>
          <w:b/>
          <w:i/>
          <w:sz w:val="22"/>
          <w:szCs w:val="22"/>
        </w:rPr>
        <w:t>placAas</w:t>
      </w:r>
      <w:proofErr w:type="spellEnd"/>
      <w:r w:rsidRPr="000612A7">
        <w:rPr>
          <w:rFonts w:ascii="Palatino Linotype" w:eastAsia="Palatino Linotype" w:hAnsi="Palatino Linotype" w:cs="Palatino Linotype"/>
          <w:i/>
          <w:sz w:val="22"/>
          <w:szCs w:val="22"/>
        </w:rPr>
        <w:t>” (Sic)</w:t>
      </w:r>
    </w:p>
    <w:p w14:paraId="51621337" w14:textId="77777777" w:rsidR="000B72AC" w:rsidRPr="000612A7" w:rsidRDefault="00F53D96">
      <w:pPr>
        <w:spacing w:before="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4. Turno. </w:t>
      </w:r>
      <w:r w:rsidRPr="000612A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0612A7">
        <w:rPr>
          <w:rFonts w:ascii="Palatino Linotype" w:eastAsia="Palatino Linotype" w:hAnsi="Palatino Linotype" w:cs="Palatino Linotype"/>
          <w:b/>
        </w:rPr>
        <w:t xml:space="preserve">13769/INFOEM/IP/RR/2022, </w:t>
      </w:r>
      <w:r w:rsidRPr="000612A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0612A7">
        <w:rPr>
          <w:rFonts w:ascii="Palatino Linotype" w:eastAsia="Palatino Linotype" w:hAnsi="Palatino Linotype" w:cs="Palatino Linotype"/>
          <w:b/>
        </w:rPr>
        <w:t>Guadalupe Ramírez Peña</w:t>
      </w:r>
      <w:r w:rsidRPr="000612A7">
        <w:rPr>
          <w:rFonts w:ascii="Palatino Linotype" w:eastAsia="Palatino Linotype" w:hAnsi="Palatino Linotype" w:cs="Palatino Linotype"/>
        </w:rPr>
        <w:t>, para su análisis, estudio, elaboración del proyecto y presentación ante el Pleno de este Instituto.</w:t>
      </w:r>
    </w:p>
    <w:p w14:paraId="3A87FBD3" w14:textId="77777777" w:rsidR="000B72AC" w:rsidRPr="000612A7" w:rsidRDefault="000B72AC">
      <w:pPr>
        <w:spacing w:line="360" w:lineRule="auto"/>
        <w:jc w:val="both"/>
        <w:rPr>
          <w:rFonts w:ascii="Palatino Linotype" w:eastAsia="Palatino Linotype" w:hAnsi="Palatino Linotype" w:cs="Palatino Linotype"/>
        </w:rPr>
      </w:pPr>
    </w:p>
    <w:p w14:paraId="0DD49523" w14:textId="77777777" w:rsidR="000B72AC" w:rsidRPr="000612A7" w:rsidRDefault="00F53D96">
      <w:pPr>
        <w:spacing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5. Admisión del recurso de revisión: </w:t>
      </w:r>
      <w:r w:rsidRPr="000612A7">
        <w:rPr>
          <w:rFonts w:ascii="Palatino Linotype" w:eastAsia="Palatino Linotype" w:hAnsi="Palatino Linotype" w:cs="Palatino Linotype"/>
        </w:rPr>
        <w:t xml:space="preserve">En fecha treinta de agosto de dos mil veintidós, la Comisionada ponente, admitió a trámite el recurso de revisión que </w:t>
      </w:r>
      <w:r w:rsidRPr="000612A7">
        <w:rPr>
          <w:rFonts w:ascii="Palatino Linotype" w:eastAsia="Palatino Linotype" w:hAnsi="Palatino Linotype" w:cs="Palatino Linotype"/>
        </w:rPr>
        <w:lastRenderedPageBreak/>
        <w:t xml:space="preserve">ahora se resuelve, dando un plazo máximo de siete días hábiles para que las partes manifestaran lo que a su derecho resultara conveniente, ofrecieran pruebas, formularan alegatos y el Sujeto Obligado presentara su informe justificado. </w:t>
      </w:r>
    </w:p>
    <w:p w14:paraId="2F6A1E22"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6. Manifestaciones</w:t>
      </w:r>
      <w:r w:rsidRPr="000612A7">
        <w:rPr>
          <w:rFonts w:ascii="Palatino Linotype" w:eastAsia="Palatino Linotype" w:hAnsi="Palatino Linotype" w:cs="Palatino Linotype"/>
        </w:rPr>
        <w:t xml:space="preserve">. De las constancias que obran en el expediente electrónico del SAIMEX del Recurso de Revisión </w:t>
      </w:r>
      <w:r w:rsidRPr="000612A7">
        <w:rPr>
          <w:rFonts w:ascii="Palatino Linotype" w:eastAsia="Palatino Linotype" w:hAnsi="Palatino Linotype" w:cs="Palatino Linotype"/>
          <w:b/>
          <w:sz w:val="22"/>
          <w:szCs w:val="22"/>
        </w:rPr>
        <w:t xml:space="preserve">13769/INFOEM/IP/RR/2022, </w:t>
      </w:r>
      <w:r w:rsidRPr="000612A7">
        <w:rPr>
          <w:rFonts w:ascii="Palatino Linotype" w:eastAsia="Palatino Linotype" w:hAnsi="Palatino Linotype" w:cs="Palatino Linotype"/>
        </w:rPr>
        <w:t xml:space="preserve">se desprende que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no rindió su informe justificado, del mismo modo </w:t>
      </w:r>
      <w:r w:rsidRPr="000612A7">
        <w:rPr>
          <w:rFonts w:ascii="Palatino Linotype" w:eastAsia="Palatino Linotype" w:hAnsi="Palatino Linotype" w:cs="Palatino Linotype"/>
          <w:b/>
        </w:rPr>
        <w:t>el RECURRENTE</w:t>
      </w:r>
      <w:r w:rsidRPr="000612A7">
        <w:rPr>
          <w:rFonts w:ascii="Palatino Linotype" w:eastAsia="Palatino Linotype" w:hAnsi="Palatino Linotype" w:cs="Palatino Linotype"/>
        </w:rPr>
        <w:t xml:space="preserve"> fue omitió realizar manifestaciones.</w:t>
      </w:r>
    </w:p>
    <w:p w14:paraId="1512BD98" w14:textId="77777777" w:rsidR="000B72AC" w:rsidRPr="000612A7" w:rsidRDefault="00F53D9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0612A7">
        <w:rPr>
          <w:noProof/>
          <w:lang w:val="es-MX" w:eastAsia="es-MX"/>
        </w:rPr>
        <w:drawing>
          <wp:inline distT="0" distB="0" distL="0" distR="0" wp14:anchorId="63CA115E" wp14:editId="5A093E1B">
            <wp:extent cx="5655267" cy="127209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4115" t="13300" r="14566" b="52679"/>
                    <a:stretch>
                      <a:fillRect/>
                    </a:stretch>
                  </pic:blipFill>
                  <pic:spPr>
                    <a:xfrm>
                      <a:off x="0" y="0"/>
                      <a:ext cx="5655267" cy="1272093"/>
                    </a:xfrm>
                    <a:prstGeom prst="rect">
                      <a:avLst/>
                    </a:prstGeom>
                    <a:ln/>
                  </pic:spPr>
                </pic:pic>
              </a:graphicData>
            </a:graphic>
          </wp:inline>
        </w:drawing>
      </w:r>
    </w:p>
    <w:p w14:paraId="0B002F63" w14:textId="77777777" w:rsidR="000B72AC" w:rsidRPr="000612A7" w:rsidRDefault="00F53D96">
      <w:pPr>
        <w:widowControl w:val="0"/>
        <w:spacing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7. Ampliación del plazo.</w:t>
      </w:r>
      <w:r w:rsidRPr="000612A7">
        <w:rPr>
          <w:rFonts w:ascii="Palatino Linotype" w:eastAsia="Palatino Linotype" w:hAnsi="Palatino Linotype" w:cs="Palatino Linotype"/>
        </w:rPr>
        <w:t xml:space="preserve"> En fecha once de enero del año dos mil veintitrés, con fundamento en el artículo 181, párrafo tercero de la Ley de Transparencia y Acceso a la Información Pública del Estado de México y Municipios, se acordó la ampliación del plazo para su resolución.</w:t>
      </w:r>
    </w:p>
    <w:p w14:paraId="2126A12A"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0612A7">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62018493" w14:textId="77777777" w:rsidR="00293D10" w:rsidRPr="000612A7" w:rsidRDefault="00293D10">
      <w:pPr>
        <w:spacing w:line="360" w:lineRule="auto"/>
        <w:jc w:val="both"/>
        <w:rPr>
          <w:rFonts w:ascii="Palatino Linotype" w:eastAsia="Palatino Linotype" w:hAnsi="Palatino Linotype" w:cs="Palatino Linotype"/>
        </w:rPr>
      </w:pPr>
    </w:p>
    <w:p w14:paraId="6F47DDB5"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3114E95" w14:textId="77777777" w:rsidR="000B72AC" w:rsidRPr="000612A7" w:rsidRDefault="000B72AC">
      <w:pPr>
        <w:spacing w:line="360" w:lineRule="auto"/>
        <w:jc w:val="both"/>
        <w:rPr>
          <w:rFonts w:ascii="Palatino Linotype" w:eastAsia="Palatino Linotype" w:hAnsi="Palatino Linotype" w:cs="Palatino Linotype"/>
        </w:rPr>
      </w:pPr>
    </w:p>
    <w:p w14:paraId="3A007E46"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F91C98" w14:textId="77777777" w:rsidR="000B72AC" w:rsidRPr="000612A7" w:rsidRDefault="000B72AC">
      <w:pPr>
        <w:spacing w:line="360" w:lineRule="auto"/>
        <w:jc w:val="both"/>
        <w:rPr>
          <w:rFonts w:ascii="Palatino Linotype" w:eastAsia="Palatino Linotype" w:hAnsi="Palatino Linotype" w:cs="Palatino Linotype"/>
        </w:rPr>
      </w:pPr>
    </w:p>
    <w:p w14:paraId="52CAD2E7"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A09C009" w14:textId="77777777" w:rsidR="000B72AC" w:rsidRPr="000612A7" w:rsidRDefault="000B72AC">
      <w:pPr>
        <w:spacing w:line="360" w:lineRule="auto"/>
        <w:jc w:val="both"/>
        <w:rPr>
          <w:rFonts w:ascii="Palatino Linotype" w:eastAsia="Palatino Linotype" w:hAnsi="Palatino Linotype" w:cs="Palatino Linotype"/>
        </w:rPr>
      </w:pPr>
    </w:p>
    <w:p w14:paraId="7318E41F" w14:textId="77777777" w:rsidR="000B72AC" w:rsidRPr="000612A7" w:rsidRDefault="00F53D96">
      <w:pPr>
        <w:spacing w:line="360" w:lineRule="auto"/>
        <w:jc w:val="both"/>
        <w:rPr>
          <w:rFonts w:ascii="Palatino Linotype" w:eastAsia="Palatino Linotype" w:hAnsi="Palatino Linotype" w:cs="Palatino Linotype"/>
          <w:strike/>
        </w:rPr>
      </w:pPr>
      <w:r w:rsidRPr="000612A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CF464B6" w14:textId="77777777" w:rsidR="000B72AC" w:rsidRPr="000612A7" w:rsidRDefault="000B72AC">
      <w:pPr>
        <w:spacing w:line="360" w:lineRule="auto"/>
        <w:jc w:val="both"/>
        <w:rPr>
          <w:rFonts w:ascii="Palatino Linotype" w:eastAsia="Palatino Linotype" w:hAnsi="Palatino Linotype" w:cs="Palatino Linotype"/>
        </w:rPr>
      </w:pPr>
    </w:p>
    <w:p w14:paraId="66C85FE0" w14:textId="77777777" w:rsidR="000B72AC" w:rsidRPr="000612A7" w:rsidRDefault="00F53D96">
      <w:pPr>
        <w:numPr>
          <w:ilvl w:val="0"/>
          <w:numId w:val="2"/>
        </w:num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012F256" w14:textId="77777777" w:rsidR="000B72AC" w:rsidRPr="000612A7" w:rsidRDefault="000B72AC">
      <w:pPr>
        <w:spacing w:line="360" w:lineRule="auto"/>
        <w:ind w:left="927"/>
        <w:jc w:val="both"/>
        <w:rPr>
          <w:rFonts w:ascii="Palatino Linotype" w:eastAsia="Palatino Linotype" w:hAnsi="Palatino Linotype" w:cs="Palatino Linotype"/>
        </w:rPr>
      </w:pPr>
    </w:p>
    <w:p w14:paraId="61E79E8A" w14:textId="77777777" w:rsidR="000B72AC" w:rsidRPr="000612A7" w:rsidRDefault="00F53D96">
      <w:pPr>
        <w:numPr>
          <w:ilvl w:val="0"/>
          <w:numId w:val="2"/>
        </w:num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Actividad Procesal del interesado. Acciones u omisiones del interesado.</w:t>
      </w:r>
    </w:p>
    <w:p w14:paraId="0DB9F10C" w14:textId="77777777" w:rsidR="000B72AC" w:rsidRPr="000612A7" w:rsidRDefault="000B72AC">
      <w:pPr>
        <w:spacing w:line="360" w:lineRule="auto"/>
        <w:jc w:val="both"/>
        <w:rPr>
          <w:rFonts w:ascii="Palatino Linotype" w:eastAsia="Palatino Linotype" w:hAnsi="Palatino Linotype" w:cs="Palatino Linotype"/>
        </w:rPr>
      </w:pPr>
    </w:p>
    <w:p w14:paraId="316115D4" w14:textId="77777777" w:rsidR="000B72AC" w:rsidRPr="000612A7" w:rsidRDefault="00F53D96">
      <w:pPr>
        <w:numPr>
          <w:ilvl w:val="0"/>
          <w:numId w:val="2"/>
        </w:num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Conducta de la Autoridad: Las Acciones u omisiones realizadas en el procedimiento. Así como si la autoridad actuó con la debida diligencia.</w:t>
      </w:r>
    </w:p>
    <w:p w14:paraId="748F2FE4" w14:textId="77777777" w:rsidR="000B72AC" w:rsidRPr="000612A7" w:rsidRDefault="000B72AC">
      <w:pPr>
        <w:spacing w:line="360" w:lineRule="auto"/>
        <w:ind w:left="708"/>
        <w:rPr>
          <w:rFonts w:ascii="Palatino Linotype" w:eastAsia="Palatino Linotype" w:hAnsi="Palatino Linotype" w:cs="Palatino Linotype"/>
        </w:rPr>
      </w:pPr>
    </w:p>
    <w:p w14:paraId="342D41C7" w14:textId="77777777" w:rsidR="000B72AC" w:rsidRPr="000612A7" w:rsidRDefault="00F53D96">
      <w:pPr>
        <w:spacing w:line="360" w:lineRule="auto"/>
        <w:ind w:left="567"/>
        <w:jc w:val="both"/>
        <w:rPr>
          <w:rFonts w:ascii="Palatino Linotype" w:eastAsia="Palatino Linotype" w:hAnsi="Palatino Linotype" w:cs="Palatino Linotype"/>
        </w:rPr>
      </w:pPr>
      <w:r w:rsidRPr="000612A7">
        <w:rPr>
          <w:rFonts w:ascii="Palatino Linotype" w:eastAsia="Palatino Linotype" w:hAnsi="Palatino Linotype" w:cs="Palatino Linotype"/>
        </w:rPr>
        <w:t>d) La afectación generada en la situación jurídica de la persona involucrada en el proceso: Violación a sus derechos humanos.</w:t>
      </w:r>
    </w:p>
    <w:p w14:paraId="47414430" w14:textId="77777777" w:rsidR="000B72AC" w:rsidRPr="000612A7" w:rsidRDefault="000B72AC">
      <w:pPr>
        <w:spacing w:line="360" w:lineRule="auto"/>
        <w:jc w:val="both"/>
        <w:rPr>
          <w:rFonts w:ascii="Palatino Linotype" w:eastAsia="Palatino Linotype" w:hAnsi="Palatino Linotype" w:cs="Palatino Linotype"/>
        </w:rPr>
      </w:pPr>
    </w:p>
    <w:p w14:paraId="2DE1B78F"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4BC5C9" w14:textId="77777777" w:rsidR="000B72AC" w:rsidRPr="000612A7" w:rsidRDefault="000B72AC">
      <w:pPr>
        <w:spacing w:line="360" w:lineRule="auto"/>
        <w:jc w:val="both"/>
        <w:rPr>
          <w:rFonts w:ascii="Palatino Linotype" w:eastAsia="Palatino Linotype" w:hAnsi="Palatino Linotype" w:cs="Palatino Linotype"/>
        </w:rPr>
      </w:pPr>
    </w:p>
    <w:p w14:paraId="40EF8BE2" w14:textId="77777777" w:rsidR="000B72AC" w:rsidRPr="000612A7" w:rsidRDefault="00F53D96">
      <w:pPr>
        <w:spacing w:line="360" w:lineRule="auto"/>
        <w:jc w:val="both"/>
        <w:rPr>
          <w:rFonts w:ascii="Palatino Linotype" w:eastAsia="Palatino Linotype" w:hAnsi="Palatino Linotype" w:cs="Palatino Linotype"/>
          <w:b/>
        </w:rPr>
      </w:pPr>
      <w:r w:rsidRPr="000612A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612A7">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0612A7">
        <w:rPr>
          <w:rFonts w:ascii="Palatino Linotype" w:eastAsia="Palatino Linotype" w:hAnsi="Palatino Linotype" w:cs="Palatino Linotype"/>
          <w:i/>
        </w:rPr>
        <w:lastRenderedPageBreak/>
        <w:t>CARACTERÍSTICAS DEL CASO.”</w:t>
      </w:r>
      <w:r w:rsidRPr="000612A7">
        <w:rPr>
          <w:rFonts w:ascii="Palatino Linotype" w:eastAsia="Palatino Linotype" w:hAnsi="Palatino Linotype" w:cs="Palatino Linotype"/>
        </w:rPr>
        <w:t>, visible en la Gaceta del Seminario Judicial de la Federación con el registro digital 205635.</w:t>
      </w:r>
    </w:p>
    <w:p w14:paraId="40D62B1A" w14:textId="77777777" w:rsidR="000B72AC" w:rsidRPr="000612A7" w:rsidRDefault="000B72AC">
      <w:pPr>
        <w:spacing w:line="360" w:lineRule="auto"/>
        <w:jc w:val="both"/>
        <w:rPr>
          <w:rFonts w:ascii="Palatino Linotype" w:eastAsia="Palatino Linotype" w:hAnsi="Palatino Linotype" w:cs="Palatino Linotype"/>
        </w:rPr>
      </w:pPr>
    </w:p>
    <w:p w14:paraId="734061A7"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EF4260" w14:textId="77777777" w:rsidR="000B72AC" w:rsidRPr="000612A7" w:rsidRDefault="000B72AC">
      <w:pPr>
        <w:spacing w:line="360" w:lineRule="auto"/>
        <w:jc w:val="both"/>
        <w:rPr>
          <w:rFonts w:ascii="Palatino Linotype" w:eastAsia="Palatino Linotype" w:hAnsi="Palatino Linotype" w:cs="Palatino Linotype"/>
        </w:rPr>
      </w:pPr>
    </w:p>
    <w:p w14:paraId="00D21659"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6B01406" w14:textId="77777777" w:rsidR="000B72AC" w:rsidRPr="000612A7" w:rsidRDefault="000B72AC">
      <w:pPr>
        <w:spacing w:line="360" w:lineRule="auto"/>
        <w:jc w:val="both"/>
        <w:rPr>
          <w:rFonts w:ascii="Palatino Linotype" w:eastAsia="Palatino Linotype" w:hAnsi="Palatino Linotype" w:cs="Palatino Linotype"/>
        </w:rPr>
      </w:pPr>
    </w:p>
    <w:p w14:paraId="7BFCECCA"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 </w:t>
      </w:r>
      <w:r w:rsidRPr="000612A7">
        <w:rPr>
          <w:rFonts w:ascii="Palatino Linotype" w:eastAsia="Palatino Linotype" w:hAnsi="Palatino Linotype" w:cs="Palatino Linotype"/>
          <w:i/>
        </w:rPr>
        <w:t>“PLAZO RAZONABLE PARA RESOLVER. DIMENSIÓN Y EFECTOS DE ESTE CONCEPTO CUANDO SE ADUCE EXCESIVA CARGA DE TRABAJO.”</w:t>
      </w:r>
      <w:r w:rsidRPr="000612A7">
        <w:rPr>
          <w:rFonts w:ascii="Palatino Linotype" w:eastAsia="Palatino Linotype" w:hAnsi="Palatino Linotype" w:cs="Palatino Linotype"/>
        </w:rPr>
        <w:t xml:space="preserve"> consultable en el Seminario Judicial de la Federación y su gaceta, con el registro digital 2002351.</w:t>
      </w:r>
    </w:p>
    <w:p w14:paraId="3114F915" w14:textId="77777777" w:rsidR="000B72AC" w:rsidRPr="000612A7" w:rsidRDefault="000B72AC">
      <w:pPr>
        <w:spacing w:line="360" w:lineRule="auto"/>
        <w:jc w:val="both"/>
        <w:rPr>
          <w:rFonts w:ascii="Palatino Linotype" w:eastAsia="Palatino Linotype" w:hAnsi="Palatino Linotype" w:cs="Palatino Linotype"/>
          <w:b/>
        </w:rPr>
      </w:pPr>
    </w:p>
    <w:p w14:paraId="0CA467E2"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i/>
        </w:rPr>
        <w:t xml:space="preserve">“PLAZO RAZONABLE PARA RESOLVER. CONCEPTO Y ELEMENTOS QUE LO INTEGRAN A LA LUZ DEL DERECHO INTERNACIONAL DE LOS DERECHOS </w:t>
      </w:r>
      <w:r w:rsidRPr="000612A7">
        <w:rPr>
          <w:rFonts w:ascii="Palatino Linotype" w:eastAsia="Palatino Linotype" w:hAnsi="Palatino Linotype" w:cs="Palatino Linotype"/>
          <w:i/>
        </w:rPr>
        <w:lastRenderedPageBreak/>
        <w:t>HUMANOS.”</w:t>
      </w:r>
      <w:r w:rsidRPr="000612A7">
        <w:rPr>
          <w:rFonts w:ascii="Palatino Linotype" w:eastAsia="Palatino Linotype" w:hAnsi="Palatino Linotype" w:cs="Palatino Linotype"/>
        </w:rPr>
        <w:t>, visible en el Seminario Judicial de la Federación y su gaceta, con el registro digital 2002350.</w:t>
      </w:r>
    </w:p>
    <w:p w14:paraId="1A3206FF" w14:textId="77777777" w:rsidR="000B72AC" w:rsidRPr="000612A7" w:rsidRDefault="000B72AC">
      <w:pPr>
        <w:spacing w:line="360" w:lineRule="auto"/>
        <w:jc w:val="both"/>
        <w:rPr>
          <w:rFonts w:ascii="Palatino Linotype" w:eastAsia="Palatino Linotype" w:hAnsi="Palatino Linotype" w:cs="Palatino Linotype"/>
        </w:rPr>
      </w:pPr>
    </w:p>
    <w:p w14:paraId="0C431977"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5349FE2"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8. Cierre de instrucción. </w:t>
      </w:r>
      <w:r w:rsidRPr="000612A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612A7">
        <w:rPr>
          <w:rFonts w:ascii="Palatino Linotype" w:eastAsia="Palatino Linotype" w:hAnsi="Palatino Linotype" w:cs="Palatino Linotype"/>
          <w:b/>
        </w:rPr>
        <w:t>once de enero de dos mil veintitrés</w:t>
      </w:r>
      <w:r w:rsidRPr="000612A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EE656AD"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597FFD0" w14:textId="77777777" w:rsidR="000B72AC" w:rsidRPr="000612A7" w:rsidRDefault="00F53D96">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r w:rsidRPr="000612A7">
        <w:rPr>
          <w:rFonts w:ascii="Palatino Linotype" w:eastAsia="Palatino Linotype" w:hAnsi="Palatino Linotype" w:cs="Palatino Linotype"/>
          <w:b/>
          <w:sz w:val="22"/>
          <w:szCs w:val="22"/>
        </w:rPr>
        <w:t>C O N S I D E R A N D O:</w:t>
      </w:r>
    </w:p>
    <w:p w14:paraId="633DCE04"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Primero. Competencia. </w:t>
      </w:r>
      <w:r w:rsidRPr="000612A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0612A7">
        <w:rPr>
          <w:rFonts w:ascii="Palatino Linotype" w:eastAsia="Palatino Linotype" w:hAnsi="Palatino Linotype" w:cs="Palatino Linotype"/>
        </w:rPr>
        <w:lastRenderedPageBreak/>
        <w:t>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515483E"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Segundo. Oportunidad y Procedibilidad del Recurso de Revisión</w:t>
      </w:r>
      <w:r w:rsidRPr="000612A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8155BB"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proporcionó su respuesta a la solicitud de información el veintitrés de agosto del dos mil veintidós, y el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presentó su recurso de revisión el veinticinco del mismo mes y año, esto es al segundo día hábil siguiente de aquel en que tuvo conocimiento de la respuesta, evidenciándose que la interposición del recurso se encuentra dentro de los márgenes temporales previstos en el citado precepto legal.</w:t>
      </w:r>
    </w:p>
    <w:p w14:paraId="78C2AD4A"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Por cuanto hace a la procedibilidad del recurso de revisión, es de suma importancia señalar que la parte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no proporcionó su nombre</w:t>
      </w:r>
      <w:r w:rsidRPr="000612A7">
        <w:rPr>
          <w:rFonts w:ascii="Palatino Linotype" w:eastAsia="Palatino Linotype" w:hAnsi="Palatino Linotype" w:cs="Palatino Linotype"/>
          <w:b/>
        </w:rPr>
        <w:t>,</w:t>
      </w:r>
      <w:r w:rsidRPr="000612A7">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w:t>
      </w:r>
      <w:r w:rsidRPr="000612A7">
        <w:rPr>
          <w:rFonts w:ascii="Palatino Linotype" w:eastAsia="Palatino Linotype" w:hAnsi="Palatino Linotype" w:cs="Palatino Linotype"/>
        </w:rPr>
        <w:lastRenderedPageBreak/>
        <w:t>como concluida, conforme a lo previsto en el artículo 155, penúltimo párrafo de la Ley de Transparencia y Acceso a la Información Pública del Estado de México y Municipios que establece lo siguiente:</w:t>
      </w:r>
    </w:p>
    <w:p w14:paraId="5F7EDF3A" w14:textId="77777777" w:rsidR="000B72AC" w:rsidRPr="000612A7" w:rsidRDefault="00F53D96">
      <w:pPr>
        <w:spacing w:before="240" w:after="240" w:line="276" w:lineRule="auto"/>
        <w:ind w:left="851" w:right="90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 xml:space="preserve">Las solicitudes </w:t>
      </w:r>
      <w:r w:rsidRPr="000612A7">
        <w:rPr>
          <w:rFonts w:ascii="Palatino Linotype" w:eastAsia="Palatino Linotype" w:hAnsi="Palatino Linotype" w:cs="Palatino Linotype"/>
          <w:i/>
          <w:sz w:val="22"/>
          <w:szCs w:val="22"/>
        </w:rPr>
        <w:t xml:space="preserve">anónimas, con </w:t>
      </w:r>
      <w:r w:rsidRPr="000612A7">
        <w:rPr>
          <w:rFonts w:ascii="Palatino Linotype" w:eastAsia="Palatino Linotype" w:hAnsi="Palatino Linotype" w:cs="Palatino Linotype"/>
          <w:b/>
          <w:i/>
          <w:sz w:val="22"/>
          <w:szCs w:val="22"/>
        </w:rPr>
        <w:t>nombre incompleto o seudónimo</w:t>
      </w:r>
      <w:r w:rsidRPr="000612A7">
        <w:rPr>
          <w:rFonts w:ascii="Palatino Linotype" w:eastAsia="Palatino Linotype" w:hAnsi="Palatino Linotype" w:cs="Palatino Linotype"/>
          <w:i/>
          <w:sz w:val="22"/>
          <w:szCs w:val="22"/>
        </w:rPr>
        <w:t xml:space="preserve"> </w:t>
      </w:r>
      <w:r w:rsidRPr="000612A7">
        <w:rPr>
          <w:rFonts w:ascii="Palatino Linotype" w:eastAsia="Palatino Linotype" w:hAnsi="Palatino Linotype" w:cs="Palatino Linotype"/>
          <w:b/>
          <w:i/>
          <w:sz w:val="22"/>
          <w:szCs w:val="22"/>
        </w:rPr>
        <w:t>serán procedentes para su trámite por parte del sujeto obligado ante quien se presente</w:t>
      </w:r>
      <w:r w:rsidRPr="000612A7">
        <w:rPr>
          <w:rFonts w:ascii="Palatino Linotype" w:eastAsia="Palatino Linotype" w:hAnsi="Palatino Linotype" w:cs="Palatino Linotype"/>
          <w:i/>
          <w:sz w:val="22"/>
          <w:szCs w:val="22"/>
        </w:rPr>
        <w:t>. No podrá requerirse información adicional con motivo del nombre proporcionado por el solicitante."</w:t>
      </w:r>
    </w:p>
    <w:p w14:paraId="21468AEA"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A4BFA7E"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3FD57230" w14:textId="77777777" w:rsidR="000B72AC" w:rsidRPr="000612A7" w:rsidRDefault="00F53D96">
      <w:pPr>
        <w:ind w:left="1276" w:right="175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 xml:space="preserve">Artículo 179. </w:t>
      </w:r>
      <w:r w:rsidRPr="000612A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A8A8109" w14:textId="77777777" w:rsidR="000B72AC" w:rsidRPr="000612A7" w:rsidRDefault="00F53D96">
      <w:pPr>
        <w:ind w:left="1276" w:right="175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p>
    <w:p w14:paraId="2E854229" w14:textId="77777777" w:rsidR="000B72AC" w:rsidRPr="000612A7" w:rsidRDefault="00F53D96">
      <w:pPr>
        <w:ind w:left="1276" w:right="1752"/>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V. La entrega de información incompleta…” (Sic)</w:t>
      </w:r>
    </w:p>
    <w:p w14:paraId="4947FD87" w14:textId="77777777" w:rsidR="000B72AC" w:rsidRPr="000612A7" w:rsidRDefault="000B72AC">
      <w:pPr>
        <w:ind w:left="1276" w:right="1752"/>
        <w:jc w:val="both"/>
        <w:rPr>
          <w:i/>
          <w:sz w:val="22"/>
          <w:szCs w:val="22"/>
        </w:rPr>
      </w:pPr>
    </w:p>
    <w:p w14:paraId="69D60DB1"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Tercero. Materia de Revisión</w:t>
      </w:r>
      <w:r w:rsidRPr="000612A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0612A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612A7">
        <w:rPr>
          <w:rFonts w:ascii="Palatino Linotype" w:eastAsia="Palatino Linotype" w:hAnsi="Palatino Linotype" w:cs="Palatino Linotype"/>
        </w:rPr>
        <w:t xml:space="preserve">de la </w:t>
      </w:r>
      <w:r w:rsidRPr="000612A7">
        <w:rPr>
          <w:rFonts w:ascii="Palatino Linotype" w:eastAsia="Palatino Linotype" w:hAnsi="Palatino Linotype" w:cs="Palatino Linotype"/>
          <w:b/>
        </w:rPr>
        <w:lastRenderedPageBreak/>
        <w:t>RECURRENTE</w:t>
      </w:r>
      <w:r w:rsidRPr="000612A7">
        <w:rPr>
          <w:rFonts w:ascii="Palatino Linotype" w:eastAsia="Palatino Linotype" w:hAnsi="Palatino Linotype" w:cs="Palatino Linotype"/>
        </w:rPr>
        <w:t>, o en su defecto, en caso de ser procedente, ordenar la entrega de información.</w:t>
      </w:r>
      <w:r w:rsidR="00293D10" w:rsidRPr="000612A7">
        <w:rPr>
          <w:rFonts w:ascii="Palatino Linotype" w:eastAsia="Palatino Linotype" w:hAnsi="Palatino Linotype" w:cs="Palatino Linotype"/>
        </w:rPr>
        <w:t xml:space="preserve"> </w:t>
      </w:r>
    </w:p>
    <w:p w14:paraId="53D81D7C" w14:textId="77777777" w:rsidR="000B72AC" w:rsidRPr="000612A7" w:rsidRDefault="000B72AC">
      <w:pPr>
        <w:spacing w:line="360" w:lineRule="auto"/>
        <w:jc w:val="both"/>
        <w:rPr>
          <w:rFonts w:ascii="Palatino Linotype" w:eastAsia="Palatino Linotype" w:hAnsi="Palatino Linotype" w:cs="Palatino Linotype"/>
        </w:rPr>
      </w:pPr>
    </w:p>
    <w:p w14:paraId="24F00440" w14:textId="77777777" w:rsidR="000B72AC" w:rsidRPr="000612A7" w:rsidRDefault="00F53D96">
      <w:pPr>
        <w:spacing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Cuarto. Estudio de fondo del asunto. </w:t>
      </w:r>
      <w:r w:rsidRPr="000612A7">
        <w:rPr>
          <w:rFonts w:ascii="Palatino Linotype" w:eastAsia="Palatino Linotype" w:hAnsi="Palatino Linotype" w:cs="Palatino Linotype"/>
        </w:rPr>
        <w:t xml:space="preserve">Es conveniente analizar si la respuesta del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6DFDBCD" w14:textId="77777777" w:rsidR="000B72AC" w:rsidRPr="000612A7" w:rsidRDefault="00F53D96">
      <w:pPr>
        <w:spacing w:before="240"/>
        <w:ind w:left="709" w:right="76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Artículo 4</w:t>
      </w:r>
      <w:r w:rsidRPr="000612A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5000510" w14:textId="77777777" w:rsidR="000B72AC" w:rsidRPr="000612A7" w:rsidRDefault="00F53D96">
      <w:pPr>
        <w:ind w:left="709" w:right="76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612A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CCF1C7E" w14:textId="77777777" w:rsidR="000B72AC" w:rsidRPr="000612A7" w:rsidRDefault="00F53D96">
      <w:pPr>
        <w:ind w:left="709" w:right="76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612A7">
        <w:rPr>
          <w:rFonts w:ascii="Palatino Linotype" w:eastAsia="Palatino Linotype" w:hAnsi="Palatino Linotype" w:cs="Palatino Linotype"/>
          <w:i/>
          <w:sz w:val="22"/>
          <w:szCs w:val="22"/>
        </w:rPr>
        <w:t>.”(Sic)</w:t>
      </w:r>
    </w:p>
    <w:p w14:paraId="5084D3FB" w14:textId="77777777" w:rsidR="000B72AC" w:rsidRPr="000612A7" w:rsidRDefault="000B72AC">
      <w:pPr>
        <w:spacing w:line="360" w:lineRule="auto"/>
        <w:jc w:val="both"/>
        <w:rPr>
          <w:rFonts w:ascii="Palatino Linotype" w:eastAsia="Palatino Linotype" w:hAnsi="Palatino Linotype" w:cs="Palatino Linotype"/>
        </w:rPr>
      </w:pPr>
    </w:p>
    <w:p w14:paraId="12C52598"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03FF0CA" w14:textId="77777777" w:rsidR="000B72AC" w:rsidRPr="000612A7" w:rsidRDefault="000B72AC">
      <w:pPr>
        <w:spacing w:line="360" w:lineRule="auto"/>
        <w:jc w:val="both"/>
        <w:rPr>
          <w:rFonts w:ascii="Palatino Linotype" w:eastAsia="Palatino Linotype" w:hAnsi="Palatino Linotype" w:cs="Palatino Linotype"/>
        </w:rPr>
      </w:pPr>
    </w:p>
    <w:p w14:paraId="2005548B" w14:textId="77777777" w:rsidR="000B72AC" w:rsidRPr="000612A7" w:rsidRDefault="00F53D96">
      <w:pPr>
        <w:ind w:left="567" w:right="758"/>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“Artículo 12.-</w:t>
      </w:r>
      <w:r w:rsidRPr="000612A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7892633" w14:textId="77777777" w:rsidR="000B72AC" w:rsidRPr="000612A7" w:rsidRDefault="000B72AC">
      <w:pPr>
        <w:ind w:left="567" w:right="758"/>
        <w:jc w:val="both"/>
        <w:rPr>
          <w:rFonts w:ascii="Palatino Linotype" w:eastAsia="Palatino Linotype" w:hAnsi="Palatino Linotype" w:cs="Palatino Linotype"/>
          <w:i/>
          <w:sz w:val="22"/>
          <w:szCs w:val="22"/>
        </w:rPr>
      </w:pPr>
    </w:p>
    <w:p w14:paraId="338B33DE" w14:textId="77777777" w:rsidR="000B72AC" w:rsidRPr="000612A7" w:rsidRDefault="00F53D96">
      <w:pPr>
        <w:ind w:left="567" w:right="758"/>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612A7">
        <w:rPr>
          <w:rFonts w:ascii="Palatino Linotype" w:eastAsia="Palatino Linotype" w:hAnsi="Palatino Linotype" w:cs="Palatino Linotype"/>
          <w:i/>
          <w:sz w:val="22"/>
          <w:szCs w:val="22"/>
        </w:rPr>
        <w:t xml:space="preserve">. </w:t>
      </w:r>
      <w:r w:rsidRPr="000612A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E518E1B" w14:textId="77777777" w:rsidR="000B72AC" w:rsidRPr="000612A7" w:rsidRDefault="000B72AC">
      <w:pPr>
        <w:spacing w:line="360" w:lineRule="auto"/>
        <w:ind w:right="-93"/>
        <w:jc w:val="both"/>
        <w:rPr>
          <w:rFonts w:ascii="Palatino Linotype" w:eastAsia="Palatino Linotype" w:hAnsi="Palatino Linotype" w:cs="Palatino Linotype"/>
        </w:rPr>
      </w:pPr>
    </w:p>
    <w:p w14:paraId="19C5A66F" w14:textId="77777777" w:rsidR="000B72AC" w:rsidRPr="000612A7" w:rsidRDefault="00F53D96">
      <w:pPr>
        <w:spacing w:line="360" w:lineRule="auto"/>
        <w:ind w:right="-93"/>
        <w:jc w:val="both"/>
        <w:rPr>
          <w:rFonts w:ascii="Palatino Linotype" w:eastAsia="Palatino Linotype" w:hAnsi="Palatino Linotype" w:cs="Palatino Linotype"/>
        </w:rPr>
      </w:pPr>
      <w:r w:rsidRPr="000612A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E8EB748" w14:textId="77777777" w:rsidR="000B72AC" w:rsidRPr="000612A7" w:rsidRDefault="000B72AC">
      <w:pPr>
        <w:spacing w:line="360" w:lineRule="auto"/>
        <w:ind w:right="-93"/>
        <w:jc w:val="both"/>
        <w:rPr>
          <w:rFonts w:ascii="Palatino Linotype" w:eastAsia="Palatino Linotype" w:hAnsi="Palatino Linotype" w:cs="Palatino Linotype"/>
        </w:rPr>
      </w:pPr>
    </w:p>
    <w:p w14:paraId="541A1F85" w14:textId="77777777" w:rsidR="000B72AC" w:rsidRPr="000612A7" w:rsidRDefault="00F53D96">
      <w:pPr>
        <w:spacing w:line="360" w:lineRule="auto"/>
        <w:jc w:val="both"/>
        <w:rPr>
          <w:rFonts w:ascii="Palatino Linotype" w:eastAsia="Palatino Linotype" w:hAnsi="Palatino Linotype" w:cs="Palatino Linotype"/>
          <w:b/>
        </w:rPr>
      </w:pPr>
      <w:r w:rsidRPr="000612A7">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r w:rsidRPr="000612A7">
        <w:rPr>
          <w:rFonts w:ascii="Palatino Linotype" w:eastAsia="Palatino Linotype" w:hAnsi="Palatino Linotype" w:cs="Palatino Linotype"/>
          <w:b/>
        </w:rPr>
        <w:t xml:space="preserve"> </w:t>
      </w:r>
    </w:p>
    <w:p w14:paraId="09380D68" w14:textId="77777777" w:rsidR="000B72AC" w:rsidRPr="000612A7" w:rsidRDefault="000B72AC">
      <w:pPr>
        <w:ind w:left="851" w:right="850"/>
        <w:jc w:val="both"/>
        <w:rPr>
          <w:rFonts w:ascii="Palatino Linotype" w:eastAsia="Palatino Linotype" w:hAnsi="Palatino Linotype" w:cs="Palatino Linotype"/>
        </w:rPr>
      </w:pPr>
    </w:p>
    <w:p w14:paraId="46670B53" w14:textId="77777777" w:rsidR="000B72AC" w:rsidRPr="000612A7" w:rsidRDefault="00F53D96">
      <w:pPr>
        <w:ind w:left="851" w:right="901"/>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No existe obligación de elaborar documentos ad hoc para atender las solicitudes de acceso a la información.</w:t>
      </w:r>
      <w:r w:rsidRPr="000612A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A2A3FFF" w14:textId="77777777" w:rsidR="000B72AC" w:rsidRPr="000612A7" w:rsidRDefault="00F53D96">
      <w:pPr>
        <w:ind w:left="851" w:right="901"/>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Resoluciones: </w:t>
      </w:r>
    </w:p>
    <w:p w14:paraId="41E61977" w14:textId="77777777" w:rsidR="000B72AC" w:rsidRPr="000612A7" w:rsidRDefault="00F53D96">
      <w:pPr>
        <w:ind w:left="851" w:right="901"/>
        <w:jc w:val="both"/>
        <w:rPr>
          <w:rFonts w:ascii="Palatino Linotype" w:eastAsia="Palatino Linotype" w:hAnsi="Palatino Linotype" w:cs="Palatino Linotype"/>
          <w:i/>
          <w:sz w:val="22"/>
          <w:szCs w:val="22"/>
        </w:rPr>
      </w:pPr>
      <w:r w:rsidRPr="000612A7">
        <w:rPr>
          <w:rFonts w:ascii="Symbol" w:eastAsia="Symbol" w:hAnsi="Symbol" w:cs="Symbol"/>
          <w:i/>
          <w:sz w:val="22"/>
          <w:szCs w:val="22"/>
        </w:rPr>
        <w:t>∙</w:t>
      </w:r>
      <w:r w:rsidRPr="000612A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36BBF93" w14:textId="77777777" w:rsidR="000B72AC" w:rsidRPr="000612A7" w:rsidRDefault="00F53D96">
      <w:pPr>
        <w:ind w:left="851" w:right="901"/>
        <w:jc w:val="both"/>
        <w:rPr>
          <w:rFonts w:ascii="Palatino Linotype" w:eastAsia="Palatino Linotype" w:hAnsi="Palatino Linotype" w:cs="Palatino Linotype"/>
          <w:i/>
          <w:sz w:val="22"/>
          <w:szCs w:val="22"/>
        </w:rPr>
      </w:pPr>
      <w:r w:rsidRPr="000612A7">
        <w:rPr>
          <w:rFonts w:ascii="Symbol" w:eastAsia="Symbol" w:hAnsi="Symbol" w:cs="Symbol"/>
          <w:i/>
          <w:sz w:val="22"/>
          <w:szCs w:val="22"/>
        </w:rPr>
        <w:t>∙</w:t>
      </w:r>
      <w:r w:rsidRPr="000612A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7A13FF8" w14:textId="77777777" w:rsidR="000B72AC" w:rsidRPr="000612A7" w:rsidRDefault="00F53D96">
      <w:pPr>
        <w:ind w:left="851" w:right="901"/>
        <w:jc w:val="both"/>
        <w:rPr>
          <w:rFonts w:ascii="Palatino Linotype" w:eastAsia="Palatino Linotype" w:hAnsi="Palatino Linotype" w:cs="Palatino Linotype"/>
          <w:i/>
          <w:sz w:val="22"/>
          <w:szCs w:val="22"/>
        </w:rPr>
      </w:pPr>
      <w:r w:rsidRPr="000612A7">
        <w:rPr>
          <w:rFonts w:ascii="Symbol" w:eastAsia="Symbol" w:hAnsi="Symbol" w:cs="Symbol"/>
          <w:i/>
          <w:sz w:val="22"/>
          <w:szCs w:val="22"/>
        </w:rPr>
        <w:t>∙</w:t>
      </w:r>
      <w:r w:rsidRPr="000612A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101FF792" w14:textId="77777777" w:rsidR="000B72AC" w:rsidRPr="000612A7" w:rsidRDefault="000B72AC">
      <w:pPr>
        <w:spacing w:line="360" w:lineRule="auto"/>
        <w:ind w:right="-93"/>
        <w:jc w:val="both"/>
        <w:rPr>
          <w:rFonts w:ascii="Palatino Linotype" w:eastAsia="Palatino Linotype" w:hAnsi="Palatino Linotype" w:cs="Palatino Linotype"/>
        </w:rPr>
      </w:pPr>
    </w:p>
    <w:p w14:paraId="356953C9"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C02541" w14:textId="77777777" w:rsidR="000B72AC" w:rsidRPr="000612A7" w:rsidRDefault="000B72AC">
      <w:pPr>
        <w:spacing w:line="360" w:lineRule="auto"/>
        <w:jc w:val="both"/>
        <w:rPr>
          <w:rFonts w:ascii="Palatino Linotype" w:eastAsia="Palatino Linotype" w:hAnsi="Palatino Linotype" w:cs="Palatino Linotype"/>
        </w:rPr>
      </w:pPr>
    </w:p>
    <w:p w14:paraId="7A620347" w14:textId="77777777" w:rsidR="000B72AC" w:rsidRPr="000612A7" w:rsidRDefault="00F53D96">
      <w:pPr>
        <w:spacing w:line="360" w:lineRule="auto"/>
        <w:ind w:right="49"/>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D24C4BD" w14:textId="77777777" w:rsidR="000B72AC" w:rsidRPr="000612A7" w:rsidRDefault="000B72AC">
      <w:pPr>
        <w:spacing w:line="360" w:lineRule="auto"/>
        <w:ind w:right="49"/>
        <w:jc w:val="both"/>
        <w:rPr>
          <w:rFonts w:ascii="Palatino Linotype" w:eastAsia="Palatino Linotype" w:hAnsi="Palatino Linotype" w:cs="Palatino Linotype"/>
        </w:rPr>
      </w:pPr>
    </w:p>
    <w:p w14:paraId="269C4993"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4BF47BF" w14:textId="77777777" w:rsidR="000B72AC" w:rsidRPr="000612A7" w:rsidRDefault="000B72AC">
      <w:pPr>
        <w:ind w:left="851" w:right="899"/>
        <w:jc w:val="both"/>
        <w:rPr>
          <w:rFonts w:ascii="Palatino Linotype" w:eastAsia="Palatino Linotype" w:hAnsi="Palatino Linotype" w:cs="Palatino Linotype"/>
          <w:i/>
          <w:sz w:val="22"/>
          <w:szCs w:val="22"/>
        </w:rPr>
      </w:pPr>
    </w:p>
    <w:p w14:paraId="49303ED5"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 xml:space="preserve">Artículo 3. </w:t>
      </w:r>
      <w:r w:rsidRPr="000612A7">
        <w:rPr>
          <w:rFonts w:ascii="Palatino Linotype" w:eastAsia="Palatino Linotype" w:hAnsi="Palatino Linotype" w:cs="Palatino Linotype"/>
          <w:i/>
          <w:sz w:val="22"/>
          <w:szCs w:val="22"/>
        </w:rPr>
        <w:t>Para los efectos de la presente Ley se entenderá por:</w:t>
      </w:r>
    </w:p>
    <w:p w14:paraId="5AE7400D"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p>
    <w:p w14:paraId="74912848"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XI. Documento:</w:t>
      </w:r>
      <w:r w:rsidRPr="000612A7">
        <w:rPr>
          <w:rFonts w:ascii="Palatino Linotype" w:eastAsia="Palatino Linotype" w:hAnsi="Palatino Linotype" w:cs="Palatino Linotype"/>
          <w:i/>
          <w:sz w:val="22"/>
          <w:szCs w:val="22"/>
        </w:rPr>
        <w:t xml:space="preserve"> Los expedientes, reportes, estudios, actas</w:t>
      </w:r>
      <w:r w:rsidRPr="000612A7">
        <w:rPr>
          <w:rFonts w:ascii="Palatino Linotype" w:eastAsia="Palatino Linotype" w:hAnsi="Palatino Linotype" w:cs="Palatino Linotype"/>
          <w:b/>
          <w:i/>
          <w:sz w:val="22"/>
          <w:szCs w:val="22"/>
        </w:rPr>
        <w:t>,</w:t>
      </w:r>
      <w:r w:rsidRPr="000612A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FC35221"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32C57C" w14:textId="77777777" w:rsidR="000B72AC" w:rsidRPr="000612A7" w:rsidRDefault="00F53D96">
      <w:pPr>
        <w:ind w:left="851" w:right="899"/>
        <w:jc w:val="both"/>
        <w:rPr>
          <w:rFonts w:ascii="Palatino Linotype" w:eastAsia="Palatino Linotype" w:hAnsi="Palatino Linotype" w:cs="Palatino Linotype"/>
          <w:b/>
          <w:i/>
          <w:sz w:val="22"/>
          <w:szCs w:val="22"/>
        </w:rPr>
      </w:pPr>
      <w:r w:rsidRPr="000612A7">
        <w:rPr>
          <w:rFonts w:ascii="Palatino Linotype" w:eastAsia="Palatino Linotype" w:hAnsi="Palatino Linotype" w:cs="Palatino Linotype"/>
          <w:b/>
          <w:sz w:val="22"/>
          <w:szCs w:val="22"/>
        </w:rPr>
        <w:t>“</w:t>
      </w:r>
      <w:r w:rsidRPr="000612A7">
        <w:rPr>
          <w:rFonts w:ascii="Palatino Linotype" w:eastAsia="Palatino Linotype" w:hAnsi="Palatino Linotype" w:cs="Palatino Linotype"/>
          <w:b/>
          <w:i/>
          <w:sz w:val="22"/>
          <w:szCs w:val="22"/>
        </w:rPr>
        <w:t>CRITERIO 0002-11</w:t>
      </w:r>
    </w:p>
    <w:p w14:paraId="4DCEE583"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612A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47A6AA"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D18A97"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9BEC3F6" w14:textId="77777777" w:rsidR="000B72AC" w:rsidRPr="000612A7" w:rsidRDefault="00F53D96">
      <w:pPr>
        <w:ind w:left="851" w:right="899"/>
        <w:jc w:val="both"/>
        <w:rPr>
          <w:rFonts w:ascii="Palatino Linotype" w:eastAsia="Palatino Linotype" w:hAnsi="Palatino Linotype" w:cs="Palatino Linotype"/>
          <w:b/>
          <w:i/>
          <w:sz w:val="22"/>
          <w:szCs w:val="22"/>
        </w:rPr>
      </w:pPr>
      <w:r w:rsidRPr="000612A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67066A5" w14:textId="77777777" w:rsidR="000B72AC" w:rsidRPr="000612A7" w:rsidRDefault="00F53D96">
      <w:pPr>
        <w:ind w:left="851" w:right="899"/>
        <w:jc w:val="both"/>
        <w:rPr>
          <w:rFonts w:ascii="Palatino Linotype" w:eastAsia="Palatino Linotype" w:hAnsi="Palatino Linotype" w:cs="Palatino Linotype"/>
          <w:b/>
          <w:i/>
          <w:sz w:val="22"/>
          <w:szCs w:val="22"/>
        </w:rPr>
      </w:pPr>
      <w:r w:rsidRPr="000612A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11E9D35"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Precisado lo anterior, del análisis de la solicitud de información motivo del recurso de revisión que ahora se resuelve, se advierte que el particular requirió a la Secretaría de Medio Ambiente, lo siguiente:</w:t>
      </w:r>
    </w:p>
    <w:p w14:paraId="6E81EF37" w14:textId="77777777" w:rsidR="000B72AC" w:rsidRPr="000612A7" w:rsidRDefault="00F53D9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El listado de los lugares de estacionamiento al interior de la Secretaría en Metepec y en Tlalnepantla, qué vehículo, marca, modelo, quien lo tiene asignado el vehículo y lugar de estacionamiento.</w:t>
      </w:r>
    </w:p>
    <w:p w14:paraId="09C2FF94"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Por su parte el </w:t>
      </w:r>
      <w:r w:rsidRPr="000612A7">
        <w:rPr>
          <w:rFonts w:ascii="Palatino Linotype" w:eastAsia="Palatino Linotype" w:hAnsi="Palatino Linotype" w:cs="Palatino Linotype"/>
          <w:b/>
        </w:rPr>
        <w:t xml:space="preserve">SUJETO OBLIGADO, </w:t>
      </w:r>
      <w:r w:rsidRPr="000612A7">
        <w:rPr>
          <w:rFonts w:ascii="Palatino Linotype" w:eastAsia="Palatino Linotype" w:hAnsi="Palatino Linotype" w:cs="Palatino Linotype"/>
        </w:rPr>
        <w:t>a través de su</w:t>
      </w:r>
      <w:r w:rsidRPr="000612A7">
        <w:rPr>
          <w:rFonts w:ascii="Palatino Linotype" w:eastAsia="Palatino Linotype" w:hAnsi="Palatino Linotype" w:cs="Palatino Linotype"/>
          <w:b/>
        </w:rPr>
        <w:t xml:space="preserve"> </w:t>
      </w:r>
      <w:r w:rsidRPr="000612A7">
        <w:rPr>
          <w:rFonts w:ascii="Palatino Linotype" w:eastAsia="Palatino Linotype" w:hAnsi="Palatino Linotype" w:cs="Palatino Linotype"/>
        </w:rPr>
        <w:t xml:space="preserve">Subdirector de Administración remitió dos listados de los lugares de estacionamiento asignados a la Secretaría del Medio Ambiente, al interior del conjunto SEDAGRO en Metepec y en las oficinas arrendadas en el Municipio de Tlalnepantla, en los que se describen el número progresivo, marca y modelos de los vehículos, asignación y número de cajón del estacionamiento asignado. </w:t>
      </w:r>
    </w:p>
    <w:p w14:paraId="18D38824"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No conforme el particular con la respuesta, interpone el recurso de revisión en lo medular porque se le entregó la información incompleta.</w:t>
      </w:r>
    </w:p>
    <w:p w14:paraId="061A8979"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Ante la interposición del Recurso de Revisión, el </w:t>
      </w:r>
      <w:r w:rsidRPr="000612A7">
        <w:rPr>
          <w:rFonts w:ascii="Palatino Linotype" w:eastAsia="Palatino Linotype" w:hAnsi="Palatino Linotype" w:cs="Palatino Linotype"/>
          <w:b/>
        </w:rPr>
        <w:t xml:space="preserve">SUJETO OBLIGADO, </w:t>
      </w:r>
      <w:r w:rsidRPr="000612A7">
        <w:rPr>
          <w:rFonts w:ascii="Palatino Linotype" w:eastAsia="Palatino Linotype" w:hAnsi="Palatino Linotype" w:cs="Palatino Linotype"/>
        </w:rPr>
        <w:t xml:space="preserve">fue omiso en rendir su informe justificado. </w:t>
      </w:r>
    </w:p>
    <w:p w14:paraId="4318A9DE"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Con base en lo precedente, se determina que la información proporcionada por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ello, los motivos de inconformidad acontecen parcialmente fundados para modificar la respuesta del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en razón de las consideraciones de derecho que a continuación se exponen:</w:t>
      </w:r>
    </w:p>
    <w:p w14:paraId="24398B5B" w14:textId="77777777" w:rsidR="000B72AC" w:rsidRPr="000612A7" w:rsidRDefault="000B72AC">
      <w:pPr>
        <w:spacing w:line="360" w:lineRule="auto"/>
        <w:jc w:val="both"/>
        <w:rPr>
          <w:rFonts w:ascii="Palatino Linotype" w:eastAsia="Palatino Linotype" w:hAnsi="Palatino Linotype" w:cs="Palatino Linotype"/>
        </w:rPr>
      </w:pPr>
    </w:p>
    <w:p w14:paraId="4EA3F681"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 xml:space="preserve">De una revisión a la información proporcionada por la Secretaría de Medio Ambiente, se procede hacer un cuadro comparativo para determinar si colma o no el derecho de acceso a la información pública del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conforme a lo siguiente:</w:t>
      </w:r>
    </w:p>
    <w:tbl>
      <w:tblPr>
        <w:tblStyle w:val="a"/>
        <w:tblW w:w="877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2926"/>
        <w:gridCol w:w="2927"/>
      </w:tblGrid>
      <w:tr w:rsidR="000612A7" w:rsidRPr="000612A7" w14:paraId="105A5A56" w14:textId="77777777">
        <w:tc>
          <w:tcPr>
            <w:tcW w:w="8779" w:type="dxa"/>
            <w:gridSpan w:val="3"/>
          </w:tcPr>
          <w:p w14:paraId="0334818B"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listado de los lugares de estacionamiento al interior de la Secretaría en Metepec y en Tlalnepantla</w:t>
            </w:r>
          </w:p>
        </w:tc>
      </w:tr>
      <w:tr w:rsidR="000612A7" w:rsidRPr="000612A7" w14:paraId="5DA032D5" w14:textId="77777777">
        <w:tc>
          <w:tcPr>
            <w:tcW w:w="2926" w:type="dxa"/>
          </w:tcPr>
          <w:p w14:paraId="7548487E"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Solicitud</w:t>
            </w:r>
          </w:p>
        </w:tc>
        <w:tc>
          <w:tcPr>
            <w:tcW w:w="2926" w:type="dxa"/>
          </w:tcPr>
          <w:p w14:paraId="711203E7"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Respuesta</w:t>
            </w:r>
          </w:p>
        </w:tc>
        <w:tc>
          <w:tcPr>
            <w:tcW w:w="2927" w:type="dxa"/>
          </w:tcPr>
          <w:p w14:paraId="5B2CB81E"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Colma</w:t>
            </w:r>
          </w:p>
        </w:tc>
      </w:tr>
      <w:tr w:rsidR="000612A7" w:rsidRPr="000612A7" w14:paraId="6B6FB254" w14:textId="77777777">
        <w:tc>
          <w:tcPr>
            <w:tcW w:w="2926" w:type="dxa"/>
          </w:tcPr>
          <w:p w14:paraId="65CB10B5"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Vehículo</w:t>
            </w:r>
          </w:p>
        </w:tc>
        <w:tc>
          <w:tcPr>
            <w:tcW w:w="2926" w:type="dxa"/>
          </w:tcPr>
          <w:p w14:paraId="3A4CEF35"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En los listados se advierte que tipo de vehículo es.</w:t>
            </w:r>
          </w:p>
        </w:tc>
        <w:tc>
          <w:tcPr>
            <w:tcW w:w="2927" w:type="dxa"/>
          </w:tcPr>
          <w:p w14:paraId="34819CF8"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Sí </w:t>
            </w:r>
          </w:p>
        </w:tc>
      </w:tr>
      <w:tr w:rsidR="000612A7" w:rsidRPr="000612A7" w14:paraId="5453D968" w14:textId="77777777">
        <w:tc>
          <w:tcPr>
            <w:tcW w:w="2926" w:type="dxa"/>
          </w:tcPr>
          <w:p w14:paraId="3719315C"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Marca</w:t>
            </w:r>
          </w:p>
        </w:tc>
        <w:tc>
          <w:tcPr>
            <w:tcW w:w="2926" w:type="dxa"/>
          </w:tcPr>
          <w:p w14:paraId="5C875F2D"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En los listados se advierte que marca de vehículos son como por ejemplo Chevrolet, Toyota, etc.</w:t>
            </w:r>
          </w:p>
        </w:tc>
        <w:tc>
          <w:tcPr>
            <w:tcW w:w="2927" w:type="dxa"/>
          </w:tcPr>
          <w:p w14:paraId="505B297F"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Sí </w:t>
            </w:r>
          </w:p>
        </w:tc>
      </w:tr>
      <w:tr w:rsidR="000612A7" w:rsidRPr="000612A7" w14:paraId="58974B92" w14:textId="77777777">
        <w:tc>
          <w:tcPr>
            <w:tcW w:w="2926" w:type="dxa"/>
          </w:tcPr>
          <w:p w14:paraId="2FC856AE"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Modelo</w:t>
            </w:r>
          </w:p>
        </w:tc>
        <w:tc>
          <w:tcPr>
            <w:tcW w:w="2926" w:type="dxa"/>
          </w:tcPr>
          <w:p w14:paraId="33B21A44"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En los listados se advierte en modelo de cada vehículo, es decir el año </w:t>
            </w:r>
          </w:p>
        </w:tc>
        <w:tc>
          <w:tcPr>
            <w:tcW w:w="2927" w:type="dxa"/>
          </w:tcPr>
          <w:p w14:paraId="52A6805D"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Sí </w:t>
            </w:r>
          </w:p>
        </w:tc>
      </w:tr>
      <w:tr w:rsidR="000612A7" w:rsidRPr="000612A7" w14:paraId="009F69B4" w14:textId="77777777">
        <w:tc>
          <w:tcPr>
            <w:tcW w:w="2926" w:type="dxa"/>
          </w:tcPr>
          <w:p w14:paraId="3F3B0D6F"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Quien tiene asignado el vehículo</w:t>
            </w:r>
          </w:p>
        </w:tc>
        <w:tc>
          <w:tcPr>
            <w:tcW w:w="2926" w:type="dxa"/>
          </w:tcPr>
          <w:p w14:paraId="577F3CA8"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En los listados sólo se proporcionó el área de la Secretaría del Medio Ambiente quien tiene asignado el vehículo, no así el nombre de los servidores públicos a quienes se le asignaron los vehículos.  </w:t>
            </w:r>
          </w:p>
        </w:tc>
        <w:tc>
          <w:tcPr>
            <w:tcW w:w="2927" w:type="dxa"/>
          </w:tcPr>
          <w:p w14:paraId="4746D0FF"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No</w:t>
            </w:r>
          </w:p>
          <w:p w14:paraId="02CCA9EC"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Faltó en nombre de los servidores públicos quienes tienen asignados los vehículos y el número de cajón señalados en los listados remitidos en respuesta. </w:t>
            </w:r>
          </w:p>
        </w:tc>
      </w:tr>
      <w:tr w:rsidR="000612A7" w:rsidRPr="000612A7" w14:paraId="1FBB4BCA" w14:textId="77777777">
        <w:tc>
          <w:tcPr>
            <w:tcW w:w="2926" w:type="dxa"/>
          </w:tcPr>
          <w:p w14:paraId="7EA6BCE3"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Lugar del estacionamiento</w:t>
            </w:r>
          </w:p>
        </w:tc>
        <w:tc>
          <w:tcPr>
            <w:tcW w:w="2926" w:type="dxa"/>
          </w:tcPr>
          <w:p w14:paraId="5DA93E87" w14:textId="77777777" w:rsidR="000B72AC" w:rsidRPr="000612A7" w:rsidRDefault="00F53D96">
            <w:pPr>
              <w:spacing w:line="360" w:lineRule="auto"/>
              <w:jc w:val="both"/>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t xml:space="preserve">En los listados se advierte el número de cajón del </w:t>
            </w:r>
            <w:r w:rsidRPr="000612A7">
              <w:rPr>
                <w:rFonts w:ascii="Palatino Linotype" w:eastAsia="Palatino Linotype" w:hAnsi="Palatino Linotype" w:cs="Palatino Linotype"/>
                <w:sz w:val="20"/>
                <w:szCs w:val="20"/>
              </w:rPr>
              <w:lastRenderedPageBreak/>
              <w:t>estacionamiento que le corresponde a cada uno.</w:t>
            </w:r>
          </w:p>
        </w:tc>
        <w:tc>
          <w:tcPr>
            <w:tcW w:w="2927" w:type="dxa"/>
          </w:tcPr>
          <w:p w14:paraId="40D0A79F" w14:textId="77777777" w:rsidR="000B72AC" w:rsidRPr="000612A7" w:rsidRDefault="00F53D96">
            <w:pPr>
              <w:spacing w:line="360" w:lineRule="auto"/>
              <w:jc w:val="center"/>
              <w:rPr>
                <w:rFonts w:ascii="Palatino Linotype" w:eastAsia="Palatino Linotype" w:hAnsi="Palatino Linotype" w:cs="Palatino Linotype"/>
                <w:sz w:val="20"/>
                <w:szCs w:val="20"/>
              </w:rPr>
            </w:pPr>
            <w:r w:rsidRPr="000612A7">
              <w:rPr>
                <w:rFonts w:ascii="Palatino Linotype" w:eastAsia="Palatino Linotype" w:hAnsi="Palatino Linotype" w:cs="Palatino Linotype"/>
                <w:sz w:val="20"/>
                <w:szCs w:val="20"/>
              </w:rPr>
              <w:lastRenderedPageBreak/>
              <w:t>Sí</w:t>
            </w:r>
          </w:p>
        </w:tc>
      </w:tr>
    </w:tbl>
    <w:p w14:paraId="6F5753BB" w14:textId="77777777" w:rsidR="000B72AC" w:rsidRPr="000612A7" w:rsidRDefault="000B72AC">
      <w:pPr>
        <w:spacing w:line="360" w:lineRule="auto"/>
        <w:jc w:val="both"/>
        <w:rPr>
          <w:rFonts w:ascii="Palatino Linotype" w:eastAsia="Palatino Linotype" w:hAnsi="Palatino Linotype" w:cs="Palatino Linotype"/>
        </w:rPr>
      </w:pPr>
    </w:p>
    <w:p w14:paraId="0434147D"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En ese sentido, respecto de los puntos en donde se advierte que se colma el derecho de acceso a la información pública, debe decirse que el área que proporcionó la información es la Subdirección de Administración de la Secretaría del Medio Ambiente, que en términos de lo señalado por el numeral 22100003000300S del Manual General de Organización de la Secretaría del Medio Ambiente, es la competente para conocer de la información solicitada de acuerdo a lo siguiente:</w:t>
      </w:r>
    </w:p>
    <w:p w14:paraId="5D02B415" w14:textId="77777777" w:rsidR="000B72AC" w:rsidRPr="000612A7" w:rsidRDefault="000B72AC">
      <w:pPr>
        <w:spacing w:line="360" w:lineRule="auto"/>
        <w:jc w:val="both"/>
        <w:rPr>
          <w:rFonts w:ascii="Palatino Linotype" w:eastAsia="Palatino Linotype" w:hAnsi="Palatino Linotype" w:cs="Palatino Linotype"/>
        </w:rPr>
      </w:pPr>
    </w:p>
    <w:p w14:paraId="4BC37E11"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“22100003000300S SUBDIRECCIÓN DE ADMINISTRACIÓN </w:t>
      </w:r>
    </w:p>
    <w:p w14:paraId="25C8365B"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 xml:space="preserve">OBJETIVO: Controlar y supervisar la asignación de </w:t>
      </w:r>
      <w:r w:rsidRPr="000612A7">
        <w:rPr>
          <w:rFonts w:ascii="Palatino Linotype" w:eastAsia="Palatino Linotype" w:hAnsi="Palatino Linotype" w:cs="Palatino Linotype"/>
          <w:i/>
          <w:sz w:val="22"/>
          <w:szCs w:val="22"/>
        </w:rPr>
        <w:t xml:space="preserve">los recursos humanos </w:t>
      </w:r>
      <w:r w:rsidRPr="000612A7">
        <w:rPr>
          <w:rFonts w:ascii="Palatino Linotype" w:eastAsia="Palatino Linotype" w:hAnsi="Palatino Linotype" w:cs="Palatino Linotype"/>
          <w:b/>
          <w:i/>
          <w:sz w:val="22"/>
          <w:szCs w:val="22"/>
        </w:rPr>
        <w:t>y materiales de las unidades administrativas de la Secretaría</w:t>
      </w:r>
      <w:r w:rsidRPr="000612A7">
        <w:rPr>
          <w:rFonts w:ascii="Palatino Linotype" w:eastAsia="Palatino Linotype" w:hAnsi="Palatino Linotype" w:cs="Palatino Linotype"/>
          <w:i/>
          <w:sz w:val="22"/>
          <w:szCs w:val="22"/>
        </w:rPr>
        <w:t xml:space="preserve">, así como verificar que las actividades que realicen las Delegaciones Administrativas y/o unidades administrativas equivalentes se desarrollen con apego a las disposiciones legales aplicables en la materia. </w:t>
      </w:r>
    </w:p>
    <w:p w14:paraId="0CDA1548"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FUNCIONES: </w:t>
      </w:r>
    </w:p>
    <w:p w14:paraId="256F24EE"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 xml:space="preserve">− Coordinar </w:t>
      </w:r>
      <w:r w:rsidRPr="000612A7">
        <w:rPr>
          <w:rFonts w:ascii="Palatino Linotype" w:eastAsia="Palatino Linotype" w:hAnsi="Palatino Linotype" w:cs="Palatino Linotype"/>
          <w:i/>
          <w:sz w:val="22"/>
          <w:szCs w:val="22"/>
        </w:rPr>
        <w:t xml:space="preserve">la ejecución de los programas orientados a la administración y </w:t>
      </w:r>
      <w:r w:rsidRPr="000612A7">
        <w:rPr>
          <w:rFonts w:ascii="Palatino Linotype" w:eastAsia="Palatino Linotype" w:hAnsi="Palatino Linotype" w:cs="Palatino Linotype"/>
          <w:b/>
          <w:i/>
          <w:sz w:val="22"/>
          <w:szCs w:val="22"/>
        </w:rPr>
        <w:t>el desarrollo del personal adscrito a la Secretaría, así como optimizar el uso de los recursos materiales que se adquieran por la Coordinación Administrativa y las Delegaciones Administrativas y/o unidades administrativas equivalentes</w:t>
      </w:r>
      <w:r w:rsidRPr="000612A7">
        <w:rPr>
          <w:rFonts w:ascii="Palatino Linotype" w:eastAsia="Palatino Linotype" w:hAnsi="Palatino Linotype" w:cs="Palatino Linotype"/>
          <w:i/>
          <w:sz w:val="22"/>
          <w:szCs w:val="22"/>
        </w:rPr>
        <w:t xml:space="preserve">. </w:t>
      </w:r>
    </w:p>
    <w:p w14:paraId="33E873A9"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 Establecer coordinación permanente con las Delegaciones Administrativas y/o unidades administrativas equivalentes respecto a la administración y desarrollo del personal, así como para el control de los recursos materiales de las diferentes áreas</w:t>
      </w:r>
      <w:r w:rsidRPr="000612A7">
        <w:rPr>
          <w:rFonts w:ascii="Palatino Linotype" w:eastAsia="Palatino Linotype" w:hAnsi="Palatino Linotype" w:cs="Palatino Linotype"/>
          <w:i/>
          <w:sz w:val="22"/>
          <w:szCs w:val="22"/>
        </w:rPr>
        <w:t xml:space="preserve">. </w:t>
      </w:r>
    </w:p>
    <w:p w14:paraId="77A9F2E2"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 Verificar que los movimientos de alta, baja, cambios de adscripción, incidencias, licencias, permisos y vacaciones del personal de la Secretaría, se realicen conforme a las disposiciones legales aplicables en la materia. </w:t>
      </w:r>
    </w:p>
    <w:p w14:paraId="4DD7B5CC"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Establecer mecanismos para controlar y mantener actualizada la plantilla de plazas del personal adscrito a la Secretaría.</w:t>
      </w:r>
    </w:p>
    <w:p w14:paraId="676629F3"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 − Promover cursos de capacitación y de formación tendientes al desarrollo individual y colectivo de las y los servidores públicos adscritos a la Secretaría. </w:t>
      </w:r>
    </w:p>
    <w:p w14:paraId="55643D1F"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lastRenderedPageBreak/>
        <w:t xml:space="preserve">− Supervisar la elaboración del presupuesto de servicios personales de las unidades administrativas de la Secretaría. </w:t>
      </w:r>
    </w:p>
    <w:p w14:paraId="0189B30B"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 Establecer mecanismos de seguimiento y control orientados a garantizar la eficiente administración de los recursos materiales y servicios generales de la Secretaría. </w:t>
      </w:r>
    </w:p>
    <w:p w14:paraId="1AA66C3D"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 Supervisar la adquisición, almacenamiento y suministro de los recursos materiales que requieran las unidades administrativas de la Secretaría, conforme a lo establecido en la normatividad aplicable. </w:t>
      </w:r>
    </w:p>
    <w:p w14:paraId="7D931F53"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 Supervisar el resguardo, baja o cambio de adscripción y, en su caso, la adquisición de los bienes muebles</w:t>
      </w:r>
      <w:r w:rsidRPr="000612A7">
        <w:rPr>
          <w:rFonts w:ascii="Palatino Linotype" w:eastAsia="Palatino Linotype" w:hAnsi="Palatino Linotype" w:cs="Palatino Linotype"/>
          <w:i/>
          <w:sz w:val="22"/>
          <w:szCs w:val="22"/>
        </w:rPr>
        <w:t xml:space="preserve">, equipo y </w:t>
      </w:r>
      <w:r w:rsidRPr="000612A7">
        <w:rPr>
          <w:rFonts w:ascii="Palatino Linotype" w:eastAsia="Palatino Linotype" w:hAnsi="Palatino Linotype" w:cs="Palatino Linotype"/>
          <w:b/>
          <w:i/>
          <w:sz w:val="22"/>
          <w:szCs w:val="22"/>
        </w:rPr>
        <w:t>vehículos asignados a la Secretaría</w:t>
      </w:r>
      <w:r w:rsidRPr="000612A7">
        <w:rPr>
          <w:rFonts w:ascii="Palatino Linotype" w:eastAsia="Palatino Linotype" w:hAnsi="Palatino Linotype" w:cs="Palatino Linotype"/>
          <w:i/>
          <w:sz w:val="22"/>
          <w:szCs w:val="22"/>
        </w:rPr>
        <w:t>. –</w:t>
      </w:r>
    </w:p>
    <w:p w14:paraId="10259D37"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xml:space="preserve"> Coordinar el Programa Anual de Adquisiciones y Servicios de la Secretaría, así como establecer mecanismos para su seguimiento y control. </w:t>
      </w:r>
    </w:p>
    <w:p w14:paraId="0E0D11FD" w14:textId="77777777" w:rsidR="000B72AC" w:rsidRPr="000612A7" w:rsidRDefault="00F53D96">
      <w:pPr>
        <w:ind w:left="851" w:right="899"/>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 Desarrollar las demás funciones inherentes al área de su competencia” (Sic)</w:t>
      </w:r>
    </w:p>
    <w:p w14:paraId="2677C392" w14:textId="77777777" w:rsidR="000B72AC" w:rsidRPr="000612A7" w:rsidRDefault="000B72AC">
      <w:pPr>
        <w:spacing w:line="360" w:lineRule="auto"/>
        <w:jc w:val="both"/>
        <w:rPr>
          <w:rFonts w:ascii="Palatino Linotype" w:eastAsia="Palatino Linotype" w:hAnsi="Palatino Linotype" w:cs="Palatino Linotype"/>
        </w:rPr>
      </w:pPr>
    </w:p>
    <w:p w14:paraId="5B967567" w14:textId="77777777" w:rsidR="000B72AC" w:rsidRPr="000612A7" w:rsidRDefault="00F53D96">
      <w:pPr>
        <w:spacing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Luego entonces, no queda más que decir,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3622E78E" w14:textId="77777777" w:rsidR="000B72AC" w:rsidRPr="000612A7" w:rsidRDefault="000B72AC">
      <w:pPr>
        <w:pBdr>
          <w:top w:val="nil"/>
          <w:left w:val="nil"/>
          <w:bottom w:val="nil"/>
          <w:right w:val="nil"/>
          <w:between w:val="nil"/>
        </w:pBdr>
        <w:spacing w:after="120" w:line="360" w:lineRule="auto"/>
        <w:jc w:val="both"/>
        <w:rPr>
          <w:rFonts w:ascii="Palatino Linotype" w:eastAsia="Palatino Linotype" w:hAnsi="Palatino Linotype" w:cs="Palatino Linotype"/>
        </w:rPr>
      </w:pPr>
    </w:p>
    <w:p w14:paraId="741A0514" w14:textId="77777777" w:rsidR="000B72AC" w:rsidRPr="000612A7" w:rsidRDefault="00F53D96">
      <w:pPr>
        <w:spacing w:before="120" w:after="120"/>
        <w:ind w:left="851" w:right="851"/>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612A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0612A7">
        <w:rPr>
          <w:rFonts w:ascii="Palatino Linotype" w:eastAsia="Palatino Linotype" w:hAnsi="Palatino Linotype" w:cs="Palatino Linotype"/>
          <w:i/>
          <w:sz w:val="22"/>
          <w:szCs w:val="22"/>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A62465" w:rsidRPr="000612A7">
        <w:rPr>
          <w:rFonts w:ascii="Palatino Linotype" w:eastAsia="Palatino Linotype" w:hAnsi="Palatino Linotype" w:cs="Palatino Linotype"/>
          <w:i/>
          <w:sz w:val="22"/>
          <w:szCs w:val="22"/>
        </w:rPr>
        <w:t>.” (</w:t>
      </w:r>
      <w:r w:rsidRPr="000612A7">
        <w:rPr>
          <w:rFonts w:ascii="Palatino Linotype" w:eastAsia="Palatino Linotype" w:hAnsi="Palatino Linotype" w:cs="Palatino Linotype"/>
          <w:i/>
          <w:sz w:val="22"/>
          <w:szCs w:val="22"/>
        </w:rPr>
        <w:t>Sic)</w:t>
      </w:r>
    </w:p>
    <w:p w14:paraId="2541CFF2" w14:textId="77777777" w:rsidR="000B72AC" w:rsidRPr="000612A7" w:rsidRDefault="000B72AC">
      <w:pPr>
        <w:spacing w:before="120" w:line="360" w:lineRule="auto"/>
        <w:jc w:val="both"/>
        <w:rPr>
          <w:rFonts w:ascii="Palatino Linotype" w:eastAsia="Palatino Linotype" w:hAnsi="Palatino Linotype" w:cs="Palatino Linotype"/>
        </w:rPr>
      </w:pPr>
    </w:p>
    <w:p w14:paraId="68D33E2B" w14:textId="77777777" w:rsidR="000B72AC" w:rsidRPr="000612A7" w:rsidRDefault="00F53D96">
      <w:pPr>
        <w:spacing w:line="360" w:lineRule="auto"/>
        <w:jc w:val="both"/>
        <w:rPr>
          <w:rFonts w:ascii="Palatino Linotype" w:eastAsia="Palatino Linotype" w:hAnsi="Palatino Linotype" w:cs="Palatino Linotype"/>
        </w:rPr>
      </w:pPr>
      <w:bookmarkStart w:id="1" w:name="_heading=h.gjdgxs" w:colFirst="0" w:colLast="0"/>
      <w:bookmarkEnd w:id="1"/>
      <w:r w:rsidRPr="000612A7">
        <w:rPr>
          <w:rFonts w:ascii="Palatino Linotype" w:eastAsia="Palatino Linotype" w:hAnsi="Palatino Linotype" w:cs="Palatino Linotype"/>
        </w:rPr>
        <w:t xml:space="preserve">Sin embargo, respecto del punto de la solicitud en donde se requirió quien tiene asignado el vehículo,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sólo se concretó a entregar el nombre del área administrativa de la Secretaría del Medio Ambiente quien tiene asignado el vehículo y el número de cajón que ocupa en el estacionamiento, como por ejemplo Secretario, Secretaria Particular, Dirección General de Manejo Integral de Residuos Sólidos, Departamento de Recursos Materiales, etcétera; no así el nombre del Servidor Público quien tiene asignado el vehículo y el número de cajón, de ahí que la respuesta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0B04EDDD" w14:textId="77777777" w:rsidR="000B72AC" w:rsidRPr="000612A7" w:rsidRDefault="000B72AC">
      <w:pPr>
        <w:spacing w:line="360" w:lineRule="auto"/>
        <w:ind w:right="51"/>
        <w:jc w:val="both"/>
        <w:rPr>
          <w:rFonts w:ascii="Palatino Linotype" w:eastAsia="Palatino Linotype" w:hAnsi="Palatino Linotype" w:cs="Palatino Linotype"/>
        </w:rPr>
      </w:pPr>
    </w:p>
    <w:p w14:paraId="5725DC86" w14:textId="77777777" w:rsidR="000B72AC" w:rsidRPr="000612A7" w:rsidRDefault="00F53D96">
      <w:pPr>
        <w:spacing w:before="80" w:after="240"/>
        <w:ind w:left="567" w:right="900"/>
        <w:jc w:val="both"/>
        <w:rPr>
          <w:rFonts w:ascii="Palatino Linotype" w:eastAsia="Palatino Linotype" w:hAnsi="Palatino Linotype" w:cs="Palatino Linotype"/>
          <w:i/>
          <w:sz w:val="22"/>
          <w:szCs w:val="22"/>
        </w:rPr>
      </w:pPr>
      <w:r w:rsidRPr="000612A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0612A7">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612A7">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0612A7">
        <w:rPr>
          <w:rFonts w:ascii="Palatino Linotype" w:eastAsia="Palatino Linotype" w:hAnsi="Palatino Linotype" w:cs="Palatino Linotype"/>
          <w:i/>
          <w:sz w:val="22"/>
          <w:szCs w:val="22"/>
        </w:rPr>
        <w:t xml:space="preserve">; mientras que </w:t>
      </w:r>
      <w:r w:rsidRPr="000612A7">
        <w:rPr>
          <w:rFonts w:ascii="Palatino Linotype" w:eastAsia="Palatino Linotype" w:hAnsi="Palatino Linotype" w:cs="Palatino Linotype"/>
          <w:b/>
          <w:i/>
          <w:sz w:val="22"/>
          <w:szCs w:val="22"/>
        </w:rPr>
        <w:t>la exhaustividad significa que dicha respuesta se refiera expresamente a cada uno de los puntos solicitados</w:t>
      </w:r>
      <w:r w:rsidRPr="000612A7">
        <w:rPr>
          <w:rFonts w:ascii="Palatino Linotype" w:eastAsia="Palatino Linotype" w:hAnsi="Palatino Linotype" w:cs="Palatino Linotype"/>
          <w:i/>
          <w:sz w:val="22"/>
          <w:szCs w:val="22"/>
        </w:rPr>
        <w:t xml:space="preserve">. Por lo anterior, los sujetos obligados cumplirán con los principios de congruencia y exhaustividad, cuando las respuestas </w:t>
      </w:r>
      <w:r w:rsidRPr="000612A7">
        <w:rPr>
          <w:rFonts w:ascii="Palatino Linotype" w:eastAsia="Palatino Linotype" w:hAnsi="Palatino Linotype" w:cs="Palatino Linotype"/>
          <w:i/>
          <w:sz w:val="22"/>
          <w:szCs w:val="22"/>
        </w:rPr>
        <w:lastRenderedPageBreak/>
        <w:t>que emitan guarden una relación lógica con lo solicitado y atiendan de manera puntual y expresa, cada uno de los contenidos de información.” (Sic)</w:t>
      </w:r>
    </w:p>
    <w:p w14:paraId="6289E515" w14:textId="77777777" w:rsidR="000B72AC" w:rsidRPr="000612A7" w:rsidRDefault="00F53D96">
      <w:pPr>
        <w:spacing w:before="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Razones por las cuales lo procedente es ordenar el nombre de los servidores públicos quienes tienen asignados </w:t>
      </w:r>
      <w:r w:rsidR="00A62465" w:rsidRPr="000612A7">
        <w:rPr>
          <w:rFonts w:ascii="Palatino Linotype" w:eastAsia="Palatino Linotype" w:hAnsi="Palatino Linotype" w:cs="Palatino Linotype"/>
        </w:rPr>
        <w:t xml:space="preserve">o en resguardo </w:t>
      </w:r>
      <w:r w:rsidRPr="000612A7">
        <w:rPr>
          <w:rFonts w:ascii="Palatino Linotype" w:eastAsia="Palatino Linotype" w:hAnsi="Palatino Linotype" w:cs="Palatino Linotype"/>
        </w:rPr>
        <w:t xml:space="preserve">los vehículos y número de cajón en los estacionamientos del interior del Conjunto SEDAGRO en el Municipio de Metepec y en el interior del edificio Ericsson en Tlalnepantla, referidos en los listados remitidos en respuesta. </w:t>
      </w:r>
    </w:p>
    <w:p w14:paraId="5F263FC0" w14:textId="77777777" w:rsidR="000B72AC" w:rsidRPr="000612A7" w:rsidRDefault="000B72AC">
      <w:pPr>
        <w:spacing w:line="360" w:lineRule="auto"/>
        <w:jc w:val="both"/>
        <w:rPr>
          <w:rFonts w:ascii="Palatino Linotype" w:eastAsia="Palatino Linotype" w:hAnsi="Palatino Linotype" w:cs="Palatino Linotype"/>
        </w:rPr>
      </w:pPr>
    </w:p>
    <w:p w14:paraId="5968A2E2" w14:textId="77777777" w:rsidR="000B72AC" w:rsidRPr="000612A7" w:rsidRDefault="00F53D96">
      <w:pPr>
        <w:spacing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Finalmente, del análisis de los motivos de inconformidad del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sobre su pregunta de cómo le dieron ese lugar (cajón del estacionamiento), color y placas (de los vehículos), dichos documentos no fueron solicitados, como se desprende del antecedente marcado con el numeral 1 de la presente resolución, por lo que constituyen en su totalidad nuevos requerimientos de información, configurándose así lo que se conoce como </w:t>
      </w:r>
      <w:r w:rsidRPr="000612A7">
        <w:rPr>
          <w:rFonts w:ascii="Palatino Linotype" w:eastAsia="Palatino Linotype" w:hAnsi="Palatino Linotype" w:cs="Palatino Linotype"/>
          <w:i/>
        </w:rPr>
        <w:t xml:space="preserve">plus </w:t>
      </w:r>
      <w:proofErr w:type="spellStart"/>
      <w:r w:rsidRPr="000612A7">
        <w:rPr>
          <w:rFonts w:ascii="Palatino Linotype" w:eastAsia="Palatino Linotype" w:hAnsi="Palatino Linotype" w:cs="Palatino Linotype"/>
          <w:i/>
        </w:rPr>
        <w:t>petitio</w:t>
      </w:r>
      <w:proofErr w:type="spellEnd"/>
      <w:r w:rsidRPr="000612A7">
        <w:rPr>
          <w:rFonts w:ascii="Palatino Linotype" w:eastAsia="Palatino Linotype" w:hAnsi="Palatino Linotype" w:cs="Palatino Linotype"/>
          <w:b/>
          <w:i/>
        </w:rPr>
        <w:t xml:space="preserve">, </w:t>
      </w:r>
      <w:r w:rsidRPr="000612A7">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amplíe su solicitud en el Recurso de Revisión, </w:t>
      </w:r>
      <w:r w:rsidRPr="000612A7">
        <w:rPr>
          <w:rFonts w:ascii="Palatino Linotype" w:eastAsia="Palatino Linotype" w:hAnsi="Palatino Linotype" w:cs="Palatino Linotype"/>
          <w:b/>
          <w:u w:val="single"/>
        </w:rPr>
        <w:t xml:space="preserve">únicamente respecto de los nuevos contenidos; </w:t>
      </w:r>
      <w:r w:rsidRPr="000612A7">
        <w:rPr>
          <w:rFonts w:ascii="Palatino Linotype" w:eastAsia="Palatino Linotype" w:hAnsi="Palatino Linotype" w:cs="Palatino Linotype"/>
        </w:rPr>
        <w:t xml:space="preserve">cuestión que tuvo lugar en el presente caso, pues la parte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1E3D94CA"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 xml:space="preserve">En este tenor, es posible determinar que para el caso que nos ocupa, los argumentos formulados como motivos o razones de inconformidad referidos, son una </w:t>
      </w:r>
      <w:r w:rsidRPr="000612A7">
        <w:rPr>
          <w:rFonts w:ascii="Palatino Linotype" w:eastAsia="Palatino Linotype" w:hAnsi="Palatino Linotype" w:cs="Palatino Linotype"/>
        </w:rPr>
        <w:lastRenderedPageBreak/>
        <w:t>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3B81D74F"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En este orden de ideas, una vez formulada su solicitud inicial,</w:t>
      </w:r>
      <w:r w:rsidRPr="000612A7">
        <w:rPr>
          <w:rFonts w:ascii="Palatino Linotype" w:eastAsia="Palatino Linotype" w:hAnsi="Palatino Linotype" w:cs="Palatino Linotype"/>
          <w:i/>
        </w:rPr>
        <w:t xml:space="preserve"> </w:t>
      </w:r>
      <w:r w:rsidRPr="000612A7">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7F2DC7F0" w14:textId="77777777" w:rsidR="000B72AC" w:rsidRPr="000612A7" w:rsidRDefault="00F53D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1A5C4504" w14:textId="77777777" w:rsidR="000B72AC" w:rsidRPr="000612A7" w:rsidRDefault="00F53D96">
      <w:pPr>
        <w:spacing w:before="240" w:after="240"/>
        <w:ind w:left="851" w:right="900"/>
        <w:jc w:val="both"/>
        <w:rPr>
          <w:rFonts w:ascii="Palatino Linotype" w:eastAsia="Palatino Linotype" w:hAnsi="Palatino Linotype" w:cs="Palatino Linotype"/>
        </w:rPr>
      </w:pPr>
      <w:r w:rsidRPr="000612A7">
        <w:rPr>
          <w:rFonts w:ascii="Palatino Linotype" w:eastAsia="Palatino Linotype" w:hAnsi="Palatino Linotype" w:cs="Palatino Linotype"/>
          <w:i/>
          <w:sz w:val="22"/>
          <w:szCs w:val="22"/>
        </w:rPr>
        <w:t>“</w:t>
      </w:r>
      <w:r w:rsidRPr="000612A7">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0612A7">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0612A7">
        <w:rPr>
          <w:rFonts w:ascii="Palatino Linotype" w:eastAsia="Palatino Linotype" w:hAnsi="Palatino Linotype" w:cs="Palatino Linotype"/>
          <w:b/>
          <w:i/>
          <w:sz w:val="22"/>
          <w:szCs w:val="22"/>
        </w:rPr>
        <w:t>.</w:t>
      </w:r>
      <w:r w:rsidRPr="000612A7">
        <w:rPr>
          <w:rFonts w:ascii="Palatino Linotype" w:eastAsia="Palatino Linotype" w:hAnsi="Palatino Linotype" w:cs="Palatino Linotype"/>
          <w:i/>
          <w:sz w:val="22"/>
          <w:szCs w:val="22"/>
        </w:rPr>
        <w:t>”</w:t>
      </w:r>
    </w:p>
    <w:p w14:paraId="60D0639F" w14:textId="77777777" w:rsidR="000B72AC" w:rsidRPr="000612A7" w:rsidRDefault="000B72AC">
      <w:pPr>
        <w:spacing w:before="240" w:line="360" w:lineRule="auto"/>
        <w:jc w:val="both"/>
        <w:rPr>
          <w:rFonts w:ascii="Palatino Linotype" w:eastAsia="Palatino Linotype" w:hAnsi="Palatino Linotype" w:cs="Palatino Linotype"/>
        </w:rPr>
      </w:pPr>
    </w:p>
    <w:p w14:paraId="358ABB4E" w14:textId="77777777" w:rsidR="000B72AC" w:rsidRPr="000612A7" w:rsidRDefault="00F53D96">
      <w:pPr>
        <w:spacing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640726F" w14:textId="77777777" w:rsidR="000B72AC" w:rsidRPr="000612A7" w:rsidRDefault="00F53D96">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0612A7">
        <w:rPr>
          <w:rFonts w:ascii="Palatino Linotype" w:eastAsia="Palatino Linotype" w:hAnsi="Palatino Linotype" w:cs="Palatino Linotype"/>
          <w:b/>
          <w:sz w:val="22"/>
          <w:szCs w:val="22"/>
        </w:rPr>
        <w:t>R E S U E L V E:</w:t>
      </w:r>
    </w:p>
    <w:p w14:paraId="1172D0A9" w14:textId="77777777" w:rsidR="000B72AC" w:rsidRPr="000612A7" w:rsidRDefault="00F53D96">
      <w:pP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Primero. </w:t>
      </w:r>
      <w:r w:rsidRPr="000612A7">
        <w:rPr>
          <w:rFonts w:ascii="Palatino Linotype" w:eastAsia="Palatino Linotype" w:hAnsi="Palatino Linotype" w:cs="Palatino Linotype"/>
        </w:rPr>
        <w:t xml:space="preserve">Resultan parcialmente fundados los motivos de inconformidad hechos valer por el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en el Recurso de Revisión </w:t>
      </w:r>
      <w:r w:rsidRPr="000612A7">
        <w:rPr>
          <w:rFonts w:ascii="Palatino Linotype" w:eastAsia="Palatino Linotype" w:hAnsi="Palatino Linotype" w:cs="Palatino Linotype"/>
          <w:b/>
        </w:rPr>
        <w:t xml:space="preserve">13769/INFOEM/IP/RR/2022, </w:t>
      </w:r>
      <w:r w:rsidRPr="000612A7">
        <w:rPr>
          <w:rFonts w:ascii="Palatino Linotype" w:eastAsia="Palatino Linotype" w:hAnsi="Palatino Linotype" w:cs="Palatino Linotype"/>
        </w:rPr>
        <w:t xml:space="preserve">por lo que, en términos del considerando </w:t>
      </w:r>
      <w:r w:rsidRPr="000612A7">
        <w:rPr>
          <w:rFonts w:ascii="Palatino Linotype" w:eastAsia="Palatino Linotype" w:hAnsi="Palatino Linotype" w:cs="Palatino Linotype"/>
          <w:b/>
        </w:rPr>
        <w:t xml:space="preserve">Cuarto </w:t>
      </w:r>
      <w:r w:rsidRPr="000612A7">
        <w:rPr>
          <w:rFonts w:ascii="Palatino Linotype" w:eastAsia="Palatino Linotype" w:hAnsi="Palatino Linotype" w:cs="Palatino Linotype"/>
        </w:rPr>
        <w:t xml:space="preserve">de esta resolución, se </w:t>
      </w:r>
      <w:r w:rsidRPr="000612A7">
        <w:rPr>
          <w:rFonts w:ascii="Palatino Linotype" w:eastAsia="Palatino Linotype" w:hAnsi="Palatino Linotype" w:cs="Palatino Linotype"/>
          <w:b/>
        </w:rPr>
        <w:t xml:space="preserve">MODIFICA </w:t>
      </w:r>
      <w:r w:rsidRPr="000612A7">
        <w:rPr>
          <w:rFonts w:ascii="Palatino Linotype" w:eastAsia="Palatino Linotype" w:hAnsi="Palatino Linotype" w:cs="Palatino Linotype"/>
        </w:rPr>
        <w:t xml:space="preserve">la respuesta emitida por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w:t>
      </w:r>
    </w:p>
    <w:p w14:paraId="7CBBB00B" w14:textId="77777777" w:rsidR="000B72AC" w:rsidRPr="000612A7" w:rsidRDefault="00F53D96">
      <w:pPr>
        <w:spacing w:before="240" w:after="240" w:line="360" w:lineRule="auto"/>
        <w:ind w:right="49"/>
        <w:jc w:val="both"/>
        <w:rPr>
          <w:rFonts w:ascii="Palatino Linotype" w:eastAsia="Palatino Linotype" w:hAnsi="Palatino Linotype" w:cs="Palatino Linotype"/>
        </w:rPr>
      </w:pPr>
      <w:r w:rsidRPr="000612A7">
        <w:rPr>
          <w:rFonts w:ascii="Palatino Linotype" w:eastAsia="Palatino Linotype" w:hAnsi="Palatino Linotype" w:cs="Palatino Linotype"/>
          <w:b/>
        </w:rPr>
        <w:t xml:space="preserve">Segundo. </w:t>
      </w:r>
      <w:r w:rsidRPr="000612A7">
        <w:rPr>
          <w:rFonts w:ascii="Palatino Linotype" w:eastAsia="Palatino Linotype" w:hAnsi="Palatino Linotype" w:cs="Palatino Linotype"/>
        </w:rPr>
        <w:t>Se</w:t>
      </w:r>
      <w:r w:rsidRPr="000612A7">
        <w:rPr>
          <w:rFonts w:ascii="Palatino Linotype" w:eastAsia="Palatino Linotype" w:hAnsi="Palatino Linotype" w:cs="Palatino Linotype"/>
          <w:b/>
        </w:rPr>
        <w:t xml:space="preserve"> ORDENA </w:t>
      </w:r>
      <w:r w:rsidRPr="000612A7">
        <w:rPr>
          <w:rFonts w:ascii="Palatino Linotype" w:eastAsia="Palatino Linotype" w:hAnsi="Palatino Linotype" w:cs="Palatino Linotype"/>
        </w:rPr>
        <w:t xml:space="preserve">al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a que,</w:t>
      </w:r>
      <w:r w:rsidRPr="000612A7">
        <w:rPr>
          <w:rFonts w:ascii="Palatino Linotype" w:eastAsia="Palatino Linotype" w:hAnsi="Palatino Linotype" w:cs="Palatino Linotype"/>
          <w:b/>
        </w:rPr>
        <w:t xml:space="preserve"> </w:t>
      </w:r>
      <w:r w:rsidRPr="000612A7">
        <w:rPr>
          <w:rFonts w:ascii="Palatino Linotype" w:eastAsia="Palatino Linotype" w:hAnsi="Palatino Linotype" w:cs="Palatino Linotype"/>
        </w:rPr>
        <w:t>en términos del Considerando Cuarto de la presente resolución, haga entrega vía SAIMEX, de lo siguiente:</w:t>
      </w:r>
    </w:p>
    <w:p w14:paraId="475D8F3B" w14:textId="77777777" w:rsidR="000B72AC" w:rsidRPr="000612A7" w:rsidRDefault="00F53D96">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rPr>
        <w:t>El nombre de los servidores públicos quienes tienen asignados</w:t>
      </w:r>
      <w:r w:rsidR="00A62465" w:rsidRPr="000612A7">
        <w:rPr>
          <w:rFonts w:ascii="Palatino Linotype" w:eastAsia="Palatino Linotype" w:hAnsi="Palatino Linotype" w:cs="Palatino Linotype"/>
        </w:rPr>
        <w:t xml:space="preserve"> o en resguardo</w:t>
      </w:r>
      <w:r w:rsidRPr="000612A7">
        <w:rPr>
          <w:rFonts w:ascii="Palatino Linotype" w:eastAsia="Palatino Linotype" w:hAnsi="Palatino Linotype" w:cs="Palatino Linotype"/>
        </w:rPr>
        <w:t xml:space="preserve"> los vehículos y número de cajón en los estacionamientos del interior del Conjunto SEDAGRO en el Municipio de Metepec y en el interior del edificio Ericsson en Tlalnepantla, referidos en los listados remitidos en respuesta. </w:t>
      </w:r>
    </w:p>
    <w:p w14:paraId="6B4CA060" w14:textId="77777777" w:rsidR="000B72AC" w:rsidRPr="000612A7" w:rsidRDefault="00F53D96">
      <w:pPr>
        <w:spacing w:before="240" w:line="360" w:lineRule="auto"/>
        <w:jc w:val="both"/>
        <w:rPr>
          <w:rFonts w:ascii="Palatino Linotype" w:eastAsia="Palatino Linotype" w:hAnsi="Palatino Linotype" w:cs="Palatino Linotype"/>
        </w:rPr>
      </w:pPr>
      <w:r w:rsidRPr="000612A7">
        <w:rPr>
          <w:rFonts w:ascii="Palatino Linotype" w:eastAsia="Palatino Linotype" w:hAnsi="Palatino Linotype" w:cs="Palatino Linotype"/>
          <w:b/>
        </w:rPr>
        <w:t>Tercero. Notifíquese vía SAIMEX,</w:t>
      </w:r>
      <w:r w:rsidRPr="000612A7">
        <w:rPr>
          <w:rFonts w:ascii="Palatino Linotype" w:eastAsia="Palatino Linotype" w:hAnsi="Palatino Linotype" w:cs="Palatino Linotype"/>
          <w:b/>
          <w:i/>
        </w:rPr>
        <w:t xml:space="preserve"> </w:t>
      </w:r>
      <w:r w:rsidRPr="000612A7">
        <w:rPr>
          <w:rFonts w:ascii="Palatino Linotype" w:eastAsia="Palatino Linotype" w:hAnsi="Palatino Linotype" w:cs="Palatino Linotype"/>
        </w:rPr>
        <w:t xml:space="preserve">al Responsable de la Unidad de Transparencia del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la presente resolución, para que conforme al artículo 186, último párrafo y 189, párrafo segundo de la Ley de Transparencia y Acceso a la </w:t>
      </w:r>
      <w:r w:rsidRPr="000612A7">
        <w:rPr>
          <w:rFonts w:ascii="Palatino Linotype" w:eastAsia="Palatino Linotype" w:hAnsi="Palatino Linotype" w:cs="Palatino Linotype"/>
        </w:rPr>
        <w:lastRenderedPageBreak/>
        <w:t>Información Pública del Estado de México y Municipios dé cumplimiento a lo ordenado dentro del plazo de diez días hábiles, debiendo informar a este Instituto en un plazo de tres días hábiles siguientes sobre el cumplimiento dado.</w:t>
      </w:r>
    </w:p>
    <w:p w14:paraId="75B169D3" w14:textId="77777777" w:rsidR="000B72AC" w:rsidRPr="000612A7" w:rsidRDefault="000B72AC">
      <w:pPr>
        <w:spacing w:line="360" w:lineRule="auto"/>
        <w:jc w:val="both"/>
        <w:rPr>
          <w:rFonts w:ascii="Palatino Linotype" w:eastAsia="Palatino Linotype" w:hAnsi="Palatino Linotype" w:cs="Palatino Linotype"/>
        </w:rPr>
      </w:pPr>
    </w:p>
    <w:p w14:paraId="3235B3AC" w14:textId="77777777" w:rsidR="000B72AC" w:rsidRPr="000612A7" w:rsidRDefault="00F53D96">
      <w:pPr>
        <w:spacing w:line="360" w:lineRule="auto"/>
        <w:ind w:right="49"/>
        <w:jc w:val="both"/>
        <w:rPr>
          <w:rFonts w:ascii="Palatino Linotype" w:eastAsia="Palatino Linotype" w:hAnsi="Palatino Linotype" w:cs="Palatino Linotype"/>
        </w:rPr>
      </w:pPr>
      <w:r w:rsidRPr="000612A7">
        <w:rPr>
          <w:rFonts w:ascii="Palatino Linotype" w:eastAsia="Palatino Linotype" w:hAnsi="Palatino Linotype" w:cs="Palatino Linotype"/>
          <w:b/>
        </w:rPr>
        <w:t>Cuarto. Notifíquese vía SAIMEX</w:t>
      </w:r>
      <w:r w:rsidRPr="000612A7">
        <w:rPr>
          <w:rFonts w:ascii="Palatino Linotype" w:eastAsia="Palatino Linotype" w:hAnsi="Palatino Linotype" w:cs="Palatino Linotype"/>
        </w:rPr>
        <w:t xml:space="preserve">, a la parte </w:t>
      </w:r>
      <w:r w:rsidRPr="000612A7">
        <w:rPr>
          <w:rFonts w:ascii="Palatino Linotype" w:eastAsia="Palatino Linotype" w:hAnsi="Palatino Linotype" w:cs="Palatino Linotype"/>
          <w:b/>
        </w:rPr>
        <w:t>RECURRENTE</w:t>
      </w:r>
      <w:r w:rsidRPr="000612A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13A963D" w14:textId="77777777" w:rsidR="000B72AC" w:rsidRPr="000612A7" w:rsidRDefault="000B72AC">
      <w:pPr>
        <w:spacing w:line="360" w:lineRule="auto"/>
        <w:ind w:right="49"/>
        <w:jc w:val="both"/>
        <w:rPr>
          <w:rFonts w:ascii="Palatino Linotype" w:eastAsia="Palatino Linotype" w:hAnsi="Palatino Linotype" w:cs="Palatino Linotype"/>
        </w:rPr>
      </w:pPr>
    </w:p>
    <w:p w14:paraId="4FA28A4F" w14:textId="77777777" w:rsidR="000B72AC" w:rsidRPr="000612A7" w:rsidRDefault="00F53D96">
      <w:pPr>
        <w:spacing w:after="240" w:line="360" w:lineRule="auto"/>
        <w:jc w:val="both"/>
        <w:rPr>
          <w:rFonts w:ascii="Palatino Linotype" w:eastAsia="Palatino Linotype" w:hAnsi="Palatino Linotype" w:cs="Palatino Linotype"/>
          <w:b/>
        </w:rPr>
      </w:pPr>
      <w:r w:rsidRPr="000612A7">
        <w:rPr>
          <w:rFonts w:ascii="Palatino Linotype" w:eastAsia="Palatino Linotype" w:hAnsi="Palatino Linotype" w:cs="Palatino Linotype"/>
          <w:b/>
        </w:rPr>
        <w:t>Quinto.</w:t>
      </w:r>
      <w:r w:rsidRPr="000612A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0612A7">
        <w:rPr>
          <w:rFonts w:ascii="Palatino Linotype" w:eastAsia="Palatino Linotype" w:hAnsi="Palatino Linotype" w:cs="Palatino Linotype"/>
          <w:b/>
        </w:rPr>
        <w:t>SUJETO OBLIGADO</w:t>
      </w:r>
      <w:r w:rsidRPr="000612A7">
        <w:rPr>
          <w:rFonts w:ascii="Palatino Linotype" w:eastAsia="Palatino Linotype" w:hAnsi="Palatino Linotype" w:cs="Palatino Linotype"/>
        </w:rPr>
        <w:t xml:space="preserve"> de manera fundada y motivada, podrá solicitar una ampliación de plazo para el cumplimiento de la presente resolución.</w:t>
      </w:r>
    </w:p>
    <w:p w14:paraId="29A0E4F9" w14:textId="77777777" w:rsidR="000B72AC" w:rsidRPr="000612A7" w:rsidRDefault="00F53D96">
      <w:pPr>
        <w:spacing w:before="240" w:after="240" w:line="360" w:lineRule="auto"/>
        <w:jc w:val="both"/>
        <w:rPr>
          <w:rFonts w:ascii="Palatino Linotype" w:eastAsia="Palatino Linotype" w:hAnsi="Palatino Linotype" w:cs="Palatino Linotype"/>
        </w:rPr>
        <w:sectPr w:rsidR="000B72AC" w:rsidRPr="000612A7">
          <w:headerReference w:type="default" r:id="rId12"/>
          <w:footerReference w:type="default" r:id="rId13"/>
          <w:headerReference w:type="first" r:id="rId14"/>
          <w:footerReference w:type="first" r:id="rId15"/>
          <w:pgSz w:w="12240" w:h="15840"/>
          <w:pgMar w:top="2041" w:right="1750" w:bottom="1701" w:left="1701" w:header="709" w:footer="709" w:gutter="0"/>
          <w:pgNumType w:start="1"/>
          <w:cols w:space="720"/>
          <w:titlePg/>
        </w:sectPr>
      </w:pPr>
      <w:r w:rsidRPr="000612A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DIECIOCHO DE ENERO DEL DOS MIL VEINTITRÉS, ANTE EL SECRETARIO TÉCNICO DEL PLENO ALEXIS TAPIA RAMÍREZ.     </w:t>
      </w:r>
    </w:p>
    <w:p w14:paraId="1C7CE9FE" w14:textId="77777777" w:rsidR="000B72AC" w:rsidRPr="000612A7" w:rsidRDefault="000B72AC">
      <w:pPr>
        <w:spacing w:before="240" w:after="240" w:line="360" w:lineRule="auto"/>
        <w:jc w:val="both"/>
        <w:rPr>
          <w:rFonts w:ascii="Palatino Linotype" w:eastAsia="Palatino Linotype" w:hAnsi="Palatino Linotype" w:cs="Palatino Linotype"/>
        </w:rPr>
      </w:pPr>
    </w:p>
    <w:sectPr w:rsidR="000B72AC" w:rsidRPr="000612A7">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EE123" w14:textId="77777777" w:rsidR="00B22C28" w:rsidRDefault="00B22C28">
      <w:r>
        <w:separator/>
      </w:r>
    </w:p>
  </w:endnote>
  <w:endnote w:type="continuationSeparator" w:id="0">
    <w:p w14:paraId="2F48E3F5" w14:textId="77777777" w:rsidR="00B22C28" w:rsidRDefault="00B22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0E1FA" w14:textId="77777777" w:rsidR="000B72AC" w:rsidRDefault="00F53D9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4239F">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4239F">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7819ECD6" w14:textId="77777777" w:rsidR="000B72AC" w:rsidRDefault="000B72AC">
    <w:pPr>
      <w:pBdr>
        <w:top w:val="nil"/>
        <w:left w:val="nil"/>
        <w:bottom w:val="nil"/>
        <w:right w:val="nil"/>
        <w:between w:val="nil"/>
      </w:pBdr>
      <w:tabs>
        <w:tab w:val="center" w:pos="4252"/>
        <w:tab w:val="right" w:pos="8504"/>
      </w:tabs>
      <w:rPr>
        <w:color w:val="000000"/>
      </w:rPr>
    </w:pPr>
  </w:p>
  <w:p w14:paraId="159FD6B7" w14:textId="77777777" w:rsidR="000B72AC" w:rsidRDefault="000B72A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0C753" w14:textId="77777777" w:rsidR="000B72AC" w:rsidRDefault="00F53D9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4239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4239F">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1B8B6364" w14:textId="77777777" w:rsidR="000B72AC" w:rsidRDefault="000B72A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AB6F6" w14:textId="77777777" w:rsidR="00B22C28" w:rsidRDefault="00B22C28">
      <w:r>
        <w:separator/>
      </w:r>
    </w:p>
  </w:footnote>
  <w:footnote w:type="continuationSeparator" w:id="0">
    <w:p w14:paraId="20C59C0E" w14:textId="77777777" w:rsidR="00B22C28" w:rsidRDefault="00B22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5BE58" w14:textId="77777777" w:rsidR="000B72AC" w:rsidRDefault="000B72AC">
    <w:pPr>
      <w:widowControl w:val="0"/>
      <w:pBdr>
        <w:top w:val="nil"/>
        <w:left w:val="nil"/>
        <w:bottom w:val="nil"/>
        <w:right w:val="nil"/>
        <w:between w:val="nil"/>
      </w:pBdr>
      <w:spacing w:line="276" w:lineRule="auto"/>
      <w:rPr>
        <w:rFonts w:ascii="Calibri" w:eastAsia="Calibri" w:hAnsi="Calibri" w:cs="Calibri"/>
        <w:color w:val="000000"/>
      </w:rPr>
    </w:pPr>
  </w:p>
  <w:tbl>
    <w:tblPr>
      <w:tblStyle w:val="a1"/>
      <w:tblW w:w="5528" w:type="dxa"/>
      <w:tblInd w:w="3261" w:type="dxa"/>
      <w:tblLayout w:type="fixed"/>
      <w:tblLook w:val="0400" w:firstRow="0" w:lastRow="0" w:firstColumn="0" w:lastColumn="0" w:noHBand="0" w:noVBand="1"/>
    </w:tblPr>
    <w:tblGrid>
      <w:gridCol w:w="2551"/>
      <w:gridCol w:w="2977"/>
    </w:tblGrid>
    <w:tr w:rsidR="000B72AC" w14:paraId="2C5F5515" w14:textId="77777777">
      <w:tc>
        <w:tcPr>
          <w:tcW w:w="2551" w:type="dxa"/>
          <w:vAlign w:val="center"/>
        </w:tcPr>
        <w:p w14:paraId="30C40252" w14:textId="77777777" w:rsidR="000B72AC" w:rsidRDefault="00F53D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A99E126" w14:textId="77777777" w:rsidR="000B72AC" w:rsidRDefault="00F53D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13769/INFOEM/IP/RR/2022</w:t>
          </w:r>
        </w:p>
      </w:tc>
    </w:tr>
    <w:tr w:rsidR="000B72AC" w14:paraId="6445907B" w14:textId="77777777">
      <w:trPr>
        <w:trHeight w:val="228"/>
      </w:trPr>
      <w:tc>
        <w:tcPr>
          <w:tcW w:w="2551" w:type="dxa"/>
          <w:vAlign w:val="center"/>
        </w:tcPr>
        <w:p w14:paraId="604FDE25" w14:textId="77777777" w:rsidR="000B72AC" w:rsidRDefault="00F53D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30A1146" w14:textId="77777777" w:rsidR="000B72AC" w:rsidRDefault="00F53D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Medio Ambiente.</w:t>
          </w:r>
        </w:p>
      </w:tc>
    </w:tr>
    <w:tr w:rsidR="000B72AC" w14:paraId="51E19DC7" w14:textId="77777777">
      <w:tc>
        <w:tcPr>
          <w:tcW w:w="2551" w:type="dxa"/>
          <w:vAlign w:val="center"/>
        </w:tcPr>
        <w:p w14:paraId="5BC4A7CE" w14:textId="77777777" w:rsidR="000B72AC" w:rsidRDefault="00F53D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26683F9" w14:textId="77777777" w:rsidR="000B72AC" w:rsidRDefault="00F53D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6ECF95" w14:textId="77777777" w:rsidR="000B72AC" w:rsidRDefault="00F53D9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EF8BEF9" wp14:editId="17C329A1">
          <wp:simplePos x="0" y="0"/>
          <wp:positionH relativeFrom="column">
            <wp:posOffset>-695770</wp:posOffset>
          </wp:positionH>
          <wp:positionV relativeFrom="paragraph">
            <wp:posOffset>-1200945</wp:posOffset>
          </wp:positionV>
          <wp:extent cx="7809876" cy="10165823"/>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54F18" w14:textId="77777777" w:rsidR="000B72AC" w:rsidRDefault="00F53D9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520D0CB" wp14:editId="46F6C447">
          <wp:simplePos x="0" y="0"/>
          <wp:positionH relativeFrom="column">
            <wp:posOffset>-846160</wp:posOffset>
          </wp:positionH>
          <wp:positionV relativeFrom="paragraph">
            <wp:posOffset>-171231</wp:posOffset>
          </wp:positionV>
          <wp:extent cx="7809876" cy="1016582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0B72AC" w14:paraId="40C3EA19" w14:textId="77777777">
      <w:tc>
        <w:tcPr>
          <w:tcW w:w="2551" w:type="dxa"/>
          <w:vAlign w:val="center"/>
        </w:tcPr>
        <w:p w14:paraId="3387F90D" w14:textId="77777777" w:rsidR="000B72AC" w:rsidRDefault="00F53D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26A3D72" w14:textId="77777777" w:rsidR="000B72AC" w:rsidRDefault="00F53D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13769/INFOEM/IP/RR/2022. </w:t>
          </w:r>
        </w:p>
      </w:tc>
    </w:tr>
    <w:tr w:rsidR="000B72AC" w14:paraId="6A58F843" w14:textId="77777777">
      <w:tc>
        <w:tcPr>
          <w:tcW w:w="2551" w:type="dxa"/>
          <w:vAlign w:val="center"/>
        </w:tcPr>
        <w:p w14:paraId="36F896F4" w14:textId="77777777" w:rsidR="000B72AC" w:rsidRDefault="00F53D9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9C3DF43" w14:textId="77777777" w:rsidR="000B72AC" w:rsidRDefault="000B72AC">
          <w:pPr>
            <w:jc w:val="both"/>
            <w:rPr>
              <w:rFonts w:ascii="Palatino Linotype" w:eastAsia="Palatino Linotype" w:hAnsi="Palatino Linotype" w:cs="Palatino Linotype"/>
              <w:b/>
              <w:sz w:val="22"/>
              <w:szCs w:val="22"/>
            </w:rPr>
          </w:pPr>
        </w:p>
      </w:tc>
    </w:tr>
    <w:tr w:rsidR="000B72AC" w14:paraId="6FAD87C4" w14:textId="77777777">
      <w:trPr>
        <w:trHeight w:val="228"/>
      </w:trPr>
      <w:tc>
        <w:tcPr>
          <w:tcW w:w="2551" w:type="dxa"/>
          <w:vAlign w:val="center"/>
        </w:tcPr>
        <w:p w14:paraId="723903F8" w14:textId="77777777" w:rsidR="000B72AC" w:rsidRDefault="00F53D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05A34F0" w14:textId="77777777" w:rsidR="000B72AC" w:rsidRDefault="00F53D96">
          <w:pPr>
            <w:ind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del Medio Ambiente.</w:t>
          </w:r>
        </w:p>
      </w:tc>
    </w:tr>
    <w:tr w:rsidR="000B72AC" w14:paraId="7ABCC214" w14:textId="77777777">
      <w:tc>
        <w:tcPr>
          <w:tcW w:w="2551" w:type="dxa"/>
          <w:vAlign w:val="center"/>
        </w:tcPr>
        <w:p w14:paraId="6F3E6D53" w14:textId="77777777" w:rsidR="000B72AC" w:rsidRDefault="00F53D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8F5048F" w14:textId="77777777" w:rsidR="000B72AC" w:rsidRDefault="00F53D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6E7B31" w14:textId="77777777" w:rsidR="000B72AC" w:rsidRDefault="000B72A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851AF" w14:textId="77777777" w:rsidR="000B72AC" w:rsidRDefault="000B72A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DC2A6A1" w14:textId="77777777" w:rsidR="000B72AC" w:rsidRDefault="000B72A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C446BA"/>
    <w:multiLevelType w:val="multilevel"/>
    <w:tmpl w:val="0DB2A67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7A8E5B67"/>
    <w:multiLevelType w:val="multilevel"/>
    <w:tmpl w:val="8682C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7DFE5A73"/>
    <w:multiLevelType w:val="multilevel"/>
    <w:tmpl w:val="7918F1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2AC"/>
    <w:rsid w:val="000612A7"/>
    <w:rsid w:val="000B72AC"/>
    <w:rsid w:val="00293D10"/>
    <w:rsid w:val="005303C2"/>
    <w:rsid w:val="006616AC"/>
    <w:rsid w:val="00727690"/>
    <w:rsid w:val="00A62465"/>
    <w:rsid w:val="00B22C28"/>
    <w:rsid w:val="00CC32B3"/>
    <w:rsid w:val="00D7069D"/>
    <w:rsid w:val="00E4239F"/>
    <w:rsid w:val="00F53D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270E8"/>
  <w15:docId w15:val="{B208D048-7E82-41AD-865B-BD39B8C2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4669B6"/>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47155.pa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zGHZkuX6A2QA6cavn0qnYzCZFA==">AMUW2mW8MswJfR8SCd4TP7q8pOC31br4Eusi+y/hD13BdtraehNnQ67eRz4/3kAY++tqXdtamSwMS1pxkNUWjrGVecP6CbEL++xJ9WwrrTN9pIGwlihyl/Od12uJ+uN2qUee6OPi/9+U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5959</Words>
  <Characters>32780</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2023-01-20T17:25:00Z</cp:lastPrinted>
  <dcterms:created xsi:type="dcterms:W3CDTF">2023-01-26T22:48:00Z</dcterms:created>
  <dcterms:modified xsi:type="dcterms:W3CDTF">2023-01-26T22:48:00Z</dcterms:modified>
</cp:coreProperties>
</file>