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9598" w14:textId="77777777" w:rsidR="004F1406" w:rsidRDefault="004F1406" w:rsidP="004F1406">
      <w:pPr>
        <w:tabs>
          <w:tab w:val="left" w:pos="8931"/>
        </w:tabs>
        <w:spacing w:after="0" w:line="360" w:lineRule="auto"/>
        <w:rPr>
          <w:rFonts w:cs="Tahoma"/>
          <w:bCs/>
        </w:rPr>
      </w:pPr>
    </w:p>
    <w:p w14:paraId="3B2F19BE" w14:textId="3A62F700" w:rsidR="004F1406" w:rsidRPr="002D0AC7" w:rsidRDefault="004F1406" w:rsidP="004F1406">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Pr>
          <w:rFonts w:eastAsia="Calibri" w:cs="Tahoma"/>
          <w:lang w:val="es-ES"/>
        </w:rPr>
        <w:t>quince de febrero de dos mil veintitrés</w:t>
      </w:r>
      <w:r w:rsidRPr="002D0AC7">
        <w:rPr>
          <w:rFonts w:eastAsia="Calibri" w:cs="Tahoma"/>
          <w:lang w:val="es-ES"/>
        </w:rPr>
        <w:t xml:space="preserve">. </w:t>
      </w:r>
    </w:p>
    <w:p w14:paraId="18FB60F9" w14:textId="77777777" w:rsidR="004F1406" w:rsidRPr="002D0AC7" w:rsidRDefault="004F1406" w:rsidP="004F1406">
      <w:pPr>
        <w:spacing w:after="0" w:line="360" w:lineRule="auto"/>
        <w:rPr>
          <w:rFonts w:eastAsia="Calibri" w:cs="Tahoma"/>
          <w:b/>
          <w:bCs/>
          <w:lang w:val="es-ES"/>
        </w:rPr>
      </w:pPr>
    </w:p>
    <w:p w14:paraId="7EC3E6DA" w14:textId="00B750CF" w:rsidR="004F1406" w:rsidRPr="002D0AC7" w:rsidRDefault="004F1406" w:rsidP="004F1406">
      <w:pPr>
        <w:spacing w:after="0" w:line="360" w:lineRule="auto"/>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Pr>
          <w:rFonts w:eastAsia="Calibri" w:cs="Tahoma"/>
        </w:rPr>
        <w:t>000376/INFOEM/IP/RR/2023</w:t>
      </w:r>
      <w:r w:rsidRPr="002D0AC7">
        <w:rPr>
          <w:rFonts w:eastAsia="Calibri" w:cs="Tahoma"/>
        </w:rPr>
        <w:t xml:space="preserve">, interpuesto </w:t>
      </w:r>
      <w:r>
        <w:rPr>
          <w:rFonts w:eastAsia="Calibri" w:cs="Tahoma"/>
        </w:rPr>
        <w:t xml:space="preserve">por un particular, en lo sucesivo </w:t>
      </w:r>
      <w:r w:rsidRPr="002D0AC7">
        <w:rPr>
          <w:rFonts w:cs="Tahoma"/>
          <w:color w:val="0D0D0D" w:themeColor="text1" w:themeTint="F2"/>
        </w:rPr>
        <w:t xml:space="preserve">Recurrente o Particular, en contra de la falta de respuesta del Sujeto Obligado, </w:t>
      </w:r>
      <w:r>
        <w:rPr>
          <w:rFonts w:cs="Tahoma"/>
          <w:color w:val="0D0D0D" w:themeColor="text1" w:themeTint="F2"/>
        </w:rPr>
        <w:t>Ayuntamiento de Zinacantepec</w:t>
      </w:r>
      <w:r w:rsidRPr="002D0AC7">
        <w:rPr>
          <w:rFonts w:cs="Tahoma"/>
          <w:color w:val="0D0D0D" w:themeColor="text1" w:themeTint="F2"/>
        </w:rPr>
        <w:t>, a la solicitud de acceso a la información pública</w:t>
      </w:r>
      <w:r w:rsidRPr="002D0AC7">
        <w:rPr>
          <w:b/>
          <w:bCs/>
          <w:color w:val="FF0000"/>
        </w:rPr>
        <w:t> </w:t>
      </w:r>
      <w:r w:rsidRPr="004F1406">
        <w:rPr>
          <w:color w:val="auto"/>
        </w:rPr>
        <w:t>01465/ZINACANT/IP/2022</w:t>
      </w:r>
      <w:r w:rsidRPr="002D0AC7">
        <w:rPr>
          <w:rFonts w:cs="Tahoma"/>
          <w:iCs/>
          <w:color w:val="0D0D0D" w:themeColor="text1" w:themeTint="F2"/>
        </w:rPr>
        <w:t>,</w:t>
      </w:r>
      <w:r w:rsidRPr="002D0AC7">
        <w:rPr>
          <w:rFonts w:cs="Tahoma"/>
          <w:color w:val="0D0D0D" w:themeColor="text1" w:themeTint="F2"/>
        </w:rPr>
        <w:t xml:space="preserve"> se emite</w:t>
      </w:r>
      <w:r w:rsidRPr="002D0AC7">
        <w:rPr>
          <w:rFonts w:cs="Tahoma"/>
          <w:bCs/>
          <w:color w:val="0D0D0D" w:themeColor="text1" w:themeTint="F2"/>
        </w:rPr>
        <w:t xml:space="preserve"> la presente Resolución, con base en los Antecedentes y Considerandos que se exponen a continuación:</w:t>
      </w:r>
    </w:p>
    <w:p w14:paraId="3C7C3474" w14:textId="77777777" w:rsidR="004F1406" w:rsidRPr="002D0AC7" w:rsidRDefault="004F1406" w:rsidP="004F1406">
      <w:pPr>
        <w:spacing w:after="0" w:line="360" w:lineRule="auto"/>
        <w:rPr>
          <w:rFonts w:eastAsia="Calibri" w:cs="Tahoma"/>
          <w:b/>
          <w:bCs/>
          <w:lang w:val="es-ES"/>
        </w:rPr>
      </w:pPr>
    </w:p>
    <w:p w14:paraId="03F51857" w14:textId="77777777" w:rsidR="004F1406" w:rsidRPr="002D0AC7" w:rsidRDefault="004F1406" w:rsidP="004F1406">
      <w:pPr>
        <w:spacing w:after="0" w:line="360" w:lineRule="auto"/>
        <w:jc w:val="center"/>
        <w:rPr>
          <w:rFonts w:eastAsia="Calibri" w:cs="Tahoma"/>
          <w:b/>
          <w:bCs/>
          <w:lang w:val="es-ES"/>
        </w:rPr>
      </w:pPr>
      <w:r w:rsidRPr="002D0AC7">
        <w:rPr>
          <w:rFonts w:eastAsia="Calibri" w:cs="Tahoma"/>
          <w:b/>
          <w:bCs/>
          <w:lang w:val="es-ES"/>
        </w:rPr>
        <w:t>A N T E C E D E N T E S:</w:t>
      </w:r>
    </w:p>
    <w:p w14:paraId="6CB37F0B" w14:textId="77777777" w:rsidR="004F1406" w:rsidRPr="002D0AC7" w:rsidRDefault="004F1406" w:rsidP="004F1406">
      <w:pPr>
        <w:spacing w:after="0" w:line="360" w:lineRule="auto"/>
        <w:rPr>
          <w:lang w:val="es-ES"/>
        </w:rPr>
      </w:pPr>
    </w:p>
    <w:p w14:paraId="3D1DC71A" w14:textId="77777777" w:rsidR="004F1406" w:rsidRPr="002D0AC7" w:rsidRDefault="004F1406" w:rsidP="004F1406">
      <w:pPr>
        <w:spacing w:after="0" w:line="360" w:lineRule="auto"/>
        <w:rPr>
          <w:rFonts w:eastAsia="Calibri" w:cs="Tahoma"/>
          <w:b/>
          <w:bCs/>
          <w:lang w:val="es-ES"/>
        </w:rPr>
      </w:pPr>
      <w:r w:rsidRPr="002D0AC7">
        <w:rPr>
          <w:rFonts w:eastAsia="Calibri" w:cs="Tahoma"/>
          <w:b/>
          <w:bCs/>
          <w:lang w:val="es-ES"/>
        </w:rPr>
        <w:t>I. Presentación de la solicitud de información.</w:t>
      </w:r>
    </w:p>
    <w:p w14:paraId="3A6BFEE5" w14:textId="77777777" w:rsidR="004F1406" w:rsidRPr="002D0AC7" w:rsidRDefault="004F1406" w:rsidP="004F1406">
      <w:pPr>
        <w:spacing w:after="0" w:line="360" w:lineRule="auto"/>
        <w:rPr>
          <w:rFonts w:eastAsia="Calibri" w:cs="Tahoma"/>
          <w:b/>
          <w:bCs/>
          <w:lang w:val="es-ES"/>
        </w:rPr>
      </w:pPr>
    </w:p>
    <w:p w14:paraId="5C1E77D9" w14:textId="710FF0A4" w:rsidR="004F1406" w:rsidRPr="002D0AC7" w:rsidRDefault="004F1406" w:rsidP="004F1406">
      <w:pPr>
        <w:spacing w:after="0" w:line="360" w:lineRule="auto"/>
        <w:rPr>
          <w:rFonts w:cs="Tahoma"/>
        </w:rPr>
      </w:pPr>
      <w:r w:rsidRPr="002D0AC7">
        <w:rPr>
          <w:rFonts w:eastAsia="Calibri" w:cs="Tahoma"/>
          <w:lang w:val="es-ES"/>
        </w:rPr>
        <w:t xml:space="preserve">Con fecha </w:t>
      </w:r>
      <w:r>
        <w:rPr>
          <w:rFonts w:eastAsia="Calibri" w:cs="Tahoma"/>
          <w:lang w:val="es-ES"/>
        </w:rPr>
        <w:t xml:space="preserve">catorce de diciembre </w:t>
      </w:r>
      <w:r w:rsidRPr="002D0AC7">
        <w:rPr>
          <w:rFonts w:eastAsia="Calibri" w:cs="Tahoma"/>
          <w:lang w:val="es-ES"/>
        </w:rPr>
        <w:t xml:space="preserve">de dos mil veintidós, se </w:t>
      </w:r>
      <w:r>
        <w:rPr>
          <w:rFonts w:eastAsia="Calibri" w:cs="Tahoma"/>
          <w:lang w:val="es-ES"/>
        </w:rPr>
        <w:t>presentó</w:t>
      </w:r>
      <w:r w:rsidRPr="002D0AC7">
        <w:rPr>
          <w:rFonts w:eastAsia="Calibri" w:cs="Tahoma"/>
          <w:lang w:val="es-ES"/>
        </w:rPr>
        <w:t xml:space="preserve"> una solicitud de información del Particular, a través del Sistema de Acceso a la Información Mexiquense (SAIMEX), ante el</w:t>
      </w:r>
      <w:r>
        <w:rPr>
          <w:color w:val="000000"/>
        </w:rPr>
        <w:t xml:space="preserve"> Ayuntamiento de Zinacantepec</w:t>
      </w:r>
      <w:r>
        <w:rPr>
          <w:rFonts w:eastAsia="Calibri" w:cs="Tahoma"/>
        </w:rPr>
        <w:t xml:space="preserve">, </w:t>
      </w:r>
      <w:r w:rsidRPr="002D0AC7">
        <w:rPr>
          <w:rFonts w:cs="Tahoma"/>
        </w:rPr>
        <w:t>en los siguientes términos:</w:t>
      </w:r>
    </w:p>
    <w:p w14:paraId="17E8A5D0" w14:textId="77777777" w:rsidR="004F1406" w:rsidRPr="002D0AC7" w:rsidRDefault="004F1406" w:rsidP="004F1406">
      <w:pPr>
        <w:spacing w:after="0" w:line="360" w:lineRule="auto"/>
        <w:rPr>
          <w:rFonts w:cs="Tahoma"/>
        </w:rPr>
      </w:pPr>
    </w:p>
    <w:p w14:paraId="532DD834" w14:textId="77777777" w:rsidR="004F1406" w:rsidRPr="009019A4" w:rsidRDefault="004F1406" w:rsidP="004F1406">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14:paraId="20CC3336" w14:textId="5234B9E1" w:rsidR="004F1406" w:rsidRPr="003D0090" w:rsidRDefault="004F1406" w:rsidP="004F1406">
      <w:pPr>
        <w:spacing w:after="0" w:line="360" w:lineRule="auto"/>
        <w:ind w:left="567" w:right="567"/>
        <w:rPr>
          <w:rFonts w:eastAsia="Times New Roman" w:cs="Arial"/>
          <w:bCs/>
          <w:i/>
          <w:iCs/>
          <w:sz w:val="20"/>
          <w:szCs w:val="20"/>
          <w:lang w:eastAsia="es-ES"/>
        </w:rPr>
      </w:pPr>
      <w:r w:rsidRPr="004F1406">
        <w:rPr>
          <w:i/>
          <w:iCs/>
          <w:color w:val="000000"/>
          <w:sz w:val="20"/>
          <w:szCs w:val="20"/>
        </w:rPr>
        <w:t>SOLICITO TODOS LOS RECIBOS DE AGUINALDO DEL AÑO 2018</w:t>
      </w:r>
      <w:r w:rsidRPr="00645086">
        <w:rPr>
          <w:i/>
          <w:iCs/>
          <w:color w:val="000000"/>
          <w:sz w:val="20"/>
          <w:szCs w:val="20"/>
        </w:rPr>
        <w:t>.</w:t>
      </w:r>
      <w:r w:rsidRPr="003D0090">
        <w:rPr>
          <w:rFonts w:cs="Tahoma"/>
          <w:bCs/>
          <w:i/>
          <w:iCs/>
          <w:sz w:val="20"/>
          <w:szCs w:val="20"/>
        </w:rPr>
        <w:t xml:space="preserve">” </w:t>
      </w:r>
      <w:r w:rsidRPr="003D0090">
        <w:rPr>
          <w:rFonts w:eastAsia="Times New Roman" w:cs="Arial"/>
          <w:bCs/>
          <w:i/>
          <w:iCs/>
          <w:sz w:val="20"/>
          <w:szCs w:val="20"/>
          <w:lang w:eastAsia="es-ES"/>
        </w:rPr>
        <w:t>(Sic)</w:t>
      </w:r>
    </w:p>
    <w:p w14:paraId="54D55CCF" w14:textId="77777777" w:rsidR="004F1406" w:rsidRDefault="004F1406" w:rsidP="004F1406">
      <w:pPr>
        <w:tabs>
          <w:tab w:val="left" w:pos="4667"/>
        </w:tabs>
        <w:spacing w:after="0" w:line="360" w:lineRule="auto"/>
        <w:ind w:left="567" w:right="567"/>
        <w:rPr>
          <w:rFonts w:cs="Tahoma"/>
          <w:bCs/>
          <w:i/>
          <w:sz w:val="20"/>
          <w:szCs w:val="20"/>
        </w:rPr>
      </w:pPr>
    </w:p>
    <w:p w14:paraId="185641E6" w14:textId="77777777" w:rsidR="004F1406" w:rsidRPr="009019A4" w:rsidRDefault="004F1406" w:rsidP="004F1406">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14:paraId="402AE015" w14:textId="77777777" w:rsidR="004F1406" w:rsidRPr="009019A4" w:rsidRDefault="004F1406" w:rsidP="004F1406">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14:paraId="47E36310" w14:textId="77777777" w:rsidR="004F1406" w:rsidRPr="002D0AC7" w:rsidRDefault="004F1406" w:rsidP="004F1406">
      <w:pPr>
        <w:spacing w:after="0" w:line="360" w:lineRule="auto"/>
        <w:ind w:left="567" w:right="567"/>
        <w:rPr>
          <w:rFonts w:eastAsia="Times New Roman" w:cs="Arial"/>
          <w:bCs/>
          <w:i/>
          <w:iCs/>
          <w:color w:val="auto"/>
          <w:lang w:eastAsia="es-ES"/>
        </w:rPr>
      </w:pPr>
    </w:p>
    <w:p w14:paraId="795C4A0E" w14:textId="77777777" w:rsidR="004F1406" w:rsidRPr="002D0AC7" w:rsidRDefault="004F1406" w:rsidP="004F1406">
      <w:pPr>
        <w:tabs>
          <w:tab w:val="left" w:pos="4667"/>
        </w:tabs>
        <w:spacing w:after="0" w:line="360" w:lineRule="auto"/>
        <w:ind w:right="567"/>
        <w:rPr>
          <w:rFonts w:eastAsia="Calibri" w:cs="Tahoma"/>
          <w:b/>
          <w:bCs/>
          <w:lang w:val="es-ES"/>
        </w:rPr>
      </w:pPr>
      <w:r>
        <w:rPr>
          <w:rFonts w:eastAsia="Calibri" w:cs="Tahoma"/>
          <w:b/>
          <w:bCs/>
        </w:rPr>
        <w:t>II</w:t>
      </w:r>
      <w:r w:rsidRPr="003D5B55">
        <w:rPr>
          <w:rFonts w:eastAsia="Calibri" w:cs="Tahoma"/>
          <w:b/>
          <w:bCs/>
        </w:rPr>
        <w:t>.</w:t>
      </w:r>
      <w:r>
        <w:rPr>
          <w:rFonts w:cs="Tahoma"/>
          <w:b/>
          <w:bCs/>
        </w:rPr>
        <w:t xml:space="preserve"> </w:t>
      </w:r>
      <w:r>
        <w:rPr>
          <w:rFonts w:eastAsia="Calibri" w:cs="Tahoma"/>
          <w:b/>
          <w:bCs/>
          <w:lang w:val="es-ES"/>
        </w:rPr>
        <w:t>Respuesta del Sujeto Obligado</w:t>
      </w:r>
      <w:r w:rsidRPr="002D0AC7">
        <w:rPr>
          <w:rFonts w:eastAsia="Calibri" w:cs="Tahoma"/>
          <w:b/>
          <w:bCs/>
          <w:lang w:val="es-ES"/>
        </w:rPr>
        <w:t>.</w:t>
      </w:r>
    </w:p>
    <w:p w14:paraId="6491F4D8" w14:textId="77777777" w:rsidR="004F1406" w:rsidRPr="002D0AC7" w:rsidRDefault="004F1406" w:rsidP="004F1406">
      <w:pPr>
        <w:spacing w:after="0" w:line="360" w:lineRule="auto"/>
        <w:rPr>
          <w:rFonts w:eastAsia="Calibri" w:cs="Tahoma"/>
          <w:b/>
          <w:bCs/>
        </w:rPr>
      </w:pPr>
    </w:p>
    <w:p w14:paraId="4E6AE2C0" w14:textId="50FC135F" w:rsidR="004F1406" w:rsidRPr="002D0AC7" w:rsidRDefault="004F1406" w:rsidP="004F1406">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w:t>
      </w:r>
      <w:r w:rsidRPr="00AF590D">
        <w:rPr>
          <w:rFonts w:eastAsia="Calibri" w:cs="Tahoma"/>
          <w:color w:val="000000"/>
        </w:rPr>
        <w:t xml:space="preserve">electrónico del </w:t>
      </w:r>
      <w:r w:rsidRPr="00AF590D">
        <w:rPr>
          <w:rFonts w:eastAsia="Calibri" w:cs="Tahoma"/>
          <w:color w:val="000000"/>
          <w:lang w:val="es-ES"/>
        </w:rPr>
        <w:t xml:space="preserve">Sistema de Acceso a la Información Mexiquense (SAIMEX), se advierte que el </w:t>
      </w:r>
      <w:r>
        <w:rPr>
          <w:color w:val="000000"/>
        </w:rPr>
        <w:t xml:space="preserve">Ayuntamiento de </w:t>
      </w:r>
      <w:r w:rsidR="00F74C7F">
        <w:rPr>
          <w:color w:val="000000"/>
        </w:rPr>
        <w:t>Zinacantepec</w:t>
      </w:r>
      <w:r w:rsidRPr="00AF590D">
        <w:rPr>
          <w:rFonts w:eastAsia="Calibri" w:cs="Tahoma"/>
          <w:color w:val="000000"/>
        </w:rPr>
        <w:t>,</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7589C93F" w14:textId="77777777" w:rsidR="004F1406" w:rsidRPr="002D0AC7" w:rsidRDefault="004F1406" w:rsidP="004F1406">
      <w:pPr>
        <w:autoSpaceDE w:val="0"/>
        <w:autoSpaceDN w:val="0"/>
        <w:adjustRightInd w:val="0"/>
        <w:spacing w:after="0" w:line="360" w:lineRule="auto"/>
        <w:rPr>
          <w:rFonts w:eastAsia="Calibri" w:cs="Tahoma"/>
          <w:color w:val="000000"/>
          <w:lang w:val="es-ES"/>
        </w:rPr>
      </w:pPr>
    </w:p>
    <w:p w14:paraId="41FA6C80" w14:textId="77777777" w:rsidR="004F1406" w:rsidRPr="002D0AC7" w:rsidRDefault="004F1406" w:rsidP="004F1406">
      <w:pPr>
        <w:autoSpaceDE w:val="0"/>
        <w:autoSpaceDN w:val="0"/>
        <w:adjustRightInd w:val="0"/>
        <w:spacing w:after="0" w:line="360" w:lineRule="auto"/>
        <w:rPr>
          <w:rFonts w:eastAsia="Calibri" w:cs="Tahoma"/>
          <w:b/>
          <w:color w:val="000000"/>
        </w:rPr>
      </w:pPr>
      <w:r>
        <w:rPr>
          <w:rFonts w:eastAsia="Calibri" w:cs="Tahoma"/>
          <w:b/>
          <w:color w:val="000000"/>
        </w:rPr>
        <w:t>III.</w:t>
      </w:r>
      <w:r w:rsidRPr="002D0AC7">
        <w:rPr>
          <w:rFonts w:eastAsia="Calibri" w:cs="Tahoma"/>
          <w:b/>
          <w:color w:val="000000"/>
        </w:rPr>
        <w:t xml:space="preserve"> Interposición del Recurso de Revisión. </w:t>
      </w:r>
    </w:p>
    <w:p w14:paraId="3F2132A8" w14:textId="77777777" w:rsidR="004F1406" w:rsidRPr="002D0AC7" w:rsidRDefault="004F1406" w:rsidP="004F1406">
      <w:pPr>
        <w:spacing w:after="0" w:line="360" w:lineRule="auto"/>
        <w:rPr>
          <w:rFonts w:eastAsia="Times New Roman" w:cs="Tahoma"/>
          <w:bCs/>
          <w:color w:val="auto"/>
          <w:lang w:eastAsia="es-ES"/>
        </w:rPr>
      </w:pPr>
    </w:p>
    <w:p w14:paraId="77A12DCC" w14:textId="3F626AA8" w:rsidR="004F1406" w:rsidRPr="00722BC9" w:rsidRDefault="004F1406" w:rsidP="004F1406">
      <w:pPr>
        <w:spacing w:after="0" w:line="360" w:lineRule="auto"/>
        <w:rPr>
          <w:bCs/>
        </w:rPr>
      </w:pPr>
      <w:r w:rsidRPr="002D0AC7">
        <w:rPr>
          <w:rFonts w:eastAsia="Times New Roman" w:cs="Tahoma"/>
          <w:bCs/>
          <w:color w:val="auto"/>
          <w:lang w:val="es-ES" w:eastAsia="es-ES"/>
        </w:rPr>
        <w:t xml:space="preserve">Con fecha </w:t>
      </w:r>
      <w:r w:rsidR="00F74C7F">
        <w:rPr>
          <w:rFonts w:eastAsia="Times New Roman" w:cs="Tahoma"/>
          <w:bCs/>
          <w:color w:val="auto"/>
          <w:lang w:val="es-ES" w:eastAsia="es-ES"/>
        </w:rPr>
        <w:t>veintitrés</w:t>
      </w:r>
      <w:r>
        <w:rPr>
          <w:rFonts w:eastAsia="Times New Roman" w:cs="Tahoma"/>
          <w:bCs/>
          <w:color w:val="auto"/>
          <w:lang w:val="es-ES" w:eastAsia="es-ES"/>
        </w:rPr>
        <w:t xml:space="preserve"> de enero de dos mil veintitrés</w:t>
      </w:r>
      <w:r w:rsidRPr="002D0AC7">
        <w:rPr>
          <w:rFonts w:eastAsia="Times New Roman" w:cs="Tahoma"/>
          <w:bCs/>
          <w:color w:val="auto"/>
          <w:lang w:val="es-ES" w:eastAsia="es-ES"/>
        </w:rPr>
        <w:t xml:space="preserve">, </w:t>
      </w:r>
      <w:r w:rsidRPr="002D0AC7">
        <w:rPr>
          <w:rFonts w:eastAsia="Times New Roman" w:cs="Tahoma"/>
          <w:bCs/>
          <w:color w:val="auto"/>
          <w:lang w:eastAsia="es-ES"/>
        </w:rPr>
        <w:t xml:space="preserve">se </w:t>
      </w:r>
      <w:r>
        <w:rPr>
          <w:rFonts w:eastAsia="Times New Roman" w:cs="Tahoma"/>
          <w:bCs/>
          <w:color w:val="auto"/>
          <w:lang w:eastAsia="es-ES"/>
        </w:rPr>
        <w:t>tuvo por recibido</w:t>
      </w:r>
      <w:r w:rsidRPr="002D0AC7">
        <w:rPr>
          <w:rFonts w:eastAsia="Times New Roman" w:cs="Tahoma"/>
          <w:bCs/>
          <w:color w:val="auto"/>
          <w:lang w:eastAsia="es-ES"/>
        </w:rPr>
        <w:t xml:space="preserve">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w:t>
      </w:r>
      <w:r w:rsidRPr="00722BC9">
        <w:rPr>
          <w:rFonts w:cs="Tahoma"/>
          <w:b/>
          <w:lang w:eastAsia="es-ES"/>
        </w:rPr>
        <w:t xml:space="preserve"> </w:t>
      </w:r>
      <w:r w:rsidRPr="00722BC9">
        <w:rPr>
          <w:rFonts w:cs="Tahoma"/>
          <w:lang w:eastAsia="es-ES"/>
        </w:rPr>
        <w:t>en los siguientes términos:</w:t>
      </w:r>
    </w:p>
    <w:p w14:paraId="7D66D1FC" w14:textId="77777777" w:rsidR="004F1406" w:rsidRPr="002D0AC7" w:rsidRDefault="004F1406" w:rsidP="004F1406">
      <w:pPr>
        <w:spacing w:after="0" w:line="360" w:lineRule="auto"/>
        <w:rPr>
          <w:rFonts w:eastAsia="Times New Roman" w:cs="Tahoma"/>
          <w:bCs/>
          <w:color w:val="auto"/>
          <w:lang w:eastAsia="es-ES"/>
        </w:rPr>
      </w:pPr>
    </w:p>
    <w:p w14:paraId="6C929985" w14:textId="77777777" w:rsidR="004F1406" w:rsidRPr="00F74C7F" w:rsidRDefault="004F1406" w:rsidP="004F1406">
      <w:pPr>
        <w:spacing w:after="0" w:line="360" w:lineRule="auto"/>
        <w:ind w:left="567" w:right="567"/>
        <w:rPr>
          <w:rFonts w:eastAsia="Times New Roman" w:cs="Tahoma"/>
          <w:b/>
          <w:bCs/>
          <w:i/>
          <w:color w:val="auto"/>
          <w:sz w:val="20"/>
          <w:szCs w:val="20"/>
          <w:lang w:eastAsia="es-ES"/>
        </w:rPr>
      </w:pPr>
      <w:r w:rsidRPr="00F74C7F">
        <w:rPr>
          <w:rFonts w:eastAsia="Times New Roman" w:cs="Tahoma"/>
          <w:b/>
          <w:bCs/>
          <w:i/>
          <w:color w:val="auto"/>
          <w:sz w:val="20"/>
          <w:szCs w:val="20"/>
          <w:lang w:eastAsia="es-ES"/>
        </w:rPr>
        <w:t>“ACTO IMPUGNADO</w:t>
      </w:r>
    </w:p>
    <w:p w14:paraId="4F186F96" w14:textId="0494247B" w:rsidR="004F1406" w:rsidRPr="00F74C7F" w:rsidRDefault="00F74C7F" w:rsidP="004F1406">
      <w:pPr>
        <w:spacing w:after="0" w:line="360" w:lineRule="auto"/>
        <w:ind w:left="567" w:right="567"/>
        <w:rPr>
          <w:rFonts w:eastAsia="Times New Roman" w:cs="Tahoma"/>
          <w:bCs/>
          <w:i/>
          <w:color w:val="auto"/>
          <w:sz w:val="20"/>
          <w:szCs w:val="20"/>
          <w:lang w:eastAsia="es-ES"/>
        </w:rPr>
      </w:pPr>
      <w:r w:rsidRPr="00F74C7F">
        <w:rPr>
          <w:i/>
          <w:color w:val="000000"/>
          <w:sz w:val="20"/>
          <w:szCs w:val="20"/>
        </w:rPr>
        <w:t>NO ENTREGA INFORMACIÓN</w:t>
      </w:r>
      <w:r w:rsidR="004F1406" w:rsidRPr="00F74C7F">
        <w:rPr>
          <w:i/>
          <w:color w:val="000000"/>
          <w:sz w:val="20"/>
          <w:szCs w:val="20"/>
        </w:rPr>
        <w:t>.</w:t>
      </w:r>
      <w:r w:rsidR="004F1406" w:rsidRPr="00F74C7F">
        <w:rPr>
          <w:i/>
          <w:sz w:val="20"/>
          <w:szCs w:val="20"/>
        </w:rPr>
        <w:t>”</w:t>
      </w:r>
      <w:r w:rsidR="004F1406" w:rsidRPr="00F74C7F">
        <w:rPr>
          <w:bCs/>
          <w:i/>
          <w:sz w:val="20"/>
          <w:szCs w:val="20"/>
        </w:rPr>
        <w:t xml:space="preserve"> </w:t>
      </w:r>
      <w:r w:rsidR="004F1406" w:rsidRPr="00F74C7F">
        <w:rPr>
          <w:rFonts w:eastAsia="Times New Roman" w:cs="Tahoma"/>
          <w:bCs/>
          <w:i/>
          <w:color w:val="auto"/>
          <w:sz w:val="20"/>
          <w:szCs w:val="20"/>
          <w:lang w:eastAsia="es-ES"/>
        </w:rPr>
        <w:t>(Sic)</w:t>
      </w:r>
    </w:p>
    <w:p w14:paraId="777DB976" w14:textId="77777777" w:rsidR="004F1406" w:rsidRPr="00F74C7F" w:rsidRDefault="004F1406" w:rsidP="004F1406">
      <w:pPr>
        <w:spacing w:after="0" w:line="360" w:lineRule="auto"/>
        <w:ind w:left="567" w:right="567"/>
        <w:rPr>
          <w:rFonts w:eastAsia="Times New Roman" w:cs="Tahoma"/>
          <w:bCs/>
          <w:i/>
          <w:color w:val="auto"/>
          <w:sz w:val="20"/>
          <w:szCs w:val="20"/>
          <w:lang w:eastAsia="es-ES"/>
        </w:rPr>
      </w:pPr>
    </w:p>
    <w:p w14:paraId="2D40DA41" w14:textId="77777777" w:rsidR="004F1406" w:rsidRPr="00F74C7F" w:rsidRDefault="004F1406" w:rsidP="004F1406">
      <w:pPr>
        <w:spacing w:after="0" w:line="360" w:lineRule="auto"/>
        <w:ind w:left="567" w:right="567"/>
        <w:rPr>
          <w:rFonts w:eastAsia="Times New Roman" w:cs="Tahoma"/>
          <w:b/>
          <w:bCs/>
          <w:i/>
          <w:color w:val="auto"/>
          <w:sz w:val="20"/>
          <w:szCs w:val="20"/>
          <w:lang w:eastAsia="es-ES"/>
        </w:rPr>
      </w:pPr>
      <w:r w:rsidRPr="00F74C7F">
        <w:rPr>
          <w:rFonts w:eastAsia="Times New Roman" w:cs="Tahoma"/>
          <w:b/>
          <w:bCs/>
          <w:i/>
          <w:color w:val="auto"/>
          <w:sz w:val="20"/>
          <w:szCs w:val="20"/>
          <w:lang w:eastAsia="es-ES"/>
        </w:rPr>
        <w:t>“RAZONES O MOTIVOS DE LA INCONFORMIDAD</w:t>
      </w:r>
    </w:p>
    <w:p w14:paraId="2C01C927" w14:textId="652E1934" w:rsidR="004F1406" w:rsidRPr="00F74C7F" w:rsidRDefault="00F74C7F" w:rsidP="00F74C7F">
      <w:pPr>
        <w:spacing w:after="0" w:line="240" w:lineRule="auto"/>
        <w:ind w:firstLine="567"/>
        <w:rPr>
          <w:rFonts w:eastAsia="Times New Roman" w:cs="Times New Roman"/>
          <w:i/>
          <w:color w:val="auto"/>
          <w:sz w:val="20"/>
          <w:szCs w:val="20"/>
          <w:lang w:eastAsia="es-MX"/>
        </w:rPr>
      </w:pPr>
      <w:r w:rsidRPr="00F74C7F">
        <w:rPr>
          <w:rFonts w:eastAsia="Times New Roman" w:cs="Times New Roman"/>
          <w:i/>
          <w:color w:val="auto"/>
          <w:sz w:val="20"/>
          <w:szCs w:val="20"/>
          <w:lang w:eastAsia="es-MX"/>
        </w:rPr>
        <w:t>NO ENTREGA INFORMACIÓN</w:t>
      </w:r>
      <w:r w:rsidR="004F1406" w:rsidRPr="00F74C7F">
        <w:rPr>
          <w:i/>
          <w:color w:val="000000"/>
          <w:sz w:val="20"/>
          <w:szCs w:val="20"/>
        </w:rPr>
        <w:t>.”</w:t>
      </w:r>
      <w:r w:rsidR="004F1406" w:rsidRPr="00F74C7F">
        <w:rPr>
          <w:bCs/>
          <w:i/>
          <w:color w:val="000000"/>
          <w:sz w:val="20"/>
          <w:szCs w:val="20"/>
        </w:rPr>
        <w:t xml:space="preserve"> </w:t>
      </w:r>
      <w:r w:rsidR="004F1406" w:rsidRPr="00F74C7F">
        <w:rPr>
          <w:rFonts w:eastAsia="Times New Roman" w:cs="Tahoma"/>
          <w:bCs/>
          <w:i/>
          <w:color w:val="auto"/>
          <w:sz w:val="20"/>
          <w:szCs w:val="20"/>
          <w:lang w:eastAsia="es-ES"/>
        </w:rPr>
        <w:t>(Sic)</w:t>
      </w:r>
    </w:p>
    <w:p w14:paraId="44C6BAEE" w14:textId="77777777" w:rsidR="00F74C7F" w:rsidRDefault="00F74C7F" w:rsidP="004F1406">
      <w:pPr>
        <w:spacing w:after="0" w:line="360" w:lineRule="auto"/>
        <w:rPr>
          <w:rFonts w:eastAsia="Calibri" w:cs="Tahoma"/>
          <w:b/>
          <w:color w:val="000000"/>
        </w:rPr>
      </w:pPr>
    </w:p>
    <w:p w14:paraId="0D68B565" w14:textId="77777777" w:rsidR="004F1406" w:rsidRPr="002D0AC7" w:rsidRDefault="004F1406" w:rsidP="004F1406">
      <w:pPr>
        <w:spacing w:after="0" w:line="360" w:lineRule="auto"/>
        <w:rPr>
          <w:rFonts w:eastAsia="Batang" w:cs="Tahoma"/>
          <w:b/>
          <w:bCs/>
          <w:color w:val="000000"/>
        </w:rPr>
      </w:pPr>
      <w:r>
        <w:rPr>
          <w:rFonts w:eastAsia="Calibri" w:cs="Tahoma"/>
          <w:b/>
          <w:color w:val="000000"/>
        </w:rPr>
        <w:t>IV</w:t>
      </w:r>
      <w:r w:rsidRPr="002D0AC7">
        <w:rPr>
          <w:rFonts w:eastAsia="Calibri" w:cs="Tahoma"/>
          <w:b/>
          <w:color w:val="000000"/>
        </w:rPr>
        <w:t xml:space="preserve">.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14:paraId="05038A0F" w14:textId="77777777" w:rsidR="004F1406" w:rsidRPr="002D0AC7" w:rsidRDefault="004F1406" w:rsidP="004F1406">
      <w:pPr>
        <w:spacing w:after="0" w:line="360" w:lineRule="auto"/>
        <w:rPr>
          <w:rFonts w:eastAsia="Batang" w:cs="Tahoma"/>
          <w:bCs/>
          <w:color w:val="000000"/>
        </w:rPr>
      </w:pPr>
    </w:p>
    <w:p w14:paraId="73D414EC" w14:textId="0E909763" w:rsidR="004F1406" w:rsidRPr="002D0AC7" w:rsidRDefault="004F1406" w:rsidP="004F1406">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F74C7F">
        <w:rPr>
          <w:rFonts w:eastAsia="Batang" w:cs="Tahoma"/>
          <w:bCs/>
          <w:color w:val="000000"/>
        </w:rPr>
        <w:t>veintitrés</w:t>
      </w:r>
      <w:r>
        <w:rPr>
          <w:rFonts w:eastAsia="Batang" w:cs="Tahoma"/>
          <w:bCs/>
          <w:color w:val="000000"/>
        </w:rPr>
        <w:t xml:space="preserve"> de enero de dos mil veintitrés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Pr>
          <w:rFonts w:eastAsia="Batang" w:cs="Tahoma"/>
          <w:color w:val="000000"/>
        </w:rPr>
        <w:t>00</w:t>
      </w:r>
      <w:r w:rsidR="00F74C7F">
        <w:rPr>
          <w:rFonts w:eastAsia="Batang" w:cs="Tahoma"/>
          <w:color w:val="000000"/>
        </w:rPr>
        <w:t>037</w:t>
      </w:r>
      <w:r>
        <w:rPr>
          <w:rFonts w:eastAsia="Batang" w:cs="Tahoma"/>
          <w:color w:val="000000"/>
        </w:rPr>
        <w:t>6/INFOEM/IP/RR/2023</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A3399C5" w14:textId="77777777" w:rsidR="004F1406" w:rsidRPr="002D0AC7" w:rsidRDefault="004F1406" w:rsidP="004F1406">
      <w:pPr>
        <w:spacing w:after="0" w:line="360" w:lineRule="auto"/>
        <w:rPr>
          <w:rFonts w:eastAsia="Batang" w:cs="Tahoma"/>
          <w:bCs/>
          <w:color w:val="000000"/>
        </w:rPr>
      </w:pPr>
    </w:p>
    <w:p w14:paraId="189EF41C" w14:textId="6C8D4A0B" w:rsidR="004F1406" w:rsidRPr="002D0AC7" w:rsidRDefault="004F1406" w:rsidP="004F1406">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F74C7F">
        <w:rPr>
          <w:rFonts w:eastAsia="Batang" w:cs="Tahoma"/>
          <w:bCs/>
          <w:color w:val="000000"/>
        </w:rPr>
        <w:t>veintiséis</w:t>
      </w:r>
      <w:r>
        <w:rPr>
          <w:rFonts w:eastAsia="Batang" w:cs="Tahoma"/>
          <w:bCs/>
          <w:color w:val="000000"/>
        </w:rPr>
        <w:t xml:space="preserve"> de enero de dos mil veintitrés</w:t>
      </w:r>
      <w:r w:rsidRPr="002D0AC7">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w:t>
      </w:r>
      <w:r>
        <w:rPr>
          <w:rFonts w:eastAsia="Times New Roman" w:cs="Tahoma"/>
          <w:bCs/>
          <w:color w:val="auto"/>
          <w:lang w:val="es-ES_tradnl" w:eastAsia="es-ES"/>
        </w:rPr>
        <w:t xml:space="preserve">las partes, el </w:t>
      </w:r>
      <w:r w:rsidR="00F74C7F">
        <w:rPr>
          <w:rFonts w:eastAsia="Times New Roman" w:cs="Tahoma"/>
          <w:bCs/>
          <w:color w:val="auto"/>
          <w:lang w:val="es-ES_tradnl" w:eastAsia="es-ES"/>
        </w:rPr>
        <w:t>veintisiete</w:t>
      </w:r>
      <w:r>
        <w:rPr>
          <w:rFonts w:eastAsia="Times New Roman" w:cs="Tahoma"/>
          <w:bCs/>
          <w:color w:val="auto"/>
          <w:lang w:val="es-ES_tradnl" w:eastAsia="es-ES"/>
        </w:rPr>
        <w:t xml:space="preserve"> de dicho mes y año,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5078BF9" w14:textId="77777777" w:rsidR="004F1406" w:rsidRPr="002D0AC7" w:rsidRDefault="004F1406" w:rsidP="004F1406">
      <w:pPr>
        <w:spacing w:after="0" w:line="360" w:lineRule="auto"/>
        <w:rPr>
          <w:rFonts w:cs="Tahoma"/>
        </w:rPr>
      </w:pPr>
    </w:p>
    <w:p w14:paraId="2D9192F8" w14:textId="77777777" w:rsidR="004F1406" w:rsidRPr="002D0AC7" w:rsidRDefault="004F1406" w:rsidP="004F1406">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14:paraId="44C000D2" w14:textId="77777777" w:rsidR="004F1406" w:rsidRPr="002D0AC7" w:rsidRDefault="004F1406" w:rsidP="004F1406">
      <w:pPr>
        <w:spacing w:after="0" w:line="360" w:lineRule="auto"/>
        <w:rPr>
          <w:rFonts w:eastAsia="Times New Roman" w:cs="Tahoma"/>
          <w:b/>
          <w:color w:val="auto"/>
          <w:lang w:eastAsia="es-ES"/>
        </w:rPr>
      </w:pPr>
    </w:p>
    <w:p w14:paraId="14EC5222" w14:textId="4DCABB33" w:rsidR="004F1406" w:rsidRDefault="004F1406" w:rsidP="004F1406">
      <w:pPr>
        <w:spacing w:after="0" w:line="360" w:lineRule="auto"/>
        <w:rPr>
          <w:rFonts w:eastAsia="Times New Roman" w:cs="Tahoma"/>
          <w:color w:val="auto"/>
          <w:lang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F74C7F">
        <w:rPr>
          <w:rFonts w:eastAsia="Times New Roman" w:cs="Tahoma"/>
          <w:color w:val="auto"/>
          <w:lang w:eastAsia="es-ES"/>
        </w:rPr>
        <w:t>nueve</w:t>
      </w:r>
      <w:r>
        <w:rPr>
          <w:rFonts w:eastAsia="Times New Roman" w:cs="Tahoma"/>
          <w:color w:val="auto"/>
          <w:lang w:eastAsia="es-ES"/>
        </w:rPr>
        <w:t xml:space="preserve"> de febrero</w:t>
      </w:r>
      <w:r w:rsidRPr="002D0AC7">
        <w:rPr>
          <w:rFonts w:eastAsia="Times New Roman" w:cs="Tahoma"/>
          <w:color w:val="auto"/>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Pr>
          <w:rFonts w:eastAsia="Times New Roman" w:cs="Tahoma"/>
          <w:color w:val="auto"/>
          <w:lang w:eastAsia="es-ES"/>
        </w:rPr>
        <w:t>mismo día</w:t>
      </w:r>
      <w:r w:rsidRPr="002D0AC7">
        <w:rPr>
          <w:rFonts w:eastAsia="Times New Roman" w:cs="Tahoma"/>
          <w:color w:val="auto"/>
          <w:lang w:eastAsia="es-ES"/>
        </w:rPr>
        <w:t xml:space="preserve">,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14:paraId="49178DA9" w14:textId="77777777" w:rsidR="004F1406" w:rsidRDefault="004F1406" w:rsidP="004F1406">
      <w:pPr>
        <w:widowControl w:val="0"/>
        <w:spacing w:after="0" w:line="360" w:lineRule="auto"/>
        <w:rPr>
          <w:rFonts w:eastAsia="Times New Roman" w:cs="Tahoma"/>
          <w:color w:val="auto"/>
          <w:lang w:eastAsia="es-ES"/>
        </w:rPr>
      </w:pPr>
    </w:p>
    <w:p w14:paraId="27A265C9" w14:textId="77777777" w:rsidR="004F1406" w:rsidRPr="002D0AC7" w:rsidRDefault="004F1406" w:rsidP="004F1406">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1C279E3F" w14:textId="77777777" w:rsidR="004F1406" w:rsidRPr="002D0AC7" w:rsidRDefault="004F1406" w:rsidP="004F1406">
      <w:pPr>
        <w:spacing w:after="0" w:line="360" w:lineRule="auto"/>
        <w:rPr>
          <w:rFonts w:eastAsia="Times New Roman" w:cs="Tahoma"/>
          <w:bCs/>
          <w:iCs/>
          <w:color w:val="auto"/>
          <w:lang w:val="es-ES" w:eastAsia="es-ES"/>
        </w:rPr>
      </w:pPr>
    </w:p>
    <w:p w14:paraId="29E179B8" w14:textId="77777777" w:rsidR="00F74C7F" w:rsidRDefault="00F74C7F" w:rsidP="004F1406">
      <w:pPr>
        <w:spacing w:after="0" w:line="360" w:lineRule="auto"/>
        <w:jc w:val="center"/>
        <w:rPr>
          <w:rFonts w:eastAsia="Times New Roman" w:cs="Tahoma"/>
          <w:b/>
          <w:color w:val="auto"/>
          <w:lang w:val="es-ES" w:eastAsia="es-ES"/>
        </w:rPr>
      </w:pPr>
    </w:p>
    <w:p w14:paraId="36EEA2A4" w14:textId="16FE03B8" w:rsidR="004F1406" w:rsidRDefault="004F1406" w:rsidP="004F1406">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14:paraId="7BE2398D" w14:textId="77777777" w:rsidR="004F1406" w:rsidRPr="002D0AC7" w:rsidRDefault="004F1406" w:rsidP="004F1406">
      <w:pPr>
        <w:spacing w:after="0" w:line="360" w:lineRule="auto"/>
        <w:jc w:val="center"/>
        <w:rPr>
          <w:rFonts w:eastAsia="Times New Roman" w:cs="Tahoma"/>
          <w:b/>
          <w:color w:val="auto"/>
          <w:lang w:val="es-ES" w:eastAsia="es-ES"/>
        </w:rPr>
      </w:pPr>
    </w:p>
    <w:p w14:paraId="30C6DD78" w14:textId="77777777" w:rsidR="004F1406" w:rsidRPr="002D0AC7" w:rsidRDefault="004F1406" w:rsidP="004F1406">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14:paraId="582B1930" w14:textId="77777777" w:rsidR="004F1406" w:rsidRPr="002D0AC7" w:rsidRDefault="004F1406" w:rsidP="004F1406">
      <w:pPr>
        <w:autoSpaceDE w:val="0"/>
        <w:autoSpaceDN w:val="0"/>
        <w:adjustRightInd w:val="0"/>
        <w:spacing w:after="0" w:line="360" w:lineRule="auto"/>
        <w:rPr>
          <w:rFonts w:eastAsia="Times New Roman" w:cs="Tahoma"/>
          <w:b/>
          <w:color w:val="auto"/>
          <w:lang w:val="es-ES" w:eastAsia="es-ES"/>
        </w:rPr>
      </w:pPr>
    </w:p>
    <w:p w14:paraId="0872230D" w14:textId="77777777" w:rsidR="004F1406" w:rsidRPr="002D0AC7" w:rsidRDefault="004F1406" w:rsidP="004F1406">
      <w:pPr>
        <w:spacing w:after="0" w:line="360" w:lineRule="auto"/>
        <w:rPr>
          <w:rFonts w:eastAsia="Times New Roman" w:cs="Tahoma"/>
          <w:bCs/>
          <w:color w:val="auto"/>
          <w:lang w:eastAsia="es-ES"/>
        </w:rPr>
      </w:pPr>
      <w:bookmarkStart w:id="0" w:name="_Hlk63334754"/>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DB770AF" w14:textId="77777777" w:rsidR="004F1406" w:rsidRPr="002D0AC7" w:rsidRDefault="004F1406" w:rsidP="004F1406">
      <w:pPr>
        <w:spacing w:after="0" w:line="360" w:lineRule="auto"/>
      </w:pPr>
    </w:p>
    <w:p w14:paraId="216A9D94" w14:textId="77777777" w:rsidR="004F1406" w:rsidRDefault="004F1406" w:rsidP="004F1406">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14:paraId="122BEC7E" w14:textId="77777777" w:rsidR="004F1406" w:rsidRPr="002D0AC7" w:rsidRDefault="004F1406" w:rsidP="004F1406">
      <w:pPr>
        <w:autoSpaceDE w:val="0"/>
        <w:autoSpaceDN w:val="0"/>
        <w:adjustRightInd w:val="0"/>
        <w:spacing w:after="0" w:line="360" w:lineRule="auto"/>
        <w:rPr>
          <w:rFonts w:eastAsia="Times New Roman" w:cs="Tahoma"/>
          <w:color w:val="auto"/>
          <w:lang w:val="es-ES" w:eastAsia="es-ES"/>
        </w:rPr>
      </w:pPr>
    </w:p>
    <w:p w14:paraId="3A1C5A51" w14:textId="77777777" w:rsidR="004F1406" w:rsidRPr="002D0AC7" w:rsidRDefault="004F1406" w:rsidP="004F1406">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14:paraId="6CC1A645" w14:textId="77777777" w:rsidR="004F1406" w:rsidRPr="002D0AC7" w:rsidRDefault="004F1406" w:rsidP="004F1406">
      <w:pPr>
        <w:autoSpaceDE w:val="0"/>
        <w:autoSpaceDN w:val="0"/>
        <w:adjustRightInd w:val="0"/>
        <w:spacing w:after="0" w:line="360" w:lineRule="auto"/>
        <w:rPr>
          <w:rFonts w:eastAsia="Times New Roman" w:cs="Tahoma"/>
          <w:color w:val="auto"/>
          <w:lang w:val="es-ES" w:eastAsia="es-ES"/>
        </w:rPr>
      </w:pPr>
    </w:p>
    <w:p w14:paraId="5C14A4E5" w14:textId="77777777" w:rsidR="004F1406" w:rsidRPr="002D0AC7" w:rsidRDefault="004F1406" w:rsidP="004F1406">
      <w:pPr>
        <w:spacing w:after="0" w:line="360" w:lineRule="auto"/>
        <w:rPr>
          <w:b/>
          <w:lang w:val="es-ES"/>
        </w:rPr>
      </w:pPr>
      <w:r w:rsidRPr="002D0AC7">
        <w:rPr>
          <w:b/>
          <w:lang w:val="es-ES"/>
        </w:rPr>
        <w:t>Causales de improcedencia</w:t>
      </w:r>
    </w:p>
    <w:p w14:paraId="1F06BA89" w14:textId="77777777" w:rsidR="004F1406" w:rsidRPr="002D0AC7" w:rsidRDefault="004F1406" w:rsidP="004F1406">
      <w:pPr>
        <w:spacing w:after="0" w:line="360" w:lineRule="auto"/>
      </w:pPr>
    </w:p>
    <w:p w14:paraId="602EEF56" w14:textId="77777777" w:rsidR="004F1406" w:rsidRPr="002D0AC7" w:rsidRDefault="004F1406" w:rsidP="004F1406">
      <w:pPr>
        <w:spacing w:after="0" w:line="360" w:lineRule="auto"/>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3A0A0B8" w14:textId="77777777" w:rsidR="004F1406" w:rsidRPr="002D0AC7" w:rsidRDefault="004F1406" w:rsidP="004F1406">
      <w:pPr>
        <w:spacing w:after="0" w:line="360" w:lineRule="auto"/>
        <w:rPr>
          <w:rFonts w:eastAsia="Times New Roman" w:cs="Tahoma"/>
          <w:color w:val="auto"/>
          <w:lang w:eastAsia="es-ES"/>
        </w:rPr>
      </w:pPr>
    </w:p>
    <w:p w14:paraId="44426A97" w14:textId="77777777" w:rsidR="004F1406" w:rsidRDefault="004F1406" w:rsidP="004F1406">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43000217" w14:textId="77777777" w:rsidR="004F1406" w:rsidRPr="002D0AC7" w:rsidRDefault="004F1406" w:rsidP="004F1406">
      <w:pPr>
        <w:spacing w:after="0" w:line="360" w:lineRule="auto"/>
        <w:rPr>
          <w:rFonts w:eastAsia="Times New Roman" w:cs="Tahoma"/>
          <w:color w:val="auto"/>
          <w:lang w:eastAsia="es-ES"/>
        </w:rPr>
      </w:pPr>
    </w:p>
    <w:p w14:paraId="725D0106" w14:textId="77777777" w:rsidR="004F1406" w:rsidRPr="002D0AC7" w:rsidRDefault="004F1406" w:rsidP="004F1406">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4FD26C2" w14:textId="77777777" w:rsidR="004F1406" w:rsidRPr="002D0AC7" w:rsidRDefault="004F1406" w:rsidP="004F1406">
      <w:pPr>
        <w:spacing w:after="0" w:line="360" w:lineRule="auto"/>
        <w:rPr>
          <w:rFonts w:eastAsia="Times New Roman" w:cs="Tahoma"/>
          <w:color w:val="auto"/>
          <w:lang w:val="es-ES" w:eastAsia="es-ES"/>
        </w:rPr>
      </w:pPr>
    </w:p>
    <w:p w14:paraId="2EC4C9C1" w14:textId="77777777" w:rsidR="004F1406" w:rsidRDefault="004F1406" w:rsidP="004F1406">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14:paraId="4E7CAC88" w14:textId="77777777" w:rsidR="004F1406" w:rsidRPr="002D0AC7" w:rsidRDefault="004F1406" w:rsidP="004F1406">
      <w:pPr>
        <w:spacing w:after="0" w:line="360" w:lineRule="auto"/>
        <w:rPr>
          <w:rFonts w:eastAsia="Times New Roman" w:cs="Tahoma"/>
          <w:bCs/>
          <w:color w:val="auto"/>
          <w:lang w:val="es-ES" w:eastAsia="es-ES"/>
        </w:rPr>
      </w:pPr>
    </w:p>
    <w:p w14:paraId="1FF3B8D2" w14:textId="77777777" w:rsidR="004F1406" w:rsidRDefault="004F1406" w:rsidP="004F1406">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14:paraId="64061AD7" w14:textId="77777777" w:rsidR="004F1406" w:rsidRDefault="004F1406" w:rsidP="004F1406">
      <w:pPr>
        <w:spacing w:after="0" w:line="360" w:lineRule="auto"/>
        <w:rPr>
          <w:rFonts w:eastAsia="Times New Roman" w:cs="Tahoma"/>
          <w:b/>
          <w:bCs/>
          <w:color w:val="0D0D0D" w:themeColor="text1" w:themeTint="F2"/>
          <w:lang w:eastAsia="es-ES"/>
        </w:rPr>
      </w:pPr>
    </w:p>
    <w:p w14:paraId="5940A00B" w14:textId="77777777" w:rsidR="004F1406" w:rsidRDefault="004F1406" w:rsidP="004F1406">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 xml:space="preserve">. </w:t>
      </w:r>
    </w:p>
    <w:p w14:paraId="1F489C17" w14:textId="77777777" w:rsidR="004F1406" w:rsidRDefault="004F1406" w:rsidP="004F1406">
      <w:pPr>
        <w:spacing w:after="0" w:line="360" w:lineRule="auto"/>
        <w:rPr>
          <w:rFonts w:eastAsia="Times New Roman" w:cs="Tahoma"/>
          <w:bCs/>
          <w:color w:val="0D0D0D" w:themeColor="text1" w:themeTint="F2"/>
          <w:lang w:eastAsia="es-ES"/>
        </w:rPr>
      </w:pPr>
    </w:p>
    <w:p w14:paraId="3F98ECE1" w14:textId="77777777" w:rsidR="004F1406" w:rsidRPr="002D0AC7" w:rsidRDefault="004F1406" w:rsidP="004F1406">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w:t>
      </w:r>
      <w:r>
        <w:rPr>
          <w:rFonts w:eastAsia="Times New Roman" w:cs="Tahoma"/>
          <w:color w:val="auto"/>
          <w:lang w:eastAsia="es-ES"/>
        </w:rPr>
        <w:t xml:space="preserve"> parte</w:t>
      </w:r>
      <w:r w:rsidRPr="002D0AC7">
        <w:rPr>
          <w:rFonts w:eastAsia="Times New Roman" w:cs="Tahoma"/>
          <w:color w:val="auto"/>
          <w:lang w:eastAsia="es-ES"/>
        </w:rPr>
        <w:t xml:space="preserve"> Recurrente se haya desistido del recurso, haya fallecido, sobreviniera alguna causal de improcedencia, que el Sujeto Obligado hubiese modificado o revocado el acto impugnado o bien, haya quedado sin materia.</w:t>
      </w:r>
    </w:p>
    <w:p w14:paraId="68C45B5D" w14:textId="77777777" w:rsidR="004F1406" w:rsidRPr="002D0AC7" w:rsidRDefault="004F1406" w:rsidP="004F1406">
      <w:pPr>
        <w:spacing w:after="0" w:line="360" w:lineRule="auto"/>
        <w:rPr>
          <w:rFonts w:eastAsia="Times New Roman" w:cs="Tahoma"/>
          <w:color w:val="auto"/>
          <w:lang w:eastAsia="es-ES"/>
        </w:rPr>
      </w:pPr>
    </w:p>
    <w:p w14:paraId="4FF1E0A4" w14:textId="77777777" w:rsidR="004F1406" w:rsidRDefault="004F1406" w:rsidP="004F1406">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14:paraId="0D43D5F6" w14:textId="77777777" w:rsidR="004F1406" w:rsidRPr="002D0AC7" w:rsidRDefault="004F1406" w:rsidP="004F1406">
      <w:pPr>
        <w:spacing w:after="0" w:line="360" w:lineRule="auto"/>
        <w:rPr>
          <w:rFonts w:eastAsia="Times New Roman" w:cs="Tahoma"/>
          <w:bCs/>
          <w:color w:val="0D0D0D" w:themeColor="text1" w:themeTint="F2"/>
          <w:lang w:eastAsia="es-ES"/>
        </w:rPr>
      </w:pPr>
    </w:p>
    <w:p w14:paraId="7E7404CC" w14:textId="77777777" w:rsidR="004F1406" w:rsidRDefault="004F1406" w:rsidP="004F1406">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14:paraId="43E8FC6C" w14:textId="77777777" w:rsidR="004F1406" w:rsidRDefault="004F1406" w:rsidP="004F1406">
      <w:pPr>
        <w:spacing w:after="0" w:line="360" w:lineRule="auto"/>
        <w:rPr>
          <w:rFonts w:eastAsia="Times New Roman" w:cs="Tahoma"/>
          <w:b/>
          <w:bCs/>
          <w:iCs/>
          <w:color w:val="auto"/>
          <w:lang w:val="es-ES" w:eastAsia="es-ES"/>
        </w:rPr>
      </w:pPr>
    </w:p>
    <w:p w14:paraId="5C288DE1" w14:textId="1E22AE2B" w:rsidR="004F1406" w:rsidRPr="008863F4" w:rsidRDefault="004F1406" w:rsidP="004F1406">
      <w:pPr>
        <w:spacing w:after="0" w:line="360" w:lineRule="auto"/>
        <w:rPr>
          <w:rFonts w:cs="Tahoma"/>
        </w:rPr>
      </w:pPr>
      <w:r>
        <w:rPr>
          <w:rFonts w:cs="Tahoma"/>
        </w:rPr>
        <w:t xml:space="preserve">Con el objetivo de ilustrar la controversia planteada, resulta conveniente precisar, que una vez realizado el estudio de las constancias que integran el expediente en el que se actúa, se desprende que el Particular requirió </w:t>
      </w:r>
      <w:r w:rsidR="00F74C7F">
        <w:rPr>
          <w:rFonts w:cs="Tahoma"/>
        </w:rPr>
        <w:t xml:space="preserve">todos </w:t>
      </w:r>
      <w:r>
        <w:rPr>
          <w:rFonts w:cs="Tahoma"/>
        </w:rPr>
        <w:t xml:space="preserve">los recibos de </w:t>
      </w:r>
      <w:r w:rsidR="00230E4E">
        <w:rPr>
          <w:rFonts w:cs="Tahoma"/>
        </w:rPr>
        <w:t>pago de aguinaldo, del dos mil dieciocho</w:t>
      </w:r>
      <w:r>
        <w:rPr>
          <w:rFonts w:cs="Tahoma"/>
        </w:rPr>
        <w:t>.</w:t>
      </w:r>
    </w:p>
    <w:p w14:paraId="1AD7D7FE" w14:textId="77777777" w:rsidR="004F1406" w:rsidRPr="00A2050F" w:rsidRDefault="004F1406" w:rsidP="004F1406">
      <w:pPr>
        <w:spacing w:after="0" w:line="360" w:lineRule="auto"/>
        <w:rPr>
          <w:rFonts w:eastAsia="Times New Roman" w:cs="Tahoma"/>
          <w:iCs/>
          <w:color w:val="auto"/>
          <w:lang w:val="es-ES" w:eastAsia="es-ES"/>
        </w:rPr>
      </w:pPr>
    </w:p>
    <w:p w14:paraId="6585EA49" w14:textId="77777777" w:rsidR="004F1406" w:rsidRPr="002D0AC7" w:rsidRDefault="004F1406" w:rsidP="004F1406">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 xml:space="preserve">Ante la falta de respuesta del Ente Recurrido, el Particular, justamente se inconformó porque no le </w:t>
      </w:r>
      <w:r>
        <w:rPr>
          <w:rFonts w:ascii="Palatino Linotype" w:hAnsi="Palatino Linotype" w:cs="Tahoma"/>
          <w:bCs/>
          <w:iCs/>
          <w:sz w:val="22"/>
          <w:szCs w:val="22"/>
          <w:lang w:val="es-ES"/>
        </w:rPr>
        <w:t>entregaron información</w:t>
      </w:r>
      <w:r w:rsidRPr="002D0AC7">
        <w:rPr>
          <w:rFonts w:ascii="Palatino Linotype" w:hAnsi="Palatino Linotype" w:cs="Tahoma"/>
          <w:bCs/>
          <w:iCs/>
          <w:sz w:val="22"/>
          <w:szCs w:val="22"/>
          <w:lang w:val="es-ES"/>
        </w:rPr>
        <w:t xml:space="preserve">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14:paraId="5D79E981" w14:textId="77777777" w:rsidR="004F1406" w:rsidRPr="002D0AC7" w:rsidRDefault="004F1406" w:rsidP="004F1406">
      <w:pPr>
        <w:tabs>
          <w:tab w:val="left" w:pos="4962"/>
        </w:tabs>
        <w:spacing w:after="0" w:line="360" w:lineRule="auto"/>
        <w:rPr>
          <w:rFonts w:eastAsia="Calibri" w:cs="Tahoma"/>
          <w:iCs/>
          <w:lang w:val="es-ES"/>
        </w:rPr>
      </w:pPr>
    </w:p>
    <w:p w14:paraId="28FFE4CA" w14:textId="77777777" w:rsidR="004F1406" w:rsidRPr="002D0AC7" w:rsidRDefault="004F1406" w:rsidP="004F1406">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recursal;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BF8D493" w14:textId="77777777" w:rsidR="004F1406" w:rsidRPr="002D0AC7" w:rsidRDefault="004F1406" w:rsidP="004F1406">
      <w:pPr>
        <w:spacing w:after="0" w:line="360" w:lineRule="auto"/>
        <w:rPr>
          <w:rFonts w:eastAsia="Calibri" w:cs="Tahoma"/>
          <w:color w:val="auto"/>
          <w:lang w:eastAsia="es-ES_tradnl"/>
        </w:rPr>
      </w:pPr>
    </w:p>
    <w:p w14:paraId="13FFF847" w14:textId="77777777" w:rsidR="004F1406" w:rsidRPr="002D0AC7" w:rsidRDefault="004F1406" w:rsidP="004F1406">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14:paraId="5DE46C6C" w14:textId="77777777" w:rsidR="004F1406" w:rsidRPr="002D0AC7" w:rsidRDefault="004F1406" w:rsidP="004F1406">
      <w:pPr>
        <w:autoSpaceDE w:val="0"/>
        <w:autoSpaceDN w:val="0"/>
        <w:adjustRightInd w:val="0"/>
        <w:spacing w:after="0" w:line="360" w:lineRule="auto"/>
        <w:rPr>
          <w:rFonts w:eastAsia="Times New Roman" w:cs="Tahoma"/>
          <w:bCs/>
          <w:iCs/>
          <w:color w:val="auto"/>
          <w:lang w:val="es-ES" w:eastAsia="es-ES"/>
        </w:rPr>
      </w:pPr>
    </w:p>
    <w:p w14:paraId="1F2040A8" w14:textId="77777777" w:rsidR="004F1406" w:rsidRPr="002D0AC7" w:rsidRDefault="004F1406" w:rsidP="004F1406">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35D2335" w14:textId="77777777" w:rsidR="004F1406" w:rsidRDefault="004F1406" w:rsidP="004F1406">
      <w:pPr>
        <w:spacing w:after="0" w:line="360" w:lineRule="auto"/>
        <w:rPr>
          <w:rFonts w:eastAsia="Times New Roman" w:cs="Tahoma"/>
          <w:bCs/>
          <w:iCs/>
          <w:color w:val="auto"/>
          <w:lang w:eastAsia="es-ES"/>
        </w:rPr>
      </w:pPr>
    </w:p>
    <w:p w14:paraId="171C683F" w14:textId="77777777" w:rsidR="004F1406" w:rsidRPr="002D0AC7" w:rsidRDefault="004F1406" w:rsidP="004F1406">
      <w:pPr>
        <w:spacing w:after="0" w:line="360" w:lineRule="auto"/>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7D7F102" w14:textId="77777777" w:rsidR="004F1406" w:rsidRPr="002D0AC7" w:rsidRDefault="004F1406" w:rsidP="004F1406">
      <w:pPr>
        <w:spacing w:after="0" w:line="360" w:lineRule="auto"/>
        <w:rPr>
          <w:rFonts w:eastAsia="Times New Roman" w:cs="Tahoma"/>
          <w:bCs/>
          <w:iCs/>
          <w:color w:val="auto"/>
          <w:lang w:eastAsia="es-ES"/>
        </w:rPr>
      </w:pPr>
    </w:p>
    <w:p w14:paraId="7245B570" w14:textId="77777777" w:rsidR="004F1406" w:rsidRPr="002D0AC7" w:rsidRDefault="004F1406" w:rsidP="004F1406">
      <w:pPr>
        <w:spacing w:after="0" w:line="360" w:lineRule="auto"/>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4E701D" w14:textId="77777777" w:rsidR="004F1406" w:rsidRPr="002D0AC7" w:rsidRDefault="004F1406" w:rsidP="004F1406">
      <w:pPr>
        <w:spacing w:after="0" w:line="360" w:lineRule="auto"/>
        <w:rPr>
          <w:rFonts w:eastAsia="Times New Roman" w:cs="Tahoma"/>
          <w:bCs/>
          <w:iCs/>
          <w:color w:val="auto"/>
          <w:lang w:eastAsia="es-ES"/>
        </w:rPr>
      </w:pPr>
    </w:p>
    <w:p w14:paraId="172FEE11" w14:textId="77777777" w:rsidR="004F1406" w:rsidRPr="002D0AC7" w:rsidRDefault="004F1406" w:rsidP="004F1406">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4CCBA73" w14:textId="77777777" w:rsidR="004F1406" w:rsidRPr="002D0AC7" w:rsidRDefault="004F1406" w:rsidP="004F1406">
      <w:pPr>
        <w:spacing w:after="0" w:line="360" w:lineRule="auto"/>
        <w:rPr>
          <w:rFonts w:eastAsia="Times New Roman" w:cs="Tahoma"/>
          <w:bCs/>
          <w:iCs/>
          <w:color w:val="auto"/>
          <w:lang w:eastAsia="es-ES"/>
        </w:rPr>
      </w:pPr>
    </w:p>
    <w:p w14:paraId="5D199110" w14:textId="77777777" w:rsidR="004F1406" w:rsidRPr="002D0AC7" w:rsidRDefault="004F1406" w:rsidP="004F1406">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14:paraId="38DEF100" w14:textId="77777777" w:rsidR="004F1406" w:rsidRPr="002D0AC7" w:rsidRDefault="004F1406" w:rsidP="004F1406">
      <w:pPr>
        <w:spacing w:after="0" w:line="360" w:lineRule="auto"/>
        <w:rPr>
          <w:rFonts w:eastAsia="Times New Roman" w:cs="Tahoma"/>
          <w:bCs/>
          <w:iCs/>
          <w:color w:val="auto"/>
          <w:lang w:eastAsia="es-ES"/>
        </w:rPr>
      </w:pPr>
    </w:p>
    <w:p w14:paraId="5BD04CD6" w14:textId="77777777" w:rsidR="004F1406" w:rsidRPr="002D0AC7" w:rsidRDefault="004F1406" w:rsidP="004F1406">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120A4A7" w14:textId="77777777" w:rsidR="004F1406" w:rsidRPr="002D0AC7" w:rsidRDefault="004F1406" w:rsidP="004F1406">
      <w:pPr>
        <w:spacing w:after="0" w:line="360" w:lineRule="auto"/>
        <w:rPr>
          <w:rFonts w:eastAsia="Times New Roman" w:cs="Tahoma"/>
          <w:bCs/>
          <w:iCs/>
          <w:color w:val="auto"/>
          <w:lang w:eastAsia="es-ES"/>
        </w:rPr>
      </w:pPr>
    </w:p>
    <w:p w14:paraId="3C597E9F" w14:textId="77777777" w:rsidR="004F1406" w:rsidRDefault="004F1406" w:rsidP="004F1406">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05B7F70" w14:textId="77777777" w:rsidR="004F1406" w:rsidRPr="002D0AC7" w:rsidRDefault="004F1406" w:rsidP="004F1406">
      <w:pPr>
        <w:spacing w:after="0" w:line="360" w:lineRule="auto"/>
        <w:rPr>
          <w:rFonts w:eastAsia="Times New Roman" w:cs="Tahoma"/>
          <w:bCs/>
          <w:iCs/>
          <w:color w:val="auto"/>
          <w:lang w:eastAsia="es-ES"/>
        </w:rPr>
      </w:pPr>
    </w:p>
    <w:p w14:paraId="6134D82F" w14:textId="77777777" w:rsidR="004F1406" w:rsidRDefault="004F1406" w:rsidP="004F1406">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14:paraId="43565D83" w14:textId="77777777" w:rsidR="004F1406" w:rsidRDefault="004F1406" w:rsidP="004F1406">
      <w:pPr>
        <w:spacing w:after="0" w:line="360" w:lineRule="auto"/>
        <w:rPr>
          <w:rFonts w:eastAsia="Times New Roman" w:cs="Tahoma"/>
          <w:b/>
          <w:bCs/>
          <w:iCs/>
          <w:color w:val="auto"/>
          <w:lang w:val="es-ES" w:eastAsia="es-ES"/>
        </w:rPr>
      </w:pPr>
    </w:p>
    <w:p w14:paraId="634E4DA5" w14:textId="00F36B6B" w:rsidR="004F1406" w:rsidRPr="002D0AC7" w:rsidRDefault="004F1406" w:rsidP="004F1406">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Pr>
          <w:color w:val="000000"/>
        </w:rPr>
        <w:t xml:space="preserve">Ayuntamiento de </w:t>
      </w:r>
      <w:r w:rsidR="00F74C7F">
        <w:rPr>
          <w:color w:val="000000"/>
        </w:rPr>
        <w:t>Zinacantepec</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14:paraId="4E0591BA" w14:textId="77777777" w:rsidR="004F1406" w:rsidRPr="002D0AC7" w:rsidRDefault="004F1406" w:rsidP="004F1406">
      <w:pPr>
        <w:spacing w:after="0" w:line="360" w:lineRule="auto"/>
        <w:rPr>
          <w:rFonts w:eastAsia="Times New Roman" w:cs="Tahoma"/>
          <w:bCs/>
          <w:iCs/>
          <w:color w:val="auto"/>
          <w:lang w:eastAsia="es-ES"/>
        </w:rPr>
      </w:pPr>
    </w:p>
    <w:p w14:paraId="46B45DCB" w14:textId="77777777" w:rsidR="004F1406" w:rsidRPr="002D0AC7" w:rsidRDefault="004F1406" w:rsidP="004F1406">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07F0AB1" w14:textId="77777777" w:rsidR="004F1406" w:rsidRPr="002D0AC7" w:rsidRDefault="004F1406" w:rsidP="004F1406">
      <w:pPr>
        <w:spacing w:after="0" w:line="360" w:lineRule="auto"/>
        <w:rPr>
          <w:rFonts w:eastAsia="Times New Roman" w:cs="Tahoma"/>
          <w:bCs/>
          <w:iCs/>
          <w:color w:val="auto"/>
          <w:lang w:eastAsia="es-ES"/>
        </w:rPr>
      </w:pPr>
    </w:p>
    <w:p w14:paraId="74C9E8E3" w14:textId="77777777" w:rsidR="004F1406" w:rsidRPr="002D0AC7" w:rsidRDefault="004F1406" w:rsidP="004F1406">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00F83C56" w14:textId="77777777" w:rsidR="004F1406" w:rsidRPr="002D0AC7" w:rsidRDefault="004F1406" w:rsidP="004F1406">
      <w:pPr>
        <w:spacing w:after="0" w:line="360" w:lineRule="auto"/>
        <w:ind w:left="720"/>
        <w:rPr>
          <w:rFonts w:eastAsia="Times New Roman" w:cs="Tahoma"/>
          <w:bCs/>
          <w:iCs/>
          <w:color w:val="auto"/>
          <w:lang w:eastAsia="es-ES"/>
        </w:rPr>
      </w:pPr>
    </w:p>
    <w:p w14:paraId="4E2F6A0F" w14:textId="77777777" w:rsidR="004F1406" w:rsidRPr="002D0AC7" w:rsidRDefault="004F1406" w:rsidP="004F1406">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14:paraId="0C04B1D9" w14:textId="77777777" w:rsidR="004F1406" w:rsidRPr="002D0AC7" w:rsidRDefault="004F1406" w:rsidP="004F1406">
      <w:pPr>
        <w:spacing w:after="0" w:line="360" w:lineRule="auto"/>
        <w:ind w:left="720"/>
        <w:rPr>
          <w:rFonts w:eastAsia="Times New Roman" w:cs="Tahoma"/>
          <w:bCs/>
          <w:iCs/>
          <w:color w:val="auto"/>
          <w:lang w:eastAsia="es-ES"/>
        </w:rPr>
      </w:pPr>
    </w:p>
    <w:p w14:paraId="2B277C18" w14:textId="77777777" w:rsidR="004F1406" w:rsidRPr="002D0AC7" w:rsidRDefault="004F1406" w:rsidP="004F1406">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24D06948" w14:textId="77777777" w:rsidR="004F1406" w:rsidRPr="002D0AC7" w:rsidRDefault="004F1406" w:rsidP="004F1406">
      <w:pPr>
        <w:spacing w:after="0" w:line="360" w:lineRule="auto"/>
        <w:rPr>
          <w:rFonts w:eastAsia="Times New Roman" w:cs="Tahoma"/>
          <w:bCs/>
          <w:iCs/>
          <w:color w:val="auto"/>
          <w:lang w:eastAsia="es-ES"/>
        </w:rPr>
      </w:pPr>
    </w:p>
    <w:p w14:paraId="6A63AA59" w14:textId="77777777" w:rsidR="004F1406" w:rsidRPr="002D0AC7" w:rsidRDefault="004F1406" w:rsidP="004F1406">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C8B0535" w14:textId="77777777" w:rsidR="004F1406" w:rsidRPr="002D0AC7" w:rsidRDefault="004F1406" w:rsidP="004F1406">
      <w:pPr>
        <w:spacing w:after="0" w:line="360" w:lineRule="auto"/>
        <w:rPr>
          <w:rFonts w:eastAsia="Times New Roman" w:cs="Tahoma"/>
          <w:bCs/>
          <w:iCs/>
          <w:color w:val="auto"/>
          <w:lang w:eastAsia="es-ES"/>
        </w:rPr>
      </w:pPr>
    </w:p>
    <w:p w14:paraId="4C5372CF" w14:textId="77777777" w:rsidR="004F1406" w:rsidRPr="002D0AC7" w:rsidRDefault="004F1406" w:rsidP="004F1406">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8683DA6" w14:textId="77777777" w:rsidR="004F1406" w:rsidRPr="002D0AC7" w:rsidRDefault="004F1406" w:rsidP="004F1406">
      <w:pPr>
        <w:spacing w:after="0" w:line="360" w:lineRule="auto"/>
        <w:rPr>
          <w:rFonts w:eastAsia="Times New Roman" w:cs="Tahoma"/>
          <w:bCs/>
          <w:iCs/>
          <w:color w:val="auto"/>
          <w:lang w:eastAsia="es-ES"/>
        </w:rPr>
      </w:pPr>
    </w:p>
    <w:p w14:paraId="1211E9F7" w14:textId="77777777" w:rsidR="004F1406" w:rsidRPr="002D0AC7" w:rsidRDefault="004F1406" w:rsidP="004F1406">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4496858" w14:textId="77777777" w:rsidR="004F1406" w:rsidRPr="002D0AC7" w:rsidRDefault="004F1406" w:rsidP="004F1406">
      <w:pPr>
        <w:spacing w:after="0" w:line="360" w:lineRule="auto"/>
        <w:rPr>
          <w:rFonts w:eastAsia="Times New Roman" w:cs="Tahoma"/>
          <w:bCs/>
          <w:iCs/>
          <w:color w:val="auto"/>
          <w:lang w:eastAsia="es-ES"/>
        </w:rPr>
      </w:pPr>
    </w:p>
    <w:p w14:paraId="1F34D9FA" w14:textId="77777777" w:rsidR="004F1406" w:rsidRPr="00695D3F" w:rsidRDefault="004F1406" w:rsidP="004F1406">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99B15C6" w14:textId="77777777" w:rsidR="004F1406" w:rsidRPr="002D0AC7" w:rsidRDefault="004F1406" w:rsidP="004F1406">
      <w:pPr>
        <w:spacing w:after="0" w:line="360" w:lineRule="auto"/>
        <w:rPr>
          <w:rFonts w:eastAsia="Times New Roman" w:cs="Tahoma"/>
          <w:bCs/>
          <w:iCs/>
          <w:color w:val="auto"/>
          <w:lang w:eastAsia="es-ES"/>
        </w:rPr>
      </w:pPr>
    </w:p>
    <w:p w14:paraId="5D9F317B" w14:textId="77777777" w:rsidR="004F1406" w:rsidRPr="007505E8" w:rsidRDefault="004F1406" w:rsidP="004F1406">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F3A32BF" w14:textId="77777777" w:rsidR="004F1406" w:rsidRPr="002D0AC7" w:rsidRDefault="004F1406" w:rsidP="004F1406">
      <w:pPr>
        <w:spacing w:after="0" w:line="360" w:lineRule="auto"/>
        <w:ind w:left="720"/>
        <w:rPr>
          <w:rFonts w:eastAsia="Times New Roman" w:cs="Tahoma"/>
          <w:bCs/>
          <w:iCs/>
          <w:color w:val="auto"/>
          <w:lang w:eastAsia="es-ES"/>
        </w:rPr>
      </w:pPr>
    </w:p>
    <w:p w14:paraId="36B994EA" w14:textId="77777777" w:rsidR="004F1406" w:rsidRPr="002D0AC7" w:rsidRDefault="004F1406" w:rsidP="004F1406">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0892B272" w14:textId="77777777" w:rsidR="004F1406" w:rsidRPr="002D0AC7" w:rsidRDefault="004F1406" w:rsidP="004F1406">
      <w:pPr>
        <w:spacing w:after="0" w:line="360" w:lineRule="auto"/>
        <w:rPr>
          <w:rFonts w:eastAsia="Times New Roman" w:cs="Tahoma"/>
          <w:bCs/>
          <w:iCs/>
          <w:color w:val="auto"/>
          <w:lang w:eastAsia="es-ES"/>
        </w:rPr>
      </w:pPr>
    </w:p>
    <w:p w14:paraId="7ED4864B" w14:textId="77777777" w:rsidR="004F1406" w:rsidRPr="002D0AC7" w:rsidRDefault="004F1406" w:rsidP="004F1406">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14:paraId="3A30E501" w14:textId="77777777" w:rsidR="004F1406" w:rsidRPr="002D0AC7" w:rsidRDefault="004F1406" w:rsidP="004F1406">
      <w:pPr>
        <w:spacing w:after="0" w:line="360" w:lineRule="auto"/>
        <w:rPr>
          <w:rFonts w:eastAsia="Times New Roman" w:cs="Tahoma"/>
          <w:b/>
          <w:bCs/>
          <w:iCs/>
          <w:color w:val="auto"/>
          <w:lang w:eastAsia="es-ES"/>
        </w:rPr>
      </w:pPr>
    </w:p>
    <w:p w14:paraId="00CE37A6" w14:textId="77777777" w:rsidR="004F1406" w:rsidRPr="00695D3F" w:rsidRDefault="004F1406" w:rsidP="004F1406">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2399E72" w14:textId="77777777" w:rsidR="004F1406" w:rsidRPr="00695D3F" w:rsidRDefault="004F1406" w:rsidP="004F1406">
      <w:pPr>
        <w:spacing w:after="0" w:line="360" w:lineRule="auto"/>
        <w:rPr>
          <w:rFonts w:eastAsia="Times New Roman" w:cs="Tahoma"/>
          <w:b/>
          <w:bCs/>
          <w:iCs/>
          <w:color w:val="auto"/>
          <w:lang w:eastAsia="es-ES"/>
        </w:rPr>
      </w:pPr>
    </w:p>
    <w:p w14:paraId="7780254C" w14:textId="77777777" w:rsidR="004F1406" w:rsidRPr="002D0AC7" w:rsidRDefault="004F1406" w:rsidP="004F1406">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A23CE8E" w14:textId="77777777" w:rsidR="004F1406" w:rsidRDefault="004F1406" w:rsidP="004F1406">
      <w:pPr>
        <w:spacing w:after="0" w:line="360" w:lineRule="auto"/>
        <w:rPr>
          <w:rFonts w:eastAsia="Calibri" w:cs="Tahoma"/>
        </w:rPr>
      </w:pPr>
    </w:p>
    <w:p w14:paraId="1AB7E525" w14:textId="4E161090" w:rsidR="004F1406" w:rsidRPr="000F5705" w:rsidRDefault="004F1406" w:rsidP="004F1406">
      <w:pPr>
        <w:spacing w:after="0" w:line="360" w:lineRule="auto"/>
        <w:rPr>
          <w:rFonts w:eastAsia="Calibri" w:cs="Tahoma"/>
        </w:rPr>
      </w:pPr>
      <w:r w:rsidRPr="000F5705">
        <w:rPr>
          <w:rFonts w:eastAsia="Calibri" w:cs="Tahoma"/>
        </w:rPr>
        <w:t xml:space="preserve">Una vez establecido lo anterior, es de indicar que el agravio del Particular consistió en que, a la fecha de interposición del Recurso de Revisión, </w:t>
      </w:r>
      <w:r w:rsidRPr="00AF590D">
        <w:rPr>
          <w:rFonts w:eastAsia="Calibri" w:cs="Tahoma"/>
          <w:bCs/>
        </w:rPr>
        <w:t xml:space="preserve">el </w:t>
      </w:r>
      <w:r>
        <w:rPr>
          <w:bCs/>
          <w:color w:val="000000"/>
        </w:rPr>
        <w:t xml:space="preserve">Ayuntamiento de </w:t>
      </w:r>
      <w:r w:rsidR="00F74C7F">
        <w:rPr>
          <w:bCs/>
          <w:color w:val="000000"/>
        </w:rPr>
        <w:t>Zinacantepec</w:t>
      </w:r>
      <w:r w:rsidRPr="00AF590D">
        <w:rPr>
          <w:rFonts w:eastAsia="Calibri" w:cs="Tahoma"/>
          <w:bCs/>
        </w:rPr>
        <w:t>, no había registrado respuesta al requerimiento</w:t>
      </w:r>
      <w:r w:rsidRPr="000F5705">
        <w:rPr>
          <w:rFonts w:eastAsia="Calibri" w:cs="Tahoma"/>
        </w:rPr>
        <w:t xml:space="preserve"> de acceso a la información, el cual se presentó, el </w:t>
      </w:r>
      <w:r w:rsidR="00F74C7F">
        <w:rPr>
          <w:rFonts w:eastAsia="Calibri" w:cs="Tahoma"/>
        </w:rPr>
        <w:t>catorce</w:t>
      </w:r>
      <w:r>
        <w:rPr>
          <w:rFonts w:eastAsia="Calibri" w:cs="Tahoma"/>
        </w:rPr>
        <w:t xml:space="preserve"> de diciembre de dos mil veintidós</w:t>
      </w:r>
      <w:r w:rsidRPr="000F5705">
        <w:rPr>
          <w:rFonts w:eastAsia="Calibri" w:cs="Tahoma"/>
        </w:rPr>
        <w:t>.</w:t>
      </w:r>
      <w:r w:rsidRPr="008C0FBF">
        <w:rPr>
          <w:rFonts w:eastAsia="Calibri" w:cs="Tahoma"/>
          <w:iCs/>
        </w:rPr>
        <w:t xml:space="preserve"> </w:t>
      </w:r>
    </w:p>
    <w:p w14:paraId="1BDE81D4" w14:textId="77777777" w:rsidR="004F1406" w:rsidRPr="000F5705" w:rsidRDefault="004F1406" w:rsidP="004F1406">
      <w:pPr>
        <w:spacing w:after="0" w:line="360" w:lineRule="auto"/>
        <w:rPr>
          <w:rFonts w:eastAsia="Calibri" w:cs="Tahoma"/>
        </w:rPr>
      </w:pPr>
    </w:p>
    <w:p w14:paraId="42275D22" w14:textId="4F578F4B" w:rsidR="004F1406" w:rsidRDefault="004F1406" w:rsidP="004F1406">
      <w:pPr>
        <w:spacing w:after="0" w:line="360" w:lineRule="auto"/>
        <w:rPr>
          <w:rFonts w:eastAsia="Calibri" w:cs="Tahoma"/>
          <w:b/>
          <w:bCs/>
          <w:color w:val="000000"/>
        </w:rPr>
      </w:pPr>
      <w:r>
        <w:rPr>
          <w:rFonts w:eastAsia="Calibri" w:cs="Tahoma"/>
          <w:bCs/>
          <w:color w:val="000000"/>
        </w:rPr>
        <w:t xml:space="preserve">En ese orden de ideas, el plazo con el que contaba el Sujeto Obligado para emitir contestación al requerimiento informativo, </w:t>
      </w:r>
      <w:r>
        <w:rPr>
          <w:rFonts w:eastAsia="Calibri" w:cs="Tahoma"/>
          <w:b/>
          <w:bCs/>
          <w:color w:val="000000"/>
        </w:rPr>
        <w:t xml:space="preserve">comenzó a correr el </w:t>
      </w:r>
      <w:r w:rsidR="00F74C7F">
        <w:rPr>
          <w:rFonts w:eastAsia="Calibri" w:cs="Tahoma"/>
          <w:b/>
          <w:bCs/>
          <w:color w:val="000000"/>
        </w:rPr>
        <w:t>quince</w:t>
      </w:r>
      <w:r>
        <w:rPr>
          <w:rFonts w:eastAsia="Calibri" w:cs="Tahoma"/>
          <w:b/>
          <w:bCs/>
          <w:color w:val="000000"/>
        </w:rPr>
        <w:t xml:space="preserve"> de diciembre de dos mil veintidós y feneció el </w:t>
      </w:r>
      <w:r w:rsidR="00F74C7F">
        <w:rPr>
          <w:rFonts w:eastAsia="Calibri" w:cs="Tahoma"/>
          <w:b/>
          <w:bCs/>
          <w:color w:val="000000"/>
        </w:rPr>
        <w:t xml:space="preserve">veinte </w:t>
      </w:r>
      <w:r>
        <w:rPr>
          <w:rFonts w:eastAsia="Calibri" w:cs="Tahoma"/>
          <w:b/>
          <w:bCs/>
          <w:color w:val="000000"/>
        </w:rPr>
        <w:t>de enero de dos mil veintitrés</w:t>
      </w:r>
      <w:r>
        <w:rPr>
          <w:rFonts w:eastAsia="Calibri" w:cs="Tahoma"/>
          <w:color w:val="000000"/>
        </w:rPr>
        <w:t>; lo anterior, sin contar los días</w:t>
      </w:r>
      <w:r w:rsidR="00F74C7F">
        <w:rPr>
          <w:rFonts w:eastAsia="Calibri" w:cs="Tahoma"/>
          <w:color w:val="000000"/>
        </w:rPr>
        <w:t xml:space="preserve"> </w:t>
      </w:r>
      <w:r>
        <w:rPr>
          <w:rFonts w:eastAsia="Calibri" w:cs="Tahoma"/>
          <w:color w:val="000000"/>
        </w:rPr>
        <w:t>diecisiete, dieciocho</w:t>
      </w:r>
      <w:r w:rsidR="00230E4E">
        <w:rPr>
          <w:rFonts w:eastAsia="Calibri" w:cs="Tahoma"/>
          <w:color w:val="000000"/>
        </w:rPr>
        <w:t xml:space="preserve"> y del</w:t>
      </w:r>
      <w:r>
        <w:rPr>
          <w:rFonts w:eastAsia="Calibri" w:cs="Tahoma"/>
          <w:color w:val="000000"/>
        </w:rPr>
        <w:t xml:space="preserve"> veintidós</w:t>
      </w:r>
      <w:r w:rsidR="00F74C7F">
        <w:rPr>
          <w:rFonts w:eastAsia="Calibri" w:cs="Tahoma"/>
          <w:color w:val="000000"/>
        </w:rPr>
        <w:t xml:space="preserve"> al </w:t>
      </w:r>
      <w:r>
        <w:rPr>
          <w:rFonts w:eastAsia="Calibri" w:cs="Tahoma"/>
          <w:color w:val="000000"/>
        </w:rPr>
        <w:t>treinta y uno</w:t>
      </w:r>
      <w:r w:rsidR="00230E4E">
        <w:rPr>
          <w:rFonts w:eastAsia="Calibri" w:cs="Tahoma"/>
          <w:color w:val="000000"/>
        </w:rPr>
        <w:t xml:space="preserve"> de diciembre de dos mil veintidós, así como, del primero al nueve</w:t>
      </w:r>
      <w:r w:rsidR="00F74C7F">
        <w:rPr>
          <w:rFonts w:eastAsia="Calibri" w:cs="Tahoma"/>
          <w:color w:val="000000"/>
        </w:rPr>
        <w:t xml:space="preserve">, </w:t>
      </w:r>
      <w:r w:rsidR="00CD468D">
        <w:rPr>
          <w:rFonts w:eastAsia="Calibri" w:cs="Tahoma"/>
          <w:color w:val="000000"/>
        </w:rPr>
        <w:t>catorce y quince</w:t>
      </w:r>
      <w:r>
        <w:rPr>
          <w:rFonts w:eastAsia="Calibri" w:cs="Tahoma"/>
          <w:color w:val="000000"/>
        </w:rPr>
        <w:t xml:space="preserve"> de enero de dos mil veintitrés, al ser inhábiles, </w:t>
      </w:r>
      <w:r>
        <w:rPr>
          <w:rFonts w:eastAsia="Batang" w:cs="Tahoma"/>
          <w:bCs/>
        </w:rPr>
        <w:t xml:space="preserve">de conformidad con los artículos 3°, fracción X, y 159 de la Ley de Transparencia y Acceso a la Información Pública del Estado de México y Municipios y </w:t>
      </w:r>
      <w:bookmarkStart w:id="1" w:name="_Hlk65786947"/>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Municipios, así como los laborales de este Instituto, para el año dos mil veintidós y enero dos </w:t>
      </w:r>
      <w:bookmarkEnd w:id="1"/>
      <w:r>
        <w:rPr>
          <w:rFonts w:eastAsia="Batang" w:cs="Tahoma"/>
          <w:lang w:val="es-ES"/>
        </w:rPr>
        <w:t>mil veintitrés</w:t>
      </w:r>
      <w:r w:rsidR="00CD468D">
        <w:rPr>
          <w:rFonts w:eastAsia="Batang" w:cs="Tahoma"/>
          <w:lang w:val="es-ES"/>
        </w:rPr>
        <w:t>, así como, del año dos mil veintitrés y enero dos mil veinticuatro</w:t>
      </w:r>
      <w:r>
        <w:rPr>
          <w:rFonts w:eastAsia="Batang" w:cs="Tahoma"/>
          <w:lang w:val="es-ES"/>
        </w:rPr>
        <w:t>.</w:t>
      </w:r>
    </w:p>
    <w:p w14:paraId="7B2CC740" w14:textId="77777777" w:rsidR="004F1406" w:rsidRPr="000F5705" w:rsidRDefault="004F1406" w:rsidP="004F1406">
      <w:pPr>
        <w:spacing w:after="0" w:line="360" w:lineRule="auto"/>
        <w:rPr>
          <w:rFonts w:eastAsia="Calibri" w:cs="Tahoma"/>
        </w:rPr>
      </w:pPr>
    </w:p>
    <w:p w14:paraId="7FE4E3A6" w14:textId="4E2DADBC" w:rsidR="004F1406" w:rsidRDefault="004F1406" w:rsidP="004F1406">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 tal como se observa a continuación:</w:t>
      </w:r>
    </w:p>
    <w:p w14:paraId="496EEEDF" w14:textId="77777777" w:rsidR="00CD468D" w:rsidRDefault="00CD468D" w:rsidP="004F1406">
      <w:pPr>
        <w:spacing w:after="0" w:line="360" w:lineRule="auto"/>
        <w:rPr>
          <w:rFonts w:eastAsia="Calibri" w:cs="Tahoma"/>
          <w:lang w:val="es-ES"/>
        </w:rPr>
      </w:pPr>
    </w:p>
    <w:p w14:paraId="3C0E5EC1" w14:textId="463BD20B" w:rsidR="004F1406" w:rsidRDefault="0085174A" w:rsidP="00CD468D">
      <w:pPr>
        <w:spacing w:after="0" w:line="360" w:lineRule="auto"/>
        <w:jc w:val="center"/>
        <w:rPr>
          <w:rFonts w:eastAsia="Calibri" w:cs="Tahoma"/>
          <w:bCs/>
        </w:rPr>
      </w:pPr>
      <w:r>
        <w:rPr>
          <w:noProof/>
          <w:lang w:eastAsia="es-MX"/>
        </w:rPr>
        <w:t xml:space="preserve">  </w:t>
      </w:r>
      <w:r>
        <w:rPr>
          <w:noProof/>
          <w:lang w:eastAsia="es-MX"/>
        </w:rPr>
        <w:drawing>
          <wp:inline distT="0" distB="0" distL="0" distR="0" wp14:anchorId="3F2D872F" wp14:editId="30E29D75">
            <wp:extent cx="2883535" cy="1530350"/>
            <wp:effectExtent l="0" t="0" r="0" b="0"/>
            <wp:docPr id="1800544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3535" cy="1530350"/>
                    </a:xfrm>
                    <a:prstGeom prst="rect">
                      <a:avLst/>
                    </a:prstGeom>
                    <a:noFill/>
                  </pic:spPr>
                </pic:pic>
              </a:graphicData>
            </a:graphic>
          </wp:inline>
        </w:drawing>
      </w:r>
    </w:p>
    <w:p w14:paraId="0E55D939" w14:textId="77777777" w:rsidR="004F1406" w:rsidRDefault="004F1406" w:rsidP="004F1406">
      <w:pPr>
        <w:spacing w:after="0" w:line="360" w:lineRule="auto"/>
        <w:rPr>
          <w:rFonts w:eastAsia="Calibri" w:cs="Tahoma"/>
          <w:bCs/>
        </w:rPr>
      </w:pPr>
    </w:p>
    <w:p w14:paraId="0E7B21A6" w14:textId="136F18CA" w:rsidR="004F1406" w:rsidRPr="0097492D" w:rsidRDefault="004F1406" w:rsidP="004F1406">
      <w:pPr>
        <w:spacing w:after="0" w:line="360" w:lineRule="auto"/>
        <w:rPr>
          <w:rFonts w:eastAsia="Calibri" w:cs="Tahoma"/>
        </w:rPr>
      </w:pPr>
      <w:r w:rsidRPr="000F5705">
        <w:rPr>
          <w:rFonts w:eastAsia="Calibri" w:cs="Tahoma"/>
          <w:bCs/>
        </w:rPr>
        <w:t xml:space="preserve">Así, se colige que, tal como lo precisó el Particular, </w:t>
      </w:r>
      <w:r w:rsidRPr="0097492D">
        <w:rPr>
          <w:rFonts w:eastAsia="Calibri" w:cs="Tahoma"/>
        </w:rPr>
        <w:t xml:space="preserve">el </w:t>
      </w:r>
      <w:r>
        <w:rPr>
          <w:color w:val="000000"/>
        </w:rPr>
        <w:t xml:space="preserve">Ayuntamiento de </w:t>
      </w:r>
      <w:r w:rsidR="00CD468D">
        <w:rPr>
          <w:color w:val="000000"/>
        </w:rPr>
        <w:t>Zinacantepec</w:t>
      </w:r>
      <w:r w:rsidRPr="0097492D">
        <w:rPr>
          <w:rFonts w:eastAsia="Calibri" w:cs="Tahoma"/>
        </w:rPr>
        <w:t xml:space="preserve">, no emitió respuesta para dar contestación a la solicitud de información, dentro de los plazos establecidos en el artículo 163, de la Ley de la materia, pues tenía hasta el </w:t>
      </w:r>
      <w:r w:rsidR="00CD468D">
        <w:rPr>
          <w:rFonts w:eastAsia="Calibri" w:cs="Tahoma"/>
        </w:rPr>
        <w:t>veinte</w:t>
      </w:r>
      <w:r>
        <w:rPr>
          <w:rFonts w:eastAsia="Calibri" w:cs="Tahoma"/>
        </w:rPr>
        <w:t xml:space="preserve"> de enero de dos mil veintitrés</w:t>
      </w:r>
      <w:r w:rsidRPr="0097492D">
        <w:rPr>
          <w:rFonts w:eastAsia="Calibri" w:cs="Tahoma"/>
        </w:rPr>
        <w:t xml:space="preserve">, para realizar dicha situación, inclusive a la presente fecha, dicho ente no ha emitido contestación alguna; por lo que, resulta evidente que el agravio hecho valer por el Recurrente resulta </w:t>
      </w:r>
      <w:r w:rsidRPr="0097492D">
        <w:rPr>
          <w:rFonts w:eastAsia="Calibri" w:cs="Tahoma"/>
          <w:b/>
          <w:bCs/>
        </w:rPr>
        <w:t>FUNDADO.</w:t>
      </w:r>
    </w:p>
    <w:p w14:paraId="24C68ACA" w14:textId="77777777" w:rsidR="004F1406" w:rsidRPr="000F5705" w:rsidRDefault="004F1406" w:rsidP="004F1406">
      <w:pPr>
        <w:spacing w:after="0" w:line="360" w:lineRule="auto"/>
        <w:rPr>
          <w:rFonts w:eastAsia="Calibri" w:cs="Tahoma"/>
          <w:bCs/>
        </w:rPr>
      </w:pPr>
    </w:p>
    <w:p w14:paraId="6FC724AC" w14:textId="49C70D34" w:rsidR="004F1406" w:rsidRDefault="004F1406" w:rsidP="004F1406">
      <w:pPr>
        <w:spacing w:after="0" w:line="360" w:lineRule="auto"/>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Pr>
          <w:rFonts w:eastAsia="Calibri" w:cs="Tahoma"/>
          <w:bCs/>
        </w:rPr>
        <w:t>cionado, es decir, respecto</w:t>
      </w:r>
      <w:r w:rsidRPr="007C7448">
        <w:rPr>
          <w:rFonts w:eastAsia="Calibri" w:cs="Tahoma"/>
          <w:bCs/>
        </w:rPr>
        <w:t xml:space="preserve"> a</w:t>
      </w:r>
      <w:r w:rsidR="00CD468D">
        <w:rPr>
          <w:rFonts w:eastAsia="Calibri" w:cs="Tahoma"/>
          <w:bCs/>
        </w:rPr>
        <w:t xml:space="preserve"> </w:t>
      </w:r>
      <w:r w:rsidRPr="007C7448">
        <w:rPr>
          <w:rFonts w:eastAsia="Calibri" w:cs="Tahoma"/>
          <w:bCs/>
        </w:rPr>
        <w:t>l</w:t>
      </w:r>
      <w:r w:rsidR="00CD468D">
        <w:rPr>
          <w:rFonts w:eastAsia="Calibri" w:cs="Tahoma"/>
          <w:bCs/>
        </w:rPr>
        <w:t>os recibos de aguinaldo</w:t>
      </w:r>
      <w:r w:rsidRPr="007C7448">
        <w:rPr>
          <w:rFonts w:eastAsia="Calibri" w:cs="Tahoma"/>
          <w:bCs/>
        </w:rPr>
        <w:t xml:space="preserve"> </w:t>
      </w:r>
      <w:r w:rsidR="00BC4A55">
        <w:rPr>
          <w:rFonts w:eastAsia="Calibri" w:cs="Tahoma"/>
          <w:bCs/>
        </w:rPr>
        <w:t>del año dos mil dieciocho</w:t>
      </w:r>
      <w:r w:rsidRPr="007C7448">
        <w:rPr>
          <w:rFonts w:eastAsia="Calibri" w:cs="Tahoma"/>
          <w:bCs/>
        </w:rPr>
        <w:t>,</w:t>
      </w:r>
      <w:r w:rsidR="00A604DB">
        <w:rPr>
          <w:rFonts w:eastAsia="Calibri" w:cs="Tahoma"/>
          <w:bCs/>
        </w:rPr>
        <w:t xml:space="preserve"> del Ayuntamiento de Zinacantepec.</w:t>
      </w:r>
    </w:p>
    <w:p w14:paraId="45D6CAA7" w14:textId="77777777" w:rsidR="004F1406" w:rsidRDefault="004F1406" w:rsidP="004F1406">
      <w:pPr>
        <w:spacing w:after="0" w:line="360" w:lineRule="auto"/>
        <w:rPr>
          <w:rFonts w:eastAsia="Calibri" w:cs="Tahoma"/>
          <w:bCs/>
        </w:rPr>
      </w:pPr>
    </w:p>
    <w:p w14:paraId="5C293F5C" w14:textId="74525B2E" w:rsidR="004F1406" w:rsidRDefault="004F1406" w:rsidP="004F1406">
      <w:pPr>
        <w:tabs>
          <w:tab w:val="left" w:pos="7049"/>
        </w:tabs>
        <w:spacing w:after="0" w:line="360" w:lineRule="auto"/>
        <w:rPr>
          <w:rFonts w:eastAsia="Calibri" w:cs="Tahoma"/>
          <w:bCs/>
          <w:color w:val="000000"/>
        </w:rPr>
      </w:pPr>
      <w:r w:rsidRPr="00597EA8">
        <w:rPr>
          <w:rFonts w:eastAsia="Calibri" w:cs="Tahoma"/>
          <w:bCs/>
          <w:color w:val="000000"/>
        </w:rPr>
        <w:t xml:space="preserve">Ahora bien, </w:t>
      </w:r>
      <w:r>
        <w:rPr>
          <w:rFonts w:eastAsia="Calibri" w:cs="Tahoma"/>
          <w:bCs/>
          <w:color w:val="000000"/>
        </w:rPr>
        <w:t xml:space="preserve">respecto a lo solicitado, </w:t>
      </w:r>
      <w:r w:rsidRPr="00597EA8">
        <w:rPr>
          <w:rFonts w:eastAsia="Calibri" w:cs="Tahoma"/>
          <w:bCs/>
          <w:color w:val="000000"/>
        </w:rPr>
        <w:t xml:space="preserve">es necesario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1A4AA954" w14:textId="77777777" w:rsidR="00230E4E" w:rsidRDefault="00230E4E" w:rsidP="00230E4E">
      <w:pPr>
        <w:spacing w:after="0" w:line="360" w:lineRule="auto"/>
        <w:rPr>
          <w:lang w:val="es-ES"/>
        </w:rPr>
      </w:pPr>
      <w:r w:rsidRPr="00DD2EB3">
        <w:t xml:space="preserve">En esa tesitura, el artículo 78 de la Ley de comento, prevé que el derecho a un aguinaldo anual equivale a cuarenta </w:t>
      </w:r>
      <w:r w:rsidRPr="00DD2EB3">
        <w:rPr>
          <w:lang w:val="es-ES"/>
        </w:rPr>
        <w:t>días de sueldo base, cuando menos, sin deducción alguna, y estará comprendido en el presupuesto de egresos correspondiente</w:t>
      </w:r>
      <w:r>
        <w:rPr>
          <w:lang w:val="es-ES"/>
        </w:rPr>
        <w:t xml:space="preserve">; además, que este </w:t>
      </w:r>
      <w:r w:rsidRPr="00DD2EB3">
        <w:rPr>
          <w:lang w:val="es-ES"/>
        </w:rPr>
        <w:t xml:space="preserve">deberá pagarse en dos entregas, la primera de ellas previo al primer período vacacional y la segunda a más tardar el día quince de diciembre. </w:t>
      </w:r>
    </w:p>
    <w:p w14:paraId="3D4EA8C6" w14:textId="77777777" w:rsidR="00230E4E" w:rsidRDefault="00230E4E" w:rsidP="00230E4E">
      <w:pPr>
        <w:spacing w:after="0" w:line="360" w:lineRule="auto"/>
        <w:rPr>
          <w:lang w:val="es-ES"/>
        </w:rPr>
      </w:pPr>
    </w:p>
    <w:p w14:paraId="0DAD82AF" w14:textId="125CA0F3" w:rsidR="00230E4E" w:rsidRPr="00DD2EB3" w:rsidRDefault="00230E4E" w:rsidP="00230E4E">
      <w:pPr>
        <w:spacing w:after="0" w:line="360" w:lineRule="auto"/>
      </w:pPr>
      <w:r w:rsidRPr="00DD2EB3">
        <w:t>Conforme a lo expuesto, se advierte que el pago aguinaldo se da en dos partes conforme a lo siguiente:</w:t>
      </w:r>
    </w:p>
    <w:p w14:paraId="547B2361" w14:textId="77777777" w:rsidR="00230E4E" w:rsidRPr="00DD2EB3" w:rsidRDefault="00230E4E" w:rsidP="00230E4E">
      <w:pPr>
        <w:spacing w:after="0" w:line="360" w:lineRule="auto"/>
      </w:pPr>
    </w:p>
    <w:p w14:paraId="130915BC" w14:textId="77777777" w:rsidR="00230E4E" w:rsidRPr="00127F64" w:rsidRDefault="00230E4E" w:rsidP="00230E4E">
      <w:pPr>
        <w:pStyle w:val="Prrafodelista"/>
        <w:numPr>
          <w:ilvl w:val="0"/>
          <w:numId w:val="3"/>
        </w:numPr>
        <w:spacing w:line="360" w:lineRule="auto"/>
      </w:pPr>
      <w:r w:rsidRPr="00DD2EB3">
        <w:t xml:space="preserve">La primera parte </w:t>
      </w:r>
      <w:r w:rsidRPr="00DD2EB3">
        <w:rPr>
          <w:lang w:val="es-ES"/>
        </w:rPr>
        <w:t>previo al primer período vacacional</w:t>
      </w:r>
      <w:r>
        <w:rPr>
          <w:lang w:val="es-ES"/>
        </w:rPr>
        <w:t>,</w:t>
      </w:r>
      <w:r w:rsidRPr="00DD2EB3">
        <w:rPr>
          <w:lang w:val="es-ES"/>
        </w:rPr>
        <w:t xml:space="preserve"> y</w:t>
      </w:r>
    </w:p>
    <w:p w14:paraId="5E938A70" w14:textId="77777777" w:rsidR="00230E4E" w:rsidRPr="00DD2EB3" w:rsidRDefault="00230E4E" w:rsidP="00230E4E">
      <w:pPr>
        <w:pStyle w:val="Prrafodelista"/>
        <w:spacing w:line="360" w:lineRule="auto"/>
      </w:pPr>
    </w:p>
    <w:p w14:paraId="5D32CCEB" w14:textId="77777777" w:rsidR="00230E4E" w:rsidRPr="00DD2EB3" w:rsidRDefault="00230E4E" w:rsidP="00230E4E">
      <w:pPr>
        <w:pStyle w:val="Prrafodelista"/>
        <w:numPr>
          <w:ilvl w:val="0"/>
          <w:numId w:val="3"/>
        </w:numPr>
        <w:spacing w:line="360" w:lineRule="auto"/>
      </w:pPr>
      <w:r w:rsidRPr="00DD2EB3">
        <w:rPr>
          <w:lang w:val="es-ES"/>
        </w:rPr>
        <w:t xml:space="preserve">La segunda parte a más tardar el día quince de diciembre. </w:t>
      </w:r>
    </w:p>
    <w:p w14:paraId="00EC323C" w14:textId="77777777" w:rsidR="00230E4E" w:rsidRDefault="00230E4E" w:rsidP="00230E4E">
      <w:pPr>
        <w:spacing w:after="0" w:line="360" w:lineRule="auto"/>
      </w:pPr>
    </w:p>
    <w:p w14:paraId="004FD9A1" w14:textId="77777777" w:rsidR="00230E4E" w:rsidRPr="00DD2EB3" w:rsidRDefault="00230E4E" w:rsidP="00230E4E">
      <w:pPr>
        <w:spacing w:after="0" w:line="360" w:lineRule="auto"/>
      </w:pPr>
      <w:r>
        <w:t>En ese orden de ideas</w:t>
      </w:r>
      <w:r w:rsidRPr="00DD2EB3">
        <w:t xml:space="preserve">, es necesario traer al estudio, el artículo 270 k, fracción IV, de la Ley del Trabajo de los Servidores Públicos, establece que la </w:t>
      </w:r>
      <w:r w:rsidRPr="00DD2EB3">
        <w:rPr>
          <w:lang w:val="es-ES"/>
        </w:rPr>
        <w:t xml:space="preserve">institución o dependencia pública tiene la obligación de conservar, diversos documentos, de los cuales se adviertan </w:t>
      </w:r>
      <w:r w:rsidRPr="00DD2EB3">
        <w:rPr>
          <w:b/>
          <w:bCs/>
          <w:lang w:val="es-ES"/>
        </w:rPr>
        <w:t>las constancias de depósito</w:t>
      </w:r>
      <w:r w:rsidRPr="00DD2EB3">
        <w:rPr>
          <w:lang w:val="es-ES"/>
        </w:rPr>
        <w:t xml:space="preserve"> o del medio de información magnética o electrónica que sean </w:t>
      </w:r>
      <w:r w:rsidRPr="00DD2EB3">
        <w:rPr>
          <w:b/>
          <w:bCs/>
          <w:lang w:val="es-ES"/>
        </w:rPr>
        <w:t>utilizadas para el pago de</w:t>
      </w:r>
      <w:r w:rsidRPr="00DD2EB3">
        <w:rPr>
          <w:lang w:val="es-ES"/>
        </w:rPr>
        <w:t xml:space="preserve"> salarios, prima vacacional, </w:t>
      </w:r>
      <w:r w:rsidRPr="00DD2EB3">
        <w:rPr>
          <w:b/>
          <w:bCs/>
          <w:lang w:val="es-ES"/>
        </w:rPr>
        <w:t xml:space="preserve">aguinaldo y demás prestaciones establecidas en la presente ley. </w:t>
      </w:r>
    </w:p>
    <w:p w14:paraId="35708C55" w14:textId="77777777" w:rsidR="004F1406" w:rsidRDefault="004F1406" w:rsidP="004F1406">
      <w:pPr>
        <w:spacing w:after="0" w:line="360" w:lineRule="auto"/>
        <w:rPr>
          <w:rFonts w:eastAsia="Calibri" w:cs="Tahoma"/>
          <w:bCs/>
        </w:rPr>
      </w:pPr>
    </w:p>
    <w:p w14:paraId="39C45F89" w14:textId="633FDCC6" w:rsidR="004F1406" w:rsidRPr="00822F37" w:rsidRDefault="00F13A25" w:rsidP="004F1406">
      <w:pPr>
        <w:spacing w:after="0" w:line="360" w:lineRule="auto"/>
        <w:rPr>
          <w:rFonts w:eastAsia="Calibri" w:cs="Tahoma"/>
          <w:bCs/>
          <w:color w:val="000000"/>
        </w:rPr>
      </w:pPr>
      <w:r>
        <w:rPr>
          <w:rFonts w:eastAsia="Calibri" w:cs="Tahoma"/>
          <w:bCs/>
          <w:color w:val="000000"/>
        </w:rPr>
        <w:t>Además</w:t>
      </w:r>
      <w:r w:rsidR="004F1406" w:rsidRPr="00822F37">
        <w:rPr>
          <w:rFonts w:eastAsia="Calibri" w:cs="Tahoma"/>
          <w:bCs/>
          <w:color w:val="000000"/>
        </w:rPr>
        <w:t>,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D91EFA0" w14:textId="77777777" w:rsidR="004F1406" w:rsidRPr="00822F37" w:rsidRDefault="004F1406" w:rsidP="004F1406">
      <w:pPr>
        <w:spacing w:after="0" w:line="360" w:lineRule="auto"/>
        <w:rPr>
          <w:rFonts w:eastAsia="Calibri" w:cs="Tahoma"/>
          <w:bCs/>
          <w:color w:val="000000"/>
        </w:rPr>
      </w:pPr>
    </w:p>
    <w:p w14:paraId="22A29356" w14:textId="77777777" w:rsidR="004F1406" w:rsidRPr="00822F37" w:rsidRDefault="004F1406" w:rsidP="004F1406">
      <w:pPr>
        <w:spacing w:after="0" w:line="360" w:lineRule="auto"/>
        <w:rPr>
          <w:rFonts w:eastAsia="Calibri" w:cs="Tahoma"/>
          <w:bCs/>
          <w:iCs/>
          <w:color w:val="000000"/>
          <w:lang w:val="es-ES"/>
        </w:rPr>
      </w:pPr>
      <w:r w:rsidRPr="00822F37">
        <w:rPr>
          <w:rFonts w:eastAsia="Calibri" w:cs="Tahoma"/>
          <w:bCs/>
          <w:iCs/>
          <w:color w:val="000000"/>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1FB0549" w14:textId="77777777" w:rsidR="004F1406" w:rsidRPr="00822F37" w:rsidRDefault="004F1406" w:rsidP="004F1406">
      <w:pPr>
        <w:spacing w:after="0" w:line="360" w:lineRule="auto"/>
        <w:rPr>
          <w:rFonts w:eastAsia="Calibri" w:cs="Tahoma"/>
          <w:bCs/>
          <w:color w:val="000000"/>
        </w:rPr>
      </w:pPr>
    </w:p>
    <w:p w14:paraId="2606A075" w14:textId="77777777" w:rsidR="004F1406" w:rsidRPr="00822F37" w:rsidRDefault="004F1406" w:rsidP="004F1406">
      <w:pPr>
        <w:spacing w:after="0" w:line="360" w:lineRule="auto"/>
        <w:rPr>
          <w:b/>
          <w:bCs/>
          <w:iCs/>
          <w:lang w:val="es-ES"/>
        </w:rPr>
      </w:pPr>
      <w:r w:rsidRPr="00822F37">
        <w:rPr>
          <w:bCs/>
          <w:iCs/>
          <w:lang w:val="es-ES"/>
        </w:rPr>
        <w:t>Además, el Anexo IV.2 Clasificación por objeto del gasto, del Manual para la Planeación, Programación y Presupuesto de Egresos Municipal para el ejercicio fiscal dos mil veint</w:t>
      </w:r>
      <w:r>
        <w:rPr>
          <w:bCs/>
          <w:iCs/>
          <w:lang w:val="es-ES"/>
        </w:rPr>
        <w:t>idós</w:t>
      </w:r>
      <w:r w:rsidRPr="00822F37">
        <w:rPr>
          <w:bCs/>
          <w:iCs/>
          <w:lang w:val="es-ES"/>
        </w:rPr>
        <w:t xml:space="preserve">, establece que los Presupuestos de Egresos Municipales, se tendrán que generar, conforme al “Clasificador por Objeto del Gasto”, el cual se conforma de diversos capítulos, entre los cuales, se encuentra el </w:t>
      </w:r>
      <w:r w:rsidRPr="00822F37">
        <w:rPr>
          <w:b/>
          <w:bCs/>
          <w:iCs/>
          <w:lang w:val="es-ES"/>
        </w:rPr>
        <w:t>1000 Servicios Personales</w:t>
      </w:r>
      <w:r w:rsidRPr="00822F37">
        <w:rPr>
          <w:bCs/>
          <w:iCs/>
          <w:lang w:val="es-ES"/>
        </w:rPr>
        <w:t>,</w:t>
      </w:r>
      <w:r w:rsidRPr="00822F37">
        <w:rPr>
          <w:b/>
          <w:bCs/>
          <w:iCs/>
          <w:lang w:val="es-ES"/>
        </w:rPr>
        <w:t xml:space="preserve"> que agrupa las remuneraciones del personal al servicio de los entes públicos, tales como el sueldo, salarios, dietas, honorarios, prestaciones, obligaciones laborales, entre otras.</w:t>
      </w:r>
    </w:p>
    <w:p w14:paraId="6746614C" w14:textId="77777777" w:rsidR="004F1406" w:rsidRPr="00822F37" w:rsidRDefault="004F1406" w:rsidP="004F1406">
      <w:pPr>
        <w:spacing w:after="0" w:line="360" w:lineRule="auto"/>
        <w:rPr>
          <w:rFonts w:eastAsia="Calibri" w:cs="Tahoma"/>
          <w:bCs/>
          <w:color w:val="000000"/>
        </w:rPr>
      </w:pPr>
    </w:p>
    <w:p w14:paraId="50745DE6" w14:textId="77777777" w:rsidR="004F1406" w:rsidRPr="004A70DF" w:rsidRDefault="004F1406" w:rsidP="004F1406">
      <w:pPr>
        <w:spacing w:after="0" w:line="360" w:lineRule="auto"/>
        <w:rPr>
          <w:rFonts w:eastAsia="Times New Roman" w:cs="Tahoma"/>
          <w:color w:val="000000"/>
          <w:lang w:eastAsia="es-ES"/>
        </w:rPr>
      </w:pPr>
      <w:r w:rsidRPr="00822F37">
        <w:rPr>
          <w:rFonts w:eastAsia="Times New Roman" w:cs="Tahoma"/>
          <w:bCs/>
          <w:color w:val="auto"/>
          <w:lang w:eastAsia="es-ES"/>
        </w:rPr>
        <w:t>En ese orden de ideas, las Políticas para la Integración del Informe Trimestral de los Sujetos de Fiscalización Municipales para el ejercicio fiscal dos mil veinti</w:t>
      </w:r>
      <w:r>
        <w:rPr>
          <w:rFonts w:eastAsia="Times New Roman" w:cs="Tahoma"/>
          <w:bCs/>
          <w:color w:val="auto"/>
          <w:lang w:eastAsia="es-ES"/>
        </w:rPr>
        <w:t>dós</w:t>
      </w:r>
      <w:r w:rsidRPr="00822F37">
        <w:rPr>
          <w:rFonts w:eastAsia="Times New Roman" w:cs="Tahoma"/>
          <w:bCs/>
          <w:color w:val="auto"/>
          <w:lang w:eastAsia="es-ES"/>
        </w:rPr>
        <w:t xml:space="preserve">, entre los formatos que maneja en el </w:t>
      </w:r>
      <w:r w:rsidRPr="00822F37">
        <w:rPr>
          <w:rFonts w:eastAsia="Times New Roman" w:cs="Tahoma"/>
          <w:b/>
          <w:color w:val="auto"/>
          <w:lang w:eastAsia="es-ES"/>
        </w:rPr>
        <w:t>Módulo 4</w:t>
      </w:r>
      <w:r w:rsidRPr="00822F37">
        <w:rPr>
          <w:rFonts w:eastAsia="Times New Roman" w:cs="Tahoma"/>
          <w:bCs/>
          <w:color w:val="auto"/>
          <w:lang w:eastAsia="es-ES"/>
        </w:rPr>
        <w:t xml:space="preserve">, </w:t>
      </w:r>
      <w:r w:rsidRPr="00F13A25">
        <w:rPr>
          <w:rFonts w:eastAsia="Times New Roman" w:cs="Tahoma"/>
          <w:bCs/>
          <w:color w:val="auto"/>
          <w:lang w:eastAsia="es-ES"/>
        </w:rPr>
        <w:t>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14:paraId="1B431EE4" w14:textId="77777777" w:rsidR="004F1406" w:rsidRPr="004A70DF" w:rsidRDefault="004F1406" w:rsidP="004F1406">
      <w:pPr>
        <w:spacing w:after="0" w:line="360" w:lineRule="auto"/>
        <w:rPr>
          <w:rFonts w:eastAsia="Times New Roman" w:cs="Tahoma"/>
          <w:iCs/>
          <w:color w:val="000000"/>
          <w:lang w:val="es-ES" w:eastAsia="es-ES"/>
        </w:rPr>
      </w:pPr>
    </w:p>
    <w:p w14:paraId="7904DE9A" w14:textId="77777777" w:rsidR="004F1406" w:rsidRPr="00597EA8" w:rsidRDefault="004F1406" w:rsidP="004F1406">
      <w:pPr>
        <w:spacing w:after="0" w:line="360" w:lineRule="auto"/>
        <w:rPr>
          <w:rFonts w:eastAsia="Times New Roman" w:cs="Tahoma"/>
          <w:bCs/>
          <w:color w:val="auto"/>
          <w:lang w:val="es-ES_tradnl" w:eastAsia="es-ES"/>
        </w:rPr>
      </w:pPr>
      <w:r w:rsidRPr="00597EA8">
        <w:rPr>
          <w:rFonts w:eastAsia="Times New Roman" w:cs="Tahoma"/>
          <w:bCs/>
          <w:color w:val="auto"/>
          <w:lang w:val="es-ES_tradnl" w:eastAsia="es-ES"/>
        </w:rPr>
        <w:t xml:space="preserve">Como se observa, el Sujeto Obligado </w:t>
      </w:r>
      <w:r w:rsidRPr="00597EA8">
        <w:rPr>
          <w:rFonts w:eastAsia="Times New Roman" w:cs="Tahoma"/>
          <w:b/>
          <w:bCs/>
          <w:color w:val="auto"/>
          <w:lang w:val="es-ES_tradnl" w:eastAsia="es-ES"/>
        </w:rPr>
        <w:t xml:space="preserve">tiene competencia para conocer de la información solicitada, </w:t>
      </w:r>
      <w:r>
        <w:rPr>
          <w:rFonts w:eastAsia="Times New Roman" w:cs="Tahoma"/>
          <w:bCs/>
          <w:color w:val="auto"/>
          <w:lang w:val="es-ES_tradnl" w:eastAsia="es-ES"/>
        </w:rPr>
        <w:t xml:space="preserve">pues el Ayuntamiento debe generar el documento peticionado; </w:t>
      </w:r>
      <w:r w:rsidRPr="00597EA8">
        <w:rPr>
          <w:rFonts w:eastAsia="Times New Roman" w:cs="Tahoma"/>
          <w:bCs/>
          <w:color w:val="auto"/>
          <w:lang w:val="es-ES_tradnl" w:eastAsia="es-ES"/>
        </w:rPr>
        <w:t xml:space="preserve">por lo cual, </w:t>
      </w:r>
      <w:r w:rsidRPr="00597EA8">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14:paraId="4ADCA89D" w14:textId="77777777" w:rsidR="004F1406" w:rsidRPr="00597EA8" w:rsidRDefault="004F1406" w:rsidP="004F1406">
      <w:pPr>
        <w:spacing w:after="0" w:line="360" w:lineRule="auto"/>
        <w:rPr>
          <w:rFonts w:eastAsia="Times New Roman" w:cs="Tahoma"/>
          <w:bCs/>
          <w:iCs/>
          <w:color w:val="auto"/>
          <w:lang w:eastAsia="es-ES"/>
        </w:rPr>
      </w:pPr>
    </w:p>
    <w:p w14:paraId="0E3D73D1" w14:textId="77777777" w:rsidR="004F1406" w:rsidRDefault="004F1406" w:rsidP="004F1406">
      <w:pPr>
        <w:spacing w:after="0" w:line="360" w:lineRule="auto"/>
        <w:rPr>
          <w:rFonts w:eastAsia="Times New Roman" w:cs="Tahoma"/>
          <w:bCs/>
          <w:iCs/>
          <w:lang w:val="es-ES" w:eastAsia="es-ES"/>
        </w:rPr>
      </w:pPr>
      <w:bookmarkStart w:id="2" w:name="_Hlk76480431"/>
      <w:r w:rsidRPr="00747C89">
        <w:rPr>
          <w:rFonts w:eastAsia="Times New Roman" w:cs="Tahoma"/>
          <w:bCs/>
          <w:iCs/>
          <w:lang w:val="es-ES_tradnl" w:eastAsia="es-ES"/>
        </w:rPr>
        <w:t>No pasa</w:t>
      </w:r>
      <w:r w:rsidRPr="000F5705">
        <w:rPr>
          <w:rFonts w:eastAsia="Times New Roman" w:cs="Tahoma"/>
          <w:bCs/>
          <w:iCs/>
          <w:lang w:val="es-ES_tradnl" w:eastAsia="es-ES"/>
        </w:rPr>
        <w:t xml:space="preserve"> desapercibido para este Instituto que los documentos que den cuenta de lo solicitado, pudieran contener datos o información clasificada; a</w:t>
      </w:r>
      <w:r w:rsidRPr="000F5705">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690D82A" w14:textId="77777777" w:rsidR="004F1406" w:rsidRDefault="004F1406" w:rsidP="004F1406">
      <w:pPr>
        <w:spacing w:after="0" w:line="360" w:lineRule="auto"/>
        <w:rPr>
          <w:rFonts w:eastAsia="Times New Roman" w:cs="Tahoma"/>
          <w:bCs/>
          <w:iCs/>
          <w:lang w:val="es-ES" w:eastAsia="es-ES"/>
        </w:rPr>
      </w:pPr>
    </w:p>
    <w:p w14:paraId="5DC1A8C9" w14:textId="77777777" w:rsidR="004F1406" w:rsidRPr="000F5705" w:rsidRDefault="004F1406" w:rsidP="004F1406">
      <w:pPr>
        <w:spacing w:after="0" w:line="360" w:lineRule="auto"/>
        <w:rPr>
          <w:rFonts w:eastAsia="Times New Roman" w:cs="Tahoma"/>
          <w:bCs/>
          <w:iCs/>
          <w:lang w:val="es-ES" w:eastAsia="es-ES"/>
        </w:rPr>
      </w:pPr>
      <w:r w:rsidRPr="000F5705">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14:paraId="69750594" w14:textId="77777777" w:rsidR="004F1406" w:rsidRDefault="004F1406" w:rsidP="004F1406">
      <w:pPr>
        <w:spacing w:after="0" w:line="360" w:lineRule="auto"/>
        <w:contextualSpacing/>
        <w:rPr>
          <w:rFonts w:eastAsia="Calibri" w:cs="Tahoma"/>
          <w:b/>
          <w:color w:val="000000"/>
        </w:rPr>
      </w:pPr>
    </w:p>
    <w:p w14:paraId="4963E172" w14:textId="77777777" w:rsidR="004F1406" w:rsidRPr="002D0AC7" w:rsidRDefault="004F1406" w:rsidP="004F1406">
      <w:pPr>
        <w:spacing w:after="0" w:line="360" w:lineRule="auto"/>
        <w:contextualSpacing/>
        <w:rPr>
          <w:rFonts w:eastAsia="Calibri" w:cs="Tahoma"/>
          <w:b/>
          <w:color w:val="000000"/>
        </w:rPr>
      </w:pPr>
      <w:r w:rsidRPr="002D0AC7">
        <w:rPr>
          <w:rFonts w:eastAsia="Calibri" w:cs="Tahoma"/>
          <w:b/>
          <w:color w:val="000000"/>
        </w:rPr>
        <w:t xml:space="preserve">SEXTO. Decisión. </w:t>
      </w:r>
    </w:p>
    <w:p w14:paraId="17CCB4B9" w14:textId="77777777" w:rsidR="004F1406" w:rsidRDefault="004F1406" w:rsidP="004F1406">
      <w:pPr>
        <w:spacing w:after="0" w:line="360" w:lineRule="auto"/>
        <w:rPr>
          <w:rFonts w:eastAsia="Times New Roman" w:cs="Tahoma"/>
          <w:color w:val="auto"/>
          <w:lang w:eastAsia="es-ES"/>
        </w:rPr>
      </w:pPr>
    </w:p>
    <w:p w14:paraId="233DDCAC" w14:textId="1A2AA2CF" w:rsidR="004F1406" w:rsidRPr="002D0AC7" w:rsidRDefault="004F1406" w:rsidP="004F1406">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F94FC1" w:rsidRPr="004F1406">
        <w:rPr>
          <w:color w:val="auto"/>
        </w:rPr>
        <w:t>01465/ZINACANT/IP/2022</w:t>
      </w:r>
      <w:r w:rsidRPr="002D0AC7">
        <w:rPr>
          <w:rFonts w:eastAsia="Times New Roman" w:cs="Tahoma"/>
          <w:b/>
          <w:bCs/>
          <w:iCs/>
          <w:color w:val="auto"/>
          <w:lang w:eastAsia="es-ES"/>
        </w:rPr>
        <w:t>.</w:t>
      </w:r>
    </w:p>
    <w:p w14:paraId="1747868F" w14:textId="77777777" w:rsidR="004F1406" w:rsidRPr="002D0AC7" w:rsidRDefault="004F1406" w:rsidP="004F1406">
      <w:pPr>
        <w:spacing w:after="0" w:line="360" w:lineRule="auto"/>
        <w:rPr>
          <w:rFonts w:eastAsia="Times New Roman" w:cs="Tahoma"/>
          <w:b/>
          <w:bCs/>
          <w:iCs/>
          <w:color w:val="auto"/>
          <w:lang w:eastAsia="es-ES"/>
        </w:rPr>
      </w:pPr>
    </w:p>
    <w:p w14:paraId="2E01C7C9" w14:textId="77777777" w:rsidR="004F1406" w:rsidRPr="002D0AC7" w:rsidRDefault="004F1406" w:rsidP="004F1406">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14:paraId="155A2777" w14:textId="77777777" w:rsidR="004F1406" w:rsidRDefault="004F1406" w:rsidP="004F1406">
      <w:pPr>
        <w:autoSpaceDE w:val="0"/>
        <w:autoSpaceDN w:val="0"/>
        <w:adjustRightInd w:val="0"/>
        <w:spacing w:after="0" w:line="360" w:lineRule="auto"/>
        <w:rPr>
          <w:rFonts w:eastAsia="Calibri" w:cs="Tahoma"/>
          <w:b/>
          <w:bCs/>
          <w:iCs/>
          <w:color w:val="auto"/>
          <w:lang w:val="es-ES"/>
        </w:rPr>
      </w:pPr>
    </w:p>
    <w:p w14:paraId="2CD47475" w14:textId="77777777" w:rsidR="00F13A25" w:rsidRPr="002D0AC7" w:rsidRDefault="00F13A25" w:rsidP="004F1406">
      <w:pPr>
        <w:autoSpaceDE w:val="0"/>
        <w:autoSpaceDN w:val="0"/>
        <w:adjustRightInd w:val="0"/>
        <w:spacing w:after="0" w:line="360" w:lineRule="auto"/>
        <w:rPr>
          <w:rFonts w:eastAsia="Calibri" w:cs="Tahoma"/>
          <w:b/>
          <w:bCs/>
          <w:iCs/>
          <w:color w:val="auto"/>
          <w:lang w:val="es-ES"/>
        </w:rPr>
      </w:pPr>
    </w:p>
    <w:p w14:paraId="3EA8B19C" w14:textId="5E261D95" w:rsidR="004F1406" w:rsidRPr="002D0AC7" w:rsidRDefault="004F1406" w:rsidP="004F1406">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w:t>
      </w:r>
      <w:r>
        <w:rPr>
          <w:color w:val="000000"/>
          <w:lang w:val="es-ES"/>
        </w:rPr>
        <w:t xml:space="preserve">Ayuntamiento de </w:t>
      </w:r>
      <w:r w:rsidR="00F94FC1">
        <w:rPr>
          <w:color w:val="000000"/>
          <w:lang w:val="es-ES"/>
        </w:rPr>
        <w:t>Zinacantepec,</w:t>
      </w:r>
      <w:r w:rsidRPr="002D0AC7">
        <w:rPr>
          <w:rFonts w:eastAsia="Calibri" w:cs="Tahoma"/>
          <w:bCs/>
          <w:iCs/>
          <w:color w:val="auto"/>
          <w:lang w:val="es-ES"/>
        </w:rPr>
        <w:t xml:space="preserve"> no emitió contestación alguna, por lo que, deberá dar trámite al requerimiento de información y en su caso, entregarle la documentación </w:t>
      </w:r>
      <w:r>
        <w:rPr>
          <w:rFonts w:eastAsia="Calibri" w:cs="Tahoma"/>
          <w:bCs/>
          <w:iCs/>
          <w:color w:val="auto"/>
          <w:lang w:val="es-ES"/>
        </w:rPr>
        <w:t>que corresponda.</w:t>
      </w:r>
    </w:p>
    <w:p w14:paraId="68B27C0B" w14:textId="77777777" w:rsidR="004F1406" w:rsidRDefault="004F1406" w:rsidP="004F1406">
      <w:pPr>
        <w:spacing w:after="0" w:line="360" w:lineRule="auto"/>
        <w:rPr>
          <w:rFonts w:eastAsia="Calibri" w:cs="Tahoma"/>
          <w:bCs/>
          <w:iCs/>
          <w:color w:val="auto"/>
          <w:lang w:val="es-ES" w:eastAsia="es-ES_tradnl"/>
        </w:rPr>
      </w:pPr>
    </w:p>
    <w:p w14:paraId="224DB20D" w14:textId="77777777" w:rsidR="004F1406" w:rsidRDefault="004F1406" w:rsidP="004F1406">
      <w:pPr>
        <w:spacing w:after="0" w:line="360" w:lineRule="auto"/>
        <w:rPr>
          <w:rFonts w:eastAsia="Calibri" w:cs="Tahoma"/>
          <w:bCs/>
          <w:iCs/>
          <w:color w:val="auto"/>
          <w:lang w:val="es-ES" w:eastAsia="es-ES_tradnl"/>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9B46076" w14:textId="77777777" w:rsidR="004F1406" w:rsidRDefault="004F1406" w:rsidP="004F1406">
      <w:pPr>
        <w:spacing w:after="0" w:line="360" w:lineRule="auto"/>
        <w:rPr>
          <w:rFonts w:eastAsia="Calibri" w:cs="Tahoma"/>
          <w:bCs/>
          <w:iCs/>
          <w:color w:val="auto"/>
          <w:lang w:val="es-ES" w:eastAsia="es-ES_tradnl"/>
        </w:rPr>
      </w:pPr>
    </w:p>
    <w:p w14:paraId="37E54A23" w14:textId="77777777" w:rsidR="004F1406" w:rsidRDefault="004F1406" w:rsidP="004F1406">
      <w:pPr>
        <w:spacing w:after="0" w:line="360" w:lineRule="auto"/>
        <w:rPr>
          <w:rFonts w:eastAsia="Calibri" w:cs="Tahoma"/>
          <w:bCs/>
          <w:iCs/>
          <w:color w:val="auto"/>
        </w:rPr>
      </w:pPr>
      <w:r>
        <w:rPr>
          <w:rFonts w:eastAsia="Calibri" w:cs="Tahoma"/>
          <w:bCs/>
          <w:iCs/>
          <w:color w:val="auto"/>
        </w:rPr>
        <w:t>Finalmente, se le informa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7259EE30" w14:textId="77777777" w:rsidR="004F1406" w:rsidRPr="002D0AC7" w:rsidRDefault="004F1406" w:rsidP="004F1406">
      <w:pPr>
        <w:spacing w:after="0" w:line="360" w:lineRule="auto"/>
        <w:rPr>
          <w:rFonts w:eastAsia="Times New Roman" w:cs="Tahoma"/>
          <w:bCs/>
          <w:iCs/>
          <w:color w:val="auto"/>
          <w:lang w:eastAsia="es-ES"/>
        </w:rPr>
      </w:pPr>
    </w:p>
    <w:p w14:paraId="7F13A098" w14:textId="77777777" w:rsidR="004F1406" w:rsidRPr="002D0AC7" w:rsidRDefault="004F1406" w:rsidP="004F1406">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a la Contraloría Interna y Órgano de Control y Vigilancia. </w:t>
      </w:r>
    </w:p>
    <w:p w14:paraId="2F04DC7C" w14:textId="77777777" w:rsidR="004F1406" w:rsidRDefault="004F1406" w:rsidP="004F1406">
      <w:pPr>
        <w:spacing w:after="0" w:line="360" w:lineRule="auto"/>
        <w:rPr>
          <w:rFonts w:eastAsia="Times New Roman" w:cs="Tahoma"/>
          <w:bCs/>
          <w:color w:val="auto"/>
          <w:lang w:eastAsia="es-ES"/>
        </w:rPr>
      </w:pPr>
    </w:p>
    <w:p w14:paraId="688B3EDC" w14:textId="6023CE2C" w:rsidR="004F1406" w:rsidRDefault="004F1406" w:rsidP="004F1406">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el </w:t>
      </w:r>
      <w:r>
        <w:rPr>
          <w:color w:val="000000"/>
        </w:rPr>
        <w:t xml:space="preserve">Ayuntamiento de </w:t>
      </w:r>
      <w:r w:rsidR="00A604DB">
        <w:rPr>
          <w:color w:val="000000"/>
        </w:rPr>
        <w:t>Zinacantepec</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Pr>
          <w:rFonts w:eastAsia="Times New Roman" w:cs="Tahoma"/>
          <w:bCs/>
          <w:color w:val="auto"/>
          <w:lang w:eastAsia="es-ES"/>
        </w:rPr>
        <w:t xml:space="preserve"> </w:t>
      </w:r>
    </w:p>
    <w:p w14:paraId="40F77881" w14:textId="77777777" w:rsidR="004F1406" w:rsidRDefault="004F1406" w:rsidP="004F1406">
      <w:pPr>
        <w:spacing w:after="0" w:line="360" w:lineRule="auto"/>
        <w:rPr>
          <w:rFonts w:eastAsia="Times New Roman" w:cs="Tahoma"/>
          <w:bCs/>
          <w:color w:val="auto"/>
          <w:lang w:eastAsia="es-ES"/>
        </w:rPr>
      </w:pPr>
    </w:p>
    <w:p w14:paraId="70D6CCFE" w14:textId="77777777" w:rsidR="004F1406" w:rsidRDefault="004F1406" w:rsidP="004F1406">
      <w:pPr>
        <w:spacing w:after="0" w:line="360" w:lineRule="auto"/>
        <w:rPr>
          <w:rFonts w:eastAsia="Times New Roman" w:cs="Tahoma"/>
          <w:bCs/>
          <w:color w:val="auto"/>
          <w:lang w:eastAsia="es-ES"/>
        </w:rPr>
      </w:pPr>
      <w:r w:rsidRPr="002D0AC7">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7B832E32" w14:textId="77777777" w:rsidR="004F1406" w:rsidRDefault="004F1406" w:rsidP="004F1406">
      <w:pPr>
        <w:spacing w:after="0" w:line="360" w:lineRule="auto"/>
        <w:rPr>
          <w:rFonts w:eastAsia="Times New Roman" w:cs="Tahoma"/>
          <w:bCs/>
          <w:color w:val="auto"/>
          <w:lang w:eastAsia="es-ES"/>
        </w:rPr>
      </w:pPr>
    </w:p>
    <w:p w14:paraId="7290332A" w14:textId="77777777" w:rsidR="004F1406" w:rsidRDefault="004F1406" w:rsidP="004F1406">
      <w:pPr>
        <w:spacing w:after="0" w:line="360" w:lineRule="auto"/>
        <w:rPr>
          <w:rFonts w:eastAsia="Times New Roman" w:cs="Tahoma"/>
          <w:bCs/>
          <w:color w:val="auto"/>
          <w:lang w:eastAsia="es-ES"/>
        </w:rPr>
      </w:pPr>
      <w:r w:rsidRPr="002D0AC7">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Pr>
          <w:rFonts w:eastAsia="Times New Roman" w:cs="Tahoma"/>
          <w:bCs/>
          <w:color w:val="auto"/>
          <w:lang w:eastAsia="es-ES"/>
        </w:rPr>
        <w:t xml:space="preserve"> </w:t>
      </w:r>
    </w:p>
    <w:p w14:paraId="2107CDF7" w14:textId="77777777" w:rsidR="004F1406" w:rsidRDefault="004F1406" w:rsidP="004F1406">
      <w:pPr>
        <w:spacing w:after="0" w:line="360" w:lineRule="auto"/>
        <w:rPr>
          <w:rFonts w:eastAsia="Times New Roman" w:cs="Tahoma"/>
          <w:bCs/>
          <w:color w:val="auto"/>
          <w:lang w:eastAsia="es-ES"/>
        </w:rPr>
      </w:pPr>
    </w:p>
    <w:p w14:paraId="43755260" w14:textId="77777777" w:rsidR="004F1406" w:rsidRDefault="004F1406" w:rsidP="004F1406">
      <w:pPr>
        <w:spacing w:after="0" w:line="360" w:lineRule="auto"/>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Pr>
          <w:rFonts w:eastAsia="Times New Roman" w:cs="Tahoma"/>
          <w:bCs/>
          <w:color w:val="auto"/>
          <w:lang w:eastAsia="es-ES"/>
        </w:rPr>
        <w:t xml:space="preserve"> </w:t>
      </w:r>
    </w:p>
    <w:p w14:paraId="06E5F7F5" w14:textId="77777777" w:rsidR="004F1406" w:rsidRDefault="004F1406" w:rsidP="004F1406">
      <w:pPr>
        <w:spacing w:after="0" w:line="360" w:lineRule="auto"/>
        <w:rPr>
          <w:rFonts w:eastAsia="Times New Roman" w:cs="Tahoma"/>
          <w:bCs/>
          <w:color w:val="auto"/>
          <w:lang w:eastAsia="es-ES"/>
        </w:rPr>
      </w:pPr>
    </w:p>
    <w:p w14:paraId="3F6625A1" w14:textId="77777777" w:rsidR="004F1406" w:rsidRPr="002D0AC7" w:rsidRDefault="004F1406" w:rsidP="004F1406">
      <w:pPr>
        <w:spacing w:after="0" w:line="360" w:lineRule="auto"/>
        <w:rPr>
          <w:rFonts w:eastAsia="Times New Roman" w:cs="Tahoma"/>
          <w:bCs/>
          <w:color w:val="auto"/>
          <w:lang w:eastAsia="es-ES"/>
        </w:rPr>
      </w:pP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D0AC7">
        <w:rPr>
          <w:rFonts w:eastAsia="Times New Roman" w:cs="Tahoma"/>
          <w:bCs/>
          <w:color w:val="auto"/>
          <w:lang w:val="es-ES_tradnl" w:eastAsia="es-ES"/>
        </w:rPr>
        <w:t>al Contralor Interno y Titular del Órgano de Control y Vigilancia de este Instituto</w:t>
      </w:r>
      <w:r w:rsidRPr="002D0AC7">
        <w:rPr>
          <w:rFonts w:eastAsia="Times New Roman" w:cs="Tahoma"/>
          <w:bCs/>
          <w:color w:val="auto"/>
          <w:lang w:eastAsia="es-ES"/>
        </w:rPr>
        <w:t>.</w:t>
      </w:r>
    </w:p>
    <w:p w14:paraId="4CBE7119" w14:textId="77777777" w:rsidR="004F1406" w:rsidRDefault="004F1406" w:rsidP="004F1406">
      <w:pPr>
        <w:spacing w:after="0" w:line="360" w:lineRule="auto"/>
        <w:rPr>
          <w:rFonts w:eastAsia="Times New Roman" w:cs="Tahoma"/>
          <w:bCs/>
          <w:color w:val="auto"/>
          <w:lang w:eastAsia="es-ES"/>
        </w:rPr>
      </w:pPr>
    </w:p>
    <w:p w14:paraId="41059D3B" w14:textId="77777777" w:rsidR="004F1406" w:rsidRDefault="004F1406" w:rsidP="004F1406">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14:paraId="0F6DAF69" w14:textId="77777777" w:rsidR="004F1406" w:rsidRDefault="004F1406" w:rsidP="004F1406">
      <w:pPr>
        <w:spacing w:after="0" w:line="360" w:lineRule="auto"/>
        <w:jc w:val="center"/>
        <w:rPr>
          <w:rFonts w:eastAsia="Times New Roman" w:cs="Tahoma"/>
          <w:b/>
          <w:bCs/>
          <w:color w:val="auto"/>
          <w:lang w:eastAsia="es-ES"/>
        </w:rPr>
      </w:pPr>
    </w:p>
    <w:p w14:paraId="7DEF13DA" w14:textId="77777777" w:rsidR="004F1406" w:rsidRPr="002D0AC7" w:rsidRDefault="004F1406" w:rsidP="004F1406">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14:paraId="57D981B0" w14:textId="77777777" w:rsidR="004F1406" w:rsidRPr="002D0AC7" w:rsidRDefault="004F1406" w:rsidP="004F1406">
      <w:pPr>
        <w:spacing w:after="0" w:line="360" w:lineRule="auto"/>
        <w:ind w:right="113"/>
        <w:rPr>
          <w:rFonts w:eastAsia="Times New Roman" w:cs="Arial"/>
          <w:b/>
          <w:color w:val="auto"/>
          <w:lang w:eastAsia="es-ES"/>
        </w:rPr>
      </w:pPr>
    </w:p>
    <w:p w14:paraId="4E512191" w14:textId="0C28B51F" w:rsidR="004F1406" w:rsidRPr="002D0AC7" w:rsidRDefault="004F1406" w:rsidP="004F1406">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00A604DB">
        <w:rPr>
          <w:rFonts w:eastAsia="Calibri" w:cs="Tahoma"/>
        </w:rPr>
        <w:t>000376/INFOEM/IP/RR/2023</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172038">
        <w:rPr>
          <w:rFonts w:eastAsia="Calibri" w:cs="Tahoma"/>
          <w:bCs/>
          <w:color w:val="auto"/>
        </w:rPr>
        <w:t>considerando QUINTO y SEXTO de la</w:t>
      </w:r>
      <w:r w:rsidRPr="002D0AC7">
        <w:rPr>
          <w:rFonts w:eastAsia="Calibri" w:cs="Tahoma"/>
          <w:bCs/>
          <w:color w:val="auto"/>
        </w:rPr>
        <w:t xml:space="preserve"> presente Resolución.</w:t>
      </w:r>
    </w:p>
    <w:p w14:paraId="19818F58" w14:textId="77777777" w:rsidR="004F1406" w:rsidRPr="002D0AC7" w:rsidRDefault="004F1406" w:rsidP="004F1406">
      <w:pPr>
        <w:spacing w:after="0" w:line="360" w:lineRule="auto"/>
        <w:rPr>
          <w:rFonts w:eastAsia="Times New Roman" w:cs="Tahoma"/>
          <w:b/>
          <w:bCs/>
          <w:color w:val="auto"/>
          <w:lang w:eastAsia="es-ES"/>
        </w:rPr>
      </w:pPr>
    </w:p>
    <w:p w14:paraId="1A64EA61" w14:textId="439AC211" w:rsidR="004F1406" w:rsidRPr="002D0AC7" w:rsidRDefault="004F1406" w:rsidP="004F1406">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A604DB" w:rsidRPr="004F1406">
        <w:rPr>
          <w:color w:val="auto"/>
        </w:rPr>
        <w:t>01465/ZINACANT/IP/2022</w:t>
      </w:r>
      <w:r w:rsidR="00A604DB">
        <w:rPr>
          <w:color w:val="auto"/>
        </w:rPr>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14:paraId="2C8042B0" w14:textId="77777777" w:rsidR="004F1406" w:rsidRPr="002D0AC7" w:rsidRDefault="004F1406" w:rsidP="004F1406">
      <w:pPr>
        <w:spacing w:after="0" w:line="360" w:lineRule="auto"/>
        <w:ind w:right="-93"/>
        <w:rPr>
          <w:rFonts w:eastAsia="Calibri" w:cs="Tahoma"/>
          <w:bCs/>
          <w:color w:val="auto"/>
        </w:rPr>
      </w:pPr>
      <w:r>
        <w:rPr>
          <w:rFonts w:eastAsia="Calibri" w:cs="Tahoma"/>
          <w:bCs/>
          <w:color w:val="auto"/>
        </w:rPr>
        <w:t xml:space="preserve"> </w:t>
      </w:r>
    </w:p>
    <w:p w14:paraId="4F8B1D4C" w14:textId="77777777" w:rsidR="004F1406" w:rsidRPr="002D0AC7" w:rsidRDefault="004F1406" w:rsidP="004F1406">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26EFD1C4" w14:textId="77777777" w:rsidR="004F1406" w:rsidRPr="002D0AC7" w:rsidRDefault="004F1406" w:rsidP="004F1406">
      <w:pPr>
        <w:spacing w:after="0" w:line="360" w:lineRule="auto"/>
        <w:rPr>
          <w:rFonts w:eastAsia="Calibri" w:cs="Tahoma"/>
          <w:b/>
          <w:bCs/>
          <w:color w:val="auto"/>
        </w:rPr>
      </w:pPr>
    </w:p>
    <w:p w14:paraId="594F07EB" w14:textId="77777777" w:rsidR="004F1406" w:rsidRPr="002D0AC7" w:rsidRDefault="004F1406" w:rsidP="004F1406">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7EFB9A8" w14:textId="77777777" w:rsidR="004F1406" w:rsidRPr="002D0AC7" w:rsidRDefault="004F1406" w:rsidP="004F1406">
      <w:pPr>
        <w:spacing w:after="0" w:line="360" w:lineRule="auto"/>
        <w:rPr>
          <w:rFonts w:eastAsia="Calibri" w:cs="Tahoma"/>
          <w:color w:val="auto"/>
          <w:lang w:eastAsia="es-MX"/>
        </w:rPr>
      </w:pPr>
    </w:p>
    <w:p w14:paraId="52B24277" w14:textId="77777777" w:rsidR="004F1406" w:rsidRPr="002D0AC7" w:rsidRDefault="004F1406" w:rsidP="004F1406">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al Re</w:t>
      </w:r>
      <w:r>
        <w:rPr>
          <w:rFonts w:eastAsia="Times New Roman" w:cs="Tahoma"/>
          <w:bCs/>
          <w:color w:val="auto"/>
          <w:lang w:eastAsia="es-ES"/>
        </w:rPr>
        <w:t>currente la presente Resolución</w:t>
      </w:r>
      <w:r w:rsidRPr="002D0AC7">
        <w:rPr>
          <w:rFonts w:eastAsia="Times New Roman" w:cs="Tahoma"/>
          <w:bCs/>
          <w:color w:val="auto"/>
          <w:lang w:val="es-ES" w:eastAsia="es-ES"/>
        </w:rPr>
        <w:t>;</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BACA04E" w14:textId="77777777" w:rsidR="004F1406" w:rsidRPr="002D0AC7" w:rsidRDefault="004F1406" w:rsidP="004F1406">
      <w:pPr>
        <w:spacing w:after="0" w:line="360" w:lineRule="auto"/>
        <w:rPr>
          <w:rFonts w:eastAsia="Times New Roman" w:cs="Tahoma"/>
          <w:color w:val="auto"/>
          <w:lang w:eastAsia="es-ES"/>
        </w:rPr>
      </w:pPr>
    </w:p>
    <w:p w14:paraId="488E9858" w14:textId="77777777" w:rsidR="004F1406" w:rsidRPr="002D0AC7" w:rsidRDefault="004F1406" w:rsidP="004F1406">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217730CD" w14:textId="77777777" w:rsidR="004F1406" w:rsidRPr="002D0AC7" w:rsidRDefault="004F1406" w:rsidP="004F1406">
      <w:pPr>
        <w:spacing w:after="0" w:line="360" w:lineRule="auto"/>
        <w:ind w:right="-93"/>
        <w:rPr>
          <w:rFonts w:eastAsia="Times New Roman" w:cs="Times New Roman"/>
          <w:color w:val="000000"/>
          <w:shd w:val="clear" w:color="auto" w:fill="FFFFFF"/>
          <w:lang w:eastAsia="es-ES"/>
        </w:rPr>
      </w:pPr>
    </w:p>
    <w:p w14:paraId="7497F13A" w14:textId="77777777" w:rsidR="004F1406" w:rsidRDefault="004F1406" w:rsidP="004F1406">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311C91">
        <w:rPr>
          <w:rFonts w:eastAsia="Calibri" w:cs="Tahoma"/>
          <w:color w:val="auto"/>
        </w:rPr>
        <w:t>SÉPTIMO</w:t>
      </w:r>
      <w:r w:rsidRPr="002D0AC7">
        <w:rPr>
          <w:rFonts w:eastAsia="Calibri" w:cs="Tahoma"/>
          <w:color w:val="auto"/>
        </w:rPr>
        <w:t xml:space="preserve"> </w:t>
      </w:r>
      <w:r w:rsidRPr="002D0AC7">
        <w:rPr>
          <w:rFonts w:eastAsia="Calibri" w:cs="Tahoma"/>
          <w:bCs/>
          <w:color w:val="auto"/>
        </w:rPr>
        <w:t>de la presente Resolución.</w:t>
      </w:r>
    </w:p>
    <w:p w14:paraId="040E263A" w14:textId="77777777" w:rsidR="004F1406" w:rsidRPr="002D0AC7" w:rsidRDefault="004F1406" w:rsidP="004F1406">
      <w:pPr>
        <w:spacing w:after="0" w:line="360" w:lineRule="auto"/>
        <w:ind w:right="-93"/>
        <w:rPr>
          <w:rFonts w:eastAsia="Calibri" w:cs="Tahoma"/>
          <w:bCs/>
          <w:color w:val="auto"/>
        </w:rPr>
      </w:pPr>
    </w:p>
    <w:p w14:paraId="2DDD1EC4" w14:textId="1EA6109C" w:rsidR="004F1406" w:rsidRPr="002D0AC7" w:rsidRDefault="004F1406" w:rsidP="004F1406">
      <w:pPr>
        <w:spacing w:after="0" w:line="360" w:lineRule="auto"/>
      </w:pPr>
      <w:r w:rsidRPr="002D0AC7">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604DB">
        <w:rPr>
          <w:rFonts w:eastAsia="Calibri" w:cs="Tahoma"/>
          <w:lang w:val="es-ES" w:eastAsia="es-ES_tradnl"/>
        </w:rPr>
        <w:t>SEXTA</w:t>
      </w:r>
      <w:r>
        <w:rPr>
          <w:rFonts w:eastAsia="Calibri" w:cs="Tahoma"/>
          <w:lang w:val="es-ES" w:eastAsia="es-ES_tradnl"/>
        </w:rPr>
        <w:t xml:space="preserve"> </w:t>
      </w:r>
      <w:r w:rsidRPr="002D0AC7">
        <w:rPr>
          <w:rFonts w:eastAsia="Calibri" w:cs="Tahoma"/>
          <w:lang w:val="es-ES" w:eastAsia="es-ES_tradnl"/>
        </w:rPr>
        <w:t xml:space="preserve">SESIÓN ORDINARIA, CELEBRADA EL </w:t>
      </w:r>
      <w:r w:rsidR="00A604DB">
        <w:rPr>
          <w:rFonts w:eastAsia="Calibri" w:cs="Tahoma"/>
          <w:lang w:val="es-ES" w:eastAsia="es-ES_tradnl"/>
        </w:rPr>
        <w:t>QUINCE</w:t>
      </w:r>
      <w:r>
        <w:rPr>
          <w:rFonts w:eastAsia="Calibri" w:cs="Tahoma"/>
          <w:lang w:val="es-ES" w:eastAsia="es-ES_tradnl"/>
        </w:rPr>
        <w:t xml:space="preserve"> DE FEBRERO DE DOS MIL VEINTITRÉS</w:t>
      </w:r>
      <w:r w:rsidRPr="002D0AC7">
        <w:rPr>
          <w:rFonts w:eastAsia="Calibri" w:cs="Tahoma"/>
          <w:lang w:val="es-ES" w:eastAsia="es-ES_tradnl"/>
        </w:rPr>
        <w:t>, ANTE EL SECRETARIO TÉCNICO DEL PLENO, ALEXIS TAPIA RAMÍREZ</w:t>
      </w:r>
      <w:r w:rsidRPr="002D0AC7">
        <w:br w:type="page"/>
      </w:r>
    </w:p>
    <w:p w14:paraId="16F218AD" w14:textId="77777777" w:rsidR="004F1406" w:rsidRPr="002D0AC7" w:rsidRDefault="004F1406" w:rsidP="004F1406">
      <w:pPr>
        <w:spacing w:after="0" w:line="360" w:lineRule="auto"/>
      </w:pPr>
    </w:p>
    <w:p w14:paraId="60A965A9" w14:textId="77777777" w:rsidR="004F1406" w:rsidRDefault="004F1406" w:rsidP="004F1406">
      <w:pPr>
        <w:spacing w:after="0" w:line="360" w:lineRule="auto"/>
      </w:pPr>
    </w:p>
    <w:p w14:paraId="4D42A197" w14:textId="42B50D07" w:rsidR="00D57AF8" w:rsidRDefault="00D57AF8"/>
    <w:sectPr w:rsidR="00D57AF8" w:rsidSect="001963CE">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EB4DF" w14:textId="77777777" w:rsidR="003A6618" w:rsidRDefault="003A6618" w:rsidP="004F1406">
      <w:pPr>
        <w:spacing w:after="0" w:line="240" w:lineRule="auto"/>
      </w:pPr>
      <w:r>
        <w:separator/>
      </w:r>
    </w:p>
  </w:endnote>
  <w:endnote w:type="continuationSeparator" w:id="0">
    <w:p w14:paraId="77C0B9CC" w14:textId="77777777" w:rsidR="003A6618" w:rsidRDefault="003A6618" w:rsidP="004F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7EB1A7D7" w14:textId="77777777" w:rsidR="001963CE" w:rsidRDefault="00F94F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080D4ED" w14:textId="77777777" w:rsidR="001963CE"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50FCCDC4" w14:textId="77777777" w:rsidR="001963CE" w:rsidRDefault="00F94F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3A25">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3A25">
              <w:rPr>
                <w:b/>
                <w:bCs/>
                <w:noProof/>
              </w:rPr>
              <w:t>20</w:t>
            </w:r>
            <w:r>
              <w:rPr>
                <w:b/>
                <w:bCs/>
                <w:sz w:val="24"/>
                <w:szCs w:val="24"/>
              </w:rPr>
              <w:fldChar w:fldCharType="end"/>
            </w:r>
          </w:p>
        </w:sdtContent>
      </w:sdt>
    </w:sdtContent>
  </w:sdt>
  <w:p w14:paraId="0D6EB292" w14:textId="77777777" w:rsidR="001963CE" w:rsidRDefault="000000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5191A2F6" w14:textId="77777777" w:rsidR="001963CE" w:rsidRDefault="00F94F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30E4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30E4E">
              <w:rPr>
                <w:b/>
                <w:bCs/>
                <w:noProof/>
              </w:rPr>
              <w:t>20</w:t>
            </w:r>
            <w:r>
              <w:rPr>
                <w:b/>
                <w:bCs/>
                <w:sz w:val="24"/>
                <w:szCs w:val="24"/>
              </w:rPr>
              <w:fldChar w:fldCharType="end"/>
            </w:r>
          </w:p>
        </w:sdtContent>
      </w:sdt>
    </w:sdtContent>
  </w:sdt>
  <w:p w14:paraId="5B25A596" w14:textId="77777777" w:rsidR="001963CE"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BD590" w14:textId="77777777" w:rsidR="003A6618" w:rsidRDefault="003A6618" w:rsidP="004F1406">
      <w:pPr>
        <w:spacing w:after="0" w:line="240" w:lineRule="auto"/>
      </w:pPr>
      <w:r>
        <w:separator/>
      </w:r>
    </w:p>
  </w:footnote>
  <w:footnote w:type="continuationSeparator" w:id="0">
    <w:p w14:paraId="5987A4EA" w14:textId="77777777" w:rsidR="003A6618" w:rsidRDefault="003A6618" w:rsidP="004F1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1963CE" w:rsidRPr="00E152D8" w14:paraId="1936CBD0" w14:textId="77777777" w:rsidTr="001963CE">
      <w:trPr>
        <w:trHeight w:val="132"/>
      </w:trPr>
      <w:tc>
        <w:tcPr>
          <w:tcW w:w="2691" w:type="dxa"/>
        </w:tcPr>
        <w:p w14:paraId="2C399EA1" w14:textId="77777777" w:rsidR="001963CE" w:rsidRPr="00E152D8" w:rsidRDefault="00F94FC1" w:rsidP="001963CE">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39875E3B" w14:textId="77777777" w:rsidR="001963CE" w:rsidRPr="00EE1572" w:rsidRDefault="00F94FC1" w:rsidP="001963CE">
          <w:pPr>
            <w:tabs>
              <w:tab w:val="right" w:pos="8838"/>
            </w:tabs>
            <w:ind w:left="-28" w:right="-32"/>
            <w:rPr>
              <w:rFonts w:eastAsia="Calibri" w:cs="Tahoma"/>
            </w:rPr>
          </w:pPr>
          <w:r w:rsidRPr="00EE1572">
            <w:rPr>
              <w:rFonts w:eastAsia="Calibri" w:cs="Tahoma"/>
            </w:rPr>
            <w:t>03846/INFOEM/IP/RR/2020</w:t>
          </w:r>
        </w:p>
      </w:tc>
    </w:tr>
    <w:tr w:rsidR="001963CE" w:rsidRPr="00E152D8" w14:paraId="6A8430F1" w14:textId="77777777" w:rsidTr="001963CE">
      <w:trPr>
        <w:trHeight w:val="261"/>
      </w:trPr>
      <w:tc>
        <w:tcPr>
          <w:tcW w:w="2691" w:type="dxa"/>
        </w:tcPr>
        <w:p w14:paraId="66359DE3" w14:textId="77777777" w:rsidR="001963CE" w:rsidRPr="00E152D8" w:rsidRDefault="00F94FC1"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31F6F791" w14:textId="77777777" w:rsidR="001963CE" w:rsidRPr="00EE1572" w:rsidRDefault="00F94FC1" w:rsidP="001963CE">
          <w:pPr>
            <w:tabs>
              <w:tab w:val="right" w:pos="8838"/>
            </w:tabs>
            <w:ind w:right="-32"/>
            <w:rPr>
              <w:rFonts w:eastAsia="Calibri" w:cs="Tahoma"/>
              <w:lang w:val="es-MX"/>
            </w:rPr>
          </w:pPr>
          <w:r>
            <w:rPr>
              <w:rFonts w:eastAsia="Calibri" w:cs="Tahoma"/>
              <w:lang w:val="es-MX"/>
            </w:rPr>
            <w:t>Ayuntamiento de Valle de Chalco Solidaridad</w:t>
          </w:r>
        </w:p>
      </w:tc>
    </w:tr>
    <w:tr w:rsidR="001963CE" w:rsidRPr="00E152D8" w14:paraId="410E1686" w14:textId="77777777" w:rsidTr="001963CE">
      <w:trPr>
        <w:trHeight w:val="261"/>
      </w:trPr>
      <w:tc>
        <w:tcPr>
          <w:tcW w:w="2691" w:type="dxa"/>
        </w:tcPr>
        <w:p w14:paraId="6C568163" w14:textId="77777777" w:rsidR="001963CE" w:rsidRPr="00E152D8" w:rsidRDefault="00F94FC1" w:rsidP="001963CE">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4DAEAC20" w14:textId="77777777" w:rsidR="001963CE" w:rsidRPr="00E152D8" w:rsidRDefault="00F94FC1" w:rsidP="001963CE">
          <w:pPr>
            <w:tabs>
              <w:tab w:val="right" w:pos="8838"/>
            </w:tabs>
            <w:ind w:right="-32"/>
            <w:rPr>
              <w:rFonts w:eastAsia="Calibri" w:cs="Tahoma"/>
              <w:b/>
              <w:lang w:val="es-MX"/>
            </w:rPr>
          </w:pPr>
          <w:r w:rsidRPr="00E152D8">
            <w:rPr>
              <w:rFonts w:eastAsia="Calibri" w:cs="Tahoma"/>
              <w:lang w:val="es-MX"/>
            </w:rPr>
            <w:t>Luis Gustavo Parra Noriega</w:t>
          </w:r>
        </w:p>
      </w:tc>
    </w:tr>
  </w:tbl>
  <w:p w14:paraId="5482F6C8" w14:textId="77777777" w:rsidR="001963CE" w:rsidRDefault="00000000">
    <w:pPr>
      <w:pStyle w:val="Encabezado"/>
    </w:pPr>
    <w:r>
      <w:rPr>
        <w:noProof/>
      </w:rPr>
      <w:pict w14:anchorId="01F59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style="position:absolute;left:0;text-align:left;margin-left:0;margin-top:0;width:663.5pt;height:12in;z-index:-25165977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1963CE" w:rsidRPr="00E152D8" w14:paraId="23942BE9" w14:textId="77777777" w:rsidTr="001756F2">
      <w:trPr>
        <w:trHeight w:val="138"/>
      </w:trPr>
      <w:tc>
        <w:tcPr>
          <w:tcW w:w="2552" w:type="dxa"/>
          <w:vAlign w:val="center"/>
        </w:tcPr>
        <w:p w14:paraId="6D281D51" w14:textId="77777777" w:rsidR="001963CE" w:rsidRPr="00E152D8" w:rsidRDefault="00F94FC1" w:rsidP="001963CE">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36F9ADFA" w14:textId="4493EAE6" w:rsidR="001963CE" w:rsidRPr="00051642" w:rsidRDefault="00F94FC1" w:rsidP="00645086">
          <w:pPr>
            <w:tabs>
              <w:tab w:val="right" w:pos="8838"/>
            </w:tabs>
            <w:ind w:right="-32"/>
            <w:rPr>
              <w:rFonts w:eastAsia="Calibri" w:cs="Tahoma"/>
            </w:rPr>
          </w:pPr>
          <w:r>
            <w:rPr>
              <w:rFonts w:eastAsia="Calibri" w:cs="Tahoma"/>
              <w:lang w:val="es-MX"/>
            </w:rPr>
            <w:t>00</w:t>
          </w:r>
          <w:r w:rsidR="004F1406">
            <w:rPr>
              <w:rFonts w:eastAsia="Calibri" w:cs="Tahoma"/>
              <w:lang w:val="es-MX"/>
            </w:rPr>
            <w:t>037</w:t>
          </w:r>
          <w:r>
            <w:rPr>
              <w:rFonts w:eastAsia="Calibri" w:cs="Tahoma"/>
              <w:lang w:val="es-MX"/>
            </w:rPr>
            <w:t>6/INFOEM/IP/RR/2023</w:t>
          </w:r>
        </w:p>
      </w:tc>
    </w:tr>
    <w:tr w:rsidR="009E6F8A" w:rsidRPr="00E152D8" w14:paraId="6DDA79FB" w14:textId="77777777" w:rsidTr="001756F2">
      <w:trPr>
        <w:trHeight w:val="273"/>
      </w:trPr>
      <w:tc>
        <w:tcPr>
          <w:tcW w:w="2552" w:type="dxa"/>
        </w:tcPr>
        <w:p w14:paraId="06654631" w14:textId="77777777" w:rsidR="009E6F8A" w:rsidRPr="00E152D8" w:rsidRDefault="00F94FC1"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76427048" w14:textId="7E6AC5C1" w:rsidR="009E6F8A" w:rsidRPr="00051642" w:rsidRDefault="00F94FC1" w:rsidP="00645086">
          <w:pPr>
            <w:tabs>
              <w:tab w:val="right" w:pos="8838"/>
            </w:tabs>
            <w:ind w:left="-28" w:right="-32"/>
            <w:rPr>
              <w:rFonts w:eastAsia="Calibri" w:cs="Tahoma"/>
              <w:lang w:val="es-MX"/>
            </w:rPr>
          </w:pPr>
          <w:r>
            <w:rPr>
              <w:color w:val="000000"/>
            </w:rPr>
            <w:t xml:space="preserve">Ayuntamiento de </w:t>
          </w:r>
          <w:r w:rsidR="004F1406">
            <w:rPr>
              <w:color w:val="000000"/>
            </w:rPr>
            <w:t>Zinacantepec</w:t>
          </w:r>
        </w:p>
      </w:tc>
    </w:tr>
    <w:tr w:rsidR="009E6F8A" w:rsidRPr="00E152D8" w14:paraId="20EFA21D" w14:textId="77777777" w:rsidTr="001756F2">
      <w:trPr>
        <w:trHeight w:val="273"/>
      </w:trPr>
      <w:tc>
        <w:tcPr>
          <w:tcW w:w="2552" w:type="dxa"/>
        </w:tcPr>
        <w:p w14:paraId="71868DE3" w14:textId="77777777" w:rsidR="009E6F8A" w:rsidRPr="00E152D8" w:rsidRDefault="00F94FC1"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51FE3978" w14:textId="77777777" w:rsidR="009E6F8A" w:rsidRPr="00E152D8" w:rsidRDefault="00F94FC1"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242AED22" w14:textId="77777777" w:rsidR="001963CE" w:rsidRDefault="00000000" w:rsidP="001963CE">
    <w:pPr>
      <w:pStyle w:val="Encabezado"/>
    </w:pPr>
    <w:r>
      <w:rPr>
        <w:noProof/>
      </w:rPr>
      <w:pict w14:anchorId="44D48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style="position:absolute;left:0;text-align:left;margin-left:-84.6pt;margin-top:-122.95pt;width:663.5pt;height:12in;z-index:-25165875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1963CE" w:rsidRPr="00E152D8" w14:paraId="1E9BFA43" w14:textId="77777777" w:rsidTr="006E2079">
      <w:trPr>
        <w:trHeight w:val="132"/>
      </w:trPr>
      <w:tc>
        <w:tcPr>
          <w:tcW w:w="2552" w:type="dxa"/>
        </w:tcPr>
        <w:p w14:paraId="2C525BBF" w14:textId="77777777" w:rsidR="001963CE" w:rsidRPr="00E152D8" w:rsidRDefault="00F94FC1" w:rsidP="001963CE">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3260" w:type="dxa"/>
        </w:tcPr>
        <w:p w14:paraId="6E967F3B" w14:textId="788D9B51" w:rsidR="001963CE" w:rsidRPr="00051642" w:rsidRDefault="00F94FC1" w:rsidP="00645086">
          <w:pPr>
            <w:tabs>
              <w:tab w:val="right" w:pos="8838"/>
            </w:tabs>
            <w:ind w:left="-111" w:right="-32"/>
            <w:rPr>
              <w:rFonts w:eastAsia="Calibri" w:cs="Tahoma"/>
            </w:rPr>
          </w:pPr>
          <w:r>
            <w:rPr>
              <w:rFonts w:eastAsia="Calibri" w:cs="Tahoma"/>
              <w:lang w:val="es-MX"/>
            </w:rPr>
            <w:t>00</w:t>
          </w:r>
          <w:r w:rsidR="004F1406">
            <w:rPr>
              <w:rFonts w:eastAsia="Calibri" w:cs="Tahoma"/>
              <w:lang w:val="es-MX"/>
            </w:rPr>
            <w:t>037</w:t>
          </w:r>
          <w:r>
            <w:rPr>
              <w:rFonts w:eastAsia="Calibri" w:cs="Tahoma"/>
              <w:lang w:val="es-MX"/>
            </w:rPr>
            <w:t>6/INFOEM/IP/RR/2023</w:t>
          </w:r>
        </w:p>
      </w:tc>
    </w:tr>
    <w:tr w:rsidR="001963CE" w:rsidRPr="00E152D8" w14:paraId="4F70BB8D" w14:textId="77777777" w:rsidTr="006E2079">
      <w:trPr>
        <w:trHeight w:val="132"/>
      </w:trPr>
      <w:tc>
        <w:tcPr>
          <w:tcW w:w="2552" w:type="dxa"/>
        </w:tcPr>
        <w:p w14:paraId="60DCB1AE" w14:textId="77777777" w:rsidR="001963CE" w:rsidRPr="00E152D8" w:rsidRDefault="00F94FC1" w:rsidP="001963CE">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0D995C25" w14:textId="77777777" w:rsidR="001963CE" w:rsidRPr="00E152D8" w:rsidRDefault="00000000" w:rsidP="001963CE">
          <w:pPr>
            <w:tabs>
              <w:tab w:val="right" w:pos="8838"/>
            </w:tabs>
            <w:ind w:left="-111" w:right="-109"/>
            <w:rPr>
              <w:rFonts w:eastAsia="Calibri" w:cs="Tahoma"/>
              <w:lang w:val="es-MX"/>
            </w:rPr>
          </w:pPr>
        </w:p>
      </w:tc>
    </w:tr>
    <w:tr w:rsidR="001963CE" w:rsidRPr="00E152D8" w14:paraId="28C6B735" w14:textId="77777777" w:rsidTr="006E2079">
      <w:trPr>
        <w:trHeight w:val="261"/>
      </w:trPr>
      <w:tc>
        <w:tcPr>
          <w:tcW w:w="2552" w:type="dxa"/>
        </w:tcPr>
        <w:p w14:paraId="32D7EE55" w14:textId="77777777" w:rsidR="001963CE" w:rsidRPr="00E152D8" w:rsidRDefault="00F94FC1"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20DF121D" w14:textId="67FBDD50" w:rsidR="001963CE" w:rsidRPr="00463532" w:rsidRDefault="00F94FC1" w:rsidP="00645086">
          <w:pPr>
            <w:tabs>
              <w:tab w:val="right" w:pos="8838"/>
            </w:tabs>
            <w:ind w:left="-111" w:right="-32"/>
            <w:rPr>
              <w:rFonts w:eastAsia="Calibri" w:cs="Tahoma"/>
              <w:lang w:val="es-MX"/>
            </w:rPr>
          </w:pPr>
          <w:r>
            <w:rPr>
              <w:color w:val="000000"/>
            </w:rPr>
            <w:t xml:space="preserve">Ayuntamiento de </w:t>
          </w:r>
          <w:r w:rsidR="004F1406">
            <w:rPr>
              <w:color w:val="000000"/>
            </w:rPr>
            <w:t>Zinacantepec</w:t>
          </w:r>
        </w:p>
      </w:tc>
    </w:tr>
    <w:tr w:rsidR="001963CE" w:rsidRPr="00E152D8" w14:paraId="44C84B7C" w14:textId="77777777" w:rsidTr="006E2079">
      <w:trPr>
        <w:trHeight w:val="261"/>
      </w:trPr>
      <w:tc>
        <w:tcPr>
          <w:tcW w:w="2552" w:type="dxa"/>
        </w:tcPr>
        <w:p w14:paraId="6A6F2978" w14:textId="77777777" w:rsidR="001963CE" w:rsidRPr="00E152D8" w:rsidRDefault="00F94FC1" w:rsidP="001963CE">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4596C9CB" w14:textId="77777777" w:rsidR="001963CE" w:rsidRPr="00E152D8" w:rsidRDefault="00F94FC1" w:rsidP="001963CE">
          <w:pPr>
            <w:tabs>
              <w:tab w:val="right" w:pos="8838"/>
            </w:tabs>
            <w:ind w:left="-111" w:right="-32"/>
            <w:rPr>
              <w:rFonts w:eastAsia="Calibri" w:cs="Tahoma"/>
              <w:b/>
              <w:lang w:val="es-MX"/>
            </w:rPr>
          </w:pPr>
          <w:r w:rsidRPr="00E152D8">
            <w:rPr>
              <w:rFonts w:eastAsia="Calibri" w:cs="Tahoma"/>
              <w:lang w:val="es-MX"/>
            </w:rPr>
            <w:t>Luis Gustavo Parra Noriega</w:t>
          </w:r>
        </w:p>
      </w:tc>
    </w:tr>
  </w:tbl>
  <w:p w14:paraId="5304AC9C" w14:textId="77777777" w:rsidR="001963CE" w:rsidRDefault="00000000" w:rsidP="001963CE">
    <w:pPr>
      <w:pStyle w:val="Encabezado"/>
      <w:tabs>
        <w:tab w:val="left" w:pos="5812"/>
      </w:tabs>
    </w:pPr>
    <w:r>
      <w:rPr>
        <w:noProof/>
      </w:rPr>
      <w:pict w14:anchorId="2989F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style="position:absolute;left:0;text-align:left;margin-left:-84.3pt;margin-top:-120.95pt;width:663.5pt;height:12in;z-index:-25165772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EC12860"/>
    <w:multiLevelType w:val="hybridMultilevel"/>
    <w:tmpl w:val="57EC6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452287599">
    <w:abstractNumId w:val="0"/>
  </w:num>
  <w:num w:numId="2" w16cid:durableId="244531473">
    <w:abstractNumId w:val="2"/>
  </w:num>
  <w:num w:numId="3" w16cid:durableId="1804158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06"/>
    <w:rsid w:val="00224338"/>
    <w:rsid w:val="00230E4E"/>
    <w:rsid w:val="003A6618"/>
    <w:rsid w:val="004F1406"/>
    <w:rsid w:val="0085174A"/>
    <w:rsid w:val="00A604DB"/>
    <w:rsid w:val="00BC4A55"/>
    <w:rsid w:val="00CD468D"/>
    <w:rsid w:val="00D57AF8"/>
    <w:rsid w:val="00F13A25"/>
    <w:rsid w:val="00F74C7F"/>
    <w:rsid w:val="00F94F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2C7BA"/>
  <w15:chartTrackingRefBased/>
  <w15:docId w15:val="{41B8BCAE-A8F1-4D8F-B1BF-C0F3D82B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406"/>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14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1406"/>
    <w:rPr>
      <w:rFonts w:ascii="Palatino Linotype" w:hAnsi="Palatino Linotype"/>
      <w:color w:val="000000" w:themeColor="text1"/>
    </w:rPr>
  </w:style>
  <w:style w:type="paragraph" w:styleId="Piedepgina">
    <w:name w:val="footer"/>
    <w:basedOn w:val="Normal"/>
    <w:link w:val="PiedepginaCar"/>
    <w:uiPriority w:val="99"/>
    <w:unhideWhenUsed/>
    <w:rsid w:val="004F14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1406"/>
    <w:rPr>
      <w:rFonts w:ascii="Palatino Linotype" w:hAnsi="Palatino Linotype"/>
      <w:color w:val="000000" w:themeColor="text1"/>
    </w:rPr>
  </w:style>
  <w:style w:type="table" w:styleId="Tablaconcuadrcula">
    <w:name w:val="Table Grid"/>
    <w:basedOn w:val="Tablanormal"/>
    <w:uiPriority w:val="39"/>
    <w:qFormat/>
    <w:rsid w:val="004F140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1406"/>
    <w:rPr>
      <w:rFonts w:ascii="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30E4E"/>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30E4E"/>
    <w:pPr>
      <w:spacing w:after="0" w:line="240" w:lineRule="auto"/>
      <w:ind w:left="720"/>
      <w:contextualSpacing/>
    </w:pPr>
    <w:rPr>
      <w:rFonts w:eastAsia="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4617</Words>
  <Characters>25394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Juan</cp:lastModifiedBy>
  <cp:revision>3</cp:revision>
  <dcterms:created xsi:type="dcterms:W3CDTF">2023-02-09T23:40:00Z</dcterms:created>
  <dcterms:modified xsi:type="dcterms:W3CDTF">2023-04-21T00:13:00Z</dcterms:modified>
</cp:coreProperties>
</file>