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1AF11" w14:textId="77777777" w:rsidR="00B766A5" w:rsidRPr="003B7380" w:rsidRDefault="00B766A5" w:rsidP="00B766A5">
      <w:pPr>
        <w:pBdr>
          <w:top w:val="nil"/>
          <w:left w:val="nil"/>
          <w:bottom w:val="nil"/>
          <w:right w:val="nil"/>
          <w:between w:val="nil"/>
        </w:pBdr>
        <w:ind w:right="-2"/>
        <w:rPr>
          <w:rFonts w:eastAsia="Palatino Linotype" w:cs="Palatino Linotype"/>
          <w:color w:val="000000"/>
          <w:szCs w:val="24"/>
        </w:rPr>
      </w:pPr>
      <w:r w:rsidRPr="003B7380">
        <w:rPr>
          <w:rFonts w:eastAsia="Palatino Linotype" w:cs="Palatino Linotype"/>
          <w:color w:val="000000"/>
          <w:szCs w:val="24"/>
        </w:rPr>
        <w:t>Resolución del Pleno del Instituto de Transparencia, Acceso a la Información Pública y Protección de Datos Personales del Estado de México y Municipios, con domicilio en Metepec, México, a treinta de agosto de dos mil veintitrés.</w:t>
      </w:r>
    </w:p>
    <w:p w14:paraId="44F61497"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p>
    <w:p w14:paraId="2F80B089" w14:textId="77777777" w:rsidR="00B766A5" w:rsidRPr="003B7380" w:rsidRDefault="00B766A5" w:rsidP="00B8328F">
      <w:pPr>
        <w:rPr>
          <w:rFonts w:ascii="Times New Roman" w:eastAsia="Times New Roman" w:hAnsi="Times New Roman" w:cs="Times New Roman"/>
          <w:szCs w:val="24"/>
        </w:rPr>
      </w:pPr>
      <w:r w:rsidRPr="003B7380">
        <w:rPr>
          <w:rFonts w:eastAsia="Palatino Linotype" w:cs="Palatino Linotype"/>
          <w:b/>
          <w:color w:val="000000"/>
          <w:szCs w:val="24"/>
        </w:rPr>
        <w:t>VISTO</w:t>
      </w:r>
      <w:r w:rsidRPr="003B7380">
        <w:rPr>
          <w:rFonts w:eastAsia="Palatino Linotype" w:cs="Palatino Linotype"/>
          <w:color w:val="000000"/>
          <w:szCs w:val="24"/>
        </w:rPr>
        <w:t xml:space="preserve"> el expediente electrónico formado con motivo del recurso de revisión número </w:t>
      </w:r>
      <w:r w:rsidRPr="003B7380">
        <w:rPr>
          <w:rFonts w:ascii="Verdana" w:eastAsia="Times New Roman" w:hAnsi="Verdana" w:cs="Times New Roman"/>
          <w:sz w:val="15"/>
          <w:szCs w:val="15"/>
        </w:rPr>
        <w:br/>
      </w:r>
      <w:r w:rsidRPr="003B7380">
        <w:rPr>
          <w:rFonts w:eastAsia="Times New Roman" w:cs="Times New Roman"/>
          <w:b/>
          <w:bCs/>
          <w:szCs w:val="24"/>
        </w:rPr>
        <w:t>16955/INFOEM/ICR-93/IP/RR/2022</w:t>
      </w:r>
      <w:r w:rsidRPr="003B7380">
        <w:rPr>
          <w:rFonts w:ascii="Times New Roman" w:eastAsia="Times New Roman" w:hAnsi="Times New Roman" w:cs="Times New Roman"/>
          <w:szCs w:val="24"/>
        </w:rPr>
        <w:t xml:space="preserve"> </w:t>
      </w:r>
      <w:r w:rsidRPr="003B7380">
        <w:rPr>
          <w:rFonts w:eastAsia="Palatino Linotype" w:cs="Palatino Linotype"/>
          <w:color w:val="000000"/>
          <w:szCs w:val="24"/>
        </w:rPr>
        <w:t>interpuesto por quien al momento de ingresar la solicitud e interponer el recurso de revisión no señaló nombre o seudónimo con el cual desea identificarse</w:t>
      </w:r>
      <w:r w:rsidRPr="003B7380">
        <w:rPr>
          <w:rFonts w:cs="Arial"/>
          <w:szCs w:val="24"/>
        </w:rPr>
        <w:t>, quien en lo sucesivo y para efectos prácticos se le denominara</w:t>
      </w:r>
      <w:r w:rsidRPr="003B7380">
        <w:rPr>
          <w:rFonts w:eastAsia="Palatino Linotype" w:cs="Palatino Linotype"/>
          <w:b/>
          <w:color w:val="000000"/>
          <w:szCs w:val="24"/>
        </w:rPr>
        <w:t xml:space="preserve"> Recurrente</w:t>
      </w:r>
      <w:r w:rsidRPr="003B7380">
        <w:rPr>
          <w:rFonts w:eastAsia="Palatino Linotype" w:cs="Palatino Linotype"/>
          <w:color w:val="000000"/>
          <w:szCs w:val="24"/>
        </w:rPr>
        <w:t xml:space="preserve">; en contra de la falta de respuesta del </w:t>
      </w:r>
      <w:r w:rsidRPr="003B7380">
        <w:rPr>
          <w:rFonts w:eastAsia="Palatino Linotype" w:cs="Palatino Linotype"/>
          <w:b/>
          <w:color w:val="000000"/>
          <w:szCs w:val="24"/>
        </w:rPr>
        <w:t>Ayuntamiento de Zinacantepec</w:t>
      </w:r>
      <w:r w:rsidRPr="003B7380">
        <w:rPr>
          <w:rFonts w:eastAsia="Palatino Linotype" w:cs="Palatino Linotype"/>
          <w:color w:val="000000"/>
          <w:szCs w:val="24"/>
        </w:rPr>
        <w:t>, en lo subsecuente</w:t>
      </w:r>
      <w:r w:rsidRPr="003B7380">
        <w:rPr>
          <w:rFonts w:eastAsia="Palatino Linotype" w:cs="Palatino Linotype"/>
          <w:b/>
          <w:color w:val="000000"/>
          <w:szCs w:val="24"/>
        </w:rPr>
        <w:t xml:space="preserve"> </w:t>
      </w:r>
      <w:r w:rsidRPr="003B7380">
        <w:rPr>
          <w:rFonts w:eastAsia="Palatino Linotype" w:cs="Palatino Linotype"/>
          <w:color w:val="000000"/>
          <w:szCs w:val="24"/>
        </w:rPr>
        <w:t>el</w:t>
      </w:r>
      <w:r w:rsidRPr="003B7380">
        <w:rPr>
          <w:rFonts w:eastAsia="Palatino Linotype" w:cs="Palatino Linotype"/>
          <w:b/>
          <w:color w:val="000000"/>
          <w:szCs w:val="24"/>
        </w:rPr>
        <w:t xml:space="preserve"> Sujeto Obligado</w:t>
      </w:r>
      <w:r w:rsidRPr="003B7380">
        <w:rPr>
          <w:rFonts w:eastAsia="Palatino Linotype" w:cs="Palatino Linotype"/>
          <w:color w:val="000000"/>
          <w:szCs w:val="24"/>
        </w:rPr>
        <w:t>,</w:t>
      </w:r>
      <w:r w:rsidRPr="003B7380">
        <w:rPr>
          <w:rFonts w:eastAsia="Palatino Linotype" w:cs="Palatino Linotype"/>
          <w:bCs/>
          <w:color w:val="000000"/>
          <w:szCs w:val="24"/>
        </w:rPr>
        <w:t xml:space="preserve"> </w:t>
      </w:r>
      <w:r w:rsidRPr="003B7380">
        <w:rPr>
          <w:rFonts w:eastAsia="Palatino Linotype" w:cs="Palatino Linotype"/>
          <w:color w:val="000000"/>
          <w:szCs w:val="24"/>
        </w:rPr>
        <w:t xml:space="preserve">emitida en cumplimiento a la resolución del recurso de revisión número </w:t>
      </w:r>
      <w:r w:rsidRPr="003B7380">
        <w:rPr>
          <w:rFonts w:eastAsia="Palatino Linotype" w:cs="Palatino Linotype"/>
          <w:b/>
          <w:color w:val="000000"/>
          <w:szCs w:val="24"/>
        </w:rPr>
        <w:t>16955/INFOEM/IP/RR/2022</w:t>
      </w:r>
      <w:r w:rsidRPr="003B7380">
        <w:rPr>
          <w:rFonts w:eastAsia="Palatino Linotype" w:cs="Palatino Linotype"/>
          <w:color w:val="000000"/>
          <w:szCs w:val="24"/>
        </w:rPr>
        <w:t>, se procede a dictar la presente resolución.</w:t>
      </w:r>
    </w:p>
    <w:p w14:paraId="77013CC7"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p>
    <w:p w14:paraId="0585834D" w14:textId="77777777" w:rsidR="00B766A5" w:rsidRPr="003B7380" w:rsidRDefault="00B766A5" w:rsidP="00B766A5">
      <w:pPr>
        <w:pBdr>
          <w:top w:val="nil"/>
          <w:left w:val="nil"/>
          <w:bottom w:val="nil"/>
          <w:right w:val="nil"/>
          <w:between w:val="nil"/>
        </w:pBdr>
        <w:jc w:val="center"/>
        <w:rPr>
          <w:rFonts w:eastAsia="Palatino Linotype" w:cs="Palatino Linotype"/>
          <w:b/>
          <w:color w:val="000000"/>
          <w:sz w:val="28"/>
          <w:szCs w:val="28"/>
        </w:rPr>
      </w:pPr>
      <w:r w:rsidRPr="003B7380">
        <w:rPr>
          <w:rFonts w:eastAsia="Palatino Linotype" w:cs="Palatino Linotype"/>
          <w:b/>
          <w:color w:val="000000"/>
          <w:sz w:val="28"/>
          <w:szCs w:val="28"/>
        </w:rPr>
        <w:t>A N T E C E D E N T E S</w:t>
      </w:r>
    </w:p>
    <w:p w14:paraId="6E0ACEC0" w14:textId="77777777" w:rsidR="00B766A5" w:rsidRPr="003B7380" w:rsidRDefault="00B766A5" w:rsidP="00B766A5">
      <w:pPr>
        <w:pBdr>
          <w:top w:val="nil"/>
          <w:left w:val="nil"/>
          <w:bottom w:val="nil"/>
          <w:right w:val="nil"/>
          <w:between w:val="nil"/>
        </w:pBdr>
        <w:rPr>
          <w:rFonts w:eastAsia="Palatino Linotype" w:cs="Palatino Linotype"/>
          <w:b/>
          <w:color w:val="000000"/>
          <w:szCs w:val="24"/>
        </w:rPr>
      </w:pPr>
    </w:p>
    <w:p w14:paraId="2FAA9B47" w14:textId="77777777" w:rsidR="00B766A5" w:rsidRPr="003B7380" w:rsidRDefault="00B766A5" w:rsidP="00B766A5">
      <w:pPr>
        <w:pBdr>
          <w:top w:val="nil"/>
          <w:left w:val="nil"/>
          <w:bottom w:val="nil"/>
          <w:right w:val="nil"/>
          <w:between w:val="nil"/>
        </w:pBdr>
        <w:rPr>
          <w:rFonts w:eastAsia="Palatino Linotype" w:cs="Palatino Linotype"/>
          <w:b/>
          <w:color w:val="000000"/>
          <w:sz w:val="26"/>
          <w:szCs w:val="26"/>
        </w:rPr>
      </w:pPr>
      <w:r w:rsidRPr="003B7380">
        <w:rPr>
          <w:rFonts w:eastAsia="Palatino Linotype" w:cs="Palatino Linotype"/>
          <w:b/>
          <w:color w:val="000000"/>
          <w:sz w:val="26"/>
          <w:szCs w:val="26"/>
        </w:rPr>
        <w:t>PRIMERO.</w:t>
      </w:r>
      <w:r w:rsidRPr="003B7380">
        <w:rPr>
          <w:rFonts w:eastAsia="Palatino Linotype" w:cs="Palatino Linotype"/>
          <w:color w:val="000000"/>
          <w:sz w:val="26"/>
          <w:szCs w:val="26"/>
        </w:rPr>
        <w:t xml:space="preserve"> </w:t>
      </w:r>
      <w:r w:rsidRPr="003B7380">
        <w:rPr>
          <w:rFonts w:eastAsia="Palatino Linotype" w:cs="Palatino Linotype"/>
          <w:b/>
          <w:color w:val="000000"/>
          <w:sz w:val="26"/>
          <w:szCs w:val="26"/>
        </w:rPr>
        <w:t>De la Solicitud de Información.</w:t>
      </w:r>
    </w:p>
    <w:p w14:paraId="3F13D2A0" w14:textId="77777777" w:rsidR="00B766A5" w:rsidRPr="003B7380" w:rsidRDefault="00B766A5" w:rsidP="00B766A5">
      <w:pPr>
        <w:pBdr>
          <w:top w:val="nil"/>
          <w:left w:val="nil"/>
          <w:bottom w:val="nil"/>
          <w:right w:val="nil"/>
          <w:between w:val="nil"/>
        </w:pBdr>
        <w:rPr>
          <w:rFonts w:eastAsia="Palatino Linotype" w:cs="Palatino Linotype"/>
          <w:b/>
          <w:bCs/>
          <w:color w:val="000000"/>
          <w:szCs w:val="24"/>
          <w:lang w:val="es-ES_tradnl"/>
        </w:rPr>
      </w:pPr>
      <w:r w:rsidRPr="003B7380">
        <w:rPr>
          <w:rFonts w:eastAsia="Palatino Linotype" w:cs="Palatino Linotype"/>
          <w:color w:val="000000"/>
          <w:szCs w:val="24"/>
          <w:lang w:val="es-ES_tradnl"/>
        </w:rPr>
        <w:t>Con fecha tres de noviembre de dos mil veintidós, el Recurrente presentó mediante el Sistema de Acceso a la Información Mexiquense (SAIMEX) ante el Sujeto Obligado, solicitud de acceso a la información registrada con el número de expediente</w:t>
      </w:r>
      <w:r w:rsidRPr="003B7380">
        <w:rPr>
          <w:rFonts w:ascii="Verdana" w:hAnsi="Verdana"/>
          <w:b/>
          <w:bCs/>
          <w:color w:val="FF0000"/>
        </w:rPr>
        <w:t>  </w:t>
      </w:r>
      <w:r w:rsidRPr="003B7380">
        <w:rPr>
          <w:b/>
          <w:bCs/>
        </w:rPr>
        <w:t>1170/ZINACANT/IP/2022</w:t>
      </w:r>
      <w:r w:rsidRPr="003B7380">
        <w:rPr>
          <w:rFonts w:eastAsia="Palatino Linotype" w:cs="Palatino Linotype"/>
          <w:color w:val="000000"/>
          <w:szCs w:val="24"/>
          <w:lang w:val="es-ES_tradnl"/>
        </w:rPr>
        <w:t>,</w:t>
      </w:r>
      <w:r w:rsidRPr="003B7380">
        <w:rPr>
          <w:rFonts w:eastAsia="Palatino Linotype" w:cs="Palatino Linotype"/>
          <w:b/>
          <w:color w:val="000000"/>
          <w:szCs w:val="24"/>
          <w:lang w:val="es-ES_tradnl"/>
        </w:rPr>
        <w:t xml:space="preserve"> </w:t>
      </w:r>
      <w:r w:rsidRPr="003B7380">
        <w:rPr>
          <w:rFonts w:eastAsia="Palatino Linotype" w:cs="Palatino Linotype"/>
          <w:color w:val="000000"/>
          <w:szCs w:val="24"/>
          <w:lang w:val="es-ES_tradnl"/>
        </w:rPr>
        <w:t>mediante la cual solicitó información en el tenor siguiente:</w:t>
      </w:r>
    </w:p>
    <w:p w14:paraId="76842A2D" w14:textId="77777777" w:rsidR="00B766A5" w:rsidRPr="003B7380" w:rsidRDefault="00B766A5" w:rsidP="00B766A5">
      <w:pPr>
        <w:pBdr>
          <w:top w:val="nil"/>
          <w:left w:val="nil"/>
          <w:bottom w:val="nil"/>
          <w:right w:val="nil"/>
          <w:between w:val="nil"/>
        </w:pBdr>
        <w:rPr>
          <w:rFonts w:eastAsia="Palatino Linotype" w:cs="Palatino Linotype"/>
          <w:color w:val="000000"/>
          <w:szCs w:val="24"/>
          <w:lang w:val="es-ES_tradnl"/>
        </w:rPr>
      </w:pPr>
    </w:p>
    <w:p w14:paraId="4752E952" w14:textId="77777777" w:rsidR="00B766A5" w:rsidRPr="003B7380" w:rsidRDefault="00B766A5" w:rsidP="00B766A5">
      <w:pPr>
        <w:pStyle w:val="Sinespaciado"/>
        <w:rPr>
          <w:rFonts w:eastAsia="Palatino Linotype"/>
          <w:u w:val="single"/>
          <w:lang w:val="es-ES_tradnl"/>
        </w:rPr>
      </w:pPr>
      <w:r w:rsidRPr="003B7380">
        <w:rPr>
          <w:rFonts w:eastAsia="Palatino Linotype" w:cs="Palatino Linotype"/>
          <w:color w:val="000000"/>
          <w:sz w:val="24"/>
          <w:lang w:val="es-ES_tradnl"/>
        </w:rPr>
        <w:t>“</w:t>
      </w:r>
      <w:r w:rsidRPr="003B7380">
        <w:rPr>
          <w:color w:val="000000"/>
          <w:sz w:val="24"/>
        </w:rPr>
        <w:t>DESEO CONOCER CUALES SON TODOS LOS TALLERES QUE LLEVA A CABO LA DIRECCIÓN DE IGUALDAD DE GÉNERO, MEDIO AMBIENTE E IMCUFIDEZ DURANTE 2022.</w:t>
      </w:r>
      <w:r w:rsidRPr="003B7380">
        <w:rPr>
          <w:rFonts w:eastAsia="Palatino Linotype" w:cs="Palatino Linotype"/>
          <w:color w:val="000000"/>
          <w:sz w:val="24"/>
          <w:lang w:val="es-ES_tradnl"/>
        </w:rPr>
        <w:t xml:space="preserve">” </w:t>
      </w:r>
      <w:r w:rsidRPr="003B7380">
        <w:rPr>
          <w:rFonts w:eastAsia="Palatino Linotype" w:cs="Palatino Linotype"/>
          <w:color w:val="000000"/>
          <w:lang w:val="es-ES_tradnl"/>
        </w:rPr>
        <w:t>(Sic)</w:t>
      </w:r>
    </w:p>
    <w:p w14:paraId="52CDDB0F" w14:textId="77777777" w:rsidR="00B766A5" w:rsidRPr="003B7380" w:rsidRDefault="00B766A5" w:rsidP="00B766A5">
      <w:pPr>
        <w:pBdr>
          <w:top w:val="nil"/>
          <w:left w:val="nil"/>
          <w:bottom w:val="nil"/>
          <w:right w:val="nil"/>
          <w:between w:val="nil"/>
        </w:pBdr>
        <w:rPr>
          <w:rFonts w:eastAsia="Palatino Linotype" w:cs="Palatino Linotype"/>
          <w:color w:val="000000"/>
          <w:szCs w:val="24"/>
          <w:u w:val="single"/>
          <w:lang w:val="es-ES_tradnl"/>
        </w:rPr>
      </w:pPr>
    </w:p>
    <w:p w14:paraId="3E59BA59"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r w:rsidRPr="003B7380">
        <w:rPr>
          <w:rFonts w:eastAsia="Palatino Linotype" w:cs="Palatino Linotype"/>
          <w:color w:val="000000"/>
          <w:szCs w:val="24"/>
          <w:lang w:val="es-ES_tradnl"/>
        </w:rPr>
        <w:lastRenderedPageBreak/>
        <w:t xml:space="preserve">Modalidad de entrega: </w:t>
      </w:r>
      <w:r w:rsidRPr="003B7380">
        <w:rPr>
          <w:rFonts w:eastAsia="Palatino Linotype" w:cs="Palatino Linotype"/>
          <w:b/>
          <w:color w:val="000000"/>
          <w:szCs w:val="24"/>
          <w:lang w:val="es-ES_tradnl"/>
        </w:rPr>
        <w:t>a través del SAIMEX.</w:t>
      </w:r>
    </w:p>
    <w:p w14:paraId="134EB164"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p>
    <w:p w14:paraId="4CF800A0" w14:textId="77777777" w:rsidR="00B766A5" w:rsidRPr="003B7380" w:rsidRDefault="00B766A5" w:rsidP="00B766A5">
      <w:pPr>
        <w:pBdr>
          <w:top w:val="nil"/>
          <w:left w:val="nil"/>
          <w:bottom w:val="nil"/>
          <w:right w:val="nil"/>
          <w:between w:val="nil"/>
        </w:pBdr>
        <w:rPr>
          <w:rFonts w:eastAsia="Palatino Linotype" w:cs="Palatino Linotype"/>
          <w:color w:val="000000"/>
          <w:szCs w:val="24"/>
          <w:lang w:val="es-ES_tradnl"/>
        </w:rPr>
      </w:pPr>
      <w:r w:rsidRPr="003B7380">
        <w:rPr>
          <w:rFonts w:eastAsia="Palatino Linotype" w:cs="Palatino Linotype"/>
          <w:b/>
          <w:color w:val="000000"/>
          <w:sz w:val="26"/>
          <w:szCs w:val="26"/>
          <w:lang w:val="es-ES_tradnl"/>
        </w:rPr>
        <w:t>SEGUNDO. De la falta de respuesta del Sujeto Obligado.</w:t>
      </w:r>
    </w:p>
    <w:p w14:paraId="613CD5E9" w14:textId="77777777" w:rsidR="00B766A5" w:rsidRPr="003B7380" w:rsidRDefault="00B766A5" w:rsidP="00B766A5">
      <w:pPr>
        <w:pBdr>
          <w:top w:val="nil"/>
          <w:left w:val="nil"/>
          <w:bottom w:val="nil"/>
          <w:right w:val="nil"/>
          <w:between w:val="nil"/>
        </w:pBdr>
        <w:rPr>
          <w:rFonts w:eastAsia="Palatino Linotype" w:cs="Palatino Linotype"/>
          <w:color w:val="000000"/>
          <w:szCs w:val="24"/>
          <w:lang w:val="es-ES_tradnl"/>
        </w:rPr>
      </w:pPr>
      <w:r w:rsidRPr="003B7380">
        <w:rPr>
          <w:rFonts w:eastAsia="Palatino Linotype" w:cs="Palatino Linotype"/>
          <w:color w:val="000000"/>
          <w:szCs w:val="24"/>
          <w:lang w:val="es-ES_tradnl"/>
        </w:rPr>
        <w:t xml:space="preserve">En el expediente electrónico SAIMEX, se observa que el Sujeto Obligado fue omiso en dar respuesta a la solicitud de información presentada por el Recurrente. Derivado de lo anterior, se constituye la figura de la </w:t>
      </w:r>
      <w:r w:rsidRPr="003B7380">
        <w:rPr>
          <w:rFonts w:eastAsia="Palatino Linotype" w:cs="Palatino Linotype"/>
          <w:b/>
          <w:color w:val="000000"/>
          <w:szCs w:val="24"/>
          <w:lang w:val="es-ES_tradnl"/>
        </w:rPr>
        <w:t>Negativa Ficta</w:t>
      </w:r>
      <w:r w:rsidRPr="003B7380">
        <w:rPr>
          <w:rFonts w:eastAsia="Palatino Linotype" w:cs="Palatino Linotype"/>
          <w:color w:val="000000"/>
          <w:szCs w:val="24"/>
          <w:lang w:val="es-ES_tradnl"/>
        </w:rPr>
        <w:t>, cuya esencia consiste en atribuir un efecto negativo de la autoridad administrativa frente a las instancias y solicitudes que hagan los particulares.</w:t>
      </w:r>
    </w:p>
    <w:p w14:paraId="75E73909"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p>
    <w:p w14:paraId="428415F7" w14:textId="77777777" w:rsidR="00B766A5" w:rsidRPr="003B7380" w:rsidRDefault="00B766A5" w:rsidP="00B766A5">
      <w:pPr>
        <w:pBdr>
          <w:top w:val="nil"/>
          <w:left w:val="nil"/>
          <w:bottom w:val="nil"/>
          <w:right w:val="nil"/>
          <w:between w:val="nil"/>
        </w:pBdr>
        <w:rPr>
          <w:rFonts w:eastAsia="Palatino Linotype" w:cs="Palatino Linotype"/>
          <w:b/>
          <w:color w:val="000000"/>
          <w:sz w:val="26"/>
          <w:szCs w:val="26"/>
          <w:lang w:val="es-ES_tradnl"/>
        </w:rPr>
      </w:pPr>
      <w:r w:rsidRPr="003B7380">
        <w:rPr>
          <w:rFonts w:eastAsia="Palatino Linotype" w:cs="Palatino Linotype"/>
          <w:b/>
          <w:color w:val="000000"/>
          <w:sz w:val="26"/>
          <w:szCs w:val="26"/>
          <w:lang w:val="es-ES_tradnl"/>
        </w:rPr>
        <w:t>TERCERO. Del recurso de revisión.</w:t>
      </w:r>
    </w:p>
    <w:p w14:paraId="604B7CC5" w14:textId="77777777" w:rsidR="00B766A5" w:rsidRPr="003B7380" w:rsidRDefault="00B766A5" w:rsidP="00B766A5">
      <w:pPr>
        <w:pBdr>
          <w:top w:val="nil"/>
          <w:left w:val="nil"/>
          <w:bottom w:val="nil"/>
          <w:right w:val="nil"/>
          <w:between w:val="nil"/>
        </w:pBdr>
        <w:rPr>
          <w:rFonts w:eastAsia="Palatino Linotype" w:cs="Palatino Linotype"/>
          <w:color w:val="000000"/>
          <w:szCs w:val="24"/>
          <w:lang w:val="es-ES_tradnl"/>
        </w:rPr>
      </w:pPr>
      <w:r w:rsidRPr="003B7380">
        <w:rPr>
          <w:rFonts w:eastAsia="Palatino Linotype" w:cs="Palatino Linotype"/>
          <w:color w:val="000000"/>
          <w:szCs w:val="24"/>
          <w:lang w:val="es-ES_tradnl"/>
        </w:rPr>
        <w:t xml:space="preserve">En fecha veintiocho de noviembre de dos mil veintidós, el Recurrente interpuso recurso de revisión, el cual fue registrado en el SAIMEX con el expediente </w:t>
      </w:r>
      <w:r w:rsidR="00EB0850" w:rsidRPr="003B7380">
        <w:rPr>
          <w:b/>
          <w:szCs w:val="24"/>
        </w:rPr>
        <w:t>16955</w:t>
      </w:r>
      <w:r w:rsidRPr="003B7380">
        <w:rPr>
          <w:b/>
          <w:szCs w:val="24"/>
        </w:rPr>
        <w:t>/INFOEM/IP/RR/2022</w:t>
      </w:r>
      <w:r w:rsidRPr="003B7380">
        <w:rPr>
          <w:rFonts w:ascii="Verdana" w:hAnsi="Verdana"/>
          <w:sz w:val="15"/>
          <w:szCs w:val="15"/>
        </w:rPr>
        <w:t xml:space="preserve"> </w:t>
      </w:r>
      <w:r w:rsidRPr="003B7380">
        <w:rPr>
          <w:rFonts w:eastAsia="Palatino Linotype" w:cs="Palatino Linotype"/>
          <w:color w:val="000000"/>
          <w:szCs w:val="24"/>
          <w:lang w:val="es-ES_tradnl"/>
        </w:rPr>
        <w:t>manifestando lo siguiente:</w:t>
      </w:r>
    </w:p>
    <w:p w14:paraId="4AFE7BD0"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p>
    <w:p w14:paraId="1FE0CA22" w14:textId="77777777" w:rsidR="00B766A5" w:rsidRPr="003B7380" w:rsidRDefault="00B766A5" w:rsidP="00B766A5">
      <w:pPr>
        <w:pBdr>
          <w:top w:val="nil"/>
          <w:left w:val="nil"/>
          <w:bottom w:val="nil"/>
          <w:right w:val="nil"/>
          <w:between w:val="nil"/>
        </w:pBdr>
        <w:rPr>
          <w:rFonts w:eastAsia="Palatino Linotype" w:cs="Palatino Linotype"/>
          <w:b/>
          <w:color w:val="000000"/>
          <w:szCs w:val="24"/>
        </w:rPr>
      </w:pPr>
      <w:r w:rsidRPr="003B7380">
        <w:rPr>
          <w:rFonts w:eastAsia="Palatino Linotype" w:cs="Palatino Linotype"/>
          <w:b/>
          <w:color w:val="000000"/>
          <w:szCs w:val="24"/>
        </w:rPr>
        <w:t xml:space="preserve">Acto Impugnado: </w:t>
      </w:r>
    </w:p>
    <w:p w14:paraId="0DB73F97" w14:textId="77777777" w:rsidR="00B766A5" w:rsidRPr="003B7380" w:rsidRDefault="00B766A5" w:rsidP="00B766A5">
      <w:pPr>
        <w:pStyle w:val="Sinespaciado"/>
        <w:rPr>
          <w:rFonts w:eastAsia="Palatino Linotype"/>
        </w:rPr>
      </w:pPr>
      <w:r w:rsidRPr="003B7380">
        <w:rPr>
          <w:rFonts w:eastAsia="Palatino Linotype"/>
        </w:rPr>
        <w:t>“</w:t>
      </w:r>
      <w:r w:rsidR="00EB0850" w:rsidRPr="003B7380">
        <w:rPr>
          <w:color w:val="000000"/>
          <w:sz w:val="24"/>
        </w:rPr>
        <w:t>NO ENTREGA INFORMACION</w:t>
      </w:r>
      <w:r w:rsidRPr="003B7380">
        <w:rPr>
          <w:color w:val="000000"/>
          <w:sz w:val="24"/>
        </w:rPr>
        <w:t>.</w:t>
      </w:r>
      <w:r w:rsidRPr="003B7380">
        <w:rPr>
          <w:rFonts w:eastAsia="Palatino Linotype"/>
          <w:sz w:val="24"/>
        </w:rPr>
        <w:t>”</w:t>
      </w:r>
      <w:r w:rsidRPr="003B7380">
        <w:rPr>
          <w:rFonts w:eastAsia="Palatino Linotype"/>
        </w:rPr>
        <w:t xml:space="preserve"> (Sic) </w:t>
      </w:r>
    </w:p>
    <w:p w14:paraId="4A0F3109"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p>
    <w:p w14:paraId="43D9146A"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r w:rsidRPr="003B7380">
        <w:rPr>
          <w:rFonts w:eastAsia="Palatino Linotype" w:cs="Palatino Linotype"/>
          <w:b/>
          <w:color w:val="000000"/>
          <w:szCs w:val="24"/>
        </w:rPr>
        <w:t>Razones o Motivos de Inconformidad</w:t>
      </w:r>
      <w:r w:rsidRPr="003B7380">
        <w:rPr>
          <w:rFonts w:eastAsia="Palatino Linotype" w:cs="Palatino Linotype"/>
          <w:color w:val="000000"/>
          <w:szCs w:val="24"/>
        </w:rPr>
        <w:t xml:space="preserve">: </w:t>
      </w:r>
    </w:p>
    <w:p w14:paraId="79F100CB" w14:textId="77777777" w:rsidR="00B766A5" w:rsidRPr="003B7380" w:rsidRDefault="00B766A5" w:rsidP="00B766A5">
      <w:pPr>
        <w:pStyle w:val="Sinespaciado"/>
        <w:rPr>
          <w:rFonts w:eastAsia="Palatino Linotype"/>
        </w:rPr>
      </w:pPr>
      <w:r w:rsidRPr="003B7380">
        <w:rPr>
          <w:rFonts w:eastAsia="Palatino Linotype"/>
        </w:rPr>
        <w:t>“</w:t>
      </w:r>
      <w:r w:rsidR="00EB0850" w:rsidRPr="003B7380">
        <w:rPr>
          <w:color w:val="000000"/>
          <w:sz w:val="24"/>
        </w:rPr>
        <w:t>NO ENTREGA INFORMACION”</w:t>
      </w:r>
      <w:r w:rsidRPr="003B7380">
        <w:rPr>
          <w:rFonts w:eastAsia="Palatino Linotype"/>
        </w:rPr>
        <w:t xml:space="preserve"> (Sic) </w:t>
      </w:r>
    </w:p>
    <w:p w14:paraId="2DB8673B" w14:textId="77777777" w:rsidR="00B766A5" w:rsidRPr="003B7380" w:rsidRDefault="00B766A5" w:rsidP="00B766A5">
      <w:pPr>
        <w:pBdr>
          <w:top w:val="nil"/>
          <w:left w:val="nil"/>
          <w:bottom w:val="nil"/>
          <w:right w:val="nil"/>
          <w:between w:val="nil"/>
        </w:pBdr>
        <w:ind w:right="567"/>
        <w:rPr>
          <w:rFonts w:eastAsia="Palatino Linotype" w:cs="Palatino Linotype"/>
          <w:color w:val="000000"/>
          <w:szCs w:val="24"/>
        </w:rPr>
      </w:pPr>
    </w:p>
    <w:p w14:paraId="165D0319" w14:textId="77777777" w:rsidR="00B766A5" w:rsidRPr="003B7380" w:rsidRDefault="00B766A5" w:rsidP="00B766A5">
      <w:pPr>
        <w:pBdr>
          <w:top w:val="nil"/>
          <w:left w:val="nil"/>
          <w:bottom w:val="nil"/>
          <w:right w:val="nil"/>
          <w:between w:val="nil"/>
        </w:pBdr>
        <w:rPr>
          <w:rFonts w:eastAsia="Palatino Linotype" w:cs="Palatino Linotype"/>
          <w:b/>
          <w:color w:val="000000"/>
          <w:sz w:val="26"/>
          <w:szCs w:val="26"/>
        </w:rPr>
      </w:pPr>
      <w:r w:rsidRPr="003B7380">
        <w:rPr>
          <w:rFonts w:eastAsia="Palatino Linotype" w:cs="Palatino Linotype"/>
          <w:b/>
          <w:color w:val="000000"/>
          <w:sz w:val="26"/>
          <w:szCs w:val="26"/>
        </w:rPr>
        <w:t xml:space="preserve">CUARTO. Del trámite y sustanciación del recurso de revisión número </w:t>
      </w:r>
      <w:r w:rsidR="00EB0850" w:rsidRPr="003B7380">
        <w:rPr>
          <w:rFonts w:eastAsia="Palatino Linotype" w:cs="Palatino Linotype"/>
          <w:b/>
          <w:color w:val="000000"/>
          <w:sz w:val="26"/>
          <w:szCs w:val="26"/>
        </w:rPr>
        <w:t>16955/INFOEM/IP/RR/2022</w:t>
      </w:r>
    </w:p>
    <w:p w14:paraId="094CA68F" w14:textId="77777777" w:rsidR="00B766A5" w:rsidRPr="003B7380" w:rsidRDefault="00B766A5" w:rsidP="00B766A5"/>
    <w:p w14:paraId="5C9E7292" w14:textId="77777777" w:rsidR="00B766A5" w:rsidRPr="003B7380" w:rsidRDefault="00B766A5" w:rsidP="00B766A5">
      <w:pPr>
        <w:pBdr>
          <w:top w:val="nil"/>
          <w:left w:val="nil"/>
          <w:bottom w:val="nil"/>
          <w:right w:val="nil"/>
          <w:between w:val="nil"/>
        </w:pBdr>
        <w:rPr>
          <w:rFonts w:eastAsia="Palatino Linotype" w:cs="Palatino Linotype"/>
          <w:b/>
          <w:color w:val="000000"/>
          <w:sz w:val="26"/>
          <w:szCs w:val="26"/>
        </w:rPr>
      </w:pPr>
      <w:r w:rsidRPr="003B7380">
        <w:rPr>
          <w:rFonts w:eastAsia="Palatino Linotype" w:cs="Palatino Linotype"/>
          <w:b/>
          <w:color w:val="000000"/>
          <w:sz w:val="26"/>
          <w:szCs w:val="26"/>
        </w:rPr>
        <w:t>I. Del turno y admisión del recurso de revisión.</w:t>
      </w:r>
    </w:p>
    <w:p w14:paraId="459E34D6"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r w:rsidRPr="003B7380">
        <w:rPr>
          <w:rFonts w:eastAsia="Palatino Linotype" w:cs="Palatino Linotype"/>
          <w:color w:val="000000"/>
          <w:szCs w:val="24"/>
        </w:rPr>
        <w:lastRenderedPageBreak/>
        <w:t xml:space="preserve">El recurso de revisión fue turnado al </w:t>
      </w:r>
      <w:r w:rsidRPr="003B7380">
        <w:rPr>
          <w:rFonts w:eastAsia="Palatino Linotype" w:cs="Palatino Linotype"/>
          <w:b/>
          <w:bCs/>
          <w:color w:val="000000"/>
          <w:szCs w:val="24"/>
          <w:lang w:val="es-ES_tradnl"/>
        </w:rPr>
        <w:t>Comisionado Presidente J</w:t>
      </w:r>
      <w:r w:rsidRPr="003B7380">
        <w:rPr>
          <w:rFonts w:eastAsia="Palatino Linotype" w:cs="Palatino Linotype"/>
          <w:b/>
          <w:color w:val="000000"/>
          <w:szCs w:val="24"/>
          <w:lang w:val="es-ES_tradnl"/>
        </w:rPr>
        <w:t>osé Martínez Vilchis</w:t>
      </w:r>
      <w:r w:rsidRPr="003B7380">
        <w:rPr>
          <w:rFonts w:eastAsia="Palatino Linotype" w:cs="Palatino Linotype"/>
          <w:color w:val="000000"/>
          <w:szCs w:val="24"/>
          <w:lang w:val="es-ES_tradnl"/>
        </w:rPr>
        <w:t xml:space="preserve"> para su revisión y análisis sobre la admisión o desechamiento; por lo que en </w:t>
      </w:r>
      <w:r w:rsidR="00EB0850" w:rsidRPr="003B7380">
        <w:rPr>
          <w:rFonts w:eastAsia="Palatino Linotype" w:cs="Palatino Linotype"/>
          <w:color w:val="000000"/>
          <w:szCs w:val="24"/>
          <w:lang w:val="es-ES_tradnl"/>
        </w:rPr>
        <w:t xml:space="preserve">veintinueve de noviembre </w:t>
      </w:r>
      <w:r w:rsidR="00BA4AEA" w:rsidRPr="003B7380">
        <w:rPr>
          <w:rFonts w:eastAsia="Palatino Linotype" w:cs="Palatino Linotype"/>
          <w:color w:val="000000"/>
          <w:szCs w:val="24"/>
          <w:lang w:val="es-ES_tradnl"/>
        </w:rPr>
        <w:t>de dos mil veintidós</w:t>
      </w:r>
      <w:r w:rsidRPr="003B7380">
        <w:rPr>
          <w:rFonts w:eastAsia="Palatino Linotype" w:cs="Palatino Linotype"/>
          <w:color w:val="000000"/>
          <w:szCs w:val="24"/>
          <w:lang w:val="es-ES_tradnl"/>
        </w:rPr>
        <w:t>, el recurso de revisión fue admitido en la vía interpuesta determinándose en él un plazo de siete días para que las partes manifestaran lo que a su derecho corresponda en términos de las fracciones I, II y III del artículo previamente citado.</w:t>
      </w:r>
    </w:p>
    <w:p w14:paraId="615DE1DD"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p>
    <w:p w14:paraId="69AEB93E" w14:textId="77777777" w:rsidR="00B766A5" w:rsidRPr="003B7380" w:rsidRDefault="00B766A5" w:rsidP="00B766A5">
      <w:pPr>
        <w:pBdr>
          <w:top w:val="nil"/>
          <w:left w:val="nil"/>
          <w:bottom w:val="nil"/>
          <w:right w:val="nil"/>
          <w:between w:val="nil"/>
        </w:pBdr>
        <w:rPr>
          <w:rFonts w:eastAsia="Palatino Linotype" w:cs="Palatino Linotype"/>
          <w:b/>
          <w:color w:val="000000"/>
          <w:sz w:val="26"/>
          <w:szCs w:val="26"/>
        </w:rPr>
      </w:pPr>
      <w:r w:rsidRPr="003B7380">
        <w:rPr>
          <w:rFonts w:eastAsia="Palatino Linotype" w:cs="Palatino Linotype"/>
          <w:b/>
          <w:color w:val="000000"/>
          <w:sz w:val="26"/>
          <w:szCs w:val="26"/>
        </w:rPr>
        <w:t>II. De la etapa de instrucción.</w:t>
      </w:r>
    </w:p>
    <w:p w14:paraId="6F05772E" w14:textId="650EB828" w:rsidR="00B766A5" w:rsidRPr="003B7380" w:rsidRDefault="00B766A5" w:rsidP="00B766A5">
      <w:pPr>
        <w:pBdr>
          <w:top w:val="nil"/>
          <w:left w:val="nil"/>
          <w:bottom w:val="nil"/>
          <w:right w:val="nil"/>
          <w:between w:val="nil"/>
        </w:pBdr>
        <w:rPr>
          <w:rFonts w:eastAsia="Palatino Linotype" w:cs="Palatino Linotype"/>
          <w:color w:val="000000"/>
          <w:szCs w:val="24"/>
        </w:rPr>
      </w:pPr>
      <w:r w:rsidRPr="003B7380">
        <w:rPr>
          <w:rFonts w:eastAsia="Palatino Linotype" w:cs="Palatino Linotype"/>
          <w:color w:val="000000"/>
          <w:szCs w:val="24"/>
        </w:rPr>
        <w:t xml:space="preserve">Así, una vez transcurrido el </w:t>
      </w:r>
      <w:r w:rsidR="00D50A8C" w:rsidRPr="003B7380">
        <w:rPr>
          <w:rFonts w:eastAsia="Palatino Linotype" w:cs="Palatino Linotype"/>
          <w:color w:val="000000"/>
          <w:szCs w:val="24"/>
        </w:rPr>
        <w:t>término</w:t>
      </w:r>
      <w:r w:rsidRPr="003B7380">
        <w:rPr>
          <w:rFonts w:eastAsia="Palatino Linotype" w:cs="Palatino Linotype"/>
          <w:color w:val="000000"/>
          <w:szCs w:val="24"/>
        </w:rPr>
        <w:t xml:space="preserve"> legal referido El Sujeto Obligado fue omiso en remitir su informe justificado; por otra parte, el Recurrente, tampoco presento alegatos, pruebas o manifestaciones.</w:t>
      </w:r>
    </w:p>
    <w:p w14:paraId="3FBA22FC"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p>
    <w:p w14:paraId="62DD0060" w14:textId="77777777" w:rsidR="00B766A5" w:rsidRPr="003B7380" w:rsidRDefault="00B766A5" w:rsidP="00B766A5">
      <w:pPr>
        <w:pBdr>
          <w:top w:val="nil"/>
          <w:left w:val="nil"/>
          <w:bottom w:val="nil"/>
          <w:right w:val="nil"/>
          <w:between w:val="nil"/>
        </w:pBdr>
        <w:rPr>
          <w:rFonts w:eastAsia="Palatino Linotype" w:cs="Palatino Linotype"/>
          <w:b/>
          <w:color w:val="000000"/>
          <w:sz w:val="26"/>
          <w:szCs w:val="26"/>
        </w:rPr>
      </w:pPr>
      <w:r w:rsidRPr="003B7380">
        <w:rPr>
          <w:rFonts w:eastAsia="Palatino Linotype" w:cs="Palatino Linotype"/>
          <w:b/>
          <w:color w:val="000000"/>
          <w:sz w:val="26"/>
          <w:szCs w:val="26"/>
        </w:rPr>
        <w:t>III. Del cierre de instrucción.</w:t>
      </w:r>
    </w:p>
    <w:p w14:paraId="5364531E"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r w:rsidRPr="003B7380">
        <w:rPr>
          <w:rFonts w:eastAsia="Palatino Linotype" w:cs="Palatino Linotype"/>
          <w:color w:val="000000"/>
          <w:szCs w:val="24"/>
        </w:rPr>
        <w:t xml:space="preserve">Así, una vez transcurrido el término legal, se decretó el cierre de instrucción en el recurso de revisión en fecha </w:t>
      </w:r>
      <w:r w:rsidR="00EB0850" w:rsidRPr="003B7380">
        <w:rPr>
          <w:rFonts w:eastAsia="Palatino Linotype" w:cs="Palatino Linotype"/>
          <w:color w:val="000000"/>
          <w:szCs w:val="24"/>
        </w:rPr>
        <w:t>doce de diciembre</w:t>
      </w:r>
      <w:r w:rsidRPr="003B7380">
        <w:rPr>
          <w:rFonts w:eastAsia="Palatino Linotype" w:cs="Palatino Linotype"/>
          <w:color w:val="000000"/>
          <w:szCs w:val="24"/>
        </w:rPr>
        <w:t xml:space="preserve"> de dos mil veintidós, en términos del artículo 185 Fracción VI de la Ley de Transparencia y Acceso a la Información Pública del Estado de México y Municipios, iniciando el término legal para dictar resolución definitiva del asunto.</w:t>
      </w:r>
    </w:p>
    <w:p w14:paraId="4AD5837C"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p>
    <w:p w14:paraId="7C2200DD" w14:textId="77777777" w:rsidR="00B766A5" w:rsidRPr="003B7380" w:rsidRDefault="00B766A5" w:rsidP="00B766A5">
      <w:pPr>
        <w:pBdr>
          <w:top w:val="nil"/>
          <w:left w:val="nil"/>
          <w:bottom w:val="nil"/>
          <w:right w:val="nil"/>
          <w:between w:val="nil"/>
        </w:pBdr>
        <w:rPr>
          <w:rFonts w:eastAsia="Palatino Linotype" w:cs="Palatino Linotype"/>
          <w:b/>
          <w:bCs/>
          <w:color w:val="000000"/>
          <w:sz w:val="26"/>
          <w:szCs w:val="26"/>
        </w:rPr>
      </w:pPr>
      <w:r w:rsidRPr="003B7380">
        <w:rPr>
          <w:rFonts w:eastAsia="Palatino Linotype" w:cs="Palatino Linotype"/>
          <w:b/>
          <w:bCs/>
          <w:color w:val="000000"/>
          <w:sz w:val="26"/>
          <w:szCs w:val="26"/>
        </w:rPr>
        <w:t>IV. De la resolución del recurso de</w:t>
      </w:r>
      <w:r w:rsidR="00EB0850" w:rsidRPr="003B7380">
        <w:rPr>
          <w:rFonts w:eastAsia="Palatino Linotype" w:cs="Palatino Linotype"/>
          <w:b/>
          <w:bCs/>
          <w:color w:val="000000"/>
          <w:sz w:val="26"/>
          <w:szCs w:val="26"/>
        </w:rPr>
        <w:t xml:space="preserve"> revisión 16955/INFOEM/IP/RR/2022</w:t>
      </w:r>
      <w:r w:rsidRPr="003B7380">
        <w:rPr>
          <w:rFonts w:eastAsia="Palatino Linotype" w:cs="Palatino Linotype"/>
          <w:b/>
          <w:bCs/>
          <w:color w:val="000000"/>
          <w:sz w:val="26"/>
          <w:szCs w:val="26"/>
        </w:rPr>
        <w:t>.</w:t>
      </w:r>
    </w:p>
    <w:p w14:paraId="3F880FCD"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r w:rsidRPr="003B7380">
        <w:rPr>
          <w:rFonts w:eastAsia="Palatino Linotype" w:cs="Palatino Linotype"/>
          <w:color w:val="000000"/>
          <w:szCs w:val="24"/>
        </w:rPr>
        <w:t>En la Primera Sesión Ordinaria celebrada el</w:t>
      </w:r>
      <w:r w:rsidR="00C52DF3" w:rsidRPr="003B7380">
        <w:rPr>
          <w:rFonts w:eastAsia="Palatino Linotype" w:cs="Palatino Linotype"/>
          <w:color w:val="000000"/>
          <w:szCs w:val="24"/>
        </w:rPr>
        <w:t xml:space="preserve"> once de enero de dos mil veintitrés</w:t>
      </w:r>
      <w:r w:rsidRPr="003B7380">
        <w:rPr>
          <w:rFonts w:eastAsia="Palatino Linotype" w:cs="Palatino Linotype"/>
          <w:color w:val="000000"/>
          <w:szCs w:val="24"/>
        </w:rPr>
        <w:t>, el Pleno del Instituto de Transparencia, Accesos la Información Pública y Protección de Datos Personales del Estado de México y Municipios aprobó por unanimidad de votos, la Resolución del Recurso de Revisión, en la cual se determinó lo siguiente:</w:t>
      </w:r>
    </w:p>
    <w:p w14:paraId="61D30C81"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p>
    <w:p w14:paraId="78939351" w14:textId="77777777" w:rsidR="00B766A5" w:rsidRPr="003B7380" w:rsidRDefault="00B766A5" w:rsidP="00B766A5">
      <w:pPr>
        <w:pStyle w:val="Sinespaciado"/>
        <w:jc w:val="center"/>
      </w:pPr>
      <w:r w:rsidRPr="003B7380">
        <w:t>“</w:t>
      </w:r>
      <w:r w:rsidRPr="003B7380">
        <w:rPr>
          <w:b/>
          <w:bCs/>
        </w:rPr>
        <w:t>RESUELVE</w:t>
      </w:r>
    </w:p>
    <w:p w14:paraId="50877E30" w14:textId="77777777" w:rsidR="00B766A5" w:rsidRPr="003B7380" w:rsidRDefault="00B766A5" w:rsidP="00B766A5">
      <w:pPr>
        <w:pStyle w:val="Sinespaciado"/>
      </w:pPr>
    </w:p>
    <w:p w14:paraId="7900E9B3" w14:textId="77777777" w:rsidR="00EB0850" w:rsidRPr="003B7380" w:rsidRDefault="00EB0850" w:rsidP="00B766A5">
      <w:pPr>
        <w:pStyle w:val="Sinespaciado"/>
      </w:pPr>
      <w:r w:rsidRPr="003B7380">
        <w:rPr>
          <w:b/>
        </w:rPr>
        <w:t>PRIMERO.</w:t>
      </w:r>
      <w:r w:rsidRPr="003B7380">
        <w:t xml:space="preserve"> Resultan fundadas las razones o motivos de inconformidad hechos valer por el Recurrente, en términos del considerando </w:t>
      </w:r>
      <w:r w:rsidRPr="003B7380">
        <w:rPr>
          <w:b/>
        </w:rPr>
        <w:t>QUINTO</w:t>
      </w:r>
      <w:r w:rsidRPr="003B7380">
        <w:t xml:space="preserve">, de la presente resolución. </w:t>
      </w:r>
    </w:p>
    <w:p w14:paraId="3312784E" w14:textId="77777777" w:rsidR="00EB0850" w:rsidRPr="003B7380" w:rsidRDefault="00EB0850" w:rsidP="00B766A5">
      <w:pPr>
        <w:pStyle w:val="Sinespaciado"/>
      </w:pPr>
    </w:p>
    <w:p w14:paraId="669E20F9" w14:textId="77777777" w:rsidR="00EB0850" w:rsidRPr="003B7380" w:rsidRDefault="00EB0850" w:rsidP="00B766A5">
      <w:pPr>
        <w:pStyle w:val="Sinespaciado"/>
      </w:pPr>
      <w:r w:rsidRPr="003B7380">
        <w:rPr>
          <w:b/>
        </w:rPr>
        <w:t>SEGUNDO</w:t>
      </w:r>
      <w:r w:rsidRPr="003B7380">
        <w:t xml:space="preserve">. Se ORDENA al Sujeto Obligado atienda la solicitud de información </w:t>
      </w:r>
      <w:r w:rsidRPr="003B7380">
        <w:rPr>
          <w:b/>
        </w:rPr>
        <w:t>01170/ZINACANT/IP/2022</w:t>
      </w:r>
      <w:r w:rsidRPr="003B7380">
        <w:t xml:space="preserve">; en términos del Considerando </w:t>
      </w:r>
      <w:r w:rsidRPr="003B7380">
        <w:rPr>
          <w:b/>
        </w:rPr>
        <w:t>QUINTO</w:t>
      </w:r>
      <w:r w:rsidRPr="003B7380">
        <w:t xml:space="preserve"> de esta resolución, vía Sistema de Acceso a la Información Mexiquense (SAIMEX). </w:t>
      </w:r>
    </w:p>
    <w:p w14:paraId="5B63EC16" w14:textId="77777777" w:rsidR="00EB0850" w:rsidRPr="003B7380" w:rsidRDefault="00EB0850" w:rsidP="00B766A5">
      <w:pPr>
        <w:pStyle w:val="Sinespaciado"/>
      </w:pPr>
    </w:p>
    <w:p w14:paraId="2364FCF5" w14:textId="77777777" w:rsidR="00EB0850" w:rsidRPr="003B7380" w:rsidRDefault="00EB0850" w:rsidP="00B766A5">
      <w:pPr>
        <w:pStyle w:val="Sinespaciado"/>
      </w:pPr>
      <w:r w:rsidRPr="003B7380">
        <w:rPr>
          <w:b/>
        </w:rPr>
        <w:t>TERCERO</w:t>
      </w:r>
      <w:r w:rsidRPr="003B7380">
        <w:t xml:space="preserve">. Notifíquese al Titular de la Unidad de Transparencia del </w:t>
      </w:r>
      <w:r w:rsidRPr="003B7380">
        <w:rPr>
          <w:b/>
        </w:rPr>
        <w:t>Sujeto Obligado</w:t>
      </w:r>
      <w:r w:rsidRPr="003B7380">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p>
    <w:p w14:paraId="74490B3B" w14:textId="77777777" w:rsidR="00EB0850" w:rsidRPr="003B7380" w:rsidRDefault="00EB0850" w:rsidP="00B766A5">
      <w:pPr>
        <w:pStyle w:val="Sinespaciado"/>
      </w:pPr>
    </w:p>
    <w:p w14:paraId="3140DA89" w14:textId="77777777" w:rsidR="00EB0850" w:rsidRPr="003B7380" w:rsidRDefault="00EB0850" w:rsidP="00B766A5">
      <w:pPr>
        <w:pStyle w:val="Sinespaciado"/>
      </w:pPr>
      <w:r w:rsidRPr="003B7380">
        <w:rPr>
          <w:b/>
        </w:rPr>
        <w:t>CUARTO</w:t>
      </w:r>
      <w:r w:rsidRPr="003B7380">
        <w:t xml:space="preserve">. Con fundamento en el artículo 198 de la Ley de Transparencia y Acceso a la Información Pública del Estado de México y Municipios, se apercibe al </w:t>
      </w:r>
      <w:r w:rsidRPr="003B7380">
        <w:rPr>
          <w:b/>
        </w:rPr>
        <w:t>Sujeto Obligado</w:t>
      </w:r>
      <w:r w:rsidRPr="003B7380">
        <w:t xml:space="preserve"> a que, en caso de negarse a cumplir la presente resolución o hacerlo de manera parcial se actuara de conformidad con lo previsto en los artículos 213, 214, 216 y 217 de dicha Ley.  </w:t>
      </w:r>
    </w:p>
    <w:p w14:paraId="200C763D" w14:textId="77777777" w:rsidR="00B766A5" w:rsidRPr="003B7380" w:rsidRDefault="00B766A5" w:rsidP="00B766A5">
      <w:pPr>
        <w:pStyle w:val="Sinespaciado"/>
      </w:pPr>
      <w:r w:rsidRPr="003B7380">
        <w:t>(…)”</w:t>
      </w:r>
    </w:p>
    <w:p w14:paraId="1920CC0B" w14:textId="77777777" w:rsidR="00B766A5" w:rsidRPr="003B7380" w:rsidRDefault="00B766A5" w:rsidP="00B766A5">
      <w:pPr>
        <w:pBdr>
          <w:top w:val="nil"/>
          <w:left w:val="nil"/>
          <w:bottom w:val="nil"/>
          <w:right w:val="nil"/>
          <w:between w:val="nil"/>
        </w:pBdr>
        <w:rPr>
          <w:rFonts w:eastAsia="Palatino Linotype" w:cs="Palatino Linotype"/>
          <w:b/>
          <w:bCs/>
          <w:color w:val="000000"/>
          <w:sz w:val="26"/>
          <w:szCs w:val="26"/>
        </w:rPr>
      </w:pPr>
    </w:p>
    <w:p w14:paraId="1A407939" w14:textId="1DF9FCA6" w:rsidR="00B766A5" w:rsidRPr="003B7380" w:rsidRDefault="00B766A5" w:rsidP="00B766A5">
      <w:pPr>
        <w:pBdr>
          <w:top w:val="nil"/>
          <w:left w:val="nil"/>
          <w:bottom w:val="nil"/>
          <w:right w:val="nil"/>
          <w:between w:val="nil"/>
        </w:pBdr>
        <w:rPr>
          <w:rFonts w:eastAsia="Palatino Linotype" w:cs="Palatino Linotype"/>
          <w:b/>
          <w:bCs/>
          <w:color w:val="000000"/>
          <w:sz w:val="26"/>
          <w:szCs w:val="26"/>
        </w:rPr>
      </w:pPr>
      <w:r w:rsidRPr="003B7380">
        <w:rPr>
          <w:rFonts w:eastAsia="Palatino Linotype" w:cs="Palatino Linotype"/>
          <w:b/>
          <w:bCs/>
          <w:color w:val="000000"/>
          <w:sz w:val="26"/>
          <w:szCs w:val="26"/>
        </w:rPr>
        <w:t xml:space="preserve">V. </w:t>
      </w:r>
      <w:r w:rsidR="00D50A8C" w:rsidRPr="003B7380">
        <w:rPr>
          <w:rFonts w:eastAsia="Palatino Linotype" w:cs="Palatino Linotype"/>
          <w:b/>
          <w:bCs/>
          <w:color w:val="000000"/>
          <w:sz w:val="26"/>
          <w:szCs w:val="26"/>
        </w:rPr>
        <w:t>N</w:t>
      </w:r>
      <w:r w:rsidRPr="003B7380">
        <w:rPr>
          <w:rFonts w:eastAsia="Palatino Linotype" w:cs="Palatino Linotype"/>
          <w:b/>
          <w:bCs/>
          <w:color w:val="000000"/>
          <w:sz w:val="26"/>
          <w:szCs w:val="26"/>
        </w:rPr>
        <w:t xml:space="preserve">otificación de la resolución del recurso </w:t>
      </w:r>
      <w:r w:rsidR="00D50A8C" w:rsidRPr="003B7380">
        <w:rPr>
          <w:rFonts w:eastAsia="Palatino Linotype" w:cs="Palatino Linotype"/>
          <w:b/>
          <w:bCs/>
          <w:color w:val="000000"/>
          <w:sz w:val="26"/>
          <w:szCs w:val="26"/>
        </w:rPr>
        <w:t xml:space="preserve">de revisión </w:t>
      </w:r>
      <w:r w:rsidR="00EB0850" w:rsidRPr="003B7380">
        <w:rPr>
          <w:rFonts w:eastAsia="Palatino Linotype" w:cs="Palatino Linotype"/>
          <w:b/>
          <w:bCs/>
          <w:color w:val="000000"/>
          <w:sz w:val="26"/>
          <w:szCs w:val="26"/>
        </w:rPr>
        <w:t>16955/INFOEM/IP/RR/2022</w:t>
      </w:r>
      <w:r w:rsidRPr="003B7380">
        <w:rPr>
          <w:rFonts w:eastAsia="Palatino Linotype" w:cs="Palatino Linotype"/>
          <w:b/>
          <w:bCs/>
          <w:color w:val="000000"/>
          <w:sz w:val="26"/>
          <w:szCs w:val="26"/>
        </w:rPr>
        <w:t>.</w:t>
      </w:r>
    </w:p>
    <w:p w14:paraId="36772E2A"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r w:rsidRPr="003B7380">
        <w:rPr>
          <w:rFonts w:eastAsia="Palatino Linotype" w:cs="Palatino Linotype"/>
          <w:color w:val="000000"/>
          <w:szCs w:val="24"/>
        </w:rPr>
        <w:t xml:space="preserve">De conformidad con las constancias que integran el expediente electrónico, se advierte que el </w:t>
      </w:r>
      <w:r w:rsidR="00EB0850" w:rsidRPr="003B7380">
        <w:rPr>
          <w:rFonts w:eastAsia="Palatino Linotype" w:cs="Palatino Linotype"/>
          <w:color w:val="000000"/>
          <w:szCs w:val="24"/>
        </w:rPr>
        <w:t xml:space="preserve">día dieciséis de enero de dos mil veintitrés </w:t>
      </w:r>
      <w:r w:rsidRPr="003B7380">
        <w:rPr>
          <w:rFonts w:eastAsia="Palatino Linotype" w:cs="Palatino Linotype"/>
          <w:color w:val="000000"/>
          <w:szCs w:val="24"/>
        </w:rPr>
        <w:t>se notificó a las partes por medio del Sistema de Acceso a la Información Mexiquense (SAIMEX), la resolución del recurso de revisión referido.</w:t>
      </w:r>
    </w:p>
    <w:p w14:paraId="1532CC6A"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p>
    <w:p w14:paraId="58D8B91A" w14:textId="1C1A5AFA" w:rsidR="00B766A5" w:rsidRPr="003B7380" w:rsidRDefault="00B766A5" w:rsidP="00B766A5">
      <w:pPr>
        <w:pBdr>
          <w:top w:val="nil"/>
          <w:left w:val="nil"/>
          <w:bottom w:val="nil"/>
          <w:right w:val="nil"/>
          <w:between w:val="nil"/>
        </w:pBdr>
        <w:rPr>
          <w:rFonts w:eastAsia="Palatino Linotype" w:cs="Palatino Linotype"/>
          <w:b/>
          <w:color w:val="000000"/>
          <w:sz w:val="26"/>
          <w:szCs w:val="26"/>
        </w:rPr>
      </w:pPr>
      <w:r w:rsidRPr="003B7380">
        <w:rPr>
          <w:rFonts w:eastAsia="Palatino Linotype" w:cs="Palatino Linotype"/>
          <w:b/>
          <w:color w:val="000000"/>
          <w:sz w:val="26"/>
          <w:szCs w:val="26"/>
        </w:rPr>
        <w:t>V</w:t>
      </w:r>
      <w:r w:rsidR="005B0988" w:rsidRPr="003B7380">
        <w:rPr>
          <w:rFonts w:eastAsia="Palatino Linotype" w:cs="Palatino Linotype"/>
          <w:b/>
          <w:color w:val="000000"/>
          <w:sz w:val="26"/>
          <w:szCs w:val="26"/>
        </w:rPr>
        <w:t>I</w:t>
      </w:r>
      <w:r w:rsidRPr="003B7380">
        <w:rPr>
          <w:rFonts w:eastAsia="Palatino Linotype" w:cs="Palatino Linotype"/>
          <w:b/>
          <w:color w:val="000000"/>
          <w:sz w:val="26"/>
          <w:szCs w:val="26"/>
        </w:rPr>
        <w:t>. Del</w:t>
      </w:r>
      <w:r w:rsidR="00D50A8C" w:rsidRPr="003B7380">
        <w:rPr>
          <w:rFonts w:eastAsia="Palatino Linotype" w:cs="Palatino Linotype"/>
          <w:b/>
          <w:color w:val="000000"/>
          <w:sz w:val="26"/>
          <w:szCs w:val="26"/>
        </w:rPr>
        <w:t xml:space="preserve"> acuerdo de</w:t>
      </w:r>
      <w:r w:rsidRPr="003B7380">
        <w:rPr>
          <w:rFonts w:eastAsia="Palatino Linotype" w:cs="Palatino Linotype"/>
          <w:b/>
          <w:color w:val="000000"/>
          <w:sz w:val="26"/>
          <w:szCs w:val="26"/>
        </w:rPr>
        <w:t xml:space="preserve"> incumplimiento </w:t>
      </w:r>
      <w:r w:rsidR="00D50A8C" w:rsidRPr="003B7380">
        <w:rPr>
          <w:rFonts w:eastAsia="Palatino Linotype" w:cs="Palatino Linotype"/>
          <w:b/>
          <w:color w:val="000000"/>
          <w:sz w:val="26"/>
          <w:szCs w:val="26"/>
        </w:rPr>
        <w:t>de la</w:t>
      </w:r>
      <w:r w:rsidRPr="003B7380">
        <w:rPr>
          <w:rFonts w:eastAsia="Palatino Linotype" w:cs="Palatino Linotype"/>
          <w:b/>
          <w:color w:val="000000"/>
          <w:sz w:val="26"/>
          <w:szCs w:val="26"/>
        </w:rPr>
        <w:t xml:space="preserve"> resolución.</w:t>
      </w:r>
    </w:p>
    <w:p w14:paraId="0D41F5F0" w14:textId="77777777" w:rsidR="00D50A8C" w:rsidRPr="003B7380" w:rsidRDefault="00D50A8C" w:rsidP="00D50A8C">
      <w:pPr>
        <w:rPr>
          <w:rFonts w:cs="Arial"/>
          <w:szCs w:val="24"/>
        </w:rPr>
      </w:pPr>
      <w:r w:rsidRPr="003B7380">
        <w:rPr>
          <w:rFonts w:cs="Arial"/>
          <w:szCs w:val="24"/>
        </w:rPr>
        <w:lastRenderedPageBreak/>
        <w:t>Una vez concluido el término otorgado al Sujeto Obligado para que diera cumplimiento a la resolución, en el expediente electrónico, se observa que fue omiso en dar cumplimiento a dicha resolución, por lo que, en fecha treinta y uno de enero de dos mil veintitrés, se emitió y notifico a las partes, el acuerdo de incumplimiento.</w:t>
      </w:r>
    </w:p>
    <w:p w14:paraId="3684A359" w14:textId="77777777" w:rsidR="00D50A8C" w:rsidRPr="003B7380" w:rsidRDefault="00D50A8C" w:rsidP="00D50A8C">
      <w:pPr>
        <w:rPr>
          <w:rFonts w:cs="Arial"/>
          <w:szCs w:val="24"/>
        </w:rPr>
      </w:pPr>
    </w:p>
    <w:p w14:paraId="2C09ED7D" w14:textId="77777777" w:rsidR="00B766A5" w:rsidRPr="003B7380" w:rsidRDefault="00B766A5" w:rsidP="00B766A5">
      <w:pPr>
        <w:spacing w:line="240" w:lineRule="auto"/>
        <w:rPr>
          <w:rFonts w:ascii="Times New Roman" w:eastAsia="Times New Roman" w:hAnsi="Times New Roman" w:cs="Times New Roman"/>
          <w:szCs w:val="24"/>
        </w:rPr>
      </w:pPr>
      <w:r w:rsidRPr="003B7380">
        <w:rPr>
          <w:rFonts w:eastAsia="Palatino Linotype" w:cs="Palatino Linotype"/>
          <w:b/>
          <w:color w:val="000000"/>
          <w:sz w:val="26"/>
          <w:szCs w:val="26"/>
        </w:rPr>
        <w:t xml:space="preserve">QUINTO. De la interposición del recurso de revisión </w:t>
      </w:r>
      <w:r w:rsidRPr="003B7380">
        <w:rPr>
          <w:rFonts w:ascii="Verdana" w:eastAsia="Times New Roman" w:hAnsi="Verdana" w:cs="Times New Roman"/>
          <w:sz w:val="15"/>
          <w:szCs w:val="15"/>
        </w:rPr>
        <w:br/>
      </w:r>
      <w:r w:rsidR="00EB0850" w:rsidRPr="003B7380">
        <w:rPr>
          <w:rFonts w:eastAsia="Times New Roman" w:cs="Times New Roman"/>
          <w:b/>
          <w:sz w:val="28"/>
          <w:szCs w:val="28"/>
        </w:rPr>
        <w:t>16955/INFOEM/ICR-93</w:t>
      </w:r>
      <w:r w:rsidRPr="003B7380">
        <w:rPr>
          <w:rFonts w:eastAsia="Times New Roman" w:cs="Times New Roman"/>
          <w:b/>
          <w:sz w:val="28"/>
          <w:szCs w:val="28"/>
        </w:rPr>
        <w:t>/IP/RR/2022</w:t>
      </w:r>
    </w:p>
    <w:p w14:paraId="13E89F6B" w14:textId="77777777" w:rsidR="00B766A5" w:rsidRPr="003B7380" w:rsidRDefault="00B766A5" w:rsidP="00B766A5">
      <w:pPr>
        <w:pBdr>
          <w:top w:val="nil"/>
          <w:left w:val="nil"/>
          <w:bottom w:val="nil"/>
          <w:right w:val="nil"/>
          <w:between w:val="nil"/>
        </w:pBdr>
        <w:rPr>
          <w:rFonts w:eastAsia="Palatino Linotype" w:cs="Palatino Linotype"/>
          <w:b/>
          <w:color w:val="000000"/>
          <w:sz w:val="26"/>
          <w:szCs w:val="26"/>
        </w:rPr>
      </w:pPr>
    </w:p>
    <w:p w14:paraId="5E387887" w14:textId="77777777" w:rsidR="00B766A5" w:rsidRPr="003B7380" w:rsidRDefault="00B766A5" w:rsidP="00B766A5">
      <w:pPr>
        <w:pBdr>
          <w:top w:val="nil"/>
          <w:left w:val="nil"/>
          <w:bottom w:val="nil"/>
          <w:right w:val="nil"/>
          <w:between w:val="nil"/>
        </w:pBdr>
        <w:rPr>
          <w:rFonts w:eastAsia="Palatino Linotype" w:cs="Palatino Linotype"/>
          <w:color w:val="000000"/>
          <w:szCs w:val="24"/>
          <w:lang w:val="es-ES"/>
        </w:rPr>
      </w:pPr>
      <w:r w:rsidRPr="003B7380">
        <w:rPr>
          <w:rFonts w:eastAsia="Palatino Linotype" w:cs="Palatino Linotype"/>
          <w:color w:val="000000"/>
          <w:szCs w:val="24"/>
        </w:rPr>
        <w:t>De las constancias que integran el</w:t>
      </w:r>
      <w:r w:rsidR="00857197" w:rsidRPr="003B7380">
        <w:rPr>
          <w:rFonts w:eastAsia="Palatino Linotype" w:cs="Palatino Linotype"/>
          <w:color w:val="000000"/>
          <w:szCs w:val="24"/>
        </w:rPr>
        <w:t xml:space="preserve"> expediente</w:t>
      </w:r>
      <w:r w:rsidRPr="003B7380">
        <w:rPr>
          <w:rFonts w:eastAsia="Palatino Linotype" w:cs="Palatino Linotype"/>
          <w:color w:val="000000"/>
          <w:szCs w:val="24"/>
        </w:rPr>
        <w:t xml:space="preserve"> del recurso de revisión </w:t>
      </w:r>
      <w:r w:rsidR="005E2B4E" w:rsidRPr="003B7380">
        <w:rPr>
          <w:b/>
          <w:bCs/>
          <w:color w:val="000000"/>
          <w:szCs w:val="24"/>
        </w:rPr>
        <w:t>16955</w:t>
      </w:r>
      <w:r w:rsidRPr="003B7380">
        <w:rPr>
          <w:b/>
          <w:bCs/>
          <w:color w:val="000000"/>
          <w:szCs w:val="24"/>
        </w:rPr>
        <w:t>/INFOEM</w:t>
      </w:r>
      <w:r w:rsidR="005E2B4E" w:rsidRPr="003B7380">
        <w:rPr>
          <w:b/>
          <w:bCs/>
          <w:color w:val="000000"/>
          <w:szCs w:val="24"/>
        </w:rPr>
        <w:t>/ICR-</w:t>
      </w:r>
      <w:r w:rsidRPr="003B7380">
        <w:rPr>
          <w:b/>
          <w:bCs/>
          <w:color w:val="000000"/>
          <w:szCs w:val="24"/>
        </w:rPr>
        <w:t>9</w:t>
      </w:r>
      <w:r w:rsidR="005E2B4E" w:rsidRPr="003B7380">
        <w:rPr>
          <w:b/>
          <w:bCs/>
          <w:color w:val="000000"/>
          <w:szCs w:val="24"/>
        </w:rPr>
        <w:t>3</w:t>
      </w:r>
      <w:r w:rsidRPr="003B7380">
        <w:rPr>
          <w:b/>
          <w:bCs/>
          <w:color w:val="000000"/>
          <w:szCs w:val="24"/>
        </w:rPr>
        <w:t>/IP/RR/2022</w:t>
      </w:r>
      <w:r w:rsidRPr="003B7380">
        <w:rPr>
          <w:rFonts w:eastAsia="Palatino Linotype" w:cs="Palatino Linotype"/>
          <w:color w:val="000000"/>
          <w:szCs w:val="24"/>
        </w:rPr>
        <w:t xml:space="preserve">, se observa que el día </w:t>
      </w:r>
      <w:r w:rsidR="005E2B4E" w:rsidRPr="003B7380">
        <w:rPr>
          <w:rFonts w:eastAsia="Palatino Linotype" w:cs="Palatino Linotype"/>
          <w:color w:val="000000"/>
          <w:szCs w:val="24"/>
        </w:rPr>
        <w:t>siete de febrero de dos mil veintitrés</w:t>
      </w:r>
      <w:r w:rsidRPr="003B7380">
        <w:rPr>
          <w:rFonts w:eastAsia="Palatino Linotype" w:cs="Palatino Linotype"/>
          <w:color w:val="000000"/>
          <w:szCs w:val="24"/>
        </w:rPr>
        <w:t xml:space="preserve">, </w:t>
      </w:r>
      <w:r w:rsidRPr="003B7380">
        <w:rPr>
          <w:rFonts w:eastAsia="Palatino Linotype" w:cs="Palatino Linotype"/>
          <w:color w:val="000000"/>
          <w:szCs w:val="24"/>
          <w:lang w:val="es-ES"/>
        </w:rPr>
        <w:t xml:space="preserve">el </w:t>
      </w:r>
      <w:r w:rsidRPr="003B7380">
        <w:rPr>
          <w:rFonts w:eastAsia="Palatino Linotype" w:cs="Palatino Linotype"/>
          <w:bCs/>
          <w:color w:val="000000"/>
          <w:szCs w:val="24"/>
          <w:lang w:val="es-ES"/>
        </w:rPr>
        <w:t xml:space="preserve">Recurrente </w:t>
      </w:r>
      <w:r w:rsidRPr="003B7380">
        <w:rPr>
          <w:rFonts w:eastAsia="Palatino Linotype" w:cs="Palatino Linotype"/>
          <w:color w:val="000000"/>
          <w:szCs w:val="24"/>
          <w:lang w:val="es-ES"/>
        </w:rPr>
        <w:t>interpuso un nuevo recurso de revisión en este Instituto, a través del Sistema de Acceso a la Información Mexiquense (SAIMEX), en contra de la negativa a la información solicitada, en el que se señaló lo siguiente:</w:t>
      </w:r>
    </w:p>
    <w:p w14:paraId="3774B6C6" w14:textId="77777777" w:rsidR="00B766A5" w:rsidRPr="003B7380" w:rsidRDefault="00B766A5" w:rsidP="00B766A5">
      <w:pPr>
        <w:pBdr>
          <w:top w:val="nil"/>
          <w:left w:val="nil"/>
          <w:bottom w:val="nil"/>
          <w:right w:val="nil"/>
          <w:between w:val="nil"/>
        </w:pBdr>
        <w:rPr>
          <w:rFonts w:eastAsia="Palatino Linotype" w:cs="Palatino Linotype"/>
          <w:color w:val="000000"/>
          <w:szCs w:val="24"/>
          <w:lang w:val="es-ES_tradnl"/>
        </w:rPr>
      </w:pPr>
    </w:p>
    <w:p w14:paraId="13949AB5" w14:textId="77777777" w:rsidR="00B766A5" w:rsidRPr="003B7380" w:rsidRDefault="00B766A5" w:rsidP="00B766A5">
      <w:pPr>
        <w:pBdr>
          <w:top w:val="nil"/>
          <w:left w:val="nil"/>
          <w:bottom w:val="nil"/>
          <w:right w:val="nil"/>
          <w:between w:val="nil"/>
        </w:pBdr>
        <w:rPr>
          <w:rFonts w:eastAsia="Palatino Linotype" w:cs="Palatino Linotype"/>
          <w:b/>
          <w:color w:val="000000"/>
          <w:szCs w:val="24"/>
          <w:lang w:val="es-ES"/>
        </w:rPr>
      </w:pPr>
      <w:r w:rsidRPr="003B7380">
        <w:rPr>
          <w:rFonts w:eastAsia="Palatino Linotype" w:cs="Palatino Linotype"/>
          <w:b/>
          <w:color w:val="000000"/>
          <w:szCs w:val="24"/>
          <w:lang w:val="es-ES"/>
        </w:rPr>
        <w:t xml:space="preserve">Acto impugnado: </w:t>
      </w:r>
    </w:p>
    <w:p w14:paraId="46FFBDE3" w14:textId="77777777" w:rsidR="00B766A5" w:rsidRPr="003B7380" w:rsidRDefault="00B766A5" w:rsidP="00B766A5">
      <w:pPr>
        <w:pStyle w:val="Sinespaciado"/>
        <w:rPr>
          <w:rFonts w:eastAsia="Palatino Linotype"/>
          <w:b/>
          <w:lang w:val="es-ES"/>
        </w:rPr>
      </w:pPr>
      <w:r w:rsidRPr="003B7380">
        <w:rPr>
          <w:rFonts w:eastAsia="Palatino Linotype"/>
          <w:lang w:val="es-ES"/>
        </w:rPr>
        <w:t>“</w:t>
      </w:r>
      <w:r w:rsidR="005E2B4E" w:rsidRPr="003B7380">
        <w:rPr>
          <w:color w:val="000000"/>
          <w:szCs w:val="22"/>
        </w:rPr>
        <w:t>NO ENTREGA INFORMACION</w:t>
      </w:r>
      <w:r w:rsidRPr="003B7380">
        <w:rPr>
          <w:rFonts w:eastAsia="Palatino Linotype"/>
          <w:lang w:val="es-ES"/>
        </w:rPr>
        <w:t>” (sic)</w:t>
      </w:r>
    </w:p>
    <w:p w14:paraId="5C2486C7" w14:textId="77777777" w:rsidR="00B766A5" w:rsidRPr="003B7380" w:rsidRDefault="00B766A5" w:rsidP="00B766A5">
      <w:pPr>
        <w:pBdr>
          <w:top w:val="nil"/>
          <w:left w:val="nil"/>
          <w:bottom w:val="nil"/>
          <w:right w:val="nil"/>
          <w:between w:val="nil"/>
        </w:pBdr>
        <w:rPr>
          <w:rFonts w:eastAsia="Palatino Linotype" w:cs="Palatino Linotype"/>
          <w:color w:val="000000"/>
          <w:szCs w:val="24"/>
          <w:lang w:val="es-ES"/>
        </w:rPr>
      </w:pPr>
    </w:p>
    <w:p w14:paraId="00536DEB" w14:textId="77777777" w:rsidR="00B766A5" w:rsidRPr="003B7380" w:rsidRDefault="00B766A5" w:rsidP="00B766A5">
      <w:pPr>
        <w:pBdr>
          <w:top w:val="nil"/>
          <w:left w:val="nil"/>
          <w:bottom w:val="nil"/>
          <w:right w:val="nil"/>
          <w:between w:val="nil"/>
        </w:pBdr>
        <w:rPr>
          <w:rFonts w:eastAsia="Palatino Linotype" w:cs="Palatino Linotype"/>
          <w:b/>
          <w:color w:val="000000"/>
          <w:szCs w:val="24"/>
          <w:lang w:val="es-ES"/>
        </w:rPr>
      </w:pPr>
      <w:r w:rsidRPr="003B7380">
        <w:rPr>
          <w:rFonts w:eastAsia="Palatino Linotype" w:cs="Palatino Linotype"/>
          <w:b/>
          <w:color w:val="000000"/>
          <w:szCs w:val="24"/>
          <w:lang w:val="es-ES"/>
        </w:rPr>
        <w:t xml:space="preserve">Razones o motivos de inconformidad: </w:t>
      </w:r>
    </w:p>
    <w:p w14:paraId="1BAC79E2" w14:textId="77777777" w:rsidR="00B766A5" w:rsidRPr="003B7380" w:rsidRDefault="00B766A5" w:rsidP="00B766A5">
      <w:pPr>
        <w:pStyle w:val="Sinespaciado"/>
        <w:rPr>
          <w:rFonts w:eastAsia="Palatino Linotype"/>
          <w:b/>
          <w:lang w:val="es-ES"/>
        </w:rPr>
      </w:pPr>
      <w:r w:rsidRPr="003B7380">
        <w:rPr>
          <w:rFonts w:eastAsia="Palatino Linotype"/>
          <w:lang w:val="es-ES"/>
        </w:rPr>
        <w:t>“</w:t>
      </w:r>
      <w:r w:rsidR="005E2B4E" w:rsidRPr="003B7380">
        <w:rPr>
          <w:color w:val="000000"/>
          <w:szCs w:val="22"/>
        </w:rPr>
        <w:t>NO ENTREGA INFORMACION</w:t>
      </w:r>
      <w:r w:rsidRPr="003B7380">
        <w:rPr>
          <w:rFonts w:ascii="Verdana" w:hAnsi="Verdana"/>
          <w:color w:val="000000"/>
          <w:sz w:val="14"/>
          <w:szCs w:val="14"/>
        </w:rPr>
        <w:t>.</w:t>
      </w:r>
      <w:r w:rsidRPr="003B7380">
        <w:rPr>
          <w:rFonts w:eastAsia="Palatino Linotype"/>
          <w:lang w:val="es-ES"/>
        </w:rPr>
        <w:t>” (sic)</w:t>
      </w:r>
    </w:p>
    <w:p w14:paraId="42CC9EB5" w14:textId="77777777" w:rsidR="00B766A5" w:rsidRPr="003B7380" w:rsidRDefault="00B766A5" w:rsidP="00B766A5">
      <w:pPr>
        <w:pBdr>
          <w:top w:val="nil"/>
          <w:left w:val="nil"/>
          <w:bottom w:val="nil"/>
          <w:right w:val="nil"/>
          <w:between w:val="nil"/>
        </w:pBdr>
        <w:rPr>
          <w:rFonts w:eastAsia="Palatino Linotype" w:cs="Palatino Linotype"/>
          <w:b/>
          <w:color w:val="000000"/>
          <w:szCs w:val="24"/>
          <w:lang w:val="es-ES"/>
        </w:rPr>
      </w:pPr>
    </w:p>
    <w:p w14:paraId="3EF1522E" w14:textId="77777777" w:rsidR="00B766A5" w:rsidRPr="003B7380" w:rsidRDefault="00B766A5" w:rsidP="00B766A5">
      <w:pPr>
        <w:pBdr>
          <w:top w:val="nil"/>
          <w:left w:val="nil"/>
          <w:bottom w:val="nil"/>
          <w:right w:val="nil"/>
          <w:between w:val="nil"/>
        </w:pBdr>
        <w:rPr>
          <w:rFonts w:eastAsia="Palatino Linotype" w:cs="Palatino Linotype"/>
          <w:b/>
          <w:color w:val="000000"/>
          <w:sz w:val="26"/>
          <w:szCs w:val="26"/>
        </w:rPr>
      </w:pPr>
      <w:r w:rsidRPr="003B7380">
        <w:rPr>
          <w:rFonts w:eastAsia="Palatino Linotype" w:cs="Palatino Linotype"/>
          <w:b/>
          <w:color w:val="000000"/>
          <w:sz w:val="26"/>
          <w:szCs w:val="26"/>
          <w:lang w:val="es-ES"/>
        </w:rPr>
        <w:t>SEXTO.</w:t>
      </w:r>
      <w:r w:rsidRPr="003B7380">
        <w:rPr>
          <w:rFonts w:eastAsia="Palatino Linotype" w:cs="Palatino Linotype"/>
          <w:color w:val="000000"/>
          <w:sz w:val="26"/>
          <w:szCs w:val="26"/>
          <w:lang w:val="es-ES"/>
        </w:rPr>
        <w:t xml:space="preserve"> </w:t>
      </w:r>
      <w:r w:rsidRPr="003B7380">
        <w:rPr>
          <w:rFonts w:eastAsia="Palatino Linotype" w:cs="Palatino Linotype"/>
          <w:b/>
          <w:color w:val="000000"/>
          <w:sz w:val="26"/>
          <w:szCs w:val="26"/>
          <w:lang w:val="es-ES"/>
        </w:rPr>
        <w:t xml:space="preserve">Del turno y admisión </w:t>
      </w:r>
      <w:r w:rsidRPr="003B7380">
        <w:rPr>
          <w:rFonts w:eastAsia="Palatino Linotype" w:cs="Palatino Linotype"/>
          <w:b/>
          <w:color w:val="000000"/>
          <w:sz w:val="26"/>
          <w:szCs w:val="26"/>
        </w:rPr>
        <w:t xml:space="preserve">del recurso de revisión </w:t>
      </w:r>
      <w:r w:rsidR="005E2B4E" w:rsidRPr="003B7380">
        <w:rPr>
          <w:b/>
          <w:bCs/>
          <w:color w:val="000000"/>
          <w:szCs w:val="24"/>
        </w:rPr>
        <w:t>16955</w:t>
      </w:r>
      <w:r w:rsidR="00C52DF3" w:rsidRPr="003B7380">
        <w:rPr>
          <w:b/>
          <w:bCs/>
          <w:color w:val="000000"/>
          <w:szCs w:val="24"/>
        </w:rPr>
        <w:t>/INFOEM/ICR-93</w:t>
      </w:r>
      <w:r w:rsidRPr="003B7380">
        <w:rPr>
          <w:b/>
          <w:bCs/>
          <w:color w:val="000000"/>
          <w:szCs w:val="24"/>
        </w:rPr>
        <w:t>/IP/RR/2022.</w:t>
      </w:r>
    </w:p>
    <w:p w14:paraId="4AEA930A"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r w:rsidRPr="003B7380">
        <w:rPr>
          <w:rFonts w:eastAsia="Palatino Linotype" w:cs="Palatino Linotype"/>
          <w:color w:val="000000"/>
          <w:szCs w:val="24"/>
        </w:rPr>
        <w:t xml:space="preserve">Medio de impugnación que le fue turnado por medio del sistema electrónico en términos del numeral 185 fracción I de la Ley de Transparencia y Acceso a la información Pública del Estado de México y Municipios al </w:t>
      </w:r>
      <w:r w:rsidRPr="003B7380">
        <w:rPr>
          <w:rFonts w:eastAsia="Palatino Linotype" w:cs="Palatino Linotype"/>
          <w:b/>
          <w:bCs/>
          <w:color w:val="000000"/>
          <w:szCs w:val="24"/>
        </w:rPr>
        <w:t>Comisionado Presidente José Martínez Vilchis</w:t>
      </w:r>
      <w:r w:rsidRPr="003B7380">
        <w:rPr>
          <w:rFonts w:eastAsia="Palatino Linotype" w:cs="Palatino Linotype"/>
          <w:color w:val="000000"/>
          <w:szCs w:val="24"/>
        </w:rPr>
        <w:t xml:space="preserve">, </w:t>
      </w:r>
      <w:r w:rsidRPr="003B7380">
        <w:rPr>
          <w:rFonts w:eastAsia="Palatino Linotype" w:cs="Palatino Linotype"/>
          <w:color w:val="000000"/>
          <w:szCs w:val="24"/>
        </w:rPr>
        <w:lastRenderedPageBreak/>
        <w:t>para su revisión y análisis sobre la admisión o desechamiento; por lo que en fecha</w:t>
      </w:r>
      <w:r w:rsidR="005E2B4E" w:rsidRPr="003B7380">
        <w:rPr>
          <w:rFonts w:eastAsia="Palatino Linotype" w:cs="Palatino Linotype"/>
          <w:color w:val="000000"/>
          <w:szCs w:val="24"/>
        </w:rPr>
        <w:t xml:space="preserve"> ocho de febrero de dos mil veintitrés</w:t>
      </w:r>
      <w:r w:rsidRPr="003B7380">
        <w:rPr>
          <w:rFonts w:eastAsia="Palatino Linotype" w:cs="Palatino Linotype"/>
          <w:color w:val="000000"/>
          <w:szCs w:val="24"/>
        </w:rPr>
        <w:t>, el recurso de revisión fue admitido en la vía interpuesta determinándose un plazo de siete días para que las partes manifestaran lo que a su derecho corresponda en términos de las fracciones I, II y III del artículo ya citado.</w:t>
      </w:r>
    </w:p>
    <w:p w14:paraId="2417C8CA"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p>
    <w:p w14:paraId="3F7EC546" w14:textId="77777777" w:rsidR="00B766A5" w:rsidRPr="003B7380" w:rsidRDefault="00B766A5" w:rsidP="00B766A5">
      <w:pPr>
        <w:pBdr>
          <w:top w:val="nil"/>
          <w:left w:val="nil"/>
          <w:bottom w:val="nil"/>
          <w:right w:val="nil"/>
          <w:between w:val="nil"/>
        </w:pBdr>
        <w:contextualSpacing/>
        <w:rPr>
          <w:rFonts w:eastAsia="Palatino Linotype" w:cs="Palatino Linotype"/>
          <w:b/>
          <w:color w:val="000000"/>
          <w:sz w:val="26"/>
          <w:szCs w:val="26"/>
          <w:lang w:val="es-ES_tradnl"/>
        </w:rPr>
      </w:pPr>
      <w:r w:rsidRPr="003B7380">
        <w:rPr>
          <w:rFonts w:eastAsia="Palatino Linotype" w:cs="Palatino Linotype"/>
          <w:b/>
          <w:color w:val="000000"/>
          <w:sz w:val="26"/>
          <w:szCs w:val="26"/>
          <w:lang w:val="es-ES_tradnl"/>
        </w:rPr>
        <w:t>SÉPTIMO. De la etapa de instrucción.</w:t>
      </w:r>
    </w:p>
    <w:p w14:paraId="460AE602" w14:textId="77777777" w:rsidR="00B8328F"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 xml:space="preserve">Una vez abierta la etapa de instrucción, se observa que el Sujeto Obligado </w:t>
      </w:r>
      <w:r w:rsidR="005B0988" w:rsidRPr="003B7380">
        <w:rPr>
          <w:rFonts w:eastAsia="Palatino Linotype" w:cs="Palatino Linotype"/>
          <w:color w:val="000000"/>
          <w:szCs w:val="24"/>
          <w:lang w:val="es-ES_tradnl"/>
        </w:rPr>
        <w:t>rindió informe justificado mediante el archivo electrónico “</w:t>
      </w:r>
      <w:r w:rsidR="005B0988" w:rsidRPr="003B7380">
        <w:rPr>
          <w:rFonts w:eastAsia="Palatino Linotype" w:cs="Palatino Linotype"/>
          <w:b/>
          <w:color w:val="000000"/>
          <w:szCs w:val="24"/>
          <w:u w:val="single"/>
          <w:lang w:val="es-ES_tradnl"/>
        </w:rPr>
        <w:t>respuesta de solicitud 1170-22.pdf</w:t>
      </w:r>
      <w:r w:rsidR="00B8328F" w:rsidRPr="003B7380">
        <w:rPr>
          <w:rFonts w:eastAsia="Palatino Linotype" w:cs="Palatino Linotype"/>
          <w:color w:val="000000"/>
          <w:szCs w:val="24"/>
          <w:lang w:val="es-ES_tradnl"/>
        </w:rPr>
        <w:t>” en los siguientes términos;</w:t>
      </w:r>
    </w:p>
    <w:p w14:paraId="6D304787" w14:textId="46DFB505" w:rsidR="00B8328F" w:rsidRPr="003B7380" w:rsidRDefault="00B8328F" w:rsidP="00B8328F">
      <w:pPr>
        <w:pStyle w:val="Prrafodelista"/>
        <w:numPr>
          <w:ilvl w:val="0"/>
          <w:numId w:val="2"/>
        </w:numPr>
        <w:pBdr>
          <w:top w:val="nil"/>
          <w:left w:val="nil"/>
          <w:bottom w:val="nil"/>
          <w:right w:val="nil"/>
          <w:between w:val="nil"/>
        </w:pBdr>
        <w:contextualSpacing/>
        <w:rPr>
          <w:rFonts w:eastAsia="Palatino Linotype" w:cs="Palatino Linotype"/>
          <w:color w:val="000000"/>
          <w:lang w:val="es-ES_tradnl"/>
        </w:rPr>
      </w:pPr>
      <w:r w:rsidRPr="003B7380">
        <w:rPr>
          <w:rFonts w:eastAsia="Palatino Linotype" w:cs="Palatino Linotype"/>
          <w:b/>
          <w:color w:val="000000"/>
          <w:u w:val="single"/>
          <w:lang w:val="es-ES_tradnl"/>
        </w:rPr>
        <w:t xml:space="preserve"> respuesta de solicitud 1170-22.pdf:</w:t>
      </w:r>
      <w:r w:rsidRPr="003B7380">
        <w:rPr>
          <w:rFonts w:eastAsia="Palatino Linotype" w:cs="Palatino Linotype"/>
          <w:b/>
          <w:color w:val="000000"/>
          <w:lang w:val="es-ES_tradnl"/>
        </w:rPr>
        <w:t xml:space="preserve"> </w:t>
      </w:r>
      <w:r w:rsidRPr="003B7380">
        <w:rPr>
          <w:rFonts w:eastAsia="Palatino Linotype" w:cs="Palatino Linotype"/>
          <w:color w:val="000000"/>
          <w:lang w:val="es-ES_tradnl"/>
        </w:rPr>
        <w:t>C</w:t>
      </w:r>
      <w:r w:rsidRPr="003B7380">
        <w:rPr>
          <w:rFonts w:eastAsia="Palatino Linotype" w:cs="Palatino Linotype"/>
        </w:rPr>
        <w:t>onstante de seis fojas, en formato PDF, que contiene dos tablas respecto a la Dirección de Medio Ambiente y el IMCUFIDEZ en el que se describen los nombres de los talleres, lugar, dia y descripción de los talleres signado por el titular de la unidad de transparencia.</w:t>
      </w:r>
    </w:p>
    <w:p w14:paraId="5217D165" w14:textId="77777777" w:rsidR="00B8328F" w:rsidRPr="003B7380" w:rsidRDefault="00B8328F" w:rsidP="00B8328F">
      <w:pPr>
        <w:pBdr>
          <w:top w:val="nil"/>
          <w:left w:val="nil"/>
          <w:bottom w:val="nil"/>
          <w:right w:val="nil"/>
          <w:between w:val="nil"/>
        </w:pBdr>
        <w:contextualSpacing/>
        <w:rPr>
          <w:rFonts w:eastAsia="Palatino Linotype" w:cs="Palatino Linotype"/>
          <w:color w:val="000000"/>
          <w:lang w:val="es-ES_tradnl"/>
        </w:rPr>
      </w:pPr>
    </w:p>
    <w:p w14:paraId="7D62EABD" w14:textId="4D4F1D2D" w:rsidR="00B766A5" w:rsidRPr="003B7380" w:rsidRDefault="00B766A5" w:rsidP="00B8328F">
      <w:pPr>
        <w:pBdr>
          <w:top w:val="nil"/>
          <w:left w:val="nil"/>
          <w:bottom w:val="nil"/>
          <w:right w:val="nil"/>
          <w:between w:val="nil"/>
        </w:pBdr>
        <w:ind w:left="360"/>
        <w:contextualSpacing/>
        <w:rPr>
          <w:rFonts w:eastAsia="Palatino Linotype" w:cs="Palatino Linotype"/>
          <w:color w:val="000000"/>
          <w:lang w:val="es-ES_tradnl"/>
        </w:rPr>
      </w:pPr>
      <w:r w:rsidRPr="003B7380">
        <w:rPr>
          <w:rFonts w:eastAsia="Palatino Linotype" w:cs="Palatino Linotype"/>
          <w:color w:val="000000"/>
          <w:lang w:val="es-ES_tradnl"/>
        </w:rPr>
        <w:t>Asimismo, el Recurrente no presentó manifestaciones, rindió alegatos ni presentó pruebas que a su derecho convinieran.</w:t>
      </w:r>
    </w:p>
    <w:p w14:paraId="56D44C78"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p>
    <w:p w14:paraId="29868285" w14:textId="77777777" w:rsidR="00B766A5" w:rsidRPr="003B7380" w:rsidRDefault="00B766A5" w:rsidP="00B766A5">
      <w:pPr>
        <w:pBdr>
          <w:top w:val="nil"/>
          <w:left w:val="nil"/>
          <w:bottom w:val="nil"/>
          <w:right w:val="nil"/>
          <w:between w:val="nil"/>
        </w:pBdr>
        <w:contextualSpacing/>
        <w:rPr>
          <w:rFonts w:eastAsia="Palatino Linotype" w:cs="Palatino Linotype"/>
          <w:b/>
          <w:color w:val="000000"/>
          <w:sz w:val="26"/>
          <w:szCs w:val="26"/>
          <w:lang w:val="es-ES_tradnl"/>
        </w:rPr>
      </w:pPr>
      <w:r w:rsidRPr="003B7380">
        <w:rPr>
          <w:rFonts w:eastAsia="Palatino Linotype" w:cs="Palatino Linotype"/>
          <w:b/>
          <w:color w:val="000000"/>
          <w:sz w:val="26"/>
          <w:szCs w:val="26"/>
          <w:lang w:val="es-ES_tradnl"/>
        </w:rPr>
        <w:t>OCTAVO. Del cierre de instrucción.</w:t>
      </w:r>
    </w:p>
    <w:p w14:paraId="2849E383"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Así, transcurrido el término legal, se decretó el cierre de instrucción en fecha</w:t>
      </w:r>
      <w:r w:rsidR="005B0988" w:rsidRPr="003B7380">
        <w:rPr>
          <w:rFonts w:eastAsia="Palatino Linotype" w:cs="Palatino Linotype"/>
          <w:color w:val="000000"/>
          <w:szCs w:val="24"/>
          <w:lang w:val="es-ES_tradnl"/>
        </w:rPr>
        <w:t xml:space="preserve"> veintiocho de marzo de dos mil veintitrés</w:t>
      </w:r>
      <w:r w:rsidRPr="003B7380">
        <w:rPr>
          <w:rFonts w:eastAsia="Palatino Linotype" w:cs="Palatino Linotype"/>
          <w:color w:val="000000"/>
          <w:szCs w:val="24"/>
          <w:lang w:val="es-ES_tradnl"/>
        </w:rPr>
        <w:t>, en términos del artículo 185 Fracción VI de la Ley de Transparencia y Acceso a la Información Pública del Estado de México y Municipios, iniciando el término legal para dictar resolución definitiva del asunto.</w:t>
      </w:r>
    </w:p>
    <w:p w14:paraId="35A9DF19"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p>
    <w:p w14:paraId="50E09900" w14:textId="77777777" w:rsidR="00B766A5" w:rsidRPr="003B7380" w:rsidRDefault="00B766A5" w:rsidP="00B766A5">
      <w:pPr>
        <w:pBdr>
          <w:top w:val="nil"/>
          <w:left w:val="nil"/>
          <w:bottom w:val="nil"/>
          <w:right w:val="nil"/>
          <w:between w:val="nil"/>
        </w:pBdr>
        <w:contextualSpacing/>
        <w:rPr>
          <w:rFonts w:eastAsia="Palatino Linotype" w:cs="Palatino Linotype"/>
          <w:b/>
          <w:color w:val="000000"/>
          <w:sz w:val="26"/>
          <w:szCs w:val="26"/>
        </w:rPr>
      </w:pPr>
      <w:r w:rsidRPr="003B7380">
        <w:rPr>
          <w:rFonts w:eastAsia="Palatino Linotype" w:cs="Palatino Linotype"/>
          <w:b/>
          <w:color w:val="000000"/>
          <w:sz w:val="26"/>
          <w:szCs w:val="26"/>
        </w:rPr>
        <w:t>NOVENO. De la ampliación del término para resolver.</w:t>
      </w:r>
    </w:p>
    <w:p w14:paraId="535A6373"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lastRenderedPageBreak/>
        <w:t xml:space="preserve">En fecha </w:t>
      </w:r>
      <w:r w:rsidR="005B0988" w:rsidRPr="003B7380">
        <w:rPr>
          <w:rFonts w:eastAsia="Palatino Linotype" w:cs="Palatino Linotype"/>
          <w:color w:val="000000"/>
          <w:szCs w:val="24"/>
          <w:lang w:val="es-ES_tradnl"/>
        </w:rPr>
        <w:t xml:space="preserve">veintisiete de abril </w:t>
      </w:r>
      <w:r w:rsidRPr="003B7380">
        <w:rPr>
          <w:rFonts w:eastAsia="Palatino Linotype" w:cs="Palatino Linotype"/>
          <w:color w:val="000000"/>
          <w:szCs w:val="24"/>
          <w:lang w:val="es-ES_tradnl"/>
        </w:rPr>
        <w:t>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4DA6136F"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p>
    <w:p w14:paraId="77446F4C"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76EBEFB"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 xml:space="preserve"> </w:t>
      </w:r>
    </w:p>
    <w:p w14:paraId="0EA16D24"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1E4BC44"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 xml:space="preserve"> </w:t>
      </w:r>
    </w:p>
    <w:p w14:paraId="1F1773C4"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1C0F1BB"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 xml:space="preserve"> </w:t>
      </w:r>
    </w:p>
    <w:p w14:paraId="4206705F"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C11B366"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 xml:space="preserve"> </w:t>
      </w:r>
    </w:p>
    <w:p w14:paraId="1E1BFD17"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 xml:space="preserve">Por ello, excepcionalmente, si un asunto es resuelto con posterioridad a los plazos señalados por la norma debe analizarse la razonabilidad del tiempo necesario para su resolución, atentos a los siguientes criterios:  </w:t>
      </w:r>
    </w:p>
    <w:p w14:paraId="32C91534"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p>
    <w:p w14:paraId="673F280E"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a)</w:t>
      </w:r>
      <w:r w:rsidRPr="003B7380">
        <w:rPr>
          <w:rFonts w:eastAsia="Palatino Linotype" w:cs="Palatino Linotype"/>
          <w:color w:val="000000"/>
          <w:szCs w:val="24"/>
          <w:lang w:val="es-ES_tradnl"/>
        </w:rPr>
        <w:tab/>
        <w:t>Complejidad del asunto: La complejidad de la prueba, la pluralidad de sujetos procesales, el tiempo transcurrido, las características y contexto del recurso.</w:t>
      </w:r>
    </w:p>
    <w:p w14:paraId="7CF09BD1"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b)</w:t>
      </w:r>
      <w:r w:rsidRPr="003B7380">
        <w:rPr>
          <w:rFonts w:eastAsia="Palatino Linotype" w:cs="Palatino Linotype"/>
          <w:color w:val="000000"/>
          <w:szCs w:val="24"/>
          <w:lang w:val="es-ES_tradnl"/>
        </w:rPr>
        <w:tab/>
        <w:t>Actividad Procesal del interesado: Acciones u omisiones del interesado.</w:t>
      </w:r>
    </w:p>
    <w:p w14:paraId="35968EFF"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c)</w:t>
      </w:r>
      <w:r w:rsidRPr="003B7380">
        <w:rPr>
          <w:rFonts w:eastAsia="Palatino Linotype" w:cs="Palatino Linotype"/>
          <w:color w:val="000000"/>
          <w:szCs w:val="24"/>
          <w:lang w:val="es-ES_tradnl"/>
        </w:rPr>
        <w:tab/>
        <w:t>Conducta de la Autoridad: Las Acciones u omisiones realizadas en el procedimiento. Así como si la autoridad actuó con la debida diligencia.</w:t>
      </w:r>
    </w:p>
    <w:p w14:paraId="6BF8A008"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d)</w:t>
      </w:r>
      <w:r w:rsidRPr="003B7380">
        <w:rPr>
          <w:rFonts w:eastAsia="Palatino Linotype" w:cs="Palatino Linotype"/>
          <w:color w:val="000000"/>
          <w:szCs w:val="24"/>
          <w:lang w:val="es-ES_tradnl"/>
        </w:rPr>
        <w:tab/>
        <w:t>La afectación generada en la situación jurídica de la persona involucrada en el proceso: Violación a sus derechos humanos.</w:t>
      </w:r>
    </w:p>
    <w:p w14:paraId="3C20331D"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p>
    <w:p w14:paraId="3A55C211"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02DA8D"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p>
    <w:p w14:paraId="1386F492"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B6131FF"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p>
    <w:p w14:paraId="1AC7DCE1"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00716408"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p>
    <w:p w14:paraId="1917348A"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“PLAZO RAZONABLE PARA RESOLVER. DIMENSIÓN Y EFECTOS DE ESTE CONCEPTO CUANDO SE ADUCE EXCESIVA CARGA DE TRABAJO.” consultable en el Seminario Judicial de la Federación y su gaceta, con el registro digital 2002351.</w:t>
      </w:r>
    </w:p>
    <w:p w14:paraId="2A475D5D"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p>
    <w:p w14:paraId="0ED585DA"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lastRenderedPageBreak/>
        <w:t>“PLAZO RAZONABLE PARA RESOLVER. CONCEPTO Y ELEMENTOS QUE LO INTEGRAN A LA LUZ DEL DERECHO INTERNACIONAL DE LOS DERECHOS HUMANOS.”, visible en el Seminario Judicial de la Federación y su gaceta, con el registro digital 2002350.</w:t>
      </w:r>
    </w:p>
    <w:p w14:paraId="307CBBD9"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p>
    <w:p w14:paraId="3C3F4624" w14:textId="77777777" w:rsidR="00B766A5" w:rsidRPr="003B7380" w:rsidRDefault="00B766A5" w:rsidP="00B766A5">
      <w:pPr>
        <w:pBdr>
          <w:top w:val="nil"/>
          <w:left w:val="nil"/>
          <w:bottom w:val="nil"/>
          <w:right w:val="nil"/>
          <w:between w:val="nil"/>
        </w:pBdr>
        <w:contextualSpacing/>
        <w:rPr>
          <w:rFonts w:eastAsia="Palatino Linotype" w:cs="Palatino Linotype"/>
          <w:color w:val="000000"/>
          <w:szCs w:val="24"/>
          <w:lang w:val="es-ES_tradnl"/>
        </w:rPr>
      </w:pPr>
      <w:r w:rsidRPr="003B7380">
        <w:rPr>
          <w:rFonts w:eastAsia="Palatino Linotype" w:cs="Palatino Linotype"/>
          <w:color w:val="000000"/>
          <w:szCs w:val="24"/>
          <w:lang w:val="es-ES_tradnl"/>
        </w:rPr>
        <w:t>Por ello, este organismo garante comprometido con la tutela de los derechos humanos confiados señala que este exceso del plazo legal para resolver el presente asunto resulta de carácter excepcional.</w:t>
      </w:r>
    </w:p>
    <w:p w14:paraId="6272AE27" w14:textId="77777777" w:rsidR="00B766A5" w:rsidRPr="003B7380" w:rsidRDefault="00B766A5" w:rsidP="00B766A5">
      <w:pPr>
        <w:pBdr>
          <w:top w:val="nil"/>
          <w:left w:val="nil"/>
          <w:bottom w:val="nil"/>
          <w:right w:val="nil"/>
          <w:between w:val="nil"/>
        </w:pBdr>
        <w:rPr>
          <w:rFonts w:eastAsia="Palatino Linotype" w:cs="Palatino Linotype"/>
          <w:color w:val="000000"/>
          <w:szCs w:val="24"/>
          <w:lang w:val="es-ES_tradnl"/>
        </w:rPr>
      </w:pPr>
    </w:p>
    <w:p w14:paraId="648FF2DF" w14:textId="77777777" w:rsidR="00B766A5" w:rsidRPr="003B7380" w:rsidRDefault="00B766A5" w:rsidP="00B766A5">
      <w:pPr>
        <w:pBdr>
          <w:top w:val="nil"/>
          <w:left w:val="nil"/>
          <w:bottom w:val="nil"/>
          <w:right w:val="nil"/>
          <w:between w:val="nil"/>
        </w:pBdr>
        <w:jc w:val="center"/>
        <w:rPr>
          <w:rFonts w:eastAsia="Palatino Linotype" w:cs="Palatino Linotype"/>
          <w:b/>
          <w:color w:val="000000"/>
          <w:sz w:val="28"/>
          <w:szCs w:val="28"/>
        </w:rPr>
      </w:pPr>
      <w:r w:rsidRPr="003B7380">
        <w:rPr>
          <w:rFonts w:eastAsia="Palatino Linotype" w:cs="Palatino Linotype"/>
          <w:b/>
          <w:color w:val="000000"/>
          <w:sz w:val="28"/>
          <w:szCs w:val="28"/>
        </w:rPr>
        <w:t>C O N S I D E R A N D O</w:t>
      </w:r>
    </w:p>
    <w:p w14:paraId="016533A6"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p>
    <w:p w14:paraId="227B2A98" w14:textId="77777777" w:rsidR="00B766A5" w:rsidRPr="003B7380" w:rsidRDefault="00B766A5" w:rsidP="00B766A5">
      <w:pPr>
        <w:pBdr>
          <w:top w:val="nil"/>
          <w:left w:val="nil"/>
          <w:bottom w:val="nil"/>
          <w:right w:val="nil"/>
          <w:between w:val="nil"/>
        </w:pBdr>
        <w:rPr>
          <w:rFonts w:eastAsia="Palatino Linotype" w:cs="Palatino Linotype"/>
          <w:b/>
          <w:color w:val="000000"/>
          <w:sz w:val="26"/>
          <w:szCs w:val="26"/>
        </w:rPr>
      </w:pPr>
      <w:r w:rsidRPr="003B7380">
        <w:rPr>
          <w:rFonts w:eastAsia="Palatino Linotype" w:cs="Palatino Linotype"/>
          <w:b/>
          <w:color w:val="000000"/>
          <w:sz w:val="26"/>
          <w:szCs w:val="26"/>
        </w:rPr>
        <w:t>PRIMERO. De la competencia.</w:t>
      </w:r>
    </w:p>
    <w:p w14:paraId="6A1DC10A"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r w:rsidRPr="003B7380">
        <w:rPr>
          <w:rFonts w:eastAsia="Palatino Linotype" w:cs="Palatino Linotype"/>
          <w:color w:val="000000"/>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w:t>
      </w:r>
      <w:r w:rsidR="00857197" w:rsidRPr="003B7380">
        <w:rPr>
          <w:rFonts w:eastAsia="Palatino Linotype" w:cs="Palatino Linotype"/>
          <w:color w:val="000000"/>
          <w:szCs w:val="24"/>
        </w:rPr>
        <w:t>fos trigésimo segundo</w:t>
      </w:r>
      <w:r w:rsidRPr="003B7380">
        <w:rPr>
          <w:rFonts w:eastAsia="Palatino Linotype" w:cs="Palatino Linotype"/>
          <w:color w:val="000000"/>
          <w:szCs w:val="24"/>
        </w:rPr>
        <w:t xml:space="preserve">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2838E57" w14:textId="77777777" w:rsidR="00B766A5" w:rsidRPr="003B7380" w:rsidRDefault="00B766A5" w:rsidP="00B766A5">
      <w:pPr>
        <w:pBdr>
          <w:top w:val="nil"/>
          <w:left w:val="nil"/>
          <w:bottom w:val="nil"/>
          <w:right w:val="nil"/>
          <w:between w:val="nil"/>
        </w:pBdr>
        <w:rPr>
          <w:rFonts w:eastAsia="Palatino Linotype" w:cs="Palatino Linotype"/>
          <w:color w:val="000000"/>
          <w:sz w:val="20"/>
          <w:szCs w:val="20"/>
        </w:rPr>
      </w:pPr>
    </w:p>
    <w:p w14:paraId="5BF85866" w14:textId="77777777" w:rsidR="00B766A5" w:rsidRPr="003B7380" w:rsidRDefault="00B766A5" w:rsidP="00B766A5">
      <w:pPr>
        <w:pBdr>
          <w:top w:val="nil"/>
          <w:left w:val="nil"/>
          <w:bottom w:val="nil"/>
          <w:right w:val="nil"/>
          <w:between w:val="nil"/>
        </w:pBdr>
        <w:rPr>
          <w:rFonts w:eastAsia="Palatino Linotype" w:cs="Palatino Linotype"/>
          <w:b/>
          <w:color w:val="000000"/>
          <w:sz w:val="26"/>
          <w:szCs w:val="26"/>
        </w:rPr>
      </w:pPr>
      <w:r w:rsidRPr="003B7380">
        <w:rPr>
          <w:rFonts w:eastAsia="Palatino Linotype" w:cs="Palatino Linotype"/>
          <w:b/>
          <w:color w:val="000000"/>
          <w:sz w:val="26"/>
          <w:szCs w:val="26"/>
        </w:rPr>
        <w:t xml:space="preserve">SEGUNDO. Sobre los alcances del recurso de revisión. </w:t>
      </w:r>
    </w:p>
    <w:p w14:paraId="6164351E"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r w:rsidRPr="003B7380">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C56A799" w14:textId="77777777" w:rsidR="00B766A5" w:rsidRPr="003B7380" w:rsidRDefault="00B766A5" w:rsidP="00B766A5">
      <w:pPr>
        <w:pBdr>
          <w:top w:val="nil"/>
          <w:left w:val="nil"/>
          <w:bottom w:val="nil"/>
          <w:right w:val="nil"/>
          <w:between w:val="nil"/>
        </w:pBdr>
        <w:rPr>
          <w:rFonts w:eastAsia="Palatino Linotype" w:cs="Palatino Linotype"/>
          <w:color w:val="000000"/>
          <w:szCs w:val="24"/>
        </w:rPr>
      </w:pPr>
    </w:p>
    <w:p w14:paraId="03688169" w14:textId="77777777" w:rsidR="005B0988" w:rsidRPr="003B7380" w:rsidRDefault="00B766A5" w:rsidP="00B766A5">
      <w:pPr>
        <w:pBdr>
          <w:top w:val="nil"/>
          <w:left w:val="nil"/>
          <w:bottom w:val="nil"/>
          <w:right w:val="nil"/>
          <w:between w:val="nil"/>
        </w:pBdr>
        <w:rPr>
          <w:rFonts w:eastAsia="Palatino Linotype" w:cs="Palatino Linotype"/>
          <w:b/>
          <w:color w:val="000000"/>
          <w:sz w:val="26"/>
          <w:szCs w:val="26"/>
        </w:rPr>
      </w:pPr>
      <w:r w:rsidRPr="003B7380">
        <w:rPr>
          <w:rFonts w:eastAsia="Palatino Linotype" w:cs="Palatino Linotype"/>
          <w:b/>
          <w:color w:val="000000"/>
          <w:sz w:val="26"/>
          <w:szCs w:val="26"/>
        </w:rPr>
        <w:t xml:space="preserve">TERCERO. </w:t>
      </w:r>
      <w:r w:rsidR="005B0988" w:rsidRPr="003B7380">
        <w:rPr>
          <w:rFonts w:eastAsia="Palatino Linotype" w:cs="Palatino Linotype"/>
          <w:b/>
          <w:color w:val="000000"/>
          <w:sz w:val="26"/>
          <w:szCs w:val="26"/>
        </w:rPr>
        <w:t>Cuestiones de previo y especial pronunciamiento</w:t>
      </w:r>
    </w:p>
    <w:p w14:paraId="5B39510A" w14:textId="77777777" w:rsidR="005B0988" w:rsidRPr="003B7380" w:rsidRDefault="005B0988" w:rsidP="00B766A5">
      <w:pPr>
        <w:pBdr>
          <w:top w:val="nil"/>
          <w:left w:val="nil"/>
          <w:bottom w:val="nil"/>
          <w:right w:val="nil"/>
          <w:between w:val="nil"/>
        </w:pBdr>
        <w:rPr>
          <w:rFonts w:eastAsia="Palatino Linotype" w:cs="Palatino Linotype"/>
          <w:b/>
          <w:color w:val="000000"/>
          <w:sz w:val="26"/>
          <w:szCs w:val="26"/>
        </w:rPr>
      </w:pPr>
    </w:p>
    <w:p w14:paraId="40E6D9CE" w14:textId="77777777" w:rsidR="005B0988" w:rsidRPr="003B7380" w:rsidRDefault="005B0988" w:rsidP="005B0988">
      <w:pPr>
        <w:rPr>
          <w:rFonts w:eastAsia="Times New Roman" w:cs="Times New Roman"/>
          <w:szCs w:val="24"/>
          <w:lang w:eastAsia="es-ES"/>
        </w:rPr>
      </w:pPr>
      <w:r w:rsidRPr="003B7380">
        <w:rPr>
          <w:rFonts w:eastAsia="Times New Roman" w:cs="Times New Roman"/>
          <w:szCs w:val="24"/>
          <w:lang w:eastAsia="es-ES"/>
        </w:rPr>
        <w:t xml:space="preserve">El recurso de revisión en estudio contiene los elementos normativos de validez exigidos en la Ley de Transparencia y </w:t>
      </w:r>
      <w:r w:rsidRPr="003B7380">
        <w:rPr>
          <w:rFonts w:eastAsia="Times New Roman" w:cs="Times New Roman"/>
          <w:szCs w:val="24"/>
          <w:lang w:val="es-ES_tradnl" w:eastAsia="es-ES"/>
        </w:rPr>
        <w:t>Acceso a la Información Pública del Estado de México y Municipios</w:t>
      </w:r>
      <w:r w:rsidRPr="003B7380">
        <w:rPr>
          <w:rFonts w:eastAsia="Times New Roman" w:cs="Times New Roman"/>
          <w:szCs w:val="24"/>
          <w:lang w:eastAsia="es-ES"/>
        </w:rPr>
        <w:t>, establecidos en el artículo 180 que enuncia:</w:t>
      </w:r>
    </w:p>
    <w:p w14:paraId="733E8043" w14:textId="77777777" w:rsidR="005B0988" w:rsidRPr="003B7380" w:rsidRDefault="005B0988" w:rsidP="005B0988">
      <w:pPr>
        <w:rPr>
          <w:rFonts w:eastAsia="Times New Roman" w:cs="Times New Roman"/>
          <w:szCs w:val="24"/>
          <w:lang w:eastAsia="es-ES"/>
        </w:rPr>
      </w:pPr>
    </w:p>
    <w:p w14:paraId="3FCB6EAB" w14:textId="77777777" w:rsidR="005B0988" w:rsidRPr="003B7380" w:rsidRDefault="005B0988" w:rsidP="005B0988">
      <w:pPr>
        <w:ind w:left="851" w:right="851"/>
        <w:rPr>
          <w:rFonts w:eastAsia="Times New Roman" w:cs="Arial"/>
          <w:i/>
          <w:sz w:val="22"/>
          <w:lang w:eastAsia="es-ES"/>
        </w:rPr>
      </w:pPr>
      <w:r w:rsidRPr="003B7380">
        <w:rPr>
          <w:rFonts w:eastAsia="Times New Roman" w:cs="Arial"/>
          <w:b/>
          <w:i/>
          <w:lang w:eastAsia="es-ES"/>
        </w:rPr>
        <w:t xml:space="preserve">“Artículo 180. </w:t>
      </w:r>
      <w:r w:rsidRPr="003B7380">
        <w:rPr>
          <w:rFonts w:eastAsia="Times New Roman" w:cs="Arial"/>
          <w:i/>
          <w:lang w:eastAsia="es-ES"/>
        </w:rPr>
        <w:t>El recurso de revisión contendrá:</w:t>
      </w:r>
    </w:p>
    <w:p w14:paraId="7A617859" w14:textId="77777777" w:rsidR="005B0988" w:rsidRPr="003B7380" w:rsidRDefault="005B0988" w:rsidP="005B0988">
      <w:pPr>
        <w:ind w:left="851" w:right="851"/>
        <w:rPr>
          <w:rFonts w:eastAsia="Times New Roman" w:cs="Arial"/>
          <w:i/>
          <w:sz w:val="22"/>
          <w:lang w:eastAsia="es-ES"/>
        </w:rPr>
      </w:pPr>
      <w:r w:rsidRPr="003B7380">
        <w:rPr>
          <w:rFonts w:eastAsia="Times New Roman" w:cs="Arial"/>
          <w:i/>
          <w:lang w:eastAsia="es-ES"/>
        </w:rPr>
        <w:t>I. El sujeto obligado ante la cual se presentó la solicitud;</w:t>
      </w:r>
    </w:p>
    <w:p w14:paraId="0852F38F" w14:textId="77777777" w:rsidR="005B0988" w:rsidRPr="003B7380" w:rsidRDefault="005B0988" w:rsidP="005B0988">
      <w:pPr>
        <w:ind w:left="851" w:right="851"/>
        <w:rPr>
          <w:rFonts w:eastAsia="Times New Roman" w:cs="Arial"/>
          <w:i/>
          <w:lang w:eastAsia="es-ES"/>
        </w:rPr>
      </w:pPr>
      <w:r w:rsidRPr="003B7380">
        <w:rPr>
          <w:rFonts w:eastAsia="Times New Roman" w:cs="Arial"/>
          <w:b/>
          <w:i/>
          <w:u w:val="single"/>
          <w:lang w:eastAsia="es-ES"/>
        </w:rPr>
        <w:t>II. El nombre del solicitante que recurre</w:t>
      </w:r>
      <w:r w:rsidRPr="003B7380">
        <w:rPr>
          <w:rFonts w:eastAsia="Times New Roman" w:cs="Arial"/>
          <w:i/>
          <w:lang w:eastAsia="es-ES"/>
        </w:rPr>
        <w:t xml:space="preserve"> o de su representante y, en su caso, del tercero interesado, así como la dirección o medio que señale para recibir notificaciones;</w:t>
      </w:r>
    </w:p>
    <w:p w14:paraId="715666EC" w14:textId="77777777" w:rsidR="005B0988" w:rsidRPr="003B7380" w:rsidRDefault="005B0988" w:rsidP="005B0988">
      <w:pPr>
        <w:ind w:left="851" w:right="851"/>
        <w:rPr>
          <w:rFonts w:eastAsia="Times New Roman" w:cs="Arial"/>
          <w:i/>
          <w:lang w:eastAsia="es-ES"/>
        </w:rPr>
      </w:pPr>
      <w:r w:rsidRPr="003B7380">
        <w:rPr>
          <w:rFonts w:eastAsia="Times New Roman" w:cs="Arial"/>
          <w:i/>
          <w:lang w:eastAsia="es-ES"/>
        </w:rPr>
        <w:t>III. El número de folio de respuesta de la solicitud de acceso;</w:t>
      </w:r>
    </w:p>
    <w:p w14:paraId="1AB771DC" w14:textId="77777777" w:rsidR="005B0988" w:rsidRPr="003B7380" w:rsidRDefault="005B0988" w:rsidP="005B0988">
      <w:pPr>
        <w:ind w:left="851" w:right="851"/>
        <w:rPr>
          <w:rFonts w:eastAsia="Times New Roman" w:cs="Arial"/>
          <w:i/>
          <w:lang w:eastAsia="es-ES"/>
        </w:rPr>
      </w:pPr>
      <w:r w:rsidRPr="003B7380">
        <w:rPr>
          <w:rFonts w:eastAsia="Times New Roman" w:cs="Arial"/>
          <w:i/>
          <w:lang w:eastAsia="es-ES"/>
        </w:rPr>
        <w:t>IV. La fecha en que fue notificada la respuesta al solicitante o tuvo conocimiento del acto reclamado, o de presentación de la solicitud, en caso de falta de respuesta;</w:t>
      </w:r>
    </w:p>
    <w:p w14:paraId="0A97BDCC" w14:textId="77777777" w:rsidR="005B0988" w:rsidRPr="003B7380" w:rsidRDefault="005B0988" w:rsidP="005B0988">
      <w:pPr>
        <w:ind w:left="851" w:right="851"/>
        <w:rPr>
          <w:rFonts w:eastAsia="Times New Roman" w:cs="Arial"/>
          <w:i/>
          <w:lang w:eastAsia="es-ES"/>
        </w:rPr>
      </w:pPr>
      <w:r w:rsidRPr="003B7380">
        <w:rPr>
          <w:rFonts w:eastAsia="Times New Roman" w:cs="Arial"/>
          <w:i/>
          <w:lang w:eastAsia="es-ES"/>
        </w:rPr>
        <w:t>V. El acto que se recurre;</w:t>
      </w:r>
    </w:p>
    <w:p w14:paraId="7A58E969" w14:textId="77777777" w:rsidR="005B0988" w:rsidRPr="003B7380" w:rsidRDefault="005B0988" w:rsidP="005B0988">
      <w:pPr>
        <w:ind w:left="851" w:right="851"/>
        <w:rPr>
          <w:rFonts w:eastAsia="Times New Roman" w:cs="Arial"/>
          <w:i/>
          <w:lang w:eastAsia="es-ES"/>
        </w:rPr>
      </w:pPr>
      <w:r w:rsidRPr="003B7380">
        <w:rPr>
          <w:rFonts w:eastAsia="Times New Roman" w:cs="Arial"/>
          <w:i/>
          <w:lang w:eastAsia="es-ES"/>
        </w:rPr>
        <w:t>VI. Las razones o motivos de inconformidad;</w:t>
      </w:r>
    </w:p>
    <w:p w14:paraId="3FFF6B16" w14:textId="77777777" w:rsidR="005B0988" w:rsidRPr="003B7380" w:rsidRDefault="005B0988" w:rsidP="005B0988">
      <w:pPr>
        <w:ind w:left="851" w:right="851"/>
        <w:rPr>
          <w:rFonts w:eastAsia="Times New Roman" w:cs="Arial"/>
          <w:i/>
          <w:lang w:eastAsia="es-ES"/>
        </w:rPr>
      </w:pPr>
      <w:r w:rsidRPr="003B7380">
        <w:rPr>
          <w:rFonts w:eastAsia="Times New Roman" w:cs="Arial"/>
          <w:i/>
          <w:lang w:eastAsia="es-ES"/>
        </w:rPr>
        <w:t>VII. La copia de la respuesta que se impugna y, en su caso, de la notificación correspondiente, en el caso de respuesta de la solicitud; y</w:t>
      </w:r>
    </w:p>
    <w:p w14:paraId="44BC1444" w14:textId="77777777" w:rsidR="005B0988" w:rsidRPr="003B7380" w:rsidRDefault="005B0988" w:rsidP="005B0988">
      <w:pPr>
        <w:ind w:left="851" w:right="851"/>
        <w:rPr>
          <w:rFonts w:eastAsia="Times New Roman" w:cs="Arial"/>
          <w:i/>
          <w:lang w:eastAsia="es-ES"/>
        </w:rPr>
      </w:pPr>
      <w:r w:rsidRPr="003B7380">
        <w:rPr>
          <w:rFonts w:eastAsia="Times New Roman" w:cs="Arial"/>
          <w:i/>
          <w:lang w:eastAsia="es-ES"/>
        </w:rPr>
        <w:t>VIII. Firma del recurrente, en su caso, cuando se presente por escrito, requisito sin el cual se dará trámite al recurso.</w:t>
      </w:r>
    </w:p>
    <w:p w14:paraId="7E625668" w14:textId="77777777" w:rsidR="005B0988" w:rsidRPr="003B7380" w:rsidRDefault="005B0988" w:rsidP="005B0988">
      <w:pPr>
        <w:ind w:left="851" w:right="851"/>
        <w:rPr>
          <w:rFonts w:eastAsia="Times New Roman" w:cs="Arial"/>
          <w:i/>
          <w:sz w:val="22"/>
          <w:lang w:eastAsia="es-ES"/>
        </w:rPr>
      </w:pPr>
      <w:r w:rsidRPr="003B7380">
        <w:rPr>
          <w:rFonts w:eastAsia="Times New Roman" w:cs="Arial"/>
          <w:i/>
          <w:lang w:eastAsia="es-ES"/>
        </w:rPr>
        <w:t>Adicionalmente, se podrán anexar las pruebas y demás elementos que considere procedentes someter a juicio del Instituto.</w:t>
      </w:r>
    </w:p>
    <w:p w14:paraId="1D99CE97" w14:textId="77777777" w:rsidR="005B0988" w:rsidRPr="003B7380" w:rsidRDefault="005B0988" w:rsidP="005B0988">
      <w:pPr>
        <w:ind w:left="851" w:right="851"/>
        <w:rPr>
          <w:rFonts w:eastAsia="Times New Roman" w:cs="Arial"/>
          <w:i/>
          <w:lang w:eastAsia="es-ES"/>
        </w:rPr>
      </w:pPr>
      <w:r w:rsidRPr="003B7380">
        <w:rPr>
          <w:rFonts w:eastAsia="Times New Roman" w:cs="Arial"/>
          <w:i/>
          <w:lang w:eastAsia="es-ES"/>
        </w:rPr>
        <w:t>En ningún caso será necesario que el particular ratifique el recurso de revisión interpuesto.</w:t>
      </w:r>
    </w:p>
    <w:p w14:paraId="3097459B" w14:textId="77777777" w:rsidR="005B0988" w:rsidRPr="003B7380" w:rsidRDefault="005B0988" w:rsidP="005B0988">
      <w:pPr>
        <w:ind w:left="851" w:right="851"/>
        <w:rPr>
          <w:rFonts w:eastAsia="Times New Roman" w:cs="Arial"/>
          <w:i/>
          <w:szCs w:val="24"/>
          <w:lang w:eastAsia="es-ES"/>
        </w:rPr>
      </w:pPr>
      <w:r w:rsidRPr="003B7380">
        <w:rPr>
          <w:rFonts w:eastAsia="Times New Roman" w:cs="Arial"/>
          <w:b/>
          <w:i/>
          <w:u w:val="single"/>
          <w:lang w:eastAsia="es-ES"/>
        </w:rPr>
        <w:t>En caso de que el recurso se interponga de manera electrónica no será indispensable que contengan los requisitos establecidos en las fracciones II, IV, VII y VIII.”</w:t>
      </w:r>
      <w:r w:rsidRPr="003B7380">
        <w:rPr>
          <w:rFonts w:eastAsia="Times New Roman" w:cs="Arial"/>
          <w:b/>
          <w:i/>
          <w:lang w:eastAsia="es-ES"/>
        </w:rPr>
        <w:t xml:space="preserve"> [Sic] </w:t>
      </w:r>
    </w:p>
    <w:p w14:paraId="3656217A" w14:textId="77777777" w:rsidR="005B0988" w:rsidRPr="003B7380" w:rsidRDefault="005B0988" w:rsidP="005B0988">
      <w:pPr>
        <w:rPr>
          <w:rFonts w:eastAsia="Times New Roman" w:cs="Arial"/>
          <w:b/>
          <w:i/>
          <w:szCs w:val="24"/>
          <w:lang w:eastAsia="es-ES"/>
        </w:rPr>
      </w:pPr>
    </w:p>
    <w:p w14:paraId="214F1AD1" w14:textId="77777777" w:rsidR="005B0988" w:rsidRPr="003B7380" w:rsidRDefault="005B0988" w:rsidP="005B0988">
      <w:pPr>
        <w:rPr>
          <w:rFonts w:eastAsiaTheme="minorHAnsi" w:cs="Arial"/>
          <w:szCs w:val="24"/>
          <w:lang w:val="es-ES" w:eastAsia="es-ES"/>
        </w:rPr>
      </w:pPr>
      <w:r w:rsidRPr="003B7380">
        <w:rPr>
          <w:rFonts w:cs="Segoe UI"/>
          <w:szCs w:val="24"/>
          <w:lang w:val="es-ES" w:eastAsia="es-ES"/>
        </w:rPr>
        <w:t xml:space="preserve">Cabe señalar que </w:t>
      </w:r>
      <w:r w:rsidRPr="003B7380">
        <w:rPr>
          <w:rFonts w:cs="Segoe UI"/>
          <w:b/>
          <w:szCs w:val="24"/>
          <w:lang w:val="es-ES" w:eastAsia="es-ES"/>
        </w:rPr>
        <w:t>El Recurrente</w:t>
      </w:r>
      <w:r w:rsidRPr="003B7380">
        <w:rPr>
          <w:rFonts w:cs="Segoe UI"/>
          <w:szCs w:val="24"/>
          <w:lang w:val="es-ES" w:eastAsia="es-ES"/>
        </w:rPr>
        <w:t xml:space="preserve"> ejerció de manera anónima su derecho de acceso a la información pública</w:t>
      </w:r>
      <w:r w:rsidRPr="003B7380">
        <w:rPr>
          <w:rFonts w:cs="Times New Roman"/>
          <w:szCs w:val="24"/>
          <w:lang w:val="es-ES" w:eastAsia="es-ES"/>
        </w:rPr>
        <w:t xml:space="preserve">, sin embargo, no es motivo para desechar las </w:t>
      </w:r>
      <w:r w:rsidRPr="003B7380">
        <w:rPr>
          <w:rFonts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2C48111" w14:textId="77777777" w:rsidR="005B0988" w:rsidRPr="003B7380" w:rsidRDefault="005B0988" w:rsidP="005B0988">
      <w:pPr>
        <w:rPr>
          <w:rFonts w:cs="Arial"/>
          <w:szCs w:val="24"/>
          <w:lang w:val="es-ES" w:eastAsia="es-ES"/>
        </w:rPr>
      </w:pPr>
    </w:p>
    <w:p w14:paraId="77984B67" w14:textId="77777777" w:rsidR="005B0988" w:rsidRPr="003B7380" w:rsidRDefault="005B0988" w:rsidP="005B0988">
      <w:pPr>
        <w:ind w:left="851" w:right="851"/>
        <w:rPr>
          <w:rFonts w:cs="Arial"/>
          <w:b/>
          <w:i/>
          <w:sz w:val="22"/>
          <w:lang w:val="es-ES" w:eastAsia="es-ES"/>
        </w:rPr>
      </w:pPr>
      <w:r w:rsidRPr="003B7380">
        <w:rPr>
          <w:rFonts w:cs="Arial"/>
          <w:i/>
          <w:lang w:val="es-ES" w:eastAsia="es-ES"/>
        </w:rPr>
        <w:t>“</w:t>
      </w:r>
      <w:r w:rsidRPr="003B7380">
        <w:rPr>
          <w:rFonts w:cs="Arial"/>
          <w:b/>
          <w:i/>
          <w:lang w:val="es-ES" w:eastAsia="es-ES"/>
        </w:rPr>
        <w:t>Artículo 155. (…)</w:t>
      </w:r>
    </w:p>
    <w:p w14:paraId="2891B3B8" w14:textId="77777777" w:rsidR="005B0988" w:rsidRPr="003B7380" w:rsidRDefault="005B0988" w:rsidP="005B0988">
      <w:pPr>
        <w:ind w:left="851" w:right="851"/>
        <w:rPr>
          <w:rFonts w:cs="Arial"/>
          <w:b/>
          <w:i/>
          <w:lang w:val="es-ES" w:eastAsia="es-ES"/>
        </w:rPr>
      </w:pPr>
      <w:r w:rsidRPr="003B7380">
        <w:rPr>
          <w:rFonts w:cs="Arial"/>
          <w:i/>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3B7380">
        <w:rPr>
          <w:rFonts w:cs="Arial"/>
          <w:b/>
          <w:i/>
          <w:lang w:val="es-ES" w:eastAsia="es-ES"/>
        </w:rPr>
        <w:t>[Sic]</w:t>
      </w:r>
    </w:p>
    <w:p w14:paraId="78A852B6" w14:textId="77777777" w:rsidR="005B0988" w:rsidRPr="003B7380" w:rsidRDefault="005B0988" w:rsidP="005B0988">
      <w:pPr>
        <w:ind w:left="851" w:right="851"/>
        <w:rPr>
          <w:rFonts w:cs="Arial"/>
          <w:b/>
          <w:i/>
          <w:lang w:val="es-ES" w:eastAsia="es-ES"/>
        </w:rPr>
      </w:pPr>
    </w:p>
    <w:p w14:paraId="6C7A0B26" w14:textId="77777777" w:rsidR="005B0988" w:rsidRPr="003B7380" w:rsidRDefault="005B0988" w:rsidP="005B0988">
      <w:pPr>
        <w:rPr>
          <w:rFonts w:cs="Times New Roman"/>
          <w:szCs w:val="24"/>
          <w:lang w:val="es-ES" w:eastAsia="es-ES"/>
        </w:rPr>
      </w:pPr>
      <w:r w:rsidRPr="003B7380">
        <w:rPr>
          <w:rFonts w:cs="Times New Roman"/>
          <w:szCs w:val="24"/>
          <w:lang w:val="es-ES" w:eastAsia="es-ES"/>
        </w:rPr>
        <w:t xml:space="preserve">Robusteciendo lo anterior se encuentra lo dispuesto en los artículos 6, Apartado A, fracciones III y IV de la Constitución Política de los Estados Unidos Mexicanos y 5 párrafos </w:t>
      </w:r>
      <w:r w:rsidRPr="003B7380">
        <w:rPr>
          <w:rFonts w:cs="Arial"/>
          <w:szCs w:val="24"/>
          <w:lang w:val="es-ES" w:eastAsia="es-ES"/>
        </w:rPr>
        <w:t>vigésimo, vigésimo primero</w:t>
      </w:r>
      <w:r w:rsidRPr="003B7380">
        <w:rPr>
          <w:rFonts w:eastAsia="Times New Roman" w:cs="Arial"/>
          <w:szCs w:val="24"/>
          <w:lang w:eastAsia="es-ES"/>
        </w:rPr>
        <w:t xml:space="preserve"> y vigésimo segundo</w:t>
      </w:r>
      <w:r w:rsidRPr="003B7380">
        <w:rPr>
          <w:rFonts w:cs="Times New Roman"/>
          <w:szCs w:val="24"/>
          <w:lang w:val="es-ES" w:eastAsia="es-ES"/>
        </w:rPr>
        <w:t>, de la Constitución Política del Estado Libre y Soberano de México, se establece lo siguiente:</w:t>
      </w:r>
    </w:p>
    <w:p w14:paraId="210A9489" w14:textId="77777777" w:rsidR="005B0988" w:rsidRPr="003B7380" w:rsidRDefault="005B0988" w:rsidP="005B0988">
      <w:pPr>
        <w:ind w:left="851" w:right="851"/>
        <w:jc w:val="center"/>
        <w:rPr>
          <w:rFonts w:eastAsia="Times New Roman" w:cs="Times New Roman"/>
          <w:b/>
          <w:i/>
          <w:sz w:val="22"/>
          <w:u w:val="single"/>
          <w:lang w:val="es-ES" w:eastAsia="es-ES"/>
        </w:rPr>
      </w:pPr>
      <w:r w:rsidRPr="003B7380">
        <w:rPr>
          <w:rFonts w:eastAsia="Times New Roman" w:cs="Times New Roman"/>
          <w:b/>
          <w:i/>
          <w:u w:val="single"/>
          <w:lang w:val="es-ES" w:eastAsia="es-ES"/>
        </w:rPr>
        <w:t>Constitución Política de los Estados Unidos Mexicanos</w:t>
      </w:r>
    </w:p>
    <w:p w14:paraId="2DF11C9E" w14:textId="77777777" w:rsidR="005B0988" w:rsidRPr="003B7380" w:rsidRDefault="005B0988" w:rsidP="005B0988">
      <w:pPr>
        <w:ind w:left="851" w:right="851"/>
        <w:rPr>
          <w:rFonts w:eastAsia="Times New Roman" w:cs="Times New Roman"/>
          <w:i/>
          <w:lang w:val="es-ES" w:eastAsia="es-ES"/>
        </w:rPr>
      </w:pPr>
      <w:r w:rsidRPr="003B7380">
        <w:rPr>
          <w:rFonts w:eastAsia="Times New Roman" w:cs="Times New Roman"/>
          <w:b/>
          <w:i/>
          <w:lang w:val="es-ES" w:eastAsia="es-ES"/>
        </w:rPr>
        <w:t>“Artículo 6</w:t>
      </w:r>
      <w:r w:rsidRPr="003B7380">
        <w:rPr>
          <w:rFonts w:eastAsia="Times New Roman"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5E3B2DE" w14:textId="77777777" w:rsidR="005B0988" w:rsidRPr="003B7380" w:rsidRDefault="005B0988" w:rsidP="005B0988">
      <w:pPr>
        <w:ind w:left="851" w:right="851"/>
        <w:rPr>
          <w:rFonts w:eastAsia="Times New Roman" w:cs="Times New Roman"/>
          <w:i/>
          <w:lang w:val="es-ES" w:eastAsia="es-ES"/>
        </w:rPr>
      </w:pPr>
      <w:r w:rsidRPr="003B7380">
        <w:rPr>
          <w:rFonts w:eastAsia="Times New Roman" w:cs="Times New Roman"/>
          <w:i/>
          <w:lang w:val="es-ES" w:eastAsia="es-ES"/>
        </w:rPr>
        <w:t>(…)</w:t>
      </w:r>
    </w:p>
    <w:p w14:paraId="5B519D7A" w14:textId="77777777" w:rsidR="005B0988" w:rsidRPr="003B7380" w:rsidRDefault="005B0988" w:rsidP="005B0988">
      <w:pPr>
        <w:ind w:left="851" w:right="851"/>
        <w:rPr>
          <w:rFonts w:eastAsia="Times New Roman" w:cs="Times New Roman"/>
          <w:i/>
          <w:lang w:val="es-ES" w:eastAsia="es-ES"/>
        </w:rPr>
      </w:pPr>
      <w:r w:rsidRPr="003B7380">
        <w:rPr>
          <w:rFonts w:eastAsia="Times New Roman" w:cs="Times New Roman"/>
          <w:i/>
          <w:lang w:val="es-ES" w:eastAsia="es-ES"/>
        </w:rPr>
        <w:t xml:space="preserve">Para efectos de lo dispuesto en el presente artículo se observará lo siguiente: </w:t>
      </w:r>
    </w:p>
    <w:p w14:paraId="65133F50" w14:textId="77777777" w:rsidR="005B0988" w:rsidRPr="003B7380" w:rsidRDefault="005B0988" w:rsidP="005B0988">
      <w:pPr>
        <w:ind w:left="851" w:right="851"/>
        <w:rPr>
          <w:rFonts w:eastAsia="Times New Roman" w:cs="Times New Roman"/>
          <w:i/>
          <w:lang w:val="es-ES" w:eastAsia="es-ES"/>
        </w:rPr>
      </w:pPr>
      <w:r w:rsidRPr="003B7380">
        <w:rPr>
          <w:rFonts w:eastAsia="Times New Roman"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2E70D2C7" w14:textId="77777777" w:rsidR="005B0988" w:rsidRPr="003B7380" w:rsidRDefault="005B0988" w:rsidP="005B0988">
      <w:pPr>
        <w:ind w:left="851" w:right="851"/>
        <w:rPr>
          <w:rFonts w:eastAsia="Times New Roman" w:cs="Times New Roman"/>
          <w:i/>
          <w:lang w:val="es-ES" w:eastAsia="es-ES"/>
        </w:rPr>
      </w:pPr>
      <w:r w:rsidRPr="003B7380">
        <w:rPr>
          <w:rFonts w:eastAsia="Times New Roman" w:cs="Times New Roman"/>
          <w:i/>
          <w:lang w:val="es-ES" w:eastAsia="es-ES"/>
        </w:rPr>
        <w:t>(…)</w:t>
      </w:r>
    </w:p>
    <w:p w14:paraId="3952F9A8" w14:textId="77777777" w:rsidR="005B0988" w:rsidRPr="003B7380" w:rsidRDefault="005B0988" w:rsidP="005B0988">
      <w:pPr>
        <w:ind w:left="851" w:right="851"/>
        <w:rPr>
          <w:rFonts w:eastAsia="Times New Roman" w:cs="Times New Roman"/>
          <w:i/>
          <w:sz w:val="22"/>
          <w:lang w:val="es-ES" w:eastAsia="es-ES"/>
        </w:rPr>
      </w:pPr>
      <w:r w:rsidRPr="003B7380">
        <w:rPr>
          <w:rFonts w:eastAsia="Times New Roman"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3F4061F2" w14:textId="77777777" w:rsidR="005B0988" w:rsidRPr="003B7380" w:rsidRDefault="005B0988" w:rsidP="005B0988">
      <w:pPr>
        <w:ind w:left="851" w:right="851"/>
        <w:rPr>
          <w:rFonts w:eastAsia="Times New Roman" w:cs="Times New Roman"/>
          <w:b/>
          <w:i/>
          <w:lang w:val="es-ES" w:eastAsia="es-ES"/>
        </w:rPr>
      </w:pPr>
      <w:r w:rsidRPr="003B7380">
        <w:rPr>
          <w:rFonts w:eastAsia="Times New Roman"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r w:rsidRPr="003B7380">
        <w:rPr>
          <w:rFonts w:eastAsia="Times New Roman" w:cs="Times New Roman"/>
          <w:b/>
          <w:i/>
          <w:lang w:val="es-ES" w:eastAsia="es-ES"/>
        </w:rPr>
        <w:t>[Sic]</w:t>
      </w:r>
    </w:p>
    <w:p w14:paraId="23FA586F" w14:textId="77777777" w:rsidR="005B0988" w:rsidRPr="003B7380" w:rsidRDefault="005B0988" w:rsidP="005B0988">
      <w:pPr>
        <w:ind w:left="851" w:right="851"/>
        <w:rPr>
          <w:rFonts w:eastAsia="Times New Roman" w:cs="Times New Roman"/>
          <w:b/>
          <w:i/>
          <w:lang w:val="es-ES" w:eastAsia="es-ES"/>
        </w:rPr>
      </w:pPr>
    </w:p>
    <w:p w14:paraId="561F53CB" w14:textId="77777777" w:rsidR="005B0988" w:rsidRPr="003B7380" w:rsidRDefault="005B0988" w:rsidP="005B0988">
      <w:pPr>
        <w:ind w:left="851" w:right="851"/>
        <w:jc w:val="center"/>
        <w:rPr>
          <w:rFonts w:eastAsia="Times New Roman" w:cs="Times New Roman"/>
          <w:b/>
          <w:i/>
          <w:u w:val="single"/>
          <w:lang w:val="es-ES" w:eastAsia="es-ES"/>
        </w:rPr>
      </w:pPr>
      <w:r w:rsidRPr="003B7380">
        <w:rPr>
          <w:rFonts w:eastAsia="Times New Roman" w:cs="Times New Roman"/>
          <w:b/>
          <w:i/>
          <w:u w:val="single"/>
          <w:lang w:val="es-ES" w:eastAsia="es-ES"/>
        </w:rPr>
        <w:t>Constitución Política del Estado Libre y Soberano de México</w:t>
      </w:r>
    </w:p>
    <w:p w14:paraId="0ADE78CD" w14:textId="77777777" w:rsidR="005B0988" w:rsidRPr="003B7380" w:rsidRDefault="005B0988" w:rsidP="005B0988">
      <w:pPr>
        <w:ind w:left="851" w:right="851"/>
        <w:rPr>
          <w:rFonts w:eastAsia="Times New Roman" w:cs="Times New Roman"/>
          <w:i/>
          <w:sz w:val="22"/>
          <w:lang w:val="es-ES" w:eastAsia="es-ES"/>
        </w:rPr>
      </w:pPr>
      <w:r w:rsidRPr="003B7380">
        <w:rPr>
          <w:rFonts w:eastAsia="Times New Roman" w:cs="Times New Roman"/>
          <w:i/>
          <w:lang w:val="es-ES" w:eastAsia="es-ES"/>
        </w:rPr>
        <w:t>“</w:t>
      </w:r>
      <w:r w:rsidRPr="003B7380">
        <w:rPr>
          <w:rFonts w:eastAsia="Times New Roman" w:cs="Times New Roman"/>
          <w:b/>
          <w:i/>
          <w:lang w:val="es-ES" w:eastAsia="es-ES"/>
        </w:rPr>
        <w:t>Artículo 5</w:t>
      </w:r>
      <w:r w:rsidRPr="003B7380">
        <w:rPr>
          <w:rFonts w:eastAsia="Times New Roman"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3CD1316" w14:textId="77777777" w:rsidR="005B0988" w:rsidRPr="003B7380" w:rsidRDefault="005B0988" w:rsidP="005B0988">
      <w:pPr>
        <w:ind w:left="851" w:right="851"/>
        <w:rPr>
          <w:rFonts w:eastAsia="Times New Roman" w:cs="Times New Roman"/>
          <w:i/>
          <w:lang w:val="es-ES" w:eastAsia="es-ES"/>
        </w:rPr>
      </w:pPr>
      <w:r w:rsidRPr="003B7380">
        <w:rPr>
          <w:rFonts w:eastAsia="Times New Roman" w:cs="Times New Roman"/>
          <w:i/>
          <w:lang w:val="es-ES" w:eastAsia="es-ES"/>
        </w:rPr>
        <w:t>(…)</w:t>
      </w:r>
    </w:p>
    <w:p w14:paraId="3D61F8D3" w14:textId="77777777" w:rsidR="005B0988" w:rsidRPr="003B7380" w:rsidRDefault="005B0988" w:rsidP="005B0988">
      <w:pPr>
        <w:ind w:left="851" w:right="851"/>
        <w:rPr>
          <w:rFonts w:eastAsia="Times New Roman" w:cs="Times New Roman"/>
          <w:i/>
          <w:lang w:val="es-ES" w:eastAsia="es-ES"/>
        </w:rPr>
      </w:pPr>
      <w:r w:rsidRPr="003B7380">
        <w:rPr>
          <w:rFonts w:eastAsia="Times New Roman"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72939B94" w14:textId="77777777" w:rsidR="005B0988" w:rsidRPr="003B7380" w:rsidRDefault="005B0988" w:rsidP="005B0988">
      <w:pPr>
        <w:ind w:left="851" w:right="851"/>
        <w:rPr>
          <w:rFonts w:eastAsia="Times New Roman" w:cs="Times New Roman"/>
          <w:i/>
          <w:lang w:val="es-ES" w:eastAsia="es-ES"/>
        </w:rPr>
      </w:pPr>
      <w:r w:rsidRPr="003B7380">
        <w:rPr>
          <w:rFonts w:eastAsia="Times New Roman" w:cs="Times New Roman"/>
          <w:i/>
          <w:lang w:val="es-ES" w:eastAsia="es-ES"/>
        </w:rPr>
        <w:t xml:space="preserve"> (…)</w:t>
      </w:r>
    </w:p>
    <w:p w14:paraId="23C4704F" w14:textId="77777777" w:rsidR="005B0988" w:rsidRPr="003B7380" w:rsidRDefault="005B0988" w:rsidP="005B0988">
      <w:pPr>
        <w:ind w:left="851" w:right="851"/>
        <w:rPr>
          <w:rFonts w:eastAsia="Times New Roman" w:cs="Times New Roman"/>
          <w:i/>
          <w:lang w:val="es-ES" w:eastAsia="es-ES"/>
        </w:rPr>
      </w:pPr>
      <w:r w:rsidRPr="003B7380">
        <w:rPr>
          <w:rFonts w:eastAsia="Times New Roman" w:cs="Times New Roman"/>
          <w:i/>
          <w:lang w:val="es-ES" w:eastAsia="es-ES"/>
        </w:rPr>
        <w:t xml:space="preserve">El derecho a la información será garantizado por el Estado. La ley establecerá las previsiones que permitan asegurar la protección, el respeto y la difusión de este derecho. </w:t>
      </w:r>
    </w:p>
    <w:p w14:paraId="42153DC6" w14:textId="77777777" w:rsidR="005B0988" w:rsidRPr="003B7380" w:rsidRDefault="005B0988" w:rsidP="005B0988">
      <w:pPr>
        <w:ind w:left="851" w:right="851"/>
        <w:rPr>
          <w:rFonts w:eastAsia="Times New Roman" w:cs="Times New Roman"/>
          <w:i/>
          <w:sz w:val="22"/>
          <w:lang w:val="es-ES" w:eastAsia="es-ES"/>
        </w:rPr>
      </w:pPr>
      <w:r w:rsidRPr="003B7380">
        <w:rPr>
          <w:rFonts w:eastAsia="Times New Roman"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3EF9BD0" w14:textId="77777777" w:rsidR="005B0988" w:rsidRPr="003B7380" w:rsidRDefault="005B0988" w:rsidP="005B0988">
      <w:pPr>
        <w:ind w:left="851" w:right="851"/>
        <w:rPr>
          <w:rFonts w:eastAsia="Times New Roman" w:cs="Times New Roman"/>
          <w:i/>
          <w:lang w:val="es-ES" w:eastAsia="es-ES"/>
        </w:rPr>
      </w:pPr>
      <w:r w:rsidRPr="003B7380">
        <w:rPr>
          <w:rFonts w:eastAsia="Times New Roman" w:cs="Times New Roman"/>
          <w:i/>
          <w:lang w:val="es-ES" w:eastAsia="es-ES"/>
        </w:rPr>
        <w:t>(..)</w:t>
      </w:r>
    </w:p>
    <w:p w14:paraId="5A394DF5" w14:textId="77777777" w:rsidR="005B0988" w:rsidRPr="003B7380" w:rsidRDefault="005B0988" w:rsidP="005B0988">
      <w:pPr>
        <w:ind w:left="851" w:right="851"/>
        <w:rPr>
          <w:rFonts w:eastAsia="Times New Roman" w:cs="Times New Roman"/>
          <w:i/>
          <w:lang w:val="es-ES" w:eastAsia="es-ES"/>
        </w:rPr>
      </w:pPr>
      <w:r w:rsidRPr="003B7380">
        <w:rPr>
          <w:rFonts w:eastAsia="Times New Roman" w:cs="Times New Roman"/>
          <w:i/>
          <w:lang w:val="es-ES" w:eastAsia="es-ES"/>
        </w:rPr>
        <w:t>III. Toda persona, sin necesidad de acreditar interés alguno o justificar su utilización, tendrá acceso gratuito a la información pública, a sus datos personales o a la rectificación de éstos;</w:t>
      </w:r>
    </w:p>
    <w:p w14:paraId="63709036" w14:textId="77777777" w:rsidR="005B0988" w:rsidRPr="003B7380" w:rsidRDefault="005B0988" w:rsidP="005B0988">
      <w:pPr>
        <w:ind w:left="851" w:right="851"/>
        <w:rPr>
          <w:rFonts w:eastAsia="Times New Roman" w:cs="Times New Roman"/>
          <w:i/>
          <w:lang w:val="es-ES" w:eastAsia="es-ES"/>
        </w:rPr>
      </w:pPr>
      <w:r w:rsidRPr="003B7380">
        <w:rPr>
          <w:rFonts w:eastAsia="Times New Roman"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70594A25" w14:textId="77777777" w:rsidR="005B0988" w:rsidRPr="003B7380" w:rsidRDefault="005B0988" w:rsidP="005B0988">
      <w:pPr>
        <w:ind w:left="851" w:right="851"/>
        <w:rPr>
          <w:rFonts w:eastAsia="Times New Roman" w:cs="Times New Roman"/>
          <w:i/>
          <w:lang w:val="es-ES" w:eastAsia="es-ES"/>
        </w:rPr>
      </w:pPr>
      <w:r w:rsidRPr="003B7380">
        <w:rPr>
          <w:rFonts w:eastAsia="Times New Roman" w:cs="Times New Roman"/>
          <w:i/>
          <w:lang w:val="es-ES" w:eastAsia="es-ES"/>
        </w:rPr>
        <w:t>(…)</w:t>
      </w:r>
    </w:p>
    <w:p w14:paraId="2C7E682D" w14:textId="77777777" w:rsidR="005B0988" w:rsidRPr="003B7380" w:rsidRDefault="005B0988" w:rsidP="005B0988">
      <w:pPr>
        <w:ind w:left="851" w:right="851"/>
        <w:rPr>
          <w:rFonts w:eastAsia="Times New Roman" w:cs="Times New Roman"/>
          <w:b/>
          <w:i/>
          <w:sz w:val="22"/>
          <w:lang w:val="es-ES" w:eastAsia="es-ES"/>
        </w:rPr>
      </w:pPr>
      <w:r w:rsidRPr="003B7380">
        <w:rPr>
          <w:rFonts w:eastAsia="Times New Roman"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3B7380">
        <w:rPr>
          <w:rFonts w:eastAsia="Times New Roman" w:cs="Times New Roman"/>
          <w:b/>
          <w:i/>
          <w:lang w:val="es-ES" w:eastAsia="es-ES"/>
        </w:rPr>
        <w:t>[Sic]</w:t>
      </w:r>
    </w:p>
    <w:p w14:paraId="086F4E35" w14:textId="77777777" w:rsidR="005B0988" w:rsidRPr="003B7380" w:rsidRDefault="005B0988" w:rsidP="005B0988">
      <w:pPr>
        <w:rPr>
          <w:rFonts w:eastAsia="Times New Roman" w:cs="Times New Roman"/>
          <w:szCs w:val="24"/>
          <w:lang w:val="es-ES" w:eastAsia="es-ES"/>
        </w:rPr>
      </w:pPr>
    </w:p>
    <w:p w14:paraId="31180226" w14:textId="77777777" w:rsidR="005B0988" w:rsidRPr="003B7380" w:rsidRDefault="005B0988" w:rsidP="005B0988">
      <w:pPr>
        <w:rPr>
          <w:rFonts w:eastAsia="Times New Roman" w:cs="Times New Roman"/>
          <w:szCs w:val="24"/>
          <w:lang w:val="es-ES" w:eastAsia="es-ES"/>
        </w:rPr>
      </w:pPr>
      <w:r w:rsidRPr="003B7380">
        <w:rPr>
          <w:rFonts w:eastAsia="Times New Roman" w:cs="Times New Roman"/>
          <w:szCs w:val="24"/>
          <w:lang w:val="es-ES" w:eastAsia="es-ES"/>
        </w:rPr>
        <w:t>Por otra parte, del contenido del artículo 1 de la Constitución Política de los Estados Unidos Mexicanos, se destaca lo siguiente:</w:t>
      </w:r>
    </w:p>
    <w:p w14:paraId="01173CCE" w14:textId="77777777" w:rsidR="005B0988" w:rsidRPr="003B7380" w:rsidRDefault="005B0988" w:rsidP="005B0988">
      <w:pPr>
        <w:rPr>
          <w:rFonts w:eastAsia="Times New Roman" w:cs="Times New Roman"/>
          <w:szCs w:val="24"/>
          <w:lang w:val="es-ES" w:eastAsia="es-ES"/>
        </w:rPr>
      </w:pPr>
    </w:p>
    <w:p w14:paraId="73846BDF" w14:textId="77777777" w:rsidR="005B0988" w:rsidRPr="003B7380" w:rsidRDefault="005B0988" w:rsidP="005B0988">
      <w:pPr>
        <w:ind w:left="851" w:right="851"/>
        <w:rPr>
          <w:rFonts w:eastAsiaTheme="minorHAnsi" w:cs="Times New Roman"/>
          <w:i/>
          <w:sz w:val="22"/>
          <w:lang w:val="es-ES" w:eastAsia="es-ES"/>
        </w:rPr>
      </w:pPr>
      <w:r w:rsidRPr="003B7380">
        <w:rPr>
          <w:rFonts w:cs="Times New Roman"/>
          <w:i/>
          <w:lang w:val="es-ES" w:eastAsia="es-ES"/>
        </w:rPr>
        <w:t>“</w:t>
      </w:r>
      <w:r w:rsidRPr="003B7380">
        <w:rPr>
          <w:rFonts w:cs="Times New Roman"/>
          <w:b/>
          <w:i/>
          <w:lang w:val="es-ES" w:eastAsia="es-ES"/>
        </w:rPr>
        <w:t>Artículo 1o</w:t>
      </w:r>
      <w:r w:rsidRPr="003B7380">
        <w:rPr>
          <w:rFonts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A2B3D54" w14:textId="77777777" w:rsidR="005B0988" w:rsidRPr="003B7380" w:rsidRDefault="005B0988" w:rsidP="005B0988">
      <w:pPr>
        <w:ind w:left="851" w:right="851"/>
        <w:rPr>
          <w:rFonts w:eastAsiaTheme="minorHAnsi" w:cs="Times New Roman"/>
          <w:i/>
          <w:sz w:val="22"/>
          <w:lang w:val="es-ES" w:eastAsia="es-ES"/>
        </w:rPr>
      </w:pPr>
      <w:r w:rsidRPr="003B7380">
        <w:rPr>
          <w:rFonts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7DC9383" w14:textId="77777777" w:rsidR="005B0988" w:rsidRPr="003B7380" w:rsidRDefault="005B0988" w:rsidP="005B0988">
      <w:pPr>
        <w:ind w:left="851" w:right="851"/>
        <w:rPr>
          <w:rFonts w:cs="Times New Roman"/>
          <w:b/>
          <w:i/>
          <w:lang w:val="es-ES" w:eastAsia="es-ES"/>
        </w:rPr>
      </w:pPr>
      <w:r w:rsidRPr="003B7380">
        <w:rPr>
          <w:rFonts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3B7380">
        <w:rPr>
          <w:rFonts w:cs="Times New Roman"/>
          <w:b/>
          <w:i/>
          <w:lang w:val="es-ES" w:eastAsia="es-ES"/>
        </w:rPr>
        <w:t>[Sic]</w:t>
      </w:r>
    </w:p>
    <w:p w14:paraId="5413D3D1" w14:textId="77777777" w:rsidR="005B0988" w:rsidRPr="003B7380" w:rsidRDefault="005B0988" w:rsidP="005B0988">
      <w:pPr>
        <w:ind w:left="851" w:right="851"/>
        <w:rPr>
          <w:rFonts w:cs="Times New Roman"/>
          <w:b/>
          <w:i/>
          <w:lang w:val="es-ES" w:eastAsia="es-ES"/>
        </w:rPr>
      </w:pPr>
    </w:p>
    <w:p w14:paraId="17B1E0DB" w14:textId="77777777" w:rsidR="005B0988" w:rsidRPr="003B7380" w:rsidRDefault="005B0988" w:rsidP="005B0988">
      <w:pPr>
        <w:rPr>
          <w:rFonts w:eastAsia="Times New Roman" w:cs="Times New Roman"/>
          <w:szCs w:val="24"/>
          <w:lang w:eastAsia="es-ES"/>
        </w:rPr>
      </w:pPr>
      <w:r w:rsidRPr="003B7380">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3B7380">
        <w:rPr>
          <w:rFonts w:eastAsia="Times New Roman" w:cs="Times New Roman"/>
          <w:b/>
          <w:szCs w:val="24"/>
          <w:u w:val="single"/>
          <w:lang w:val="es-ES" w:eastAsia="es-ES"/>
        </w:rPr>
        <w:t>incluso, la solicitud de acceso a la información pueda ser anónima</w:t>
      </w:r>
      <w:r w:rsidRPr="003B7380">
        <w:rPr>
          <w:rFonts w:eastAsia="Times New Roman" w:cs="Times New Roman"/>
          <w:szCs w:val="24"/>
          <w:lang w:val="es-ES" w:eastAsia="es-ES"/>
        </w:rPr>
        <w:t xml:space="preserve"> o no contener un nombre que identifique al solicitante o que permita tener certeza sobre su identidad. </w:t>
      </w:r>
      <w:r w:rsidRPr="003B7380">
        <w:rPr>
          <w:rFonts w:cs="Arial"/>
          <w:szCs w:val="24"/>
          <w:lang w:val="es-ES"/>
        </w:rPr>
        <w:t>En conclusión, se cubrieron los requisitos de procedencia y procedibilidad y conforme a las constancias que obran en el expediente</w:t>
      </w:r>
    </w:p>
    <w:p w14:paraId="1E0BE290" w14:textId="77777777" w:rsidR="005B0988" w:rsidRPr="003B7380" w:rsidRDefault="005B0988" w:rsidP="00B766A5">
      <w:pPr>
        <w:pBdr>
          <w:top w:val="nil"/>
          <w:left w:val="nil"/>
          <w:bottom w:val="nil"/>
          <w:right w:val="nil"/>
          <w:between w:val="nil"/>
        </w:pBdr>
        <w:rPr>
          <w:rFonts w:eastAsia="Palatino Linotype" w:cs="Palatino Linotype"/>
          <w:b/>
          <w:color w:val="000000"/>
          <w:sz w:val="26"/>
          <w:szCs w:val="26"/>
        </w:rPr>
      </w:pPr>
    </w:p>
    <w:p w14:paraId="48FF8035" w14:textId="77777777" w:rsidR="00B766A5" w:rsidRPr="003B7380" w:rsidRDefault="005B0988" w:rsidP="00B766A5">
      <w:pPr>
        <w:pBdr>
          <w:top w:val="nil"/>
          <w:left w:val="nil"/>
          <w:bottom w:val="nil"/>
          <w:right w:val="nil"/>
          <w:between w:val="nil"/>
        </w:pBdr>
        <w:rPr>
          <w:rFonts w:eastAsia="Palatino Linotype" w:cs="Palatino Linotype"/>
          <w:b/>
          <w:color w:val="000000"/>
          <w:sz w:val="26"/>
          <w:szCs w:val="26"/>
        </w:rPr>
      </w:pPr>
      <w:r w:rsidRPr="003B7380">
        <w:rPr>
          <w:rFonts w:eastAsia="Palatino Linotype" w:cs="Palatino Linotype"/>
          <w:b/>
          <w:color w:val="000000"/>
          <w:sz w:val="26"/>
          <w:szCs w:val="26"/>
        </w:rPr>
        <w:t xml:space="preserve">CUARTO. </w:t>
      </w:r>
      <w:r w:rsidR="00B766A5" w:rsidRPr="003B7380">
        <w:rPr>
          <w:rFonts w:eastAsia="Palatino Linotype" w:cs="Palatino Linotype"/>
          <w:b/>
          <w:color w:val="000000"/>
          <w:sz w:val="26"/>
          <w:szCs w:val="26"/>
        </w:rPr>
        <w:t>Del estudio de las causas de improcedencia y sobreseimiento.</w:t>
      </w:r>
    </w:p>
    <w:p w14:paraId="0CE65F8D" w14:textId="77777777" w:rsidR="00B766A5" w:rsidRPr="003B7380" w:rsidRDefault="00B766A5" w:rsidP="00B766A5">
      <w:pPr>
        <w:rPr>
          <w:lang w:val="es-ES_tradnl" w:eastAsia="es-ES"/>
        </w:rPr>
      </w:pPr>
      <w:r w:rsidRPr="003B7380">
        <w:rPr>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Instituto.</w:t>
      </w:r>
    </w:p>
    <w:p w14:paraId="7CEC6615" w14:textId="77777777" w:rsidR="00B766A5" w:rsidRPr="003B7380" w:rsidRDefault="00B766A5" w:rsidP="00B766A5">
      <w:pPr>
        <w:rPr>
          <w:lang w:val="es-ES_tradnl" w:eastAsia="es-ES"/>
        </w:rPr>
      </w:pPr>
    </w:p>
    <w:p w14:paraId="141526DF" w14:textId="77777777" w:rsidR="00B766A5" w:rsidRPr="003B7380" w:rsidRDefault="00B766A5" w:rsidP="00B766A5">
      <w:pPr>
        <w:rPr>
          <w:lang w:val="es-ES_tradnl" w:eastAsia="es-ES"/>
        </w:rPr>
      </w:pPr>
      <w:r w:rsidRPr="003B7380">
        <w:rPr>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w:t>
      </w:r>
      <w:r w:rsidRPr="003B7380">
        <w:rPr>
          <w:rStyle w:val="Refdenotaalpie"/>
          <w:rFonts w:eastAsiaTheme="minorEastAsia" w:cs="Arial"/>
          <w:szCs w:val="24"/>
          <w:lang w:val="es-ES_tradnl" w:eastAsia="es-ES"/>
        </w:rPr>
        <w:footnoteReference w:id="1"/>
      </w:r>
      <w:r w:rsidRPr="003B7380">
        <w:rPr>
          <w:lang w:val="es-ES_tradnl" w:eastAsia="es-ES"/>
        </w:rPr>
        <w:t>, de rubro y texto:</w:t>
      </w:r>
    </w:p>
    <w:p w14:paraId="0A80FA94" w14:textId="77777777" w:rsidR="00B766A5" w:rsidRPr="003B7380" w:rsidRDefault="00B766A5" w:rsidP="00B766A5">
      <w:pPr>
        <w:rPr>
          <w:lang w:val="es-ES_tradnl" w:eastAsia="es-ES"/>
        </w:rPr>
      </w:pPr>
    </w:p>
    <w:p w14:paraId="1119B0C6" w14:textId="77777777" w:rsidR="00B766A5" w:rsidRPr="003B7380" w:rsidRDefault="00B766A5" w:rsidP="00B766A5">
      <w:pPr>
        <w:pStyle w:val="Sinespaciado"/>
        <w:rPr>
          <w:rFonts w:eastAsiaTheme="minorEastAsia"/>
          <w:b/>
          <w:lang w:val="es-ES_tradnl"/>
        </w:rPr>
      </w:pPr>
      <w:r w:rsidRPr="003B7380">
        <w:rPr>
          <w:rFonts w:eastAsiaTheme="minorEastAsia"/>
          <w:b/>
          <w:lang w:val="es-ES_tradnl"/>
        </w:rPr>
        <w:t xml:space="preserve">IMPROCEDENCIA, CAUSALES DE. EN EL JUICIO DE AMPARO. </w:t>
      </w:r>
    </w:p>
    <w:p w14:paraId="219F4777" w14:textId="77777777" w:rsidR="00B766A5" w:rsidRPr="003B7380" w:rsidRDefault="00B766A5" w:rsidP="00B766A5">
      <w:pPr>
        <w:pStyle w:val="Sinespaciado"/>
        <w:rPr>
          <w:rFonts w:eastAsiaTheme="minorEastAsia"/>
          <w:lang w:val="es-ES_tradnl"/>
        </w:rPr>
      </w:pPr>
      <w:r w:rsidRPr="003B7380">
        <w:rPr>
          <w:rFonts w:eastAsiaTheme="minorEastAsia"/>
          <w:lang w:val="es-ES_tradnl"/>
        </w:rPr>
        <w:t>Las causales de improcedencia del juicio de amparo, por ser de orden público deben estudiarse previamente, lo aleguen o no las partes, cualquiera que sea la instancia</w:t>
      </w:r>
    </w:p>
    <w:p w14:paraId="76856829" w14:textId="77777777" w:rsidR="00B766A5" w:rsidRPr="003B7380" w:rsidRDefault="00B766A5" w:rsidP="00B766A5">
      <w:pPr>
        <w:rPr>
          <w:lang w:val="es-ES_tradnl" w:eastAsia="es-ES"/>
        </w:rPr>
      </w:pPr>
    </w:p>
    <w:p w14:paraId="76F9D51E" w14:textId="77777777" w:rsidR="00B766A5" w:rsidRPr="003B7380" w:rsidRDefault="00B766A5" w:rsidP="00B766A5">
      <w:pPr>
        <w:rPr>
          <w:lang w:val="es-ES_tradnl" w:eastAsia="es-ES"/>
        </w:rPr>
      </w:pPr>
      <w:r w:rsidRPr="003B7380">
        <w:rPr>
          <w:lang w:val="es-ES_tradnl" w:eastAsia="es-ES"/>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órgano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3B7380">
        <w:rPr>
          <w:vertAlign w:val="superscript"/>
          <w:lang w:val="es-ES_tradnl" w:eastAsia="es-ES"/>
        </w:rPr>
        <w:footnoteReference w:id="2"/>
      </w:r>
      <w:r w:rsidRPr="003B7380">
        <w:rPr>
          <w:lang w:val="es-ES_tradnl" w:eastAsia="es-ES"/>
        </w:rPr>
        <w:t>.</w:t>
      </w:r>
    </w:p>
    <w:p w14:paraId="6971D336" w14:textId="77777777" w:rsidR="00B766A5" w:rsidRPr="003B7380" w:rsidRDefault="00B766A5" w:rsidP="00B766A5">
      <w:pPr>
        <w:rPr>
          <w:lang w:val="es-ES_tradnl" w:eastAsia="es-ES"/>
        </w:rPr>
      </w:pPr>
    </w:p>
    <w:p w14:paraId="4EC0AD70" w14:textId="77777777" w:rsidR="00B766A5" w:rsidRPr="003B7380" w:rsidRDefault="00B766A5" w:rsidP="00B766A5">
      <w:pPr>
        <w:rPr>
          <w:lang w:val="es-ES_tradnl"/>
        </w:rPr>
      </w:pPr>
      <w:r w:rsidRPr="003B7380">
        <w:rPr>
          <w:lang w:val="es-ES_tradnl"/>
        </w:rPr>
        <w:t>Para efectos del artículo 185, fracción I, el que suscribe procede a analizar las causales de procedencia establecidas en el artículo 179 de la Ley Local en la materia, para la interposición del segundo recurso de revisión en comento, por tratarse de una cuestión de orden público y de estudio preferente, preceptos legales que se citan a continuación para pronta referencia:</w:t>
      </w:r>
    </w:p>
    <w:p w14:paraId="50CA6DF7" w14:textId="77777777" w:rsidR="00B766A5" w:rsidRPr="003B7380" w:rsidRDefault="00B766A5" w:rsidP="00B766A5">
      <w:pPr>
        <w:spacing w:beforeLines="20" w:before="48" w:afterLines="20" w:after="48"/>
        <w:rPr>
          <w:rFonts w:cs="Arial"/>
          <w:szCs w:val="24"/>
          <w:lang w:val="es-ES_tradnl"/>
        </w:rPr>
      </w:pPr>
    </w:p>
    <w:p w14:paraId="00E97321" w14:textId="77777777" w:rsidR="00B766A5" w:rsidRPr="003B7380" w:rsidRDefault="00B766A5" w:rsidP="00B766A5">
      <w:pPr>
        <w:pStyle w:val="Sinespaciado"/>
        <w:rPr>
          <w:rFonts w:eastAsia="Calibri"/>
        </w:rPr>
      </w:pPr>
      <w:r w:rsidRPr="003B7380">
        <w:rPr>
          <w:rFonts w:eastAsia="Calibri"/>
          <w:b/>
        </w:rPr>
        <w:t xml:space="preserve">Artículo 185. </w:t>
      </w:r>
      <w:r w:rsidRPr="003B7380">
        <w:rPr>
          <w:rFonts w:eastAsia="Calibri"/>
        </w:rPr>
        <w:t xml:space="preserve">El Instituto resolverá el recurso de revisión conforme a lo siguiente: </w:t>
      </w:r>
    </w:p>
    <w:p w14:paraId="16F256AA" w14:textId="77777777" w:rsidR="00B766A5" w:rsidRPr="003B7380" w:rsidRDefault="00B766A5" w:rsidP="00B766A5">
      <w:pPr>
        <w:pStyle w:val="Sinespaciado"/>
        <w:rPr>
          <w:rFonts w:eastAsia="Calibri"/>
        </w:rPr>
      </w:pPr>
      <w:r w:rsidRPr="003B7380">
        <w:rPr>
          <w:rFonts w:eastAsia="Calibri"/>
          <w:b/>
        </w:rPr>
        <w:t>I.</w:t>
      </w:r>
      <w:r w:rsidRPr="003B7380">
        <w:rPr>
          <w:rFonts w:eastAsia="Calibri"/>
        </w:rPr>
        <w:t xml:space="preserve"> Interpuesto el recurso de revisión, el sistema electrónico y excepcionalmente, el Presidente del Pleno lo turnará en un plazo no mayor de tres días hábiles, al Comisionado ponente que corresponda, quien deberá proceder a su análisis para que decrete su admisión o su desechamiento;</w:t>
      </w:r>
    </w:p>
    <w:p w14:paraId="69F36889" w14:textId="77777777" w:rsidR="00B766A5" w:rsidRPr="003B7380" w:rsidRDefault="00B766A5" w:rsidP="00B766A5">
      <w:pPr>
        <w:pStyle w:val="Sinespaciado"/>
        <w:rPr>
          <w:rFonts w:eastAsia="Calibri"/>
        </w:rPr>
      </w:pPr>
      <w:r w:rsidRPr="003B7380">
        <w:t>(</w:t>
      </w:r>
      <w:r w:rsidRPr="003B7380">
        <w:rPr>
          <w:rFonts w:eastAsia="Calibri"/>
        </w:rPr>
        <w:t>…</w:t>
      </w:r>
      <w:r w:rsidRPr="003B7380">
        <w:t>)</w:t>
      </w:r>
    </w:p>
    <w:p w14:paraId="39FE3EA0" w14:textId="77777777" w:rsidR="00B766A5" w:rsidRPr="003B7380" w:rsidRDefault="00B766A5" w:rsidP="00B766A5">
      <w:pPr>
        <w:pStyle w:val="Sinespaciado"/>
        <w:rPr>
          <w:rFonts w:eastAsia="Calibri"/>
        </w:rPr>
      </w:pPr>
    </w:p>
    <w:p w14:paraId="69B56307" w14:textId="77777777" w:rsidR="00B766A5" w:rsidRPr="003B7380" w:rsidRDefault="00B766A5" w:rsidP="00B766A5">
      <w:pPr>
        <w:pStyle w:val="Sinespaciado"/>
        <w:rPr>
          <w:rFonts w:eastAsia="Calibri"/>
        </w:rPr>
      </w:pPr>
      <w:r w:rsidRPr="003B7380">
        <w:rPr>
          <w:rFonts w:eastAsia="Calibri"/>
          <w:b/>
        </w:rPr>
        <w:t>Artículo 179</w:t>
      </w:r>
      <w:r w:rsidRPr="003B7380">
        <w:rPr>
          <w:rFonts w:eastAsia="Calibri"/>
        </w:rPr>
        <w:t xml:space="preserve">. El recurso de revisión es un medio de protección que la Ley otorga a los particulares, para hacer valer su derecho de acceso a la información pública, y procederá en contra de las siguientes causas: </w:t>
      </w:r>
    </w:p>
    <w:p w14:paraId="6EA4FAC0" w14:textId="77777777" w:rsidR="00B766A5" w:rsidRPr="003B7380" w:rsidRDefault="00B766A5" w:rsidP="00B766A5">
      <w:pPr>
        <w:pStyle w:val="Sinespaciado"/>
        <w:rPr>
          <w:rFonts w:eastAsia="Calibri"/>
        </w:rPr>
      </w:pPr>
      <w:r w:rsidRPr="003B7380">
        <w:rPr>
          <w:rFonts w:eastAsia="Calibri"/>
          <w:b/>
        </w:rPr>
        <w:t>I.</w:t>
      </w:r>
      <w:r w:rsidRPr="003B7380">
        <w:rPr>
          <w:rFonts w:eastAsia="Calibri"/>
        </w:rPr>
        <w:t xml:space="preserve"> La negativa a la información solicitada; </w:t>
      </w:r>
    </w:p>
    <w:p w14:paraId="4A349794" w14:textId="77777777" w:rsidR="00B766A5" w:rsidRPr="003B7380" w:rsidRDefault="00B766A5" w:rsidP="00B766A5">
      <w:pPr>
        <w:pStyle w:val="Sinespaciado"/>
        <w:rPr>
          <w:rFonts w:eastAsia="Calibri"/>
        </w:rPr>
      </w:pPr>
      <w:r w:rsidRPr="003B7380">
        <w:rPr>
          <w:rFonts w:eastAsia="Calibri"/>
          <w:b/>
        </w:rPr>
        <w:t>II.</w:t>
      </w:r>
      <w:r w:rsidRPr="003B7380">
        <w:rPr>
          <w:rFonts w:eastAsia="Calibri"/>
        </w:rPr>
        <w:t xml:space="preserve"> La clasificación de la información; </w:t>
      </w:r>
    </w:p>
    <w:p w14:paraId="5EA7DE1B" w14:textId="77777777" w:rsidR="00B766A5" w:rsidRPr="003B7380" w:rsidRDefault="00B766A5" w:rsidP="00B766A5">
      <w:pPr>
        <w:pStyle w:val="Sinespaciado"/>
        <w:rPr>
          <w:rFonts w:eastAsia="Calibri"/>
        </w:rPr>
      </w:pPr>
      <w:r w:rsidRPr="003B7380">
        <w:rPr>
          <w:rFonts w:eastAsia="Calibri"/>
          <w:b/>
        </w:rPr>
        <w:t>III.</w:t>
      </w:r>
      <w:r w:rsidRPr="003B7380">
        <w:rPr>
          <w:rFonts w:eastAsia="Calibri"/>
        </w:rPr>
        <w:t xml:space="preserve"> La declaración de inexistencia de la información; </w:t>
      </w:r>
    </w:p>
    <w:p w14:paraId="6900ADBD" w14:textId="77777777" w:rsidR="00B766A5" w:rsidRPr="003B7380" w:rsidRDefault="00B766A5" w:rsidP="00B766A5">
      <w:pPr>
        <w:pStyle w:val="Sinespaciado"/>
        <w:rPr>
          <w:rFonts w:eastAsia="Calibri"/>
        </w:rPr>
      </w:pPr>
      <w:r w:rsidRPr="003B7380">
        <w:rPr>
          <w:rFonts w:eastAsia="Calibri"/>
          <w:b/>
        </w:rPr>
        <w:t>IV.</w:t>
      </w:r>
      <w:r w:rsidRPr="003B7380">
        <w:rPr>
          <w:rFonts w:eastAsia="Calibri"/>
        </w:rPr>
        <w:t xml:space="preserve"> La declaración de incompetencia por el sujeto obligado; </w:t>
      </w:r>
    </w:p>
    <w:p w14:paraId="5A161622" w14:textId="77777777" w:rsidR="00B766A5" w:rsidRPr="003B7380" w:rsidRDefault="00B766A5" w:rsidP="00B766A5">
      <w:pPr>
        <w:pStyle w:val="Sinespaciado"/>
        <w:rPr>
          <w:rFonts w:eastAsia="Calibri"/>
        </w:rPr>
      </w:pPr>
      <w:r w:rsidRPr="003B7380">
        <w:rPr>
          <w:rFonts w:eastAsia="Calibri"/>
          <w:b/>
        </w:rPr>
        <w:t>V.</w:t>
      </w:r>
      <w:r w:rsidRPr="003B7380">
        <w:rPr>
          <w:rFonts w:eastAsia="Calibri"/>
        </w:rPr>
        <w:t xml:space="preserve"> La entrega de información incompleta; </w:t>
      </w:r>
    </w:p>
    <w:p w14:paraId="1C5BF477" w14:textId="77777777" w:rsidR="00B766A5" w:rsidRPr="003B7380" w:rsidRDefault="00B766A5" w:rsidP="00B766A5">
      <w:pPr>
        <w:pStyle w:val="Sinespaciado"/>
        <w:rPr>
          <w:rFonts w:eastAsia="Calibri"/>
        </w:rPr>
      </w:pPr>
      <w:r w:rsidRPr="003B7380">
        <w:rPr>
          <w:rFonts w:eastAsia="Calibri"/>
          <w:b/>
        </w:rPr>
        <w:t>VI.</w:t>
      </w:r>
      <w:r w:rsidRPr="003B7380">
        <w:rPr>
          <w:rFonts w:eastAsia="Calibri"/>
        </w:rPr>
        <w:t xml:space="preserve"> La entrega de información que no corresponda con lo solicitado; </w:t>
      </w:r>
    </w:p>
    <w:p w14:paraId="0EBE321B" w14:textId="77777777" w:rsidR="00B766A5" w:rsidRPr="003B7380" w:rsidRDefault="00B766A5" w:rsidP="00B766A5">
      <w:pPr>
        <w:pStyle w:val="Sinespaciado"/>
        <w:rPr>
          <w:rFonts w:eastAsia="Calibri"/>
        </w:rPr>
      </w:pPr>
      <w:r w:rsidRPr="003B7380">
        <w:rPr>
          <w:rFonts w:eastAsia="Calibri"/>
          <w:b/>
        </w:rPr>
        <w:t>VII.</w:t>
      </w:r>
      <w:r w:rsidRPr="003B7380">
        <w:rPr>
          <w:rFonts w:eastAsia="Calibri"/>
        </w:rPr>
        <w:t xml:space="preserve"> La falta de respuesta a una solicitud de acceso a la información; </w:t>
      </w:r>
    </w:p>
    <w:p w14:paraId="3194E41E" w14:textId="77777777" w:rsidR="00B766A5" w:rsidRPr="003B7380" w:rsidRDefault="00B766A5" w:rsidP="00B766A5">
      <w:pPr>
        <w:pStyle w:val="Sinespaciado"/>
        <w:rPr>
          <w:rFonts w:eastAsia="Calibri"/>
        </w:rPr>
      </w:pPr>
      <w:r w:rsidRPr="003B7380">
        <w:rPr>
          <w:rFonts w:eastAsia="Calibri"/>
          <w:b/>
        </w:rPr>
        <w:t>VIII.</w:t>
      </w:r>
      <w:r w:rsidRPr="003B7380">
        <w:rPr>
          <w:rFonts w:eastAsia="Calibri"/>
        </w:rPr>
        <w:t xml:space="preserve"> La notificación, entrega o puesta a disposición de información en una modalidad o formato distinto al solicitado; </w:t>
      </w:r>
    </w:p>
    <w:p w14:paraId="3800101E" w14:textId="77777777" w:rsidR="00B766A5" w:rsidRPr="003B7380" w:rsidRDefault="00B766A5" w:rsidP="00B766A5">
      <w:pPr>
        <w:pStyle w:val="Sinespaciado"/>
        <w:rPr>
          <w:rFonts w:eastAsia="Calibri"/>
        </w:rPr>
      </w:pPr>
      <w:r w:rsidRPr="003B7380">
        <w:rPr>
          <w:rFonts w:eastAsia="Calibri"/>
          <w:b/>
        </w:rPr>
        <w:t>IX.</w:t>
      </w:r>
      <w:r w:rsidRPr="003B7380">
        <w:rPr>
          <w:rFonts w:eastAsia="Calibri"/>
        </w:rPr>
        <w:t xml:space="preserve"> La entrega o puesta a disposición de información en un formato incomprensible y/o no accesible para el solicitante; </w:t>
      </w:r>
    </w:p>
    <w:p w14:paraId="757711BB" w14:textId="77777777" w:rsidR="00B766A5" w:rsidRPr="003B7380" w:rsidRDefault="00B766A5" w:rsidP="00B766A5">
      <w:pPr>
        <w:pStyle w:val="Sinespaciado"/>
        <w:rPr>
          <w:rFonts w:eastAsia="Calibri"/>
        </w:rPr>
      </w:pPr>
      <w:r w:rsidRPr="003B7380">
        <w:rPr>
          <w:rFonts w:eastAsia="Calibri"/>
          <w:b/>
        </w:rPr>
        <w:t>X.</w:t>
      </w:r>
      <w:r w:rsidRPr="003B7380">
        <w:rPr>
          <w:rFonts w:eastAsia="Calibri"/>
        </w:rPr>
        <w:t xml:space="preserve"> Los costos o tiempos de entrega de la información; </w:t>
      </w:r>
    </w:p>
    <w:p w14:paraId="73F03408" w14:textId="77777777" w:rsidR="00B766A5" w:rsidRPr="003B7380" w:rsidRDefault="00B766A5" w:rsidP="00B766A5">
      <w:pPr>
        <w:pStyle w:val="Sinespaciado"/>
        <w:rPr>
          <w:rFonts w:eastAsia="Calibri"/>
        </w:rPr>
      </w:pPr>
      <w:r w:rsidRPr="003B7380">
        <w:rPr>
          <w:rFonts w:eastAsia="Calibri"/>
          <w:b/>
        </w:rPr>
        <w:t>XI.</w:t>
      </w:r>
      <w:r w:rsidRPr="003B7380">
        <w:rPr>
          <w:rFonts w:eastAsia="Calibri"/>
        </w:rPr>
        <w:t xml:space="preserve"> La falta de trámite a una solicitud; </w:t>
      </w:r>
    </w:p>
    <w:p w14:paraId="610915E8" w14:textId="77777777" w:rsidR="00B766A5" w:rsidRPr="003B7380" w:rsidRDefault="00B766A5" w:rsidP="00B766A5">
      <w:pPr>
        <w:pStyle w:val="Sinespaciado"/>
        <w:rPr>
          <w:rFonts w:eastAsia="Calibri"/>
        </w:rPr>
      </w:pPr>
      <w:r w:rsidRPr="003B7380">
        <w:rPr>
          <w:rFonts w:eastAsia="Calibri"/>
          <w:b/>
        </w:rPr>
        <w:t>XII.</w:t>
      </w:r>
      <w:r w:rsidRPr="003B7380">
        <w:rPr>
          <w:rFonts w:eastAsia="Calibri"/>
        </w:rPr>
        <w:t xml:space="preserve"> La negativa a permitir la consulta directa de la información; </w:t>
      </w:r>
    </w:p>
    <w:p w14:paraId="349A60FD" w14:textId="77777777" w:rsidR="00B766A5" w:rsidRPr="003B7380" w:rsidRDefault="00B766A5" w:rsidP="00B766A5">
      <w:pPr>
        <w:pStyle w:val="Sinespaciado"/>
        <w:rPr>
          <w:rFonts w:eastAsia="Calibri"/>
        </w:rPr>
      </w:pPr>
      <w:r w:rsidRPr="003B7380">
        <w:rPr>
          <w:rFonts w:eastAsia="Calibri"/>
          <w:b/>
        </w:rPr>
        <w:t>XIII.</w:t>
      </w:r>
      <w:r w:rsidRPr="003B7380">
        <w:rPr>
          <w:rFonts w:eastAsia="Calibri"/>
        </w:rPr>
        <w:t xml:space="preserve"> La falta, deficiencia o insuficiencia de la fundamentación y/o motivación en la respuesta; y </w:t>
      </w:r>
    </w:p>
    <w:p w14:paraId="21879F7B" w14:textId="77777777" w:rsidR="00B766A5" w:rsidRPr="003B7380" w:rsidRDefault="00B766A5" w:rsidP="00B766A5">
      <w:pPr>
        <w:pStyle w:val="Sinespaciado"/>
        <w:rPr>
          <w:rFonts w:eastAsia="Calibri"/>
        </w:rPr>
      </w:pPr>
      <w:r w:rsidRPr="003B7380">
        <w:rPr>
          <w:rFonts w:eastAsia="Calibri"/>
          <w:b/>
        </w:rPr>
        <w:t>XIV</w:t>
      </w:r>
      <w:r w:rsidRPr="003B7380">
        <w:rPr>
          <w:rFonts w:eastAsia="Calibri"/>
        </w:rPr>
        <w:t xml:space="preserve">. La orientación a un trámite específico. </w:t>
      </w:r>
    </w:p>
    <w:p w14:paraId="6AFDF5CB" w14:textId="77777777" w:rsidR="00B766A5" w:rsidRPr="003B7380" w:rsidRDefault="00B766A5" w:rsidP="00B766A5">
      <w:pPr>
        <w:pStyle w:val="Sinespaciado"/>
        <w:rPr>
          <w:rFonts w:eastAsia="Calibri"/>
        </w:rPr>
      </w:pPr>
    </w:p>
    <w:p w14:paraId="2BCB4ADC" w14:textId="77777777" w:rsidR="00B766A5" w:rsidRPr="003B7380" w:rsidRDefault="00B766A5" w:rsidP="00CB72F2">
      <w:pPr>
        <w:pStyle w:val="Sinespaciado"/>
        <w:rPr>
          <w:rFonts w:eastAsia="Calibri"/>
        </w:rPr>
      </w:pPr>
      <w:r w:rsidRPr="003B7380">
        <w:rPr>
          <w:rFonts w:eastAsia="Calibri"/>
          <w:b/>
          <w:u w:val="single"/>
        </w:rPr>
        <w:t>La respuesta que den los sujetos obligados derivada de la resolución a un recurso de revisión que proceda por las causales señaladas en las fracciones</w:t>
      </w:r>
      <w:r w:rsidRPr="003B7380">
        <w:rPr>
          <w:rFonts w:eastAsia="Calibri"/>
        </w:rPr>
        <w:t xml:space="preserve"> IV, </w:t>
      </w:r>
      <w:r w:rsidRPr="003B7380">
        <w:rPr>
          <w:rFonts w:eastAsia="Calibri"/>
          <w:b/>
        </w:rPr>
        <w:t>VII</w:t>
      </w:r>
      <w:r w:rsidRPr="003B7380">
        <w:rPr>
          <w:rFonts w:eastAsia="Calibri"/>
        </w:rPr>
        <w:t xml:space="preserve">, IX, X, </w:t>
      </w:r>
      <w:r w:rsidRPr="003B7380">
        <w:rPr>
          <w:rFonts w:eastAsia="Calibri"/>
          <w:b/>
          <w:u w:val="single"/>
        </w:rPr>
        <w:t>XI</w:t>
      </w:r>
      <w:r w:rsidRPr="003B7380">
        <w:rPr>
          <w:rFonts w:eastAsia="Calibri"/>
        </w:rPr>
        <w:t xml:space="preserve"> y XII </w:t>
      </w:r>
      <w:r w:rsidRPr="003B7380">
        <w:rPr>
          <w:rFonts w:eastAsia="Calibri"/>
          <w:b/>
          <w:u w:val="single"/>
        </w:rPr>
        <w:t>es susceptible de ser impugnada de nueva cuenta, mediante recurso de revisión, ante el Instituto</w:t>
      </w:r>
      <w:r w:rsidRPr="003B7380">
        <w:rPr>
          <w:rFonts w:eastAsia="Calibri"/>
        </w:rPr>
        <w:t>.</w:t>
      </w:r>
    </w:p>
    <w:p w14:paraId="310392CB" w14:textId="77777777" w:rsidR="00B766A5" w:rsidRPr="003B7380" w:rsidRDefault="00B766A5" w:rsidP="00B766A5">
      <w:r w:rsidRPr="003B7380">
        <w:t xml:space="preserve">Dicho precepto legal establece las causales de procedencia para la interposición del segundo recurso de revisión, tomando particular relevancia el último párrafo que, de manera clara y precisa establece, en el caso particular, </w:t>
      </w:r>
      <w:r w:rsidRPr="003B7380">
        <w:rPr>
          <w:b/>
        </w:rPr>
        <w:t>la procedencia del segundo recurso de revisión contra la respuesta proporcionada por el Sujeto Obligado</w:t>
      </w:r>
      <w:r w:rsidRPr="003B7380">
        <w:t xml:space="preserve"> derivada </w:t>
      </w:r>
      <w:r w:rsidRPr="003B7380">
        <w:rPr>
          <w:b/>
        </w:rPr>
        <w:t xml:space="preserve">del cumplimiento a una resolución. </w:t>
      </w:r>
    </w:p>
    <w:p w14:paraId="71234A6A" w14:textId="77777777" w:rsidR="00B766A5" w:rsidRPr="003B7380" w:rsidRDefault="005B0988" w:rsidP="00B766A5">
      <w:pPr>
        <w:spacing w:line="240" w:lineRule="auto"/>
        <w:rPr>
          <w:rFonts w:eastAsia="Times New Roman" w:cs="Times New Roman"/>
          <w:szCs w:val="24"/>
        </w:rPr>
      </w:pPr>
      <w:r w:rsidRPr="003B7380">
        <w:rPr>
          <w:rFonts w:eastAsia="Times New Roman" w:cs="Times New Roman"/>
          <w:b/>
          <w:bCs/>
          <w:szCs w:val="24"/>
        </w:rPr>
        <w:t>16955</w:t>
      </w:r>
      <w:r w:rsidR="00B766A5" w:rsidRPr="003B7380">
        <w:rPr>
          <w:rFonts w:eastAsia="Times New Roman" w:cs="Times New Roman"/>
          <w:b/>
          <w:bCs/>
          <w:szCs w:val="24"/>
        </w:rPr>
        <w:t>/INFOEM/IP/RR/2022</w:t>
      </w:r>
    </w:p>
    <w:p w14:paraId="71EAA816" w14:textId="77777777" w:rsidR="00B766A5" w:rsidRPr="003B7380" w:rsidRDefault="00B766A5" w:rsidP="00B766A5"/>
    <w:p w14:paraId="523F3D44" w14:textId="77777777" w:rsidR="00B766A5" w:rsidRPr="003B7380" w:rsidRDefault="00B766A5" w:rsidP="00B766A5">
      <w:r w:rsidRPr="003B7380">
        <w:t xml:space="preserve">Circunstancia que en el presente caso </w:t>
      </w:r>
      <w:r w:rsidRPr="003B7380">
        <w:rPr>
          <w:b/>
        </w:rPr>
        <w:t>no se actualiza</w:t>
      </w:r>
      <w:r w:rsidRPr="003B7380">
        <w:t>, de conformidad con las consideraciones de hecho y derecho</w:t>
      </w:r>
      <w:r w:rsidR="00857197" w:rsidRPr="003B7380">
        <w:t>,</w:t>
      </w:r>
      <w:r w:rsidRPr="003B7380">
        <w:t xml:space="preserve"> siguientes:</w:t>
      </w:r>
    </w:p>
    <w:p w14:paraId="5F1E3B7C" w14:textId="77777777" w:rsidR="00B766A5" w:rsidRPr="003B7380" w:rsidRDefault="00B766A5" w:rsidP="00B766A5"/>
    <w:p w14:paraId="25DCDF76" w14:textId="77777777" w:rsidR="00B766A5" w:rsidRPr="003B7380" w:rsidRDefault="00B766A5" w:rsidP="00B8328F">
      <w:pPr>
        <w:pStyle w:val="Prrafodelista"/>
        <w:numPr>
          <w:ilvl w:val="0"/>
          <w:numId w:val="1"/>
        </w:numPr>
        <w:spacing w:line="360" w:lineRule="auto"/>
        <w:rPr>
          <w:rFonts w:ascii="Palatino Linotype" w:hAnsi="Palatino Linotype"/>
        </w:rPr>
      </w:pPr>
      <w:r w:rsidRPr="003B7380">
        <w:rPr>
          <w:rFonts w:ascii="Palatino Linotype" w:eastAsia="Palatino Linotype" w:hAnsi="Palatino Linotype"/>
        </w:rPr>
        <w:t xml:space="preserve">En el </w:t>
      </w:r>
      <w:r w:rsidRPr="003B7380">
        <w:rPr>
          <w:rFonts w:ascii="Palatino Linotype" w:eastAsia="Palatino Linotype" w:hAnsi="Palatino Linotype"/>
          <w:b/>
        </w:rPr>
        <w:t>Antecedente CUARTO</w:t>
      </w:r>
      <w:r w:rsidRPr="003B7380">
        <w:rPr>
          <w:rFonts w:ascii="Palatino Linotype" w:eastAsia="Palatino Linotype" w:hAnsi="Palatino Linotype"/>
        </w:rPr>
        <w:t>, fracción I</w:t>
      </w:r>
      <w:r w:rsidRPr="003B7380">
        <w:rPr>
          <w:rFonts w:ascii="Palatino Linotype" w:eastAsia="Palatino Linotype" w:hAnsi="Palatino Linotype"/>
          <w:b/>
        </w:rPr>
        <w:t>V</w:t>
      </w:r>
      <w:r w:rsidRPr="003B7380">
        <w:rPr>
          <w:rFonts w:ascii="Palatino Linotype" w:eastAsia="Palatino Linotype" w:hAnsi="Palatino Linotype"/>
        </w:rPr>
        <w:t xml:space="preserve">, se acreditó la emisión de la resolución al recurso de revisión </w:t>
      </w:r>
      <w:r w:rsidR="005B0988" w:rsidRPr="003B7380">
        <w:rPr>
          <w:rFonts w:ascii="Palatino Linotype" w:hAnsi="Palatino Linotype"/>
          <w:b/>
          <w:bCs/>
        </w:rPr>
        <w:t>16955</w:t>
      </w:r>
      <w:r w:rsidRPr="003B7380">
        <w:rPr>
          <w:rFonts w:ascii="Palatino Linotype" w:hAnsi="Palatino Linotype"/>
          <w:b/>
          <w:bCs/>
        </w:rPr>
        <w:t>/INFOEM/IP/RR/2022</w:t>
      </w:r>
      <w:r w:rsidRPr="003B7380">
        <w:rPr>
          <w:rFonts w:ascii="Palatino Linotype" w:eastAsia="Palatino Linotype" w:hAnsi="Palatino Linotype"/>
        </w:rPr>
        <w:t xml:space="preserve">, al actualizarse la hipótesis prevista en la fracción VII del multicitado artículo 179 de la Ley de la materia; </w:t>
      </w:r>
    </w:p>
    <w:p w14:paraId="25757C6C" w14:textId="77777777" w:rsidR="00B766A5" w:rsidRPr="003B7380" w:rsidRDefault="00B766A5" w:rsidP="00B8328F">
      <w:pPr>
        <w:pStyle w:val="Prrafodelista"/>
        <w:spacing w:line="360" w:lineRule="auto"/>
        <w:ind w:left="709"/>
      </w:pPr>
    </w:p>
    <w:p w14:paraId="27330ACF" w14:textId="77777777" w:rsidR="00B766A5" w:rsidRPr="003B7380" w:rsidRDefault="00B766A5">
      <w:pPr>
        <w:pStyle w:val="Prrafodelista"/>
        <w:numPr>
          <w:ilvl w:val="0"/>
          <w:numId w:val="1"/>
        </w:numPr>
        <w:spacing w:line="360" w:lineRule="auto"/>
        <w:rPr>
          <w:rFonts w:ascii="Palatino Linotype" w:eastAsia="Palatino Linotype" w:hAnsi="Palatino Linotype"/>
        </w:rPr>
      </w:pPr>
      <w:r w:rsidRPr="003B7380">
        <w:rPr>
          <w:rFonts w:ascii="Palatino Linotype" w:eastAsia="Palatino Linotype" w:hAnsi="Palatino Linotype"/>
        </w:rPr>
        <w:t xml:space="preserve">Conforme al </w:t>
      </w:r>
      <w:r w:rsidRPr="003B7380">
        <w:rPr>
          <w:rFonts w:ascii="Palatino Linotype" w:eastAsia="Palatino Linotype" w:hAnsi="Palatino Linotype"/>
          <w:b/>
        </w:rPr>
        <w:t>Antecedente CUARTO</w:t>
      </w:r>
      <w:r w:rsidRPr="003B7380">
        <w:rPr>
          <w:rFonts w:ascii="Palatino Linotype" w:eastAsia="Palatino Linotype" w:hAnsi="Palatino Linotype"/>
        </w:rPr>
        <w:t xml:space="preserve">, fracción </w:t>
      </w:r>
      <w:r w:rsidRPr="003B7380">
        <w:rPr>
          <w:rFonts w:ascii="Palatino Linotype" w:eastAsia="Palatino Linotype" w:hAnsi="Palatino Linotype"/>
          <w:b/>
        </w:rPr>
        <w:t>V</w:t>
      </w:r>
      <w:r w:rsidR="005B0988" w:rsidRPr="003B7380">
        <w:rPr>
          <w:rFonts w:ascii="Palatino Linotype" w:eastAsia="Palatino Linotype" w:hAnsi="Palatino Linotype"/>
          <w:b/>
        </w:rPr>
        <w:t>I</w:t>
      </w:r>
      <w:r w:rsidRPr="003B7380">
        <w:rPr>
          <w:rFonts w:ascii="Palatino Linotype" w:eastAsia="Palatino Linotype" w:hAnsi="Palatino Linotype"/>
        </w:rPr>
        <w:t xml:space="preserve">, se observa que el Sujeto Obligado omitió dar cumplimiento a lo ordenado en la resolución del recurso de revisión </w:t>
      </w:r>
      <w:r w:rsidR="00B518DD" w:rsidRPr="003B7380">
        <w:rPr>
          <w:rFonts w:ascii="Palatino Linotype" w:hAnsi="Palatino Linotype"/>
          <w:b/>
          <w:bCs/>
        </w:rPr>
        <w:t>16955</w:t>
      </w:r>
      <w:r w:rsidRPr="003B7380">
        <w:rPr>
          <w:rFonts w:ascii="Palatino Linotype" w:hAnsi="Palatino Linotype"/>
          <w:b/>
          <w:bCs/>
        </w:rPr>
        <w:t>/INFOEM/IP/RR/2022</w:t>
      </w:r>
      <w:r w:rsidRPr="003B7380">
        <w:rPr>
          <w:rFonts w:ascii="Palatino Linotype" w:eastAsia="Palatino Linotype" w:hAnsi="Palatino Linotype"/>
        </w:rPr>
        <w:t xml:space="preserve"> dentro del término establecido;</w:t>
      </w:r>
    </w:p>
    <w:p w14:paraId="6C327D4A" w14:textId="77777777" w:rsidR="00B766A5" w:rsidRPr="003B7380" w:rsidRDefault="00B766A5" w:rsidP="00B766A5">
      <w:pPr>
        <w:pStyle w:val="Prrafodelista"/>
        <w:numPr>
          <w:ilvl w:val="0"/>
          <w:numId w:val="1"/>
        </w:numPr>
        <w:spacing w:line="360" w:lineRule="auto"/>
        <w:rPr>
          <w:rFonts w:ascii="Palatino Linotype" w:eastAsia="Palatino Linotype" w:hAnsi="Palatino Linotype"/>
        </w:rPr>
      </w:pPr>
      <w:r w:rsidRPr="003B7380">
        <w:rPr>
          <w:rFonts w:ascii="Palatino Linotype" w:eastAsia="Palatino Linotype" w:hAnsi="Palatino Linotype"/>
        </w:rPr>
        <w:t xml:space="preserve">Inconforme con la conducta reiterada por parte del Sujeto Obligado, el Recurrente hizo valer su derecho de poder interponer segundo recurso de revisión. </w:t>
      </w:r>
    </w:p>
    <w:p w14:paraId="67FD74C5" w14:textId="77777777" w:rsidR="00B766A5" w:rsidRPr="003B7380" w:rsidRDefault="00B766A5" w:rsidP="00B766A5">
      <w:pPr>
        <w:rPr>
          <w:rFonts w:eastAsia="Palatino Linotype"/>
          <w:szCs w:val="24"/>
        </w:rPr>
      </w:pPr>
    </w:p>
    <w:p w14:paraId="01759132" w14:textId="77777777" w:rsidR="00B766A5" w:rsidRPr="003B7380" w:rsidRDefault="00B766A5" w:rsidP="00B518DD">
      <w:pPr>
        <w:rPr>
          <w:rFonts w:eastAsia="Palatino Linotype"/>
          <w:szCs w:val="24"/>
        </w:rPr>
      </w:pPr>
      <w:r w:rsidRPr="003B7380">
        <w:rPr>
          <w:rFonts w:eastAsia="Palatino Linotype"/>
          <w:szCs w:val="24"/>
        </w:rPr>
        <w:t xml:space="preserve">De conformidad con lo anterior, concatenado con las constancias del expediente electrónico, se logra concluir que, </w:t>
      </w:r>
      <w:r w:rsidRPr="003B7380">
        <w:rPr>
          <w:rFonts w:eastAsia="Palatino Linotype"/>
          <w:b/>
          <w:szCs w:val="24"/>
        </w:rPr>
        <w:t>no se acredita la procedencia de la interposición de segundo recurso de revisión</w:t>
      </w:r>
      <w:r w:rsidRPr="003B7380">
        <w:rPr>
          <w:rFonts w:eastAsia="Palatino Linotype"/>
          <w:szCs w:val="24"/>
        </w:rPr>
        <w:t xml:space="preserve">, al </w:t>
      </w:r>
      <w:r w:rsidRPr="003B7380">
        <w:rPr>
          <w:rFonts w:eastAsia="Palatino Linotype"/>
          <w:b/>
          <w:szCs w:val="24"/>
        </w:rPr>
        <w:t>establecerse de manera clara y precisa como requisito, la existencia de respuesta</w:t>
      </w:r>
      <w:r w:rsidRPr="003B7380">
        <w:rPr>
          <w:rFonts w:eastAsia="Palatino Linotype"/>
          <w:szCs w:val="24"/>
        </w:rPr>
        <w:t xml:space="preserve"> por parte del Sujeto Obligado, la cual habrá ser objeto de estudio y análisis en el segundo recurso de revisión.</w:t>
      </w:r>
    </w:p>
    <w:p w14:paraId="164FE6A9" w14:textId="77777777" w:rsidR="00B766A5" w:rsidRPr="003B7380" w:rsidRDefault="00B766A5" w:rsidP="00B766A5">
      <w:pPr>
        <w:widowControl w:val="0"/>
        <w:spacing w:beforeLines="20" w:before="48" w:afterLines="20" w:after="48"/>
        <w:ind w:hanging="1"/>
        <w:rPr>
          <w:rFonts w:eastAsia="Palatino Linotype"/>
          <w:szCs w:val="24"/>
        </w:rPr>
      </w:pPr>
      <w:r w:rsidRPr="003B7380">
        <w:rPr>
          <w:rFonts w:eastAsia="Palatino Linotype"/>
          <w:szCs w:val="24"/>
        </w:rPr>
        <w:t>Consecuentemente, al carecer del elemento de procedencia de estudio y análisis, se actualiza la causa de improcedencia prevista en la fracción III del artículo 191 de la Ley de Transparencia y Acceso a la Información Pública del Estado de México y Municipios, que establece lo siguiente:</w:t>
      </w:r>
    </w:p>
    <w:p w14:paraId="12509D6B" w14:textId="77777777" w:rsidR="00B766A5" w:rsidRPr="003B7380" w:rsidRDefault="00B766A5" w:rsidP="00B766A5">
      <w:pPr>
        <w:widowControl w:val="0"/>
        <w:spacing w:beforeLines="20" w:before="48" w:afterLines="20" w:after="48"/>
        <w:ind w:hanging="1"/>
        <w:rPr>
          <w:rFonts w:eastAsia="Palatino Linotype"/>
          <w:szCs w:val="24"/>
        </w:rPr>
      </w:pPr>
    </w:p>
    <w:p w14:paraId="39B3BD71" w14:textId="77777777" w:rsidR="00B766A5" w:rsidRPr="003B7380" w:rsidRDefault="00B766A5" w:rsidP="00B766A5">
      <w:pPr>
        <w:pStyle w:val="Sinespaciado"/>
        <w:rPr>
          <w:rFonts w:eastAsia="Palatino Linotype"/>
        </w:rPr>
      </w:pPr>
      <w:r w:rsidRPr="003B7380">
        <w:rPr>
          <w:rFonts w:eastAsia="Palatino Linotype"/>
          <w:b/>
        </w:rPr>
        <w:t>Artículo 191</w:t>
      </w:r>
      <w:r w:rsidRPr="003B7380">
        <w:rPr>
          <w:rFonts w:eastAsia="Palatino Linotype"/>
        </w:rPr>
        <w:t>. El recurso será desechado por improcedente cuando:</w:t>
      </w:r>
    </w:p>
    <w:p w14:paraId="3F7776A6" w14:textId="77777777" w:rsidR="00B766A5" w:rsidRPr="003B7380" w:rsidRDefault="00B766A5" w:rsidP="00B766A5">
      <w:pPr>
        <w:pStyle w:val="Sinespaciado"/>
        <w:rPr>
          <w:rFonts w:eastAsia="Palatino Linotype"/>
        </w:rPr>
      </w:pPr>
      <w:r w:rsidRPr="003B7380">
        <w:t>(…)</w:t>
      </w:r>
    </w:p>
    <w:p w14:paraId="650F9153" w14:textId="77777777" w:rsidR="00B766A5" w:rsidRPr="003B7380" w:rsidRDefault="00B766A5" w:rsidP="00B766A5">
      <w:pPr>
        <w:pStyle w:val="Sinespaciado"/>
        <w:rPr>
          <w:rFonts w:eastAsia="Palatino Linotype"/>
          <w:b/>
        </w:rPr>
      </w:pPr>
      <w:r w:rsidRPr="003B7380">
        <w:rPr>
          <w:b/>
        </w:rPr>
        <w:t xml:space="preserve">III. </w:t>
      </w:r>
      <w:r w:rsidRPr="003B7380">
        <w:rPr>
          <w:rFonts w:eastAsia="Palatino Linotype"/>
          <w:b/>
          <w:u w:val="single"/>
        </w:rPr>
        <w:t>No actualice alguno de los supuestos previstos en la presente Ley</w:t>
      </w:r>
      <w:r w:rsidRPr="003B7380">
        <w:rPr>
          <w:rFonts w:eastAsia="Palatino Linotype"/>
          <w:b/>
        </w:rPr>
        <w:t>;</w:t>
      </w:r>
    </w:p>
    <w:p w14:paraId="214700E2" w14:textId="77777777" w:rsidR="00B766A5" w:rsidRPr="003B7380" w:rsidRDefault="00B766A5" w:rsidP="00B766A5">
      <w:pPr>
        <w:widowControl w:val="0"/>
        <w:spacing w:beforeLines="20" w:before="48" w:afterLines="20" w:after="48"/>
        <w:rPr>
          <w:rFonts w:eastAsia="Palatino Linotype"/>
          <w:szCs w:val="24"/>
        </w:rPr>
      </w:pPr>
    </w:p>
    <w:p w14:paraId="3BF9AEE0" w14:textId="77777777" w:rsidR="00B766A5" w:rsidRPr="003B7380" w:rsidRDefault="00B766A5" w:rsidP="00B766A5">
      <w:pPr>
        <w:rPr>
          <w:rFonts w:eastAsiaTheme="minorEastAsia" w:cs="Times New Roman"/>
          <w:szCs w:val="24"/>
          <w:lang w:val="es-ES_tradnl" w:eastAsia="es-ES"/>
        </w:rPr>
      </w:pPr>
      <w:r w:rsidRPr="003B7380">
        <w:rPr>
          <w:rFonts w:eastAsia="Batang" w:cs="Arial"/>
          <w:szCs w:val="24"/>
          <w:lang w:val="es-ES" w:eastAsia="es-ES"/>
        </w:rPr>
        <w:t xml:space="preserve">En conclusión, resulta procedente determinar el </w:t>
      </w:r>
      <w:r w:rsidRPr="003B7380">
        <w:rPr>
          <w:rFonts w:eastAsia="Batang" w:cs="Arial"/>
          <w:b/>
          <w:szCs w:val="24"/>
          <w:lang w:val="es-ES" w:eastAsia="es-ES"/>
        </w:rPr>
        <w:t>sobreseimiento</w:t>
      </w:r>
      <w:r w:rsidRPr="003B7380">
        <w:rPr>
          <w:rFonts w:eastAsia="Batang" w:cs="Arial"/>
          <w:szCs w:val="24"/>
          <w:lang w:val="es-ES" w:eastAsia="es-ES"/>
        </w:rPr>
        <w:t xml:space="preserve"> del presente recurso de revisión por improcedente conforme </w:t>
      </w:r>
      <w:r w:rsidRPr="003B7380">
        <w:rPr>
          <w:rFonts w:eastAsiaTheme="minorEastAsia" w:cs="Times New Roman"/>
          <w:szCs w:val="24"/>
          <w:lang w:val="es-ES_tradnl" w:eastAsia="es-ES"/>
        </w:rPr>
        <w:t>las consideraciones de hecho y de derecho hechas valer en líneas precedente</w:t>
      </w:r>
      <w:r w:rsidR="00B518DD" w:rsidRPr="003B7380">
        <w:rPr>
          <w:rFonts w:eastAsiaTheme="minorEastAsia" w:cs="Times New Roman"/>
          <w:szCs w:val="24"/>
          <w:lang w:val="es-ES_tradnl" w:eastAsia="es-ES"/>
        </w:rPr>
        <w:t xml:space="preserve">s que fueron materia de estudio. Sin embargo este Órgano Resolutor no pasa por desapercibido que mediante informe justificado el Sujeto Obligado subsano la omisión de respuesta de la solicitud primigenia; </w:t>
      </w:r>
      <w:r w:rsidRPr="003B7380">
        <w:rPr>
          <w:rFonts w:eastAsiaTheme="minorEastAsia" w:cs="Times New Roman"/>
          <w:szCs w:val="24"/>
          <w:lang w:val="es-ES_tradnl" w:eastAsia="es-ES"/>
        </w:rPr>
        <w:t xml:space="preserve"> por ello </w:t>
      </w:r>
      <w:r w:rsidRPr="003B7380">
        <w:rPr>
          <w:rFonts w:eastAsiaTheme="minorEastAsia" w:cs="Arial"/>
          <w:b/>
          <w:szCs w:val="24"/>
          <w:lang w:val="es-ES_tradnl" w:eastAsia="es-ES"/>
        </w:rPr>
        <w:t xml:space="preserve">con fundamento en la segunda hipótesis de la fracción I del artículo 186, </w:t>
      </w:r>
      <w:r w:rsidRPr="003B7380">
        <w:rPr>
          <w:rFonts w:eastAsiaTheme="minorEastAsia" w:cs="Arial"/>
          <w:szCs w:val="24"/>
          <w:lang w:val="es-ES_tradnl" w:eastAsia="es-ES"/>
        </w:rPr>
        <w:t xml:space="preserve">de la Ley de Transparencia y Acceso a la Información Pública del Estado de México y Municipios, se </w:t>
      </w:r>
      <w:r w:rsidRPr="003B7380">
        <w:rPr>
          <w:rFonts w:eastAsiaTheme="minorEastAsia" w:cs="Arial"/>
          <w:b/>
          <w:szCs w:val="24"/>
          <w:lang w:val="es-ES_tradnl" w:eastAsia="es-ES"/>
        </w:rPr>
        <w:t xml:space="preserve">SOBRESEE </w:t>
      </w:r>
      <w:r w:rsidRPr="003B7380">
        <w:rPr>
          <w:rFonts w:eastAsiaTheme="minorEastAsia" w:cs="Arial"/>
          <w:szCs w:val="24"/>
          <w:lang w:val="es-ES_tradnl" w:eastAsia="es-ES"/>
        </w:rPr>
        <w:t xml:space="preserve">el recurso de revisión </w:t>
      </w:r>
      <w:r w:rsidR="00B518DD" w:rsidRPr="003B7380">
        <w:rPr>
          <w:rFonts w:cs="Arial"/>
          <w:b/>
          <w:bCs/>
          <w:szCs w:val="24"/>
        </w:rPr>
        <w:t>16955/INFOEM/ICR-93</w:t>
      </w:r>
      <w:r w:rsidRPr="003B7380">
        <w:rPr>
          <w:rFonts w:cs="Arial"/>
          <w:b/>
          <w:bCs/>
          <w:szCs w:val="24"/>
        </w:rPr>
        <w:t>/IP/RR/2022</w:t>
      </w:r>
      <w:r w:rsidRPr="003B7380">
        <w:rPr>
          <w:rFonts w:eastAsiaTheme="minorEastAsia" w:cs="Arial"/>
          <w:szCs w:val="24"/>
          <w:lang w:val="es-ES_tradnl" w:eastAsia="es-ES"/>
        </w:rPr>
        <w:t>,</w:t>
      </w:r>
      <w:r w:rsidRPr="003B7380">
        <w:rPr>
          <w:rFonts w:eastAsiaTheme="minorEastAsia" w:cs="Times New Roman"/>
          <w:szCs w:val="24"/>
          <w:lang w:val="es-ES_tradnl" w:eastAsia="es-ES"/>
        </w:rPr>
        <w:t xml:space="preserve"> que ha sido materia del presente fallo.</w:t>
      </w:r>
    </w:p>
    <w:p w14:paraId="74B699DE" w14:textId="77777777" w:rsidR="00B766A5" w:rsidRPr="003B7380" w:rsidRDefault="00B766A5" w:rsidP="00B766A5">
      <w:pPr>
        <w:rPr>
          <w:rFonts w:eastAsia="Times New Roman" w:cs="Times New Roman"/>
          <w:szCs w:val="24"/>
          <w:lang w:val="es-ES_tradnl" w:eastAsia="es-ES"/>
        </w:rPr>
      </w:pPr>
    </w:p>
    <w:p w14:paraId="1C39D954" w14:textId="77777777" w:rsidR="00B766A5" w:rsidRPr="003B7380" w:rsidRDefault="00B766A5" w:rsidP="00B766A5">
      <w:pPr>
        <w:rPr>
          <w:rFonts w:eastAsia="Times New Roman" w:cs="Times New Roman"/>
          <w:szCs w:val="24"/>
          <w:lang w:val="es-ES" w:eastAsia="es-ES"/>
        </w:rPr>
      </w:pPr>
      <w:r w:rsidRPr="003B7380">
        <w:rPr>
          <w:rFonts w:eastAsia="Times New Roman" w:cs="Times New Roman"/>
          <w:szCs w:val="24"/>
          <w:lang w:val="es-ES" w:eastAsia="es-ES"/>
        </w:rPr>
        <w:t>Por lo antes expuesto y fundado es de resolverse y,</w:t>
      </w:r>
    </w:p>
    <w:p w14:paraId="725332C5" w14:textId="77777777" w:rsidR="00B766A5" w:rsidRPr="003B7380" w:rsidRDefault="00B766A5" w:rsidP="00B766A5">
      <w:pPr>
        <w:rPr>
          <w:rFonts w:eastAsia="Times New Roman" w:cs="Times New Roman"/>
          <w:szCs w:val="24"/>
          <w:lang w:val="es-ES" w:eastAsia="es-ES"/>
        </w:rPr>
      </w:pPr>
    </w:p>
    <w:p w14:paraId="7CCFA5CD" w14:textId="77777777" w:rsidR="00B766A5" w:rsidRPr="003B7380" w:rsidRDefault="00B766A5" w:rsidP="00B766A5">
      <w:pPr>
        <w:jc w:val="center"/>
        <w:rPr>
          <w:rFonts w:eastAsia="Times New Roman" w:cs="Times New Roman"/>
          <w:b/>
          <w:bCs/>
          <w:spacing w:val="60"/>
          <w:sz w:val="28"/>
          <w:szCs w:val="24"/>
          <w:lang w:val="es-ES_tradnl" w:eastAsia="es-ES"/>
        </w:rPr>
      </w:pPr>
      <w:r w:rsidRPr="003B7380">
        <w:rPr>
          <w:rFonts w:eastAsia="Times New Roman" w:cs="Times New Roman"/>
          <w:b/>
          <w:bCs/>
          <w:spacing w:val="60"/>
          <w:sz w:val="28"/>
          <w:szCs w:val="24"/>
          <w:lang w:val="es-ES_tradnl" w:eastAsia="es-ES"/>
        </w:rPr>
        <w:t>SE    RESUELVE</w:t>
      </w:r>
    </w:p>
    <w:p w14:paraId="45189B97" w14:textId="77777777" w:rsidR="00B766A5" w:rsidRPr="003B7380" w:rsidRDefault="00B766A5" w:rsidP="00B766A5">
      <w:pPr>
        <w:jc w:val="center"/>
        <w:rPr>
          <w:rFonts w:eastAsia="Times New Roman" w:cs="Times New Roman"/>
          <w:bCs/>
          <w:spacing w:val="60"/>
          <w:szCs w:val="24"/>
          <w:lang w:val="es-ES_tradnl" w:eastAsia="es-ES"/>
        </w:rPr>
      </w:pPr>
    </w:p>
    <w:p w14:paraId="5C15BBE8" w14:textId="77777777" w:rsidR="00B766A5" w:rsidRPr="003B7380" w:rsidRDefault="00B766A5" w:rsidP="00B766A5">
      <w:pPr>
        <w:tabs>
          <w:tab w:val="left" w:pos="8647"/>
        </w:tabs>
        <w:ind w:right="51"/>
        <w:rPr>
          <w:rFonts w:eastAsiaTheme="minorEastAsia" w:cs="Arial"/>
          <w:szCs w:val="24"/>
          <w:lang w:val="es-ES_tradnl" w:eastAsia="es-ES"/>
        </w:rPr>
      </w:pPr>
      <w:r w:rsidRPr="003B7380">
        <w:rPr>
          <w:rFonts w:eastAsiaTheme="minorEastAsia" w:cs="Arial"/>
          <w:b/>
          <w:sz w:val="28"/>
          <w:szCs w:val="24"/>
          <w:lang w:val="es-ES_tradnl" w:eastAsia="es-ES"/>
        </w:rPr>
        <w:t>PRIMERO.</w:t>
      </w:r>
      <w:r w:rsidRPr="003B7380">
        <w:rPr>
          <w:rFonts w:eastAsiaTheme="minorEastAsia" w:cs="Arial"/>
          <w:szCs w:val="24"/>
          <w:lang w:val="es-ES_tradnl" w:eastAsia="es-ES"/>
        </w:rPr>
        <w:t xml:space="preserve"> Se </w:t>
      </w:r>
      <w:r w:rsidRPr="003B7380">
        <w:rPr>
          <w:rFonts w:eastAsiaTheme="minorEastAsia" w:cs="Arial"/>
          <w:b/>
          <w:szCs w:val="24"/>
          <w:lang w:val="es-ES_tradnl" w:eastAsia="es-ES"/>
        </w:rPr>
        <w:t>SOBRESEE</w:t>
      </w:r>
      <w:r w:rsidRPr="003B7380">
        <w:rPr>
          <w:rFonts w:eastAsiaTheme="minorEastAsia" w:cs="Arial"/>
          <w:szCs w:val="24"/>
          <w:lang w:val="es-ES_tradnl" w:eastAsia="es-ES"/>
        </w:rPr>
        <w:t xml:space="preserve"> el recurso de revisión número </w:t>
      </w:r>
      <w:r w:rsidR="00B518DD" w:rsidRPr="003B7380">
        <w:rPr>
          <w:rFonts w:cs="Arial"/>
          <w:b/>
          <w:bCs/>
          <w:szCs w:val="24"/>
        </w:rPr>
        <w:t>16955/INFOEM/ICR-93</w:t>
      </w:r>
      <w:r w:rsidRPr="003B7380">
        <w:rPr>
          <w:rFonts w:cs="Arial"/>
          <w:b/>
          <w:bCs/>
          <w:szCs w:val="24"/>
        </w:rPr>
        <w:t>/IP/RR/2022</w:t>
      </w:r>
      <w:r w:rsidRPr="003B7380">
        <w:rPr>
          <w:rFonts w:eastAsiaTheme="minorEastAsia" w:cs="Arial"/>
          <w:szCs w:val="24"/>
          <w:lang w:val="es-ES_tradnl" w:eastAsia="es-ES"/>
        </w:rPr>
        <w:t xml:space="preserve">, por aparecer una causal de improcedencia, en términos de los artículos 191 fracción III; y 192 fracción IV de la Ley de Transparencia y Acceso a la Información Pública del Estado de México y Municipios, en términos del </w:t>
      </w:r>
      <w:r w:rsidRPr="003B7380">
        <w:rPr>
          <w:rFonts w:eastAsiaTheme="minorEastAsia" w:cs="Arial"/>
          <w:b/>
          <w:szCs w:val="24"/>
          <w:lang w:val="es-ES_tradnl" w:eastAsia="es-ES"/>
        </w:rPr>
        <w:t xml:space="preserve">Considerando CUARTO </w:t>
      </w:r>
      <w:r w:rsidRPr="003B7380">
        <w:rPr>
          <w:rFonts w:eastAsiaTheme="minorEastAsia" w:cs="Arial"/>
          <w:szCs w:val="24"/>
          <w:lang w:val="es-ES_tradnl" w:eastAsia="es-ES"/>
        </w:rPr>
        <w:t>de la presente resolución.</w:t>
      </w:r>
    </w:p>
    <w:p w14:paraId="48D69B22" w14:textId="77777777" w:rsidR="00B766A5" w:rsidRPr="003B7380" w:rsidRDefault="00B766A5" w:rsidP="00B766A5">
      <w:pPr>
        <w:tabs>
          <w:tab w:val="left" w:pos="8647"/>
        </w:tabs>
        <w:ind w:right="51"/>
        <w:rPr>
          <w:rFonts w:eastAsiaTheme="minorEastAsia" w:cs="Arial"/>
          <w:szCs w:val="24"/>
          <w:lang w:val="es-ES_tradnl" w:eastAsia="es-ES"/>
        </w:rPr>
      </w:pPr>
    </w:p>
    <w:p w14:paraId="6C0A37BF" w14:textId="77777777" w:rsidR="00B766A5" w:rsidRPr="003B7380" w:rsidRDefault="00B766A5" w:rsidP="00B766A5">
      <w:pPr>
        <w:tabs>
          <w:tab w:val="left" w:pos="8647"/>
        </w:tabs>
        <w:ind w:right="51"/>
        <w:rPr>
          <w:rFonts w:eastAsiaTheme="minorEastAsia" w:cs="Arial"/>
          <w:szCs w:val="24"/>
          <w:lang w:val="es-ES_tradnl" w:eastAsia="es-ES"/>
        </w:rPr>
      </w:pPr>
      <w:r w:rsidRPr="003B7380">
        <w:rPr>
          <w:rFonts w:eastAsiaTheme="minorEastAsia" w:cs="Arial"/>
          <w:b/>
          <w:sz w:val="28"/>
          <w:szCs w:val="24"/>
          <w:lang w:val="es-ES_tradnl" w:eastAsia="es-ES"/>
        </w:rPr>
        <w:t>SEGUNDO</w:t>
      </w:r>
      <w:r w:rsidRPr="003B7380">
        <w:rPr>
          <w:rFonts w:eastAsiaTheme="minorEastAsia" w:cs="Arial"/>
          <w:b/>
          <w:szCs w:val="24"/>
          <w:lang w:val="es-ES_tradnl" w:eastAsia="es-ES"/>
        </w:rPr>
        <w:t>.</w:t>
      </w:r>
      <w:r w:rsidRPr="003B7380">
        <w:rPr>
          <w:rFonts w:eastAsiaTheme="minorEastAsia" w:cs="Arial"/>
          <w:szCs w:val="24"/>
          <w:lang w:val="es-ES_tradnl" w:eastAsia="es-ES"/>
        </w:rPr>
        <w:t xml:space="preserve"> </w:t>
      </w:r>
      <w:r w:rsidRPr="003B7380">
        <w:rPr>
          <w:rFonts w:eastAsiaTheme="minorEastAsia" w:cs="Arial"/>
          <w:b/>
          <w:szCs w:val="24"/>
          <w:lang w:val="es-ES_tradnl" w:eastAsia="es-ES"/>
        </w:rPr>
        <w:t>Notifíquese</w:t>
      </w:r>
      <w:r w:rsidRPr="003B7380">
        <w:rPr>
          <w:rFonts w:eastAsiaTheme="minorEastAsia" w:cs="Arial"/>
          <w:szCs w:val="24"/>
          <w:lang w:val="es-ES_tradnl" w:eastAsia="es-ES"/>
        </w:rPr>
        <w:t xml:space="preserve"> vía SAIMEX la presente resolución al Titular de la Unidad de Transparencia del Sujeto Obligado.</w:t>
      </w:r>
    </w:p>
    <w:p w14:paraId="5F0996C4" w14:textId="77777777" w:rsidR="00B766A5" w:rsidRPr="003B7380" w:rsidRDefault="00B766A5" w:rsidP="00B766A5">
      <w:pPr>
        <w:tabs>
          <w:tab w:val="left" w:pos="8647"/>
        </w:tabs>
        <w:ind w:right="51"/>
        <w:rPr>
          <w:rFonts w:eastAsiaTheme="minorEastAsia" w:cs="Arial"/>
          <w:szCs w:val="24"/>
          <w:lang w:val="es-ES_tradnl" w:eastAsia="es-ES"/>
        </w:rPr>
      </w:pPr>
    </w:p>
    <w:p w14:paraId="0DE9CB20" w14:textId="77777777" w:rsidR="00B766A5" w:rsidRPr="003B7380" w:rsidRDefault="00B766A5" w:rsidP="00B766A5">
      <w:pPr>
        <w:rPr>
          <w:rFonts w:eastAsia="Times New Roman" w:cs="Arial"/>
          <w:szCs w:val="24"/>
          <w:lang w:val="es-ES" w:eastAsia="es-ES"/>
        </w:rPr>
      </w:pPr>
      <w:r w:rsidRPr="003B7380">
        <w:rPr>
          <w:rFonts w:eastAsia="Times New Roman" w:cs="Arial"/>
          <w:b/>
          <w:sz w:val="28"/>
          <w:szCs w:val="24"/>
          <w:lang w:val="es-ES" w:eastAsia="es-ES"/>
        </w:rPr>
        <w:t>TERCERO</w:t>
      </w:r>
      <w:r w:rsidRPr="003B7380">
        <w:rPr>
          <w:rFonts w:eastAsia="Times New Roman" w:cs="Arial"/>
          <w:b/>
          <w:szCs w:val="24"/>
          <w:lang w:val="es-ES" w:eastAsia="es-ES"/>
        </w:rPr>
        <w:t>.</w:t>
      </w:r>
      <w:r w:rsidRPr="003B7380">
        <w:rPr>
          <w:rFonts w:eastAsia="Times New Roman" w:cs="Arial"/>
          <w:szCs w:val="24"/>
          <w:lang w:val="es-ES" w:eastAsia="es-ES"/>
        </w:rPr>
        <w:t xml:space="preserve"> </w:t>
      </w:r>
      <w:r w:rsidRPr="003B7380">
        <w:rPr>
          <w:rFonts w:eastAsia="Times New Roman" w:cs="Arial"/>
          <w:b/>
          <w:szCs w:val="24"/>
          <w:lang w:val="es-ES" w:eastAsia="es-ES"/>
        </w:rPr>
        <w:t>Notifíquese</w:t>
      </w:r>
      <w:r w:rsidRPr="003B7380">
        <w:rPr>
          <w:rFonts w:eastAsia="Times New Roman" w:cs="Arial"/>
          <w:szCs w:val="24"/>
          <w:lang w:val="es-ES" w:eastAsia="es-ES"/>
        </w:rPr>
        <w:t xml:space="preserve"> a través del</w:t>
      </w:r>
      <w:r w:rsidRPr="003B7380">
        <w:rPr>
          <w:rFonts w:eastAsia="Times New Roman" w:cs="Times New Roman"/>
          <w:szCs w:val="24"/>
          <w:lang w:val="es-ES" w:eastAsia="es-ES"/>
        </w:rPr>
        <w:t xml:space="preserve"> Sistema de Acceso a la Información Mexiquense (SAIMEX)</w:t>
      </w:r>
      <w:r w:rsidRPr="003B7380">
        <w:rPr>
          <w:rFonts w:eastAsia="Times New Roman" w:cs="Arial"/>
          <w:szCs w:val="24"/>
          <w:lang w:val="es-ES" w:eastAsia="es-ES"/>
        </w:rPr>
        <w:t>, al Recurrente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5D225002" w14:textId="77777777" w:rsidR="00B766A5" w:rsidRPr="003B7380" w:rsidRDefault="00B766A5" w:rsidP="00B766A5">
      <w:pPr>
        <w:pBdr>
          <w:top w:val="nil"/>
          <w:left w:val="nil"/>
          <w:bottom w:val="nil"/>
          <w:right w:val="nil"/>
          <w:between w:val="nil"/>
        </w:pBdr>
        <w:rPr>
          <w:rFonts w:eastAsia="Palatino Linotype" w:cs="Palatino Linotype"/>
          <w:color w:val="000000"/>
          <w:szCs w:val="24"/>
          <w:lang w:val="es-ES_tradnl"/>
        </w:rPr>
      </w:pPr>
    </w:p>
    <w:p w14:paraId="08643E36" w14:textId="4C0588F2" w:rsidR="00B766A5" w:rsidRPr="003B7380" w:rsidRDefault="00B766A5" w:rsidP="00B766A5">
      <w:pPr>
        <w:pBdr>
          <w:top w:val="nil"/>
          <w:left w:val="nil"/>
          <w:bottom w:val="nil"/>
          <w:right w:val="nil"/>
          <w:between w:val="nil"/>
        </w:pBdr>
        <w:contextualSpacing/>
        <w:rPr>
          <w:rFonts w:eastAsia="Palatino Linotype" w:cs="Palatino Linotype"/>
          <w:color w:val="000000"/>
          <w:sz w:val="18"/>
          <w:szCs w:val="18"/>
        </w:rPr>
      </w:pPr>
      <w:bookmarkStart w:id="0" w:name="_heading=h.gjdgxs" w:colFirst="0" w:colLast="0"/>
      <w:bookmarkEnd w:id="0"/>
      <w:r w:rsidRPr="003B7380">
        <w:rPr>
          <w:rFonts w:eastAsia="Palatino Linotype" w:cs="Palatino Linotype"/>
          <w:color w:val="000000"/>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4194B" w:rsidRPr="003B7380">
        <w:rPr>
          <w:rFonts w:eastAsia="Palatino Linotype" w:cs="Palatino Linotype"/>
          <w:color w:val="000000"/>
          <w:szCs w:val="24"/>
        </w:rPr>
        <w:t>TRIGÉ</w:t>
      </w:r>
      <w:r w:rsidRPr="003B7380">
        <w:rPr>
          <w:rFonts w:eastAsia="Palatino Linotype" w:cs="Palatino Linotype"/>
          <w:color w:val="000000"/>
          <w:szCs w:val="24"/>
        </w:rPr>
        <w:t>SIMA PRIMER</w:t>
      </w:r>
      <w:r w:rsidR="00570A2B" w:rsidRPr="003B7380">
        <w:rPr>
          <w:rFonts w:eastAsia="Palatino Linotype" w:cs="Palatino Linotype"/>
          <w:color w:val="000000"/>
          <w:szCs w:val="24"/>
        </w:rPr>
        <w:t>A</w:t>
      </w:r>
      <w:r w:rsidRPr="003B7380">
        <w:rPr>
          <w:rFonts w:eastAsia="Palatino Linotype" w:cs="Palatino Linotype"/>
          <w:color w:val="000000"/>
          <w:szCs w:val="24"/>
        </w:rPr>
        <w:t xml:space="preserve"> SESIÓN ORDINARIA CELEBRADA EL TREINTA DE AGOSTO DE DOS MIL VEINTITRÉS, ANTE EL SECRETARIO TÉCNICO DEL PLENO, ALEXIS TAPIA RAMÍREZ.------------------------------------------------------------------------------------------------------------------------------------------------------------------------------------------------------------------------------------------------------------------------------------------------------------------------------------------------------------------------------------------------------------------------------------------------------------------------------------------------------------</w:t>
      </w:r>
      <w:r w:rsidR="00870B9B" w:rsidRPr="003B7380">
        <w:rPr>
          <w:rFonts w:eastAsia="Palatino Linotype" w:cs="Palatino Linotype"/>
          <w:color w:val="000000"/>
          <w:szCs w:val="24"/>
        </w:rPr>
        <w:t>-</w:t>
      </w:r>
      <w:r w:rsidRPr="003B7380">
        <w:rPr>
          <w:rFonts w:eastAsia="Palatino Linotype" w:cs="Palatino Linotype"/>
          <w:color w:val="000000"/>
          <w:szCs w:val="24"/>
        </w:rPr>
        <w:t>-----------------------------------------------------------------------------------------------------------------------------------------------------------------------------------------------------------------------------------------------------------------------------------------------------------------------------------------------------------------------------------------------------------------------------------------------------------------</w:t>
      </w:r>
    </w:p>
    <w:p w14:paraId="08B35D29"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r w:rsidRPr="003B7380">
        <w:rPr>
          <w:rFonts w:eastAsia="Palatino Linotype" w:cs="Palatino Linotype"/>
          <w:color w:val="000000"/>
          <w:sz w:val="18"/>
          <w:szCs w:val="18"/>
        </w:rPr>
        <w:t>JMV/CCR/ NJMB</w:t>
      </w:r>
      <w:bookmarkStart w:id="1" w:name="_GoBack"/>
      <w:bookmarkEnd w:id="1"/>
    </w:p>
    <w:p w14:paraId="6409A291"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p>
    <w:p w14:paraId="60AE891D"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p>
    <w:p w14:paraId="22CF01B7"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p>
    <w:p w14:paraId="7A819DB2"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p>
    <w:p w14:paraId="598BBC29"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p>
    <w:p w14:paraId="60BE4C88"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p>
    <w:p w14:paraId="7F8ADCDD"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p>
    <w:p w14:paraId="0D47F3DD"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p>
    <w:p w14:paraId="1C631637"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p>
    <w:p w14:paraId="205806E9"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p>
    <w:p w14:paraId="6C0DE4B2"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p>
    <w:p w14:paraId="6C0B6883"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p>
    <w:p w14:paraId="0CB56081"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p>
    <w:p w14:paraId="2543F288"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p>
    <w:p w14:paraId="3ABC11B1"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p>
    <w:p w14:paraId="5BFF7550"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p>
    <w:p w14:paraId="724458DF" w14:textId="77777777" w:rsidR="00B766A5" w:rsidRDefault="00B766A5" w:rsidP="00B766A5">
      <w:pPr>
        <w:pBdr>
          <w:top w:val="nil"/>
          <w:left w:val="nil"/>
          <w:bottom w:val="nil"/>
          <w:right w:val="nil"/>
          <w:between w:val="nil"/>
        </w:pBdr>
        <w:contextualSpacing/>
        <w:rPr>
          <w:rFonts w:eastAsia="Palatino Linotype" w:cs="Palatino Linotype"/>
          <w:color w:val="000000"/>
          <w:sz w:val="18"/>
          <w:szCs w:val="18"/>
        </w:rPr>
      </w:pPr>
    </w:p>
    <w:p w14:paraId="431268E9" w14:textId="77777777" w:rsidR="00B766A5" w:rsidRPr="008E7C9A" w:rsidRDefault="00B766A5" w:rsidP="00B766A5">
      <w:pPr>
        <w:pBdr>
          <w:top w:val="nil"/>
          <w:left w:val="nil"/>
          <w:bottom w:val="nil"/>
          <w:right w:val="nil"/>
          <w:between w:val="nil"/>
        </w:pBdr>
        <w:contextualSpacing/>
        <w:rPr>
          <w:rFonts w:eastAsia="Palatino Linotype" w:cs="Palatino Linotype"/>
          <w:color w:val="000000"/>
          <w:sz w:val="18"/>
          <w:szCs w:val="18"/>
        </w:rPr>
      </w:pPr>
    </w:p>
    <w:p w14:paraId="344F7CE6" w14:textId="77777777" w:rsidR="00B766A5" w:rsidRPr="003B7403" w:rsidRDefault="00B766A5" w:rsidP="00B766A5">
      <w:pPr>
        <w:pBdr>
          <w:top w:val="nil"/>
          <w:left w:val="nil"/>
          <w:bottom w:val="nil"/>
          <w:right w:val="nil"/>
          <w:between w:val="nil"/>
        </w:pBdr>
        <w:contextualSpacing/>
        <w:rPr>
          <w:rFonts w:eastAsia="Palatino Linotype" w:cs="Palatino Linotype"/>
          <w:color w:val="000000"/>
          <w:sz w:val="20"/>
          <w:szCs w:val="20"/>
        </w:rPr>
      </w:pPr>
    </w:p>
    <w:p w14:paraId="68775D9E" w14:textId="77777777" w:rsidR="00B766A5" w:rsidRPr="003B7403" w:rsidRDefault="00B766A5" w:rsidP="00B766A5">
      <w:pPr>
        <w:pBdr>
          <w:top w:val="nil"/>
          <w:left w:val="nil"/>
          <w:bottom w:val="nil"/>
          <w:right w:val="nil"/>
          <w:between w:val="nil"/>
        </w:pBdr>
        <w:contextualSpacing/>
        <w:rPr>
          <w:rFonts w:eastAsia="Palatino Linotype" w:cs="Palatino Linotype"/>
          <w:color w:val="000000"/>
          <w:sz w:val="20"/>
          <w:szCs w:val="20"/>
        </w:rPr>
      </w:pPr>
    </w:p>
    <w:p w14:paraId="464F5CFA" w14:textId="77777777" w:rsidR="00B766A5" w:rsidRPr="003B7403" w:rsidRDefault="00B766A5" w:rsidP="00B766A5">
      <w:pPr>
        <w:pBdr>
          <w:top w:val="nil"/>
          <w:left w:val="nil"/>
          <w:bottom w:val="nil"/>
          <w:right w:val="nil"/>
          <w:between w:val="nil"/>
        </w:pBdr>
        <w:contextualSpacing/>
        <w:rPr>
          <w:rFonts w:eastAsia="Palatino Linotype" w:cs="Palatino Linotype"/>
          <w:color w:val="000000"/>
          <w:sz w:val="20"/>
          <w:szCs w:val="20"/>
        </w:rPr>
      </w:pPr>
    </w:p>
    <w:p w14:paraId="6DAEAFD8" w14:textId="77777777" w:rsidR="00B766A5" w:rsidRPr="003B7403" w:rsidRDefault="00B766A5" w:rsidP="00B766A5">
      <w:pPr>
        <w:pBdr>
          <w:top w:val="nil"/>
          <w:left w:val="nil"/>
          <w:bottom w:val="nil"/>
          <w:right w:val="nil"/>
          <w:between w:val="nil"/>
        </w:pBdr>
        <w:contextualSpacing/>
        <w:rPr>
          <w:rFonts w:eastAsia="Palatino Linotype" w:cs="Palatino Linotype"/>
          <w:color w:val="000000"/>
          <w:sz w:val="20"/>
          <w:szCs w:val="20"/>
        </w:rPr>
      </w:pPr>
    </w:p>
    <w:p w14:paraId="619CE72E" w14:textId="77777777" w:rsidR="00B766A5" w:rsidRPr="003B7403" w:rsidRDefault="00B766A5" w:rsidP="00B766A5">
      <w:pPr>
        <w:pBdr>
          <w:top w:val="nil"/>
          <w:left w:val="nil"/>
          <w:bottom w:val="nil"/>
          <w:right w:val="nil"/>
          <w:between w:val="nil"/>
        </w:pBdr>
        <w:contextualSpacing/>
        <w:rPr>
          <w:rFonts w:eastAsia="Palatino Linotype" w:cs="Palatino Linotype"/>
          <w:color w:val="000000"/>
          <w:sz w:val="20"/>
          <w:szCs w:val="20"/>
        </w:rPr>
      </w:pPr>
    </w:p>
    <w:p w14:paraId="5B5DB756" w14:textId="77777777" w:rsidR="00B766A5" w:rsidRPr="003B7403" w:rsidRDefault="00B766A5" w:rsidP="00B766A5">
      <w:pPr>
        <w:pBdr>
          <w:top w:val="nil"/>
          <w:left w:val="nil"/>
          <w:bottom w:val="nil"/>
          <w:right w:val="nil"/>
          <w:between w:val="nil"/>
        </w:pBdr>
        <w:contextualSpacing/>
        <w:rPr>
          <w:rFonts w:eastAsia="Palatino Linotype" w:cs="Palatino Linotype"/>
          <w:color w:val="000000"/>
          <w:sz w:val="20"/>
          <w:szCs w:val="20"/>
        </w:rPr>
      </w:pPr>
    </w:p>
    <w:p w14:paraId="354F4019" w14:textId="77777777" w:rsidR="00B766A5" w:rsidRPr="003B7403" w:rsidRDefault="00B766A5" w:rsidP="00B766A5">
      <w:pPr>
        <w:pBdr>
          <w:top w:val="nil"/>
          <w:left w:val="nil"/>
          <w:bottom w:val="nil"/>
          <w:right w:val="nil"/>
          <w:between w:val="nil"/>
        </w:pBdr>
        <w:contextualSpacing/>
        <w:rPr>
          <w:rFonts w:eastAsia="Palatino Linotype" w:cs="Palatino Linotype"/>
          <w:color w:val="000000"/>
          <w:sz w:val="20"/>
          <w:szCs w:val="20"/>
        </w:rPr>
      </w:pPr>
    </w:p>
    <w:p w14:paraId="3C5AE177" w14:textId="77777777" w:rsidR="00B766A5" w:rsidRPr="003B7403" w:rsidRDefault="00B766A5" w:rsidP="00B766A5">
      <w:pPr>
        <w:pBdr>
          <w:top w:val="nil"/>
          <w:left w:val="nil"/>
          <w:bottom w:val="nil"/>
          <w:right w:val="nil"/>
          <w:between w:val="nil"/>
        </w:pBdr>
        <w:contextualSpacing/>
        <w:rPr>
          <w:rFonts w:eastAsia="Palatino Linotype" w:cs="Palatino Linotype"/>
          <w:color w:val="000000"/>
          <w:sz w:val="20"/>
          <w:szCs w:val="20"/>
        </w:rPr>
      </w:pPr>
    </w:p>
    <w:p w14:paraId="058858AB" w14:textId="77777777" w:rsidR="00B766A5" w:rsidRPr="003B7403" w:rsidRDefault="00B766A5" w:rsidP="00B766A5">
      <w:pPr>
        <w:pBdr>
          <w:top w:val="nil"/>
          <w:left w:val="nil"/>
          <w:bottom w:val="nil"/>
          <w:right w:val="nil"/>
          <w:between w:val="nil"/>
        </w:pBdr>
        <w:contextualSpacing/>
        <w:rPr>
          <w:rFonts w:eastAsia="Palatino Linotype" w:cs="Palatino Linotype"/>
          <w:color w:val="000000"/>
          <w:sz w:val="20"/>
          <w:szCs w:val="20"/>
        </w:rPr>
      </w:pPr>
    </w:p>
    <w:p w14:paraId="5ABE41B4" w14:textId="77777777" w:rsidR="00B766A5" w:rsidRPr="003B7403" w:rsidRDefault="00B766A5" w:rsidP="00B766A5">
      <w:pPr>
        <w:rPr>
          <w:sz w:val="20"/>
          <w:szCs w:val="20"/>
        </w:rPr>
      </w:pPr>
    </w:p>
    <w:p w14:paraId="4FEB8F53" w14:textId="77777777" w:rsidR="00B766A5" w:rsidRDefault="00B766A5" w:rsidP="00B766A5"/>
    <w:p w14:paraId="1AE64370" w14:textId="77777777" w:rsidR="00983760" w:rsidRDefault="00983760"/>
    <w:sectPr w:rsidR="00983760" w:rsidSect="00E668CF">
      <w:headerReference w:type="even" r:id="rId8"/>
      <w:headerReference w:type="default" r:id="rId9"/>
      <w:footerReference w:type="default" r:id="rId10"/>
      <w:headerReference w:type="first" r:id="rId11"/>
      <w:footerReference w:type="first" r:id="rId12"/>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A83F3" w14:textId="77777777" w:rsidR="003C18EA" w:rsidRDefault="003C18EA" w:rsidP="00B766A5">
      <w:pPr>
        <w:spacing w:line="240" w:lineRule="auto"/>
      </w:pPr>
      <w:r>
        <w:separator/>
      </w:r>
    </w:p>
  </w:endnote>
  <w:endnote w:type="continuationSeparator" w:id="0">
    <w:p w14:paraId="713890C5" w14:textId="77777777" w:rsidR="003C18EA" w:rsidRDefault="003C18EA" w:rsidP="00B76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F11B7" w14:textId="7BCA472C" w:rsidR="003B557B" w:rsidRPr="00430CB3" w:rsidRDefault="00454E7F" w:rsidP="0043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B7380">
      <w:rPr>
        <w:rFonts w:ascii="Palatino Linotype" w:hAnsi="Palatino Linotype"/>
        <w:b/>
        <w:bCs/>
        <w:noProof/>
        <w:sz w:val="20"/>
      </w:rPr>
      <w:t>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B7380">
      <w:rPr>
        <w:rFonts w:ascii="Palatino Linotype" w:hAnsi="Palatino Linotype"/>
        <w:b/>
        <w:bCs/>
        <w:noProof/>
        <w:sz w:val="20"/>
      </w:rPr>
      <w:t>10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944EB" w14:textId="0D77FC4E" w:rsidR="003B557B" w:rsidRPr="00430CB3" w:rsidRDefault="00454E7F" w:rsidP="00430CB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3B738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3B7380">
      <w:rPr>
        <w:rFonts w:ascii="Palatino Linotype" w:hAnsi="Palatino Linotype"/>
        <w:b/>
        <w:bCs/>
        <w:noProof/>
        <w:sz w:val="20"/>
      </w:rPr>
      <w:t>10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785BB" w14:textId="77777777" w:rsidR="003C18EA" w:rsidRDefault="003C18EA" w:rsidP="00B766A5">
      <w:pPr>
        <w:spacing w:line="240" w:lineRule="auto"/>
      </w:pPr>
      <w:r>
        <w:separator/>
      </w:r>
    </w:p>
  </w:footnote>
  <w:footnote w:type="continuationSeparator" w:id="0">
    <w:p w14:paraId="721F9245" w14:textId="77777777" w:rsidR="003C18EA" w:rsidRDefault="003C18EA" w:rsidP="00B766A5">
      <w:pPr>
        <w:spacing w:line="240" w:lineRule="auto"/>
      </w:pPr>
      <w:r>
        <w:continuationSeparator/>
      </w:r>
    </w:p>
  </w:footnote>
  <w:footnote w:id="1">
    <w:p w14:paraId="3B070CE3" w14:textId="77777777" w:rsidR="00B766A5" w:rsidRPr="00A070D9" w:rsidRDefault="00B766A5" w:rsidP="00B766A5">
      <w:pPr>
        <w:pStyle w:val="Textonotapie"/>
      </w:pPr>
      <w:r>
        <w:rPr>
          <w:rStyle w:val="Refdenotaalpie"/>
        </w:rPr>
        <w:footnoteRef/>
      </w:r>
      <w:r>
        <w:t xml:space="preserve"> Tesis II. 1o. J/5, </w:t>
      </w:r>
      <w:r>
        <w:rPr>
          <w:i/>
        </w:rPr>
        <w:t>Semanario Judicial de la Federación</w:t>
      </w:r>
      <w:r>
        <w:t>, Octava Época. tomo VII, mayo de 1991, pág. 95.</w:t>
      </w:r>
    </w:p>
  </w:footnote>
  <w:footnote w:id="2">
    <w:p w14:paraId="18863643" w14:textId="77777777" w:rsidR="00B766A5" w:rsidRPr="00A070D9" w:rsidRDefault="00B766A5" w:rsidP="00B766A5">
      <w:pPr>
        <w:spacing w:line="240" w:lineRule="auto"/>
        <w:rPr>
          <w:b/>
          <w:bCs/>
          <w:i/>
          <w:sz w:val="18"/>
          <w:szCs w:val="18"/>
        </w:rPr>
      </w:pPr>
      <w:r w:rsidRPr="00A070D9">
        <w:rPr>
          <w:rStyle w:val="Refdenotaalpie"/>
          <w:sz w:val="18"/>
          <w:szCs w:val="18"/>
        </w:rPr>
        <w:footnoteRef/>
      </w:r>
      <w:r w:rsidRPr="00A070D9">
        <w:rPr>
          <w:sz w:val="18"/>
          <w:szCs w:val="18"/>
        </w:rPr>
        <w:t xml:space="preserve"> </w:t>
      </w:r>
      <w:r w:rsidRPr="00A070D9">
        <w:rPr>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14:paraId="6FDC5AFD" w14:textId="77777777" w:rsidR="00B766A5" w:rsidRPr="00A070D9" w:rsidRDefault="00B766A5" w:rsidP="00B766A5">
      <w:pPr>
        <w:spacing w:line="240" w:lineRule="auto"/>
        <w:rPr>
          <w:i/>
          <w:sz w:val="18"/>
          <w:szCs w:val="18"/>
        </w:rPr>
      </w:pPr>
      <w:r w:rsidRPr="00A070D9">
        <w:rPr>
          <w:i/>
          <w:sz w:val="18"/>
          <w:szCs w:val="18"/>
        </w:rPr>
        <w:t xml:space="preserve">Del examen de compatibilidad de los artículos </w:t>
      </w:r>
      <w:hyperlink r:id="rId1" w:history="1">
        <w:r w:rsidRPr="00A070D9">
          <w:rPr>
            <w:rStyle w:val="Hipervnculo"/>
            <w:i/>
            <w:sz w:val="18"/>
            <w:szCs w:val="18"/>
          </w:rPr>
          <w:t>73 y 74 de la Ley de Amparo</w:t>
        </w:r>
      </w:hyperlink>
      <w:r w:rsidRPr="00A070D9">
        <w:rPr>
          <w:rStyle w:val="apple-converted-space"/>
          <w:i/>
          <w:sz w:val="18"/>
          <w:szCs w:val="18"/>
        </w:rPr>
        <w:t xml:space="preserve"> </w:t>
      </w:r>
      <w:r w:rsidRPr="00A070D9">
        <w:rPr>
          <w:i/>
          <w:sz w:val="18"/>
          <w:szCs w:val="18"/>
        </w:rPr>
        <w:t xml:space="preserve">con el artículo </w:t>
      </w:r>
      <w:hyperlink r:id="rId2" w:history="1">
        <w:r w:rsidRPr="00A070D9">
          <w:rPr>
            <w:rStyle w:val="Hipervnculo"/>
            <w:i/>
            <w:sz w:val="18"/>
            <w:szCs w:val="18"/>
          </w:rPr>
          <w:t>25.1 de la Convención Americana sobre Derechos Humanos</w:t>
        </w:r>
      </w:hyperlink>
      <w:r w:rsidRPr="00A070D9">
        <w:rPr>
          <w:rStyle w:val="Hipervnculo"/>
          <w:i/>
          <w:sz w:val="18"/>
          <w:szCs w:val="18"/>
        </w:rPr>
        <w:t xml:space="preserve"> </w:t>
      </w:r>
      <w:r w:rsidRPr="00A070D9">
        <w:rPr>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070D9">
        <w:rPr>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1C0BDD" w14:textId="77777777" w:rsidR="003B557B" w:rsidRDefault="003B7380">
    <w:pPr>
      <w:pStyle w:val="Encabezado"/>
    </w:pPr>
    <w:r>
      <w:rPr>
        <w:noProof/>
        <w:lang w:val="es-MX" w:eastAsia="es-MX"/>
      </w:rPr>
      <w:pict w14:anchorId="50D6B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0"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741B45" w:rsidRPr="00B17577" w14:paraId="7BB4ECBB" w14:textId="77777777" w:rsidTr="00430CB3">
      <w:trPr>
        <w:trHeight w:val="227"/>
      </w:trPr>
      <w:tc>
        <w:tcPr>
          <w:tcW w:w="5245" w:type="dxa"/>
          <w:hideMark/>
        </w:tcPr>
        <w:p w14:paraId="31F769F1" w14:textId="77777777" w:rsidR="003B557B" w:rsidRPr="00096248" w:rsidRDefault="00454E7F" w:rsidP="00430CB3">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7BA81EDD" w14:textId="77777777" w:rsidR="003B557B" w:rsidRPr="00096248" w:rsidRDefault="00B766A5" w:rsidP="00430CB3">
          <w:pPr>
            <w:spacing w:after="120" w:line="240" w:lineRule="auto"/>
            <w:ind w:right="71"/>
            <w:jc w:val="right"/>
            <w:rPr>
              <w:rFonts w:cs="Arial"/>
              <w:b/>
              <w:szCs w:val="24"/>
            </w:rPr>
          </w:pPr>
          <w:r>
            <w:rPr>
              <w:rFonts w:eastAsia="Times New Roman" w:cs="Times New Roman"/>
              <w:b/>
              <w:bCs/>
              <w:szCs w:val="24"/>
            </w:rPr>
            <w:t>16955/INFOEM/ICR-93</w:t>
          </w:r>
          <w:r w:rsidR="00454E7F" w:rsidRPr="00D23570">
            <w:rPr>
              <w:rFonts w:eastAsia="Times New Roman" w:cs="Times New Roman"/>
              <w:b/>
              <w:bCs/>
              <w:szCs w:val="24"/>
            </w:rPr>
            <w:t>/IP/RR/2022</w:t>
          </w:r>
        </w:p>
      </w:tc>
    </w:tr>
    <w:tr w:rsidR="00741B45" w14:paraId="024F5D6C" w14:textId="77777777" w:rsidTr="00430CB3">
      <w:trPr>
        <w:trHeight w:val="242"/>
      </w:trPr>
      <w:tc>
        <w:tcPr>
          <w:tcW w:w="5245" w:type="dxa"/>
          <w:hideMark/>
        </w:tcPr>
        <w:p w14:paraId="66EACA3A" w14:textId="77777777" w:rsidR="003B557B" w:rsidRPr="00096248" w:rsidRDefault="00454E7F" w:rsidP="00430CB3">
          <w:pPr>
            <w:spacing w:after="120" w:line="240" w:lineRule="auto"/>
            <w:ind w:right="69"/>
            <w:jc w:val="right"/>
            <w:rPr>
              <w:rFonts w:cs="Arial"/>
              <w:b/>
              <w:szCs w:val="24"/>
            </w:rPr>
          </w:pPr>
          <w:r w:rsidRPr="00096248">
            <w:rPr>
              <w:rFonts w:cs="Arial"/>
              <w:b/>
              <w:szCs w:val="24"/>
            </w:rPr>
            <w:t>Sujeto Obligado:</w:t>
          </w:r>
        </w:p>
      </w:tc>
      <w:tc>
        <w:tcPr>
          <w:tcW w:w="4395" w:type="dxa"/>
          <w:hideMark/>
        </w:tcPr>
        <w:p w14:paraId="585CFC7E" w14:textId="77777777" w:rsidR="003B557B" w:rsidRPr="00096248" w:rsidRDefault="00454E7F" w:rsidP="00E668CF">
          <w:pPr>
            <w:spacing w:after="120" w:line="240" w:lineRule="auto"/>
            <w:ind w:left="-70" w:right="71"/>
            <w:jc w:val="right"/>
            <w:rPr>
              <w:rFonts w:cs="Arial"/>
              <w:szCs w:val="24"/>
            </w:rPr>
          </w:pPr>
          <w:r>
            <w:rPr>
              <w:rFonts w:cs="Arial"/>
              <w:szCs w:val="24"/>
            </w:rPr>
            <w:t xml:space="preserve">Ayuntamiento de </w:t>
          </w:r>
          <w:r w:rsidR="00B766A5">
            <w:rPr>
              <w:rFonts w:cs="Arial"/>
              <w:szCs w:val="24"/>
            </w:rPr>
            <w:t>Zinacantepec</w:t>
          </w:r>
        </w:p>
      </w:tc>
    </w:tr>
    <w:tr w:rsidR="00741B45" w:rsidRPr="00F63239" w14:paraId="73D28BAC" w14:textId="77777777" w:rsidTr="00430CB3">
      <w:trPr>
        <w:trHeight w:val="342"/>
      </w:trPr>
      <w:tc>
        <w:tcPr>
          <w:tcW w:w="5245" w:type="dxa"/>
          <w:hideMark/>
        </w:tcPr>
        <w:p w14:paraId="39BF9E13" w14:textId="77777777" w:rsidR="003B557B" w:rsidRPr="00096248" w:rsidRDefault="00454E7F" w:rsidP="00430CB3">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07200E55" w14:textId="77777777" w:rsidR="003B557B" w:rsidRPr="00096248" w:rsidRDefault="00454E7F" w:rsidP="00430CB3">
          <w:pPr>
            <w:spacing w:after="120" w:line="240" w:lineRule="auto"/>
            <w:ind w:left="-486" w:right="71" w:firstLine="567"/>
            <w:jc w:val="right"/>
            <w:rPr>
              <w:rFonts w:cs="Arial"/>
              <w:szCs w:val="24"/>
            </w:rPr>
          </w:pPr>
          <w:r w:rsidRPr="00096248">
            <w:rPr>
              <w:rFonts w:cs="Arial"/>
              <w:szCs w:val="24"/>
            </w:rPr>
            <w:t>José Martínez Vilchis</w:t>
          </w:r>
        </w:p>
      </w:tc>
    </w:tr>
  </w:tbl>
  <w:p w14:paraId="6F45398C" w14:textId="77777777" w:rsidR="003B557B" w:rsidRPr="00430CB3" w:rsidRDefault="003B7380">
    <w:pPr>
      <w:pStyle w:val="Encabezado"/>
      <w:rPr>
        <w:sz w:val="2"/>
        <w:szCs w:val="2"/>
      </w:rPr>
    </w:pPr>
    <w:r>
      <w:rPr>
        <w:noProof/>
        <w:lang w:val="es-MX" w:eastAsia="es-MX"/>
      </w:rPr>
      <w:pict w14:anchorId="57761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1" type="#_x0000_t75" alt="" style="position:absolute;left:0;text-align:left;margin-left:-83.9pt;margin-top:-150.3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454E7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741B45" w14:paraId="328B57B0" w14:textId="77777777" w:rsidTr="00430CB3">
      <w:trPr>
        <w:trHeight w:val="227"/>
      </w:trPr>
      <w:tc>
        <w:tcPr>
          <w:tcW w:w="5245" w:type="dxa"/>
          <w:hideMark/>
        </w:tcPr>
        <w:p w14:paraId="24B673B4" w14:textId="77777777" w:rsidR="003B557B" w:rsidRPr="00663A37" w:rsidRDefault="00454E7F" w:rsidP="00430CB3">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068189AD" w14:textId="77777777" w:rsidR="00D23570" w:rsidRPr="00D23570" w:rsidRDefault="00B766A5" w:rsidP="00D23570">
          <w:pPr>
            <w:spacing w:after="120" w:line="240" w:lineRule="auto"/>
            <w:ind w:left="-486" w:right="68" w:firstLine="558"/>
            <w:jc w:val="right"/>
            <w:rPr>
              <w:rFonts w:eastAsia="Times New Roman" w:cs="Times New Roman"/>
              <w:b/>
              <w:bCs/>
              <w:szCs w:val="24"/>
            </w:rPr>
          </w:pPr>
          <w:r>
            <w:rPr>
              <w:rFonts w:eastAsia="Times New Roman" w:cs="Times New Roman"/>
              <w:b/>
              <w:bCs/>
              <w:szCs w:val="24"/>
            </w:rPr>
            <w:t>16955/INFOEM/ICR-93</w:t>
          </w:r>
          <w:r w:rsidR="00454E7F" w:rsidRPr="00D23570">
            <w:rPr>
              <w:rFonts w:eastAsia="Times New Roman" w:cs="Times New Roman"/>
              <w:b/>
              <w:bCs/>
              <w:szCs w:val="24"/>
            </w:rPr>
            <w:t>/IP/RR/2022</w:t>
          </w:r>
          <w:r w:rsidR="00454E7F">
            <w:rPr>
              <w:rFonts w:eastAsia="Times New Roman" w:cs="Times New Roman"/>
              <w:b/>
              <w:bCs/>
              <w:szCs w:val="24"/>
            </w:rPr>
            <w:t xml:space="preserve"> </w:t>
          </w:r>
        </w:p>
      </w:tc>
    </w:tr>
    <w:tr w:rsidR="00741B45" w:rsidRPr="001F57CD" w14:paraId="49370951" w14:textId="77777777" w:rsidTr="00430CB3">
      <w:trPr>
        <w:trHeight w:val="196"/>
      </w:trPr>
      <w:tc>
        <w:tcPr>
          <w:tcW w:w="5245" w:type="dxa"/>
          <w:hideMark/>
        </w:tcPr>
        <w:p w14:paraId="26AFCA5D" w14:textId="5D2A7A3C" w:rsidR="003B557B" w:rsidRPr="00663A37" w:rsidRDefault="00454E7F" w:rsidP="00430CB3">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395" w:type="dxa"/>
          <w:hideMark/>
        </w:tcPr>
        <w:p w14:paraId="40F319F1" w14:textId="13080919" w:rsidR="003B557B" w:rsidRPr="00663A37" w:rsidRDefault="00B907AE" w:rsidP="00B766A5">
          <w:pPr>
            <w:spacing w:after="120" w:line="240" w:lineRule="auto"/>
            <w:ind w:right="68"/>
            <w:jc w:val="right"/>
            <w:rPr>
              <w:rFonts w:cs="Arial"/>
              <w:szCs w:val="24"/>
            </w:rPr>
          </w:pPr>
          <w:r>
            <w:rPr>
              <w:rFonts w:cs="Arial"/>
              <w:szCs w:val="24"/>
            </w:rPr>
            <w:t>XXXX</w:t>
          </w:r>
        </w:p>
      </w:tc>
    </w:tr>
    <w:tr w:rsidR="00741B45" w14:paraId="2521C13E" w14:textId="77777777" w:rsidTr="00430CB3">
      <w:trPr>
        <w:trHeight w:val="242"/>
      </w:trPr>
      <w:tc>
        <w:tcPr>
          <w:tcW w:w="5245" w:type="dxa"/>
          <w:hideMark/>
        </w:tcPr>
        <w:p w14:paraId="5F6D4F4D" w14:textId="77777777" w:rsidR="003B557B" w:rsidRPr="00663A37" w:rsidRDefault="00454E7F" w:rsidP="00430CB3">
          <w:pPr>
            <w:spacing w:after="120" w:line="240" w:lineRule="auto"/>
            <w:ind w:right="68"/>
            <w:jc w:val="right"/>
            <w:rPr>
              <w:rFonts w:cs="Arial"/>
              <w:b/>
              <w:szCs w:val="24"/>
            </w:rPr>
          </w:pPr>
          <w:r w:rsidRPr="00663A37">
            <w:rPr>
              <w:rFonts w:cs="Arial"/>
              <w:b/>
              <w:szCs w:val="24"/>
            </w:rPr>
            <w:t>Sujeto Obligado:</w:t>
          </w:r>
        </w:p>
      </w:tc>
      <w:tc>
        <w:tcPr>
          <w:tcW w:w="4395" w:type="dxa"/>
          <w:hideMark/>
        </w:tcPr>
        <w:p w14:paraId="7F8825DE" w14:textId="77777777" w:rsidR="003B557B" w:rsidRPr="00663A37" w:rsidRDefault="00454E7F" w:rsidP="00E668CF">
          <w:pPr>
            <w:spacing w:after="120" w:line="240" w:lineRule="auto"/>
            <w:ind w:left="-70" w:right="68"/>
            <w:jc w:val="right"/>
            <w:rPr>
              <w:rFonts w:cs="Arial"/>
              <w:szCs w:val="24"/>
            </w:rPr>
          </w:pPr>
          <w:r>
            <w:rPr>
              <w:rFonts w:cs="Arial"/>
              <w:szCs w:val="24"/>
            </w:rPr>
            <w:t xml:space="preserve">Ayuntamiento de </w:t>
          </w:r>
          <w:r w:rsidR="00B766A5">
            <w:rPr>
              <w:rFonts w:cs="Arial"/>
              <w:szCs w:val="24"/>
            </w:rPr>
            <w:t>Zinacantepec</w:t>
          </w:r>
        </w:p>
      </w:tc>
    </w:tr>
    <w:tr w:rsidR="00741B45" w14:paraId="642C2191" w14:textId="77777777" w:rsidTr="00430CB3">
      <w:trPr>
        <w:trHeight w:val="342"/>
      </w:trPr>
      <w:tc>
        <w:tcPr>
          <w:tcW w:w="5245" w:type="dxa"/>
          <w:hideMark/>
        </w:tcPr>
        <w:p w14:paraId="1AFF2A4A" w14:textId="77777777" w:rsidR="003B557B" w:rsidRPr="00663A37" w:rsidRDefault="00454E7F" w:rsidP="00430CB3">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4A06064A" w14:textId="77777777" w:rsidR="003B557B" w:rsidRPr="00663A37" w:rsidRDefault="00454E7F" w:rsidP="00430CB3">
          <w:pPr>
            <w:spacing w:after="120" w:line="240" w:lineRule="auto"/>
            <w:ind w:left="-486" w:right="68" w:firstLine="567"/>
            <w:jc w:val="right"/>
            <w:rPr>
              <w:rFonts w:cs="Arial"/>
              <w:szCs w:val="24"/>
            </w:rPr>
          </w:pPr>
          <w:r w:rsidRPr="00663A37">
            <w:rPr>
              <w:rFonts w:cs="Arial"/>
              <w:szCs w:val="24"/>
            </w:rPr>
            <w:t>José Martínez Vilchis</w:t>
          </w:r>
        </w:p>
      </w:tc>
    </w:tr>
  </w:tbl>
  <w:p w14:paraId="0C10ABF8" w14:textId="77777777" w:rsidR="003B557B" w:rsidRPr="00430CB3" w:rsidRDefault="003B7380">
    <w:pPr>
      <w:pStyle w:val="Encabezado"/>
      <w:rPr>
        <w:sz w:val="2"/>
        <w:szCs w:val="2"/>
      </w:rPr>
    </w:pPr>
    <w:r>
      <w:rPr>
        <w:noProof/>
        <w:lang w:val="es-MX" w:eastAsia="es-MX"/>
      </w:rPr>
      <w:pict w14:anchorId="6812F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2049" type="#_x0000_t75" alt="" style="position:absolute;left:0;text-align:left;margin-left:-84.2pt;margin-top:-150.15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454E7F">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8295F"/>
    <w:multiLevelType w:val="hybridMultilevel"/>
    <w:tmpl w:val="B8CC1474"/>
    <w:lvl w:ilvl="0" w:tplc="CD3062B6">
      <w:start w:val="6"/>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13C6D58"/>
    <w:multiLevelType w:val="hybridMultilevel"/>
    <w:tmpl w:val="7C728C6A"/>
    <w:lvl w:ilvl="0" w:tplc="080A0013">
      <w:start w:val="1"/>
      <w:numFmt w:val="upperRoman"/>
      <w:lvlText w:val="%1."/>
      <w:lvlJc w:val="right"/>
      <w:pPr>
        <w:ind w:left="709" w:hanging="425"/>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A5"/>
    <w:rsid w:val="001309D6"/>
    <w:rsid w:val="0014194B"/>
    <w:rsid w:val="002B6CDC"/>
    <w:rsid w:val="003B7380"/>
    <w:rsid w:val="003C18EA"/>
    <w:rsid w:val="00454E7F"/>
    <w:rsid w:val="004B20EE"/>
    <w:rsid w:val="00570A2B"/>
    <w:rsid w:val="005B0988"/>
    <w:rsid w:val="005E2B4E"/>
    <w:rsid w:val="00857197"/>
    <w:rsid w:val="00870B9B"/>
    <w:rsid w:val="00983760"/>
    <w:rsid w:val="00AC2E03"/>
    <w:rsid w:val="00AF2B2C"/>
    <w:rsid w:val="00AF5B9C"/>
    <w:rsid w:val="00B518DD"/>
    <w:rsid w:val="00B766A5"/>
    <w:rsid w:val="00B8328F"/>
    <w:rsid w:val="00B907AE"/>
    <w:rsid w:val="00BA4AEA"/>
    <w:rsid w:val="00C474BE"/>
    <w:rsid w:val="00C52DF3"/>
    <w:rsid w:val="00CB72F2"/>
    <w:rsid w:val="00D50A8C"/>
    <w:rsid w:val="00EB08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34BC67"/>
  <w15:chartTrackingRefBased/>
  <w15:docId w15:val="{4EA4BA44-A3B0-48FB-992B-735DF7FD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6A5"/>
    <w:pPr>
      <w:spacing w:after="0" w:line="360" w:lineRule="auto"/>
      <w:jc w:val="both"/>
    </w:pPr>
    <w:rPr>
      <w:rFonts w:ascii="Palatino Linotype" w:eastAsia="Calibri" w:hAnsi="Palatino Linotype" w:cs="Calibri"/>
      <w:sz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66A5"/>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B766A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766A5"/>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B766A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766A5"/>
    <w:pPr>
      <w:spacing w:line="240" w:lineRule="auto"/>
      <w:ind w:left="708"/>
    </w:pPr>
    <w:rPr>
      <w:rFonts w:ascii="Times New Roman" w:eastAsia="Times New Roman" w:hAnsi="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766A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766A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766A5"/>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766A5"/>
    <w:rPr>
      <w:rFonts w:ascii="Palatino Linotype" w:eastAsia="Calibri" w:hAnsi="Palatino Linotype" w:cs="Calibri"/>
      <w:sz w:val="20"/>
      <w:szCs w:val="20"/>
      <w:lang w:eastAsia="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766A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766A5"/>
    <w:rPr>
      <w:color w:val="0563C1" w:themeColor="hyperlink"/>
      <w:u w:val="single"/>
    </w:rPr>
  </w:style>
  <w:style w:type="paragraph" w:styleId="Sinespaciado">
    <w:name w:val="No Spacing"/>
    <w:aliases w:val="fundamentos,Francesa,INAI"/>
    <w:link w:val="SinespaciadoCar"/>
    <w:uiPriority w:val="1"/>
    <w:qFormat/>
    <w:rsid w:val="00B766A5"/>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B766A5"/>
    <w:rPr>
      <w:rFonts w:ascii="Palatino Linotype" w:eastAsia="Times New Roman" w:hAnsi="Palatino Linotype" w:cs="Times New Roman"/>
      <w:i/>
      <w:szCs w:val="24"/>
      <w:lang w:eastAsia="es-ES"/>
    </w:rPr>
  </w:style>
  <w:style w:type="character" w:styleId="Refdecomentario">
    <w:name w:val="annotation reference"/>
    <w:basedOn w:val="Fuentedeprrafopredeter"/>
    <w:uiPriority w:val="99"/>
    <w:semiHidden/>
    <w:unhideWhenUsed/>
    <w:rsid w:val="00D50A8C"/>
    <w:rPr>
      <w:sz w:val="16"/>
      <w:szCs w:val="16"/>
    </w:rPr>
  </w:style>
  <w:style w:type="paragraph" w:styleId="Textocomentario">
    <w:name w:val="annotation text"/>
    <w:basedOn w:val="Normal"/>
    <w:link w:val="TextocomentarioCar"/>
    <w:uiPriority w:val="99"/>
    <w:semiHidden/>
    <w:unhideWhenUsed/>
    <w:rsid w:val="00D50A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50A8C"/>
    <w:rPr>
      <w:rFonts w:ascii="Palatino Linotype" w:eastAsia="Calibri" w:hAnsi="Palatino Linotype"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50A8C"/>
    <w:rPr>
      <w:b/>
      <w:bCs/>
    </w:rPr>
  </w:style>
  <w:style w:type="character" w:customStyle="1" w:styleId="AsuntodelcomentarioCar">
    <w:name w:val="Asunto del comentario Car"/>
    <w:basedOn w:val="TextocomentarioCar"/>
    <w:link w:val="Asuntodelcomentario"/>
    <w:uiPriority w:val="99"/>
    <w:semiHidden/>
    <w:rsid w:val="00D50A8C"/>
    <w:rPr>
      <w:rFonts w:ascii="Palatino Linotype" w:eastAsia="Calibri" w:hAnsi="Palatino Linotype" w:cs="Calibri"/>
      <w:b/>
      <w:bCs/>
      <w:sz w:val="20"/>
      <w:szCs w:val="20"/>
      <w:lang w:eastAsia="es-MX"/>
    </w:rPr>
  </w:style>
  <w:style w:type="paragraph" w:styleId="Textodeglobo">
    <w:name w:val="Balloon Text"/>
    <w:basedOn w:val="Normal"/>
    <w:link w:val="TextodegloboCar"/>
    <w:uiPriority w:val="99"/>
    <w:semiHidden/>
    <w:unhideWhenUsed/>
    <w:rsid w:val="00D50A8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A8C"/>
    <w:rPr>
      <w:rFonts w:ascii="Segoe UI" w:eastAsia="Calibri" w:hAnsi="Segoe UI" w:cs="Segoe UI"/>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701849">
      <w:bodyDiv w:val="1"/>
      <w:marLeft w:val="0"/>
      <w:marRight w:val="0"/>
      <w:marTop w:val="0"/>
      <w:marBottom w:val="0"/>
      <w:divBdr>
        <w:top w:val="none" w:sz="0" w:space="0" w:color="auto"/>
        <w:left w:val="none" w:sz="0" w:space="0" w:color="auto"/>
        <w:bottom w:val="none" w:sz="0" w:space="0" w:color="auto"/>
        <w:right w:val="none" w:sz="0" w:space="0" w:color="auto"/>
      </w:divBdr>
    </w:div>
    <w:div w:id="546798724">
      <w:bodyDiv w:val="1"/>
      <w:marLeft w:val="0"/>
      <w:marRight w:val="0"/>
      <w:marTop w:val="0"/>
      <w:marBottom w:val="0"/>
      <w:divBdr>
        <w:top w:val="none" w:sz="0" w:space="0" w:color="auto"/>
        <w:left w:val="none" w:sz="0" w:space="0" w:color="auto"/>
        <w:bottom w:val="none" w:sz="0" w:space="0" w:color="auto"/>
        <w:right w:val="none" w:sz="0" w:space="0" w:color="auto"/>
      </w:divBdr>
    </w:div>
    <w:div w:id="621033266">
      <w:bodyDiv w:val="1"/>
      <w:marLeft w:val="0"/>
      <w:marRight w:val="0"/>
      <w:marTop w:val="0"/>
      <w:marBottom w:val="0"/>
      <w:divBdr>
        <w:top w:val="none" w:sz="0" w:space="0" w:color="auto"/>
        <w:left w:val="none" w:sz="0" w:space="0" w:color="auto"/>
        <w:bottom w:val="none" w:sz="0" w:space="0" w:color="auto"/>
        <w:right w:val="none" w:sz="0" w:space="0" w:color="auto"/>
      </w:divBdr>
    </w:div>
    <w:div w:id="677125560">
      <w:bodyDiv w:val="1"/>
      <w:marLeft w:val="0"/>
      <w:marRight w:val="0"/>
      <w:marTop w:val="0"/>
      <w:marBottom w:val="0"/>
      <w:divBdr>
        <w:top w:val="none" w:sz="0" w:space="0" w:color="auto"/>
        <w:left w:val="none" w:sz="0" w:space="0" w:color="auto"/>
        <w:bottom w:val="none" w:sz="0" w:space="0" w:color="auto"/>
        <w:right w:val="none" w:sz="0" w:space="0" w:color="auto"/>
      </w:divBdr>
    </w:div>
    <w:div w:id="756366489">
      <w:bodyDiv w:val="1"/>
      <w:marLeft w:val="0"/>
      <w:marRight w:val="0"/>
      <w:marTop w:val="0"/>
      <w:marBottom w:val="0"/>
      <w:divBdr>
        <w:top w:val="none" w:sz="0" w:space="0" w:color="auto"/>
        <w:left w:val="none" w:sz="0" w:space="0" w:color="auto"/>
        <w:bottom w:val="none" w:sz="0" w:space="0" w:color="auto"/>
        <w:right w:val="none" w:sz="0" w:space="0" w:color="auto"/>
      </w:divBdr>
    </w:div>
    <w:div w:id="959411137">
      <w:bodyDiv w:val="1"/>
      <w:marLeft w:val="0"/>
      <w:marRight w:val="0"/>
      <w:marTop w:val="0"/>
      <w:marBottom w:val="0"/>
      <w:divBdr>
        <w:top w:val="none" w:sz="0" w:space="0" w:color="auto"/>
        <w:left w:val="none" w:sz="0" w:space="0" w:color="auto"/>
        <w:bottom w:val="none" w:sz="0" w:space="0" w:color="auto"/>
        <w:right w:val="none" w:sz="0" w:space="0" w:color="auto"/>
      </w:divBdr>
    </w:div>
    <w:div w:id="1140490126">
      <w:bodyDiv w:val="1"/>
      <w:marLeft w:val="0"/>
      <w:marRight w:val="0"/>
      <w:marTop w:val="0"/>
      <w:marBottom w:val="0"/>
      <w:divBdr>
        <w:top w:val="none" w:sz="0" w:space="0" w:color="auto"/>
        <w:left w:val="none" w:sz="0" w:space="0" w:color="auto"/>
        <w:bottom w:val="none" w:sz="0" w:space="0" w:color="auto"/>
        <w:right w:val="none" w:sz="0" w:space="0" w:color="auto"/>
      </w:divBdr>
    </w:div>
    <w:div w:id="1405177077">
      <w:bodyDiv w:val="1"/>
      <w:marLeft w:val="0"/>
      <w:marRight w:val="0"/>
      <w:marTop w:val="0"/>
      <w:marBottom w:val="0"/>
      <w:divBdr>
        <w:top w:val="none" w:sz="0" w:space="0" w:color="auto"/>
        <w:left w:val="none" w:sz="0" w:space="0" w:color="auto"/>
        <w:bottom w:val="none" w:sz="0" w:space="0" w:color="auto"/>
        <w:right w:val="none" w:sz="0" w:space="0" w:color="auto"/>
      </w:divBdr>
    </w:div>
    <w:div w:id="1428846426">
      <w:bodyDiv w:val="1"/>
      <w:marLeft w:val="0"/>
      <w:marRight w:val="0"/>
      <w:marTop w:val="0"/>
      <w:marBottom w:val="0"/>
      <w:divBdr>
        <w:top w:val="none" w:sz="0" w:space="0" w:color="auto"/>
        <w:left w:val="none" w:sz="0" w:space="0" w:color="auto"/>
        <w:bottom w:val="none" w:sz="0" w:space="0" w:color="auto"/>
        <w:right w:val="none" w:sz="0" w:space="0" w:color="auto"/>
      </w:divBdr>
    </w:div>
    <w:div w:id="1459029794">
      <w:bodyDiv w:val="1"/>
      <w:marLeft w:val="0"/>
      <w:marRight w:val="0"/>
      <w:marTop w:val="0"/>
      <w:marBottom w:val="0"/>
      <w:divBdr>
        <w:top w:val="none" w:sz="0" w:space="0" w:color="auto"/>
        <w:left w:val="none" w:sz="0" w:space="0" w:color="auto"/>
        <w:bottom w:val="none" w:sz="0" w:space="0" w:color="auto"/>
        <w:right w:val="none" w:sz="0" w:space="0" w:color="auto"/>
      </w:divBdr>
    </w:div>
    <w:div w:id="1528252718">
      <w:bodyDiv w:val="1"/>
      <w:marLeft w:val="0"/>
      <w:marRight w:val="0"/>
      <w:marTop w:val="0"/>
      <w:marBottom w:val="0"/>
      <w:divBdr>
        <w:top w:val="none" w:sz="0" w:space="0" w:color="auto"/>
        <w:left w:val="none" w:sz="0" w:space="0" w:color="auto"/>
        <w:bottom w:val="none" w:sz="0" w:space="0" w:color="auto"/>
        <w:right w:val="none" w:sz="0" w:space="0" w:color="auto"/>
      </w:divBdr>
    </w:div>
    <w:div w:id="173454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3731-19A0-4884-841D-3EB45D777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4894</Words>
  <Characters>26921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10</cp:revision>
  <dcterms:created xsi:type="dcterms:W3CDTF">2023-08-23T17:24:00Z</dcterms:created>
  <dcterms:modified xsi:type="dcterms:W3CDTF">2023-10-10T23:19:00Z</dcterms:modified>
</cp:coreProperties>
</file>