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2391" w14:textId="77777777" w:rsidR="006F55DA" w:rsidRPr="009100CF" w:rsidRDefault="00852940">
      <w:pPr>
        <w:spacing w:before="240" w:after="240" w:line="360" w:lineRule="auto"/>
        <w:jc w:val="both"/>
        <w:rPr>
          <w:rFonts w:ascii="Palatino Linotype" w:eastAsia="Palatino Linotype" w:hAnsi="Palatino Linotype" w:cs="Palatino Linotype"/>
        </w:rPr>
      </w:pPr>
      <w:bookmarkStart w:id="0" w:name="_heading=h.17dp8vu" w:colFirst="0" w:colLast="0"/>
      <w:bookmarkEnd w:id="0"/>
      <w:r w:rsidRPr="009100C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61522F1E" w14:textId="065C3A95"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VISTO</w:t>
      </w:r>
      <w:r w:rsidRPr="009100CF">
        <w:rPr>
          <w:rFonts w:ascii="Palatino Linotype" w:eastAsia="Palatino Linotype" w:hAnsi="Palatino Linotype" w:cs="Palatino Linotype"/>
        </w:rPr>
        <w:t xml:space="preserve"> el expediente formado con motivo del recurso de revisión </w:t>
      </w:r>
      <w:r w:rsidRPr="009100CF">
        <w:rPr>
          <w:rFonts w:ascii="Palatino Linotype" w:eastAsia="Palatino Linotype" w:hAnsi="Palatino Linotype" w:cs="Palatino Linotype"/>
          <w:b/>
        </w:rPr>
        <w:t>00599/INFOEM/IP/RR/2023</w:t>
      </w:r>
      <w:r w:rsidRPr="009100CF">
        <w:rPr>
          <w:rFonts w:ascii="Palatino Linotype" w:eastAsia="Palatino Linotype" w:hAnsi="Palatino Linotype" w:cs="Palatino Linotype"/>
        </w:rPr>
        <w:t xml:space="preserve">, interpuesto por </w:t>
      </w:r>
      <w:r w:rsidR="0009294E">
        <w:rPr>
          <w:rFonts w:ascii="Palatino Linotype" w:eastAsia="Palatino Linotype" w:hAnsi="Palatino Linotype" w:cs="Palatino Linotype"/>
          <w:b/>
        </w:rPr>
        <w:t>XXXX XXXXXXX XXXXXXX</w:t>
      </w:r>
      <w:r w:rsidRPr="009100CF">
        <w:rPr>
          <w:rFonts w:ascii="Palatino Linotype" w:eastAsia="Palatino Linotype" w:hAnsi="Palatino Linotype" w:cs="Palatino Linotype"/>
          <w:b/>
        </w:rPr>
        <w:t>,</w:t>
      </w:r>
      <w:r w:rsidRPr="009100CF">
        <w:rPr>
          <w:rFonts w:ascii="Palatino Linotype" w:eastAsia="Palatino Linotype" w:hAnsi="Palatino Linotype" w:cs="Palatino Linotype"/>
        </w:rPr>
        <w:t xml:space="preserve"> en lo sucesivo</w:t>
      </w:r>
      <w:r w:rsidRPr="009100CF">
        <w:rPr>
          <w:rFonts w:ascii="Palatino Linotype" w:eastAsia="Palatino Linotype" w:hAnsi="Palatino Linotype" w:cs="Palatino Linotype"/>
          <w:b/>
        </w:rPr>
        <w:t xml:space="preserve"> </w:t>
      </w:r>
      <w:r w:rsidRPr="009100CF">
        <w:rPr>
          <w:rFonts w:ascii="Palatino Linotype" w:eastAsia="Palatino Linotype" w:hAnsi="Palatino Linotype" w:cs="Palatino Linotype"/>
        </w:rPr>
        <w:t xml:space="preserve">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en contra de la respuesta a su solicitud por parte del </w:t>
      </w:r>
      <w:r w:rsidRPr="009100CF">
        <w:rPr>
          <w:rFonts w:ascii="Palatino Linotype" w:eastAsia="Palatino Linotype" w:hAnsi="Palatino Linotype" w:cs="Palatino Linotype"/>
          <w:b/>
        </w:rPr>
        <w:t xml:space="preserve">Secretaría General de Gobierno, </w:t>
      </w:r>
      <w:r w:rsidRPr="009100CF">
        <w:rPr>
          <w:rFonts w:ascii="Palatino Linotype" w:eastAsia="Palatino Linotype" w:hAnsi="Palatino Linotype" w:cs="Palatino Linotype"/>
        </w:rPr>
        <w:t xml:space="preserve">en lo sucesivo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 xml:space="preserve">se procede a dictar la presente resolución con base en los siguientes: </w:t>
      </w:r>
    </w:p>
    <w:p w14:paraId="28E669A4" w14:textId="77777777" w:rsidR="006F55DA" w:rsidRPr="009100CF" w:rsidRDefault="00852940">
      <w:pPr>
        <w:spacing w:before="240" w:after="240" w:line="360" w:lineRule="auto"/>
        <w:jc w:val="center"/>
        <w:rPr>
          <w:rFonts w:ascii="Palatino Linotype" w:eastAsia="Palatino Linotype" w:hAnsi="Palatino Linotype" w:cs="Palatino Linotype"/>
          <w:b/>
        </w:rPr>
      </w:pPr>
      <w:r w:rsidRPr="009100CF">
        <w:rPr>
          <w:rFonts w:ascii="Palatino Linotype" w:eastAsia="Palatino Linotype" w:hAnsi="Palatino Linotype" w:cs="Palatino Linotype"/>
          <w:b/>
        </w:rPr>
        <w:t>I. A N T E C E D E N T E S</w:t>
      </w:r>
    </w:p>
    <w:p w14:paraId="2A6F86F4"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1. Solicitud de acceso a la información.</w:t>
      </w:r>
      <w:r w:rsidRPr="009100CF">
        <w:rPr>
          <w:rFonts w:ascii="Palatino Linotype" w:eastAsia="Palatino Linotype" w:hAnsi="Palatino Linotype" w:cs="Palatino Linotype"/>
        </w:rPr>
        <w:t xml:space="preserve"> Con fecha </w:t>
      </w:r>
      <w:r w:rsidRPr="009100CF">
        <w:rPr>
          <w:rFonts w:ascii="Palatino Linotype" w:eastAsia="Palatino Linotype" w:hAnsi="Palatino Linotype" w:cs="Palatino Linotype"/>
          <w:b/>
        </w:rPr>
        <w:t>dieciséis de enero de dos mil veintitrés,</w:t>
      </w:r>
      <w:r w:rsidRPr="009100CF">
        <w:rPr>
          <w:rFonts w:ascii="Palatino Linotype" w:eastAsia="Palatino Linotype" w:hAnsi="Palatino Linotype" w:cs="Palatino Linotype"/>
        </w:rPr>
        <w:t xml:space="preserve"> la parte </w:t>
      </w:r>
      <w:r w:rsidRPr="009100CF">
        <w:rPr>
          <w:rFonts w:ascii="Palatino Linotype" w:eastAsia="Palatino Linotype" w:hAnsi="Palatino Linotype" w:cs="Palatino Linotype"/>
          <w:b/>
        </w:rPr>
        <w:t xml:space="preserve">Recurrente </w:t>
      </w:r>
      <w:r w:rsidRPr="009100CF">
        <w:rPr>
          <w:rFonts w:ascii="Palatino Linotype" w:eastAsia="Palatino Linotype" w:hAnsi="Palatino Linotype" w:cs="Palatino Linotype"/>
        </w:rPr>
        <w:t xml:space="preserve">presentó, a través del Sistema de Acceso a la Información Mexiquense, en lo subsecuente el </w:t>
      </w:r>
      <w:r w:rsidRPr="009100CF">
        <w:rPr>
          <w:rFonts w:ascii="Palatino Linotype" w:eastAsia="Palatino Linotype" w:hAnsi="Palatino Linotype" w:cs="Palatino Linotype"/>
          <w:b/>
        </w:rPr>
        <w:t>SAIMEX,</w:t>
      </w:r>
      <w:r w:rsidRPr="009100CF">
        <w:rPr>
          <w:rFonts w:ascii="Palatino Linotype" w:eastAsia="Palatino Linotype" w:hAnsi="Palatino Linotype" w:cs="Palatino Linotype"/>
        </w:rPr>
        <w:t xml:space="preserve"> ante 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la solicitud de acceso a la información pública, a la que se le asignó el número</w:t>
      </w:r>
      <w:r w:rsidRPr="009100CF">
        <w:rPr>
          <w:rFonts w:ascii="Palatino Linotype" w:eastAsia="Palatino Linotype" w:hAnsi="Palatino Linotype" w:cs="Palatino Linotype"/>
          <w:b/>
        </w:rPr>
        <w:t xml:space="preserve"> 00024/SEGEGOB/IP/2023, </w:t>
      </w:r>
      <w:r w:rsidRPr="009100CF">
        <w:rPr>
          <w:rFonts w:ascii="Palatino Linotype" w:eastAsia="Palatino Linotype" w:hAnsi="Palatino Linotype" w:cs="Palatino Linotype"/>
        </w:rPr>
        <w:t xml:space="preserve">mediante la cual requirió la información siguiente: </w:t>
      </w:r>
    </w:p>
    <w:p w14:paraId="13991855" w14:textId="77777777" w:rsidR="006F55DA" w:rsidRPr="009100CF" w:rsidRDefault="00852940">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9100CF">
        <w:rPr>
          <w:rFonts w:ascii="Palatino Linotype" w:eastAsia="Palatino Linotype" w:hAnsi="Palatino Linotype" w:cs="Palatino Linotype"/>
          <w:i/>
          <w:sz w:val="22"/>
          <w:szCs w:val="22"/>
        </w:rPr>
        <w:t xml:space="preserve">“En virtud de que el artículo 6.25 bis del Código Administrativo del Estado de México es la única referencia a la atribución de los Municipios de emitir dictamen de protección civil de bajo riesgo y que el Reglamento del Libro Sexto del Código Administrativo del Estado de México no desarrolla dicho dictamen, solicito a la Coordinación General de Protección Civil del Gobierno del Estado de México, </w:t>
      </w:r>
      <w:r w:rsidRPr="009100CF">
        <w:rPr>
          <w:rFonts w:ascii="Palatino Linotype" w:eastAsia="Palatino Linotype" w:hAnsi="Palatino Linotype" w:cs="Palatino Linotype"/>
          <w:b/>
          <w:i/>
          <w:sz w:val="22"/>
          <w:szCs w:val="22"/>
        </w:rPr>
        <w:t xml:space="preserve">el fundamento, los </w:t>
      </w:r>
      <w:proofErr w:type="spellStart"/>
      <w:r w:rsidRPr="009100CF">
        <w:rPr>
          <w:rFonts w:ascii="Palatino Linotype" w:eastAsia="Palatino Linotype" w:hAnsi="Palatino Linotype" w:cs="Palatino Linotype"/>
          <w:b/>
          <w:i/>
          <w:sz w:val="22"/>
          <w:szCs w:val="22"/>
        </w:rPr>
        <w:t>líneamientos</w:t>
      </w:r>
      <w:proofErr w:type="spellEnd"/>
      <w:r w:rsidRPr="009100CF">
        <w:rPr>
          <w:rFonts w:ascii="Palatino Linotype" w:eastAsia="Palatino Linotype" w:hAnsi="Palatino Linotype" w:cs="Palatino Linotype"/>
          <w:b/>
          <w:i/>
          <w:sz w:val="22"/>
          <w:szCs w:val="22"/>
        </w:rPr>
        <w:t>, directrices, normas técnicas estatales, requisitos o reglas de operación bajo las cuales se debe emitir el dictamen en comento por parte de los Municipio</w:t>
      </w:r>
      <w:r w:rsidRPr="009100CF">
        <w:rPr>
          <w:rFonts w:ascii="Palatino Linotype" w:eastAsia="Palatino Linotype" w:hAnsi="Palatino Linotype" w:cs="Palatino Linotype"/>
          <w:i/>
          <w:sz w:val="22"/>
          <w:szCs w:val="22"/>
        </w:rPr>
        <w:t>s.</w:t>
      </w:r>
      <w:r w:rsidRPr="009100CF">
        <w:rPr>
          <w:rFonts w:ascii="Palatino Linotype" w:eastAsia="Palatino Linotype" w:hAnsi="Palatino Linotype" w:cs="Palatino Linotype"/>
          <w:b/>
          <w:i/>
          <w:sz w:val="22"/>
          <w:szCs w:val="22"/>
        </w:rPr>
        <w:t>”</w:t>
      </w:r>
      <w:r w:rsidRPr="009100CF">
        <w:rPr>
          <w:rFonts w:ascii="Palatino Linotype" w:eastAsia="Palatino Linotype" w:hAnsi="Palatino Linotype" w:cs="Palatino Linotype"/>
          <w:i/>
          <w:sz w:val="22"/>
          <w:szCs w:val="22"/>
        </w:rPr>
        <w:t xml:space="preserve"> (sic) </w:t>
      </w:r>
    </w:p>
    <w:p w14:paraId="7347389C"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no adjuntó archivos.</w:t>
      </w:r>
    </w:p>
    <w:p w14:paraId="0E53C0AC"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lastRenderedPageBreak/>
        <w:t>Modalidad de Entrega:</w:t>
      </w:r>
      <w:r w:rsidRPr="009100CF">
        <w:rPr>
          <w:rFonts w:ascii="Palatino Linotype" w:eastAsia="Palatino Linotype" w:hAnsi="Palatino Linotype" w:cs="Palatino Linotype"/>
        </w:rPr>
        <w:t xml:space="preserve"> a través </w:t>
      </w:r>
      <w:r w:rsidRPr="009100CF">
        <w:rPr>
          <w:rFonts w:ascii="Palatino Linotype" w:eastAsia="Palatino Linotype" w:hAnsi="Palatino Linotype" w:cs="Palatino Linotype"/>
          <w:b/>
        </w:rPr>
        <w:t>de SAIMEX</w:t>
      </w:r>
    </w:p>
    <w:p w14:paraId="3E132DAC" w14:textId="77777777" w:rsidR="006F55DA" w:rsidRPr="009100CF" w:rsidRDefault="00852940">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9100CF">
        <w:rPr>
          <w:rFonts w:ascii="Palatino Linotype" w:eastAsia="Palatino Linotype" w:hAnsi="Palatino Linotype" w:cs="Palatino Linotype"/>
          <w:b/>
        </w:rPr>
        <w:t xml:space="preserve">2. Respuesta. </w:t>
      </w:r>
      <w:r w:rsidRPr="009100CF">
        <w:rPr>
          <w:rFonts w:ascii="Palatino Linotype" w:eastAsia="Palatino Linotype" w:hAnsi="Palatino Linotype" w:cs="Palatino Linotype"/>
        </w:rPr>
        <w:t>Con fecha</w:t>
      </w:r>
      <w:r w:rsidRPr="009100CF">
        <w:rPr>
          <w:rFonts w:ascii="Palatino Linotype" w:eastAsia="Palatino Linotype" w:hAnsi="Palatino Linotype" w:cs="Palatino Linotype"/>
          <w:b/>
        </w:rPr>
        <w:t xml:space="preserve"> uno de febrero de dos mil veintitrés</w:t>
      </w:r>
      <w:r w:rsidRPr="009100CF">
        <w:rPr>
          <w:rFonts w:ascii="Palatino Linotype" w:eastAsia="Palatino Linotype" w:hAnsi="Palatino Linotype" w:cs="Palatino Linotype"/>
        </w:rPr>
        <w:t xml:space="preserve">,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0CBF941" w14:textId="77777777" w:rsidR="006F55DA" w:rsidRPr="009100CF" w:rsidRDefault="00852940">
      <w:pPr>
        <w:spacing w:before="240" w:after="240"/>
        <w:ind w:left="851" w:right="902"/>
        <w:jc w:val="both"/>
        <w:rPr>
          <w:rFonts w:ascii="Palatino Linotype" w:eastAsia="Palatino Linotype" w:hAnsi="Palatino Linotype" w:cs="Palatino Linotype"/>
          <w:b/>
          <w:i/>
          <w:sz w:val="22"/>
          <w:szCs w:val="22"/>
        </w:rPr>
      </w:pPr>
      <w:r w:rsidRPr="009100CF">
        <w:rPr>
          <w:rFonts w:ascii="Palatino Linotype" w:eastAsia="Palatino Linotype" w:hAnsi="Palatino Linotype" w:cs="Palatino Linotype"/>
          <w:i/>
          <w:sz w:val="22"/>
          <w:szCs w:val="22"/>
        </w:rPr>
        <w:t>“…SE ANEXA RESPUESTA EN UN ARCHIVO...” (sic)</w:t>
      </w:r>
    </w:p>
    <w:p w14:paraId="2C25D6F4"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adjuntó el archivo “</w:t>
      </w:r>
      <w:proofErr w:type="spellStart"/>
      <w:r w:rsidRPr="009100CF">
        <w:rPr>
          <w:rFonts w:ascii="Palatino Linotype" w:eastAsia="Palatino Linotype" w:hAnsi="Palatino Linotype" w:cs="Palatino Linotype"/>
          <w:i/>
        </w:rPr>
        <w:t>Rpta</w:t>
      </w:r>
      <w:proofErr w:type="spellEnd"/>
      <w:r w:rsidRPr="009100CF">
        <w:rPr>
          <w:rFonts w:ascii="Palatino Linotype" w:eastAsia="Palatino Linotype" w:hAnsi="Palatino Linotype" w:cs="Palatino Linotype"/>
          <w:i/>
        </w:rPr>
        <w:t>. 00024-2023.pdf</w:t>
      </w:r>
      <w:r w:rsidRPr="009100CF">
        <w:rPr>
          <w:rFonts w:ascii="Palatino Linotype" w:eastAsia="Palatino Linotype" w:hAnsi="Palatino Linotype" w:cs="Palatino Linotype"/>
        </w:rPr>
        <w:t>” que contiene lo siguiente:</w:t>
      </w:r>
    </w:p>
    <w:p w14:paraId="42B42C27" w14:textId="77777777" w:rsidR="006F55DA" w:rsidRPr="009100CF" w:rsidRDefault="00852940">
      <w:pPr>
        <w:spacing w:before="240" w:after="240" w:line="360" w:lineRule="auto"/>
        <w:ind w:left="284" w:right="49"/>
        <w:jc w:val="both"/>
        <w:rPr>
          <w:rFonts w:ascii="Palatino Linotype" w:eastAsia="Palatino Linotype" w:hAnsi="Palatino Linotype" w:cs="Palatino Linotype"/>
        </w:rPr>
      </w:pPr>
      <w:r w:rsidRPr="009100CF">
        <w:rPr>
          <w:rFonts w:ascii="Palatino Linotype" w:eastAsia="Palatino Linotype" w:hAnsi="Palatino Linotype" w:cs="Palatino Linotype"/>
        </w:rPr>
        <w:t>- Escrito de fecha uno de febrero de dos mil veintitrés, signado por el Titular de la Unidad de Transparencia, mediante el cual refiere que la solicitud de información fue turnada al servidor público habilitado de la Coordinación General de Protección Civil y Gestión Integral del Riesgo, quien mediante oficio número 205000600000300S/010/2023, de fecha veintitrés de enero del año en curso, remitió la respuesta correspondiente.</w:t>
      </w:r>
    </w:p>
    <w:p w14:paraId="150EAD86" w14:textId="77777777" w:rsidR="006F55DA" w:rsidRPr="009100CF" w:rsidRDefault="00852940">
      <w:pPr>
        <w:spacing w:before="240" w:after="240" w:line="360" w:lineRule="auto"/>
        <w:ind w:left="284"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Oficio número 205000600000300S/010/2023, de fecha veintitrés de enero de dos mil veintitrés, signado por el Jefe de la Unidad de Evaluación Programática, mediante el cual, posterior a la realización de una búsqueda minuciosa y exhaustiva en los archivos que obran en la Coordinación General de Protección Civil y Gestión Integral del Riesgo, en atención a la solicitud, en estricto apego a la autonomía municipal consagrada en los artículos 115 de la Constitución Política de los Estados Unidos Mexicanos y 122 de la Constitución Política del Estado Libre y Soberano de México, sugiere sean examinadas las adecuaciones, modificaciones y reformas publicadas en el Decreto número 230, por el que se </w:t>
      </w:r>
      <w:r w:rsidRPr="009100CF">
        <w:rPr>
          <w:rFonts w:ascii="Palatino Linotype" w:eastAsia="Palatino Linotype" w:hAnsi="Palatino Linotype" w:cs="Palatino Linotype"/>
        </w:rPr>
        <w:lastRenderedPageBreak/>
        <w:t xml:space="preserve">reforman diversas disposiciones jurídicas relacionadas con el tema que es del interés de la persona solicitante, las cuales fueron publicadas en el Periódico Oficial “Gaceta del Gobierno” del Estado de México, el 05 de enero de 2021, y que puede ser consultada en la dirección electrónica: </w:t>
      </w:r>
    </w:p>
    <w:p w14:paraId="6F23A546" w14:textId="77777777" w:rsidR="006F55DA" w:rsidRPr="009100CF" w:rsidRDefault="00E4140B">
      <w:pPr>
        <w:spacing w:before="240" w:after="240" w:line="360" w:lineRule="auto"/>
        <w:ind w:right="49"/>
        <w:jc w:val="center"/>
        <w:rPr>
          <w:rFonts w:ascii="Palatino Linotype" w:eastAsia="Palatino Linotype" w:hAnsi="Palatino Linotype" w:cs="Palatino Linotype"/>
        </w:rPr>
      </w:pPr>
      <w:hyperlink r:id="rId8">
        <w:r w:rsidR="00852940" w:rsidRPr="009100CF">
          <w:rPr>
            <w:rFonts w:ascii="Palatino Linotype" w:eastAsia="Palatino Linotype" w:hAnsi="Palatino Linotype" w:cs="Palatino Linotype"/>
            <w:u w:val="single"/>
          </w:rPr>
          <w:t>https://legislacion.edomex.gob.mx/sites/legislacion.edomex.gob.mx/files/files/pdf/gct/2021/ene051.pdf</w:t>
        </w:r>
      </w:hyperlink>
    </w:p>
    <w:p w14:paraId="45886617"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Finalmente, refirió que entre la normatividad objeto de la modificación en comento, se encuentra la siguiente:</w:t>
      </w:r>
    </w:p>
    <w:p w14:paraId="1CC15D58" w14:textId="77777777" w:rsidR="006F55DA" w:rsidRPr="009100CF" w:rsidRDefault="00852940">
      <w:pPr>
        <w:spacing w:before="240" w:after="240" w:line="360" w:lineRule="auto"/>
        <w:ind w:right="49"/>
        <w:jc w:val="center"/>
        <w:rPr>
          <w:rFonts w:ascii="Palatino Linotype" w:eastAsia="Palatino Linotype" w:hAnsi="Palatino Linotype" w:cs="Palatino Linotype"/>
        </w:rPr>
      </w:pPr>
      <w:r w:rsidRPr="009100CF">
        <w:rPr>
          <w:noProof/>
        </w:rPr>
        <w:drawing>
          <wp:inline distT="0" distB="0" distL="0" distR="0" wp14:anchorId="67E2371E" wp14:editId="6C69572F">
            <wp:extent cx="4680000" cy="2915858"/>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680000" cy="2915858"/>
                    </a:xfrm>
                    <a:prstGeom prst="rect">
                      <a:avLst/>
                    </a:prstGeom>
                    <a:ln/>
                  </pic:spPr>
                </pic:pic>
              </a:graphicData>
            </a:graphic>
          </wp:inline>
        </w:drawing>
      </w:r>
    </w:p>
    <w:p w14:paraId="4126BC68" w14:textId="77777777" w:rsidR="006F55DA" w:rsidRPr="009100CF" w:rsidRDefault="00852940">
      <w:pPr>
        <w:spacing w:before="240" w:after="240" w:line="360" w:lineRule="auto"/>
        <w:ind w:right="49"/>
        <w:jc w:val="both"/>
        <w:rPr>
          <w:rFonts w:ascii="Palatino Linotype" w:eastAsia="Palatino Linotype" w:hAnsi="Palatino Linotype" w:cs="Palatino Linotype"/>
          <w:b/>
        </w:rPr>
      </w:pPr>
      <w:r w:rsidRPr="009100CF">
        <w:rPr>
          <w:rFonts w:ascii="Palatino Linotype" w:eastAsia="Palatino Linotype" w:hAnsi="Palatino Linotype" w:cs="Palatino Linotype"/>
          <w:b/>
        </w:rPr>
        <w:t xml:space="preserve">3. Interposición del recurso de revisión. </w:t>
      </w:r>
      <w:r w:rsidRPr="009100CF">
        <w:rPr>
          <w:rFonts w:ascii="Palatino Linotype" w:eastAsia="Palatino Linotype" w:hAnsi="Palatino Linotype" w:cs="Palatino Linotype"/>
        </w:rPr>
        <w:t xml:space="preserve">Inconforme con los términos de la respuesta emitida por parte del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el </w:t>
      </w:r>
      <w:r w:rsidRPr="009100CF">
        <w:rPr>
          <w:rFonts w:ascii="Palatino Linotype" w:eastAsia="Palatino Linotype" w:hAnsi="Palatino Linotype" w:cs="Palatino Linotype"/>
          <w:b/>
        </w:rPr>
        <w:t>dos de febrero de dos mil veintitrés,</w:t>
      </w:r>
      <w:r w:rsidRPr="009100CF">
        <w:rPr>
          <w:rFonts w:ascii="Palatino Linotype" w:eastAsia="Palatino Linotype" w:hAnsi="Palatino Linotype" w:cs="Palatino Linotype"/>
        </w:rPr>
        <w:t xml:space="preserve"> 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interpuso el recurso de revisión a través de </w:t>
      </w:r>
      <w:r w:rsidRPr="009100CF">
        <w:rPr>
          <w:rFonts w:ascii="Palatino Linotype" w:eastAsia="Palatino Linotype" w:hAnsi="Palatino Linotype" w:cs="Palatino Linotype"/>
          <w:b/>
        </w:rPr>
        <w:t xml:space="preserve">SAIMEX, </w:t>
      </w:r>
      <w:r w:rsidRPr="009100CF">
        <w:rPr>
          <w:rFonts w:ascii="Palatino Linotype" w:eastAsia="Palatino Linotype" w:hAnsi="Palatino Linotype" w:cs="Palatino Linotype"/>
        </w:rPr>
        <w:t>en donde se manifestó de la siguiente manera:</w:t>
      </w:r>
    </w:p>
    <w:p w14:paraId="0616A78B" w14:textId="77777777" w:rsidR="006F55DA" w:rsidRPr="009100CF" w:rsidRDefault="00852940">
      <w:pPr>
        <w:tabs>
          <w:tab w:val="left" w:pos="2745"/>
        </w:tabs>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b/>
        </w:rPr>
        <w:lastRenderedPageBreak/>
        <w:t xml:space="preserve">Acto impugnado: </w:t>
      </w:r>
    </w:p>
    <w:p w14:paraId="2E263718" w14:textId="77777777" w:rsidR="006F55DA" w:rsidRPr="009100CF" w:rsidRDefault="00852940">
      <w:pPr>
        <w:tabs>
          <w:tab w:val="left" w:pos="2745"/>
        </w:tabs>
        <w:spacing w:before="240" w:after="240"/>
        <w:ind w:left="851" w:right="900"/>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“No se brinda respuesta a lo solicitado, únicamente se hace referencia al fundamento que el que suscribe hizo mención en la solicitud de origen.” (sic)</w:t>
      </w:r>
    </w:p>
    <w:p w14:paraId="0B1C6505" w14:textId="77777777" w:rsidR="006F55DA" w:rsidRPr="009100CF" w:rsidRDefault="00852940">
      <w:pPr>
        <w:spacing w:line="360" w:lineRule="auto"/>
        <w:jc w:val="both"/>
        <w:rPr>
          <w:rFonts w:ascii="Palatino Linotype" w:eastAsia="Palatino Linotype" w:hAnsi="Palatino Linotype" w:cs="Palatino Linotype"/>
        </w:rPr>
      </w:pPr>
      <w:bookmarkStart w:id="3" w:name="_heading=h.30j0zll" w:colFirst="0" w:colLast="0"/>
      <w:bookmarkEnd w:id="3"/>
      <w:r w:rsidRPr="009100CF">
        <w:rPr>
          <w:rFonts w:ascii="Palatino Linotype" w:eastAsia="Palatino Linotype" w:hAnsi="Palatino Linotype" w:cs="Palatino Linotype"/>
          <w:b/>
        </w:rPr>
        <w:t>Y Razones o motivos de inconformidad</w:t>
      </w:r>
      <w:r w:rsidRPr="009100CF">
        <w:rPr>
          <w:rFonts w:ascii="Palatino Linotype" w:eastAsia="Palatino Linotype" w:hAnsi="Palatino Linotype" w:cs="Palatino Linotype"/>
        </w:rPr>
        <w:t xml:space="preserve">: </w:t>
      </w:r>
    </w:p>
    <w:p w14:paraId="5B5C275D" w14:textId="77777777" w:rsidR="006F55DA" w:rsidRPr="009100CF" w:rsidRDefault="00852940">
      <w:pPr>
        <w:tabs>
          <w:tab w:val="left" w:pos="2745"/>
        </w:tabs>
        <w:spacing w:before="240" w:after="240"/>
        <w:ind w:left="851" w:right="900"/>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“No se brinda respuesta a lo solicitado, únicamente se hace referencia al fundamento que el que suscribe hizo mención en la solicitud de origen.” (sic)</w:t>
      </w:r>
    </w:p>
    <w:p w14:paraId="795EFD9D"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b/>
        </w:rPr>
        <w:t xml:space="preserve">Anexos: </w:t>
      </w:r>
      <w:r w:rsidRPr="009100CF">
        <w:rPr>
          <w:rFonts w:ascii="Palatino Linotype" w:eastAsia="Palatino Linotype" w:hAnsi="Palatino Linotype" w:cs="Palatino Linotype"/>
        </w:rPr>
        <w:t xml:space="preserve">La parte </w:t>
      </w:r>
      <w:r w:rsidRPr="009100CF">
        <w:rPr>
          <w:rFonts w:ascii="Palatino Linotype" w:eastAsia="Palatino Linotype" w:hAnsi="Palatino Linotype" w:cs="Palatino Linotype"/>
          <w:b/>
        </w:rPr>
        <w:t xml:space="preserve">Recurrente </w:t>
      </w:r>
      <w:r w:rsidRPr="009100CF">
        <w:rPr>
          <w:rFonts w:ascii="Palatino Linotype" w:eastAsia="Palatino Linotype" w:hAnsi="Palatino Linotype" w:cs="Palatino Linotype"/>
        </w:rPr>
        <w:t xml:space="preserve">adjuntó el archivo proporcionado por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en respuesta a la solicitud de información.</w:t>
      </w:r>
    </w:p>
    <w:p w14:paraId="4C346047" w14:textId="77777777" w:rsidR="006F55DA" w:rsidRPr="009100CF" w:rsidRDefault="00852940">
      <w:pPr>
        <w:spacing w:before="240" w:after="240" w:line="360" w:lineRule="auto"/>
        <w:ind w:right="51"/>
        <w:jc w:val="both"/>
        <w:rPr>
          <w:rFonts w:ascii="Palatino Linotype" w:eastAsia="Palatino Linotype" w:hAnsi="Palatino Linotype" w:cs="Palatino Linotype"/>
        </w:rPr>
      </w:pPr>
      <w:r w:rsidRPr="009100CF">
        <w:rPr>
          <w:rFonts w:ascii="Palatino Linotype" w:eastAsia="Palatino Linotype" w:hAnsi="Palatino Linotype" w:cs="Palatino Linotype"/>
          <w:b/>
        </w:rPr>
        <w:t xml:space="preserve">4. Turno. </w:t>
      </w:r>
      <w:r w:rsidRPr="009100C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100CF">
        <w:rPr>
          <w:rFonts w:ascii="Palatino Linotype" w:eastAsia="Palatino Linotype" w:hAnsi="Palatino Linotype" w:cs="Palatino Linotype"/>
          <w:b/>
        </w:rPr>
        <w:t xml:space="preserve">Guadalupe Ramírez Peña, </w:t>
      </w:r>
      <w:r w:rsidRPr="009100CF">
        <w:rPr>
          <w:rFonts w:ascii="Palatino Linotype" w:eastAsia="Palatino Linotype" w:hAnsi="Palatino Linotype" w:cs="Palatino Linotype"/>
        </w:rPr>
        <w:t xml:space="preserve">a efecto de que analizara sobre su admisión o su </w:t>
      </w:r>
      <w:proofErr w:type="spellStart"/>
      <w:r w:rsidRPr="009100CF">
        <w:rPr>
          <w:rFonts w:ascii="Palatino Linotype" w:eastAsia="Palatino Linotype" w:hAnsi="Palatino Linotype" w:cs="Palatino Linotype"/>
        </w:rPr>
        <w:t>desechamiento</w:t>
      </w:r>
      <w:proofErr w:type="spellEnd"/>
      <w:r w:rsidRPr="009100CF">
        <w:rPr>
          <w:rFonts w:ascii="Palatino Linotype" w:eastAsia="Palatino Linotype" w:hAnsi="Palatino Linotype" w:cs="Palatino Linotype"/>
        </w:rPr>
        <w:t>.</w:t>
      </w:r>
    </w:p>
    <w:p w14:paraId="105E6188"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5. Admisión del Recurso de revisión.</w:t>
      </w:r>
      <w:r w:rsidRPr="009100CF">
        <w:rPr>
          <w:rFonts w:ascii="Palatino Linotype" w:eastAsia="Palatino Linotype" w:hAnsi="Palatino Linotype" w:cs="Palatino Linotype"/>
        </w:rPr>
        <w:t xml:space="preserve"> Con fecha</w:t>
      </w:r>
      <w:r w:rsidRPr="009100CF">
        <w:rPr>
          <w:rFonts w:ascii="Palatino Linotype" w:eastAsia="Palatino Linotype" w:hAnsi="Palatino Linotype" w:cs="Palatino Linotype"/>
          <w:b/>
        </w:rPr>
        <w:t xml:space="preserve"> ocho de febrero de dos mil veintitrés, </w:t>
      </w:r>
      <w:r w:rsidRPr="009100C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presentara su informe justificado.</w:t>
      </w:r>
    </w:p>
    <w:p w14:paraId="0FD05ACD" w14:textId="77777777" w:rsidR="006F55DA" w:rsidRPr="009100CF" w:rsidRDefault="00852940">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9100CF">
        <w:rPr>
          <w:rFonts w:ascii="Palatino Linotype" w:eastAsia="Palatino Linotype" w:hAnsi="Palatino Linotype" w:cs="Palatino Linotype"/>
          <w:b/>
        </w:rPr>
        <w:lastRenderedPageBreak/>
        <w:t>6. Manifestaciones</w:t>
      </w:r>
      <w:r w:rsidRPr="009100CF">
        <w:rPr>
          <w:rFonts w:ascii="Palatino Linotype" w:eastAsia="Palatino Linotype" w:hAnsi="Palatino Linotype" w:cs="Palatino Linotype"/>
        </w:rPr>
        <w:t xml:space="preserve">. En fecha </w:t>
      </w:r>
      <w:r w:rsidRPr="009100CF">
        <w:rPr>
          <w:rFonts w:ascii="Palatino Linotype" w:eastAsia="Palatino Linotype" w:hAnsi="Palatino Linotype" w:cs="Palatino Linotype"/>
          <w:b/>
        </w:rPr>
        <w:t xml:space="preserve">nueve de febrero de dos mil veintitrés, </w:t>
      </w:r>
      <w:r w:rsidRPr="009100CF">
        <w:rPr>
          <w:rFonts w:ascii="Palatino Linotype" w:eastAsia="Palatino Linotype" w:hAnsi="Palatino Linotype" w:cs="Palatino Linotype"/>
        </w:rPr>
        <w:t xml:space="preserve">la parte </w:t>
      </w:r>
      <w:r w:rsidRPr="009100CF">
        <w:rPr>
          <w:rFonts w:ascii="Palatino Linotype" w:eastAsia="Palatino Linotype" w:hAnsi="Palatino Linotype" w:cs="Palatino Linotype"/>
          <w:b/>
        </w:rPr>
        <w:t xml:space="preserve">Recurrente </w:t>
      </w:r>
      <w:r w:rsidRPr="009100CF">
        <w:rPr>
          <w:rFonts w:ascii="Palatino Linotype" w:eastAsia="Palatino Linotype" w:hAnsi="Palatino Linotype" w:cs="Palatino Linotype"/>
        </w:rPr>
        <w:t xml:space="preserve">remitió a través de SAIMEX, el archivo proporcionado por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en respuesta a la solicitud de información.</w:t>
      </w:r>
    </w:p>
    <w:p w14:paraId="47382D62"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Por su parte,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en fecha</w:t>
      </w:r>
      <w:r w:rsidRPr="009100CF">
        <w:rPr>
          <w:rFonts w:ascii="Palatino Linotype" w:eastAsia="Palatino Linotype" w:hAnsi="Palatino Linotype" w:cs="Palatino Linotype"/>
          <w:b/>
        </w:rPr>
        <w:t xml:space="preserve"> diecisiete de febrero de dos mil veintitrés, </w:t>
      </w:r>
      <w:r w:rsidRPr="009100CF">
        <w:rPr>
          <w:rFonts w:ascii="Palatino Linotype" w:eastAsia="Palatino Linotype" w:hAnsi="Palatino Linotype" w:cs="Palatino Linotype"/>
        </w:rPr>
        <w:t xml:space="preserve">el remitió, a través de SAIMEX, su informe justificado, mediante el cual, en atención a los motivos de inconformidad aducidos por la parte </w:t>
      </w:r>
      <w:r w:rsidRPr="009100CF">
        <w:rPr>
          <w:rFonts w:ascii="Palatino Linotype" w:eastAsia="Palatino Linotype" w:hAnsi="Palatino Linotype" w:cs="Palatino Linotype"/>
          <w:b/>
        </w:rPr>
        <w:t xml:space="preserve">Recurrente, </w:t>
      </w:r>
      <w:r w:rsidRPr="009100CF">
        <w:rPr>
          <w:rFonts w:ascii="Palatino Linotype" w:eastAsia="Palatino Linotype" w:hAnsi="Palatino Linotype" w:cs="Palatino Linotype"/>
        </w:rPr>
        <w:t>manifiesta que la respuesta fue enviada a la persona solicitante en tiempo y forma,  en estricto cumplimiento de lo dispuesto por los artículos 132, primer párrafo de la Ley General de Transparencia y Acceso a la Información Pública y 163, primer párrafo de la Ley de Transparencia y Acceso a la Información Pública del Estado de México y Municipios, a través de la cual se proporcionó la información con la que cuenta la Secretaría General de Gobierno del Estado de México, de conformidad con lo dispuesto en los artículos 12, segundo párrafo y 24, último párrafo de la Ley de Transparencia y Acceso a la Información Pública del Estado de México y Municipios, reiterando los términos de la respuesta proporcionada en primera instancia.</w:t>
      </w:r>
    </w:p>
    <w:p w14:paraId="5131EA4F"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Asimismo, manifiesta que en la solicitud de información la persona solicitante precisó que solicita información a la Coordinación General de Protección Civil y Gestión Integral del Riesgo del Gobierno del Estado de México, por lo que el Sujeto Obligado de dio el trámite correspondiente, y entregó la información que obra en sus archivos, y citó los artículos 4, fracción XXX, 37, así como el numeral II del Apéndice del Reglamento del Libro Sexto del Código Administrativo del Estado de México, por lo que en acto confirmó en todas sus partes la respuesta proporcionada.</w:t>
      </w:r>
    </w:p>
    <w:p w14:paraId="02F6AD26"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xml:space="preserve">Finalmente, precisa que </w:t>
      </w:r>
      <w:r w:rsidRPr="009100CF">
        <w:rPr>
          <w:rFonts w:ascii="Palatino Linotype" w:eastAsia="Palatino Linotype" w:hAnsi="Palatino Linotype" w:cs="Palatino Linotype"/>
          <w:b/>
          <w:u w:val="single"/>
        </w:rPr>
        <w:t>en caso de que la persona solicitante requiera conocer mayor información de documentos relacionados con los dictámenes de protección civil de bajo riesgo, deberá dirigir su solicitud de información al Ayuntamiento que sea de su interés,</w:t>
      </w:r>
      <w:r w:rsidRPr="009100CF">
        <w:rPr>
          <w:rFonts w:ascii="Palatino Linotype" w:eastAsia="Palatino Linotype" w:hAnsi="Palatino Linotype" w:cs="Palatino Linotype"/>
        </w:rPr>
        <w:t xml:space="preserve"> atendiendo a la falta de atribuciones legales de la Secretaría en relación a dichos documentos, y manifiesta adjuntar el Acta de la Quincuagésima Sesión Extraordinaria del Comité de Transparencia de la Secretaría General de Gobierno de fecha dieciséis de febrero de dos mil veintitrés, mediante la cual se declara la incompetencia de la Secretaría en materia de dictámenes de protección civil de bajo riesgo.</w:t>
      </w:r>
    </w:p>
    <w:p w14:paraId="4C5D331E"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Anexos: </w:t>
      </w:r>
    </w:p>
    <w:p w14:paraId="2E7ED51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Oficio número 20500600000300S/022/2023, de fecha ocho de febrero de dos mil veintitrés, signado por el Jefe de la Unidad de Evaluación Programática, mediante el cual ratifica en lo sustancial la respuesta proporcionada en primera instancia, y refiere que dentro de las atribuciones que ostenta la Coordinación General de Protección Civil y Gestión Integral del Riesgo no se encuentra la emisión del dictamen de protección civil de bajo riesgo, toda vez que dicha atribución es propia de las autoridades de orden municipal, acorde con lo establecido en los artículos 115 de la Constitución Política de los Estados Unidos Mexicanos y 122 de la Constitución Política del Estado Libre y Soberano de México, en concordancia con los artículos 6.4 y 6.25 bis del Código Administrativo del Estado de México, en consecuencia, señala que no es factible atender de manera favorable la petición de la persona solicitante, en estricto apego con lo establecido en el artículo 143 de la Constitución Política del Estado Libre y Soberano de México.</w:t>
      </w:r>
    </w:p>
    <w:p w14:paraId="52C210B3"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Acta de la Centésima Quincuagésima Sesión Extraordinaria del Comité de Transparencia de la Secretaría General de Gobierno de fecha dieciséis de febrero de dos mil veintitrés, mediante la cual el Comité confirma la declaratoria de incompetencia de la Secretaría General de Gobierno sobre la emisión de lineamientos, directrices, normas técnicas, requisitos o reglas de operación bajo las cuales debe emitirse el dictamen de protección civil de bajo riesgo, como se observa a continuación:</w:t>
      </w:r>
    </w:p>
    <w:p w14:paraId="7A077D17" w14:textId="77777777" w:rsidR="006F55DA" w:rsidRPr="009100CF" w:rsidRDefault="00852940">
      <w:pPr>
        <w:spacing w:before="240" w:after="240" w:line="360" w:lineRule="auto"/>
        <w:jc w:val="center"/>
        <w:rPr>
          <w:rFonts w:ascii="Palatino Linotype" w:eastAsia="Palatino Linotype" w:hAnsi="Palatino Linotype" w:cs="Palatino Linotype"/>
        </w:rPr>
      </w:pPr>
      <w:r w:rsidRPr="009100CF">
        <w:rPr>
          <w:noProof/>
        </w:rPr>
        <w:drawing>
          <wp:inline distT="0" distB="0" distL="0" distR="0" wp14:anchorId="20428563" wp14:editId="3303DC3D">
            <wp:extent cx="5029200" cy="1724025"/>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029200" cy="1724025"/>
                    </a:xfrm>
                    <a:prstGeom prst="rect">
                      <a:avLst/>
                    </a:prstGeom>
                    <a:ln/>
                  </pic:spPr>
                </pic:pic>
              </a:graphicData>
            </a:graphic>
          </wp:inline>
        </w:drawing>
      </w:r>
    </w:p>
    <w:p w14:paraId="0C56C1F0"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Una vez analizados los documentos referidos, los mismos se hicieron del conocimiento de la persona solicitante con la finalidad de que manifestara lo que a su derecho estimara conveniente, siendo omisa en ejercer dicha prerrogativa.</w:t>
      </w:r>
    </w:p>
    <w:p w14:paraId="775ABAEC"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7. Ampliación del término para resolver</w:t>
      </w:r>
      <w:r w:rsidRPr="009100CF">
        <w:rPr>
          <w:rFonts w:ascii="Palatino Linotype" w:eastAsia="Palatino Linotype" w:hAnsi="Palatino Linotype" w:cs="Palatino Linotype"/>
        </w:rPr>
        <w:t xml:space="preserve">. En fecha </w:t>
      </w:r>
      <w:r w:rsidRPr="009100CF">
        <w:rPr>
          <w:rFonts w:ascii="Palatino Linotype" w:eastAsia="Palatino Linotype" w:hAnsi="Palatino Linotype" w:cs="Palatino Linotype"/>
          <w:b/>
        </w:rPr>
        <w:t>veintinueve de mayo de dos mil veintitrés</w:t>
      </w:r>
      <w:r w:rsidRPr="009100C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EC1EC6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9100CF">
        <w:rPr>
          <w:rFonts w:ascii="Palatino Linotype" w:eastAsia="Palatino Linotype" w:hAnsi="Palatino Linotype" w:cs="Palatino Linotype"/>
        </w:rPr>
        <w:lastRenderedPageBreak/>
        <w:t>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209781F1"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F60AF86"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3A91A0"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F1A155" w14:textId="77777777" w:rsidR="006F55DA" w:rsidRPr="009100CF" w:rsidRDefault="00852940">
      <w:pPr>
        <w:spacing w:before="240" w:after="240" w:line="360" w:lineRule="auto"/>
        <w:jc w:val="both"/>
        <w:rPr>
          <w:rFonts w:ascii="Palatino Linotype" w:eastAsia="Palatino Linotype" w:hAnsi="Palatino Linotype" w:cs="Palatino Linotype"/>
          <w:strike/>
        </w:rPr>
      </w:pPr>
      <w:r w:rsidRPr="009100C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0C71D9D" w14:textId="77777777" w:rsidR="006F55DA" w:rsidRPr="009100CF" w:rsidRDefault="00852940">
      <w:pPr>
        <w:numPr>
          <w:ilvl w:val="0"/>
          <w:numId w:val="1"/>
        </w:num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41C7BA72" w14:textId="77777777" w:rsidR="006F55DA" w:rsidRPr="009100CF" w:rsidRDefault="00852940">
      <w:pPr>
        <w:numPr>
          <w:ilvl w:val="0"/>
          <w:numId w:val="1"/>
        </w:num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Actividad Procesal del interesado. Acciones u omisiones del interesado.</w:t>
      </w:r>
    </w:p>
    <w:p w14:paraId="264879E9" w14:textId="77777777" w:rsidR="006F55DA" w:rsidRPr="009100CF" w:rsidRDefault="00852940">
      <w:pPr>
        <w:numPr>
          <w:ilvl w:val="0"/>
          <w:numId w:val="1"/>
        </w:num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Conducta de la Autoridad: Las Acciones u omisiones realizadas en el procedimiento. Así como si la autoridad actuó con la debida diligencia.</w:t>
      </w:r>
    </w:p>
    <w:p w14:paraId="4579B8F6" w14:textId="77777777" w:rsidR="006F55DA" w:rsidRPr="009100CF" w:rsidRDefault="00852940">
      <w:pPr>
        <w:spacing w:before="240" w:after="240" w:line="360" w:lineRule="auto"/>
        <w:ind w:left="567"/>
        <w:jc w:val="both"/>
        <w:rPr>
          <w:rFonts w:ascii="Palatino Linotype" w:eastAsia="Palatino Linotype" w:hAnsi="Palatino Linotype" w:cs="Palatino Linotype"/>
        </w:rPr>
      </w:pPr>
      <w:r w:rsidRPr="009100CF">
        <w:rPr>
          <w:rFonts w:ascii="Palatino Linotype" w:eastAsia="Palatino Linotype" w:hAnsi="Palatino Linotype" w:cs="Palatino Linotype"/>
        </w:rPr>
        <w:t>d) La afectación generada en la situación jurídica de la persona involucrada en el proceso: Violación a sus derechos humanos.</w:t>
      </w:r>
    </w:p>
    <w:p w14:paraId="69B97C9F"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EED601" w14:textId="77777777" w:rsidR="006F55DA" w:rsidRPr="009100CF" w:rsidRDefault="00852940">
      <w:pPr>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100C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100CF">
        <w:rPr>
          <w:rFonts w:ascii="Palatino Linotype" w:eastAsia="Palatino Linotype" w:hAnsi="Palatino Linotype" w:cs="Palatino Linotype"/>
        </w:rPr>
        <w:t>, visible en la Gaceta del Seminario Judicial de la Federación con el registro digital 205635.</w:t>
      </w:r>
    </w:p>
    <w:p w14:paraId="6494899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6FBD5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6BFE875" w14:textId="77777777" w:rsidR="006F55DA" w:rsidRPr="009100CF" w:rsidRDefault="00852940">
      <w:pPr>
        <w:spacing w:before="240" w:after="240"/>
        <w:ind w:left="851" w:right="902"/>
        <w:jc w:val="both"/>
        <w:rPr>
          <w:rFonts w:ascii="Palatino Linotype" w:eastAsia="Palatino Linotype" w:hAnsi="Palatino Linotype" w:cs="Palatino Linotype"/>
          <w:sz w:val="22"/>
          <w:szCs w:val="22"/>
        </w:rPr>
      </w:pPr>
      <w:r w:rsidRPr="009100CF">
        <w:rPr>
          <w:rFonts w:ascii="Palatino Linotype" w:eastAsia="Palatino Linotype" w:hAnsi="Palatino Linotype" w:cs="Palatino Linotype"/>
        </w:rPr>
        <w:t xml:space="preserve"> </w:t>
      </w: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PLAZO RAZONABLE PARA RESOLVER. DIMENSIÓN Y EFECTOS DE ESTE CONCEPTO CUANDO SE ADUCE EXCESIVA CARGA DE TRABAJO</w:t>
      </w: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sz w:val="22"/>
          <w:szCs w:val="22"/>
        </w:rPr>
        <w:t xml:space="preserve"> consultable en el Seminario Judicial de la Federación y su gaceta, con el registro digital 2002351.</w:t>
      </w:r>
    </w:p>
    <w:p w14:paraId="2B45A446" w14:textId="77777777" w:rsidR="006F55DA" w:rsidRPr="009100CF" w:rsidRDefault="00852940">
      <w:pPr>
        <w:spacing w:before="240" w:after="240"/>
        <w:ind w:left="851" w:right="902"/>
        <w:jc w:val="both"/>
        <w:rPr>
          <w:rFonts w:ascii="Palatino Linotype" w:eastAsia="Palatino Linotype" w:hAnsi="Palatino Linotype" w:cs="Palatino Linotype"/>
          <w:sz w:val="22"/>
          <w:szCs w:val="22"/>
        </w:rPr>
      </w:pP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sz w:val="22"/>
          <w:szCs w:val="22"/>
        </w:rPr>
        <w:t>, visible en el Seminario Judicial de la Federación y su gaceta, con el registro digital 2002350.</w:t>
      </w:r>
    </w:p>
    <w:p w14:paraId="29BBEE1E"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9AAC2D3"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lastRenderedPageBreak/>
        <w:t xml:space="preserve">8. Cierre de instrucción. </w:t>
      </w:r>
      <w:r w:rsidRPr="009100C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100CF">
        <w:rPr>
          <w:rFonts w:ascii="Palatino Linotype" w:eastAsia="Palatino Linotype" w:hAnsi="Palatino Linotype" w:cs="Palatino Linotype"/>
          <w:b/>
        </w:rPr>
        <w:t>veintisiete de septiembre de dos mil veintitrés</w:t>
      </w:r>
      <w:r w:rsidRPr="009100CF">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700EEE6"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9D9A3A8" w14:textId="77777777" w:rsidR="006F55DA" w:rsidRPr="009100CF" w:rsidRDefault="00852940">
      <w:pPr>
        <w:widowControl w:val="0"/>
        <w:spacing w:before="240" w:after="240" w:line="360" w:lineRule="auto"/>
        <w:jc w:val="center"/>
        <w:rPr>
          <w:rFonts w:ascii="Palatino Linotype" w:eastAsia="Palatino Linotype" w:hAnsi="Palatino Linotype" w:cs="Palatino Linotype"/>
          <w:b/>
        </w:rPr>
      </w:pPr>
      <w:r w:rsidRPr="009100CF">
        <w:rPr>
          <w:rFonts w:ascii="Palatino Linotype" w:eastAsia="Palatino Linotype" w:hAnsi="Palatino Linotype" w:cs="Palatino Linotype"/>
          <w:b/>
        </w:rPr>
        <w:t>II. C O N S I D E R A N D O S</w:t>
      </w:r>
    </w:p>
    <w:p w14:paraId="4D681D0D"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Primero. Competencia.</w:t>
      </w:r>
      <w:r w:rsidRPr="009100C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2F5E54" w14:textId="77777777" w:rsidR="006F55DA" w:rsidRPr="009100CF" w:rsidRDefault="00852940">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9100CF">
        <w:rPr>
          <w:rFonts w:ascii="Palatino Linotype" w:eastAsia="Palatino Linotype" w:hAnsi="Palatino Linotype" w:cs="Palatino Linotype"/>
          <w:b/>
        </w:rPr>
        <w:lastRenderedPageBreak/>
        <w:t>Segundo. Oportunidad y Procedibilidad del Recurso de Revisión</w:t>
      </w:r>
      <w:r w:rsidRPr="009100C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4297D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 xml:space="preserve">remitió la respuesta a la solicitud de información el día </w:t>
      </w:r>
      <w:r w:rsidRPr="009100CF">
        <w:rPr>
          <w:rFonts w:ascii="Palatino Linotype" w:eastAsia="Palatino Linotype" w:hAnsi="Palatino Linotype" w:cs="Palatino Linotype"/>
          <w:b/>
        </w:rPr>
        <w:t xml:space="preserve">uno de febrero de dos mil veintitrés, </w:t>
      </w:r>
      <w:r w:rsidRPr="009100CF">
        <w:rPr>
          <w:rFonts w:ascii="Palatino Linotype" w:eastAsia="Palatino Linotype" w:hAnsi="Palatino Linotype" w:cs="Palatino Linotype"/>
        </w:rPr>
        <w:t xml:space="preserve">mientras que el recurso de revisión interpuesto por 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se tuvo por presentado el día </w:t>
      </w:r>
      <w:r w:rsidRPr="009100CF">
        <w:rPr>
          <w:rFonts w:ascii="Palatino Linotype" w:eastAsia="Palatino Linotype" w:hAnsi="Palatino Linotype" w:cs="Palatino Linotype"/>
          <w:b/>
        </w:rPr>
        <w:t>dos de febrero de dos mil veintitrés</w:t>
      </w:r>
      <w:r w:rsidRPr="009100CF">
        <w:rPr>
          <w:rFonts w:ascii="Palatino Linotype" w:eastAsia="Palatino Linotype" w:hAnsi="Palatino Linotype" w:cs="Palatino Linotype"/>
        </w:rPr>
        <w:t>, esto es, al siguiente día hábil en que tuvo conocimiento de la respuesta impugnada.</w:t>
      </w:r>
    </w:p>
    <w:p w14:paraId="17C87026" w14:textId="77777777" w:rsidR="006F55DA" w:rsidRPr="009100CF" w:rsidRDefault="00852940">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9100CF">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F830F22"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Finalmente, se advierte que resulta procedente la interposición del recurso, según lo manifestado por 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en sus motivos de inconformidad, de acuerdo al artículo 179, fracción I del ordenamiento legal citado, que a la letra dice: </w:t>
      </w:r>
    </w:p>
    <w:p w14:paraId="61E8876E"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lastRenderedPageBreak/>
        <w:t>“</w:t>
      </w:r>
      <w:r w:rsidRPr="009100CF">
        <w:rPr>
          <w:rFonts w:ascii="Palatino Linotype" w:eastAsia="Palatino Linotype" w:hAnsi="Palatino Linotype" w:cs="Palatino Linotype"/>
          <w:b/>
          <w:i/>
          <w:sz w:val="22"/>
          <w:szCs w:val="22"/>
        </w:rPr>
        <w:t>Artículo 179.</w:t>
      </w:r>
      <w:r w:rsidRPr="009100C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A07F5F" w14:textId="77777777" w:rsidR="006F55DA" w:rsidRPr="009100CF" w:rsidRDefault="00852940">
      <w:pPr>
        <w:spacing w:before="120" w:after="120"/>
        <w:ind w:left="1134"/>
        <w:rPr>
          <w:rFonts w:ascii="Palatino Linotype" w:eastAsia="Palatino Linotype" w:hAnsi="Palatino Linotype" w:cs="Palatino Linotype"/>
          <w:b/>
          <w:i/>
          <w:sz w:val="22"/>
          <w:szCs w:val="22"/>
        </w:rPr>
      </w:pPr>
      <w:r w:rsidRPr="009100CF">
        <w:rPr>
          <w:rFonts w:ascii="Palatino Linotype" w:eastAsia="Palatino Linotype" w:hAnsi="Palatino Linotype" w:cs="Palatino Linotype"/>
          <w:b/>
          <w:i/>
          <w:sz w:val="22"/>
          <w:szCs w:val="22"/>
        </w:rPr>
        <w:t>...</w:t>
      </w:r>
    </w:p>
    <w:p w14:paraId="18433562" w14:textId="77777777" w:rsidR="006F55DA" w:rsidRPr="009100CF" w:rsidRDefault="00852940">
      <w:pPr>
        <w:spacing w:before="120" w:after="120"/>
        <w:ind w:left="1134"/>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rPr>
        <w:t>I.</w:t>
      </w:r>
      <w:r w:rsidRPr="009100CF">
        <w:rPr>
          <w:rFonts w:ascii="Palatino Linotype" w:eastAsia="Palatino Linotype" w:hAnsi="Palatino Linotype" w:cs="Palatino Linotype"/>
          <w:i/>
        </w:rPr>
        <w:t xml:space="preserve"> La negativa a la información solicitada</w:t>
      </w:r>
      <w:r w:rsidRPr="009100CF">
        <w:rPr>
          <w:rFonts w:ascii="Palatino Linotype" w:eastAsia="Palatino Linotype" w:hAnsi="Palatino Linotype" w:cs="Palatino Linotype"/>
          <w:i/>
          <w:sz w:val="22"/>
          <w:szCs w:val="22"/>
        </w:rPr>
        <w:t>;”</w:t>
      </w:r>
    </w:p>
    <w:p w14:paraId="6563AA38"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Tercero. Análisis de las causales de sobreseimiento del recurso de revisión.</w:t>
      </w:r>
      <w:r w:rsidRPr="009100CF">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9100CF">
        <w:rPr>
          <w:rFonts w:ascii="Palatino Linotype" w:eastAsia="Palatino Linotype" w:hAnsi="Palatino Linotype" w:cs="Palatino Linotype"/>
          <w:vertAlign w:val="superscript"/>
        </w:rPr>
        <w:footnoteReference w:id="1"/>
      </w:r>
      <w:r w:rsidRPr="009100CF">
        <w:rPr>
          <w:rFonts w:ascii="Palatino Linotype" w:eastAsia="Palatino Linotype" w:hAnsi="Palatino Linotype" w:cs="Palatino Linotype"/>
        </w:rPr>
        <w:t xml:space="preserve"> en relación con el diverso 186 fracción I</w:t>
      </w:r>
      <w:r w:rsidRPr="009100CF">
        <w:rPr>
          <w:rFonts w:ascii="Palatino Linotype" w:eastAsia="Palatino Linotype" w:hAnsi="Palatino Linotype" w:cs="Palatino Linotype"/>
          <w:vertAlign w:val="superscript"/>
        </w:rPr>
        <w:footnoteReference w:id="2"/>
      </w:r>
      <w:r w:rsidRPr="009100CF">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w:t>
      </w:r>
    </w:p>
    <w:p w14:paraId="3B861A55" w14:textId="77777777" w:rsidR="006F55DA" w:rsidRPr="009100CF" w:rsidRDefault="00852940">
      <w:pPr>
        <w:tabs>
          <w:tab w:val="left" w:pos="7513"/>
        </w:tabs>
        <w:spacing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22AD0F9D" w14:textId="77777777" w:rsidR="006F55DA" w:rsidRPr="009100CF" w:rsidRDefault="00852940">
      <w:pPr>
        <w:tabs>
          <w:tab w:val="left" w:pos="7513"/>
        </w:tabs>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la solicitud de información materia del presente recurso, la parte solicitante requirió al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lo siguiente:</w:t>
      </w:r>
    </w:p>
    <w:p w14:paraId="643CC09E" w14:textId="77777777" w:rsidR="006F55DA" w:rsidRPr="009100CF" w:rsidRDefault="00852940">
      <w:pPr>
        <w:tabs>
          <w:tab w:val="left" w:pos="7513"/>
        </w:tabs>
        <w:spacing w:before="240" w:after="240" w:line="360" w:lineRule="auto"/>
        <w:ind w:left="284" w:right="49"/>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xml:space="preserve">1. El fundamento, los lineamientos, directrices, normas técnicas estatales, requisitos o reglas de operación bajo las cuales se debe emitir el </w:t>
      </w:r>
      <w:r w:rsidRPr="009100CF">
        <w:rPr>
          <w:rFonts w:ascii="Palatino Linotype" w:eastAsia="Palatino Linotype" w:hAnsi="Palatino Linotype" w:cs="Palatino Linotype"/>
          <w:b/>
          <w:u w:val="single"/>
        </w:rPr>
        <w:t>dictamen de protección civil de bajo riesgo</w:t>
      </w:r>
      <w:r w:rsidRPr="009100CF">
        <w:rPr>
          <w:rFonts w:ascii="Palatino Linotype" w:eastAsia="Palatino Linotype" w:hAnsi="Palatino Linotype" w:cs="Palatino Linotype"/>
        </w:rPr>
        <w:t>, por parte de los Municipios.</w:t>
      </w:r>
    </w:p>
    <w:p w14:paraId="09B64B4A" w14:textId="77777777" w:rsidR="006F55DA" w:rsidRPr="009100CF" w:rsidRDefault="00852940">
      <w:pPr>
        <w:tabs>
          <w:tab w:val="left" w:pos="7513"/>
        </w:tabs>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Lo anterior, bajo el argumento de que el artículo 6.25 bis del Código Administrativo del Estado de México es la única referencia a la atribución de los Municipios de emitir dictamen de protección civil de bajo riesgo y que el Reglamento del Libro Sexto del Código Administrativo del Estado de México no desarrolla dicho dictamen.</w:t>
      </w:r>
    </w:p>
    <w:p w14:paraId="3172F9DA"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respuesta, 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a través de la Unidad de Transparencia, hizo del conocimiento de la persona solicitante el pronunciamiento vertido por el Jefe de la Unidad de Evaluación Programática, quien, posterior a la realización de una búsqueda minuciosa y exhaustiva en los archivos que obran en la Coordinación General de Protección Civil y Gestión Integral del Riesgo,  en estricto apego a la autonomía municipal consagrada en los artículos 115 de la Constitución Política de los Estados Unidos Mexicanos y 122 de la Constitución Política del Estado Libre y Soberano de México, sugirió que fueran examinadas las adecuaciones, modificaciones y reformas publicadas en el Decreto número 230, por el que se reforman diversas disposiciones jurídicas relacionadas con el tema que es del interés de la persona solicitante, las cuales fueron publicadas en el Periódico Oficial “Gaceta del Gobierno” del Estado de México, el 05 de enero de 2021, proporcionando en el acto al dirección electrónica para la consulta del Decreto referido, así como la relación de normatividad que fue objeto de la modificación referida. </w:t>
      </w:r>
    </w:p>
    <w:p w14:paraId="22E7DADE" w14:textId="77777777" w:rsidR="006F55DA" w:rsidRPr="009100CF" w:rsidRDefault="00852940">
      <w:pPr>
        <w:spacing w:before="240" w:after="240" w:line="360" w:lineRule="auto"/>
        <w:ind w:right="49"/>
        <w:jc w:val="both"/>
        <w:rPr>
          <w:rFonts w:ascii="Palatino Linotype" w:eastAsia="Palatino Linotype" w:hAnsi="Palatino Linotype" w:cs="Palatino Linotype"/>
          <w:i/>
        </w:rPr>
      </w:pPr>
      <w:r w:rsidRPr="009100CF">
        <w:rPr>
          <w:rFonts w:ascii="Palatino Linotype" w:eastAsia="Palatino Linotype" w:hAnsi="Palatino Linotype" w:cs="Palatino Linotype"/>
        </w:rPr>
        <w:lastRenderedPageBreak/>
        <w:t xml:space="preserve">Conocida la respuesta por la persona solicitante, al no estar conforme con los términos de la misma, interpuso el recurso de revisión que nos ocupa, mediante el cual manifestó, como motivo de inconformidad que </w:t>
      </w:r>
      <w:r w:rsidRPr="009100CF">
        <w:rPr>
          <w:rFonts w:ascii="Palatino Linotype" w:eastAsia="Palatino Linotype" w:hAnsi="Palatino Linotype" w:cs="Palatino Linotype"/>
          <w:i/>
        </w:rPr>
        <w:t>“No se brinda respuesta a lo solicitado, únicamente se hace referencia al fundamento que el que suscribe hizo mención en la solicitud de origen.” (sic).</w:t>
      </w:r>
    </w:p>
    <w:p w14:paraId="33C432BE"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Una vez admitido el presente recurso de revisión, en términos del artículo 185 fracción II</w:t>
      </w:r>
      <w:r w:rsidRPr="009100CF">
        <w:rPr>
          <w:rFonts w:ascii="Palatino Linotype" w:eastAsia="Palatino Linotype" w:hAnsi="Palatino Linotype" w:cs="Palatino Linotype"/>
          <w:vertAlign w:val="superscript"/>
        </w:rPr>
        <w:footnoteReference w:id="3"/>
      </w:r>
      <w:r w:rsidRPr="009100C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8DB706E"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tal sentido,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 xml:space="preserve">precisó que </w:t>
      </w:r>
      <w:r w:rsidRPr="009100CF">
        <w:rPr>
          <w:rFonts w:ascii="Palatino Linotype" w:eastAsia="Palatino Linotype" w:hAnsi="Palatino Linotype" w:cs="Palatino Linotype"/>
          <w:b/>
          <w:u w:val="single"/>
        </w:rPr>
        <w:t>dentro de las atribuciones que ostenta la Coordinación General de Protección Civil y Gestión Integral del Riesgo no se encuentra la emisión del dictamen de protección civil de bajo riesgo</w:t>
      </w:r>
      <w:r w:rsidRPr="009100CF">
        <w:rPr>
          <w:rFonts w:ascii="Palatino Linotype" w:eastAsia="Palatino Linotype" w:hAnsi="Palatino Linotype" w:cs="Palatino Linotype"/>
        </w:rPr>
        <w:t xml:space="preserve">, toda vez que </w:t>
      </w:r>
      <w:r w:rsidRPr="009100CF">
        <w:rPr>
          <w:rFonts w:ascii="Palatino Linotype" w:eastAsia="Palatino Linotype" w:hAnsi="Palatino Linotype" w:cs="Palatino Linotype"/>
          <w:b/>
          <w:u w:val="single"/>
        </w:rPr>
        <w:t>dicha atribución es propia de las autoridades de orden municipal,</w:t>
      </w:r>
      <w:r w:rsidRPr="009100CF">
        <w:rPr>
          <w:rFonts w:ascii="Palatino Linotype" w:eastAsia="Palatino Linotype" w:hAnsi="Palatino Linotype" w:cs="Palatino Linotype"/>
        </w:rPr>
        <w:t xml:space="preserve"> acorde con lo establecido en los artículos 115 de la Constitución Política de los Estados Unidos Mexicanos y 122 de la Constitución Política del Estado Libre y Soberano de México, en concordancia con los artículos 6.4 y 6.25 bis del Código Administrativo del Estado de México, en consecuencia, señaló que no era factible atender de manera favorable la petición de la persona solicitante, en estricto apego con lo establecido en el artículo 143 de la Constitución Política del Estado Libre y Soberano de México.</w:t>
      </w:r>
    </w:p>
    <w:p w14:paraId="6574D16C"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En tal sentido, proporcionó el Acta de la Centésima Quincuagésima Sesión Extraordinaria del Comité de Transparencia de la Secretaría General de Gobierno de fecha dieciséis de febrero de dos mil veintitrés, mediante la cual el Comité de Transparencia confirma la declaratoria de incompetencia de la Secretaría General de Gobierno sobre la emisión de lineamientos, directrices, normas técnicas, requisitos o reglas de operación bajo las cuales debe emitirse el dictamen de protección civil de bajo riesgo.</w:t>
      </w:r>
    </w:p>
    <w:p w14:paraId="4D93158B" w14:textId="77777777" w:rsidR="006F55DA" w:rsidRPr="009100CF" w:rsidRDefault="00852940">
      <w:pPr>
        <w:spacing w:before="240" w:after="240" w:line="360" w:lineRule="auto"/>
        <w:ind w:right="49"/>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Información que se hizo de conocimiento de 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con la finalidad de que manifestara lo que a su derecho estimara conveniente, sin embargo, fue omisa en ejercer dicha prerrogativa.</w:t>
      </w:r>
    </w:p>
    <w:p w14:paraId="1EAE5242"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Ahora bien, en primer lugar, es oportuno mencionar que de conformidad con el artículo 24 de la Ley Orgánica de la Administración Pública del Estado de México, la Secretaría General de Gobierno es el Órgano encargado de conducir, por delegación de la persona titular del Poder Ejecutivo del Estado, la política interior del Estado y la coordinación y supervisión del despacho de los asuntos encomendados a las demás dependencias a que se refiere el artículo 23 de la misma Ley.</w:t>
      </w:r>
    </w:p>
    <w:p w14:paraId="209682DF"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Tomando en consideración la materia de la solicitud, se menciona que el artículo 25, fracción V de la Ley Orgánica de la Administración Pública le confiere a la Secretaría General de Gobierno la atribución de coordinar y supervisar las acciones en materia de gestión integral de riesgos y protección civil, así como administrar, en el ámbito </w:t>
      </w:r>
      <w:r w:rsidRPr="009100CF">
        <w:rPr>
          <w:rFonts w:ascii="Palatino Linotype" w:eastAsia="Palatino Linotype" w:hAnsi="Palatino Linotype" w:cs="Palatino Linotype"/>
        </w:rPr>
        <w:lastRenderedPageBreak/>
        <w:t>de su competencia, la aplicación de recursos destinados a la atención de desastres y siniestros ambientales o antropogénicos.</w:t>
      </w:r>
    </w:p>
    <w:p w14:paraId="49277722"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Ahora bien, dentro de la estructura orgánica de la Secretaría General de Gobierno, se encuentra la Coordinación General de Protección Civil y Gestión Integral del Riesgo, como se lee en el artículo 4, fracción VIII del Reglamento Interior de la Secretaría General de Gobierno:</w:t>
      </w:r>
    </w:p>
    <w:p w14:paraId="0A123031"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rPr>
        <w:t>“</w:t>
      </w:r>
      <w:r w:rsidRPr="009100CF">
        <w:rPr>
          <w:rFonts w:ascii="Palatino Linotype" w:eastAsia="Palatino Linotype" w:hAnsi="Palatino Linotype" w:cs="Palatino Linotype"/>
          <w:b/>
          <w:i/>
          <w:sz w:val="22"/>
          <w:szCs w:val="22"/>
        </w:rPr>
        <w:t>Artículo 4.</w:t>
      </w:r>
      <w:r w:rsidRPr="009100CF">
        <w:rPr>
          <w:rFonts w:ascii="Palatino Linotype" w:eastAsia="Palatino Linotype" w:hAnsi="Palatino Linotype" w:cs="Palatino Linotype"/>
          <w:i/>
          <w:sz w:val="22"/>
          <w:szCs w:val="22"/>
        </w:rPr>
        <w:t xml:space="preserve"> Para el estudio, planeación y despacho de los asuntos de su competencia, la Secretaría contará con un Secretario, quien se auxiliará de las unidades administrativas siguientes:</w:t>
      </w:r>
    </w:p>
    <w:p w14:paraId="76CF7D4C"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p>
    <w:p w14:paraId="1106C0FA"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VIII.</w:t>
      </w:r>
      <w:r w:rsidRPr="009100CF">
        <w:rPr>
          <w:rFonts w:ascii="Palatino Linotype" w:eastAsia="Palatino Linotype" w:hAnsi="Palatino Linotype" w:cs="Palatino Linotype"/>
          <w:i/>
          <w:sz w:val="22"/>
          <w:szCs w:val="22"/>
        </w:rPr>
        <w:t xml:space="preserve"> Coordinación General de Protección Civil y Gestión Integral del Riesgo;”</w:t>
      </w:r>
    </w:p>
    <w:p w14:paraId="4B25EDBE"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La Coordinación General de Protección Civil y Gestión Integral del Riesgo, por su parte, cuenta con las siguientes atribuciones:</w:t>
      </w:r>
    </w:p>
    <w:p w14:paraId="091E7156" w14:textId="77777777" w:rsidR="006F55DA" w:rsidRPr="009100CF" w:rsidRDefault="00852940">
      <w:pPr>
        <w:spacing w:before="120" w:after="120"/>
        <w:ind w:left="851"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“Artículo 29.</w:t>
      </w:r>
      <w:r w:rsidRPr="009100CF">
        <w:rPr>
          <w:rFonts w:ascii="Palatino Linotype" w:eastAsia="Palatino Linotype" w:hAnsi="Palatino Linotype" w:cs="Palatino Linotype"/>
          <w:i/>
          <w:sz w:val="22"/>
          <w:szCs w:val="22"/>
        </w:rPr>
        <w:t xml:space="preserve"> Corresponde a la </w:t>
      </w:r>
      <w:r w:rsidRPr="009100CF">
        <w:rPr>
          <w:rFonts w:ascii="Palatino Linotype" w:eastAsia="Palatino Linotype" w:hAnsi="Palatino Linotype" w:cs="Palatino Linotype"/>
          <w:b/>
          <w:i/>
          <w:sz w:val="22"/>
          <w:szCs w:val="22"/>
        </w:rPr>
        <w:t>Coordinación General de Protección Civil y Gestión Integral del Riesgo</w:t>
      </w:r>
      <w:r w:rsidRPr="009100CF">
        <w:rPr>
          <w:rFonts w:ascii="Palatino Linotype" w:eastAsia="Palatino Linotype" w:hAnsi="Palatino Linotype" w:cs="Palatino Linotype"/>
          <w:i/>
          <w:sz w:val="22"/>
          <w:szCs w:val="22"/>
        </w:rPr>
        <w:t xml:space="preserve">, las atribuciones siguientes: </w:t>
      </w:r>
    </w:p>
    <w:p w14:paraId="6FEEA583"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 xml:space="preserve">I. </w:t>
      </w:r>
      <w:r w:rsidRPr="009100CF">
        <w:rPr>
          <w:rFonts w:ascii="Palatino Linotype" w:eastAsia="Palatino Linotype" w:hAnsi="Palatino Linotype" w:cs="Palatino Linotype"/>
          <w:i/>
          <w:sz w:val="22"/>
          <w:szCs w:val="22"/>
        </w:rPr>
        <w:t xml:space="preserve">Elaborar y ejecutar programas de difusión orientados al desarrollo y consolidación de la cultura de la protección civil, el autocuidado y la </w:t>
      </w:r>
      <w:proofErr w:type="spellStart"/>
      <w:r w:rsidRPr="009100CF">
        <w:rPr>
          <w:rFonts w:ascii="Palatino Linotype" w:eastAsia="Palatino Linotype" w:hAnsi="Palatino Linotype" w:cs="Palatino Linotype"/>
          <w:i/>
          <w:sz w:val="22"/>
          <w:szCs w:val="22"/>
        </w:rPr>
        <w:t>autopreparación</w:t>
      </w:r>
      <w:proofErr w:type="spellEnd"/>
      <w:r w:rsidRPr="009100CF">
        <w:rPr>
          <w:rFonts w:ascii="Palatino Linotype" w:eastAsia="Palatino Linotype" w:hAnsi="Palatino Linotype" w:cs="Palatino Linotype"/>
          <w:i/>
          <w:sz w:val="22"/>
          <w:szCs w:val="22"/>
        </w:rPr>
        <w:t xml:space="preserve">; </w:t>
      </w:r>
    </w:p>
    <w:p w14:paraId="3150986A"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II</w:t>
      </w:r>
      <w:r w:rsidRPr="009100CF">
        <w:rPr>
          <w:rFonts w:ascii="Palatino Linotype" w:eastAsia="Palatino Linotype" w:hAnsi="Palatino Linotype" w:cs="Palatino Linotype"/>
          <w:i/>
          <w:sz w:val="22"/>
          <w:szCs w:val="22"/>
        </w:rPr>
        <w:t xml:space="preserve">. Establecer y ejecutar programas para la formación, capacitación, adiestramiento y actualización de los servidores públicos estatales y municipales, integrantes de organizaciones sociales, privadas, académicas y, en general, de cualquier persona interesada en la protección civil; </w:t>
      </w:r>
    </w:p>
    <w:p w14:paraId="7BF3DDDD"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 xml:space="preserve">III. </w:t>
      </w:r>
      <w:r w:rsidRPr="009100CF">
        <w:rPr>
          <w:rFonts w:ascii="Palatino Linotype" w:eastAsia="Palatino Linotype" w:hAnsi="Palatino Linotype" w:cs="Palatino Linotype"/>
          <w:i/>
          <w:sz w:val="22"/>
          <w:szCs w:val="22"/>
        </w:rPr>
        <w:t xml:space="preserve">Promover la prevención y salvaguarda de las personas, de sus bienes y del entorno, mediante la realización de ejercicios y simulacros, así como del aprendizaje de actitudes que deberán asumirse en casos de emergencias y desastres; </w:t>
      </w:r>
    </w:p>
    <w:p w14:paraId="559372CD"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lastRenderedPageBreak/>
        <w:t>IV.</w:t>
      </w:r>
      <w:r w:rsidRPr="009100CF">
        <w:rPr>
          <w:rFonts w:ascii="Palatino Linotype" w:eastAsia="Palatino Linotype" w:hAnsi="Palatino Linotype" w:cs="Palatino Linotype"/>
          <w:i/>
          <w:sz w:val="22"/>
          <w:szCs w:val="22"/>
        </w:rPr>
        <w:t xml:space="preserve"> Coordinar los dispositivos implementados para atender las situaciones de emergencias y desastres; </w:t>
      </w:r>
    </w:p>
    <w:p w14:paraId="14A804B5"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V</w:t>
      </w:r>
      <w:r w:rsidRPr="009100CF">
        <w:rPr>
          <w:rFonts w:ascii="Palatino Linotype" w:eastAsia="Palatino Linotype" w:hAnsi="Palatino Linotype" w:cs="Palatino Linotype"/>
          <w:i/>
          <w:sz w:val="22"/>
          <w:szCs w:val="22"/>
        </w:rPr>
        <w:t xml:space="preserve">. Identificar y adoptar modelos de medición y simulación de contingencias, emergencias y desastres; </w:t>
      </w:r>
    </w:p>
    <w:p w14:paraId="0CC94C41"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VI</w:t>
      </w:r>
      <w:r w:rsidRPr="009100CF">
        <w:rPr>
          <w:rFonts w:ascii="Palatino Linotype" w:eastAsia="Palatino Linotype" w:hAnsi="Palatino Linotype" w:cs="Palatino Linotype"/>
          <w:i/>
          <w:sz w:val="22"/>
          <w:szCs w:val="22"/>
        </w:rPr>
        <w:t xml:space="preserve">. Coordinar el Sistema Estatal de Protección Civil, así como las acciones de prevención, auxilio y recuperación de zonas afectadas en caso de contingencia o desastre; </w:t>
      </w:r>
    </w:p>
    <w:p w14:paraId="217F0B71"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VII.</w:t>
      </w:r>
      <w:r w:rsidRPr="009100CF">
        <w:rPr>
          <w:rFonts w:ascii="Palatino Linotype" w:eastAsia="Palatino Linotype" w:hAnsi="Palatino Linotype" w:cs="Palatino Linotype"/>
          <w:i/>
          <w:sz w:val="22"/>
          <w:szCs w:val="22"/>
        </w:rPr>
        <w:t xml:space="preserve"> Recabar, integrar y sistematizar la información que facilite el estudio y análisis de las emergencias y desastres que afectan a la población, así como las acciones para su atención oportuna; </w:t>
      </w:r>
    </w:p>
    <w:p w14:paraId="21E6BFE0"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VIII.</w:t>
      </w:r>
      <w:r w:rsidRPr="009100CF">
        <w:rPr>
          <w:rFonts w:ascii="Palatino Linotype" w:eastAsia="Palatino Linotype" w:hAnsi="Palatino Linotype" w:cs="Palatino Linotype"/>
          <w:i/>
          <w:sz w:val="22"/>
          <w:szCs w:val="22"/>
        </w:rPr>
        <w:t xml:space="preserve"> Impulsar la realización de investigaciones científicas y técnicas, así como el intercambio de tecnología para el desarrollo de procedimientos en materia de protección civil;</w:t>
      </w:r>
    </w:p>
    <w:p w14:paraId="2C5BB557"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IX</w:t>
      </w:r>
      <w:r w:rsidRPr="009100CF">
        <w:rPr>
          <w:rFonts w:ascii="Palatino Linotype" w:eastAsia="Palatino Linotype" w:hAnsi="Palatino Linotype" w:cs="Palatino Linotype"/>
          <w:i/>
          <w:sz w:val="22"/>
          <w:szCs w:val="22"/>
        </w:rPr>
        <w:t>. Integrar el Atlas de Riesgos y coordinarse con las autoridades similares de la Ciudad de México, de otras entidades federativas y de los municipios para la elaboración de los Atlas Metropolitanos de Riesgos que correspondan;</w:t>
      </w:r>
    </w:p>
    <w:p w14:paraId="55489096"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w:t>
      </w:r>
      <w:r w:rsidRPr="009100CF">
        <w:rPr>
          <w:rFonts w:ascii="Palatino Linotype" w:eastAsia="Palatino Linotype" w:hAnsi="Palatino Linotype" w:cs="Palatino Linotype"/>
          <w:i/>
          <w:sz w:val="22"/>
          <w:szCs w:val="22"/>
        </w:rPr>
        <w:t xml:space="preserve"> Promover la integración de los Atlas y programas de riesgos de los Municipios de la Entidad y proporcionar la asesoría que al respecto le soliciten; </w:t>
      </w:r>
    </w:p>
    <w:p w14:paraId="5BDFBD5B"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XI</w:t>
      </w:r>
      <w:r w:rsidRPr="009100CF">
        <w:rPr>
          <w:rFonts w:ascii="Palatino Linotype" w:eastAsia="Palatino Linotype" w:hAnsi="Palatino Linotype" w:cs="Palatino Linotype"/>
          <w:i/>
          <w:sz w:val="22"/>
          <w:szCs w:val="22"/>
        </w:rPr>
        <w:t xml:space="preserve">. Impulsar la creación, integración y funcionamiento de consejos municipales de protección civil y determinar con la autoridad municipal, los mecanismos de coordinación para su funcionamiento; </w:t>
      </w:r>
    </w:p>
    <w:p w14:paraId="3170375B"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XII.</w:t>
      </w:r>
      <w:r w:rsidRPr="009100CF">
        <w:rPr>
          <w:rFonts w:ascii="Palatino Linotype" w:eastAsia="Palatino Linotype" w:hAnsi="Palatino Linotype" w:cs="Palatino Linotype"/>
          <w:i/>
          <w:sz w:val="22"/>
          <w:szCs w:val="22"/>
        </w:rPr>
        <w:t xml:space="preserve"> Formular y promover mecanismos de coordinación en materia de prevención, atención de emergencias y desastres, con autoridades federales, de la Ciudad de México, entidades federativas y municipios, así como con los sectores social, privado, nacional e internacional; </w:t>
      </w:r>
    </w:p>
    <w:p w14:paraId="39087C18"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XIII.</w:t>
      </w:r>
      <w:r w:rsidRPr="009100CF">
        <w:rPr>
          <w:rFonts w:ascii="Palatino Linotype" w:eastAsia="Palatino Linotype" w:hAnsi="Palatino Linotype" w:cs="Palatino Linotype"/>
          <w:i/>
          <w:sz w:val="22"/>
          <w:szCs w:val="22"/>
        </w:rPr>
        <w:t xml:space="preserve"> Coordinar sus acciones con autoridades federales y municipales para la atención de emergencias y desastres, derivados de la utilización de sustancias explosivas, detonantes y pirotecnia, de conformidad con las disposiciones aplicables; </w:t>
      </w:r>
    </w:p>
    <w:p w14:paraId="158D7CFD"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 xml:space="preserve">XIV. </w:t>
      </w:r>
      <w:r w:rsidRPr="009100CF">
        <w:rPr>
          <w:rFonts w:ascii="Palatino Linotype" w:eastAsia="Palatino Linotype" w:hAnsi="Palatino Linotype" w:cs="Palatino Linotype"/>
          <w:i/>
          <w:sz w:val="22"/>
          <w:szCs w:val="22"/>
        </w:rPr>
        <w:t xml:space="preserve">Elaborar el Programa Estatal de Protección Civil y someterlo a la consideración del Secretario para su aprobación por el Consejo Estatal de Protección Civil, así como llevar a cabo su ejecución; </w:t>
      </w:r>
    </w:p>
    <w:p w14:paraId="7000A856"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lastRenderedPageBreak/>
        <w:t>XV</w:t>
      </w:r>
      <w:r w:rsidRPr="009100CF">
        <w:rPr>
          <w:rFonts w:ascii="Palatino Linotype" w:eastAsia="Palatino Linotype" w:hAnsi="Palatino Linotype" w:cs="Palatino Linotype"/>
          <w:i/>
          <w:sz w:val="22"/>
          <w:szCs w:val="22"/>
        </w:rPr>
        <w:t xml:space="preserve">. Elaborar normas técnicas en materia de protección civil y someterlas al Secretario para su aprobación y posterior publicación; </w:t>
      </w:r>
    </w:p>
    <w:p w14:paraId="6446CE72"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XVI.</w:t>
      </w:r>
      <w:r w:rsidRPr="009100CF">
        <w:rPr>
          <w:rFonts w:ascii="Palatino Linotype" w:eastAsia="Palatino Linotype" w:hAnsi="Palatino Linotype" w:cs="Palatino Linotype"/>
          <w:i/>
          <w:sz w:val="22"/>
          <w:szCs w:val="22"/>
        </w:rPr>
        <w:t xml:space="preserve"> Proponer al Secretario la normatividad en materia de prevención y atención de emergencias y desastres; </w:t>
      </w:r>
    </w:p>
    <w:p w14:paraId="0B6AD823"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XVII</w:t>
      </w:r>
      <w:r w:rsidRPr="009100CF">
        <w:rPr>
          <w:rFonts w:ascii="Palatino Linotype" w:eastAsia="Palatino Linotype" w:hAnsi="Palatino Linotype" w:cs="Palatino Linotype"/>
          <w:i/>
          <w:sz w:val="22"/>
          <w:szCs w:val="22"/>
        </w:rPr>
        <w:t>. Coordinar el funcionamiento de los centros regionales de protección civil;</w:t>
      </w:r>
    </w:p>
    <w:p w14:paraId="1CF27FB3"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XVIII</w:t>
      </w:r>
      <w:r w:rsidRPr="009100CF">
        <w:rPr>
          <w:rFonts w:ascii="Palatino Linotype" w:eastAsia="Palatino Linotype" w:hAnsi="Palatino Linotype" w:cs="Palatino Linotype"/>
          <w:i/>
          <w:sz w:val="22"/>
          <w:szCs w:val="22"/>
        </w:rPr>
        <w:t xml:space="preserve">. Evaluar, supervisar y verificar en términos de la normatividad aplicable, las condiciones de seguridad en instalaciones industriales, comerciales y de servicios fijos y móviles, a que se refieren los Listados I y II del Apéndice del Reglamento del Libro Sexto del Código Administrativo del Estado de México, que permitan el manejo adecuado de materiales y residuos peligrosos, así como de maquinarias y equipos de uso restringido, con la finalidad de prevenir accidentes de emergencias y desastres y aplicar, en su caso, las sanciones que correspondan por las infracciones establecidas en la legislación de la materia; </w:t>
      </w:r>
    </w:p>
    <w:p w14:paraId="1E19A65C"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XIX.</w:t>
      </w:r>
      <w:r w:rsidRPr="009100CF">
        <w:rPr>
          <w:rFonts w:ascii="Palatino Linotype" w:eastAsia="Palatino Linotype" w:hAnsi="Palatino Linotype" w:cs="Palatino Linotype"/>
          <w:i/>
          <w:sz w:val="22"/>
          <w:szCs w:val="22"/>
        </w:rPr>
        <w:t xml:space="preserve"> Verificar las condiciones de seguridad de los inmuebles, instalaciones públicas y privadas así como eventos públicos donde acuda la población y emitir las opiniones técnicas correspondientes, así como aplicar, en su caso, las sanciones que correspondan por las infracciones establecidas en la legislación de la materia; </w:t>
      </w:r>
    </w:p>
    <w:p w14:paraId="590FD0F7"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w:t>
      </w:r>
      <w:r w:rsidRPr="009100CF">
        <w:rPr>
          <w:rFonts w:ascii="Palatino Linotype" w:eastAsia="Palatino Linotype" w:hAnsi="Palatino Linotype" w:cs="Palatino Linotype"/>
          <w:i/>
          <w:sz w:val="22"/>
          <w:szCs w:val="22"/>
        </w:rPr>
        <w:t xml:space="preserve"> Implementar acciones, mecanismos y procesos en materia de protección civil, tendientes a facilitar la instalación, operación, ampliación y regularización de giros comerciales, industriales y de servicios en el territorio de la entidad, de conformidad con la legislación aplicable en la materia; </w:t>
      </w:r>
    </w:p>
    <w:p w14:paraId="4ED080C0"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XXI.</w:t>
      </w:r>
      <w:r w:rsidRPr="009100CF">
        <w:rPr>
          <w:rFonts w:ascii="Palatino Linotype" w:eastAsia="Palatino Linotype" w:hAnsi="Palatino Linotype" w:cs="Palatino Linotype"/>
          <w:i/>
          <w:sz w:val="22"/>
          <w:szCs w:val="22"/>
        </w:rPr>
        <w:t xml:space="preserve"> Emitir la Evaluación Técnica de Impacto en materia de Protección Civil, conforme a lo establecido en las disposiciones jurídicas aplicables; </w:t>
      </w:r>
    </w:p>
    <w:p w14:paraId="2FE82A9B"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XXII.</w:t>
      </w:r>
      <w:r w:rsidRPr="009100CF">
        <w:rPr>
          <w:rFonts w:ascii="Palatino Linotype" w:eastAsia="Palatino Linotype" w:hAnsi="Palatino Linotype" w:cs="Palatino Linotype"/>
          <w:i/>
          <w:sz w:val="22"/>
          <w:szCs w:val="22"/>
        </w:rPr>
        <w:t xml:space="preserve"> Asesorar a los sectores públicos, social y privado que lo soliciten, en la elaboración de sus programas internos de protección civil, así como en la integración y funcionamiento de sus unidades internas de protección civil;</w:t>
      </w:r>
    </w:p>
    <w:p w14:paraId="78B74283"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XXIII</w:t>
      </w:r>
      <w:r w:rsidRPr="009100CF">
        <w:rPr>
          <w:rFonts w:ascii="Palatino Linotype" w:eastAsia="Palatino Linotype" w:hAnsi="Palatino Linotype" w:cs="Palatino Linotype"/>
          <w:i/>
          <w:sz w:val="22"/>
          <w:szCs w:val="22"/>
        </w:rPr>
        <w:t xml:space="preserve">. Integrar y operar el Sistema Estatal de Información de Protección Civil y el Registro Estatal de Protección Civil; </w:t>
      </w:r>
    </w:p>
    <w:p w14:paraId="297FA35D"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XXIV.</w:t>
      </w:r>
      <w:r w:rsidRPr="009100CF">
        <w:rPr>
          <w:rFonts w:ascii="Palatino Linotype" w:eastAsia="Palatino Linotype" w:hAnsi="Palatino Linotype" w:cs="Palatino Linotype"/>
          <w:i/>
          <w:sz w:val="22"/>
          <w:szCs w:val="22"/>
        </w:rPr>
        <w:t xml:space="preserve"> Asumir la Secretaría Técnica del Consejo Estatal de Protección Civil; </w:t>
      </w:r>
    </w:p>
    <w:p w14:paraId="20AADF5C"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XXV</w:t>
      </w:r>
      <w:r w:rsidRPr="009100CF">
        <w:rPr>
          <w:rFonts w:ascii="Palatino Linotype" w:eastAsia="Palatino Linotype" w:hAnsi="Palatino Linotype" w:cs="Palatino Linotype"/>
          <w:i/>
          <w:sz w:val="22"/>
          <w:szCs w:val="22"/>
        </w:rPr>
        <w:t xml:space="preserve">. Supervisar que el personal a su cargo, al advertir la comisión de algún delito, preserve y custodie el lugar de los hechos, con la finalidad de que las </w:t>
      </w:r>
      <w:r w:rsidRPr="009100CF">
        <w:rPr>
          <w:rFonts w:ascii="Palatino Linotype" w:eastAsia="Palatino Linotype" w:hAnsi="Palatino Linotype" w:cs="Palatino Linotype"/>
          <w:i/>
          <w:sz w:val="22"/>
          <w:szCs w:val="22"/>
        </w:rPr>
        <w:lastRenderedPageBreak/>
        <w:t xml:space="preserve">pruebas e indicios no pierdan su calidad probatoria de origen, hasta que la autoridad competente inicie la investigación correspondiente; </w:t>
      </w:r>
    </w:p>
    <w:p w14:paraId="56478537"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XXVI.</w:t>
      </w:r>
      <w:r w:rsidRPr="009100CF">
        <w:rPr>
          <w:rFonts w:ascii="Palatino Linotype" w:eastAsia="Palatino Linotype" w:hAnsi="Palatino Linotype" w:cs="Palatino Linotype"/>
          <w:i/>
          <w:sz w:val="22"/>
          <w:szCs w:val="22"/>
        </w:rPr>
        <w:t xml:space="preserve"> Emitir las opiniones técnicas de protección civil derivadas de los programas de inspección en materia de protección civil, y </w:t>
      </w:r>
    </w:p>
    <w:p w14:paraId="10CE830C"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XXVII.</w:t>
      </w:r>
      <w:r w:rsidRPr="009100CF">
        <w:rPr>
          <w:rFonts w:ascii="Palatino Linotype" w:eastAsia="Palatino Linotype" w:hAnsi="Palatino Linotype" w:cs="Palatino Linotype"/>
          <w:i/>
          <w:sz w:val="22"/>
          <w:szCs w:val="22"/>
        </w:rPr>
        <w:t xml:space="preserve"> Someter a consideración de la persona titular de la Secretaría, la solicitud para que los instrumentos de administración y transferencia de riesgos que contrate la entidad, sean complementados con los instrumentos financieros de gestión de riesgos federales; </w:t>
      </w:r>
    </w:p>
    <w:p w14:paraId="5D8624B2"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XXVIII.</w:t>
      </w:r>
      <w:r w:rsidRPr="009100CF">
        <w:rPr>
          <w:rFonts w:ascii="Palatino Linotype" w:eastAsia="Palatino Linotype" w:hAnsi="Palatino Linotype" w:cs="Palatino Linotype"/>
          <w:i/>
          <w:sz w:val="22"/>
          <w:szCs w:val="22"/>
        </w:rPr>
        <w:t xml:space="preserve"> Coordinar y supervisar las acciones en materia de protección civil, así como administrar en el ámbito de su competencia, la aplicación de recursos destinados a la atención de desastres y siniestros ambientales o antropogénicos; </w:t>
      </w:r>
    </w:p>
    <w:p w14:paraId="7E3AA97C"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XXIX</w:t>
      </w:r>
      <w:r w:rsidRPr="009100CF">
        <w:rPr>
          <w:rFonts w:ascii="Palatino Linotype" w:eastAsia="Palatino Linotype" w:hAnsi="Palatino Linotype" w:cs="Palatino Linotype"/>
          <w:i/>
          <w:sz w:val="22"/>
          <w:szCs w:val="22"/>
        </w:rPr>
        <w:t xml:space="preserve">. Elaborar las solicitudes de acceso a los instrumentos financieros de gestión de riesgos conforme a las disposiciones jurídicas aplicables; </w:t>
      </w:r>
    </w:p>
    <w:p w14:paraId="2B84FEAC"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XXX</w:t>
      </w:r>
      <w:r w:rsidRPr="009100CF">
        <w:rPr>
          <w:rFonts w:ascii="Palatino Linotype" w:eastAsia="Palatino Linotype" w:hAnsi="Palatino Linotype" w:cs="Palatino Linotype"/>
          <w:i/>
          <w:sz w:val="22"/>
          <w:szCs w:val="22"/>
        </w:rPr>
        <w:t xml:space="preserve">. Verificar la ejecución y cumplimiento de los proyectos preventivos, para determinar que los recursos autorizados se utilicen conforme a los fines propuestos; </w:t>
      </w:r>
    </w:p>
    <w:p w14:paraId="282AD371"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XXXI.</w:t>
      </w:r>
      <w:r w:rsidRPr="009100CF">
        <w:rPr>
          <w:rFonts w:ascii="Palatino Linotype" w:eastAsia="Palatino Linotype" w:hAnsi="Palatino Linotype" w:cs="Palatino Linotype"/>
          <w:i/>
          <w:sz w:val="22"/>
          <w:szCs w:val="22"/>
        </w:rPr>
        <w:t xml:space="preserve"> Asesorar y capacitar a los municipios en relación con los instrumentos financieros de gestión de riesgos; </w:t>
      </w:r>
    </w:p>
    <w:p w14:paraId="0DFE706B"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XXXII.</w:t>
      </w:r>
      <w:r w:rsidRPr="009100CF">
        <w:rPr>
          <w:rFonts w:ascii="Palatino Linotype" w:eastAsia="Palatino Linotype" w:hAnsi="Palatino Linotype" w:cs="Palatino Linotype"/>
          <w:i/>
          <w:sz w:val="22"/>
          <w:szCs w:val="22"/>
        </w:rPr>
        <w:t xml:space="preserve"> Dar seguimiento a los programas de obras y acciones autorizadas para mitigar los efectos que produzca un fenómeno natural perturbador conforme a las disposiciones jurídicas aplicables, y </w:t>
      </w:r>
    </w:p>
    <w:p w14:paraId="752B6E97" w14:textId="77777777" w:rsidR="006F55DA" w:rsidRPr="009100CF" w:rsidRDefault="00852940">
      <w:pPr>
        <w:spacing w:before="120" w:after="120"/>
        <w:ind w:left="1134" w:right="1043"/>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XXXIII</w:t>
      </w:r>
      <w:r w:rsidRPr="009100CF">
        <w:rPr>
          <w:rFonts w:ascii="Palatino Linotype" w:eastAsia="Palatino Linotype" w:hAnsi="Palatino Linotype" w:cs="Palatino Linotype"/>
          <w:i/>
          <w:sz w:val="22"/>
          <w:szCs w:val="22"/>
        </w:rPr>
        <w:t>. Las demás que le confieran otros ordenamientos legales y aquellas que le encomiende el Secretario.”</w:t>
      </w:r>
    </w:p>
    <w:p w14:paraId="1E3EA020"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Por su parte, el Manual General de Organización de la Secretaría General de Gobierno, establece que la Coordinación General de Protección Civil y Gestión Integral del Riesgo, cuyo objetivo consiste en promover, prospectar, formular, implementar dar seguimiento, evaluar y diagnosticar acciones tendientes para la reducción del riesgo de desastres en el Estado de México, en coordinación con las autoridades federales, estatales, municipales, y los sectores académico, científico, </w:t>
      </w:r>
      <w:r w:rsidRPr="009100CF">
        <w:rPr>
          <w:rFonts w:ascii="Palatino Linotype" w:eastAsia="Palatino Linotype" w:hAnsi="Palatino Linotype" w:cs="Palatino Linotype"/>
        </w:rPr>
        <w:lastRenderedPageBreak/>
        <w:t>social y privado, que permitan incrementar la resiliencia y autoprotección de las personas, sus bienes y el entorno, cuenta con las siguientes funciones:</w:t>
      </w:r>
    </w:p>
    <w:p w14:paraId="6391BC79"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Proponer, dirigir y evaluar las acciones que en materia de protección civil y gestión integral del riesgo se desarrollen en la entidad, de conformidad con la legislación vigente.</w:t>
      </w:r>
    </w:p>
    <w:p w14:paraId="68F8476B"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Dirigir y supervisar las acciones de recopilación, integración y procesamiento de la información, para el análisis de riesgos previsibles y siniestros que pudieran afectar a la población en la entidad. </w:t>
      </w:r>
    </w:p>
    <w:p w14:paraId="17D8CF6E"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Dirigir y coordinar la integración de los atlas de riesgo, programas, directorios, inventarios y demás instrumentos, que establezcan acciones para prevenir contingencias y desastres, así como para atender a la población afectada por la incidencia de los fenómenos perturbadores en la entidad. </w:t>
      </w:r>
    </w:p>
    <w:p w14:paraId="739A7697"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Coordinar la integración del Programa Estatal de Protección Civil y presentar para visto bueno y/o autorización de la persona titular de la Secretaría General de Gobierno. </w:t>
      </w:r>
    </w:p>
    <w:p w14:paraId="07C47193"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Proponer a los municipios de la entidad, la creación y el establecimiento de consejos municipales de protección civil que se encarguen de desarrollar funciones preventivas, de apoyo y atención en casos de contingencias y desastres naturales en la zona que corresponda a su circunscripción territorial. </w:t>
      </w:r>
    </w:p>
    <w:p w14:paraId="1645CB7A"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Emitir las políticas, lineamientos y demás mecanismos que garanticen la participación interinstitucional y de los sectores social y privado en acciones de </w:t>
      </w:r>
      <w:r w:rsidRPr="009100CF">
        <w:rPr>
          <w:rFonts w:ascii="Palatino Linotype" w:eastAsia="Palatino Linotype" w:hAnsi="Palatino Linotype" w:cs="Palatino Linotype"/>
        </w:rPr>
        <w:lastRenderedPageBreak/>
        <w:t xml:space="preserve">prevención y recuperación, así como de auxilio a la población en situación de emergencia. </w:t>
      </w:r>
    </w:p>
    <w:p w14:paraId="0E9BCE35"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Supervisar la aplicación de la normatividad en materia de protección civil, en la evaluación de las condiciones de seguridad en inmuebles, instalaciones o sistemas, a fin de prevenir la ocurrencia de accidentes, situaciones de riesgo, emergencias y desastres en la entidad y garantizar la seguridad de las personas. </w:t>
      </w:r>
    </w:p>
    <w:p w14:paraId="0A42744A"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Coordinar la implementación y ejecución de los programas de inspección en instalaciones industriales, comerciales, de prestación de servicios, zonas habitacionales, edificios públicos, hospitales, centros de abasto, instalaciones estratégicas, que permitan garantizar la seguridad y bienestar de la población en la entidad. </w:t>
      </w:r>
    </w:p>
    <w:p w14:paraId="3273F4BB"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Emitir las Evaluaciones Técnicas de Impacto en materia de Protección Civil, previa verificación correspondiente, conforme a lo establecido en la Ley de la Comisión de Impacto Estatal, su Reglamento, el Código Administrativo del Estado de México, el Reglamento del Libro Sexto del Código Administrativo del Estado de México, y demás disposiciones jurídicas aplicables. </w:t>
      </w:r>
    </w:p>
    <w:p w14:paraId="2580661A"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Verificar que los dictámenes u opiniones técnicas que se emitan como resultado de la aplicación de los programas de inspección en materia de protección civil y gestión del riesgo, cumplan con los lineamientos establecidos para tal efecto, así como autorizarlos.</w:t>
      </w:r>
    </w:p>
    <w:p w14:paraId="49D9C7D0"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xml:space="preserve">− Suscribir, en materia de su competencia, convenios de colaboración, coordinación o concertación con los sectores público, social y privado. </w:t>
      </w:r>
    </w:p>
    <w:p w14:paraId="42D364A2"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Modificar o revocar las resoluciones de carácter individual que dicte y no sean favorables al particular, conforme a la normatividad vigente en la materia. </w:t>
      </w:r>
    </w:p>
    <w:p w14:paraId="42C86E2C"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Participar en el Consejo Estatal de Protección Civil y desarrollar las actividades que le correspondan como Secretario o Secretaria Técnica del mismo.</w:t>
      </w:r>
    </w:p>
    <w:p w14:paraId="1E37673A"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Fomentar el desarrollo de la cultura de protección civil, mediante acciones de capacitación, formación y adiestramiento dirigidas a la población mexiquense. </w:t>
      </w:r>
    </w:p>
    <w:p w14:paraId="4E7FDC5C"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Vigilar que la integración del Sistema Estatal de Información de Protección Civil y del Registro Estatal en la materia, se lleve a cabo conforme a los criterios y lineamientos de tecnologías de la información y con apego a la normatividad aplicable en vigor. </w:t>
      </w:r>
    </w:p>
    <w:p w14:paraId="1A35896B"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Ejercer las acciones legales y aplicar las sanciones que correspondan a la violación de la normatividad en materia de protección civil, en coordinación con las instancias competentes. </w:t>
      </w:r>
    </w:p>
    <w:p w14:paraId="12E5991A"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Ordenar la aplicación de las medidas de seguridad que correspondan, a fin de eliminar y/o minimizar los riesgos que puedan presentarse en caso de desastres o contingencias, de acuerdo a lo establecido en términos de la legislación vigente en la materia. </w:t>
      </w:r>
    </w:p>
    <w:p w14:paraId="0D2F3C03"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 xml:space="preserve">− Participar en el Comité de Supervisión y Verificación de Empresas de Seguridad Privada, para constatar que las empresas sigan cumpliendo con las condiciones para la prestación del servicio de seguridad privada en el Estado de México. </w:t>
      </w:r>
    </w:p>
    <w:p w14:paraId="681DF017"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Promover y gestionar el acceso a los recursos de los instrumentos financieros de gestión de riesgos dispuestos por las autoridades del orden federal o estatal, para la gestión integral del riesgo de desastres socio ambientales en el Estado de México.</w:t>
      </w:r>
    </w:p>
    <w:p w14:paraId="5F909A9D"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 Asistir a los Comités de Evaluación de daños formados por la Coordinación Nacional de Protección Civil. </w:t>
      </w:r>
    </w:p>
    <w:p w14:paraId="49886754"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Diseñar, implementar y evaluar los programas de capacitación especializada para que los municipios y entes públicos del Estado de México accedan a los recursos de los instrumentos financieros de gestión de riesgos. </w:t>
      </w:r>
    </w:p>
    <w:p w14:paraId="10F0E9BE"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Supervisar que la operación del Instituto Mexiquense de la Pirotecnia sea acorde con los planes y programas aprobados en materia de pirotecnia, de acuerdo sistema estatal sobre Gestión Integral del Riesgo de Desastres y Protección Civil.</w:t>
      </w:r>
    </w:p>
    <w:p w14:paraId="0543EAE7"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 − Vigilar el cumplimiento de los lineamientos, normas y políticas emitidos por las dependencias de coordinación global en materia de pirotecnia. </w:t>
      </w:r>
    </w:p>
    <w:p w14:paraId="19976155"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Desarrollar las demás funciones inherentes al área de su competencia.</w:t>
      </w:r>
    </w:p>
    <w:p w14:paraId="5F7DC34F"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Con base en la normativa citada se colige que la Coordinación General de Protección Civil y Gestión Integral del Riesgo del Gobierno del Estado de México no cuenta con </w:t>
      </w:r>
      <w:r w:rsidRPr="009100CF">
        <w:rPr>
          <w:rFonts w:ascii="Palatino Linotype" w:eastAsia="Palatino Linotype" w:hAnsi="Palatino Linotype" w:cs="Palatino Linotype"/>
        </w:rPr>
        <w:lastRenderedPageBreak/>
        <w:t>atribuciones para formular lineamientos, directrices, normas técnicas estatales, requisitos o reglas de operación bajo las cuales se debe emitir el dictamen de protección civil de bajo riesgo, parte de los municipios, al ser esta una atribución que se le confiere a los ayuntamientos, de conformidad con los artículos 6.4 y 6.25 del Código Administrativo del Estado de México, a saber:</w:t>
      </w:r>
    </w:p>
    <w:p w14:paraId="76BA87D6" w14:textId="77777777" w:rsidR="006F55DA" w:rsidRPr="009100CF" w:rsidRDefault="00852940">
      <w:pPr>
        <w:spacing w:before="120" w:after="120"/>
        <w:ind w:left="851" w:right="902"/>
        <w:jc w:val="both"/>
        <w:rPr>
          <w:rFonts w:ascii="Palatino Linotype" w:eastAsia="Palatino Linotype" w:hAnsi="Palatino Linotype" w:cs="Palatino Linotype"/>
          <w:b/>
          <w:i/>
          <w:sz w:val="22"/>
          <w:szCs w:val="22"/>
        </w:rPr>
      </w:pP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Artículo 6.4</w:t>
      </w:r>
      <w:r w:rsidRPr="009100CF">
        <w:rPr>
          <w:rFonts w:ascii="Palatino Linotype" w:eastAsia="Palatino Linotype" w:hAnsi="Palatino Linotype" w:cs="Palatino Linotype"/>
          <w:i/>
          <w:sz w:val="22"/>
          <w:szCs w:val="22"/>
        </w:rPr>
        <w:t xml:space="preserve">.- </w:t>
      </w:r>
      <w:r w:rsidRPr="009100CF">
        <w:rPr>
          <w:rFonts w:ascii="Palatino Linotype" w:eastAsia="Palatino Linotype" w:hAnsi="Palatino Linotype" w:cs="Palatino Linotype"/>
          <w:b/>
          <w:i/>
          <w:sz w:val="22"/>
          <w:szCs w:val="22"/>
        </w:rPr>
        <w:t>Son autoridades en materia de protección civil,</w:t>
      </w:r>
      <w:r w:rsidRPr="009100CF">
        <w:rPr>
          <w:rFonts w:ascii="Palatino Linotype" w:eastAsia="Palatino Linotype" w:hAnsi="Palatino Linotype" w:cs="Palatino Linotype"/>
          <w:i/>
          <w:sz w:val="22"/>
          <w:szCs w:val="22"/>
        </w:rPr>
        <w:t xml:space="preserve"> la Secretaría General de Gobierno, la Coordinación General de Protección Civil y Gestión Integral del Riesgo y, </w:t>
      </w:r>
      <w:r w:rsidRPr="009100CF">
        <w:rPr>
          <w:rFonts w:ascii="Palatino Linotype" w:eastAsia="Palatino Linotype" w:hAnsi="Palatino Linotype" w:cs="Palatino Linotype"/>
          <w:b/>
          <w:i/>
          <w:sz w:val="22"/>
          <w:szCs w:val="22"/>
        </w:rPr>
        <w:t>los ayuntamientos con las atribuciones que les otorga este Libro.</w:t>
      </w:r>
    </w:p>
    <w:p w14:paraId="6CFA0A49" w14:textId="77777777" w:rsidR="006F55DA" w:rsidRPr="009100CF" w:rsidRDefault="00852940">
      <w:pPr>
        <w:spacing w:before="120" w:after="120"/>
        <w:ind w:left="851" w:right="902"/>
        <w:jc w:val="both"/>
        <w:rPr>
          <w:rFonts w:ascii="Palatino Linotype" w:eastAsia="Palatino Linotype" w:hAnsi="Palatino Linotype" w:cs="Palatino Linotype"/>
          <w:b/>
          <w:i/>
          <w:sz w:val="22"/>
          <w:szCs w:val="22"/>
        </w:rPr>
      </w:pPr>
      <w:r w:rsidRPr="009100CF">
        <w:rPr>
          <w:rFonts w:ascii="Palatino Linotype" w:eastAsia="Palatino Linotype" w:hAnsi="Palatino Linotype" w:cs="Palatino Linotype"/>
          <w:i/>
          <w:sz w:val="22"/>
          <w:szCs w:val="22"/>
        </w:rPr>
        <w:t>…</w:t>
      </w:r>
    </w:p>
    <w:p w14:paraId="4F6981F0"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Artículo 6.25 Bis</w:t>
      </w:r>
      <w:r w:rsidRPr="009100CF">
        <w:rPr>
          <w:rFonts w:ascii="Palatino Linotype" w:eastAsia="Palatino Linotype" w:hAnsi="Palatino Linotype" w:cs="Palatino Linotype"/>
          <w:i/>
          <w:sz w:val="22"/>
          <w:szCs w:val="22"/>
        </w:rPr>
        <w:t xml:space="preserve">. </w:t>
      </w:r>
      <w:r w:rsidRPr="009100CF">
        <w:rPr>
          <w:rFonts w:ascii="Palatino Linotype" w:eastAsia="Palatino Linotype" w:hAnsi="Palatino Linotype" w:cs="Palatino Linotype"/>
          <w:b/>
          <w:i/>
          <w:sz w:val="22"/>
          <w:szCs w:val="22"/>
        </w:rPr>
        <w:t xml:space="preserve">Corresponde a los Municipios emitir </w:t>
      </w:r>
      <w:r w:rsidRPr="009100CF">
        <w:rPr>
          <w:rFonts w:ascii="Palatino Linotype" w:eastAsia="Palatino Linotype" w:hAnsi="Palatino Linotype" w:cs="Palatino Linotype"/>
          <w:b/>
          <w:i/>
          <w:sz w:val="22"/>
          <w:szCs w:val="22"/>
          <w:u w:val="single"/>
        </w:rPr>
        <w:t>dictamen de protección civil de bajo riesgo,</w:t>
      </w:r>
      <w:r w:rsidRPr="009100CF">
        <w:rPr>
          <w:rFonts w:ascii="Palatino Linotype" w:eastAsia="Palatino Linotype" w:hAnsi="Palatino Linotype" w:cs="Palatino Linotype"/>
          <w:i/>
          <w:sz w:val="22"/>
          <w:szCs w:val="22"/>
        </w:rPr>
        <w:t xml:space="preserve"> incluyendo a los establecimientos mercantiles que vendan bebidas alcohólicas para su consumo, en envase cerrado o al copeo.”</w:t>
      </w:r>
    </w:p>
    <w:p w14:paraId="1DAAB1ED"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De los preceptos citados se desprende que los ayuntamientos son considerados como una autoridad en materia de protección civil, en cuanto a las atribuciones que les otorga el Libro Sexto del Código Administrativo del Estado de México, y, entre dichas atribuciones se localiza la relativa a la emisión del dictamen de protección civil de bajo riesgo.</w:t>
      </w:r>
    </w:p>
    <w:p w14:paraId="38788D7E" w14:textId="77777777" w:rsidR="006F55DA" w:rsidRPr="009100CF" w:rsidRDefault="00852940">
      <w:pPr>
        <w:tabs>
          <w:tab w:val="left" w:pos="2100"/>
        </w:tabs>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este sentido, el Reglamento del Libro Sexto del Código Administrativo del Estado de México, cuya aplicación, vigilancia y cumplimiento corresponde, de conformidad su artículo 2, a la Coordinación General de Protección Civil y Gestión Integral del Riesgo del Gobierno del Estado de México </w:t>
      </w:r>
      <w:r w:rsidRPr="009100CF">
        <w:rPr>
          <w:rFonts w:ascii="Palatino Linotype" w:eastAsia="Palatino Linotype" w:hAnsi="Palatino Linotype" w:cs="Palatino Linotype"/>
          <w:b/>
          <w:u w:val="single"/>
        </w:rPr>
        <w:t>y a los ayuntamientos de los municipios de la Entidad, en la esfera de sus respectivas atribuciones y competencias</w:t>
      </w:r>
      <w:r w:rsidRPr="009100CF">
        <w:rPr>
          <w:rFonts w:ascii="Palatino Linotype" w:eastAsia="Palatino Linotype" w:hAnsi="Palatino Linotype" w:cs="Palatino Linotype"/>
        </w:rPr>
        <w:t xml:space="preserve">, define en su artículo 4, fracción XIX, al dictamen de protección civil de bajo riesgo como la evaluación que realizan las autoridades municipales sobre las condiciones de </w:t>
      </w:r>
      <w:r w:rsidRPr="009100CF">
        <w:rPr>
          <w:rFonts w:ascii="Palatino Linotype" w:eastAsia="Palatino Linotype" w:hAnsi="Palatino Linotype" w:cs="Palatino Linotype"/>
        </w:rPr>
        <w:lastRenderedPageBreak/>
        <w:t>seguridad de aquellos giros y/o establecimientos mercantiles clasificados como generadores de bajo riesgo, a saber:</w:t>
      </w:r>
    </w:p>
    <w:p w14:paraId="03D8DDB0" w14:textId="77777777" w:rsidR="006F55DA" w:rsidRPr="009100CF" w:rsidRDefault="00852940">
      <w:pPr>
        <w:tabs>
          <w:tab w:val="left" w:pos="2100"/>
        </w:tabs>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Artículo 4.</w:t>
      </w:r>
      <w:r w:rsidRPr="009100CF">
        <w:rPr>
          <w:rFonts w:ascii="Palatino Linotype" w:eastAsia="Palatino Linotype" w:hAnsi="Palatino Linotype" w:cs="Palatino Linotype"/>
          <w:i/>
          <w:sz w:val="22"/>
          <w:szCs w:val="22"/>
        </w:rPr>
        <w:t xml:space="preserve"> Son aplicables a este Reglamento los conceptos, principios y lineamientos establecidos en la Ley General de Protección Civil y el Libro Sexto del Código Administrativo del Estado de México.</w:t>
      </w:r>
    </w:p>
    <w:p w14:paraId="31BD6448"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p>
    <w:p w14:paraId="49BCF29A"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XIX. Dictamen de Protección Civil de Bajo Riesgo</w:t>
      </w:r>
      <w:r w:rsidRPr="009100CF">
        <w:rPr>
          <w:rFonts w:ascii="Palatino Linotype" w:eastAsia="Palatino Linotype" w:hAnsi="Palatino Linotype" w:cs="Palatino Linotype"/>
          <w:i/>
          <w:sz w:val="22"/>
          <w:szCs w:val="22"/>
        </w:rPr>
        <w:t>: a la</w:t>
      </w:r>
      <w:r w:rsidRPr="009100CF">
        <w:rPr>
          <w:rFonts w:ascii="Palatino Linotype" w:eastAsia="Palatino Linotype" w:hAnsi="Palatino Linotype" w:cs="Palatino Linotype"/>
          <w:b/>
          <w:i/>
          <w:sz w:val="22"/>
          <w:szCs w:val="22"/>
        </w:rPr>
        <w:t xml:space="preserve"> </w:t>
      </w:r>
      <w:r w:rsidRPr="009100CF">
        <w:rPr>
          <w:rFonts w:ascii="Palatino Linotype" w:eastAsia="Palatino Linotype" w:hAnsi="Palatino Linotype" w:cs="Palatino Linotype"/>
          <w:b/>
          <w:i/>
          <w:sz w:val="22"/>
          <w:szCs w:val="22"/>
          <w:u w:val="single"/>
        </w:rPr>
        <w:t xml:space="preserve">evaluación que realizan las autoridades municipales </w:t>
      </w:r>
      <w:r w:rsidRPr="009100CF">
        <w:rPr>
          <w:rFonts w:ascii="Palatino Linotype" w:eastAsia="Palatino Linotype" w:hAnsi="Palatino Linotype" w:cs="Palatino Linotype"/>
          <w:i/>
          <w:sz w:val="22"/>
          <w:szCs w:val="22"/>
        </w:rPr>
        <w:t>sobre las condiciones de seguridad de aquellos giros y/o establecimientos mercantiles clasificados como generadores de bajo riesgo.”</w:t>
      </w:r>
    </w:p>
    <w:p w14:paraId="70B3CC9E" w14:textId="77777777" w:rsidR="006F55DA" w:rsidRPr="009100CF" w:rsidRDefault="00852940">
      <w:pPr>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rPr>
        <w:t xml:space="preserve">Asimismo, el Anexo II del Reglamento del Libro Sexto del Código Administrativo del Estado de México, contempla el Listado de Generadores de mediano y bajo riesgo, y, en la prevención marcada con el número 2, establece que la </w:t>
      </w:r>
      <w:r w:rsidRPr="009100CF">
        <w:rPr>
          <w:rFonts w:ascii="Palatino Linotype" w:eastAsia="Palatino Linotype" w:hAnsi="Palatino Linotype" w:cs="Palatino Linotype"/>
          <w:b/>
        </w:rPr>
        <w:t xml:space="preserve">Coordinación General de Protección Civil </w:t>
      </w:r>
      <w:r w:rsidRPr="009100CF">
        <w:rPr>
          <w:rFonts w:ascii="Palatino Linotype" w:eastAsia="Palatino Linotype" w:hAnsi="Palatino Linotype" w:cs="Palatino Linotype"/>
        </w:rPr>
        <w:t xml:space="preserve">es competente para las atribuciones de vigilancia y aplicación de medidas de seguridad y sanciones en los </w:t>
      </w:r>
      <w:r w:rsidRPr="009100CF">
        <w:rPr>
          <w:rFonts w:ascii="Palatino Linotype" w:eastAsia="Palatino Linotype" w:hAnsi="Palatino Linotype" w:cs="Palatino Linotype"/>
          <w:b/>
        </w:rPr>
        <w:t>generadores de mediano riesgo</w:t>
      </w:r>
      <w:r w:rsidRPr="009100CF">
        <w:rPr>
          <w:rFonts w:ascii="Palatino Linotype" w:eastAsia="Palatino Linotype" w:hAnsi="Palatino Linotype" w:cs="Palatino Linotype"/>
        </w:rPr>
        <w:t xml:space="preserve">, y los </w:t>
      </w:r>
      <w:r w:rsidRPr="009100CF">
        <w:rPr>
          <w:rFonts w:ascii="Palatino Linotype" w:eastAsia="Palatino Linotype" w:hAnsi="Palatino Linotype" w:cs="Palatino Linotype"/>
          <w:b/>
          <w:u w:val="single"/>
        </w:rPr>
        <w:t>municipios para los generadores de bajo riesgo</w:t>
      </w:r>
      <w:r w:rsidRPr="009100CF">
        <w:rPr>
          <w:rFonts w:ascii="Palatino Linotype" w:eastAsia="Palatino Linotype" w:hAnsi="Palatino Linotype" w:cs="Palatino Linotype"/>
          <w:b/>
        </w:rPr>
        <w:t>.</w:t>
      </w:r>
    </w:p>
    <w:p w14:paraId="3CBDBEF6"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Reiterando así el ámbito competencial de los municipios para emitir los dictámenes de protección civil de bajo riesgo, y, por tanto, para conocer sobre el fundamento, los lineamientos, directrices, normas técnicas estatales, requisitos o reglas de operación bajo las cuales se debe emitir dicho documento.</w:t>
      </w:r>
    </w:p>
    <w:p w14:paraId="5653BD0E"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Lo anterior se estima así en virtud de que el artículo 124 de la Constitución Política del Estado Libre y Soberano de México, establece que es atribución de los municipios expedir, además de su bando municipal, los reglamentos, y todas las normas necesarias para su organización y funcionamiento, conforme a las previsiones de la </w:t>
      </w:r>
      <w:r w:rsidRPr="009100CF">
        <w:rPr>
          <w:rFonts w:ascii="Palatino Linotype" w:eastAsia="Palatino Linotype" w:hAnsi="Palatino Linotype" w:cs="Palatino Linotype"/>
        </w:rPr>
        <w:lastRenderedPageBreak/>
        <w:t xml:space="preserve">Constitución General de la República, la Constitución Local, de la Ley Orgánica Municipal y demás ordenamientos aplicables. </w:t>
      </w:r>
    </w:p>
    <w:p w14:paraId="6588AC2F"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Con base en lo anterior cobra relevancia el pronunciamiento emitido por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 xml:space="preserve"> donde precisó que si el interés de la persona solicitante era conocer mayor información de los documentos relacionados con los dictámenes de protección civil de bajo riesgo, debía dirigir su solicitud ante el ayuntamiento del que desea conocer información, al estar dotados de autonomía los municipios respecto al ejercicio de sus atribuciones.</w:t>
      </w:r>
    </w:p>
    <w:p w14:paraId="474268B5"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En esta tesitura, no obsta mencionar que este Organismo Garante procedió a realizar una muestra de los trámites y servicios que ofrecen los ayuntamientos, y de dicho ejercicio se advirtió que en el Registro Municipal de Trámites y servicios, se localiza el referido trámite, cuya la cédula proporciona información sobre el fundamento legal que ampara dicho trámite, los lineamientos, directrices o criterios que deben observarse, así como los requisitos y demás información necesaria para obtener el dictamen de protección civil de bajo riesgo, tal y como se ejemplifica a continuación, por cuanto hace al municipio de Huixquilucan:</w:t>
      </w:r>
    </w:p>
    <w:p w14:paraId="59B7B53B" w14:textId="77777777" w:rsidR="006F55DA" w:rsidRPr="009100CF" w:rsidRDefault="00852940">
      <w:pPr>
        <w:spacing w:before="240" w:after="240" w:line="360" w:lineRule="auto"/>
        <w:jc w:val="center"/>
        <w:rPr>
          <w:rFonts w:ascii="Palatino Linotype" w:eastAsia="Palatino Linotype" w:hAnsi="Palatino Linotype" w:cs="Palatino Linotype"/>
        </w:rPr>
      </w:pPr>
      <w:r w:rsidRPr="009100CF">
        <w:rPr>
          <w:noProof/>
        </w:rPr>
        <w:drawing>
          <wp:inline distT="0" distB="0" distL="0" distR="0" wp14:anchorId="3624EF9F" wp14:editId="420969F9">
            <wp:extent cx="4680000" cy="2018033"/>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t="-1" b="46179"/>
                    <a:stretch>
                      <a:fillRect/>
                    </a:stretch>
                  </pic:blipFill>
                  <pic:spPr>
                    <a:xfrm>
                      <a:off x="0" y="0"/>
                      <a:ext cx="4680000" cy="2018033"/>
                    </a:xfrm>
                    <a:prstGeom prst="rect">
                      <a:avLst/>
                    </a:prstGeom>
                    <a:ln/>
                  </pic:spPr>
                </pic:pic>
              </a:graphicData>
            </a:graphic>
          </wp:inline>
        </w:drawing>
      </w:r>
    </w:p>
    <w:p w14:paraId="77B06B3A" w14:textId="77777777" w:rsidR="006F55DA" w:rsidRPr="009100CF" w:rsidRDefault="00852940">
      <w:pPr>
        <w:spacing w:before="240" w:after="240"/>
        <w:jc w:val="center"/>
        <w:rPr>
          <w:rFonts w:ascii="Palatino Linotype" w:eastAsia="Palatino Linotype" w:hAnsi="Palatino Linotype" w:cs="Palatino Linotype"/>
        </w:rPr>
      </w:pPr>
      <w:r w:rsidRPr="009100CF">
        <w:rPr>
          <w:noProof/>
        </w:rPr>
        <w:lastRenderedPageBreak/>
        <w:drawing>
          <wp:inline distT="0" distB="0" distL="0" distR="0" wp14:anchorId="7E334CAC" wp14:editId="11114CD0">
            <wp:extent cx="4644000" cy="1742577"/>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t="53166"/>
                    <a:stretch>
                      <a:fillRect/>
                    </a:stretch>
                  </pic:blipFill>
                  <pic:spPr>
                    <a:xfrm>
                      <a:off x="0" y="0"/>
                      <a:ext cx="4644000" cy="1742577"/>
                    </a:xfrm>
                    <a:prstGeom prst="rect">
                      <a:avLst/>
                    </a:prstGeom>
                    <a:ln/>
                  </pic:spPr>
                </pic:pic>
              </a:graphicData>
            </a:graphic>
          </wp:inline>
        </w:drawing>
      </w:r>
      <w:r w:rsidRPr="009100CF">
        <w:rPr>
          <w:noProof/>
        </w:rPr>
        <w:drawing>
          <wp:inline distT="0" distB="0" distL="0" distR="0" wp14:anchorId="5FBC7172" wp14:editId="5B5910DB">
            <wp:extent cx="4464000" cy="2719916"/>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464000" cy="2719916"/>
                    </a:xfrm>
                    <a:prstGeom prst="rect">
                      <a:avLst/>
                    </a:prstGeom>
                    <a:ln/>
                  </pic:spPr>
                </pic:pic>
              </a:graphicData>
            </a:graphic>
          </wp:inline>
        </w:drawing>
      </w:r>
      <w:r w:rsidRPr="009100CF">
        <w:rPr>
          <w:noProof/>
        </w:rPr>
        <w:drawing>
          <wp:inline distT="0" distB="0" distL="0" distR="0" wp14:anchorId="02E897B9" wp14:editId="301158D8">
            <wp:extent cx="4464000" cy="2905219"/>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b="3297"/>
                    <a:stretch>
                      <a:fillRect/>
                    </a:stretch>
                  </pic:blipFill>
                  <pic:spPr>
                    <a:xfrm>
                      <a:off x="0" y="0"/>
                      <a:ext cx="4464000" cy="2905219"/>
                    </a:xfrm>
                    <a:prstGeom prst="rect">
                      <a:avLst/>
                    </a:prstGeom>
                    <a:ln/>
                  </pic:spPr>
                </pic:pic>
              </a:graphicData>
            </a:graphic>
          </wp:inline>
        </w:drawing>
      </w:r>
    </w:p>
    <w:p w14:paraId="460E8542" w14:textId="77777777" w:rsidR="006F55DA" w:rsidRPr="009100CF" w:rsidRDefault="00852940">
      <w:pPr>
        <w:spacing w:before="240" w:after="240"/>
        <w:jc w:val="center"/>
        <w:rPr>
          <w:rFonts w:ascii="Palatino Linotype" w:eastAsia="Palatino Linotype" w:hAnsi="Palatino Linotype" w:cs="Palatino Linotype"/>
        </w:rPr>
      </w:pPr>
      <w:r w:rsidRPr="009100CF">
        <w:rPr>
          <w:noProof/>
        </w:rPr>
        <w:lastRenderedPageBreak/>
        <w:drawing>
          <wp:inline distT="0" distB="0" distL="0" distR="0" wp14:anchorId="248A18A3" wp14:editId="60DFD83D">
            <wp:extent cx="4860000" cy="3174562"/>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860000" cy="3174562"/>
                    </a:xfrm>
                    <a:prstGeom prst="rect">
                      <a:avLst/>
                    </a:prstGeom>
                    <a:ln/>
                  </pic:spPr>
                </pic:pic>
              </a:graphicData>
            </a:graphic>
          </wp:inline>
        </w:drawing>
      </w:r>
      <w:r w:rsidRPr="009100CF">
        <w:rPr>
          <w:noProof/>
        </w:rPr>
        <w:drawing>
          <wp:inline distT="0" distB="0" distL="0" distR="0" wp14:anchorId="067790C1" wp14:editId="33F8E181">
            <wp:extent cx="4860000" cy="3953672"/>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b="10653"/>
                    <a:stretch>
                      <a:fillRect/>
                    </a:stretch>
                  </pic:blipFill>
                  <pic:spPr>
                    <a:xfrm>
                      <a:off x="0" y="0"/>
                      <a:ext cx="4860000" cy="3953672"/>
                    </a:xfrm>
                    <a:prstGeom prst="rect">
                      <a:avLst/>
                    </a:prstGeom>
                    <a:ln/>
                  </pic:spPr>
                </pic:pic>
              </a:graphicData>
            </a:graphic>
          </wp:inline>
        </w:drawing>
      </w:r>
    </w:p>
    <w:p w14:paraId="361B121D" w14:textId="77777777" w:rsidR="006F55DA" w:rsidRPr="009100CF" w:rsidRDefault="00852940">
      <w:pPr>
        <w:spacing w:before="240" w:after="240"/>
        <w:jc w:val="center"/>
        <w:rPr>
          <w:rFonts w:ascii="Palatino Linotype" w:eastAsia="Palatino Linotype" w:hAnsi="Palatino Linotype" w:cs="Palatino Linotype"/>
        </w:rPr>
      </w:pPr>
      <w:r w:rsidRPr="009100CF">
        <w:rPr>
          <w:noProof/>
        </w:rPr>
        <w:lastRenderedPageBreak/>
        <w:drawing>
          <wp:inline distT="0" distB="0" distL="0" distR="0" wp14:anchorId="6DEFDDD7" wp14:editId="261E61FD">
            <wp:extent cx="4788000" cy="2382624"/>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788000" cy="2382624"/>
                    </a:xfrm>
                    <a:prstGeom prst="rect">
                      <a:avLst/>
                    </a:prstGeom>
                    <a:ln/>
                  </pic:spPr>
                </pic:pic>
              </a:graphicData>
            </a:graphic>
          </wp:inline>
        </w:drawing>
      </w:r>
      <w:r w:rsidRPr="009100CF">
        <w:rPr>
          <w:noProof/>
        </w:rPr>
        <w:drawing>
          <wp:inline distT="0" distB="0" distL="0" distR="0" wp14:anchorId="76A1FB80" wp14:editId="3F3A607A">
            <wp:extent cx="4860000" cy="4420081"/>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860000" cy="4420081"/>
                    </a:xfrm>
                    <a:prstGeom prst="rect">
                      <a:avLst/>
                    </a:prstGeom>
                    <a:ln/>
                  </pic:spPr>
                </pic:pic>
              </a:graphicData>
            </a:graphic>
          </wp:inline>
        </w:drawing>
      </w:r>
    </w:p>
    <w:p w14:paraId="4792B3E8" w14:textId="77777777" w:rsidR="006F55DA" w:rsidRPr="009100CF" w:rsidRDefault="006F55DA">
      <w:pPr>
        <w:spacing w:before="240" w:after="240" w:line="360" w:lineRule="auto"/>
        <w:jc w:val="both"/>
        <w:rPr>
          <w:rFonts w:ascii="Palatino Linotype" w:eastAsia="Palatino Linotype" w:hAnsi="Palatino Linotype" w:cs="Palatino Linotype"/>
        </w:rPr>
      </w:pPr>
    </w:p>
    <w:p w14:paraId="620CAF29"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Asimismo, se consultó el Reglamento de Protección Civil del Municipio de Huixquilucan, advirtiendo que en el capítulo IX se regula lo relativo al dictamen de protección civil de bajo riesgo, como se lee en seguida:</w:t>
      </w:r>
    </w:p>
    <w:p w14:paraId="1BA8969B" w14:textId="77777777" w:rsidR="006F55DA" w:rsidRPr="009100CF" w:rsidRDefault="00852940">
      <w:pPr>
        <w:spacing w:before="240" w:after="240" w:line="360" w:lineRule="auto"/>
        <w:jc w:val="center"/>
        <w:rPr>
          <w:rFonts w:ascii="Palatino Linotype" w:eastAsia="Palatino Linotype" w:hAnsi="Palatino Linotype" w:cs="Palatino Linotype"/>
        </w:rPr>
      </w:pPr>
      <w:r w:rsidRPr="009100CF">
        <w:rPr>
          <w:noProof/>
        </w:rPr>
        <w:drawing>
          <wp:inline distT="0" distB="0" distL="0" distR="0" wp14:anchorId="3D93EF47" wp14:editId="6F4F5127">
            <wp:extent cx="4860000" cy="5716741"/>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860000" cy="5716741"/>
                    </a:xfrm>
                    <a:prstGeom prst="rect">
                      <a:avLst/>
                    </a:prstGeom>
                    <a:ln/>
                  </pic:spPr>
                </pic:pic>
              </a:graphicData>
            </a:graphic>
          </wp:inline>
        </w:drawing>
      </w:r>
    </w:p>
    <w:p w14:paraId="2DA68290" w14:textId="77777777" w:rsidR="006F55DA" w:rsidRPr="009100CF" w:rsidRDefault="006F55DA">
      <w:pPr>
        <w:spacing w:before="240" w:after="240" w:line="360" w:lineRule="auto"/>
        <w:jc w:val="center"/>
        <w:rPr>
          <w:rFonts w:ascii="Palatino Linotype" w:eastAsia="Palatino Linotype" w:hAnsi="Palatino Linotype" w:cs="Palatino Linotype"/>
        </w:rPr>
      </w:pPr>
    </w:p>
    <w:p w14:paraId="67EBA860" w14:textId="77777777" w:rsidR="006F55DA" w:rsidRPr="009100CF" w:rsidRDefault="00852940">
      <w:pPr>
        <w:spacing w:before="240" w:after="240" w:line="360" w:lineRule="auto"/>
        <w:jc w:val="center"/>
        <w:rPr>
          <w:rFonts w:ascii="Palatino Linotype" w:eastAsia="Palatino Linotype" w:hAnsi="Palatino Linotype" w:cs="Palatino Linotype"/>
        </w:rPr>
      </w:pPr>
      <w:r w:rsidRPr="009100CF">
        <w:rPr>
          <w:noProof/>
        </w:rPr>
        <w:lastRenderedPageBreak/>
        <w:drawing>
          <wp:inline distT="0" distB="0" distL="0" distR="0" wp14:anchorId="50E9479E" wp14:editId="206D5B62">
            <wp:extent cx="4860000" cy="599279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860000" cy="5992790"/>
                    </a:xfrm>
                    <a:prstGeom prst="rect">
                      <a:avLst/>
                    </a:prstGeom>
                    <a:ln/>
                  </pic:spPr>
                </pic:pic>
              </a:graphicData>
            </a:graphic>
          </wp:inline>
        </w:drawing>
      </w:r>
      <w:r w:rsidRPr="009100CF">
        <w:rPr>
          <w:noProof/>
        </w:rPr>
        <w:drawing>
          <wp:inline distT="0" distB="0" distL="0" distR="0" wp14:anchorId="1E57700E" wp14:editId="1B729E6F">
            <wp:extent cx="4860000" cy="419572"/>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860000" cy="419572"/>
                    </a:xfrm>
                    <a:prstGeom prst="rect">
                      <a:avLst/>
                    </a:prstGeom>
                    <a:ln/>
                  </pic:spPr>
                </pic:pic>
              </a:graphicData>
            </a:graphic>
          </wp:inline>
        </w:drawing>
      </w:r>
    </w:p>
    <w:p w14:paraId="56A75173"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Atento a lo anterior, es evidente que la Secretaría General de Gobierno es incompetente para conocer la información que es materia de estudio, al ser </w:t>
      </w:r>
      <w:r w:rsidRPr="009100CF">
        <w:rPr>
          <w:rFonts w:ascii="Palatino Linotype" w:eastAsia="Palatino Linotype" w:hAnsi="Palatino Linotype" w:cs="Palatino Linotype"/>
        </w:rPr>
        <w:lastRenderedPageBreak/>
        <w:t>competencia de los municipios la emisión del dictamen de protección civil de bajo riesgo, siendo estos, los entes responsables de generar, administrar o poseer dicha información, en consecuencia, compete a estos hacer del conocimiento de las personas interesadas el fundamento, los lineamientos, directrices, normas técnicas estatales, requisitos o reglas de operación bajo las cuales se debe emitir dicho documento; información que además es una obligación de transparencia, de conformidad con el artículo 92, fracción XXIV de la Ley de Transparencia y Acceso a la Información Pública del Estado de México y Municipios, a saber:</w:t>
      </w:r>
    </w:p>
    <w:p w14:paraId="6BEC9C2A"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Artículo 92.</w:t>
      </w:r>
      <w:r w:rsidRPr="009100CF">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2FECF8"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p>
    <w:p w14:paraId="1CA2CDB9" w14:textId="77777777" w:rsidR="006F55DA" w:rsidRPr="009100CF" w:rsidRDefault="00852940">
      <w:pPr>
        <w:spacing w:before="120" w:after="120"/>
        <w:ind w:left="1134" w:right="902"/>
        <w:jc w:val="both"/>
        <w:rPr>
          <w:rFonts w:ascii="Palatino Linotype" w:eastAsia="Palatino Linotype" w:hAnsi="Palatino Linotype" w:cs="Palatino Linotype"/>
          <w:i/>
        </w:rPr>
      </w:pPr>
      <w:r w:rsidRPr="009100CF">
        <w:rPr>
          <w:rFonts w:ascii="Palatino Linotype" w:eastAsia="Palatino Linotype" w:hAnsi="Palatino Linotype" w:cs="Palatino Linotype"/>
          <w:b/>
          <w:i/>
          <w:sz w:val="22"/>
          <w:szCs w:val="22"/>
        </w:rPr>
        <w:t xml:space="preserve"> XXIV</w:t>
      </w:r>
      <w:r w:rsidRPr="009100CF">
        <w:rPr>
          <w:rFonts w:ascii="Palatino Linotype" w:eastAsia="Palatino Linotype" w:hAnsi="Palatino Linotype" w:cs="Palatino Linotype"/>
          <w:i/>
          <w:sz w:val="22"/>
          <w:szCs w:val="22"/>
        </w:rPr>
        <w:t>. Los trámites, requisitos y formatos que ofrecen, así como los tiempos de respuesta;”</w:t>
      </w:r>
    </w:p>
    <w:p w14:paraId="2CBAEDC7"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Atento a lo anterior, cobra relevancia el contenido del párrafo primero del artículo 167, párrafo primero de la Ley de Transparencia y Acceso a la Información Pública del Estado de México y Municipios, a saber:</w:t>
      </w:r>
    </w:p>
    <w:p w14:paraId="1A40AE48"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r w:rsidRPr="009100CF">
        <w:rPr>
          <w:rFonts w:ascii="Palatino Linotype" w:eastAsia="Palatino Linotype" w:hAnsi="Palatino Linotype" w:cs="Palatino Linotype"/>
          <w:b/>
          <w:i/>
          <w:sz w:val="22"/>
          <w:szCs w:val="22"/>
        </w:rPr>
        <w:t>Artículo 167</w:t>
      </w:r>
      <w:r w:rsidRPr="009100CF">
        <w:rPr>
          <w:rFonts w:ascii="Palatino Linotype" w:eastAsia="Palatino Linotype" w:hAnsi="Palatino Linotype" w:cs="Palatino Linotype"/>
          <w:i/>
          <w:sz w:val="22"/>
          <w:szCs w:val="22"/>
        </w:rPr>
        <w:t>. C</w:t>
      </w:r>
      <w:r w:rsidRPr="009100CF">
        <w:rPr>
          <w:rFonts w:ascii="Palatino Linotype" w:eastAsia="Palatino Linotype" w:hAnsi="Palatino Linotype" w:cs="Palatino Linotype"/>
          <w:b/>
          <w:i/>
          <w:sz w:val="22"/>
          <w:szCs w:val="22"/>
        </w:rPr>
        <w:t xml:space="preserve">uando las </w:t>
      </w:r>
      <w:r w:rsidRPr="009100CF">
        <w:rPr>
          <w:rFonts w:ascii="Palatino Linotype" w:eastAsia="Palatino Linotype" w:hAnsi="Palatino Linotype" w:cs="Palatino Linotype"/>
          <w:b/>
          <w:i/>
          <w:sz w:val="22"/>
          <w:szCs w:val="22"/>
          <w:u w:val="single"/>
        </w:rPr>
        <w:t>unidades de transparencia</w:t>
      </w:r>
      <w:r w:rsidRPr="009100CF">
        <w:rPr>
          <w:rFonts w:ascii="Palatino Linotype" w:eastAsia="Palatino Linotype" w:hAnsi="Palatino Linotype" w:cs="Palatino Linotype"/>
          <w:b/>
          <w:i/>
          <w:sz w:val="22"/>
          <w:szCs w:val="22"/>
        </w:rPr>
        <w:t xml:space="preserve"> determinen la notoria incompetencia por parte de los sujetos obligados,</w:t>
      </w:r>
      <w:r w:rsidRPr="009100CF">
        <w:rPr>
          <w:rFonts w:ascii="Palatino Linotype" w:eastAsia="Palatino Linotype" w:hAnsi="Palatino Linotype" w:cs="Palatino Linotype"/>
          <w:i/>
          <w:sz w:val="22"/>
          <w:szCs w:val="22"/>
        </w:rPr>
        <w:t xml:space="preserve"> dentro del ámbito de aplicación, para atender la solicitud de acceso a la información, </w:t>
      </w:r>
      <w:r w:rsidRPr="009100CF">
        <w:rPr>
          <w:rFonts w:ascii="Palatino Linotype" w:eastAsia="Palatino Linotype" w:hAnsi="Palatino Linotype" w:cs="Palatino Linotype"/>
          <w:b/>
          <w:i/>
          <w:sz w:val="22"/>
          <w:szCs w:val="22"/>
        </w:rPr>
        <w:t xml:space="preserve">deberán comunicarlo al solicitante, dentro de los </w:t>
      </w:r>
      <w:r w:rsidRPr="009100CF">
        <w:rPr>
          <w:rFonts w:ascii="Palatino Linotype" w:eastAsia="Palatino Linotype" w:hAnsi="Palatino Linotype" w:cs="Palatino Linotype"/>
          <w:b/>
          <w:i/>
          <w:sz w:val="22"/>
          <w:szCs w:val="22"/>
          <w:u w:val="single"/>
        </w:rPr>
        <w:t>tres días hábiles posteriores</w:t>
      </w:r>
      <w:r w:rsidRPr="009100CF">
        <w:rPr>
          <w:rFonts w:ascii="Palatino Linotype" w:eastAsia="Palatino Linotype" w:hAnsi="Palatino Linotype" w:cs="Palatino Linotype"/>
          <w:b/>
          <w:i/>
          <w:sz w:val="22"/>
          <w:szCs w:val="22"/>
        </w:rPr>
        <w:t xml:space="preserve"> a la recepción de la solicitud</w:t>
      </w:r>
      <w:r w:rsidRPr="009100CF">
        <w:rPr>
          <w:rFonts w:ascii="Palatino Linotype" w:eastAsia="Palatino Linotype" w:hAnsi="Palatino Linotype" w:cs="Palatino Linotype"/>
          <w:i/>
          <w:sz w:val="22"/>
          <w:szCs w:val="22"/>
        </w:rPr>
        <w:t xml:space="preserve"> y, en su caso orientar al solicitante, el o los sujetos obligados competentes.”</w:t>
      </w:r>
    </w:p>
    <w:p w14:paraId="3E6AC278"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Del precepto normativo se desprende que cuando las Unidades de Transparencia, determinen una notoria incompetencia por parte de los entes públicos, deben </w:t>
      </w:r>
      <w:r w:rsidRPr="009100CF">
        <w:rPr>
          <w:rFonts w:ascii="Palatino Linotype" w:eastAsia="Palatino Linotype" w:hAnsi="Palatino Linotype" w:cs="Palatino Linotype"/>
        </w:rPr>
        <w:lastRenderedPageBreak/>
        <w:t xml:space="preserve">hacerlo del conocimiento de los solicitantes en los siguientes </w:t>
      </w:r>
      <w:r w:rsidRPr="009100CF">
        <w:rPr>
          <w:rFonts w:ascii="Palatino Linotype" w:eastAsia="Palatino Linotype" w:hAnsi="Palatino Linotype" w:cs="Palatino Linotype"/>
          <w:b/>
          <w:u w:val="single"/>
        </w:rPr>
        <w:t>tres días hábiles</w:t>
      </w:r>
      <w:r w:rsidRPr="009100CF">
        <w:rPr>
          <w:rFonts w:ascii="Palatino Linotype" w:eastAsia="Palatino Linotype" w:hAnsi="Palatino Linotype" w:cs="Palatino Linotype"/>
          <w:b/>
        </w:rPr>
        <w:t xml:space="preserve"> posteriores a la presentación de la solicitud</w:t>
      </w:r>
      <w:r w:rsidRPr="009100CF">
        <w:rPr>
          <w:rFonts w:ascii="Palatino Linotype" w:eastAsia="Palatino Linotype" w:hAnsi="Palatino Linotype" w:cs="Palatino Linotype"/>
        </w:rPr>
        <w:t>, no obstante, la Unidad de Transparencia notificó dicha situación hasta el día veinticinco de septiembre de dos mil veintidós, es decir, habiendo fenecido el plazo que estipula la normatividad.</w:t>
      </w:r>
    </w:p>
    <w:p w14:paraId="20B345EB"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En el caso que nos ocupa, la incompetencia para atender la solicitud de información no se hizo valer dentro del plazo legalmente establecido, ya que esta fue notificada hasta la etapa de manifestaciones, por lo tanto, es aplicable el contenido del artículo 49 fracción II de la ley de la Materia, el cual dispone lo siguiente:</w:t>
      </w:r>
    </w:p>
    <w:p w14:paraId="188E176C" w14:textId="77777777" w:rsidR="006F55DA" w:rsidRPr="009100CF" w:rsidRDefault="00852940">
      <w:pPr>
        <w:spacing w:before="120" w:after="120"/>
        <w:ind w:left="851"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 xml:space="preserve">“Artículo 49. </w:t>
      </w:r>
      <w:r w:rsidRPr="009100CF">
        <w:rPr>
          <w:rFonts w:ascii="Palatino Linotype" w:eastAsia="Palatino Linotype" w:hAnsi="Palatino Linotype" w:cs="Palatino Linotype"/>
          <w:i/>
          <w:sz w:val="22"/>
          <w:szCs w:val="22"/>
        </w:rPr>
        <w:t>Los Comités de Transparencia tendrán las siguientes atribuciones:</w:t>
      </w:r>
    </w:p>
    <w:p w14:paraId="1E2555EA" w14:textId="77777777" w:rsidR="006F55DA" w:rsidRPr="009100CF" w:rsidRDefault="00852940">
      <w:pPr>
        <w:spacing w:before="120" w:after="120"/>
        <w:ind w:left="1134" w:right="902"/>
        <w:jc w:val="both"/>
        <w:rPr>
          <w:rFonts w:ascii="Palatino Linotype" w:eastAsia="Palatino Linotype" w:hAnsi="Palatino Linotype" w:cs="Palatino Linotype"/>
          <w:b/>
          <w:i/>
          <w:sz w:val="22"/>
          <w:szCs w:val="22"/>
        </w:rPr>
      </w:pPr>
      <w:r w:rsidRPr="009100CF">
        <w:rPr>
          <w:rFonts w:ascii="Palatino Linotype" w:eastAsia="Palatino Linotype" w:hAnsi="Palatino Linotype" w:cs="Palatino Linotype"/>
          <w:b/>
          <w:i/>
          <w:sz w:val="22"/>
          <w:szCs w:val="22"/>
        </w:rPr>
        <w:t>...</w:t>
      </w:r>
    </w:p>
    <w:p w14:paraId="195DB705" w14:textId="77777777" w:rsidR="006F55DA" w:rsidRPr="009100CF" w:rsidRDefault="00852940">
      <w:pPr>
        <w:spacing w:before="120" w:after="120"/>
        <w:ind w:left="1134" w:right="902"/>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 xml:space="preserve">II. </w:t>
      </w:r>
      <w:r w:rsidRPr="009100CF">
        <w:rPr>
          <w:rFonts w:ascii="Palatino Linotype" w:eastAsia="Palatino Linotype" w:hAnsi="Palatino Linotype" w:cs="Palatino Linotype"/>
          <w:i/>
          <w:sz w:val="22"/>
          <w:szCs w:val="22"/>
        </w:rPr>
        <w:t xml:space="preserve">Confirmar, modificar o revocar las determinaciones que en materia de ampliación del plazo de respuesta, clasificación de la información y declaración de inexistencia </w:t>
      </w:r>
      <w:r w:rsidRPr="009100CF">
        <w:rPr>
          <w:rFonts w:ascii="Palatino Linotype" w:eastAsia="Palatino Linotype" w:hAnsi="Palatino Linotype" w:cs="Palatino Linotype"/>
          <w:b/>
          <w:i/>
          <w:sz w:val="22"/>
          <w:szCs w:val="22"/>
        </w:rPr>
        <w:t>o de incompetencia realicen los titulares de las áreas de los sujetos obligados</w:t>
      </w:r>
      <w:r w:rsidRPr="009100CF">
        <w:rPr>
          <w:rFonts w:ascii="Palatino Linotype" w:eastAsia="Palatino Linotype" w:hAnsi="Palatino Linotype" w:cs="Palatino Linotype"/>
          <w:i/>
          <w:sz w:val="22"/>
          <w:szCs w:val="22"/>
        </w:rPr>
        <w:t>;</w:t>
      </w:r>
    </w:p>
    <w:p w14:paraId="3B42F975"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tal sentido,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a través de la Unidad de Transparencia proporcionó mediante el SAIMEX, el Acta de la Centésima Quincuagésima Sesión Extraordinaria del Comité de Transparencia de la Secretaría General de Gobierno de fecha dieciséis de febrero de dos mil veintitrés, mediante la cual el Comité confirma, mediante el acuerdo SGG/CT/150/EXT/01/2023 la declaratoria de incompetencia de la Secretaría General de Gobierno sobre la emisión de lineamientos, directrices, normas técnicas, requisitos o reglas de operación bajo las cuales debe emitirse el dictamen de protección civil de bajo riesgo, como se advierte a continuación:</w:t>
      </w:r>
    </w:p>
    <w:p w14:paraId="1368D1A7" w14:textId="77777777" w:rsidR="006F55DA" w:rsidRPr="009100CF" w:rsidRDefault="00852940">
      <w:pPr>
        <w:spacing w:before="240" w:after="240" w:line="360" w:lineRule="auto"/>
        <w:jc w:val="center"/>
        <w:rPr>
          <w:rFonts w:ascii="Palatino Linotype" w:eastAsia="Palatino Linotype" w:hAnsi="Palatino Linotype" w:cs="Palatino Linotype"/>
        </w:rPr>
      </w:pPr>
      <w:r w:rsidRPr="009100CF">
        <w:rPr>
          <w:noProof/>
        </w:rPr>
        <w:lastRenderedPageBreak/>
        <w:drawing>
          <wp:inline distT="0" distB="0" distL="0" distR="0" wp14:anchorId="1734B788" wp14:editId="5C71A084">
            <wp:extent cx="4860000" cy="3540796"/>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860000" cy="3540796"/>
                    </a:xfrm>
                    <a:prstGeom prst="rect">
                      <a:avLst/>
                    </a:prstGeom>
                    <a:ln/>
                  </pic:spPr>
                </pic:pic>
              </a:graphicData>
            </a:graphic>
          </wp:inline>
        </w:drawing>
      </w:r>
    </w:p>
    <w:p w14:paraId="373FA678"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En esta tesitura, se estima que la información remitida por el </w:t>
      </w:r>
      <w:r w:rsidRPr="009100CF">
        <w:rPr>
          <w:rFonts w:ascii="Palatino Linotype" w:eastAsia="Palatino Linotype" w:hAnsi="Palatino Linotype" w:cs="Palatino Linotype"/>
          <w:b/>
        </w:rPr>
        <w:t xml:space="preserve">Sujeto Obligado </w:t>
      </w:r>
      <w:r w:rsidRPr="009100CF">
        <w:rPr>
          <w:rFonts w:ascii="Palatino Linotype" w:eastAsia="Palatino Linotype" w:hAnsi="Palatino Linotype" w:cs="Palatino Linotype"/>
        </w:rPr>
        <w:t>en la etapa de manifestaciones</w:t>
      </w:r>
      <w:r w:rsidRPr="009100CF">
        <w:rPr>
          <w:rFonts w:ascii="Palatino Linotype" w:eastAsia="Palatino Linotype" w:hAnsi="Palatino Linotype" w:cs="Palatino Linotype"/>
          <w:b/>
        </w:rPr>
        <w:t xml:space="preserve"> </w:t>
      </w:r>
      <w:r w:rsidRPr="009100CF">
        <w:rPr>
          <w:rFonts w:ascii="Palatino Linotype" w:eastAsia="Palatino Linotype" w:hAnsi="Palatino Linotype" w:cs="Palatino Linotype"/>
        </w:rPr>
        <w:t>es suficiente para tener por atendido el derecho de acceso a la información de la persona solicitante, máxime que misma se hizo de su conocimiento con la finalidad de que manifestara lo que a su derecho estimara conveniente, sin que ejerciera dicha prerrogativa hasta el momento de decretar el cierre de instrucción correspondiente, por lo que se entiende que con la información remitida ha quedado satisfecha.</w:t>
      </w:r>
    </w:p>
    <w:p w14:paraId="1FE22948"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Con base en lo expuesto, se estima que el presente caso actualiza el supuesto previsto en el artículo 192, fracción III de la Ley de Transparencia y Acceso a la Información Pública del Estado de México y Municipios vigente, a saber:</w:t>
      </w:r>
    </w:p>
    <w:p w14:paraId="425660E9" w14:textId="77777777" w:rsidR="006F55DA" w:rsidRPr="009100CF" w:rsidRDefault="00852940">
      <w:pPr>
        <w:spacing w:before="240" w:after="240"/>
        <w:ind w:left="851" w:right="900"/>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lastRenderedPageBreak/>
        <w:t>“</w:t>
      </w:r>
      <w:r w:rsidRPr="009100CF">
        <w:rPr>
          <w:rFonts w:ascii="Palatino Linotype" w:eastAsia="Palatino Linotype" w:hAnsi="Palatino Linotype" w:cs="Palatino Linotype"/>
          <w:b/>
          <w:i/>
          <w:sz w:val="22"/>
          <w:szCs w:val="22"/>
        </w:rPr>
        <w:t>Artículo 192</w:t>
      </w:r>
      <w:r w:rsidRPr="009100CF">
        <w:rPr>
          <w:rFonts w:ascii="Palatino Linotype" w:eastAsia="Palatino Linotype" w:hAnsi="Palatino Linotype" w:cs="Palatino Linotype"/>
          <w:i/>
          <w:sz w:val="22"/>
          <w:szCs w:val="22"/>
        </w:rPr>
        <w:t xml:space="preserve">. </w:t>
      </w:r>
      <w:r w:rsidRPr="009100CF">
        <w:rPr>
          <w:rFonts w:ascii="Palatino Linotype" w:eastAsia="Palatino Linotype" w:hAnsi="Palatino Linotype" w:cs="Palatino Linotype"/>
          <w:b/>
          <w:i/>
          <w:sz w:val="22"/>
          <w:szCs w:val="22"/>
        </w:rPr>
        <w:t>El recurso será sobreseído</w:t>
      </w:r>
      <w:r w:rsidRPr="009100CF">
        <w:rPr>
          <w:rFonts w:ascii="Palatino Linotype" w:eastAsia="Palatino Linotype" w:hAnsi="Palatino Linotype" w:cs="Palatino Linotype"/>
          <w:i/>
          <w:sz w:val="22"/>
          <w:szCs w:val="22"/>
        </w:rPr>
        <w:t xml:space="preserve">, </w:t>
      </w:r>
      <w:r w:rsidRPr="009100CF">
        <w:rPr>
          <w:rFonts w:ascii="Palatino Linotype" w:eastAsia="Palatino Linotype" w:hAnsi="Palatino Linotype" w:cs="Palatino Linotype"/>
          <w:b/>
          <w:i/>
          <w:sz w:val="22"/>
          <w:szCs w:val="22"/>
        </w:rPr>
        <w:t>en todo o en parte,</w:t>
      </w:r>
      <w:r w:rsidRPr="009100CF">
        <w:rPr>
          <w:rFonts w:ascii="Palatino Linotype" w:eastAsia="Palatino Linotype" w:hAnsi="Palatino Linotype" w:cs="Palatino Linotype"/>
          <w:i/>
          <w:sz w:val="22"/>
          <w:szCs w:val="22"/>
        </w:rPr>
        <w:t xml:space="preserve"> </w:t>
      </w:r>
      <w:r w:rsidRPr="009100CF">
        <w:rPr>
          <w:rFonts w:ascii="Palatino Linotype" w:eastAsia="Palatino Linotype" w:hAnsi="Palatino Linotype" w:cs="Palatino Linotype"/>
          <w:b/>
          <w:i/>
          <w:sz w:val="22"/>
          <w:szCs w:val="22"/>
        </w:rPr>
        <w:t>cuando una vez admitido, se actualicen alguno de los siguientes supuestos</w:t>
      </w:r>
      <w:r w:rsidRPr="009100CF">
        <w:rPr>
          <w:rFonts w:ascii="Palatino Linotype" w:eastAsia="Palatino Linotype" w:hAnsi="Palatino Linotype" w:cs="Palatino Linotype"/>
          <w:i/>
          <w:sz w:val="22"/>
          <w:szCs w:val="22"/>
        </w:rPr>
        <w:t xml:space="preserve">: </w:t>
      </w:r>
    </w:p>
    <w:p w14:paraId="06D09580" w14:textId="77777777" w:rsidR="006F55DA" w:rsidRPr="009100CF" w:rsidRDefault="00852940">
      <w:pPr>
        <w:spacing w:before="240" w:after="240"/>
        <w:ind w:left="1134" w:right="900"/>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i/>
          <w:sz w:val="22"/>
          <w:szCs w:val="22"/>
        </w:rPr>
        <w:t>(…)</w:t>
      </w:r>
    </w:p>
    <w:p w14:paraId="0B041496" w14:textId="77777777" w:rsidR="006F55DA" w:rsidRPr="009100CF" w:rsidRDefault="00852940">
      <w:pPr>
        <w:spacing w:before="240" w:after="240"/>
        <w:ind w:left="1134" w:right="900"/>
        <w:jc w:val="both"/>
        <w:rPr>
          <w:rFonts w:ascii="Palatino Linotype" w:eastAsia="Palatino Linotype" w:hAnsi="Palatino Linotype" w:cs="Palatino Linotype"/>
          <w:i/>
          <w:sz w:val="22"/>
          <w:szCs w:val="22"/>
        </w:rPr>
      </w:pPr>
      <w:r w:rsidRPr="009100CF">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9100CF">
        <w:rPr>
          <w:rFonts w:ascii="Palatino Linotype" w:eastAsia="Palatino Linotype" w:hAnsi="Palatino Linotype" w:cs="Palatino Linotype"/>
          <w:i/>
          <w:sz w:val="22"/>
          <w:szCs w:val="22"/>
        </w:rPr>
        <w:t>”</w:t>
      </w:r>
    </w:p>
    <w:p w14:paraId="3696841A"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De lo establecido en el precepto legal citado se advierte que el sobreseimiento del recurso de revisión procede en los siguientes casos</w:t>
      </w:r>
    </w:p>
    <w:p w14:paraId="4756A978"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a) Cuando el sujeto obligado modifique el acto impugnado. </w:t>
      </w:r>
    </w:p>
    <w:p w14:paraId="62B03A22" w14:textId="77777777" w:rsidR="006F55DA" w:rsidRPr="009100CF" w:rsidRDefault="00852940">
      <w:pPr>
        <w:spacing w:before="240" w:after="240" w:line="360" w:lineRule="auto"/>
        <w:ind w:left="284"/>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b) Cuando el sujeto obligado revoque el acto impugnado; </w:t>
      </w:r>
    </w:p>
    <w:p w14:paraId="1DB30684"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Quedando en ambos casos el acto combatido sin materia o sin efectos.</w:t>
      </w:r>
    </w:p>
    <w:p w14:paraId="780DB976" w14:textId="77777777" w:rsidR="006F55DA" w:rsidRPr="009100CF" w:rsidRDefault="00852940">
      <w:pPr>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9100CF">
        <w:rPr>
          <w:rFonts w:ascii="Palatino Linotype" w:eastAsia="Palatino Linotype" w:hAnsi="Palatino Linotype" w:cs="Palatino Linotype"/>
          <w:b/>
        </w:rPr>
        <w:t>Recurrente.</w:t>
      </w:r>
    </w:p>
    <w:p w14:paraId="4190D6F5"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6C934ED7"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lastRenderedPageBreak/>
        <w:t>En este orden de ideas, un acto impugnado queda sin efectos, cuando aun existiendo jurídicamente (esto es, que no se ha modificado, ni revocado) ya no genera ninguna consecuencia legal.</w:t>
      </w:r>
    </w:p>
    <w:p w14:paraId="6A448623"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61DAEC9E"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De lo hasta aquí expuesto, resulta evidente que 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modificó la respuesta a la solicitud de acceso a la información pública de la persona solicitante, aunque ello haya sido de manera posterior a su respuesta inicial, información que se hizo del conocimiento de 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con la finalidad de que manifestara lo que a su derecho estimara conveniente, sin que obre constancia en el expediente electrónico de que hubiera ejercido dicha prerrogativa, presumiendo en consecuencia, que dicha información satisface su pretensión.</w:t>
      </w:r>
    </w:p>
    <w:p w14:paraId="26B44590"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rPr>
        <w:t xml:space="preserve">Por tal motivo, debe tenerse que con lo entregado por 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6CDD68D2" w14:textId="77777777" w:rsidR="006F55DA" w:rsidRPr="009100CF" w:rsidRDefault="00852940">
      <w:pPr>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rPr>
        <w:t xml:space="preserve">Siendo el </w:t>
      </w:r>
      <w:r w:rsidRPr="009100CF">
        <w:rPr>
          <w:rFonts w:ascii="Palatino Linotype" w:eastAsia="Palatino Linotype" w:hAnsi="Palatino Linotype" w:cs="Palatino Linotype"/>
          <w:i/>
        </w:rPr>
        <w:t>sobreseimiento</w:t>
      </w:r>
      <w:r w:rsidRPr="009100CF">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w:t>
      </w:r>
      <w:r w:rsidRPr="009100CF">
        <w:rPr>
          <w:rFonts w:ascii="Palatino Linotype" w:eastAsia="Palatino Linotype" w:hAnsi="Palatino Linotype" w:cs="Palatino Linotype"/>
        </w:rPr>
        <w:lastRenderedPageBreak/>
        <w:t xml:space="preserve">este Instituto se encuentra imposibilitado para entrar al estudio de fondo del recurso de revisión, lo anterior con apoyo en el criterio del Poder Judicial de la Federación con rubro: </w:t>
      </w:r>
      <w:r w:rsidRPr="009100CF">
        <w:rPr>
          <w:rFonts w:ascii="Palatino Linotype" w:eastAsia="Palatino Linotype" w:hAnsi="Palatino Linotype" w:cs="Palatino Linotype"/>
          <w:b/>
        </w:rPr>
        <w:t>SOBRESEIMIENTO, NO PERMITE ENTRAR AL ESTUDIO DE LAS CUESTIONES DE FONDO</w:t>
      </w:r>
      <w:r w:rsidRPr="009100CF">
        <w:rPr>
          <w:rFonts w:ascii="Palatino Linotype" w:eastAsia="Palatino Linotype" w:hAnsi="Palatino Linotype" w:cs="Palatino Linotype"/>
          <w:b/>
          <w:vertAlign w:val="superscript"/>
        </w:rPr>
        <w:footnoteReference w:id="4"/>
      </w:r>
      <w:r w:rsidRPr="009100CF">
        <w:rPr>
          <w:rFonts w:ascii="Palatino Linotype" w:eastAsia="Palatino Linotype" w:hAnsi="Palatino Linotype" w:cs="Palatino Linotype"/>
          <w:b/>
        </w:rPr>
        <w:t>.</w:t>
      </w:r>
    </w:p>
    <w:p w14:paraId="050B3362" w14:textId="77777777" w:rsidR="006F55DA" w:rsidRPr="009100CF" w:rsidRDefault="0085294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9100CF">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9BEEA14" w14:textId="77777777" w:rsidR="006F55DA" w:rsidRPr="009100CF" w:rsidRDefault="0085294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100CF">
        <w:rPr>
          <w:rFonts w:ascii="Palatino Linotype" w:eastAsia="Palatino Linotype" w:hAnsi="Palatino Linotype" w:cs="Palatino Linotype"/>
          <w:b/>
        </w:rPr>
        <w:t>III. R E S U E L V E</w:t>
      </w:r>
    </w:p>
    <w:p w14:paraId="4C26D2F0" w14:textId="77777777" w:rsidR="006F55DA" w:rsidRPr="009100CF" w:rsidRDefault="00852940">
      <w:pPr>
        <w:spacing w:before="160" w:line="360" w:lineRule="auto"/>
        <w:jc w:val="both"/>
        <w:rPr>
          <w:rFonts w:ascii="Palatino Linotype" w:eastAsia="Palatino Linotype" w:hAnsi="Palatino Linotype" w:cs="Palatino Linotype"/>
        </w:rPr>
      </w:pPr>
      <w:bookmarkStart w:id="7" w:name="_heading=h.1fob9te" w:colFirst="0" w:colLast="0"/>
      <w:bookmarkEnd w:id="7"/>
      <w:r w:rsidRPr="009100CF">
        <w:rPr>
          <w:rFonts w:ascii="Palatino Linotype" w:eastAsia="Palatino Linotype" w:hAnsi="Palatino Linotype" w:cs="Palatino Linotype"/>
          <w:b/>
        </w:rPr>
        <w:t xml:space="preserve">Primero. </w:t>
      </w:r>
      <w:r w:rsidRPr="009100CF">
        <w:rPr>
          <w:rFonts w:ascii="Palatino Linotype" w:eastAsia="Palatino Linotype" w:hAnsi="Palatino Linotype" w:cs="Palatino Linotype"/>
        </w:rPr>
        <w:t>Se</w:t>
      </w:r>
      <w:r w:rsidRPr="009100CF">
        <w:rPr>
          <w:rFonts w:ascii="Palatino Linotype" w:eastAsia="Palatino Linotype" w:hAnsi="Palatino Linotype" w:cs="Palatino Linotype"/>
          <w:b/>
        </w:rPr>
        <w:t xml:space="preserve"> Sobresee </w:t>
      </w:r>
      <w:r w:rsidRPr="009100CF">
        <w:rPr>
          <w:rFonts w:ascii="Palatino Linotype" w:eastAsia="Palatino Linotype" w:hAnsi="Palatino Linotype" w:cs="Palatino Linotype"/>
        </w:rPr>
        <w:t xml:space="preserve">el recurso de revisión número </w:t>
      </w:r>
      <w:r w:rsidRPr="009100CF">
        <w:rPr>
          <w:rFonts w:ascii="Palatino Linotype" w:eastAsia="Palatino Linotype" w:hAnsi="Palatino Linotype" w:cs="Palatino Linotype"/>
          <w:b/>
        </w:rPr>
        <w:t xml:space="preserve">00599/INFOEM/IP/RR/2023, </w:t>
      </w:r>
      <w:r w:rsidRPr="009100CF">
        <w:rPr>
          <w:rFonts w:ascii="Palatino Linotype" w:eastAsia="Palatino Linotype" w:hAnsi="Palatino Linotype" w:cs="Palatino Linotype"/>
        </w:rPr>
        <w:t xml:space="preserve">porque al </w:t>
      </w:r>
      <w:r w:rsidRPr="009100CF">
        <w:rPr>
          <w:rFonts w:ascii="Palatino Linotype" w:eastAsia="Palatino Linotype" w:hAnsi="Palatino Linotype" w:cs="Palatino Linotype"/>
          <w:b/>
        </w:rPr>
        <w:t>modificar la respuesta</w:t>
      </w:r>
      <w:r w:rsidRPr="009100CF">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9100CF">
        <w:rPr>
          <w:rFonts w:ascii="Palatino Linotype" w:eastAsia="Palatino Linotype" w:hAnsi="Palatino Linotype" w:cs="Palatino Linotype"/>
          <w:b/>
        </w:rPr>
        <w:t xml:space="preserve">Tercero </w:t>
      </w:r>
      <w:r w:rsidRPr="009100CF">
        <w:rPr>
          <w:rFonts w:ascii="Palatino Linotype" w:eastAsia="Palatino Linotype" w:hAnsi="Palatino Linotype" w:cs="Palatino Linotype"/>
        </w:rPr>
        <w:t>de la presente Resolución.</w:t>
      </w:r>
    </w:p>
    <w:p w14:paraId="08771A95"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t xml:space="preserve">Segundo. Notifíquese, </w:t>
      </w:r>
      <w:r w:rsidRPr="009100CF">
        <w:rPr>
          <w:rFonts w:ascii="Palatino Linotype" w:eastAsia="Palatino Linotype" w:hAnsi="Palatino Linotype" w:cs="Palatino Linotype"/>
        </w:rPr>
        <w:t>vía</w:t>
      </w:r>
      <w:r w:rsidRPr="009100CF">
        <w:rPr>
          <w:rFonts w:ascii="Palatino Linotype" w:eastAsia="Palatino Linotype" w:hAnsi="Palatino Linotype" w:cs="Palatino Linotype"/>
          <w:b/>
        </w:rPr>
        <w:t xml:space="preserve"> SAIMEX</w:t>
      </w:r>
      <w:r w:rsidRPr="009100CF">
        <w:rPr>
          <w:rFonts w:ascii="Palatino Linotype" w:eastAsia="Palatino Linotype" w:hAnsi="Palatino Linotype" w:cs="Palatino Linotype"/>
          <w:b/>
          <w:i/>
        </w:rPr>
        <w:t xml:space="preserve">, </w:t>
      </w:r>
      <w:r w:rsidRPr="009100CF">
        <w:rPr>
          <w:rFonts w:ascii="Palatino Linotype" w:eastAsia="Palatino Linotype" w:hAnsi="Palatino Linotype" w:cs="Palatino Linotype"/>
        </w:rPr>
        <w:t xml:space="preserve">al Titular de la Unidad de Transparencia del </w:t>
      </w:r>
      <w:r w:rsidRPr="009100CF">
        <w:rPr>
          <w:rFonts w:ascii="Palatino Linotype" w:eastAsia="Palatino Linotype" w:hAnsi="Palatino Linotype" w:cs="Palatino Linotype"/>
          <w:b/>
        </w:rPr>
        <w:t>Sujeto Obligado</w:t>
      </w:r>
      <w:r w:rsidRPr="009100CF">
        <w:rPr>
          <w:rFonts w:ascii="Palatino Linotype" w:eastAsia="Palatino Linotype" w:hAnsi="Palatino Linotype" w:cs="Palatino Linotype"/>
        </w:rPr>
        <w:t xml:space="preserve"> la presente resolución, para su conocimiento.</w:t>
      </w:r>
    </w:p>
    <w:p w14:paraId="5C436DFD" w14:textId="77777777" w:rsidR="006F55DA" w:rsidRPr="009100CF" w:rsidRDefault="00852940">
      <w:pPr>
        <w:spacing w:before="240" w:after="240"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b/>
        </w:rPr>
        <w:lastRenderedPageBreak/>
        <w:t xml:space="preserve">Tercero. Notifíquese, </w:t>
      </w:r>
      <w:r w:rsidRPr="009100CF">
        <w:rPr>
          <w:rFonts w:ascii="Palatino Linotype" w:eastAsia="Palatino Linotype" w:hAnsi="Palatino Linotype" w:cs="Palatino Linotype"/>
        </w:rPr>
        <w:t>vía</w:t>
      </w:r>
      <w:r w:rsidRPr="009100CF">
        <w:rPr>
          <w:rFonts w:ascii="Palatino Linotype" w:eastAsia="Palatino Linotype" w:hAnsi="Palatino Linotype" w:cs="Palatino Linotype"/>
          <w:b/>
        </w:rPr>
        <w:t xml:space="preserve"> SAIMEX</w:t>
      </w:r>
      <w:r w:rsidRPr="009100CF">
        <w:rPr>
          <w:rFonts w:ascii="Palatino Linotype" w:eastAsia="Palatino Linotype" w:hAnsi="Palatino Linotype" w:cs="Palatino Linotype"/>
        </w:rPr>
        <w:t>, a</w:t>
      </w:r>
      <w:r w:rsidRPr="009100CF">
        <w:rPr>
          <w:rFonts w:ascii="Palatino Linotype" w:eastAsia="Palatino Linotype" w:hAnsi="Palatino Linotype" w:cs="Palatino Linotype"/>
          <w:b/>
        </w:rPr>
        <w:t xml:space="preserve"> </w:t>
      </w:r>
      <w:r w:rsidRPr="009100CF">
        <w:rPr>
          <w:rFonts w:ascii="Palatino Linotype" w:eastAsia="Palatino Linotype" w:hAnsi="Palatino Linotype" w:cs="Palatino Linotype"/>
        </w:rPr>
        <w:t xml:space="preserve">la parte </w:t>
      </w:r>
      <w:r w:rsidRPr="009100CF">
        <w:rPr>
          <w:rFonts w:ascii="Palatino Linotype" w:eastAsia="Palatino Linotype" w:hAnsi="Palatino Linotype" w:cs="Palatino Linotype"/>
          <w:b/>
        </w:rPr>
        <w:t>Recurrente</w:t>
      </w:r>
      <w:r w:rsidRPr="009100C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1DF7507" w14:textId="77777777" w:rsidR="006F55DA" w:rsidRPr="009100CF" w:rsidRDefault="00852940">
      <w:pPr>
        <w:spacing w:line="360" w:lineRule="auto"/>
        <w:jc w:val="both"/>
        <w:rPr>
          <w:rFonts w:ascii="Palatino Linotype" w:eastAsia="Palatino Linotype" w:hAnsi="Palatino Linotype" w:cs="Palatino Linotype"/>
        </w:rPr>
      </w:pPr>
      <w:bookmarkStart w:id="8" w:name="_heading=h.3rdcrjn" w:colFirst="0" w:colLast="0"/>
      <w:bookmarkEnd w:id="8"/>
      <w:r w:rsidRPr="009100C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bookmarkStart w:id="9" w:name="_heading=h.1t3h5sf" w:colFirst="0" w:colLast="0"/>
    <w:bookmarkEnd w:id="9"/>
    <w:p w14:paraId="14995986" w14:textId="77777777" w:rsidR="006F55DA" w:rsidRPr="009100CF" w:rsidRDefault="005C0407">
      <w:pPr>
        <w:spacing w:line="360" w:lineRule="auto"/>
        <w:jc w:val="both"/>
        <w:rPr>
          <w:rFonts w:ascii="Palatino Linotype" w:eastAsia="Palatino Linotype" w:hAnsi="Palatino Linotype" w:cs="Palatino Linotype"/>
        </w:rPr>
      </w:pPr>
      <w:r w:rsidRPr="009100CF">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0E27C611" wp14:editId="26E6330C">
                <wp:simplePos x="0" y="0"/>
                <wp:positionH relativeFrom="margin">
                  <wp:align>right</wp:align>
                </wp:positionH>
                <wp:positionV relativeFrom="paragraph">
                  <wp:posOffset>29846</wp:posOffset>
                </wp:positionV>
                <wp:extent cx="5505450" cy="31146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3114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D00F4"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35pt" to="815.8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MZuQEAALkDAAAOAAAAZHJzL2Uyb0RvYy54bWysU02P0zAQvSPxHyzfaZKyWVDUdA9dwQVB&#10;xccP8Drjxlp/aWya9N8zdtssArQHtBc7tt+bmfdmsrmbrWFHwKi963mzqjkDJ/2g3aHnP75/ePOe&#10;s5iEG4TxDnp+gsjvtq9fbabQwdqP3gyAjIK42E2h52NKoauqKEewIq58AEePyqMViY54qAYUE0W3&#10;plrX9W01eRwCegkx0u39+ZFvS3ylQKYvSkVIzPScaktlxbI+5LXabkR3QBFGLS9liP+owgrtKOkS&#10;6l4kwX6i/iuU1RJ99CqtpLeVV0pLKBpITVP/oebbKAIULWRODItN8eXCys/HPTI9UO84c8JSi3bU&#10;KJk8Mswba7JHU4gdQXduj5dTDHvMgmeFNu8khc3F19PiK8yJSbps27q9acl+SW9vm+bm9l2bo1ZP&#10;9IAxfQRvWf7oudEuCxedOH6K6Qy9QoiXyzkXUL7SyUAGG/cVFImhlOvCLmMEO4PsKGgAhscihtIW&#10;ZKYobcxCqp8nXbCZBmW0FmLzPHFBl4zepYVotfP4L3Kar6WqM/6q+qw1y37ww6m0o9hB81EMvcxy&#10;HsDfz4X+9MdtfwEAAP//AwBQSwMEFAAGAAgAAAAhAKmT7VvaAAAABgEAAA8AAABkcnMvZG93bnJl&#10;di54bWxMj8FOwzAQRO9I/IO1SFxQ61DRJoQ4FUJwQOqFgnrexosdEdtR7Dbm71lOcHya1czbZpvd&#10;IM40xT54BbfLAgT5LujeGwUf7y+LCkRM6DUOwZOCb4qwbS8vGqx1mP0bnffJCC7xsUYFNqWxljJ2&#10;lhzGZRjJc/YZJoeJcTJSTzhzuRvkqig20mHvecHiSE+Wuq/9ySnossw39lmb2ZSveoexOsj1Tqnr&#10;q/z4ACJRTn/H8KvP6tCy0zGcvI5iUMCPJAV3JQgOq03JfGS+X69Ato38r9/+AAAA//8DAFBLAQIt&#10;ABQABgAIAAAAIQC2gziS/gAAAOEBAAATAAAAAAAAAAAAAAAAAAAAAABbQ29udGVudF9UeXBlc10u&#10;eG1sUEsBAi0AFAAGAAgAAAAhADj9If/WAAAAlAEAAAsAAAAAAAAAAAAAAAAALwEAAF9yZWxzLy5y&#10;ZWxzUEsBAi0AFAAGAAgAAAAhADwjUxm5AQAAuQMAAA4AAAAAAAAAAAAAAAAALgIAAGRycy9lMm9E&#10;b2MueG1sUEsBAi0AFAAGAAgAAAAhAKmT7VvaAAAABgEAAA8AAAAAAAAAAAAAAAAAEwQAAGRycy9k&#10;b3ducmV2LnhtbFBLBQYAAAAABAAEAPMAAAAaBQAAAAA=&#10;" strokecolor="black [3200]" strokeweight="2pt">
                <v:shadow on="t" color="black" opacity="24903f" origin=",.5" offset="0,.55556mm"/>
                <w10:wrap anchorx="margin"/>
              </v:line>
            </w:pict>
          </mc:Fallback>
        </mc:AlternateContent>
      </w:r>
    </w:p>
    <w:p w14:paraId="5A0C2433" w14:textId="77777777" w:rsidR="006F55DA" w:rsidRPr="009100CF" w:rsidRDefault="006F55DA">
      <w:pPr>
        <w:spacing w:line="360" w:lineRule="auto"/>
        <w:jc w:val="both"/>
        <w:rPr>
          <w:rFonts w:ascii="Palatino Linotype" w:eastAsia="Palatino Linotype" w:hAnsi="Palatino Linotype" w:cs="Palatino Linotype"/>
        </w:rPr>
      </w:pPr>
    </w:p>
    <w:p w14:paraId="1ED58D0C" w14:textId="77777777" w:rsidR="006F55DA" w:rsidRPr="009100CF" w:rsidRDefault="006F55DA">
      <w:pPr>
        <w:spacing w:line="360" w:lineRule="auto"/>
        <w:jc w:val="both"/>
        <w:rPr>
          <w:rFonts w:ascii="Palatino Linotype" w:eastAsia="Palatino Linotype" w:hAnsi="Palatino Linotype" w:cs="Palatino Linotype"/>
        </w:rPr>
      </w:pPr>
    </w:p>
    <w:p w14:paraId="0190DB02" w14:textId="77777777" w:rsidR="006F55DA" w:rsidRPr="009100CF" w:rsidRDefault="006F55DA">
      <w:pPr>
        <w:spacing w:line="360" w:lineRule="auto"/>
        <w:jc w:val="both"/>
        <w:rPr>
          <w:rFonts w:ascii="Palatino Linotype" w:eastAsia="Palatino Linotype" w:hAnsi="Palatino Linotype" w:cs="Palatino Linotype"/>
        </w:rPr>
      </w:pPr>
    </w:p>
    <w:p w14:paraId="2D2E8071" w14:textId="77777777" w:rsidR="006F55DA" w:rsidRPr="009100CF" w:rsidRDefault="006F55DA">
      <w:pPr>
        <w:spacing w:line="360" w:lineRule="auto"/>
        <w:jc w:val="both"/>
        <w:rPr>
          <w:rFonts w:ascii="Palatino Linotype" w:eastAsia="Palatino Linotype" w:hAnsi="Palatino Linotype" w:cs="Palatino Linotype"/>
        </w:rPr>
      </w:pPr>
    </w:p>
    <w:p w14:paraId="6C02490A" w14:textId="77777777" w:rsidR="006F55DA" w:rsidRPr="009100CF" w:rsidRDefault="006F55DA">
      <w:pPr>
        <w:spacing w:line="360" w:lineRule="auto"/>
        <w:jc w:val="both"/>
        <w:rPr>
          <w:rFonts w:ascii="Palatino Linotype" w:eastAsia="Palatino Linotype" w:hAnsi="Palatino Linotype" w:cs="Palatino Linotype"/>
        </w:rPr>
      </w:pPr>
    </w:p>
    <w:p w14:paraId="2EB8EFBF" w14:textId="77777777" w:rsidR="006F55DA" w:rsidRPr="009100CF" w:rsidRDefault="006F55DA">
      <w:pPr>
        <w:spacing w:line="360" w:lineRule="auto"/>
        <w:jc w:val="both"/>
        <w:rPr>
          <w:rFonts w:ascii="Palatino Linotype" w:eastAsia="Palatino Linotype" w:hAnsi="Palatino Linotype" w:cs="Palatino Linotype"/>
        </w:rPr>
      </w:pPr>
    </w:p>
    <w:p w14:paraId="07D22BDC" w14:textId="77777777" w:rsidR="006F55DA" w:rsidRPr="009100CF" w:rsidRDefault="006F55DA">
      <w:pPr>
        <w:spacing w:line="360" w:lineRule="auto"/>
        <w:jc w:val="both"/>
        <w:rPr>
          <w:rFonts w:ascii="Palatino Linotype" w:eastAsia="Palatino Linotype" w:hAnsi="Palatino Linotype" w:cs="Palatino Linotype"/>
        </w:rPr>
      </w:pPr>
    </w:p>
    <w:p w14:paraId="24E9569D" w14:textId="77777777" w:rsidR="006F55DA" w:rsidRPr="009100CF" w:rsidRDefault="006F55DA">
      <w:pPr>
        <w:spacing w:line="360" w:lineRule="auto"/>
        <w:jc w:val="both"/>
        <w:rPr>
          <w:rFonts w:ascii="Palatino Linotype" w:eastAsia="Palatino Linotype" w:hAnsi="Palatino Linotype" w:cs="Palatino Linotype"/>
        </w:rPr>
      </w:pPr>
    </w:p>
    <w:p w14:paraId="26AC87A6" w14:textId="77777777" w:rsidR="006F55DA" w:rsidRPr="009100CF" w:rsidRDefault="006F55DA">
      <w:pPr>
        <w:spacing w:line="360" w:lineRule="auto"/>
        <w:jc w:val="both"/>
        <w:rPr>
          <w:rFonts w:ascii="Palatino Linotype" w:eastAsia="Palatino Linotype" w:hAnsi="Palatino Linotype" w:cs="Palatino Linotype"/>
        </w:rPr>
      </w:pPr>
    </w:p>
    <w:p w14:paraId="43DCB123" w14:textId="77777777" w:rsidR="005C0407" w:rsidRPr="009100CF" w:rsidRDefault="005C0407">
      <w:pPr>
        <w:spacing w:line="360" w:lineRule="auto"/>
        <w:jc w:val="both"/>
        <w:rPr>
          <w:rFonts w:ascii="Palatino Linotype" w:eastAsia="Palatino Linotype" w:hAnsi="Palatino Linotype" w:cs="Palatino Linotype"/>
        </w:rPr>
      </w:pPr>
    </w:p>
    <w:p w14:paraId="048470A6" w14:textId="77777777" w:rsidR="005C0407" w:rsidRPr="009100CF" w:rsidRDefault="005C0407">
      <w:pPr>
        <w:spacing w:line="360" w:lineRule="auto"/>
        <w:jc w:val="both"/>
        <w:rPr>
          <w:rFonts w:ascii="Palatino Linotype" w:eastAsia="Palatino Linotype" w:hAnsi="Palatino Linotype" w:cs="Palatino Linotype"/>
        </w:rPr>
      </w:pPr>
    </w:p>
    <w:sectPr w:rsidR="005C0407" w:rsidRPr="009100CF">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FADE0" w14:textId="77777777" w:rsidR="00023AB9" w:rsidRDefault="00023AB9">
      <w:r>
        <w:separator/>
      </w:r>
    </w:p>
  </w:endnote>
  <w:endnote w:type="continuationSeparator" w:id="0">
    <w:p w14:paraId="41D11792" w14:textId="77777777" w:rsidR="00023AB9" w:rsidRDefault="00023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0AC0" w14:textId="77777777" w:rsidR="006F55DA" w:rsidRDefault="00852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1991">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1991">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262F3740" w14:textId="77777777" w:rsidR="006F55DA" w:rsidRDefault="006F55D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5DA9" w14:textId="77777777" w:rsidR="006F55DA" w:rsidRDefault="00852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199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1991">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19DF1016" w14:textId="77777777" w:rsidR="006F55DA" w:rsidRDefault="006F55D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12807" w14:textId="77777777" w:rsidR="00023AB9" w:rsidRDefault="00023AB9">
      <w:r>
        <w:separator/>
      </w:r>
    </w:p>
  </w:footnote>
  <w:footnote w:type="continuationSeparator" w:id="0">
    <w:p w14:paraId="4E722676" w14:textId="77777777" w:rsidR="00023AB9" w:rsidRDefault="00023AB9">
      <w:r>
        <w:continuationSeparator/>
      </w:r>
    </w:p>
  </w:footnote>
  <w:footnote w:id="1">
    <w:p w14:paraId="2956EECD" w14:textId="77777777" w:rsidR="006F55DA" w:rsidRDefault="0085294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14:paraId="0713F07D" w14:textId="77777777" w:rsidR="006F55DA" w:rsidRDefault="00852940">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22FD9FDD" w14:textId="77777777" w:rsidR="006F55DA" w:rsidRDefault="00852940">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14:paraId="76EA9A74" w14:textId="77777777" w:rsidR="006F55DA" w:rsidRDefault="0085294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14:paraId="213444AF" w14:textId="77777777" w:rsidR="006F55DA" w:rsidRDefault="00852940">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14:paraId="6D3BC0D1" w14:textId="77777777" w:rsidR="006F55DA" w:rsidRDefault="0085294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8610A90" w14:textId="77777777" w:rsidR="006F55DA" w:rsidRDefault="0085294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DDEFAE0" w14:textId="77777777" w:rsidR="006F55DA" w:rsidRDefault="00852940">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5E4B1E91" w14:textId="77777777" w:rsidR="006F55DA" w:rsidRDefault="0085294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4973" w14:textId="77777777" w:rsidR="006F55DA" w:rsidRDefault="00852940">
    <w:pPr>
      <w:rPr>
        <w:rFonts w:ascii="Cambria" w:eastAsia="Cambria" w:hAnsi="Cambria" w:cs="Cambria"/>
        <w:color w:val="000000"/>
      </w:rPr>
    </w:pPr>
    <w:r>
      <w:rPr>
        <w:noProof/>
      </w:rPr>
      <w:drawing>
        <wp:anchor distT="0" distB="0" distL="0" distR="0" simplePos="0" relativeHeight="251658240" behindDoc="1" locked="0" layoutInCell="1" hidden="0" allowOverlap="1" wp14:anchorId="3D3300BA" wp14:editId="68AFB7FC">
          <wp:simplePos x="0" y="0"/>
          <wp:positionH relativeFrom="column">
            <wp:posOffset>-1080121</wp:posOffset>
          </wp:positionH>
          <wp:positionV relativeFrom="paragraph">
            <wp:posOffset>-488299</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6F55DA" w14:paraId="0C2BC9D5" w14:textId="77777777">
      <w:tc>
        <w:tcPr>
          <w:tcW w:w="2489" w:type="dxa"/>
          <w:shd w:val="clear" w:color="auto" w:fill="auto"/>
        </w:tcPr>
        <w:p w14:paraId="50FA91C6"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7B74055" w14:textId="77777777" w:rsidR="006F55DA" w:rsidRDefault="00852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00599/INFOEM/IP/RR/2023</w:t>
          </w:r>
        </w:p>
      </w:tc>
    </w:tr>
    <w:tr w:rsidR="006F55DA" w14:paraId="352A4A52" w14:textId="77777777">
      <w:trPr>
        <w:trHeight w:val="228"/>
      </w:trPr>
      <w:tc>
        <w:tcPr>
          <w:tcW w:w="2489" w:type="dxa"/>
          <w:shd w:val="clear" w:color="auto" w:fill="auto"/>
          <w:vAlign w:val="center"/>
        </w:tcPr>
        <w:p w14:paraId="06EAB8C3"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5BED625" w14:textId="77777777" w:rsidR="006F55DA" w:rsidRDefault="0085294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General de Gobierno</w:t>
          </w:r>
        </w:p>
      </w:tc>
    </w:tr>
    <w:tr w:rsidR="006F55DA" w14:paraId="763765A5" w14:textId="77777777">
      <w:tc>
        <w:tcPr>
          <w:tcW w:w="2489" w:type="dxa"/>
          <w:shd w:val="clear" w:color="auto" w:fill="auto"/>
          <w:vAlign w:val="center"/>
        </w:tcPr>
        <w:p w14:paraId="3271EF73" w14:textId="77777777" w:rsidR="006F55DA" w:rsidRDefault="008529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7FBE970" w14:textId="77777777" w:rsidR="006F55DA" w:rsidRDefault="00852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4363BA" w14:textId="77777777" w:rsidR="006F55DA" w:rsidRDefault="008529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7286" w14:textId="77777777" w:rsidR="006F55DA" w:rsidRDefault="008529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8322546" wp14:editId="76CCC964">
          <wp:simplePos x="0" y="0"/>
          <wp:positionH relativeFrom="column">
            <wp:posOffset>-1079499</wp:posOffset>
          </wp:positionH>
          <wp:positionV relativeFrom="paragraph">
            <wp:posOffset>-328929</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6F55DA" w14:paraId="3E0EEA9A" w14:textId="77777777">
      <w:tc>
        <w:tcPr>
          <w:tcW w:w="2551" w:type="dxa"/>
          <w:shd w:val="clear" w:color="auto" w:fill="auto"/>
          <w:vAlign w:val="center"/>
        </w:tcPr>
        <w:p w14:paraId="5CA93FA4"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3FB62EC" w14:textId="77777777" w:rsidR="006F55DA" w:rsidRDefault="008529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00599/INFOEM/IP/RR/2023</w:t>
          </w:r>
        </w:p>
      </w:tc>
    </w:tr>
    <w:tr w:rsidR="006F55DA" w14:paraId="0DEBCF33" w14:textId="77777777">
      <w:trPr>
        <w:trHeight w:val="130"/>
      </w:trPr>
      <w:tc>
        <w:tcPr>
          <w:tcW w:w="2551" w:type="dxa"/>
          <w:shd w:val="clear" w:color="auto" w:fill="auto"/>
          <w:vAlign w:val="center"/>
        </w:tcPr>
        <w:p w14:paraId="5D4ADAE1"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BBBC7C7" w14:textId="69485A2D" w:rsidR="006F55DA" w:rsidRDefault="0009294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XXXXXXX</w:t>
          </w:r>
        </w:p>
      </w:tc>
    </w:tr>
    <w:tr w:rsidR="006F55DA" w14:paraId="5FFEA330" w14:textId="77777777">
      <w:trPr>
        <w:trHeight w:val="228"/>
      </w:trPr>
      <w:tc>
        <w:tcPr>
          <w:tcW w:w="2551" w:type="dxa"/>
          <w:shd w:val="clear" w:color="auto" w:fill="auto"/>
          <w:vAlign w:val="center"/>
        </w:tcPr>
        <w:p w14:paraId="2A7889F5"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D5138D8" w14:textId="77777777" w:rsidR="006F55DA" w:rsidRDefault="0085294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General de Gobierno</w:t>
          </w:r>
        </w:p>
      </w:tc>
    </w:tr>
    <w:tr w:rsidR="006F55DA" w14:paraId="69662221" w14:textId="77777777">
      <w:tc>
        <w:tcPr>
          <w:tcW w:w="2551" w:type="dxa"/>
          <w:shd w:val="clear" w:color="auto" w:fill="auto"/>
          <w:vAlign w:val="center"/>
        </w:tcPr>
        <w:p w14:paraId="46C757DB" w14:textId="77777777" w:rsidR="006F55DA" w:rsidRDefault="00852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8824A38" w14:textId="77777777" w:rsidR="006F55DA" w:rsidRDefault="0085294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383963" w14:textId="77777777" w:rsidR="006F55DA" w:rsidRDefault="006F55DA">
    <w:pPr>
      <w:pBdr>
        <w:top w:val="nil"/>
        <w:left w:val="nil"/>
        <w:bottom w:val="nil"/>
        <w:right w:val="nil"/>
        <w:between w:val="nil"/>
      </w:pBdr>
      <w:tabs>
        <w:tab w:val="center" w:pos="4252"/>
        <w:tab w:val="right" w:pos="8504"/>
      </w:tabs>
      <w:rPr>
        <w:rFonts w:ascii="Cambria" w:eastAsia="Cambria" w:hAnsi="Cambria" w:cs="Cambria"/>
        <w:color w:val="000000"/>
      </w:rPr>
    </w:pPr>
  </w:p>
  <w:p w14:paraId="1DFE45F0" w14:textId="77777777" w:rsidR="006F55DA" w:rsidRDefault="006F55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E73D1"/>
    <w:multiLevelType w:val="multilevel"/>
    <w:tmpl w:val="DDFEDC7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3A6109"/>
    <w:multiLevelType w:val="multilevel"/>
    <w:tmpl w:val="BF4C4A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5DA"/>
    <w:rsid w:val="00023AB9"/>
    <w:rsid w:val="0009294E"/>
    <w:rsid w:val="000C0482"/>
    <w:rsid w:val="002E5DDE"/>
    <w:rsid w:val="004F1991"/>
    <w:rsid w:val="00546C76"/>
    <w:rsid w:val="005C0407"/>
    <w:rsid w:val="006F55DA"/>
    <w:rsid w:val="00852940"/>
    <w:rsid w:val="009100CF"/>
    <w:rsid w:val="00E41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142BF"/>
  <w15:docId w15:val="{F7A3DB99-B055-4717-9B3A-73B54817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115" w:type="dxa"/>
        <w:right w:w="115"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21/ene051.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8M8J2VAHUG3w0ViOfgcD+Whgw==">CgMxLjAyCWguMTdkcDh2dTIIaC5namRneHMyCWguM2R5NnZrbTIJaC4zMGowemxsMgloLjJzOGV5bzEyCGgudHlqY3d0MgloLjN6bnlzaDcyCWguMWZvYjl0ZTIJaC4zcmRjcmpuMgloLjF0M2g1c2Y4AHIhMXJYNG55UDNsRXRnM3BoWFhVSkE5b3YtTzBKbzBiQ3B2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7900</Words>
  <Characters>43450</Characters>
  <Application>Microsoft Office Word</Application>
  <DocSecurity>4</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2023-10-04T16:25:00Z</cp:lastPrinted>
  <dcterms:created xsi:type="dcterms:W3CDTF">2023-10-26T20:34:00Z</dcterms:created>
  <dcterms:modified xsi:type="dcterms:W3CDTF">2023-10-26T20:34:00Z</dcterms:modified>
</cp:coreProperties>
</file>