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EA1" w:rsidRPr="007775A4" w:rsidRDefault="00FE6669">
      <w:pPr>
        <w:spacing w:before="240" w:after="240" w:line="360" w:lineRule="auto"/>
        <w:jc w:val="both"/>
        <w:rPr>
          <w:rFonts w:ascii="Palatino Linotype" w:eastAsia="Palatino Linotype" w:hAnsi="Palatino Linotype" w:cs="Palatino Linotype"/>
        </w:rPr>
      </w:pPr>
      <w:bookmarkStart w:id="0" w:name="_GoBack"/>
      <w:bookmarkEnd w:id="0"/>
      <w:r w:rsidRPr="007775A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7775A4">
        <w:rPr>
          <w:rFonts w:ascii="Palatino Linotype" w:eastAsia="Palatino Linotype" w:hAnsi="Palatino Linotype" w:cs="Palatino Linotype"/>
          <w:b/>
        </w:rPr>
        <w:t>quince de febrero de dos mil veintitrés</w:t>
      </w:r>
      <w:r w:rsidRPr="007775A4">
        <w:rPr>
          <w:rFonts w:ascii="Palatino Linotype" w:eastAsia="Palatino Linotype" w:hAnsi="Palatino Linotype" w:cs="Palatino Linotype"/>
        </w:rPr>
        <w:t xml:space="preserve">. </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Visto</w:t>
      </w:r>
      <w:r w:rsidRPr="007775A4">
        <w:rPr>
          <w:rFonts w:ascii="Palatino Linotype" w:eastAsia="Palatino Linotype" w:hAnsi="Palatino Linotype" w:cs="Palatino Linotype"/>
        </w:rPr>
        <w:t xml:space="preserve"> el expediente formado con motivo del recurso de revisión </w:t>
      </w:r>
      <w:r w:rsidRPr="007775A4">
        <w:rPr>
          <w:rFonts w:ascii="Palatino Linotype" w:eastAsia="Palatino Linotype" w:hAnsi="Palatino Linotype" w:cs="Palatino Linotype"/>
          <w:b/>
        </w:rPr>
        <w:t>12969/INFOEM/IP/RR/2022</w:t>
      </w:r>
      <w:r w:rsidRPr="007775A4">
        <w:rPr>
          <w:rFonts w:ascii="Palatino Linotype" w:eastAsia="Palatino Linotype" w:hAnsi="Palatino Linotype" w:cs="Palatino Linotype"/>
        </w:rPr>
        <w:t>, interpuesto por</w:t>
      </w:r>
      <w:r w:rsidRPr="007775A4">
        <w:rPr>
          <w:rFonts w:ascii="Palatino Linotype" w:eastAsia="Palatino Linotype" w:hAnsi="Palatino Linotype" w:cs="Palatino Linotype"/>
          <w:b/>
        </w:rPr>
        <w:t xml:space="preserve"> un particular de manera anónima, </w:t>
      </w:r>
      <w:r w:rsidRPr="007775A4">
        <w:rPr>
          <w:rFonts w:ascii="Palatino Linotype" w:eastAsia="Palatino Linotype" w:hAnsi="Palatino Linotype" w:cs="Palatino Linotype"/>
        </w:rPr>
        <w:t>quien en lo sucesivo</w:t>
      </w:r>
      <w:r w:rsidRPr="007775A4">
        <w:rPr>
          <w:rFonts w:ascii="Palatino Linotype" w:eastAsia="Palatino Linotype" w:hAnsi="Palatino Linotype" w:cs="Palatino Linotype"/>
          <w:b/>
        </w:rPr>
        <w:t xml:space="preserve"> </w:t>
      </w:r>
      <w:r w:rsidRPr="007775A4">
        <w:rPr>
          <w:rFonts w:ascii="Palatino Linotype" w:eastAsia="Palatino Linotype" w:hAnsi="Palatino Linotype" w:cs="Palatino Linotype"/>
        </w:rPr>
        <w:t xml:space="preserve">será identificado como </w:t>
      </w:r>
      <w:r w:rsidRPr="007775A4">
        <w:rPr>
          <w:rFonts w:ascii="Palatino Linotype" w:eastAsia="Palatino Linotype" w:hAnsi="Palatino Linotype" w:cs="Palatino Linotype"/>
          <w:b/>
        </w:rPr>
        <w:t>la parte Recurrente,</w:t>
      </w:r>
      <w:r w:rsidRPr="007775A4">
        <w:rPr>
          <w:rFonts w:ascii="Palatino Linotype" w:eastAsia="Palatino Linotype" w:hAnsi="Palatino Linotype" w:cs="Palatino Linotype"/>
        </w:rPr>
        <w:t xml:space="preserve"> en contra de la respuesta del </w:t>
      </w:r>
      <w:r w:rsidRPr="007775A4">
        <w:rPr>
          <w:rFonts w:ascii="Palatino Linotype" w:eastAsia="Palatino Linotype" w:hAnsi="Palatino Linotype" w:cs="Palatino Linotype"/>
          <w:b/>
        </w:rPr>
        <w:t xml:space="preserve">Ayuntamiento de Villa de Allende, </w:t>
      </w:r>
      <w:r w:rsidRPr="007775A4">
        <w:rPr>
          <w:rFonts w:ascii="Palatino Linotype" w:eastAsia="Palatino Linotype" w:hAnsi="Palatino Linotype" w:cs="Palatino Linotype"/>
        </w:rPr>
        <w:t xml:space="preserve">en lo sucesivo el </w:t>
      </w:r>
      <w:r w:rsidRPr="007775A4">
        <w:rPr>
          <w:rFonts w:ascii="Palatino Linotype" w:eastAsia="Palatino Linotype" w:hAnsi="Palatino Linotype" w:cs="Palatino Linotype"/>
          <w:b/>
        </w:rPr>
        <w:t xml:space="preserve">Sujeto Obligado, </w:t>
      </w:r>
      <w:r w:rsidRPr="007775A4">
        <w:rPr>
          <w:rFonts w:ascii="Palatino Linotype" w:eastAsia="Palatino Linotype" w:hAnsi="Palatino Linotype" w:cs="Palatino Linotype"/>
        </w:rPr>
        <w:t xml:space="preserve">se procede a dictar la presente resolución con base en los siguientes: </w:t>
      </w:r>
    </w:p>
    <w:p w:rsidR="00836EA1" w:rsidRPr="007775A4" w:rsidRDefault="00FE6669">
      <w:pPr>
        <w:spacing w:before="240" w:after="240" w:line="360" w:lineRule="auto"/>
        <w:jc w:val="center"/>
        <w:rPr>
          <w:rFonts w:ascii="Palatino Linotype" w:eastAsia="Palatino Linotype" w:hAnsi="Palatino Linotype" w:cs="Palatino Linotype"/>
          <w:b/>
          <w:sz w:val="28"/>
          <w:szCs w:val="28"/>
        </w:rPr>
      </w:pPr>
      <w:r w:rsidRPr="007775A4">
        <w:rPr>
          <w:rFonts w:ascii="Palatino Linotype" w:eastAsia="Palatino Linotype" w:hAnsi="Palatino Linotype" w:cs="Palatino Linotype"/>
          <w:b/>
        </w:rPr>
        <w:t>I. A N T E C E D E N T E S</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1. Solicitud de acceso a la información.</w:t>
      </w:r>
      <w:r w:rsidRPr="007775A4">
        <w:rPr>
          <w:rFonts w:ascii="Palatino Linotype" w:eastAsia="Palatino Linotype" w:hAnsi="Palatino Linotype" w:cs="Palatino Linotype"/>
        </w:rPr>
        <w:t xml:space="preserve"> El </w:t>
      </w:r>
      <w:r w:rsidRPr="007775A4">
        <w:rPr>
          <w:rFonts w:ascii="Palatino Linotype" w:eastAsia="Palatino Linotype" w:hAnsi="Palatino Linotype" w:cs="Palatino Linotype"/>
          <w:b/>
        </w:rPr>
        <w:t>veintisiete de junio de dos mil veintidós,</w:t>
      </w:r>
      <w:r w:rsidRPr="007775A4">
        <w:rPr>
          <w:rFonts w:ascii="Palatino Linotype" w:eastAsia="Palatino Linotype" w:hAnsi="Palatino Linotype" w:cs="Palatino Linotype"/>
        </w:rPr>
        <w:t xml:space="preserve"> </w:t>
      </w:r>
      <w:r w:rsidRPr="007775A4">
        <w:rPr>
          <w:rFonts w:ascii="Palatino Linotype" w:eastAsia="Palatino Linotype" w:hAnsi="Palatino Linotype" w:cs="Palatino Linotype"/>
          <w:b/>
        </w:rPr>
        <w:t>el</w:t>
      </w:r>
      <w:r w:rsidRPr="007775A4">
        <w:rPr>
          <w:rFonts w:ascii="Palatino Linotype" w:eastAsia="Palatino Linotype" w:hAnsi="Palatino Linotype" w:cs="Palatino Linotype"/>
        </w:rPr>
        <w:t xml:space="preserve"> </w:t>
      </w:r>
      <w:r w:rsidRPr="007775A4">
        <w:rPr>
          <w:rFonts w:ascii="Palatino Linotype" w:eastAsia="Palatino Linotype" w:hAnsi="Palatino Linotype" w:cs="Palatino Linotype"/>
          <w:b/>
        </w:rPr>
        <w:t xml:space="preserve">Recurrente </w:t>
      </w:r>
      <w:r w:rsidRPr="007775A4">
        <w:rPr>
          <w:rFonts w:ascii="Palatino Linotype" w:eastAsia="Palatino Linotype" w:hAnsi="Palatino Linotype" w:cs="Palatino Linotype"/>
        </w:rPr>
        <w:t>presentó a través del Sistema de Acceso a la Información Mexiquense (</w:t>
      </w:r>
      <w:r w:rsidRPr="007775A4">
        <w:rPr>
          <w:rFonts w:ascii="Palatino Linotype" w:eastAsia="Palatino Linotype" w:hAnsi="Palatino Linotype" w:cs="Palatino Linotype"/>
          <w:b/>
        </w:rPr>
        <w:t>SAIMEX),</w:t>
      </w:r>
      <w:r w:rsidRPr="007775A4">
        <w:rPr>
          <w:rFonts w:ascii="Palatino Linotype" w:eastAsia="Palatino Linotype" w:hAnsi="Palatino Linotype" w:cs="Palatino Linotype"/>
        </w:rPr>
        <w:t xml:space="preserve"> la solicitud de acceso a la información pública registrada con el número </w:t>
      </w:r>
      <w:r w:rsidRPr="007775A4">
        <w:rPr>
          <w:rFonts w:ascii="Palatino Linotype" w:eastAsia="Palatino Linotype" w:hAnsi="Palatino Linotype" w:cs="Palatino Linotype"/>
          <w:b/>
        </w:rPr>
        <w:t xml:space="preserve">00070/VIALLEN/IP/2022, </w:t>
      </w:r>
      <w:r w:rsidRPr="007775A4">
        <w:rPr>
          <w:rFonts w:ascii="Palatino Linotype" w:eastAsia="Palatino Linotype" w:hAnsi="Palatino Linotype" w:cs="Palatino Linotype"/>
        </w:rPr>
        <w:t xml:space="preserve">mediante la cual requirió la información siguiente: </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bookmarkStart w:id="1" w:name="_heading=h.gjdgxs" w:colFirst="0" w:colLast="0"/>
      <w:bookmarkEnd w:id="1"/>
      <w:r w:rsidRPr="007775A4">
        <w:rPr>
          <w:rFonts w:ascii="Palatino Linotype" w:eastAsia="Palatino Linotype" w:hAnsi="Palatino Linotype" w:cs="Palatino Linotype"/>
          <w:i/>
          <w:sz w:val="22"/>
          <w:szCs w:val="22"/>
        </w:rPr>
        <w:t xml:space="preserve">“¿Existe y se opera un Comisión de Honor y Justicia de los cuerpos de Seguridad Pública? ¿Quiénes la integran? </w:t>
      </w:r>
      <w:proofErr w:type="spellStart"/>
      <w:r w:rsidRPr="007775A4">
        <w:rPr>
          <w:rFonts w:ascii="Palatino Linotype" w:eastAsia="Palatino Linotype" w:hAnsi="Palatino Linotype" w:cs="Palatino Linotype"/>
          <w:i/>
          <w:sz w:val="22"/>
          <w:szCs w:val="22"/>
        </w:rPr>
        <w:t>Numero</w:t>
      </w:r>
      <w:proofErr w:type="spellEnd"/>
      <w:r w:rsidRPr="007775A4">
        <w:rPr>
          <w:rFonts w:ascii="Palatino Linotype" w:eastAsia="Palatino Linotype" w:hAnsi="Palatino Linotype" w:cs="Palatino Linotype"/>
          <w:i/>
          <w:sz w:val="22"/>
          <w:szCs w:val="22"/>
        </w:rPr>
        <w:t xml:space="preserve">, Nombres, cargos y sueldos y fecha de última sesión ¿Se cuenta con indicadores de medición y seguimiento del personal de policía municipal con participación de instancias ciudadanas? ¿El municipio ha gestionado la incorporación de sus elementos de seguridad a la licencia colectiva para la portación de armamento? ¿Se cuenta con la información referente a la incidencia de delitos y de faltas administrativas? Favor de anexar información desde enero 2022 a la fecha de recepción de la presente ¿Se operan programas para la prevención de conductas antisociales? ¿Se tiene coordinación interinstitucional con otros órdenes de gobierno en materia de seguridad pública y de qué forma?” (Sic) </w:t>
      </w:r>
    </w:p>
    <w:p w:rsidR="00836EA1" w:rsidRPr="007775A4" w:rsidRDefault="00FE6669">
      <w:pPr>
        <w:spacing w:before="240" w:after="240" w:line="360" w:lineRule="auto"/>
        <w:jc w:val="both"/>
        <w:rPr>
          <w:rFonts w:ascii="Palatino Linotype" w:eastAsia="Palatino Linotype" w:hAnsi="Palatino Linotype" w:cs="Palatino Linotype"/>
          <w:b/>
        </w:rPr>
      </w:pPr>
      <w:r w:rsidRPr="007775A4">
        <w:rPr>
          <w:rFonts w:ascii="Palatino Linotype" w:eastAsia="Palatino Linotype" w:hAnsi="Palatino Linotype" w:cs="Palatino Linotype"/>
          <w:b/>
        </w:rPr>
        <w:lastRenderedPageBreak/>
        <w:t>Modalidad de Entrega:</w:t>
      </w:r>
      <w:r w:rsidRPr="007775A4">
        <w:rPr>
          <w:rFonts w:ascii="Palatino Linotype" w:eastAsia="Palatino Linotype" w:hAnsi="Palatino Linotype" w:cs="Palatino Linotype"/>
        </w:rPr>
        <w:t xml:space="preserve"> A través del </w:t>
      </w:r>
      <w:r w:rsidRPr="007775A4">
        <w:rPr>
          <w:rFonts w:ascii="Palatino Linotype" w:eastAsia="Palatino Linotype" w:hAnsi="Palatino Linotype" w:cs="Palatino Linotype"/>
          <w:b/>
        </w:rPr>
        <w:t>Sistema de Acceso a la Información Mexiquense (SAIMEX)</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 xml:space="preserve">2. Respuesta. </w:t>
      </w:r>
      <w:r w:rsidRPr="007775A4">
        <w:rPr>
          <w:rFonts w:ascii="Palatino Linotype" w:eastAsia="Palatino Linotype" w:hAnsi="Palatino Linotype" w:cs="Palatino Linotype"/>
        </w:rPr>
        <w:t xml:space="preserve"> El </w:t>
      </w:r>
      <w:r w:rsidRPr="007775A4">
        <w:rPr>
          <w:rFonts w:ascii="Palatino Linotype" w:eastAsia="Palatino Linotype" w:hAnsi="Palatino Linotype" w:cs="Palatino Linotype"/>
          <w:b/>
        </w:rPr>
        <w:t>trece de julio de dos mil veintidós</w:t>
      </w:r>
      <w:r w:rsidRPr="007775A4">
        <w:rPr>
          <w:rFonts w:ascii="Palatino Linotype" w:eastAsia="Palatino Linotype" w:hAnsi="Palatino Linotype" w:cs="Palatino Linotype"/>
        </w:rPr>
        <w:t xml:space="preserve">,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respondió a la solicitud de acceso a la información en los términos siguientes:   </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“Envío la respuesta a sus solicitud.</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ATENTAMENTE</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Lic. En P. Carolina Gutiérrez García” (Sic) </w:t>
      </w:r>
    </w:p>
    <w:p w:rsidR="00836EA1" w:rsidRPr="007775A4" w:rsidRDefault="00FE6669">
      <w:pPr>
        <w:spacing w:before="240" w:after="240" w:line="276" w:lineRule="auto"/>
        <w:ind w:left="567" w:right="900"/>
        <w:jc w:val="both"/>
        <w:rPr>
          <w:rFonts w:ascii="Palatino Linotype" w:eastAsia="Palatino Linotype" w:hAnsi="Palatino Linotype" w:cs="Palatino Linotype"/>
          <w:b/>
          <w:sz w:val="22"/>
          <w:szCs w:val="22"/>
        </w:rPr>
      </w:pPr>
      <w:r w:rsidRPr="007775A4">
        <w:rPr>
          <w:rFonts w:ascii="Palatino Linotype" w:eastAsia="Palatino Linotype" w:hAnsi="Palatino Linotype" w:cs="Palatino Linotype"/>
          <w:b/>
          <w:sz w:val="22"/>
          <w:szCs w:val="22"/>
        </w:rPr>
        <w:t xml:space="preserve">Archivos adjuntos: </w:t>
      </w:r>
    </w:p>
    <w:p w:rsidR="00836EA1" w:rsidRPr="007775A4" w:rsidRDefault="00FE6669" w:rsidP="009519BA">
      <w:pPr>
        <w:spacing w:before="240" w:after="240" w:line="360" w:lineRule="auto"/>
        <w:ind w:left="567" w:right="900"/>
        <w:jc w:val="both"/>
        <w:rPr>
          <w:rFonts w:ascii="Palatino Linotype" w:eastAsia="Palatino Linotype" w:hAnsi="Palatino Linotype" w:cs="Palatino Linotype"/>
        </w:rPr>
      </w:pPr>
      <w:r w:rsidRPr="007775A4">
        <w:rPr>
          <w:rFonts w:ascii="Palatino Linotype" w:eastAsia="Palatino Linotype" w:hAnsi="Palatino Linotype" w:cs="Palatino Linotype"/>
          <w:b/>
          <w:i/>
          <w:sz w:val="22"/>
          <w:szCs w:val="22"/>
        </w:rPr>
        <w:t xml:space="preserve">“Respuesta a solicitud 00070.pdf”: </w:t>
      </w:r>
      <w:r w:rsidRPr="007775A4">
        <w:rPr>
          <w:rFonts w:ascii="Palatino Linotype" w:eastAsia="Palatino Linotype" w:hAnsi="Palatino Linotype" w:cs="Palatino Linotype"/>
        </w:rPr>
        <w:t>Oficio SPMVA/627/VII/2022, signado por el Director de Seguridad Pública Municipal, mediante el cual otorga respuesta a los planteamiento</w:t>
      </w:r>
      <w:r w:rsidR="0016587C" w:rsidRPr="007775A4">
        <w:rPr>
          <w:rFonts w:ascii="Palatino Linotype" w:eastAsia="Palatino Linotype" w:hAnsi="Palatino Linotype" w:cs="Palatino Linotype"/>
        </w:rPr>
        <w:t xml:space="preserve">s realizados por el particular. </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b/>
        </w:rPr>
        <w:t xml:space="preserve">3. Interposición del recurso de revisión. </w:t>
      </w:r>
      <w:r w:rsidRPr="007775A4">
        <w:rPr>
          <w:rFonts w:ascii="Palatino Linotype" w:eastAsia="Palatino Linotype" w:hAnsi="Palatino Linotype" w:cs="Palatino Linotype"/>
        </w:rPr>
        <w:t xml:space="preserve">El </w:t>
      </w:r>
      <w:r w:rsidRPr="007775A4">
        <w:rPr>
          <w:rFonts w:ascii="Palatino Linotype" w:eastAsia="Palatino Linotype" w:hAnsi="Palatino Linotype" w:cs="Palatino Linotype"/>
          <w:b/>
        </w:rPr>
        <w:t xml:space="preserve">primero de agosto de dos mil veintidós, la parte Recurrente, </w:t>
      </w:r>
      <w:r w:rsidRPr="007775A4">
        <w:rPr>
          <w:rFonts w:ascii="Palatino Linotype" w:eastAsia="Palatino Linotype" w:hAnsi="Palatino Linotype" w:cs="Palatino Linotype"/>
        </w:rPr>
        <w:t>inconforme con la respuesta, presentó el recurso de revisión a través del cual expresó lo siguiente:</w:t>
      </w:r>
    </w:p>
    <w:p w:rsidR="00836EA1" w:rsidRPr="007775A4" w:rsidRDefault="00FE6669">
      <w:pPr>
        <w:spacing w:before="240" w:after="240" w:line="360" w:lineRule="auto"/>
        <w:ind w:left="567"/>
        <w:rPr>
          <w:rFonts w:ascii="Palatino Linotype" w:eastAsia="Palatino Linotype" w:hAnsi="Palatino Linotype" w:cs="Palatino Linotype"/>
          <w:b/>
        </w:rPr>
      </w:pPr>
      <w:r w:rsidRPr="007775A4">
        <w:rPr>
          <w:rFonts w:ascii="Palatino Linotype" w:eastAsia="Palatino Linotype" w:hAnsi="Palatino Linotype" w:cs="Palatino Linotype"/>
          <w:b/>
        </w:rPr>
        <w:t>a) Acto impugnado.</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“No entregaron la totalidad de lo solicitado” (Sic)</w:t>
      </w:r>
    </w:p>
    <w:p w:rsidR="00836EA1" w:rsidRPr="007775A4" w:rsidRDefault="00FE6669">
      <w:pPr>
        <w:spacing w:before="240" w:after="240" w:line="360" w:lineRule="auto"/>
        <w:ind w:left="567"/>
        <w:jc w:val="both"/>
        <w:rPr>
          <w:rFonts w:ascii="Palatino Linotype" w:eastAsia="Palatino Linotype" w:hAnsi="Palatino Linotype" w:cs="Palatino Linotype"/>
          <w:b/>
        </w:rPr>
      </w:pPr>
      <w:r w:rsidRPr="007775A4">
        <w:rPr>
          <w:rFonts w:ascii="Palatino Linotype" w:eastAsia="Palatino Linotype" w:hAnsi="Palatino Linotype" w:cs="Palatino Linotype"/>
          <w:b/>
        </w:rPr>
        <w:t>b) Motivos de inconformidad.</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No entregaron la totalidad de la información</w:t>
      </w:r>
      <w:r w:rsidRPr="007775A4">
        <w:rPr>
          <w:rFonts w:ascii="Palatino Linotype" w:eastAsia="Palatino Linotype" w:hAnsi="Palatino Linotype" w:cs="Palatino Linotype"/>
          <w:i/>
          <w:sz w:val="22"/>
          <w:szCs w:val="22"/>
        </w:rPr>
        <w:t>” (Sic) (Énfasis añadido)</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4. Turno.</w:t>
      </w:r>
      <w:r w:rsidRPr="007775A4">
        <w:rPr>
          <w:rFonts w:ascii="Palatino Linotype" w:eastAsia="Palatino Linotype" w:hAnsi="Palatino Linotype" w:cs="Palatino Linotype"/>
          <w:b/>
          <w:sz w:val="28"/>
          <w:szCs w:val="28"/>
        </w:rPr>
        <w:t xml:space="preserve"> </w:t>
      </w:r>
      <w:r w:rsidRPr="007775A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7775A4">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w:t>
      </w:r>
      <w:r w:rsidRPr="007775A4">
        <w:rPr>
          <w:rFonts w:ascii="Palatino Linotype" w:eastAsia="Palatino Linotype" w:hAnsi="Palatino Linotype" w:cs="Palatino Linotype"/>
          <w:b/>
        </w:rPr>
        <w:t xml:space="preserve">Comisionada Guadalupe Ramírez Peña, </w:t>
      </w:r>
      <w:r w:rsidRPr="007775A4">
        <w:rPr>
          <w:rFonts w:ascii="Palatino Linotype" w:eastAsia="Palatino Linotype" w:hAnsi="Palatino Linotype" w:cs="Palatino Linotype"/>
        </w:rPr>
        <w:t xml:space="preserve">a efecto de que analizara sobre su admisión o su </w:t>
      </w:r>
      <w:proofErr w:type="spellStart"/>
      <w:r w:rsidRPr="007775A4">
        <w:rPr>
          <w:rFonts w:ascii="Palatino Linotype" w:eastAsia="Palatino Linotype" w:hAnsi="Palatino Linotype" w:cs="Palatino Linotype"/>
        </w:rPr>
        <w:t>desechamiento</w:t>
      </w:r>
      <w:proofErr w:type="spellEnd"/>
      <w:r w:rsidRPr="007775A4">
        <w:rPr>
          <w:rFonts w:ascii="Palatino Linotype" w:eastAsia="Palatino Linotype" w:hAnsi="Palatino Linotype" w:cs="Palatino Linotype"/>
        </w:rPr>
        <w:t>.</w:t>
      </w:r>
    </w:p>
    <w:p w:rsidR="00836EA1" w:rsidRPr="007775A4" w:rsidRDefault="00FE6669">
      <w:pPr>
        <w:spacing w:before="240" w:after="240" w:line="360" w:lineRule="auto"/>
        <w:jc w:val="both"/>
        <w:rPr>
          <w:rFonts w:ascii="Palatino Linotype" w:eastAsia="Palatino Linotype" w:hAnsi="Palatino Linotype" w:cs="Palatino Linotype"/>
          <w:b/>
        </w:rPr>
      </w:pPr>
      <w:r w:rsidRPr="007775A4">
        <w:rPr>
          <w:rFonts w:ascii="Palatino Linotype" w:eastAsia="Palatino Linotype" w:hAnsi="Palatino Linotype" w:cs="Palatino Linotype"/>
          <w:b/>
        </w:rPr>
        <w:t>5.</w:t>
      </w:r>
      <w:r w:rsidRPr="007775A4">
        <w:rPr>
          <w:rFonts w:ascii="Palatino Linotype" w:eastAsia="Palatino Linotype" w:hAnsi="Palatino Linotype" w:cs="Palatino Linotype"/>
          <w:b/>
          <w:i/>
        </w:rPr>
        <w:t xml:space="preserve"> </w:t>
      </w:r>
      <w:r w:rsidRPr="007775A4">
        <w:rPr>
          <w:rFonts w:ascii="Palatino Linotype" w:eastAsia="Palatino Linotype" w:hAnsi="Palatino Linotype" w:cs="Palatino Linotype"/>
          <w:b/>
        </w:rPr>
        <w:t>Admisión del Recurso de revisión.</w:t>
      </w:r>
      <w:r w:rsidRPr="007775A4">
        <w:rPr>
          <w:rFonts w:ascii="Palatino Linotype" w:eastAsia="Palatino Linotype" w:hAnsi="Palatino Linotype" w:cs="Palatino Linotype"/>
          <w:sz w:val="28"/>
          <w:szCs w:val="28"/>
        </w:rPr>
        <w:t xml:space="preserve"> El</w:t>
      </w:r>
      <w:r w:rsidRPr="007775A4">
        <w:rPr>
          <w:rFonts w:ascii="Palatino Linotype" w:eastAsia="Palatino Linotype" w:hAnsi="Palatino Linotype" w:cs="Palatino Linotype"/>
          <w:b/>
        </w:rPr>
        <w:t xml:space="preserve"> cuatro de agosto de dos mil veintidós, </w:t>
      </w:r>
      <w:r w:rsidRPr="007775A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presentara su informe justificado.</w:t>
      </w:r>
    </w:p>
    <w:p w:rsidR="00836EA1" w:rsidRPr="007775A4" w:rsidRDefault="00FE6669">
      <w:pPr>
        <w:widowControl w:val="0"/>
        <w:spacing w:before="240" w:after="240" w:line="360" w:lineRule="auto"/>
        <w:jc w:val="both"/>
        <w:rPr>
          <w:rFonts w:ascii="Palatino Linotype" w:eastAsia="Palatino Linotype" w:hAnsi="Palatino Linotype" w:cs="Palatino Linotype"/>
          <w:sz w:val="22"/>
          <w:szCs w:val="22"/>
        </w:rPr>
      </w:pPr>
      <w:r w:rsidRPr="007775A4">
        <w:rPr>
          <w:rFonts w:ascii="Palatino Linotype" w:eastAsia="Palatino Linotype" w:hAnsi="Palatino Linotype" w:cs="Palatino Linotype"/>
          <w:b/>
        </w:rPr>
        <w:t>6. Manifestaciones</w:t>
      </w:r>
      <w:r w:rsidRPr="007775A4">
        <w:rPr>
          <w:rFonts w:ascii="Palatino Linotype" w:eastAsia="Palatino Linotype" w:hAnsi="Palatino Linotype" w:cs="Palatino Linotype"/>
        </w:rPr>
        <w:t>.</w:t>
      </w:r>
      <w:r w:rsidRPr="007775A4">
        <w:rPr>
          <w:rFonts w:ascii="Palatino Linotype" w:eastAsia="Palatino Linotype" w:hAnsi="Palatino Linotype" w:cs="Palatino Linotype"/>
          <w:sz w:val="28"/>
          <w:szCs w:val="28"/>
        </w:rPr>
        <w:t xml:space="preserve"> </w:t>
      </w:r>
      <w:r w:rsidRPr="007775A4">
        <w:rPr>
          <w:rFonts w:ascii="Palatino Linotype" w:eastAsia="Palatino Linotype" w:hAnsi="Palatino Linotype" w:cs="Palatino Linotype"/>
        </w:rPr>
        <w:t xml:space="preserve">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rindió su informe justificado, mediante el archivo electrónico “</w:t>
      </w:r>
      <w:r w:rsidRPr="007775A4">
        <w:rPr>
          <w:rFonts w:ascii="Palatino Linotype" w:eastAsia="Palatino Linotype" w:hAnsi="Palatino Linotype" w:cs="Palatino Linotype"/>
          <w:b/>
          <w:i/>
        </w:rPr>
        <w:t xml:space="preserve">informe.pdf”, </w:t>
      </w:r>
      <w:r w:rsidRPr="007775A4">
        <w:rPr>
          <w:rFonts w:ascii="Palatino Linotype" w:eastAsia="Palatino Linotype" w:hAnsi="Palatino Linotype" w:cs="Palatino Linotype"/>
        </w:rPr>
        <w:t>en el cual se aprecia una tabla que atiende los planteamientos del particular, sin embargo, no se puso a la vista del particular por</w:t>
      </w:r>
      <w:r w:rsidR="008A2273" w:rsidRPr="007775A4">
        <w:rPr>
          <w:rFonts w:ascii="Palatino Linotype" w:eastAsia="Palatino Linotype" w:hAnsi="Palatino Linotype" w:cs="Palatino Linotype"/>
        </w:rPr>
        <w:t>que se dejó visible el nombre de un técnico operativo de la Comisaría de Seguridad Pública Municipal</w:t>
      </w:r>
      <w:r w:rsidRPr="007775A4">
        <w:rPr>
          <w:rFonts w:ascii="Palatino Linotype" w:eastAsia="Palatino Linotype" w:hAnsi="Palatino Linotype" w:cs="Palatino Linotype"/>
        </w:rPr>
        <w:t xml:space="preserve">, asimismo por cuanto hace al particular, se advierte que no emitió manifestaciones o alegatos que a su derecho convinieran, por lo tanto, se tiene por </w:t>
      </w:r>
      <w:proofErr w:type="spellStart"/>
      <w:r w:rsidRPr="007775A4">
        <w:rPr>
          <w:rFonts w:ascii="Palatino Linotype" w:eastAsia="Palatino Linotype" w:hAnsi="Palatino Linotype" w:cs="Palatino Linotype"/>
        </w:rPr>
        <w:t>precluido</w:t>
      </w:r>
      <w:proofErr w:type="spellEnd"/>
      <w:r w:rsidRPr="007775A4">
        <w:rPr>
          <w:rFonts w:ascii="Palatino Linotype" w:eastAsia="Palatino Linotype" w:hAnsi="Palatino Linotype" w:cs="Palatino Linotype"/>
        </w:rPr>
        <w:t xml:space="preserve"> su derecho para tal efecto.</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noProof/>
          <w:lang w:val="es-MX"/>
        </w:rPr>
        <w:drawing>
          <wp:inline distT="0" distB="0" distL="0" distR="0">
            <wp:extent cx="5612130" cy="1577975"/>
            <wp:effectExtent l="19050" t="19050" r="26670" b="22225"/>
            <wp:docPr id="3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612130" cy="1577975"/>
                    </a:xfrm>
                    <a:prstGeom prst="rect">
                      <a:avLst/>
                    </a:prstGeom>
                    <a:ln>
                      <a:solidFill>
                        <a:schemeClr val="tx1"/>
                      </a:solidFill>
                    </a:ln>
                  </pic:spPr>
                </pic:pic>
              </a:graphicData>
            </a:graphic>
          </wp:inline>
        </w:drawing>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lastRenderedPageBreak/>
        <w:t xml:space="preserve">7. Ampliación de plazo. </w:t>
      </w:r>
      <w:r w:rsidRPr="007775A4">
        <w:rPr>
          <w:rFonts w:ascii="Palatino Linotype" w:eastAsia="Palatino Linotype" w:hAnsi="Palatino Linotype" w:cs="Palatino Linotype"/>
        </w:rPr>
        <w:t xml:space="preserve">El </w:t>
      </w:r>
      <w:r w:rsidRPr="007775A4">
        <w:rPr>
          <w:rFonts w:ascii="Palatino Linotype" w:eastAsia="Palatino Linotype" w:hAnsi="Palatino Linotype" w:cs="Palatino Linotype"/>
          <w:b/>
        </w:rPr>
        <w:t>quince de diciembre de dos mil veintidós</w:t>
      </w:r>
      <w:r w:rsidRPr="007775A4">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w:t>
      </w:r>
      <w:r w:rsidR="0016587C" w:rsidRPr="007775A4">
        <w:rPr>
          <w:rFonts w:ascii="Palatino Linotype" w:eastAsia="Palatino Linotype" w:hAnsi="Palatino Linotype" w:cs="Palatino Linotype"/>
        </w:rPr>
        <w:t>ación con los recibidos el año dos mil veintiuno</w:t>
      </w:r>
      <w:r w:rsidRPr="007775A4">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836EA1" w:rsidRPr="007775A4" w:rsidRDefault="00FE6669">
      <w:pPr>
        <w:numPr>
          <w:ilvl w:val="0"/>
          <w:numId w:val="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7775A4">
        <w:rPr>
          <w:rFonts w:ascii="Palatino Linotype" w:eastAsia="Palatino Linotype" w:hAnsi="Palatino Linotype" w:cs="Palatino Linotype"/>
          <w:b/>
        </w:rPr>
        <w:t>Complejidad del Asunto:</w:t>
      </w:r>
      <w:r w:rsidRPr="007775A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836EA1" w:rsidRPr="007775A4" w:rsidRDefault="00FE6669">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7775A4">
        <w:rPr>
          <w:rFonts w:ascii="Palatino Linotype" w:eastAsia="Palatino Linotype" w:hAnsi="Palatino Linotype" w:cs="Palatino Linotype"/>
          <w:b/>
        </w:rPr>
        <w:t>Actividad Procesal del interesado:</w:t>
      </w:r>
      <w:r w:rsidRPr="007775A4">
        <w:rPr>
          <w:rFonts w:ascii="Palatino Linotype" w:eastAsia="Palatino Linotype" w:hAnsi="Palatino Linotype" w:cs="Palatino Linotype"/>
        </w:rPr>
        <w:t xml:space="preserve"> Acciones u omisiones del interesado.</w:t>
      </w:r>
    </w:p>
    <w:p w:rsidR="00836EA1" w:rsidRPr="007775A4" w:rsidRDefault="00FE6669">
      <w:pPr>
        <w:numPr>
          <w:ilvl w:val="0"/>
          <w:numId w:val="1"/>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7775A4">
        <w:rPr>
          <w:rFonts w:ascii="Palatino Linotype" w:eastAsia="Palatino Linotype" w:hAnsi="Palatino Linotype" w:cs="Palatino Linotype"/>
          <w:b/>
        </w:rPr>
        <w:t>Conducta de la Autoridad:</w:t>
      </w:r>
      <w:r w:rsidRPr="007775A4">
        <w:rPr>
          <w:rFonts w:ascii="Palatino Linotype" w:eastAsia="Palatino Linotype" w:hAnsi="Palatino Linotype" w:cs="Palatino Linotype"/>
        </w:rPr>
        <w:t xml:space="preserve"> Las Acciones u omisiones realizadas en el procedimiento. Así como si la autoridad actuó con la debida diligencia.</w:t>
      </w:r>
    </w:p>
    <w:p w:rsidR="00836EA1" w:rsidRPr="007775A4" w:rsidRDefault="00FE6669">
      <w:pPr>
        <w:spacing w:before="240" w:after="240" w:line="360" w:lineRule="auto"/>
        <w:ind w:left="567" w:right="1183" w:hanging="283"/>
        <w:jc w:val="both"/>
        <w:rPr>
          <w:rFonts w:ascii="Palatino Linotype" w:eastAsia="Palatino Linotype" w:hAnsi="Palatino Linotype" w:cs="Palatino Linotype"/>
        </w:rPr>
      </w:pPr>
      <w:r w:rsidRPr="007775A4">
        <w:rPr>
          <w:rFonts w:ascii="Palatino Linotype" w:eastAsia="Palatino Linotype" w:hAnsi="Palatino Linotype" w:cs="Palatino Linotype"/>
          <w:b/>
        </w:rPr>
        <w:t>d) La afectación generada en la situación jurídica de la persona involucrada en el proceso:</w:t>
      </w:r>
      <w:r w:rsidRPr="007775A4">
        <w:rPr>
          <w:rFonts w:ascii="Palatino Linotype" w:eastAsia="Palatino Linotype" w:hAnsi="Palatino Linotype" w:cs="Palatino Linotype"/>
        </w:rPr>
        <w:t xml:space="preserve"> Violación a sus derechos humanos.</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7775A4">
        <w:rPr>
          <w:rFonts w:ascii="Palatino Linotype" w:eastAsia="Palatino Linotype" w:hAnsi="Palatino Linotype" w:cs="Palatino Linotype"/>
        </w:rPr>
        <w:lastRenderedPageBreak/>
        <w:t>relación con la actuación del funcionario, como ha acontecido en el caso que nos ocupa.</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Argumento que encuentra sustento en la jurisprudencia P</w:t>
      </w:r>
      <w:proofErr w:type="gramStart"/>
      <w:r w:rsidRPr="007775A4">
        <w:rPr>
          <w:rFonts w:ascii="Palatino Linotype" w:eastAsia="Palatino Linotype" w:hAnsi="Palatino Linotype" w:cs="Palatino Linotype"/>
        </w:rPr>
        <w:t>./</w:t>
      </w:r>
      <w:proofErr w:type="gramEnd"/>
      <w:r w:rsidRPr="007775A4">
        <w:rPr>
          <w:rFonts w:ascii="Palatino Linotype" w:eastAsia="Palatino Linotype" w:hAnsi="Palatino Linotype" w:cs="Palatino Linotype"/>
        </w:rPr>
        <w:t xml:space="preserve">J. 32/92 emitida por el Pleno de la Suprema Corte de Justicia de la Nación de rubro </w:t>
      </w:r>
      <w:r w:rsidRPr="007775A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775A4">
        <w:rPr>
          <w:rFonts w:ascii="Palatino Linotype" w:eastAsia="Palatino Linotype" w:hAnsi="Palatino Linotype" w:cs="Palatino Linotype"/>
        </w:rPr>
        <w:t>, visible en la Gaceta del Seminario Judicial de la Federación con el registro digital 205635.</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lastRenderedPageBreak/>
        <w:t> </w:t>
      </w:r>
      <w:r w:rsidRPr="007775A4">
        <w:rPr>
          <w:rFonts w:ascii="Palatino Linotype" w:eastAsia="Palatino Linotype" w:hAnsi="Palatino Linotype" w:cs="Palatino Linotype"/>
          <w:i/>
        </w:rPr>
        <w:t>“PLAZO RAZONABLE PARA RESOLVER. DIMENSIÓN Y EFECTOS DE ESTE CONCEPTO CUANDO SE ADUCE EXCESIVA CARGA DE TRABAJO.”</w:t>
      </w:r>
      <w:r w:rsidRPr="007775A4">
        <w:rPr>
          <w:rFonts w:ascii="Palatino Linotype" w:eastAsia="Palatino Linotype" w:hAnsi="Palatino Linotype" w:cs="Palatino Linotype"/>
        </w:rPr>
        <w:t xml:space="preserve"> consultable en el Seminario Judicial de la Federación y su gaceta, con el registro digital 2002351.</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i/>
        </w:rPr>
        <w:t>“PLAZO RAZONABLE PARA RESOLVER. CONCEPTO Y ELEMENTOS QUE LO INTEGRAN A LA LUZ DEL DERECHO INTERNACIONAL DE LOS DERECHOS HUMANOS.”</w:t>
      </w:r>
      <w:r w:rsidRPr="007775A4">
        <w:rPr>
          <w:rFonts w:ascii="Palatino Linotype" w:eastAsia="Palatino Linotype" w:hAnsi="Palatino Linotype" w:cs="Palatino Linotype"/>
        </w:rPr>
        <w:t>, visible en el Seminario Judicial de la Federación y su gaceta, con el registro digital 2002350.</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 xml:space="preserve">8. Cierre de instrucción. </w:t>
      </w:r>
      <w:r w:rsidRPr="007775A4">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9519BA" w:rsidRPr="007775A4">
        <w:rPr>
          <w:rFonts w:ascii="Palatino Linotype" w:eastAsia="Palatino Linotype" w:hAnsi="Palatino Linotype" w:cs="Palatino Linotype"/>
          <w:b/>
        </w:rPr>
        <w:t>nueve de febrero</w:t>
      </w:r>
      <w:r w:rsidRPr="007775A4">
        <w:rPr>
          <w:rFonts w:ascii="Palatino Linotype" w:eastAsia="Palatino Linotype" w:hAnsi="Palatino Linotype" w:cs="Palatino Linotype"/>
          <w:b/>
        </w:rPr>
        <w:t xml:space="preserve"> </w:t>
      </w:r>
      <w:r w:rsidR="009519BA" w:rsidRPr="007775A4">
        <w:rPr>
          <w:rFonts w:ascii="Palatino Linotype" w:eastAsia="Palatino Linotype" w:hAnsi="Palatino Linotype" w:cs="Palatino Linotype"/>
          <w:b/>
        </w:rPr>
        <w:t>de dos mil veintitré</w:t>
      </w:r>
      <w:r w:rsidRPr="007775A4">
        <w:rPr>
          <w:rFonts w:ascii="Palatino Linotype" w:eastAsia="Palatino Linotype" w:hAnsi="Palatino Linotype" w:cs="Palatino Linotype"/>
          <w:b/>
        </w:rPr>
        <w:t>s</w:t>
      </w:r>
      <w:r w:rsidRPr="007775A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rsidR="00836EA1" w:rsidRPr="007775A4" w:rsidRDefault="00FE6669">
      <w:pPr>
        <w:widowControl w:val="0"/>
        <w:spacing w:before="240" w:after="240" w:line="360" w:lineRule="auto"/>
        <w:jc w:val="center"/>
        <w:rPr>
          <w:rFonts w:ascii="Palatino Linotype" w:eastAsia="Palatino Linotype" w:hAnsi="Palatino Linotype" w:cs="Palatino Linotype"/>
          <w:b/>
        </w:rPr>
      </w:pPr>
      <w:r w:rsidRPr="007775A4">
        <w:rPr>
          <w:rFonts w:ascii="Palatino Linotype" w:eastAsia="Palatino Linotype" w:hAnsi="Palatino Linotype" w:cs="Palatino Linotype"/>
          <w:b/>
        </w:rPr>
        <w:t>II. C O N S I D E R A N D O</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Primero. Competencia.</w:t>
      </w:r>
      <w:r w:rsidRPr="007775A4">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7775A4">
        <w:rPr>
          <w:rFonts w:ascii="Palatino Linotype" w:eastAsia="Palatino Linotype" w:hAnsi="Palatino Linotype" w:cs="Palatino Linotype"/>
        </w:rPr>
        <w:lastRenderedPageBreak/>
        <w:t xml:space="preserve">competente para conocer y resolver el presente recurso de revisión interpuesto por </w:t>
      </w:r>
      <w:r w:rsidRPr="007775A4">
        <w:rPr>
          <w:rFonts w:ascii="Palatino Linotype" w:eastAsia="Palatino Linotype" w:hAnsi="Palatino Linotype" w:cs="Palatino Linotype"/>
          <w:b/>
        </w:rPr>
        <w:t>la parte Recurrente</w:t>
      </w:r>
      <w:r w:rsidRPr="007775A4">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36EA1" w:rsidRPr="007775A4" w:rsidRDefault="00FE6669">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7775A4">
        <w:rPr>
          <w:rFonts w:ascii="Palatino Linotype" w:eastAsia="Palatino Linotype" w:hAnsi="Palatino Linotype" w:cs="Palatino Linotype"/>
          <w:b/>
        </w:rPr>
        <w:t xml:space="preserve">Segundo. Oportunidad y </w:t>
      </w:r>
      <w:proofErr w:type="spellStart"/>
      <w:r w:rsidRPr="007775A4">
        <w:rPr>
          <w:rFonts w:ascii="Palatino Linotype" w:eastAsia="Palatino Linotype" w:hAnsi="Palatino Linotype" w:cs="Palatino Linotype"/>
          <w:b/>
        </w:rPr>
        <w:t>Procedibilidad</w:t>
      </w:r>
      <w:proofErr w:type="spellEnd"/>
      <w:r w:rsidRPr="007775A4">
        <w:rPr>
          <w:rFonts w:ascii="Palatino Linotype" w:eastAsia="Palatino Linotype" w:hAnsi="Palatino Linotype" w:cs="Palatino Linotype"/>
          <w:b/>
        </w:rPr>
        <w:t xml:space="preserve"> del Recurso de Revisión</w:t>
      </w:r>
      <w:r w:rsidRPr="007775A4">
        <w:rPr>
          <w:rFonts w:ascii="Palatino Linotype" w:eastAsia="Palatino Linotype" w:hAnsi="Palatino Linotype" w:cs="Palatino Linotype"/>
        </w:rPr>
        <w:t xml:space="preserve">. Previo al estudio del fondo del asunto, se procede a analizar los requisitos de oportunidad y </w:t>
      </w:r>
      <w:proofErr w:type="spellStart"/>
      <w:r w:rsidRPr="007775A4">
        <w:rPr>
          <w:rFonts w:ascii="Palatino Linotype" w:eastAsia="Palatino Linotype" w:hAnsi="Palatino Linotype" w:cs="Palatino Linotype"/>
        </w:rPr>
        <w:t>procedibilidad</w:t>
      </w:r>
      <w:proofErr w:type="spellEnd"/>
      <w:r w:rsidRPr="007775A4">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respondió a la solicitud de información el </w:t>
      </w:r>
      <w:r w:rsidRPr="007775A4">
        <w:rPr>
          <w:rFonts w:ascii="Palatino Linotype" w:eastAsia="Palatino Linotype" w:hAnsi="Palatino Linotype" w:cs="Palatino Linotype"/>
          <w:b/>
        </w:rPr>
        <w:t xml:space="preserve">trece de julio de dos mil veintidós, </w:t>
      </w:r>
      <w:r w:rsidRPr="007775A4">
        <w:rPr>
          <w:rFonts w:ascii="Palatino Linotype" w:eastAsia="Palatino Linotype" w:hAnsi="Palatino Linotype" w:cs="Palatino Linotype"/>
        </w:rPr>
        <w:t xml:space="preserve">mientras que el recurso de revisión se interpuso el </w:t>
      </w:r>
      <w:r w:rsidR="008A2273" w:rsidRPr="007775A4">
        <w:rPr>
          <w:rFonts w:ascii="Palatino Linotype" w:eastAsia="Palatino Linotype" w:hAnsi="Palatino Linotype" w:cs="Palatino Linotype"/>
          <w:b/>
        </w:rPr>
        <w:t>primero de agosto</w:t>
      </w:r>
      <w:r w:rsidRPr="007775A4">
        <w:rPr>
          <w:rFonts w:ascii="Palatino Linotype" w:eastAsia="Palatino Linotype" w:hAnsi="Palatino Linotype" w:cs="Palatino Linotype"/>
          <w:b/>
        </w:rPr>
        <w:t xml:space="preserve"> de dos mil veintidós</w:t>
      </w:r>
      <w:r w:rsidRPr="007775A4">
        <w:rPr>
          <w:rFonts w:ascii="Palatino Linotype" w:eastAsia="Palatino Linotype" w:hAnsi="Palatino Linotype" w:cs="Palatino Linotype"/>
        </w:rPr>
        <w:t xml:space="preserve">, esto es, el </w:t>
      </w:r>
      <w:r w:rsidRPr="007775A4">
        <w:rPr>
          <w:rFonts w:ascii="Palatino Linotype" w:eastAsia="Palatino Linotype" w:hAnsi="Palatino Linotype" w:cs="Palatino Linotype"/>
          <w:b/>
        </w:rPr>
        <w:t>tercer día hábil</w:t>
      </w:r>
      <w:r w:rsidRPr="007775A4">
        <w:rPr>
          <w:rFonts w:ascii="Palatino Linotype" w:eastAsia="Palatino Linotype" w:hAnsi="Palatino Linotype" w:cs="Palatino Linotype"/>
        </w:rPr>
        <w:t xml:space="preserve"> posterior en que tuvo conocimiento de la respuesta impugnada.</w:t>
      </w:r>
    </w:p>
    <w:p w:rsidR="00836EA1" w:rsidRPr="007775A4" w:rsidRDefault="00FE666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lastRenderedPageBreak/>
        <w:t xml:space="preserve">Asimismo, por cuanto hace a la </w:t>
      </w:r>
      <w:proofErr w:type="spellStart"/>
      <w:r w:rsidRPr="007775A4">
        <w:rPr>
          <w:rFonts w:ascii="Palatino Linotype" w:eastAsia="Palatino Linotype" w:hAnsi="Palatino Linotype" w:cs="Palatino Linotype"/>
        </w:rPr>
        <w:t>procedibilidad</w:t>
      </w:r>
      <w:proofErr w:type="spellEnd"/>
      <w:r w:rsidRPr="007775A4">
        <w:rPr>
          <w:rFonts w:ascii="Palatino Linotype" w:eastAsia="Palatino Linotype" w:hAnsi="Palatino Linotype" w:cs="Palatino Linotype"/>
        </w:rPr>
        <w:t xml:space="preserve"> del  recurso de revisión, es de suma importancia señalar que </w:t>
      </w:r>
      <w:r w:rsidRPr="007775A4">
        <w:rPr>
          <w:rFonts w:ascii="Palatino Linotype" w:eastAsia="Palatino Linotype" w:hAnsi="Palatino Linotype" w:cs="Palatino Linotype"/>
          <w:b/>
        </w:rPr>
        <w:t>la parte Recurrente</w:t>
      </w:r>
      <w:r w:rsidRPr="007775A4">
        <w:rPr>
          <w:rFonts w:ascii="Palatino Linotype" w:eastAsia="Palatino Linotype" w:hAnsi="Palatino Linotype" w:cs="Palatino Linotype"/>
        </w:rPr>
        <w:t xml:space="preserve"> omitió señalar nombre con el que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36EA1" w:rsidRPr="007775A4" w:rsidRDefault="00FE666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rsidR="00836EA1" w:rsidRPr="007775A4" w:rsidRDefault="00FE6669">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Artículo 179.</w:t>
      </w:r>
      <w:r w:rsidRPr="007775A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836EA1" w:rsidRPr="007775A4" w:rsidRDefault="00FE6669">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V. La entrega de información incompleta;</w:t>
      </w:r>
    </w:p>
    <w:p w:rsidR="00836EA1" w:rsidRPr="007775A4" w:rsidRDefault="00FE6669">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w:t>
      </w:r>
      <w:r w:rsidRPr="007775A4">
        <w:rPr>
          <w:rFonts w:ascii="Palatino Linotype" w:eastAsia="Palatino Linotype" w:hAnsi="Palatino Linotype" w:cs="Palatino Linotype"/>
          <w:i/>
          <w:sz w:val="22"/>
          <w:szCs w:val="22"/>
        </w:rPr>
        <w:t>”</w:t>
      </w:r>
    </w:p>
    <w:p w:rsidR="00836EA1" w:rsidRPr="007775A4" w:rsidRDefault="00FE6669">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lastRenderedPageBreak/>
        <w:t>(Énfasis añadido)</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 xml:space="preserve">Tercero. Materia de la revisión. </w:t>
      </w:r>
      <w:r w:rsidRPr="007775A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775A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775A4">
        <w:rPr>
          <w:rFonts w:ascii="Palatino Linotype" w:eastAsia="Palatino Linotype" w:hAnsi="Palatino Linotype" w:cs="Palatino Linotype"/>
        </w:rPr>
        <w:t xml:space="preserve">del </w:t>
      </w:r>
      <w:r w:rsidRPr="007775A4">
        <w:rPr>
          <w:rFonts w:ascii="Palatino Linotype" w:eastAsia="Palatino Linotype" w:hAnsi="Palatino Linotype" w:cs="Palatino Linotype"/>
          <w:b/>
        </w:rPr>
        <w:t>Recurrente,</w:t>
      </w:r>
      <w:r w:rsidRPr="007775A4">
        <w:rPr>
          <w:rFonts w:ascii="Palatino Linotype" w:eastAsia="Palatino Linotype" w:hAnsi="Palatino Linotype" w:cs="Palatino Linotype"/>
        </w:rPr>
        <w:t xml:space="preserve"> o en su defecto, en caso de ser procedente, ordenar la entrega de información oportuna.</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b/>
        </w:rPr>
        <w:t xml:space="preserve">Cuarto. Estudio del asunto. </w:t>
      </w:r>
      <w:r w:rsidRPr="007775A4">
        <w:rPr>
          <w:rFonts w:ascii="Palatino Linotype" w:eastAsia="Palatino Linotype" w:hAnsi="Palatino Linotype" w:cs="Palatino Linotype"/>
        </w:rPr>
        <w:t xml:space="preserve">Antes de entrar al análisis de los pronunciamientos del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36EA1" w:rsidRPr="007775A4" w:rsidRDefault="00FE6669">
      <w:pPr>
        <w:pBdr>
          <w:top w:val="nil"/>
          <w:left w:val="nil"/>
          <w:bottom w:val="nil"/>
          <w:right w:val="nil"/>
          <w:between w:val="nil"/>
        </w:pBdr>
        <w:spacing w:before="240" w:after="240"/>
        <w:ind w:left="851" w:right="850"/>
        <w:jc w:val="both"/>
      </w:pPr>
      <w:r w:rsidRPr="007775A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775A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836EA1" w:rsidRPr="007775A4" w:rsidRDefault="00FE6669">
      <w:pPr>
        <w:pBdr>
          <w:top w:val="nil"/>
          <w:left w:val="nil"/>
          <w:bottom w:val="nil"/>
          <w:right w:val="nil"/>
          <w:between w:val="nil"/>
        </w:pBdr>
        <w:spacing w:before="240" w:after="240"/>
        <w:ind w:left="851" w:right="850"/>
        <w:jc w:val="both"/>
      </w:pPr>
      <w:r w:rsidRPr="007775A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836EA1" w:rsidRPr="007775A4" w:rsidRDefault="00FE6669">
      <w:pPr>
        <w:pBdr>
          <w:top w:val="nil"/>
          <w:left w:val="nil"/>
          <w:bottom w:val="nil"/>
          <w:right w:val="nil"/>
          <w:between w:val="nil"/>
        </w:pBdr>
        <w:spacing w:before="240" w:after="240"/>
        <w:ind w:left="851" w:right="850"/>
        <w:jc w:val="both"/>
      </w:pPr>
      <w:r w:rsidRPr="007775A4">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7775A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836EA1" w:rsidRPr="007775A4" w:rsidRDefault="00FE6669">
      <w:pPr>
        <w:pBdr>
          <w:top w:val="nil"/>
          <w:left w:val="nil"/>
          <w:bottom w:val="nil"/>
          <w:right w:val="nil"/>
          <w:between w:val="nil"/>
        </w:pBdr>
        <w:spacing w:before="240" w:after="240"/>
        <w:ind w:left="851" w:right="850"/>
        <w:jc w:val="both"/>
      </w:pPr>
      <w:r w:rsidRPr="007775A4">
        <w:rPr>
          <w:rFonts w:ascii="Palatino Linotype" w:eastAsia="Palatino Linotype" w:hAnsi="Palatino Linotype" w:cs="Palatino Linotype"/>
          <w:i/>
          <w:sz w:val="22"/>
          <w:szCs w:val="22"/>
        </w:rPr>
        <w:t>[…]</w:t>
      </w:r>
    </w:p>
    <w:p w:rsidR="00836EA1" w:rsidRPr="007775A4" w:rsidRDefault="00FE6669">
      <w:pPr>
        <w:pBdr>
          <w:top w:val="nil"/>
          <w:left w:val="nil"/>
          <w:bottom w:val="nil"/>
          <w:right w:val="nil"/>
          <w:between w:val="nil"/>
        </w:pBdr>
        <w:spacing w:before="240" w:after="240"/>
        <w:ind w:left="851" w:right="901"/>
        <w:jc w:val="both"/>
      </w:pPr>
      <w:r w:rsidRPr="007775A4">
        <w:rPr>
          <w:rFonts w:ascii="Palatino Linotype" w:eastAsia="Palatino Linotype" w:hAnsi="Palatino Linotype" w:cs="Palatino Linotype"/>
          <w:b/>
          <w:i/>
          <w:sz w:val="22"/>
          <w:szCs w:val="22"/>
        </w:rPr>
        <w:t>“Artículo 6o.</w:t>
      </w:r>
    </w:p>
    <w:p w:rsidR="00836EA1" w:rsidRPr="007775A4" w:rsidRDefault="00FE6669">
      <w:pPr>
        <w:pBdr>
          <w:top w:val="nil"/>
          <w:left w:val="nil"/>
          <w:bottom w:val="nil"/>
          <w:right w:val="nil"/>
          <w:between w:val="nil"/>
        </w:pBdr>
        <w:spacing w:before="240" w:after="240"/>
        <w:ind w:left="851" w:right="901"/>
        <w:jc w:val="both"/>
      </w:pPr>
      <w:r w:rsidRPr="007775A4">
        <w:rPr>
          <w:rFonts w:ascii="Palatino Linotype" w:eastAsia="Palatino Linotype" w:hAnsi="Palatino Linotype" w:cs="Palatino Linotype"/>
          <w:i/>
          <w:sz w:val="22"/>
          <w:szCs w:val="22"/>
        </w:rPr>
        <w:t>[...]</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b/>
          <w:i/>
          <w:sz w:val="22"/>
          <w:szCs w:val="22"/>
        </w:rPr>
        <w:t xml:space="preserve">A. Para el ejercicio del derecho de acceso a la información, la Federación y </w:t>
      </w:r>
      <w:r w:rsidRPr="007775A4">
        <w:rPr>
          <w:rFonts w:ascii="Palatino Linotype" w:eastAsia="Palatino Linotype" w:hAnsi="Palatino Linotype" w:cs="Palatino Linotype"/>
          <w:b/>
          <w:i/>
          <w:sz w:val="22"/>
          <w:szCs w:val="22"/>
          <w:u w:val="single"/>
        </w:rPr>
        <w:t>las entidades federativas</w:t>
      </w:r>
      <w:r w:rsidRPr="007775A4">
        <w:rPr>
          <w:rFonts w:ascii="Palatino Linotype" w:eastAsia="Palatino Linotype" w:hAnsi="Palatino Linotype" w:cs="Palatino Linotype"/>
          <w:b/>
          <w:i/>
          <w:sz w:val="22"/>
          <w:szCs w:val="22"/>
        </w:rPr>
        <w:t>,</w:t>
      </w:r>
      <w:r w:rsidRPr="007775A4">
        <w:rPr>
          <w:rFonts w:ascii="Palatino Linotype" w:eastAsia="Palatino Linotype" w:hAnsi="Palatino Linotype" w:cs="Palatino Linotype"/>
          <w:i/>
          <w:sz w:val="22"/>
          <w:szCs w:val="22"/>
        </w:rPr>
        <w:t xml:space="preserve"> en el ámbito de sus respectivas competencias, se regirán por los siguientes principios y bases:</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i/>
          <w:sz w:val="22"/>
          <w:szCs w:val="22"/>
        </w:rPr>
        <w:t> </w:t>
      </w:r>
      <w:r w:rsidRPr="007775A4">
        <w:rPr>
          <w:rFonts w:ascii="Palatino Linotype" w:eastAsia="Palatino Linotype" w:hAnsi="Palatino Linotype" w:cs="Palatino Linotype"/>
          <w:b/>
          <w:i/>
          <w:sz w:val="22"/>
          <w:szCs w:val="22"/>
        </w:rPr>
        <w:t xml:space="preserve">I. </w:t>
      </w:r>
      <w:r w:rsidRPr="007775A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775A4">
        <w:rPr>
          <w:rFonts w:ascii="Palatino Linotype" w:eastAsia="Palatino Linotype" w:hAnsi="Palatino Linotype" w:cs="Palatino Linotype"/>
          <w:i/>
          <w:sz w:val="22"/>
          <w:szCs w:val="22"/>
        </w:rPr>
        <w:t xml:space="preserve"> Ejecutivo, Legislativo </w:t>
      </w:r>
      <w:r w:rsidRPr="007775A4">
        <w:rPr>
          <w:rFonts w:ascii="Palatino Linotype" w:eastAsia="Palatino Linotype" w:hAnsi="Palatino Linotype" w:cs="Palatino Linotype"/>
          <w:b/>
          <w:i/>
          <w:sz w:val="22"/>
          <w:szCs w:val="22"/>
          <w:u w:val="single"/>
        </w:rPr>
        <w:t>y Judicial</w:t>
      </w:r>
      <w:r w:rsidRPr="007775A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775A4">
        <w:rPr>
          <w:rFonts w:ascii="Palatino Linotype" w:eastAsia="Palatino Linotype" w:hAnsi="Palatino Linotype" w:cs="Palatino Linotype"/>
          <w:b/>
          <w:i/>
          <w:sz w:val="22"/>
          <w:szCs w:val="22"/>
        </w:rPr>
        <w:t>es pública y sólo podrá ser reservada temporalmente por razones de interés público y seguridad nacional,</w:t>
      </w:r>
      <w:r w:rsidRPr="007775A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i/>
          <w:sz w:val="22"/>
          <w:szCs w:val="22"/>
        </w:rPr>
        <w:t> </w:t>
      </w:r>
      <w:r w:rsidRPr="007775A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i/>
          <w:sz w:val="22"/>
          <w:szCs w:val="22"/>
        </w:rPr>
        <w:t> </w:t>
      </w:r>
      <w:r w:rsidRPr="007775A4">
        <w:rPr>
          <w:rFonts w:ascii="Palatino Linotype" w:eastAsia="Palatino Linotype" w:hAnsi="Palatino Linotype" w:cs="Palatino Linotype"/>
          <w:b/>
          <w:i/>
          <w:sz w:val="22"/>
          <w:szCs w:val="22"/>
        </w:rPr>
        <w:t xml:space="preserve">III. </w:t>
      </w:r>
      <w:r w:rsidRPr="007775A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775A4">
        <w:rPr>
          <w:rFonts w:ascii="Palatino Linotype" w:eastAsia="Palatino Linotype" w:hAnsi="Palatino Linotype" w:cs="Palatino Linotype"/>
          <w:i/>
          <w:sz w:val="22"/>
          <w:szCs w:val="22"/>
        </w:rPr>
        <w:t xml:space="preserve"> a sus datos personales o a la rectificación de éstos.</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i/>
          <w:sz w:val="22"/>
          <w:szCs w:val="22"/>
        </w:rPr>
        <w:t> </w:t>
      </w:r>
      <w:r w:rsidRPr="007775A4">
        <w:rPr>
          <w:rFonts w:ascii="Palatino Linotype" w:eastAsia="Palatino Linotype" w:hAnsi="Palatino Linotype" w:cs="Palatino Linotype"/>
          <w:b/>
          <w:i/>
          <w:sz w:val="22"/>
          <w:szCs w:val="22"/>
        </w:rPr>
        <w:t xml:space="preserve">IV. </w:t>
      </w:r>
      <w:r w:rsidRPr="007775A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b/>
          <w:i/>
          <w:sz w:val="22"/>
          <w:szCs w:val="22"/>
        </w:rPr>
        <w:lastRenderedPageBreak/>
        <w:t xml:space="preserve">V. </w:t>
      </w:r>
      <w:r w:rsidRPr="007775A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i/>
          <w:sz w:val="22"/>
          <w:szCs w:val="22"/>
        </w:rPr>
        <w:t> </w:t>
      </w:r>
      <w:r w:rsidRPr="007775A4">
        <w:rPr>
          <w:rFonts w:ascii="Palatino Linotype" w:eastAsia="Palatino Linotype" w:hAnsi="Palatino Linotype" w:cs="Palatino Linotype"/>
          <w:b/>
          <w:i/>
          <w:sz w:val="22"/>
          <w:szCs w:val="22"/>
        </w:rPr>
        <w:t xml:space="preserve">VI. </w:t>
      </w:r>
      <w:r w:rsidRPr="007775A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836EA1" w:rsidRPr="007775A4" w:rsidRDefault="00FE6669">
      <w:pPr>
        <w:pBdr>
          <w:top w:val="nil"/>
          <w:left w:val="nil"/>
          <w:bottom w:val="nil"/>
          <w:right w:val="nil"/>
          <w:between w:val="nil"/>
        </w:pBdr>
        <w:spacing w:before="240" w:after="240"/>
        <w:ind w:left="851" w:right="851"/>
        <w:jc w:val="both"/>
      </w:pPr>
      <w:r w:rsidRPr="007775A4">
        <w:rPr>
          <w:rFonts w:ascii="Palatino Linotype" w:eastAsia="Palatino Linotype" w:hAnsi="Palatino Linotype" w:cs="Palatino Linotype"/>
          <w:i/>
          <w:sz w:val="22"/>
          <w:szCs w:val="22"/>
        </w:rPr>
        <w:t> </w:t>
      </w:r>
      <w:r w:rsidRPr="007775A4">
        <w:rPr>
          <w:rFonts w:ascii="Palatino Linotype" w:eastAsia="Palatino Linotype" w:hAnsi="Palatino Linotype" w:cs="Palatino Linotype"/>
          <w:b/>
          <w:i/>
          <w:sz w:val="22"/>
          <w:szCs w:val="22"/>
        </w:rPr>
        <w:t xml:space="preserve">VII. </w:t>
      </w:r>
      <w:r w:rsidRPr="007775A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36EA1" w:rsidRPr="007775A4" w:rsidRDefault="00FE6669">
      <w:pPr>
        <w:pBdr>
          <w:top w:val="nil"/>
          <w:left w:val="nil"/>
          <w:bottom w:val="nil"/>
          <w:right w:val="nil"/>
          <w:between w:val="nil"/>
        </w:pBdr>
        <w:spacing w:before="240" w:after="240"/>
        <w:ind w:left="709" w:right="760"/>
        <w:jc w:val="both"/>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Artículo 4</w:t>
      </w:r>
      <w:r w:rsidRPr="007775A4">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836EA1" w:rsidRPr="007775A4" w:rsidRDefault="00FE6669">
      <w:pPr>
        <w:pBdr>
          <w:top w:val="nil"/>
          <w:left w:val="nil"/>
          <w:bottom w:val="nil"/>
          <w:right w:val="nil"/>
          <w:between w:val="nil"/>
        </w:pBdr>
        <w:spacing w:before="240" w:after="240"/>
        <w:ind w:left="709" w:right="760"/>
        <w:jc w:val="both"/>
      </w:pPr>
      <w:r w:rsidRPr="007775A4">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7775A4">
        <w:rPr>
          <w:rFonts w:ascii="Palatino Linotype" w:eastAsia="Palatino Linotype" w:hAnsi="Palatino Linotype" w:cs="Palatino Linotype"/>
          <w:b/>
          <w:i/>
          <w:sz w:val="22"/>
          <w:szCs w:val="22"/>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rsidR="00836EA1" w:rsidRPr="007775A4" w:rsidRDefault="00FE6669">
      <w:pPr>
        <w:pBdr>
          <w:top w:val="nil"/>
          <w:left w:val="nil"/>
          <w:bottom w:val="nil"/>
          <w:right w:val="nil"/>
          <w:between w:val="nil"/>
        </w:pBdr>
        <w:spacing w:before="240" w:after="240"/>
        <w:ind w:left="709" w:right="760"/>
        <w:jc w:val="both"/>
      </w:pPr>
      <w:r w:rsidRPr="007775A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836EA1" w:rsidRPr="007775A4" w:rsidRDefault="00FE6669">
      <w:pPr>
        <w:pBdr>
          <w:top w:val="nil"/>
          <w:left w:val="nil"/>
          <w:bottom w:val="nil"/>
          <w:right w:val="nil"/>
          <w:between w:val="nil"/>
        </w:pBdr>
        <w:spacing w:before="240" w:after="240"/>
        <w:ind w:left="567" w:right="758"/>
        <w:jc w:val="both"/>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Artículo 12</w:t>
      </w:r>
      <w:r w:rsidRPr="007775A4">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836EA1" w:rsidRPr="007775A4" w:rsidRDefault="00FE6669">
      <w:pPr>
        <w:pBdr>
          <w:top w:val="nil"/>
          <w:left w:val="nil"/>
          <w:bottom w:val="nil"/>
          <w:right w:val="nil"/>
          <w:between w:val="nil"/>
        </w:pBdr>
        <w:spacing w:before="240" w:after="240"/>
        <w:ind w:left="567" w:right="758"/>
        <w:jc w:val="both"/>
      </w:pPr>
      <w:r w:rsidRPr="007775A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7775A4">
        <w:rPr>
          <w:rFonts w:ascii="Palatino Linotype" w:eastAsia="Palatino Linotype" w:hAnsi="Palatino Linotype" w:cs="Palatino Linotype"/>
          <w:b/>
        </w:rPr>
        <w:t xml:space="preserve"> </w:t>
      </w:r>
      <w:r w:rsidRPr="007775A4">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7775A4">
        <w:rPr>
          <w:rFonts w:ascii="Palatino Linotype" w:eastAsia="Palatino Linotype" w:hAnsi="Palatino Linotype" w:cs="Palatino Linotype"/>
          <w:i/>
        </w:rPr>
        <w:t>ad hoc</w:t>
      </w:r>
      <w:r w:rsidRPr="007775A4">
        <w:rPr>
          <w:rFonts w:ascii="Palatino Linotype" w:eastAsia="Palatino Linotype" w:hAnsi="Palatino Linotype" w:cs="Palatino Linotype"/>
        </w:rPr>
        <w:t xml:space="preserve">, para satisfacer el derecho de acceso a la información pública, como así lo establece el criterio 03/17 emitido por el Instituto </w:t>
      </w:r>
      <w:r w:rsidRPr="007775A4">
        <w:rPr>
          <w:rFonts w:ascii="Palatino Linotype" w:eastAsia="Palatino Linotype" w:hAnsi="Palatino Linotype" w:cs="Palatino Linotype"/>
        </w:rPr>
        <w:lastRenderedPageBreak/>
        <w:t>Nacional de Transparencia, Acceso a la Información Pública y Protección de Datos Personales, el cual señala lo siguiente:</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b/>
          <w:i/>
          <w:sz w:val="22"/>
          <w:szCs w:val="22"/>
        </w:rPr>
        <w:t>03/17</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b/>
          <w:i/>
          <w:sz w:val="22"/>
          <w:szCs w:val="22"/>
        </w:rPr>
        <w:t>“NO EXISTE OBLIGACIÓN DE ELABORAR DOCUMENTOS AD HOC PARA ATENDER LAS SOLICITUDES DE ACCESO A LA INFORMACIÓN.</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36EA1" w:rsidRPr="007775A4" w:rsidRDefault="00FE6669">
      <w:pPr>
        <w:pBdr>
          <w:top w:val="nil"/>
          <w:left w:val="nil"/>
          <w:bottom w:val="nil"/>
          <w:right w:val="nil"/>
          <w:between w:val="nil"/>
        </w:pBdr>
        <w:spacing w:before="240" w:after="240" w:line="360" w:lineRule="auto"/>
        <w:ind w:right="49"/>
        <w:jc w:val="both"/>
      </w:pPr>
      <w:r w:rsidRPr="007775A4">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7775A4">
        <w:rPr>
          <w:rFonts w:ascii="Palatino Linotype" w:eastAsia="Palatino Linotype" w:hAnsi="Palatino Linotype" w:cs="Palatino Linotype"/>
        </w:rPr>
        <w:lastRenderedPageBreak/>
        <w:t>Ley de Transparencia y Acceso a la Información Pública del Estado de México y Municipios.</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 xml:space="preserve">Artículo 3. </w:t>
      </w:r>
      <w:r w:rsidRPr="007775A4">
        <w:rPr>
          <w:rFonts w:ascii="Palatino Linotype" w:eastAsia="Palatino Linotype" w:hAnsi="Palatino Linotype" w:cs="Palatino Linotype"/>
          <w:i/>
          <w:sz w:val="22"/>
          <w:szCs w:val="22"/>
        </w:rPr>
        <w:t>Para los efectos de la presente Ley se entenderá por:</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i/>
          <w:sz w:val="22"/>
          <w:szCs w:val="22"/>
        </w:rPr>
        <w:t>…</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b/>
          <w:i/>
          <w:sz w:val="22"/>
          <w:szCs w:val="22"/>
        </w:rPr>
        <w:t>XI. Documento:</w:t>
      </w:r>
      <w:r w:rsidRPr="007775A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775A4">
        <w:rPr>
          <w:rFonts w:ascii="Palatino Linotype" w:eastAsia="Palatino Linotype" w:hAnsi="Palatino Linotype" w:cs="Palatino Linotype"/>
          <w:b/>
          <w:i/>
          <w:sz w:val="22"/>
          <w:szCs w:val="22"/>
        </w:rPr>
        <w:t>…</w:t>
      </w:r>
      <w:r w:rsidRPr="007775A4">
        <w:rPr>
          <w:rFonts w:ascii="Palatino Linotype" w:eastAsia="Palatino Linotype" w:hAnsi="Palatino Linotype" w:cs="Palatino Linotype"/>
          <w:i/>
          <w:sz w:val="22"/>
          <w:szCs w:val="22"/>
        </w:rPr>
        <w:t>” (Sic)</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b/>
          <w:sz w:val="22"/>
          <w:szCs w:val="22"/>
        </w:rPr>
        <w:lastRenderedPageBreak/>
        <w:t>“</w:t>
      </w:r>
      <w:r w:rsidRPr="007775A4">
        <w:rPr>
          <w:rFonts w:ascii="Palatino Linotype" w:eastAsia="Palatino Linotype" w:hAnsi="Palatino Linotype" w:cs="Palatino Linotype"/>
          <w:b/>
          <w:i/>
          <w:sz w:val="22"/>
          <w:szCs w:val="22"/>
        </w:rPr>
        <w:t>CRITERIO 0002-11</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775A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36EA1" w:rsidRPr="007775A4" w:rsidRDefault="00FE6669">
      <w:pPr>
        <w:pBdr>
          <w:top w:val="nil"/>
          <w:left w:val="nil"/>
          <w:bottom w:val="nil"/>
          <w:right w:val="nil"/>
          <w:between w:val="nil"/>
        </w:pBdr>
        <w:spacing w:before="240" w:after="240"/>
        <w:ind w:left="567" w:right="567"/>
        <w:jc w:val="both"/>
      </w:pPr>
      <w:r w:rsidRPr="007775A4">
        <w:rPr>
          <w:rFonts w:ascii="Palatino Linotype" w:eastAsia="Palatino Linotype" w:hAnsi="Palatino Linotype" w:cs="Palatino Linotype"/>
          <w:i/>
          <w:sz w:val="22"/>
          <w:szCs w:val="22"/>
        </w:rPr>
        <w:t>En consecuencia el acceso a la información se refiere a que se cumplan cualquiera de los siguientes tres supuestos:</w:t>
      </w:r>
    </w:p>
    <w:p w:rsidR="00836EA1" w:rsidRPr="007775A4" w:rsidRDefault="00FE6669">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836EA1" w:rsidRPr="007775A4" w:rsidRDefault="00FE6669">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836EA1" w:rsidRPr="007775A4" w:rsidRDefault="00FE6669">
      <w:pPr>
        <w:pBdr>
          <w:top w:val="nil"/>
          <w:left w:val="nil"/>
          <w:bottom w:val="nil"/>
          <w:right w:val="nil"/>
          <w:between w:val="nil"/>
        </w:pBdr>
        <w:spacing w:before="240" w:after="240"/>
        <w:ind w:left="567" w:right="567" w:hanging="284"/>
        <w:jc w:val="both"/>
      </w:pPr>
      <w:r w:rsidRPr="007775A4">
        <w:rPr>
          <w:rFonts w:ascii="Palatino Linotype" w:eastAsia="Palatino Linotype" w:hAnsi="Palatino Linotype" w:cs="Palatino Linotype"/>
          <w:i/>
          <w:sz w:val="22"/>
          <w:szCs w:val="22"/>
        </w:rPr>
        <w:t xml:space="preserve">3. </w:t>
      </w:r>
      <w:r w:rsidRPr="007775A4">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836EA1" w:rsidRPr="007775A4" w:rsidRDefault="00FE6669">
      <w:pPr>
        <w:pBdr>
          <w:top w:val="nil"/>
          <w:left w:val="nil"/>
          <w:bottom w:val="nil"/>
          <w:right w:val="nil"/>
          <w:between w:val="nil"/>
        </w:pBdr>
        <w:spacing w:before="240" w:after="240" w:line="360" w:lineRule="auto"/>
        <w:jc w:val="both"/>
      </w:pPr>
      <w:r w:rsidRPr="007775A4">
        <w:rPr>
          <w:rFonts w:ascii="Palatino Linotype" w:eastAsia="Palatino Linotype" w:hAnsi="Palatino Linotype" w:cs="Palatino Linotype"/>
        </w:rPr>
        <w:t xml:space="preserve">De ahí que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836EA1" w:rsidRPr="007775A4" w:rsidRDefault="00FE666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le proporcionara lo siguiente:</w:t>
      </w:r>
    </w:p>
    <w:p w:rsidR="00836EA1" w:rsidRPr="007775A4" w:rsidRDefault="00FE6669">
      <w:pPr>
        <w:numPr>
          <w:ilvl w:val="0"/>
          <w:numId w:val="3"/>
        </w:numPr>
        <w:pBdr>
          <w:top w:val="nil"/>
          <w:left w:val="nil"/>
          <w:bottom w:val="nil"/>
          <w:right w:val="nil"/>
          <w:between w:val="nil"/>
        </w:pBdr>
        <w:spacing w:before="240" w:line="360" w:lineRule="auto"/>
        <w:ind w:right="900"/>
        <w:jc w:val="both"/>
        <w:rPr>
          <w:rFonts w:ascii="Palatino Linotype" w:eastAsia="Palatino Linotype" w:hAnsi="Palatino Linotype" w:cs="Palatino Linotype"/>
          <w:b/>
          <w:sz w:val="22"/>
          <w:szCs w:val="22"/>
        </w:rPr>
      </w:pPr>
      <w:r w:rsidRPr="007775A4">
        <w:rPr>
          <w:rFonts w:ascii="Palatino Linotype" w:eastAsia="Palatino Linotype" w:hAnsi="Palatino Linotype" w:cs="Palatino Linotype"/>
          <w:b/>
          <w:sz w:val="22"/>
          <w:szCs w:val="22"/>
        </w:rPr>
        <w:t xml:space="preserve">¿Existe y se opera un Comisión de Honor y Justicia de los cuerpos de Seguridad Pública? ¿Quiénes la integran? </w:t>
      </w:r>
      <w:proofErr w:type="spellStart"/>
      <w:r w:rsidRPr="007775A4">
        <w:rPr>
          <w:rFonts w:ascii="Palatino Linotype" w:eastAsia="Palatino Linotype" w:hAnsi="Palatino Linotype" w:cs="Palatino Linotype"/>
          <w:b/>
          <w:sz w:val="22"/>
          <w:szCs w:val="22"/>
        </w:rPr>
        <w:t>Numero</w:t>
      </w:r>
      <w:proofErr w:type="spellEnd"/>
      <w:r w:rsidRPr="007775A4">
        <w:rPr>
          <w:rFonts w:ascii="Palatino Linotype" w:eastAsia="Palatino Linotype" w:hAnsi="Palatino Linotype" w:cs="Palatino Linotype"/>
          <w:b/>
          <w:sz w:val="22"/>
          <w:szCs w:val="22"/>
        </w:rPr>
        <w:t xml:space="preserve">, Nombres, cargos y sueldos y fecha de última sesión </w:t>
      </w:r>
    </w:p>
    <w:p w:rsidR="00836EA1" w:rsidRPr="007775A4" w:rsidRDefault="00FE6669">
      <w:pPr>
        <w:numPr>
          <w:ilvl w:val="0"/>
          <w:numId w:val="3"/>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rPr>
      </w:pPr>
      <w:r w:rsidRPr="007775A4">
        <w:rPr>
          <w:rFonts w:ascii="Palatino Linotype" w:eastAsia="Palatino Linotype" w:hAnsi="Palatino Linotype" w:cs="Palatino Linotype"/>
          <w:b/>
          <w:sz w:val="22"/>
          <w:szCs w:val="22"/>
        </w:rPr>
        <w:t xml:space="preserve">¿Se cuenta con indicadores de medición y seguimiento del personal de policía municipal con participación de instancias ciudadanas? </w:t>
      </w:r>
    </w:p>
    <w:p w:rsidR="00836EA1" w:rsidRPr="007775A4" w:rsidRDefault="00FE6669">
      <w:pPr>
        <w:numPr>
          <w:ilvl w:val="0"/>
          <w:numId w:val="3"/>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rPr>
      </w:pPr>
      <w:r w:rsidRPr="007775A4">
        <w:rPr>
          <w:rFonts w:ascii="Palatino Linotype" w:eastAsia="Palatino Linotype" w:hAnsi="Palatino Linotype" w:cs="Palatino Linotype"/>
          <w:b/>
          <w:sz w:val="22"/>
          <w:szCs w:val="22"/>
        </w:rPr>
        <w:t xml:space="preserve">¿El municipio ha gestionado la incorporación de sus elementos de seguridad a la licencia colectiva para la portación de armamento? </w:t>
      </w:r>
    </w:p>
    <w:p w:rsidR="00836EA1" w:rsidRPr="007775A4" w:rsidRDefault="00FE6669">
      <w:pPr>
        <w:numPr>
          <w:ilvl w:val="0"/>
          <w:numId w:val="3"/>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rPr>
      </w:pPr>
      <w:r w:rsidRPr="007775A4">
        <w:rPr>
          <w:rFonts w:ascii="Palatino Linotype" w:eastAsia="Palatino Linotype" w:hAnsi="Palatino Linotype" w:cs="Palatino Linotype"/>
          <w:b/>
          <w:sz w:val="22"/>
          <w:szCs w:val="22"/>
        </w:rPr>
        <w:t xml:space="preserve">¿Se cuenta con la información referente a la incidencia de delitos y de faltas administrativas? Favor de anexar información desde enero 2022 a la fecha de recepción de la presente </w:t>
      </w:r>
    </w:p>
    <w:p w:rsidR="00836EA1" w:rsidRPr="007775A4" w:rsidRDefault="00FE6669">
      <w:pPr>
        <w:numPr>
          <w:ilvl w:val="0"/>
          <w:numId w:val="3"/>
        </w:numPr>
        <w:pBdr>
          <w:top w:val="nil"/>
          <w:left w:val="nil"/>
          <w:bottom w:val="nil"/>
          <w:right w:val="nil"/>
          <w:between w:val="nil"/>
        </w:pBdr>
        <w:spacing w:line="360" w:lineRule="auto"/>
        <w:ind w:right="900"/>
        <w:jc w:val="both"/>
        <w:rPr>
          <w:rFonts w:ascii="Palatino Linotype" w:eastAsia="Palatino Linotype" w:hAnsi="Palatino Linotype" w:cs="Palatino Linotype"/>
          <w:b/>
          <w:sz w:val="22"/>
          <w:szCs w:val="22"/>
        </w:rPr>
      </w:pPr>
      <w:r w:rsidRPr="007775A4">
        <w:rPr>
          <w:rFonts w:ascii="Palatino Linotype" w:eastAsia="Palatino Linotype" w:hAnsi="Palatino Linotype" w:cs="Palatino Linotype"/>
          <w:b/>
          <w:sz w:val="22"/>
          <w:szCs w:val="22"/>
        </w:rPr>
        <w:t xml:space="preserve">¿Se operan programas para la prevención de conductas antisociales? </w:t>
      </w:r>
    </w:p>
    <w:p w:rsidR="00836EA1" w:rsidRPr="007775A4" w:rsidRDefault="00FE6669">
      <w:pPr>
        <w:numPr>
          <w:ilvl w:val="0"/>
          <w:numId w:val="3"/>
        </w:numPr>
        <w:pBdr>
          <w:top w:val="nil"/>
          <w:left w:val="nil"/>
          <w:bottom w:val="nil"/>
          <w:right w:val="nil"/>
          <w:between w:val="nil"/>
        </w:pBdr>
        <w:spacing w:after="240" w:line="360" w:lineRule="auto"/>
        <w:ind w:right="900"/>
        <w:jc w:val="both"/>
        <w:rPr>
          <w:rFonts w:ascii="Palatino Linotype" w:eastAsia="Palatino Linotype" w:hAnsi="Palatino Linotype" w:cs="Palatino Linotype"/>
          <w:b/>
          <w:sz w:val="22"/>
          <w:szCs w:val="22"/>
        </w:rPr>
      </w:pPr>
      <w:r w:rsidRPr="007775A4">
        <w:rPr>
          <w:rFonts w:ascii="Palatino Linotype" w:eastAsia="Palatino Linotype" w:hAnsi="Palatino Linotype" w:cs="Palatino Linotype"/>
          <w:b/>
          <w:sz w:val="22"/>
          <w:szCs w:val="22"/>
        </w:rPr>
        <w:t>¿Se tiene coordinación interinstitucional con otros órdenes de gobierno en materia de seguridad pública y de qué forma?</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En respuesta,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remitió el soporte documental denominado </w:t>
      </w:r>
      <w:r w:rsidRPr="007775A4">
        <w:rPr>
          <w:rFonts w:ascii="Palatino Linotype" w:eastAsia="Palatino Linotype" w:hAnsi="Palatino Linotype" w:cs="Palatino Linotype"/>
          <w:b/>
          <w:i/>
        </w:rPr>
        <w:t>“Respuesta a solicitud 00070.pdf”</w:t>
      </w:r>
      <w:r w:rsidRPr="007775A4">
        <w:rPr>
          <w:rFonts w:ascii="Palatino Linotype" w:eastAsia="Palatino Linotype" w:hAnsi="Palatino Linotype" w:cs="Palatino Linotype"/>
        </w:rPr>
        <w:t>, en el cual se aprecia el oficio SPMVA/627/VII/2022, signado por el Director de Seguridad Pública Municipal, mediante el cual otorga respuesta a los planteamientos realizados por el particular.</w:t>
      </w:r>
    </w:p>
    <w:p w:rsidR="00836EA1" w:rsidRPr="007775A4" w:rsidRDefault="00FE6669">
      <w:pPr>
        <w:spacing w:before="240" w:after="240" w:line="360" w:lineRule="auto"/>
        <w:ind w:right="49"/>
        <w:jc w:val="both"/>
        <w:rPr>
          <w:rFonts w:ascii="Palatino Linotype" w:eastAsia="Palatino Linotype" w:hAnsi="Palatino Linotype" w:cs="Palatino Linotype"/>
          <w:i/>
        </w:rPr>
      </w:pPr>
      <w:r w:rsidRPr="007775A4">
        <w:rPr>
          <w:rFonts w:ascii="Palatino Linotype" w:eastAsia="Palatino Linotype" w:hAnsi="Palatino Linotype" w:cs="Palatino Linotype"/>
        </w:rPr>
        <w:t xml:space="preserve">Una vez conocida la respuesta, el particular interpuso el medio de impugnación que nos ocupa, expresando en sus razones o motivos de inconformidad, lo siguiente: </w:t>
      </w:r>
      <w:r w:rsidRPr="007775A4">
        <w:rPr>
          <w:rFonts w:ascii="Palatino Linotype" w:eastAsia="Palatino Linotype" w:hAnsi="Palatino Linotype" w:cs="Palatino Linotype"/>
          <w:i/>
        </w:rPr>
        <w:t>“</w:t>
      </w:r>
      <w:r w:rsidRPr="007775A4">
        <w:rPr>
          <w:rFonts w:ascii="Palatino Linotype" w:eastAsia="Palatino Linotype" w:hAnsi="Palatino Linotype" w:cs="Palatino Linotype"/>
          <w:b/>
          <w:i/>
        </w:rPr>
        <w:t>No entregaron la totalidad de la información</w:t>
      </w:r>
      <w:r w:rsidRPr="007775A4">
        <w:rPr>
          <w:rFonts w:ascii="Palatino Linotype" w:eastAsia="Palatino Linotype" w:hAnsi="Palatino Linotype" w:cs="Palatino Linotype"/>
          <w:i/>
        </w:rPr>
        <w:t>” (Sic) (Énfasis añadido)</w:t>
      </w:r>
    </w:p>
    <w:p w:rsidR="008A2273" w:rsidRPr="007775A4" w:rsidRDefault="00FE6669">
      <w:pPr>
        <w:spacing w:before="240" w:after="240" w:line="360" w:lineRule="auto"/>
        <w:ind w:right="49"/>
        <w:jc w:val="both"/>
        <w:rPr>
          <w:rFonts w:ascii="Palatino Linotype" w:eastAsia="Palatino Linotype" w:hAnsi="Palatino Linotype" w:cs="Palatino Linotype"/>
          <w:b/>
        </w:rPr>
      </w:pPr>
      <w:r w:rsidRPr="007775A4">
        <w:rPr>
          <w:rFonts w:ascii="Palatino Linotype" w:eastAsia="Palatino Linotype" w:hAnsi="Palatino Linotype" w:cs="Palatino Linotype"/>
        </w:rPr>
        <w:lastRenderedPageBreak/>
        <w:t>Una vez admitido el recurso de revisión al rubro citado, se vislumbra que el Sujeto Obligado remitió su informe justificado, esto mediante el documento “</w:t>
      </w:r>
      <w:r w:rsidRPr="007775A4">
        <w:rPr>
          <w:rFonts w:ascii="Palatino Linotype" w:eastAsia="Palatino Linotype" w:hAnsi="Palatino Linotype" w:cs="Palatino Linotype"/>
          <w:b/>
          <w:i/>
        </w:rPr>
        <w:t xml:space="preserve">informe.pdf”, </w:t>
      </w:r>
      <w:r w:rsidRPr="007775A4">
        <w:rPr>
          <w:rFonts w:ascii="Palatino Linotype" w:eastAsia="Palatino Linotype" w:hAnsi="Palatino Linotype" w:cs="Palatino Linotype"/>
        </w:rPr>
        <w:t>en el cual se aprecia una tabla que atiende los planteamientos del particular, sin embargo, se reitera que no fue puesto a disp</w:t>
      </w:r>
      <w:r w:rsidR="008A2273" w:rsidRPr="007775A4">
        <w:rPr>
          <w:rFonts w:ascii="Palatino Linotype" w:eastAsia="Palatino Linotype" w:hAnsi="Palatino Linotype" w:cs="Palatino Linotype"/>
        </w:rPr>
        <w:t>osición de la parte Recurrente por las razones previamente señaladas.</w:t>
      </w:r>
      <w:r w:rsidR="008A2273" w:rsidRPr="007775A4">
        <w:rPr>
          <w:rFonts w:ascii="Palatino Linotype" w:eastAsia="Palatino Linotype" w:hAnsi="Palatino Linotype" w:cs="Palatino Linotype"/>
          <w:b/>
        </w:rPr>
        <w:t xml:space="preserve"> </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Expuestas las posturas de las partes, conviene esquematizar las constancias que obran en el expediente electrónico para determinar si se atendieron los requerimientos de información de </w:t>
      </w:r>
      <w:r w:rsidRPr="007775A4">
        <w:rPr>
          <w:rFonts w:ascii="Palatino Linotype" w:eastAsia="Palatino Linotype" w:hAnsi="Palatino Linotype" w:cs="Palatino Linotype"/>
          <w:b/>
        </w:rPr>
        <w:t>la parte Recurrente</w:t>
      </w:r>
      <w:r w:rsidRPr="007775A4">
        <w:rPr>
          <w:rFonts w:ascii="Palatino Linotype" w:eastAsia="Palatino Linotype" w:hAnsi="Palatino Linotype" w:cs="Palatino Linotype"/>
        </w:rPr>
        <w:t xml:space="preserve"> y de ser el caso, proceder a su análisis de manera pormenorizada: </w:t>
      </w:r>
    </w:p>
    <w:tbl>
      <w:tblPr>
        <w:tblStyle w:val="ac"/>
        <w:tblW w:w="88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4285"/>
        <w:gridCol w:w="2217"/>
      </w:tblGrid>
      <w:tr w:rsidR="0060612D" w:rsidRPr="007775A4" w:rsidTr="008A2273">
        <w:tc>
          <w:tcPr>
            <w:tcW w:w="2326" w:type="dxa"/>
            <w:shd w:val="clear" w:color="auto" w:fill="CC6600"/>
          </w:tcPr>
          <w:p w:rsidR="00836EA1" w:rsidRPr="007775A4" w:rsidRDefault="00FE6669">
            <w:pPr>
              <w:spacing w:before="240" w:after="240" w:line="276" w:lineRule="auto"/>
              <w:ind w:right="49"/>
              <w:jc w:val="center"/>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t>Requerimiento de información</w:t>
            </w:r>
          </w:p>
        </w:tc>
        <w:tc>
          <w:tcPr>
            <w:tcW w:w="4285" w:type="dxa"/>
            <w:shd w:val="clear" w:color="auto" w:fill="CC6600"/>
          </w:tcPr>
          <w:p w:rsidR="00836EA1" w:rsidRPr="007775A4" w:rsidRDefault="00FE6669">
            <w:pPr>
              <w:spacing w:before="240" w:after="240" w:line="276" w:lineRule="auto"/>
              <w:ind w:right="49"/>
              <w:jc w:val="center"/>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t>Respuesta / Informe Justificado</w:t>
            </w:r>
          </w:p>
        </w:tc>
        <w:tc>
          <w:tcPr>
            <w:tcW w:w="2217" w:type="dxa"/>
            <w:shd w:val="clear" w:color="auto" w:fill="CC6600"/>
          </w:tcPr>
          <w:p w:rsidR="00836EA1" w:rsidRPr="007775A4" w:rsidRDefault="00FE6669">
            <w:pPr>
              <w:spacing w:before="240" w:after="240" w:line="276" w:lineRule="auto"/>
              <w:ind w:right="49"/>
              <w:jc w:val="center"/>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t>¿Colma?</w:t>
            </w:r>
          </w:p>
        </w:tc>
      </w:tr>
      <w:tr w:rsidR="0060612D" w:rsidRPr="007775A4">
        <w:tc>
          <w:tcPr>
            <w:tcW w:w="2326" w:type="dxa"/>
          </w:tcPr>
          <w:p w:rsidR="00836EA1" w:rsidRPr="007775A4" w:rsidRDefault="00FE6669">
            <w:pPr>
              <w:spacing w:before="240" w:after="240" w:line="276" w:lineRule="auto"/>
              <w:ind w:right="49"/>
              <w:jc w:val="both"/>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t xml:space="preserve">¿Existe y se opera un Comisión de Honor y Justicia de los cuerpos de Seguridad Pública? ¿Quiénes la integran? </w:t>
            </w:r>
            <w:r w:rsidR="004A5B0A" w:rsidRPr="007775A4">
              <w:rPr>
                <w:rFonts w:ascii="Palatino Linotype" w:eastAsia="Palatino Linotype" w:hAnsi="Palatino Linotype" w:cs="Palatino Linotype"/>
                <w:b/>
                <w:sz w:val="20"/>
                <w:szCs w:val="20"/>
              </w:rPr>
              <w:t>Número</w:t>
            </w:r>
            <w:r w:rsidRPr="007775A4">
              <w:rPr>
                <w:rFonts w:ascii="Palatino Linotype" w:eastAsia="Palatino Linotype" w:hAnsi="Palatino Linotype" w:cs="Palatino Linotype"/>
                <w:b/>
                <w:sz w:val="20"/>
                <w:szCs w:val="20"/>
              </w:rPr>
              <w:t xml:space="preserve">, Nombres, cargos y sueldos y fecha de última sesión </w:t>
            </w:r>
          </w:p>
        </w:tc>
        <w:tc>
          <w:tcPr>
            <w:tcW w:w="4285" w:type="dxa"/>
          </w:tcPr>
          <w:p w:rsidR="00836EA1" w:rsidRPr="007775A4" w:rsidRDefault="00FE6669">
            <w:pPr>
              <w:spacing w:before="240" w:after="240" w:line="276" w:lineRule="auto"/>
              <w:ind w:right="49"/>
              <w:jc w:val="both"/>
              <w:rPr>
                <w:rFonts w:ascii="Palatino Linotype" w:eastAsia="Palatino Linotype" w:hAnsi="Palatino Linotype" w:cs="Palatino Linotype"/>
                <w:sz w:val="20"/>
                <w:szCs w:val="20"/>
              </w:rPr>
            </w:pPr>
            <w:r w:rsidRPr="007775A4">
              <w:rPr>
                <w:rFonts w:ascii="Palatino Linotype" w:eastAsia="Palatino Linotype" w:hAnsi="Palatino Linotype" w:cs="Palatino Linotype"/>
                <w:b/>
                <w:sz w:val="20"/>
                <w:szCs w:val="20"/>
              </w:rPr>
              <w:t xml:space="preserve">Director de Seguridad Municipal: Respuesta: </w:t>
            </w:r>
            <w:r w:rsidRPr="007775A4">
              <w:rPr>
                <w:rFonts w:ascii="Palatino Linotype" w:eastAsia="Palatino Linotype" w:hAnsi="Palatino Linotype" w:cs="Palatino Linotype"/>
                <w:sz w:val="20"/>
                <w:szCs w:val="20"/>
              </w:rPr>
              <w:t>Si, existe la Comisión de Honor y Justicia del Cuerpo de Seguridad Pública del Municipio de Villa de Allende.</w:t>
            </w:r>
          </w:p>
          <w:p w:rsidR="00836EA1" w:rsidRPr="007775A4" w:rsidRDefault="00FE6669">
            <w:pPr>
              <w:spacing w:before="240" w:after="240" w:line="276" w:lineRule="auto"/>
              <w:ind w:right="49"/>
              <w:jc w:val="both"/>
              <w:rPr>
                <w:rFonts w:ascii="Palatino Linotype" w:eastAsia="Palatino Linotype" w:hAnsi="Palatino Linotype" w:cs="Palatino Linotype"/>
                <w:sz w:val="20"/>
                <w:szCs w:val="20"/>
              </w:rPr>
            </w:pPr>
            <w:r w:rsidRPr="007775A4">
              <w:rPr>
                <w:rFonts w:ascii="Palatino Linotype" w:eastAsia="Palatino Linotype" w:hAnsi="Palatino Linotype" w:cs="Palatino Linotype"/>
                <w:sz w:val="20"/>
                <w:szCs w:val="20"/>
              </w:rPr>
              <w:t>La fecha de la última sesión fue el 29 de junio del año en curso, donde se informó si existían resoluciones emitidas por la comisión de honor y justicia.</w:t>
            </w:r>
          </w:p>
          <w:p w:rsidR="00836EA1" w:rsidRPr="007775A4" w:rsidRDefault="00FE6669">
            <w:pPr>
              <w:spacing w:before="240" w:after="240" w:line="276"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sz w:val="20"/>
                <w:szCs w:val="20"/>
              </w:rPr>
              <w:t xml:space="preserve">Respecto a la integración, la desglosó </w:t>
            </w:r>
            <w:r w:rsidR="009519BA" w:rsidRPr="007775A4">
              <w:rPr>
                <w:rFonts w:ascii="Palatino Linotype" w:eastAsia="Palatino Linotype" w:hAnsi="Palatino Linotype" w:cs="Palatino Linotype"/>
                <w:sz w:val="20"/>
                <w:szCs w:val="20"/>
              </w:rPr>
              <w:t xml:space="preserve">especificando cargo institucional, nombre y cargo en la Comisión. </w:t>
            </w:r>
          </w:p>
          <w:p w:rsidR="00836EA1" w:rsidRPr="007775A4" w:rsidRDefault="00FE6669" w:rsidP="008A2273">
            <w:pPr>
              <w:spacing w:before="240" w:after="240" w:line="276" w:lineRule="auto"/>
              <w:ind w:right="49"/>
              <w:jc w:val="both"/>
              <w:rPr>
                <w:rFonts w:ascii="Palatino Linotype" w:eastAsia="Palatino Linotype" w:hAnsi="Palatino Linotype" w:cs="Palatino Linotype"/>
                <w:b/>
              </w:rPr>
            </w:pPr>
            <w:r w:rsidRPr="007775A4">
              <w:rPr>
                <w:rFonts w:ascii="Palatino Linotype" w:eastAsia="Palatino Linotype" w:hAnsi="Palatino Linotype" w:cs="Palatino Linotype"/>
                <w:b/>
                <w:sz w:val="20"/>
                <w:szCs w:val="20"/>
              </w:rPr>
              <w:t>Informe Justificado:</w:t>
            </w:r>
            <w:r w:rsidRPr="007775A4">
              <w:rPr>
                <w:rFonts w:ascii="Palatino Linotype" w:eastAsia="Palatino Linotype" w:hAnsi="Palatino Linotype" w:cs="Palatino Linotype"/>
                <w:sz w:val="20"/>
                <w:szCs w:val="20"/>
              </w:rPr>
              <w:t xml:space="preserve"> Documento “</w:t>
            </w:r>
            <w:r w:rsidRPr="007775A4">
              <w:rPr>
                <w:rFonts w:ascii="Palatino Linotype" w:eastAsia="Palatino Linotype" w:hAnsi="Palatino Linotype" w:cs="Palatino Linotype"/>
                <w:b/>
                <w:i/>
                <w:sz w:val="20"/>
                <w:szCs w:val="20"/>
              </w:rPr>
              <w:t xml:space="preserve">informe.pdf”, </w:t>
            </w:r>
            <w:r w:rsidRPr="007775A4">
              <w:rPr>
                <w:rFonts w:ascii="Palatino Linotype" w:eastAsia="Palatino Linotype" w:hAnsi="Palatino Linotype" w:cs="Palatino Linotype"/>
                <w:sz w:val="20"/>
                <w:szCs w:val="20"/>
              </w:rPr>
              <w:t xml:space="preserve">en el cual se aprecia una tabla que manifiesta los sueldos brutos y netos, </w:t>
            </w:r>
            <w:r w:rsidR="008A2273" w:rsidRPr="007775A4">
              <w:rPr>
                <w:rFonts w:ascii="Palatino Linotype" w:eastAsia="Palatino Linotype" w:hAnsi="Palatino Linotype" w:cs="Palatino Linotype"/>
                <w:sz w:val="20"/>
                <w:szCs w:val="20"/>
              </w:rPr>
              <w:t xml:space="preserve">no </w:t>
            </w:r>
            <w:r w:rsidR="008A2273" w:rsidRPr="007775A4">
              <w:rPr>
                <w:rFonts w:ascii="Palatino Linotype" w:eastAsia="Palatino Linotype" w:hAnsi="Palatino Linotype" w:cs="Palatino Linotype"/>
                <w:sz w:val="20"/>
                <w:szCs w:val="20"/>
              </w:rPr>
              <w:lastRenderedPageBreak/>
              <w:t>se puso a la vista por dejar visible información susceptible de considerarse como reservada.</w:t>
            </w:r>
          </w:p>
        </w:tc>
        <w:tc>
          <w:tcPr>
            <w:tcW w:w="2217" w:type="dxa"/>
          </w:tcPr>
          <w:p w:rsidR="00836EA1" w:rsidRPr="007775A4" w:rsidRDefault="00FE6669">
            <w:pPr>
              <w:spacing w:before="240" w:after="240" w:line="360" w:lineRule="auto"/>
              <w:ind w:right="49"/>
              <w:jc w:val="center"/>
              <w:rPr>
                <w:rFonts w:ascii="Palatino Linotype" w:eastAsia="Palatino Linotype" w:hAnsi="Palatino Linotype" w:cs="Palatino Linotype"/>
                <w:b/>
              </w:rPr>
            </w:pPr>
            <w:r w:rsidRPr="007775A4">
              <w:rPr>
                <w:rFonts w:ascii="Palatino Linotype" w:eastAsia="Palatino Linotype" w:hAnsi="Palatino Linotype" w:cs="Palatino Linotype"/>
                <w:b/>
              </w:rPr>
              <w:lastRenderedPageBreak/>
              <w:t>Parcialmente</w:t>
            </w:r>
          </w:p>
          <w:p w:rsidR="00836EA1" w:rsidRPr="007775A4" w:rsidRDefault="00FE6669">
            <w:pPr>
              <w:spacing w:before="240" w:after="240" w:line="276" w:lineRule="auto"/>
              <w:ind w:right="49"/>
              <w:jc w:val="center"/>
              <w:rPr>
                <w:rFonts w:ascii="Palatino Linotype" w:eastAsia="Palatino Linotype" w:hAnsi="Palatino Linotype" w:cs="Palatino Linotype"/>
                <w:b/>
              </w:rPr>
            </w:pPr>
            <w:r w:rsidRPr="007775A4">
              <w:rPr>
                <w:rFonts w:ascii="Palatino Linotype" w:eastAsia="Palatino Linotype" w:hAnsi="Palatino Linotype" w:cs="Palatino Linotype"/>
                <w:b/>
                <w:sz w:val="20"/>
                <w:szCs w:val="20"/>
              </w:rPr>
              <w:t xml:space="preserve">Observaciones: </w:t>
            </w:r>
            <w:r w:rsidRPr="007775A4">
              <w:rPr>
                <w:rFonts w:ascii="Palatino Linotype" w:eastAsia="Palatino Linotype" w:hAnsi="Palatino Linotype" w:cs="Palatino Linotype"/>
                <w:sz w:val="20"/>
                <w:szCs w:val="20"/>
              </w:rPr>
              <w:t>Faltan los sueldos de los integrantes</w:t>
            </w:r>
          </w:p>
        </w:tc>
      </w:tr>
      <w:tr w:rsidR="0060612D" w:rsidRPr="007775A4">
        <w:tc>
          <w:tcPr>
            <w:tcW w:w="2326" w:type="dxa"/>
          </w:tcPr>
          <w:p w:rsidR="00836EA1" w:rsidRPr="007775A4" w:rsidRDefault="00FE6669">
            <w:pPr>
              <w:spacing w:before="240" w:after="240" w:line="276" w:lineRule="auto"/>
              <w:ind w:right="49"/>
              <w:jc w:val="both"/>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lastRenderedPageBreak/>
              <w:t xml:space="preserve">¿Se cuenta con indicadores de medición y seguimiento del personal de policía municipal con participación de instancias ciudadanas? </w:t>
            </w:r>
          </w:p>
        </w:tc>
        <w:tc>
          <w:tcPr>
            <w:tcW w:w="4285" w:type="dxa"/>
          </w:tcPr>
          <w:p w:rsidR="00836EA1" w:rsidRPr="007775A4" w:rsidRDefault="00FE6669">
            <w:pPr>
              <w:spacing w:before="240" w:after="240" w:line="276" w:lineRule="auto"/>
              <w:ind w:right="49"/>
              <w:jc w:val="both"/>
              <w:rPr>
                <w:rFonts w:ascii="Palatino Linotype" w:eastAsia="Palatino Linotype" w:hAnsi="Palatino Linotype" w:cs="Palatino Linotype"/>
                <w:b/>
                <w:sz w:val="20"/>
                <w:szCs w:val="20"/>
              </w:rPr>
            </w:pPr>
            <w:r w:rsidRPr="007775A4">
              <w:rPr>
                <w:rFonts w:ascii="Palatino Linotype" w:eastAsia="Palatino Linotype" w:hAnsi="Palatino Linotype" w:cs="Palatino Linotype"/>
              </w:rPr>
              <w:t xml:space="preserve"> </w:t>
            </w:r>
            <w:r w:rsidRPr="007775A4">
              <w:rPr>
                <w:rFonts w:ascii="Palatino Linotype" w:eastAsia="Palatino Linotype" w:hAnsi="Palatino Linotype" w:cs="Palatino Linotype"/>
                <w:b/>
                <w:sz w:val="20"/>
                <w:szCs w:val="20"/>
              </w:rPr>
              <w:t xml:space="preserve">Director de Seguridad Municipal: </w:t>
            </w:r>
          </w:p>
          <w:p w:rsidR="00836EA1" w:rsidRPr="007775A4" w:rsidRDefault="00FE6669">
            <w:pPr>
              <w:spacing w:before="240" w:after="240" w:line="276"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sz w:val="20"/>
                <w:szCs w:val="20"/>
              </w:rPr>
              <w:t>No se cuenta con dichos indicadores en específico.</w:t>
            </w:r>
          </w:p>
        </w:tc>
        <w:tc>
          <w:tcPr>
            <w:tcW w:w="2217" w:type="dxa"/>
          </w:tcPr>
          <w:p w:rsidR="00836EA1" w:rsidRPr="007775A4" w:rsidRDefault="00BB63FE">
            <w:pPr>
              <w:spacing w:before="240" w:after="240" w:line="360" w:lineRule="auto"/>
              <w:ind w:right="49"/>
              <w:jc w:val="center"/>
              <w:rPr>
                <w:rFonts w:ascii="Palatino Linotype" w:eastAsia="Palatino Linotype" w:hAnsi="Palatino Linotype" w:cs="Palatino Linotype"/>
                <w:b/>
              </w:rPr>
            </w:pPr>
            <w:r w:rsidRPr="007775A4">
              <w:rPr>
                <w:rFonts w:ascii="Palatino Linotype" w:eastAsia="Palatino Linotype" w:hAnsi="Palatino Linotype" w:cs="Palatino Linotype"/>
                <w:b/>
              </w:rPr>
              <w:t>Sí</w:t>
            </w:r>
          </w:p>
        </w:tc>
      </w:tr>
      <w:tr w:rsidR="0060612D" w:rsidRPr="007775A4">
        <w:tc>
          <w:tcPr>
            <w:tcW w:w="2326" w:type="dxa"/>
          </w:tcPr>
          <w:p w:rsidR="00836EA1" w:rsidRPr="007775A4" w:rsidRDefault="00FE6669">
            <w:pPr>
              <w:spacing w:before="240" w:after="240" w:line="276" w:lineRule="auto"/>
              <w:ind w:right="49"/>
              <w:jc w:val="both"/>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t xml:space="preserve">¿El municipio ha gestionado la incorporación de sus elementos de seguridad a la licencia colectiva para la portación de armamento? </w:t>
            </w:r>
          </w:p>
        </w:tc>
        <w:tc>
          <w:tcPr>
            <w:tcW w:w="4285" w:type="dxa"/>
          </w:tcPr>
          <w:p w:rsidR="00836EA1" w:rsidRPr="007775A4" w:rsidRDefault="00FE6669">
            <w:pPr>
              <w:spacing w:before="240" w:after="240" w:line="276" w:lineRule="auto"/>
              <w:ind w:right="49"/>
              <w:jc w:val="both"/>
              <w:rPr>
                <w:rFonts w:ascii="Palatino Linotype" w:eastAsia="Palatino Linotype" w:hAnsi="Palatino Linotype" w:cs="Palatino Linotype"/>
                <w:sz w:val="20"/>
                <w:szCs w:val="20"/>
              </w:rPr>
            </w:pPr>
            <w:r w:rsidRPr="007775A4">
              <w:rPr>
                <w:rFonts w:ascii="Palatino Linotype" w:eastAsia="Palatino Linotype" w:hAnsi="Palatino Linotype" w:cs="Palatino Linotype"/>
                <w:b/>
                <w:sz w:val="20"/>
                <w:szCs w:val="20"/>
              </w:rPr>
              <w:t>Director de Seguridad Municipal:</w:t>
            </w:r>
            <w:r w:rsidRPr="007775A4">
              <w:rPr>
                <w:rFonts w:ascii="Palatino Linotype" w:eastAsia="Palatino Linotype" w:hAnsi="Palatino Linotype" w:cs="Palatino Linotype"/>
                <w:sz w:val="20"/>
                <w:szCs w:val="20"/>
              </w:rPr>
              <w:t xml:space="preserve"> El Municipio da puntual seguimiento a la Licencia Oficial Colectiva, posterior a la certificación del personal por el Centro de Control de Confianza.</w:t>
            </w:r>
          </w:p>
        </w:tc>
        <w:tc>
          <w:tcPr>
            <w:tcW w:w="2217" w:type="dxa"/>
          </w:tcPr>
          <w:p w:rsidR="00836EA1" w:rsidRPr="007775A4" w:rsidRDefault="00BB63FE">
            <w:pPr>
              <w:spacing w:before="240" w:after="240" w:line="360" w:lineRule="auto"/>
              <w:ind w:right="49"/>
              <w:jc w:val="center"/>
              <w:rPr>
                <w:rFonts w:ascii="Palatino Linotype" w:eastAsia="Palatino Linotype" w:hAnsi="Palatino Linotype" w:cs="Palatino Linotype"/>
                <w:b/>
              </w:rPr>
            </w:pPr>
            <w:r w:rsidRPr="007775A4">
              <w:rPr>
                <w:rFonts w:ascii="Palatino Linotype" w:eastAsia="Palatino Linotype" w:hAnsi="Palatino Linotype" w:cs="Palatino Linotype"/>
                <w:b/>
              </w:rPr>
              <w:t>Sí</w:t>
            </w:r>
          </w:p>
        </w:tc>
      </w:tr>
      <w:tr w:rsidR="0060612D" w:rsidRPr="007775A4">
        <w:tc>
          <w:tcPr>
            <w:tcW w:w="2326" w:type="dxa"/>
          </w:tcPr>
          <w:p w:rsidR="00836EA1" w:rsidRPr="007775A4" w:rsidRDefault="00FE6669">
            <w:pPr>
              <w:spacing w:before="240" w:after="240" w:line="276" w:lineRule="auto"/>
              <w:ind w:right="49"/>
              <w:jc w:val="both"/>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t xml:space="preserve">¿Se cuenta con la información referente a la incidencia de delitos y de faltas administrativas? Favor de anexar información desde enero 2022 a la fecha de recepción de la presente </w:t>
            </w:r>
          </w:p>
        </w:tc>
        <w:tc>
          <w:tcPr>
            <w:tcW w:w="4285" w:type="dxa"/>
          </w:tcPr>
          <w:p w:rsidR="00836EA1" w:rsidRPr="007775A4" w:rsidRDefault="00FE6669">
            <w:pPr>
              <w:spacing w:before="240" w:after="240" w:line="276"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b/>
                <w:sz w:val="20"/>
                <w:szCs w:val="20"/>
              </w:rPr>
              <w:t>Director de Seguridad Municipal</w:t>
            </w:r>
            <w:r w:rsidRPr="007775A4">
              <w:rPr>
                <w:rFonts w:ascii="Palatino Linotype" w:eastAsia="Palatino Linotype" w:hAnsi="Palatino Linotype" w:cs="Palatino Linotype"/>
                <w:sz w:val="20"/>
                <w:szCs w:val="20"/>
              </w:rPr>
              <w:t xml:space="preserve">: Existe la información solicitada del año 2022, sin embargo, le informo con fundamento en el artículo 140 fracción I y V de la Ley General de Transparencia y Acceso a la Información Pública del Estado de México y Municipios, los datos solicitados son considerados como información reservada. </w:t>
            </w:r>
          </w:p>
        </w:tc>
        <w:tc>
          <w:tcPr>
            <w:tcW w:w="2217" w:type="dxa"/>
          </w:tcPr>
          <w:p w:rsidR="00836EA1" w:rsidRPr="007775A4" w:rsidRDefault="00FE6669">
            <w:pPr>
              <w:spacing w:before="240" w:after="240" w:line="360" w:lineRule="auto"/>
              <w:ind w:right="49"/>
              <w:jc w:val="center"/>
              <w:rPr>
                <w:rFonts w:ascii="Palatino Linotype" w:eastAsia="Palatino Linotype" w:hAnsi="Palatino Linotype" w:cs="Palatino Linotype"/>
                <w:b/>
              </w:rPr>
            </w:pPr>
            <w:r w:rsidRPr="007775A4">
              <w:rPr>
                <w:rFonts w:ascii="Palatino Linotype" w:eastAsia="Palatino Linotype" w:hAnsi="Palatino Linotype" w:cs="Palatino Linotype"/>
                <w:b/>
              </w:rPr>
              <w:t>No</w:t>
            </w:r>
          </w:p>
        </w:tc>
      </w:tr>
      <w:tr w:rsidR="0060612D" w:rsidRPr="007775A4">
        <w:tc>
          <w:tcPr>
            <w:tcW w:w="2326" w:type="dxa"/>
          </w:tcPr>
          <w:p w:rsidR="00836EA1" w:rsidRPr="007775A4" w:rsidRDefault="00FE6669">
            <w:pPr>
              <w:spacing w:before="240" w:after="240" w:line="276" w:lineRule="auto"/>
              <w:ind w:right="49"/>
              <w:jc w:val="both"/>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t xml:space="preserve">¿Se operan programas para la prevención de </w:t>
            </w:r>
            <w:r w:rsidRPr="007775A4">
              <w:rPr>
                <w:rFonts w:ascii="Palatino Linotype" w:eastAsia="Palatino Linotype" w:hAnsi="Palatino Linotype" w:cs="Palatino Linotype"/>
                <w:b/>
                <w:sz w:val="20"/>
                <w:szCs w:val="20"/>
              </w:rPr>
              <w:lastRenderedPageBreak/>
              <w:t xml:space="preserve">conductas antisociales? </w:t>
            </w:r>
          </w:p>
        </w:tc>
        <w:tc>
          <w:tcPr>
            <w:tcW w:w="4285" w:type="dxa"/>
          </w:tcPr>
          <w:p w:rsidR="00836EA1" w:rsidRPr="007775A4" w:rsidRDefault="00FE6669">
            <w:pPr>
              <w:spacing w:before="240" w:after="240" w:line="276"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b/>
                <w:sz w:val="20"/>
                <w:szCs w:val="20"/>
              </w:rPr>
              <w:lastRenderedPageBreak/>
              <w:t>Director de Seguridad Municipal:</w:t>
            </w:r>
            <w:r w:rsidRPr="007775A4">
              <w:rPr>
                <w:rFonts w:ascii="Palatino Linotype" w:eastAsia="Palatino Linotype" w:hAnsi="Palatino Linotype" w:cs="Palatino Linotype"/>
                <w:sz w:val="20"/>
                <w:szCs w:val="20"/>
              </w:rPr>
              <w:t xml:space="preserve"> La Dirección de Seguridad Pública Municipal cuenta con el Programa Municipal de </w:t>
            </w:r>
            <w:r w:rsidRPr="007775A4">
              <w:rPr>
                <w:rFonts w:ascii="Palatino Linotype" w:eastAsia="Palatino Linotype" w:hAnsi="Palatino Linotype" w:cs="Palatino Linotype"/>
                <w:sz w:val="20"/>
                <w:szCs w:val="20"/>
              </w:rPr>
              <w:lastRenderedPageBreak/>
              <w:t>Prevención Social de la Violencia y la Delincuencia de Villa de Allende 2022-2024.</w:t>
            </w:r>
          </w:p>
        </w:tc>
        <w:tc>
          <w:tcPr>
            <w:tcW w:w="2217" w:type="dxa"/>
          </w:tcPr>
          <w:p w:rsidR="00836EA1" w:rsidRPr="007775A4" w:rsidRDefault="00BB63FE">
            <w:pPr>
              <w:spacing w:before="240" w:after="240" w:line="360" w:lineRule="auto"/>
              <w:ind w:right="49"/>
              <w:jc w:val="center"/>
              <w:rPr>
                <w:rFonts w:ascii="Palatino Linotype" w:eastAsia="Palatino Linotype" w:hAnsi="Palatino Linotype" w:cs="Palatino Linotype"/>
                <w:b/>
              </w:rPr>
            </w:pPr>
            <w:r w:rsidRPr="007775A4">
              <w:rPr>
                <w:rFonts w:ascii="Palatino Linotype" w:eastAsia="Palatino Linotype" w:hAnsi="Palatino Linotype" w:cs="Palatino Linotype"/>
                <w:b/>
              </w:rPr>
              <w:lastRenderedPageBreak/>
              <w:t>Sí</w:t>
            </w:r>
          </w:p>
        </w:tc>
      </w:tr>
      <w:tr w:rsidR="0060612D" w:rsidRPr="007775A4">
        <w:tc>
          <w:tcPr>
            <w:tcW w:w="2326" w:type="dxa"/>
          </w:tcPr>
          <w:p w:rsidR="00836EA1" w:rsidRPr="007775A4" w:rsidRDefault="00FE6669">
            <w:pPr>
              <w:spacing w:before="240" w:after="240" w:line="276" w:lineRule="auto"/>
              <w:ind w:right="49"/>
              <w:jc w:val="both"/>
              <w:rPr>
                <w:rFonts w:ascii="Palatino Linotype" w:eastAsia="Palatino Linotype" w:hAnsi="Palatino Linotype" w:cs="Palatino Linotype"/>
                <w:b/>
                <w:sz w:val="20"/>
                <w:szCs w:val="20"/>
              </w:rPr>
            </w:pPr>
            <w:r w:rsidRPr="007775A4">
              <w:rPr>
                <w:rFonts w:ascii="Palatino Linotype" w:eastAsia="Palatino Linotype" w:hAnsi="Palatino Linotype" w:cs="Palatino Linotype"/>
                <w:b/>
                <w:sz w:val="20"/>
                <w:szCs w:val="20"/>
              </w:rPr>
              <w:lastRenderedPageBreak/>
              <w:t>¿Se tiene coordinación interinstitucional con otros órdenes de gobierno en materia de seguridad pública y de qué forma?</w:t>
            </w:r>
          </w:p>
        </w:tc>
        <w:tc>
          <w:tcPr>
            <w:tcW w:w="4285" w:type="dxa"/>
          </w:tcPr>
          <w:p w:rsidR="00836EA1" w:rsidRPr="007775A4" w:rsidRDefault="00FE6669">
            <w:pPr>
              <w:spacing w:before="240" w:after="240" w:line="276" w:lineRule="auto"/>
              <w:ind w:right="49"/>
              <w:jc w:val="both"/>
              <w:rPr>
                <w:rFonts w:ascii="Palatino Linotype" w:eastAsia="Palatino Linotype" w:hAnsi="Palatino Linotype" w:cs="Palatino Linotype"/>
                <w:sz w:val="20"/>
                <w:szCs w:val="20"/>
              </w:rPr>
            </w:pPr>
            <w:r w:rsidRPr="007775A4">
              <w:rPr>
                <w:rFonts w:ascii="Palatino Linotype" w:eastAsia="Palatino Linotype" w:hAnsi="Palatino Linotype" w:cs="Palatino Linotype"/>
                <w:b/>
                <w:sz w:val="20"/>
                <w:szCs w:val="20"/>
              </w:rPr>
              <w:t>Director de Seguridad Municipal:</w:t>
            </w:r>
            <w:r w:rsidRPr="007775A4">
              <w:rPr>
                <w:rFonts w:ascii="Palatino Linotype" w:eastAsia="Palatino Linotype" w:hAnsi="Palatino Linotype" w:cs="Palatino Linotype"/>
                <w:sz w:val="20"/>
                <w:szCs w:val="20"/>
              </w:rPr>
              <w:t xml:space="preserve"> Se mantiene la coordinación territorial con los tres órdenes de gobierno en cuestión operativa y de prevención del delito.</w:t>
            </w:r>
          </w:p>
        </w:tc>
        <w:tc>
          <w:tcPr>
            <w:tcW w:w="2217" w:type="dxa"/>
          </w:tcPr>
          <w:p w:rsidR="00836EA1" w:rsidRPr="007775A4" w:rsidRDefault="00BB63FE">
            <w:pPr>
              <w:spacing w:before="240" w:after="240" w:line="360" w:lineRule="auto"/>
              <w:ind w:right="49"/>
              <w:jc w:val="center"/>
              <w:rPr>
                <w:rFonts w:ascii="Palatino Linotype" w:eastAsia="Palatino Linotype" w:hAnsi="Palatino Linotype" w:cs="Palatino Linotype"/>
                <w:b/>
              </w:rPr>
            </w:pPr>
            <w:r w:rsidRPr="007775A4">
              <w:rPr>
                <w:rFonts w:ascii="Palatino Linotype" w:eastAsia="Palatino Linotype" w:hAnsi="Palatino Linotype" w:cs="Palatino Linotype"/>
                <w:b/>
              </w:rPr>
              <w:t>Sí</w:t>
            </w:r>
          </w:p>
        </w:tc>
      </w:tr>
    </w:tbl>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Acotado lo anterior, se advierte que los motivos de inconformidad del particular devienen fundados, en razón de que efectivamente no se atendieron dos puntos en particular, por lo que procede su estudio de manera detallada. </w:t>
      </w:r>
    </w:p>
    <w:p w:rsidR="00836EA1" w:rsidRPr="007775A4" w:rsidRDefault="00FE6669">
      <w:pPr>
        <w:spacing w:before="240" w:after="240" w:line="360" w:lineRule="auto"/>
        <w:ind w:right="49"/>
        <w:jc w:val="both"/>
        <w:rPr>
          <w:rFonts w:ascii="Palatino Linotype" w:eastAsia="Palatino Linotype" w:hAnsi="Palatino Linotype" w:cs="Palatino Linotype"/>
          <w:b/>
        </w:rPr>
      </w:pPr>
      <w:r w:rsidRPr="007775A4">
        <w:rPr>
          <w:rFonts w:ascii="Palatino Linotype" w:eastAsia="Palatino Linotype" w:hAnsi="Palatino Linotype" w:cs="Palatino Linotype"/>
          <w:b/>
        </w:rPr>
        <w:t>1.- ¿Existe y se opera un</w:t>
      </w:r>
      <w:r w:rsidR="008A2273" w:rsidRPr="007775A4">
        <w:rPr>
          <w:rFonts w:ascii="Palatino Linotype" w:eastAsia="Palatino Linotype" w:hAnsi="Palatino Linotype" w:cs="Palatino Linotype"/>
          <w:b/>
        </w:rPr>
        <w:t>a</w:t>
      </w:r>
      <w:r w:rsidRPr="007775A4">
        <w:rPr>
          <w:rFonts w:ascii="Palatino Linotype" w:eastAsia="Palatino Linotype" w:hAnsi="Palatino Linotype" w:cs="Palatino Linotype"/>
          <w:b/>
        </w:rPr>
        <w:t xml:space="preserve"> Comisión de Honor y Justicia de los cuerpos de Seguridad Pública? ¿Quiénes la integran? </w:t>
      </w:r>
      <w:r w:rsidR="009C0FBF" w:rsidRPr="007775A4">
        <w:rPr>
          <w:rFonts w:ascii="Palatino Linotype" w:eastAsia="Palatino Linotype" w:hAnsi="Palatino Linotype" w:cs="Palatino Linotype"/>
          <w:b/>
        </w:rPr>
        <w:t>Número</w:t>
      </w:r>
      <w:r w:rsidRPr="007775A4">
        <w:rPr>
          <w:rFonts w:ascii="Palatino Linotype" w:eastAsia="Palatino Linotype" w:hAnsi="Palatino Linotype" w:cs="Palatino Linotype"/>
          <w:b/>
        </w:rPr>
        <w:t xml:space="preserve">, Nombres, cargos y sueldos y fecha de última sesión. </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Como se analizó en el cuadro insertado previamente, el único requerimiento que no fue atendido en su respuesta corresponde a los sueldos de los integrantes de la Comisión de Honor y Justicia, sin embargo, se aprecia que mediante informe justificado,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remitió un documento denominado </w:t>
      </w:r>
      <w:r w:rsidRPr="007775A4">
        <w:rPr>
          <w:rFonts w:ascii="Palatino Linotype" w:eastAsia="Palatino Linotype" w:hAnsi="Palatino Linotype" w:cs="Palatino Linotype"/>
          <w:b/>
          <w:i/>
        </w:rPr>
        <w:t xml:space="preserve">“informe.pdf”, </w:t>
      </w:r>
      <w:r w:rsidRPr="007775A4">
        <w:rPr>
          <w:rFonts w:ascii="Palatino Linotype" w:eastAsia="Palatino Linotype" w:hAnsi="Palatino Linotype" w:cs="Palatino Linotype"/>
        </w:rPr>
        <w:t xml:space="preserve">en el cual se aprecia para atender este punto, una tabla en la que se vislumbran, los sueldos brutos y netos de los integrantes de esta Comisión, sin embargo, es importante  reiterar que dicho archivo no fue puesto a disposición de </w:t>
      </w:r>
      <w:r w:rsidRPr="007775A4">
        <w:rPr>
          <w:rFonts w:ascii="Palatino Linotype" w:eastAsia="Palatino Linotype" w:hAnsi="Palatino Linotype" w:cs="Palatino Linotype"/>
          <w:b/>
        </w:rPr>
        <w:t>la parte Recurrente</w:t>
      </w:r>
      <w:r w:rsidRPr="007775A4">
        <w:rPr>
          <w:rFonts w:ascii="Palatino Linotype" w:eastAsia="Palatino Linotype" w:hAnsi="Palatino Linotype" w:cs="Palatino Linotype"/>
        </w:rPr>
        <w:t xml:space="preserve">, </w:t>
      </w:r>
      <w:r w:rsidR="00F55E75" w:rsidRPr="007775A4">
        <w:rPr>
          <w:rFonts w:ascii="Palatino Linotype" w:eastAsia="Palatino Linotype" w:hAnsi="Palatino Linotype" w:cs="Palatino Linotype"/>
        </w:rPr>
        <w:t xml:space="preserve">por las consideraciones previamente señaladas. </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lastRenderedPageBreak/>
        <w:t xml:space="preserve">Aunado a lo anterior, del análisis practicado a este documento, se advierte que el pronunciamiento de los sueldos fue referido por la Titular de la Unidad de Transparencia, es decir, no se aprecia un turno al servidor público habilitado competente para efecto de que se manifestara sobre el requerimiento de información. </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Bajo esta lógica, en efecto, se tiene que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se limitó únicamente a referir los montos de los sueldos brutos y netos, sin que se vislumbre un turno a las unidades administrativas </w:t>
      </w:r>
      <w:r w:rsidR="00D95090" w:rsidRPr="007775A4">
        <w:rPr>
          <w:rFonts w:ascii="Palatino Linotype" w:eastAsia="Palatino Linotype" w:hAnsi="Palatino Linotype" w:cs="Palatino Linotype"/>
        </w:rPr>
        <w:t xml:space="preserve">competentes, consecuentemente </w:t>
      </w:r>
      <w:r w:rsidRPr="007775A4">
        <w:rPr>
          <w:rFonts w:ascii="Palatino Linotype" w:eastAsia="Palatino Linotype" w:hAnsi="Palatino Linotype" w:cs="Palatino Linotype"/>
        </w:rPr>
        <w:t xml:space="preserve">no se satisfizo en su totalidad el derecho de acceso el derecho de acceso a la información pública del ahora </w:t>
      </w:r>
      <w:r w:rsidRPr="007775A4">
        <w:rPr>
          <w:rFonts w:ascii="Palatino Linotype" w:eastAsia="Palatino Linotype" w:hAnsi="Palatino Linotype" w:cs="Palatino Linotype"/>
          <w:b/>
        </w:rPr>
        <w:t>Recurrente</w:t>
      </w:r>
      <w:r w:rsidRPr="007775A4">
        <w:rPr>
          <w:rFonts w:ascii="Palatino Linotype" w:eastAsia="Palatino Linotype" w:hAnsi="Palatino Linotype" w:cs="Palatino Linotype"/>
        </w:rPr>
        <w:t xml:space="preserve">, toda vez que se incumplió con el principio de exhaustividad, en razón de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 </w:t>
      </w:r>
      <w:r w:rsidRPr="007775A4">
        <w:rPr>
          <w:rFonts w:ascii="Palatino Linotype" w:eastAsia="Palatino Linotype" w:hAnsi="Palatino Linotype" w:cs="Palatino Linotype"/>
          <w:b/>
        </w:rPr>
        <w:t>Dirección de Administración y a la Tesorería Municipal</w:t>
      </w:r>
      <w:r w:rsidRPr="007775A4">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rsidR="00836EA1" w:rsidRPr="007775A4" w:rsidRDefault="00FE6669">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w:t>
      </w:r>
      <w:r w:rsidRPr="007775A4">
        <w:rPr>
          <w:rFonts w:ascii="Palatino Linotype" w:eastAsia="Palatino Linotype" w:hAnsi="Palatino Linotype" w:cs="Palatino Linotype"/>
        </w:rPr>
        <w:lastRenderedPageBreak/>
        <w:t xml:space="preserve">notificaciones correspondientes, además de llevar a cabo todas las gestiones necesarias para facilitar el acceso de la información; </w:t>
      </w:r>
    </w:p>
    <w:p w:rsidR="00836EA1" w:rsidRPr="007775A4" w:rsidRDefault="00FE6669">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rsidR="00836EA1" w:rsidRPr="007775A4" w:rsidRDefault="00FE6669">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rsidR="00836EA1" w:rsidRPr="007775A4" w:rsidRDefault="00FE6669">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rsidR="00836EA1" w:rsidRPr="007775A4" w:rsidRDefault="00FE6669">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rsidR="00836EA1" w:rsidRPr="007775A4" w:rsidRDefault="00FE6669">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 Las Unidades de Transparencia, tendrán disponible la información requerida durante un plazo mínimo de sesenta días hábiles, contados a partir de que la solicitante hubiere realizado, en su caso, el pago respectivo, el cual deberá efectuarse </w:t>
      </w:r>
      <w:r w:rsidRPr="007775A4">
        <w:rPr>
          <w:rFonts w:ascii="Palatino Linotype" w:eastAsia="Palatino Linotype" w:hAnsi="Palatino Linotype" w:cs="Palatino Linotype"/>
        </w:rPr>
        <w:lastRenderedPageBreak/>
        <w:t>en un plazo no mayor a treinta días hábiles; por lo que, una vez trascurrida dicha temporalidad, los Sujetos Obligados darán por concluida la solicitud y procederán de ser el caso, a la destrucción del material;</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En este orden de ideas, se reitera que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pudieran contar con la información, la Dirección de Administración y la Tesorería Municipal. En primera instancia, la Ley Orgánica Municipal, en su artículo 95, delega una serie de atribuciones a la Tesorería Municipal, tal como se desprende de la siguiente cita:</w:t>
      </w:r>
    </w:p>
    <w:p w:rsidR="00836EA1" w:rsidRPr="007775A4" w:rsidRDefault="00FE6669">
      <w:pPr>
        <w:spacing w:before="240" w:after="240" w:line="276" w:lineRule="auto"/>
        <w:ind w:left="567" w:right="567"/>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“Artículo 95.- Son atribuciones del tesorero municipal:</w:t>
      </w:r>
    </w:p>
    <w:p w:rsidR="00836EA1" w:rsidRPr="007775A4" w:rsidRDefault="00FE6669">
      <w:pPr>
        <w:spacing w:before="240" w:after="240" w:line="276" w:lineRule="auto"/>
        <w:ind w:left="567" w:right="567"/>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spacing w:before="240" w:after="240" w:line="276" w:lineRule="auto"/>
        <w:ind w:left="567" w:right="567"/>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IV. Llevar los registros contables, financieros y administrativos de los ingresos, egresos, e inventarios;</w:t>
      </w:r>
    </w:p>
    <w:p w:rsidR="00836EA1" w:rsidRPr="007775A4" w:rsidRDefault="00FE6669">
      <w:pPr>
        <w:spacing w:before="240" w:after="240" w:line="276" w:lineRule="auto"/>
        <w:ind w:left="567" w:right="567"/>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 xml:space="preserve">…” </w:t>
      </w:r>
      <w:r w:rsidRPr="007775A4">
        <w:rPr>
          <w:rFonts w:ascii="Palatino Linotype" w:eastAsia="Palatino Linotype" w:hAnsi="Palatino Linotype" w:cs="Palatino Linotype"/>
          <w:i/>
          <w:sz w:val="22"/>
          <w:szCs w:val="22"/>
        </w:rPr>
        <w:t>(Sic) (Énfasis añadido)</w:t>
      </w:r>
    </w:p>
    <w:p w:rsidR="00836EA1" w:rsidRPr="007775A4" w:rsidRDefault="00FE6669">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Por otra parte, respecto a la Dirección de Administración, el Manual de Organización de la Dirección de Administración del Municipio de Villa de Allende, vigente, delega a esta unidad administrativa las siguientes facultades y objetivos: </w:t>
      </w:r>
    </w:p>
    <w:p w:rsidR="00D95090" w:rsidRPr="007775A4" w:rsidRDefault="00D95090">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rPr>
      </w:pPr>
      <w:r w:rsidRPr="007775A4">
        <w:rPr>
          <w:noProof/>
          <w:lang w:val="es-MX"/>
        </w:rPr>
        <w:lastRenderedPageBreak/>
        <w:drawing>
          <wp:anchor distT="0" distB="0" distL="114300" distR="114300" simplePos="0" relativeHeight="251666432" behindDoc="0" locked="0" layoutInCell="1" hidden="0" allowOverlap="1" wp14:anchorId="076D5E38" wp14:editId="09C441B8">
            <wp:simplePos x="0" y="0"/>
            <wp:positionH relativeFrom="column">
              <wp:posOffset>0</wp:posOffset>
            </wp:positionH>
            <wp:positionV relativeFrom="paragraph">
              <wp:posOffset>304165</wp:posOffset>
            </wp:positionV>
            <wp:extent cx="5881370" cy="5664200"/>
            <wp:effectExtent l="19050" t="19050" r="24130" b="12700"/>
            <wp:wrapTopAndBottom distT="0" distB="0"/>
            <wp:docPr id="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81370" cy="5664200"/>
                    </a:xfrm>
                    <a:prstGeom prst="rect">
                      <a:avLst/>
                    </a:prstGeom>
                    <a:ln>
                      <a:solidFill>
                        <a:schemeClr val="tx1"/>
                      </a:solidFill>
                    </a:ln>
                  </pic:spPr>
                </pic:pic>
              </a:graphicData>
            </a:graphic>
            <wp14:sizeRelV relativeFrom="margin">
              <wp14:pctHeight>0</wp14:pctHeight>
            </wp14:sizeRelV>
          </wp:anchor>
        </w:drawing>
      </w:r>
    </w:p>
    <w:p w:rsidR="00836EA1" w:rsidRPr="007775A4" w:rsidRDefault="00FE6669">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Bajo esta línea de pensamiento, una vez delimitado el ámbito competencial del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para generar, poseer o administrar la información solicitada, conviene referir que el artículo 147 de la Constitución Política del Estado Libre y Soberano de México, establece que los trabajadores al servicio del Estado y los </w:t>
      </w:r>
      <w:r w:rsidRPr="007775A4">
        <w:rPr>
          <w:rFonts w:ascii="Palatino Linotype" w:eastAsia="Palatino Linotype" w:hAnsi="Palatino Linotype" w:cs="Palatino Linotype"/>
        </w:rPr>
        <w:lastRenderedPageBreak/>
        <w:t>miembros de los Ayuntamientos, recibirán una remuneración adecuada e irrenunciable por el desempeño de su empleo, cargo o comisión, que será determinada en el presupuesto de egresos que corresponda.</w:t>
      </w:r>
      <w:r w:rsidRPr="007775A4">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127000</wp:posOffset>
                </wp:positionH>
                <wp:positionV relativeFrom="paragraph">
                  <wp:posOffset>5918200</wp:posOffset>
                </wp:positionV>
                <wp:extent cx="9525" cy="25400"/>
                <wp:effectExtent l="0" t="0" r="0" b="0"/>
                <wp:wrapNone/>
                <wp:docPr id="318" name="Conector recto de flecha 318"/>
                <wp:cNvGraphicFramePr/>
                <a:graphic xmlns:a="http://schemas.openxmlformats.org/drawingml/2006/main">
                  <a:graphicData uri="http://schemas.microsoft.com/office/word/2010/wordprocessingShape">
                    <wps:wsp>
                      <wps:cNvCnPr/>
                      <wps:spPr>
                        <a:xfrm>
                          <a:off x="3302888" y="3775238"/>
                          <a:ext cx="4086225" cy="9525"/>
                        </a:xfrm>
                        <a:prstGeom prst="straightConnector1">
                          <a:avLst/>
                        </a:prstGeom>
                        <a:noFill/>
                        <a:ln w="25400" cap="flat" cmpd="sng">
                          <a:solidFill>
                            <a:srgbClr val="E36C09"/>
                          </a:solidFill>
                          <a:prstDash val="solid"/>
                          <a:round/>
                          <a:headEnd type="none" w="sm" len="sm"/>
                          <a:tailEnd type="none" w="sm" len="sm"/>
                        </a:ln>
                      </wps:spPr>
                      <wps:bodyPr/>
                    </wps:wsp>
                  </a:graphicData>
                </a:graphic>
              </wp:anchor>
            </w:drawing>
          </mc:Choice>
          <mc:Fallback>
            <w:pict>
              <v:shapetype w14:anchorId="172D9AA7" id="_x0000_t32" coordsize="21600,21600" o:spt="32" o:oned="t" path="m,l21600,21600e" filled="f">
                <v:path arrowok="t" fillok="f" o:connecttype="none"/>
                <o:lock v:ext="edit" shapetype="t"/>
              </v:shapetype>
              <v:shape id="Conector recto de flecha 318" o:spid="_x0000_s1026" type="#_x0000_t32" style="position:absolute;margin-left:10pt;margin-top:466pt;width:.75pt;height: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" strokecolor="#e36c09" strokeweight="2pt">
                <v:stroke startarrowwidth="narrow" startarrowlength="short" endarrowwidth="narrow" endarrowlength="short"/>
              </v:shape>
            </w:pict>
          </mc:Fallback>
        </mc:AlternateContent>
      </w:r>
    </w:p>
    <w:p w:rsidR="00836EA1" w:rsidRPr="007775A4" w:rsidRDefault="00836EA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rsidR="00836EA1" w:rsidRPr="007775A4" w:rsidRDefault="00FE6669">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836EA1" w:rsidRPr="007775A4" w:rsidRDefault="00836EA1">
      <w:pPr>
        <w:spacing w:line="360" w:lineRule="auto"/>
        <w:jc w:val="both"/>
        <w:rPr>
          <w:rFonts w:ascii="Palatino Linotype" w:eastAsia="Palatino Linotype" w:hAnsi="Palatino Linotype" w:cs="Palatino Linotype"/>
        </w:rPr>
      </w:pPr>
    </w:p>
    <w:p w:rsidR="00836EA1" w:rsidRPr="007775A4" w:rsidRDefault="00FE6669">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836EA1" w:rsidRPr="007775A4" w:rsidRDefault="00836EA1">
      <w:pPr>
        <w:spacing w:after="240" w:line="276" w:lineRule="auto"/>
        <w:ind w:left="851" w:right="900"/>
        <w:jc w:val="both"/>
        <w:rPr>
          <w:rFonts w:ascii="Palatino Linotype" w:eastAsia="Palatino Linotype" w:hAnsi="Palatino Linotype" w:cs="Palatino Linotype"/>
          <w:b/>
          <w:i/>
          <w:sz w:val="22"/>
          <w:szCs w:val="22"/>
        </w:rPr>
      </w:pPr>
    </w:p>
    <w:p w:rsidR="00836EA1" w:rsidRPr="007775A4" w:rsidRDefault="00FE6669">
      <w:pPr>
        <w:spacing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220 K.-</w:t>
      </w:r>
      <w:r w:rsidRPr="007775A4">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II. </w:t>
      </w:r>
      <w:r w:rsidRPr="007775A4">
        <w:rPr>
          <w:rFonts w:ascii="Palatino Linotype" w:eastAsia="Palatino Linotype" w:hAnsi="Palatino Linotype" w:cs="Palatino Linotype"/>
          <w:i/>
          <w:sz w:val="22"/>
          <w:szCs w:val="22"/>
          <w:u w:val="single"/>
        </w:rPr>
        <w:t>Recibos de pagos</w:t>
      </w:r>
      <w:r w:rsidRPr="007775A4">
        <w:rPr>
          <w:rFonts w:ascii="Palatino Linotype" w:eastAsia="Palatino Linotype" w:hAnsi="Palatino Linotype" w:cs="Palatino Linotype"/>
          <w:i/>
          <w:sz w:val="22"/>
          <w:szCs w:val="22"/>
        </w:rPr>
        <w:t xml:space="preserve"> de salarios o las constancias documentales del pago de salario cuando sea por depósito o mediante información electrónica;</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III. Controles de asistencia o la información magnética o electrónica de asistencia de los servidores públicos;</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lastRenderedPageBreak/>
        <w:t>IV. Recibos o las constancias de depósito o del medio de información magnética o electrónica que sean utilizadas para el pago de salarios, prima vacacional, aguinaldo y demás prestaciones establecidas en la presente ley; y</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V. Los demás que señalen las leyes.</w:t>
      </w:r>
    </w:p>
    <w:p w:rsidR="00836EA1" w:rsidRPr="007775A4" w:rsidRDefault="00FE6669">
      <w:pPr>
        <w:spacing w:before="240" w:after="240"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836EA1" w:rsidRPr="007775A4" w:rsidRDefault="00FE6669">
      <w:pPr>
        <w:spacing w:before="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836EA1" w:rsidRPr="007775A4" w:rsidRDefault="00836EA1">
      <w:pPr>
        <w:spacing w:line="360" w:lineRule="auto"/>
        <w:jc w:val="both"/>
        <w:rPr>
          <w:rFonts w:ascii="Palatino Linotype" w:eastAsia="Palatino Linotype" w:hAnsi="Palatino Linotype" w:cs="Palatino Linotype"/>
        </w:rPr>
      </w:pPr>
    </w:p>
    <w:p w:rsidR="00836EA1" w:rsidRPr="007775A4" w:rsidRDefault="00FE6669">
      <w:pPr>
        <w:tabs>
          <w:tab w:val="right" w:pos="8505"/>
        </w:tabs>
        <w:spacing w:after="240" w:line="360" w:lineRule="auto"/>
        <w:jc w:val="both"/>
      </w:pPr>
      <w:r w:rsidRPr="007775A4">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w:t>
      </w:r>
      <w:r w:rsidRPr="007775A4">
        <w:t xml:space="preserve"> </w:t>
      </w:r>
      <w:r w:rsidRPr="007775A4">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836EA1" w:rsidRPr="007775A4" w:rsidRDefault="00FE6669">
      <w:pPr>
        <w:spacing w:before="240" w:after="240"/>
        <w:ind w:left="567"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rPr>
        <w:t>“</w:t>
      </w:r>
      <w:r w:rsidRPr="007775A4">
        <w:rPr>
          <w:rFonts w:ascii="Palatino Linotype" w:eastAsia="Palatino Linotype" w:hAnsi="Palatino Linotype" w:cs="Palatino Linotype"/>
          <w:b/>
          <w:i/>
          <w:sz w:val="22"/>
          <w:szCs w:val="22"/>
        </w:rPr>
        <w:t xml:space="preserve">Artículo 4. </w:t>
      </w:r>
      <w:r w:rsidRPr="007775A4">
        <w:rPr>
          <w:rFonts w:ascii="Palatino Linotype" w:eastAsia="Palatino Linotype" w:hAnsi="Palatino Linotype" w:cs="Palatino Linotype"/>
          <w:i/>
          <w:sz w:val="22"/>
          <w:szCs w:val="22"/>
        </w:rPr>
        <w:t>Son sujetos de fiscalización:</w:t>
      </w:r>
    </w:p>
    <w:p w:rsidR="00836EA1" w:rsidRPr="007775A4" w:rsidRDefault="00FE6669">
      <w:pPr>
        <w:spacing w:before="240" w:after="240"/>
        <w:ind w:left="567" w:right="851"/>
        <w:jc w:val="both"/>
        <w:rPr>
          <w:i/>
          <w:sz w:val="22"/>
          <w:szCs w:val="22"/>
        </w:rPr>
      </w:pPr>
      <w:r w:rsidRPr="007775A4">
        <w:rPr>
          <w:rFonts w:ascii="Palatino Linotype" w:eastAsia="Palatino Linotype" w:hAnsi="Palatino Linotype" w:cs="Palatino Linotype"/>
          <w:i/>
          <w:sz w:val="22"/>
          <w:szCs w:val="22"/>
        </w:rPr>
        <w:lastRenderedPageBreak/>
        <w:t>…</w:t>
      </w:r>
    </w:p>
    <w:p w:rsidR="00836EA1" w:rsidRPr="007775A4" w:rsidRDefault="00FE6669">
      <w:pPr>
        <w:numPr>
          <w:ilvl w:val="0"/>
          <w:numId w:val="4"/>
        </w:numPr>
        <w:spacing w:before="240" w:after="240"/>
        <w:ind w:left="567" w:right="851" w:hanging="14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Los municipios del Estado de México…” (Sic)</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836EA1" w:rsidRPr="007775A4" w:rsidRDefault="00FE6669">
      <w:pPr>
        <w:spacing w:before="240" w:after="240"/>
        <w:ind w:left="851" w:right="851"/>
        <w:jc w:val="both"/>
        <w:rPr>
          <w:i/>
          <w:sz w:val="22"/>
          <w:szCs w:val="22"/>
        </w:rPr>
      </w:pPr>
      <w:r w:rsidRPr="007775A4">
        <w:rPr>
          <w:rFonts w:ascii="Palatino Linotype" w:eastAsia="Palatino Linotype" w:hAnsi="Palatino Linotype" w:cs="Palatino Linotype"/>
          <w:b/>
          <w:i/>
          <w:sz w:val="22"/>
          <w:szCs w:val="22"/>
        </w:rPr>
        <w:t xml:space="preserve">“Artículo 8. </w:t>
      </w:r>
      <w:r w:rsidRPr="007775A4">
        <w:rPr>
          <w:rFonts w:ascii="Palatino Linotype" w:eastAsia="Palatino Linotype" w:hAnsi="Palatino Linotype" w:cs="Palatino Linotype"/>
          <w:i/>
          <w:sz w:val="22"/>
          <w:szCs w:val="22"/>
        </w:rPr>
        <w:t>El Órgano Superior tendrá las siguientes atribuciones:</w:t>
      </w:r>
    </w:p>
    <w:p w:rsidR="00836EA1" w:rsidRPr="007775A4" w:rsidRDefault="00FE6669">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spacing w:before="240" w:after="240"/>
        <w:ind w:left="851" w:right="851"/>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XI. Establecer los lineamientos</w:t>
      </w:r>
      <w:r w:rsidRPr="007775A4">
        <w:rPr>
          <w:rFonts w:ascii="Palatino Linotype" w:eastAsia="Palatino Linotype" w:hAnsi="Palatino Linotype" w:cs="Palatino Linotype"/>
          <w:i/>
          <w:sz w:val="22"/>
          <w:szCs w:val="22"/>
        </w:rPr>
        <w:t xml:space="preserve">, criterios, procedimientos, métodos y sistemas </w:t>
      </w:r>
      <w:r w:rsidRPr="007775A4">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sz w:val="22"/>
          <w:szCs w:val="22"/>
        </w:rPr>
        <w:t>” (</w:t>
      </w:r>
      <w:r w:rsidRPr="007775A4">
        <w:rPr>
          <w:rFonts w:ascii="Palatino Linotype" w:eastAsia="Palatino Linotype" w:hAnsi="Palatino Linotype" w:cs="Palatino Linotype"/>
          <w:i/>
          <w:sz w:val="22"/>
          <w:szCs w:val="22"/>
        </w:rPr>
        <w:t>Sic)</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Es así que, el Órgano Superior de Fiscalización del Estado de México en cumplimiento a la disposición jurídica previamente señalada y en ejercicio de sus atribuciones emitió los Lineamientos para la Integración y Entrega del Informe Trimestral Municipal 2022, en los que se ubica el módulo cuatro relativo a la información de la nómina, como se advierte en las siguientes imágenes. </w:t>
      </w: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noProof/>
          <w:lang w:val="es-MX"/>
        </w:rPr>
        <w:lastRenderedPageBreak/>
        <w:drawing>
          <wp:inline distT="0" distB="0" distL="0" distR="0">
            <wp:extent cx="5441950" cy="3568700"/>
            <wp:effectExtent l="0" t="0" r="0" b="0"/>
            <wp:docPr id="3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23986" t="26966" r="3141" b="13257"/>
                    <a:stretch>
                      <a:fillRect/>
                    </a:stretch>
                  </pic:blipFill>
                  <pic:spPr>
                    <a:xfrm>
                      <a:off x="0" y="0"/>
                      <a:ext cx="5441950" cy="3568700"/>
                    </a:xfrm>
                    <a:prstGeom prst="rect">
                      <a:avLst/>
                    </a:prstGeom>
                    <a:ln/>
                  </pic:spPr>
                </pic:pic>
              </a:graphicData>
            </a:graphic>
          </wp:inline>
        </w:drawing>
      </w:r>
      <w:r w:rsidRPr="007775A4">
        <w:rPr>
          <w:noProof/>
          <w:lang w:val="es-MX"/>
        </w:rPr>
        <mc:AlternateContent>
          <mc:Choice Requires="wps">
            <w:drawing>
              <wp:anchor distT="0" distB="0" distL="114300" distR="114300" simplePos="0" relativeHeight="251663360" behindDoc="0" locked="0" layoutInCell="1" hidden="0" allowOverlap="1">
                <wp:simplePos x="0" y="0"/>
                <wp:positionH relativeFrom="column">
                  <wp:posOffset>-25399</wp:posOffset>
                </wp:positionH>
                <wp:positionV relativeFrom="paragraph">
                  <wp:posOffset>1689100</wp:posOffset>
                </wp:positionV>
                <wp:extent cx="5438775" cy="371475"/>
                <wp:effectExtent l="0" t="0" r="0" b="0"/>
                <wp:wrapNone/>
                <wp:docPr id="317" name="Rectángulo 317"/>
                <wp:cNvGraphicFramePr/>
                <a:graphic xmlns:a="http://schemas.openxmlformats.org/drawingml/2006/main">
                  <a:graphicData uri="http://schemas.microsoft.com/office/word/2010/wordprocessingShape">
                    <wps:wsp>
                      <wps:cNvSpPr/>
                      <wps:spPr>
                        <a:xfrm>
                          <a:off x="2655188" y="3622838"/>
                          <a:ext cx="5381625" cy="314325"/>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509"/>
                            </a:srgbClr>
                          </a:outerShdw>
                        </a:effectLst>
                      </wps:spPr>
                      <wps:txbx>
                        <w:txbxContent>
                          <w:p w:rsidR="00B319C8" w:rsidRDefault="00B319C8">
                            <w:pPr>
                              <w:textDirection w:val="btLr"/>
                            </w:pPr>
                          </w:p>
                        </w:txbxContent>
                      </wps:txbx>
                      <wps:bodyPr spcFirstLastPara="1" wrap="square" lIns="91425" tIns="91425" rIns="91425" bIns="91425" anchor="ctr" anchorCtr="0">
                        <a:noAutofit/>
                      </wps:bodyPr>
                    </wps:wsp>
                  </a:graphicData>
                </a:graphic>
              </wp:anchor>
            </w:drawing>
          </mc:Choice>
          <mc:Fallback>
            <w:pict>
              <v:rect id="Rectángulo 317" o:spid="_x0000_s1026" style="position:absolute;left:0;text-align:left;margin-left:-2pt;margin-top:133pt;width:428.2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" filled="f" strokecolor="#002060" strokeweight="2.25pt">
                <v:stroke startarrowwidth="narrow" startarrowlength="short" endarrowwidth="narrow" endarrowlength="short" joinstyle="round"/>
                <v:shadow on="t" color="black" opacity="22615f" origin=",.5" offset="0,.63889mm"/>
                <v:textbox inset="2.53958mm,2.53958mm,2.53958mm,2.53958mm">
                  <w:txbxContent>
                    <w:p w:rsidR="00B319C8" w:rsidRDefault="00B319C8">
                      <w:pPr>
                        <w:textDirection w:val="btLr"/>
                      </w:pPr>
                    </w:p>
                  </w:txbxContent>
                </v:textbox>
              </v:rect>
            </w:pict>
          </mc:Fallback>
        </mc:AlternateContent>
      </w:r>
      <w:r w:rsidRPr="007775A4">
        <w:rPr>
          <w:noProof/>
          <w:lang w:val="es-MX"/>
        </w:rPr>
        <mc:AlternateContent>
          <mc:Choice Requires="wps">
            <w:drawing>
              <wp:anchor distT="0" distB="0" distL="114300" distR="114300" simplePos="0" relativeHeight="251664384" behindDoc="0" locked="0" layoutInCell="1" hidden="0" allowOverlap="1">
                <wp:simplePos x="0" y="0"/>
                <wp:positionH relativeFrom="column">
                  <wp:posOffset>-25399</wp:posOffset>
                </wp:positionH>
                <wp:positionV relativeFrom="paragraph">
                  <wp:posOffset>2667000</wp:posOffset>
                </wp:positionV>
                <wp:extent cx="5438775" cy="790575"/>
                <wp:effectExtent l="0" t="0" r="0" b="0"/>
                <wp:wrapNone/>
                <wp:docPr id="319" name="Rectángulo 319"/>
                <wp:cNvGraphicFramePr/>
                <a:graphic xmlns:a="http://schemas.openxmlformats.org/drawingml/2006/main">
                  <a:graphicData uri="http://schemas.microsoft.com/office/word/2010/wordprocessingShape">
                    <wps:wsp>
                      <wps:cNvSpPr/>
                      <wps:spPr>
                        <a:xfrm>
                          <a:off x="2655188" y="3413288"/>
                          <a:ext cx="5381625" cy="733425"/>
                        </a:xfrm>
                        <a:prstGeom prst="rect">
                          <a:avLst/>
                        </a:prstGeom>
                        <a:noFill/>
                        <a:ln w="28575" cap="flat" cmpd="sng">
                          <a:solidFill>
                            <a:srgbClr val="002060"/>
                          </a:solidFill>
                          <a:prstDash val="solid"/>
                          <a:round/>
                          <a:headEnd type="none" w="sm" len="sm"/>
                          <a:tailEnd type="none" w="sm" len="sm"/>
                        </a:ln>
                        <a:effectLst>
                          <a:outerShdw blurRad="40000" dist="23000" dir="5400000" rotWithShape="0">
                            <a:srgbClr val="000000">
                              <a:alpha val="34509"/>
                            </a:srgbClr>
                          </a:outerShdw>
                        </a:effectLst>
                      </wps:spPr>
                      <wps:txbx>
                        <w:txbxContent>
                          <w:p w:rsidR="00B319C8" w:rsidRDefault="00B319C8">
                            <w:pPr>
                              <w:textDirection w:val="btLr"/>
                            </w:pPr>
                          </w:p>
                        </w:txbxContent>
                      </wps:txbx>
                      <wps:bodyPr spcFirstLastPara="1" wrap="square" lIns="91425" tIns="91425" rIns="91425" bIns="91425" anchor="ctr" anchorCtr="0">
                        <a:noAutofit/>
                      </wps:bodyPr>
                    </wps:wsp>
                  </a:graphicData>
                </a:graphic>
              </wp:anchor>
            </w:drawing>
          </mc:Choice>
          <mc:Fallback>
            <w:pict>
              <v:rect id="Rectángulo 319" o:spid="_x0000_s1027" style="position:absolute;left:0;text-align:left;margin-left:-2pt;margin-top:210pt;width:428.25pt;height:6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" filled="f" strokecolor="#002060" strokeweight="2.25pt">
                <v:stroke startarrowwidth="narrow" startarrowlength="short" endarrowwidth="narrow" endarrowlength="short" joinstyle="round"/>
                <v:shadow on="t" color="black" opacity="22615f" origin=",.5" offset="0,.63889mm"/>
                <v:textbox inset="2.53958mm,2.53958mm,2.53958mm,2.53958mm">
                  <w:txbxContent>
                    <w:p w:rsidR="00B319C8" w:rsidRDefault="00B319C8">
                      <w:pPr>
                        <w:textDirection w:val="btLr"/>
                      </w:pPr>
                    </w:p>
                  </w:txbxContent>
                </v:textbox>
              </v:rect>
            </w:pict>
          </mc:Fallback>
        </mc:AlternateContent>
      </w:r>
    </w:p>
    <w:p w:rsidR="00836EA1" w:rsidRPr="007775A4" w:rsidRDefault="00FE6669">
      <w:pPr>
        <w:spacing w:before="240" w:line="360" w:lineRule="auto"/>
        <w:jc w:val="both"/>
        <w:rPr>
          <w:rFonts w:ascii="Palatino Linotype" w:eastAsia="Palatino Linotype" w:hAnsi="Palatino Linotype" w:cs="Palatino Linotype"/>
        </w:rPr>
      </w:pPr>
      <w:r w:rsidRPr="007775A4">
        <w:rPr>
          <w:noProof/>
          <w:lang w:val="es-MX"/>
        </w:rPr>
        <w:lastRenderedPageBreak/>
        <w:drawing>
          <wp:inline distT="0" distB="0" distL="0" distR="0">
            <wp:extent cx="5609305" cy="7380664"/>
            <wp:effectExtent l="0" t="0" r="0" b="0"/>
            <wp:docPr id="3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34623" t="19010" r="36354" b="13095"/>
                    <a:stretch>
                      <a:fillRect/>
                    </a:stretch>
                  </pic:blipFill>
                  <pic:spPr>
                    <a:xfrm>
                      <a:off x="0" y="0"/>
                      <a:ext cx="5609305" cy="7380664"/>
                    </a:xfrm>
                    <a:prstGeom prst="rect">
                      <a:avLst/>
                    </a:prstGeom>
                    <a:ln/>
                  </pic:spPr>
                </pic:pic>
              </a:graphicData>
            </a:graphic>
          </wp:inline>
        </w:drawing>
      </w:r>
    </w:p>
    <w:p w:rsidR="00836EA1" w:rsidRPr="007775A4" w:rsidRDefault="00FE6669">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lastRenderedPageBreak/>
        <w:t xml:space="preserve">En observancia a las imágenes anteriores, se acredita que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rsidR="00836EA1" w:rsidRPr="007775A4" w:rsidRDefault="00FE6669">
      <w:pPr>
        <w:spacing w:before="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836EA1" w:rsidRPr="007775A4" w:rsidRDefault="00FE6669">
      <w:pPr>
        <w:spacing w:after="240"/>
        <w:ind w:left="851" w:right="851"/>
        <w:jc w:val="both"/>
        <w:rPr>
          <w:rFonts w:ascii="Palatino Linotype" w:eastAsia="Palatino Linotype" w:hAnsi="Palatino Linotype" w:cs="Palatino Linotype"/>
          <w:i/>
          <w:sz w:val="22"/>
          <w:szCs w:val="22"/>
          <w:u w:val="single"/>
        </w:rPr>
      </w:pPr>
      <w:r w:rsidRPr="007775A4">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7775A4">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7775A4">
        <w:rPr>
          <w:rFonts w:ascii="Palatino Linotype" w:eastAsia="Palatino Linotype" w:hAnsi="Palatino Linotype" w:cs="Palatino Linotype"/>
          <w:b/>
          <w:i/>
          <w:sz w:val="22"/>
          <w:szCs w:val="22"/>
          <w:u w:val="single"/>
        </w:rPr>
        <w:t>que reciba y ejerza recursos públicos</w:t>
      </w:r>
      <w:r w:rsidRPr="007775A4">
        <w:rPr>
          <w:rFonts w:ascii="Palatino Linotype" w:eastAsia="Palatino Linotype" w:hAnsi="Palatino Linotype" w:cs="Palatino Linotype"/>
          <w:i/>
          <w:sz w:val="22"/>
          <w:szCs w:val="22"/>
        </w:rPr>
        <w:t xml:space="preserve"> o realice actos de autoridad </w:t>
      </w:r>
      <w:r w:rsidRPr="007775A4">
        <w:rPr>
          <w:rFonts w:ascii="Palatino Linotype" w:eastAsia="Palatino Linotype" w:hAnsi="Palatino Linotype" w:cs="Palatino Linotype"/>
          <w:b/>
          <w:i/>
          <w:sz w:val="22"/>
          <w:szCs w:val="22"/>
          <w:u w:val="single"/>
        </w:rPr>
        <w:t>en el ámbito de competencia del Estado de México y sus municipios</w:t>
      </w:r>
      <w:r w:rsidRPr="007775A4">
        <w:rPr>
          <w:rFonts w:ascii="Palatino Linotype" w:eastAsia="Palatino Linotype" w:hAnsi="Palatino Linotype" w:cs="Palatino Linotype"/>
          <w:i/>
          <w:sz w:val="22"/>
          <w:szCs w:val="22"/>
          <w:u w:val="single"/>
        </w:rPr>
        <w:t>.</w:t>
      </w:r>
    </w:p>
    <w:p w:rsidR="00836EA1" w:rsidRPr="007775A4" w:rsidRDefault="00FE6669">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836EA1" w:rsidRPr="007775A4" w:rsidRDefault="00FE6669">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spacing w:before="240" w:after="240"/>
        <w:ind w:left="851" w:right="851"/>
        <w:jc w:val="both"/>
        <w:rPr>
          <w:rFonts w:ascii="Palatino Linotype" w:eastAsia="Palatino Linotype" w:hAnsi="Palatino Linotype" w:cs="Palatino Linotype"/>
          <w:b/>
          <w:i/>
          <w:sz w:val="22"/>
          <w:szCs w:val="22"/>
          <w:u w:val="single"/>
        </w:rPr>
      </w:pPr>
      <w:r w:rsidRPr="007775A4">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836EA1" w:rsidRPr="007775A4" w:rsidRDefault="00FE6669">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lastRenderedPageBreak/>
        <w:t>(…)</w:t>
      </w:r>
    </w:p>
    <w:p w:rsidR="00836EA1" w:rsidRPr="007775A4" w:rsidRDefault="00FE6669">
      <w:pPr>
        <w:spacing w:before="240" w:after="240"/>
        <w:ind w:left="851" w:right="851"/>
        <w:jc w:val="both"/>
        <w:rPr>
          <w:rFonts w:ascii="Palatino Linotype" w:eastAsia="Palatino Linotype" w:hAnsi="Palatino Linotype" w:cs="Palatino Linotype"/>
          <w:b/>
          <w:i/>
          <w:sz w:val="22"/>
          <w:szCs w:val="22"/>
          <w:u w:val="single"/>
        </w:rPr>
      </w:pPr>
      <w:r w:rsidRPr="007775A4">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36EA1" w:rsidRPr="007775A4" w:rsidRDefault="00FE6669">
      <w:pPr>
        <w:spacing w:before="240" w:after="240"/>
        <w:ind w:left="851" w:right="851"/>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7775A4">
        <w:rPr>
          <w:rFonts w:ascii="Palatino Linotype" w:eastAsia="Palatino Linotype" w:hAnsi="Palatino Linotype" w:cs="Palatino Linotype"/>
          <w:b/>
          <w:i/>
          <w:sz w:val="22"/>
          <w:szCs w:val="22"/>
        </w:rPr>
        <w:t xml:space="preserve"> [Sic]</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7775A4">
        <w:rPr>
          <w:rFonts w:ascii="Palatino Linotype" w:eastAsia="Palatino Linotype" w:hAnsi="Palatino Linotype" w:cs="Palatino Linotype"/>
          <w:b/>
        </w:rPr>
        <w:t>01/2003</w:t>
      </w:r>
      <w:r w:rsidRPr="007775A4">
        <w:rPr>
          <w:rFonts w:ascii="Palatino Linotype" w:eastAsia="Palatino Linotype" w:hAnsi="Palatino Linotype" w:cs="Palatino Linotype"/>
        </w:rPr>
        <w:t xml:space="preserve"> y </w:t>
      </w:r>
      <w:r w:rsidRPr="007775A4">
        <w:rPr>
          <w:rFonts w:ascii="Palatino Linotype" w:eastAsia="Palatino Linotype" w:hAnsi="Palatino Linotype" w:cs="Palatino Linotype"/>
          <w:b/>
        </w:rPr>
        <w:t>02/2003</w:t>
      </w:r>
      <w:r w:rsidRPr="007775A4">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836EA1" w:rsidRPr="007775A4" w:rsidRDefault="00FE6669">
      <w:pPr>
        <w:spacing w:before="240" w:after="240"/>
        <w:ind w:left="851" w:right="851"/>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“Criterio 01/2003.</w:t>
      </w:r>
    </w:p>
    <w:p w:rsidR="00836EA1" w:rsidRPr="007775A4" w:rsidRDefault="00FE6669">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7775A4">
        <w:rPr>
          <w:rFonts w:ascii="Palatino Linotype" w:eastAsia="Palatino Linotype" w:hAnsi="Palatino Linotype" w:cs="Palatino Linotype"/>
          <w:i/>
          <w:sz w:val="22"/>
          <w:szCs w:val="22"/>
        </w:rPr>
        <w:t xml:space="preserve"> </w:t>
      </w:r>
    </w:p>
    <w:p w:rsidR="00836EA1" w:rsidRPr="007775A4" w:rsidRDefault="00FE6669">
      <w:pPr>
        <w:spacing w:before="240" w:after="240"/>
        <w:ind w:left="851" w:right="851"/>
        <w:jc w:val="both"/>
        <w:rPr>
          <w:rFonts w:ascii="Palatino Linotype" w:eastAsia="Palatino Linotype" w:hAnsi="Palatino Linotype" w:cs="Palatino Linotype"/>
          <w:i/>
          <w:sz w:val="22"/>
          <w:szCs w:val="22"/>
          <w:u w:val="single"/>
        </w:rPr>
      </w:pPr>
      <w:r w:rsidRPr="007775A4">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775A4">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7775A4">
        <w:rPr>
          <w:rFonts w:ascii="Palatino Linotype" w:eastAsia="Palatino Linotype" w:hAnsi="Palatino Linotype" w:cs="Palatino Linotype"/>
          <w:b/>
          <w:i/>
          <w:sz w:val="22"/>
          <w:szCs w:val="22"/>
          <w:u w:val="single"/>
        </w:rPr>
        <w:lastRenderedPageBreak/>
        <w:t>encuentran su origen en mayor medida en las contribuciones aportados por los gobernados</w:t>
      </w:r>
      <w:r w:rsidRPr="007775A4">
        <w:rPr>
          <w:rFonts w:ascii="Palatino Linotype" w:eastAsia="Palatino Linotype" w:hAnsi="Palatino Linotype" w:cs="Palatino Linotype"/>
          <w:i/>
          <w:sz w:val="22"/>
          <w:szCs w:val="22"/>
          <w:u w:val="single"/>
        </w:rPr>
        <w:t>…”</w:t>
      </w:r>
    </w:p>
    <w:p w:rsidR="00836EA1" w:rsidRPr="007775A4" w:rsidRDefault="00FE6669">
      <w:pPr>
        <w:spacing w:before="240" w:after="240" w:line="276" w:lineRule="auto"/>
        <w:ind w:left="851" w:right="851"/>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“Criterio 02/2003.</w:t>
      </w:r>
    </w:p>
    <w:p w:rsidR="00836EA1" w:rsidRPr="007775A4" w:rsidRDefault="00FE6669">
      <w:pPr>
        <w:spacing w:before="240" w:after="240" w:line="276" w:lineRule="auto"/>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7775A4">
        <w:rPr>
          <w:rFonts w:ascii="Palatino Linotype" w:eastAsia="Palatino Linotype" w:hAnsi="Palatino Linotype" w:cs="Palatino Linotype"/>
          <w:i/>
          <w:sz w:val="22"/>
          <w:szCs w:val="22"/>
        </w:rPr>
        <w:t xml:space="preserve"> </w:t>
      </w:r>
    </w:p>
    <w:p w:rsidR="00836EA1" w:rsidRPr="007775A4" w:rsidRDefault="00FE6669">
      <w:pPr>
        <w:spacing w:before="240" w:line="276" w:lineRule="auto"/>
        <w:ind w:left="851" w:right="851"/>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775A4">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775A4">
        <w:rPr>
          <w:rFonts w:ascii="Palatino Linotype" w:eastAsia="Palatino Linotype" w:hAnsi="Palatino Linotype" w:cs="Palatino Linotype"/>
          <w:i/>
          <w:sz w:val="22"/>
          <w:szCs w:val="22"/>
        </w:rPr>
        <w:t xml:space="preserve"> el sistema de compensación…” </w:t>
      </w:r>
      <w:r w:rsidRPr="007775A4">
        <w:rPr>
          <w:rFonts w:ascii="Palatino Linotype" w:eastAsia="Palatino Linotype" w:hAnsi="Palatino Linotype" w:cs="Palatino Linotype"/>
          <w:b/>
          <w:i/>
          <w:sz w:val="22"/>
          <w:szCs w:val="22"/>
        </w:rPr>
        <w:t>[Sic]</w:t>
      </w:r>
    </w:p>
    <w:p w:rsidR="00836EA1" w:rsidRPr="007775A4" w:rsidRDefault="00836EA1">
      <w:pPr>
        <w:spacing w:line="360" w:lineRule="auto"/>
        <w:jc w:val="both"/>
        <w:rPr>
          <w:rFonts w:ascii="Palatino Linotype" w:eastAsia="Palatino Linotype" w:hAnsi="Palatino Linotype" w:cs="Palatino Linotype"/>
        </w:rPr>
      </w:pPr>
    </w:p>
    <w:p w:rsidR="00836EA1" w:rsidRPr="007775A4" w:rsidRDefault="00FE6669">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A mayor abundamiento, cabe mencionar que, el artículo 70 de la Ley General de Transparencia y Acceso a la Información Pública dispone lo siguiente: </w:t>
      </w:r>
    </w:p>
    <w:p w:rsidR="00836EA1" w:rsidRPr="007775A4" w:rsidRDefault="00836EA1">
      <w:pPr>
        <w:spacing w:line="360" w:lineRule="auto"/>
        <w:jc w:val="both"/>
        <w:rPr>
          <w:rFonts w:ascii="Palatino Linotype" w:eastAsia="Palatino Linotype" w:hAnsi="Palatino Linotype" w:cs="Palatino Linotype"/>
        </w:rPr>
      </w:pPr>
    </w:p>
    <w:p w:rsidR="00836EA1" w:rsidRPr="007775A4" w:rsidRDefault="00FE6669">
      <w:pPr>
        <w:spacing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70</w:t>
      </w:r>
      <w:r w:rsidRPr="007775A4">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836EA1" w:rsidRPr="007775A4" w:rsidRDefault="00FE6669">
      <w:pPr>
        <w:spacing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 </w:t>
      </w:r>
    </w:p>
    <w:p w:rsidR="00836EA1" w:rsidRPr="007775A4" w:rsidRDefault="00FE6669">
      <w:pPr>
        <w:spacing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836EA1" w:rsidRPr="007775A4" w:rsidRDefault="00836EA1">
      <w:pPr>
        <w:spacing w:line="360" w:lineRule="auto"/>
        <w:jc w:val="both"/>
      </w:pPr>
    </w:p>
    <w:p w:rsidR="00836EA1" w:rsidRPr="007775A4" w:rsidRDefault="00FE6669">
      <w:pPr>
        <w:spacing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836EA1" w:rsidRPr="007775A4" w:rsidRDefault="00836EA1">
      <w:pPr>
        <w:spacing w:line="360" w:lineRule="auto"/>
        <w:ind w:right="49"/>
        <w:jc w:val="both"/>
        <w:rPr>
          <w:rFonts w:ascii="Palatino Linotype" w:eastAsia="Palatino Linotype" w:hAnsi="Palatino Linotype" w:cs="Palatino Linotype"/>
        </w:rPr>
      </w:pPr>
    </w:p>
    <w:p w:rsidR="00836EA1" w:rsidRPr="007775A4" w:rsidRDefault="00FE6669">
      <w:pPr>
        <w:spacing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92</w:t>
      </w:r>
      <w:r w:rsidRPr="007775A4">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836EA1" w:rsidRPr="007775A4" w:rsidRDefault="00FE6669">
      <w:pPr>
        <w:spacing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spacing w:line="276" w:lineRule="auto"/>
        <w:ind w:left="851"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(Sic)</w:t>
      </w:r>
    </w:p>
    <w:p w:rsidR="00836EA1" w:rsidRPr="007775A4" w:rsidRDefault="00836EA1">
      <w:pPr>
        <w:spacing w:line="276" w:lineRule="auto"/>
        <w:jc w:val="both"/>
        <w:rPr>
          <w:sz w:val="22"/>
          <w:szCs w:val="22"/>
        </w:rPr>
      </w:pPr>
    </w:p>
    <w:p w:rsidR="00836EA1" w:rsidRPr="007775A4" w:rsidRDefault="00FE6669">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F55E75" w:rsidRPr="007775A4" w:rsidRDefault="00F55E75">
      <w:pPr>
        <w:spacing w:line="360" w:lineRule="auto"/>
        <w:jc w:val="both"/>
        <w:rPr>
          <w:rFonts w:ascii="Palatino Linotype" w:eastAsia="Palatino Linotype" w:hAnsi="Palatino Linotype" w:cs="Palatino Linotype"/>
        </w:rPr>
      </w:pPr>
    </w:p>
    <w:p w:rsidR="00F55E75" w:rsidRPr="007775A4" w:rsidRDefault="00F55E75">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Ahora bien, como se precisó en líneas argumentativas anteriores, los documentos que dan cuenta del sueldo de los integrantes de la Comisión de Honor y Justicia, cabe señalar que dicha información se genera de manera quincenal, por lo que para colmar este punto de la solicitud, resulta procedente la entrega de la información generada de la primera quincena de enero a la primera quincena de junio de dos mil </w:t>
      </w:r>
      <w:r w:rsidRPr="007775A4">
        <w:rPr>
          <w:rFonts w:ascii="Palatino Linotype" w:eastAsia="Palatino Linotype" w:hAnsi="Palatino Linotype" w:cs="Palatino Linotype"/>
        </w:rPr>
        <w:lastRenderedPageBreak/>
        <w:t>veintidós, ello en virtud de que la solicitud de información ingresó el 27 de junio de 2022, por lo que a la fecha de la presentación del requerimiento aún no se contaba con la segunda quincena de junio.</w:t>
      </w:r>
    </w:p>
    <w:p w:rsidR="009519BA" w:rsidRPr="007775A4" w:rsidRDefault="009519BA">
      <w:pPr>
        <w:spacing w:line="360" w:lineRule="auto"/>
        <w:jc w:val="both"/>
        <w:rPr>
          <w:rFonts w:ascii="Palatino Linotype" w:eastAsia="Palatino Linotype" w:hAnsi="Palatino Linotype" w:cs="Palatino Linotype"/>
        </w:rPr>
      </w:pPr>
    </w:p>
    <w:p w:rsidR="00930865" w:rsidRPr="007775A4" w:rsidRDefault="009519BA" w:rsidP="00930865">
      <w:pPr>
        <w:spacing w:line="360" w:lineRule="auto"/>
        <w:jc w:val="both"/>
        <w:rPr>
          <w:rFonts w:ascii="Palatino Linotype" w:eastAsia="Palatino Linotype" w:hAnsi="Palatino Linotype" w:cs="Palatino Linotype"/>
          <w:sz w:val="22"/>
          <w:szCs w:val="22"/>
        </w:rPr>
      </w:pPr>
      <w:r w:rsidRPr="007775A4">
        <w:rPr>
          <w:rFonts w:ascii="Palatino Linotype" w:eastAsia="Palatino Linotype" w:hAnsi="Palatino Linotype" w:cs="Palatino Linotype"/>
          <w:iCs/>
        </w:rPr>
        <w:t xml:space="preserve">No pasa desapercibido para este organismo garante </w:t>
      </w:r>
      <w:r w:rsidR="00930865" w:rsidRPr="007775A4">
        <w:rPr>
          <w:rFonts w:ascii="Palatino Linotype" w:eastAsia="Palatino Linotype" w:hAnsi="Palatino Linotype" w:cs="Palatino Linotype"/>
        </w:rPr>
        <w:t xml:space="preserve">que </w:t>
      </w:r>
      <w:r w:rsidR="00930865" w:rsidRPr="007775A4">
        <w:rPr>
          <w:rFonts w:ascii="Palatino Linotype" w:eastAsia="Palatino Linotype" w:hAnsi="Palatino Linotype" w:cs="Palatino Linotype"/>
          <w:iCs/>
        </w:rPr>
        <w:t>de ser el caso en el que</w:t>
      </w:r>
      <w:r w:rsidR="00930865" w:rsidRPr="007775A4">
        <w:rPr>
          <w:rFonts w:ascii="Palatino Linotype" w:eastAsia="Palatino Linotype" w:hAnsi="Palatino Linotype" w:cs="Palatino Linotype"/>
        </w:rPr>
        <w:t xml:space="preserve"> el servidor público </w:t>
      </w:r>
      <w:r w:rsidR="00B319C8" w:rsidRPr="007775A4">
        <w:rPr>
          <w:rFonts w:ascii="Palatino Linotype" w:eastAsia="Palatino Linotype" w:hAnsi="Palatino Linotype" w:cs="Palatino Linotype"/>
        </w:rPr>
        <w:t xml:space="preserve">integrante de la Comisión de Honor y Justicia </w:t>
      </w:r>
      <w:r w:rsidR="00930865" w:rsidRPr="007775A4">
        <w:rPr>
          <w:rFonts w:ascii="Palatino Linotype" w:eastAsia="Palatino Linotype" w:hAnsi="Palatino Linotype" w:cs="Palatino Linotype"/>
        </w:rPr>
        <w:t>que ostenta el carácter de técnico operativo, desempeñe funciones operativas en materia de seguridad pública, el Sujeto Obligado deberá clasificar como reservado el nombre de dicho elemento, ello encuentra sustento en el Criterio 06/09, emitido por el entonces Instituto Federal de Acceso a la Información y Protección de Datos ahora Instituto Nacional de Transparencia, Acceso a la Información y Protección de Datos Personales, que se insertará en el apartado de versión pública.</w:t>
      </w:r>
      <w:r w:rsidR="00930865" w:rsidRPr="007775A4">
        <w:rPr>
          <w:rFonts w:ascii="Palatino Linotype" w:eastAsia="Palatino Linotype" w:hAnsi="Palatino Linotype" w:cs="Palatino Linotype"/>
          <w:sz w:val="22"/>
          <w:szCs w:val="22"/>
        </w:rPr>
        <w:t xml:space="preserve"> </w:t>
      </w:r>
    </w:p>
    <w:p w:rsidR="00B319C8" w:rsidRPr="007775A4" w:rsidRDefault="00B319C8" w:rsidP="00930865">
      <w:pPr>
        <w:spacing w:line="360" w:lineRule="auto"/>
        <w:jc w:val="both"/>
        <w:rPr>
          <w:rFonts w:ascii="Palatino Linotype" w:eastAsia="Palatino Linotype" w:hAnsi="Palatino Linotype" w:cs="Palatino Linotype"/>
          <w:sz w:val="22"/>
          <w:szCs w:val="22"/>
        </w:rPr>
      </w:pPr>
    </w:p>
    <w:p w:rsidR="00930865" w:rsidRPr="007775A4" w:rsidRDefault="00930865" w:rsidP="00930865">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En ese orden de ideas, si bien por regla general los nombres de los servidores públicos son información pública de oficio, existe una excepción relativa a </w:t>
      </w:r>
      <w:r w:rsidRPr="007775A4">
        <w:rPr>
          <w:rFonts w:ascii="Palatino Linotype" w:eastAsia="Palatino Linotype" w:hAnsi="Palatino Linotype" w:cs="Palatino Linotype"/>
          <w:b/>
        </w:rPr>
        <w:t>aquellos que realicen actividades operativas en materia de seguridad,</w:t>
      </w:r>
      <w:r w:rsidRPr="007775A4">
        <w:rPr>
          <w:rFonts w:ascii="Palatino Linotype" w:eastAsia="Palatino Linotype" w:hAnsi="Palatino Linotype" w:cs="Palatino Linotype"/>
        </w:rPr>
        <w:t xml:space="preserve"> como es el caso de los elementos operativos.</w:t>
      </w:r>
    </w:p>
    <w:p w:rsidR="00930865" w:rsidRPr="007775A4" w:rsidRDefault="00930865">
      <w:pPr>
        <w:spacing w:line="360" w:lineRule="auto"/>
        <w:jc w:val="both"/>
        <w:rPr>
          <w:rFonts w:ascii="Palatino Linotype" w:eastAsia="Palatino Linotype" w:hAnsi="Palatino Linotype" w:cs="Palatino Linotype"/>
        </w:rPr>
      </w:pPr>
    </w:p>
    <w:p w:rsidR="009519BA" w:rsidRPr="007775A4" w:rsidRDefault="00930865">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Es por ello que se insiste en que </w:t>
      </w:r>
      <w:r w:rsidR="009519BA" w:rsidRPr="007775A4">
        <w:rPr>
          <w:rFonts w:ascii="Palatino Linotype" w:eastAsia="Palatino Linotype" w:hAnsi="Palatino Linotype" w:cs="Palatino Linotype"/>
          <w:iCs/>
        </w:rPr>
        <w:t>dichos documentos deberán entregarse disociados, esto con el fin de eliminar cualquier el vínculo que permita identificar a determinados servidores públicos que funciones operativas en materia de seguridad pública y así no poner en riesgo su</w:t>
      </w:r>
      <w:r w:rsidR="009519BA" w:rsidRPr="007775A4">
        <w:rPr>
          <w:rFonts w:ascii="Palatino Linotype" w:eastAsia="Palatino Linotype" w:hAnsi="Palatino Linotype" w:cs="Palatino Linotype"/>
          <w:bCs/>
          <w:iCs/>
          <w:lang w:val="es-MX"/>
        </w:rPr>
        <w:t xml:space="preserve"> vida, seguridad o salud, o bien, de sus familias o entorno social; además, de evitar que se menoscaben las actividades de prevención y persecución de delitos, que realizan, por lo que para realizar una correcta </w:t>
      </w:r>
      <w:r w:rsidR="009519BA" w:rsidRPr="007775A4">
        <w:rPr>
          <w:rFonts w:ascii="Palatino Linotype" w:eastAsia="Palatino Linotype" w:hAnsi="Palatino Linotype" w:cs="Palatino Linotype"/>
          <w:bCs/>
          <w:iCs/>
          <w:lang w:val="es-MX"/>
        </w:rPr>
        <w:lastRenderedPageBreak/>
        <w:t xml:space="preserve">disociación de la información, el </w:t>
      </w:r>
      <w:r w:rsidR="009519BA" w:rsidRPr="007775A4">
        <w:rPr>
          <w:rFonts w:ascii="Palatino Linotype" w:eastAsia="Palatino Linotype" w:hAnsi="Palatino Linotype" w:cs="Palatino Linotype"/>
          <w:b/>
          <w:bCs/>
          <w:iCs/>
          <w:lang w:val="es-MX"/>
        </w:rPr>
        <w:t>Sujeto Obligado</w:t>
      </w:r>
      <w:r w:rsidR="009519BA" w:rsidRPr="007775A4">
        <w:rPr>
          <w:rFonts w:ascii="Palatino Linotype" w:eastAsia="Palatino Linotype" w:hAnsi="Palatino Linotype" w:cs="Palatino Linotype"/>
          <w:bCs/>
          <w:iCs/>
          <w:lang w:val="es-MX"/>
        </w:rPr>
        <w:t>, en el presente caso, deberá evitar la existencia de un vínculo entre el servidor público y el hecho de que se trate de un elemento operativo en materia de seguridad pública.</w:t>
      </w:r>
    </w:p>
    <w:p w:rsidR="00836EA1" w:rsidRPr="007775A4" w:rsidRDefault="00FE6669">
      <w:pPr>
        <w:spacing w:before="240" w:after="240" w:line="360" w:lineRule="auto"/>
        <w:ind w:right="49"/>
        <w:jc w:val="both"/>
        <w:rPr>
          <w:rFonts w:ascii="Palatino Linotype" w:eastAsia="Palatino Linotype" w:hAnsi="Palatino Linotype" w:cs="Palatino Linotype"/>
          <w:b/>
        </w:rPr>
      </w:pPr>
      <w:r w:rsidRPr="007775A4">
        <w:rPr>
          <w:rFonts w:ascii="Palatino Linotype" w:eastAsia="Palatino Linotype" w:hAnsi="Palatino Linotype" w:cs="Palatino Linotype"/>
          <w:b/>
        </w:rPr>
        <w:t>2.- ¿Se cuenta con la información referente a la incidencia de delitos y de faltas administrativas? Anexar información desde enero 2022 a la fecha de recepción de la solicitud.</w:t>
      </w:r>
    </w:p>
    <w:p w:rsidR="00EC339E" w:rsidRPr="007775A4" w:rsidRDefault="00EC339E" w:rsidP="00EC339E">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Para iniciar el estudio de este punto, conviene señalar que tanto en respuesta como en informe justificado,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a través de su </w:t>
      </w:r>
      <w:r w:rsidRPr="007775A4">
        <w:rPr>
          <w:rFonts w:ascii="Palatino Linotype" w:eastAsia="Palatino Linotype" w:hAnsi="Palatino Linotype" w:cs="Palatino Linotype"/>
          <w:b/>
        </w:rPr>
        <w:t>Director de Seguridad Municipal</w:t>
      </w:r>
      <w:r w:rsidRPr="007775A4">
        <w:rPr>
          <w:rFonts w:ascii="Palatino Linotype" w:eastAsia="Palatino Linotype" w:hAnsi="Palatino Linotype" w:cs="Palatino Linotype"/>
        </w:rPr>
        <w:t xml:space="preserve"> asumió contar con la información solicitada del año 2022, sin embargo, añadió que con fundam</w:t>
      </w:r>
      <w:r w:rsidR="00CB5E08" w:rsidRPr="007775A4">
        <w:rPr>
          <w:rFonts w:ascii="Palatino Linotype" w:eastAsia="Palatino Linotype" w:hAnsi="Palatino Linotype" w:cs="Palatino Linotype"/>
        </w:rPr>
        <w:t>ento en el artículo 140 fracciones</w:t>
      </w:r>
      <w:r w:rsidRPr="007775A4">
        <w:rPr>
          <w:rFonts w:ascii="Palatino Linotype" w:eastAsia="Palatino Linotype" w:hAnsi="Palatino Linotype" w:cs="Palatino Linotype"/>
        </w:rPr>
        <w:t xml:space="preserve"> I y V de la Ley General de Transparencia y Acceso a la Información Pública del Estado de México y Municipios, los datos solicitados son considerados como información reservada, esto sin acompañar el acuerdo de su Comité de Transparencia mediante el cual confirme la clasificación de la información como reservada.</w:t>
      </w:r>
    </w:p>
    <w:p w:rsidR="00EC339E" w:rsidRPr="007775A4" w:rsidRDefault="00EC339E" w:rsidP="00EC339E">
      <w:pPr>
        <w:pBdr>
          <w:top w:val="nil"/>
          <w:left w:val="nil"/>
          <w:bottom w:val="nil"/>
          <w:right w:val="nil"/>
          <w:between w:val="nil"/>
        </w:pBdr>
        <w:shd w:val="clear" w:color="auto" w:fill="FFFFFF"/>
        <w:spacing w:after="28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Sobre la reserva hecha valer por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la Ley General de Transparencia y Acceso a la Información Pública, en su artículo 3, fracción XII define como información de interés público, </w:t>
      </w:r>
      <w:r w:rsidRPr="007775A4">
        <w:rPr>
          <w:rFonts w:ascii="Palatino Linotype" w:eastAsia="Palatino Linotype" w:hAnsi="Palatino Linotype" w:cs="Palatino Linotype"/>
          <w:b/>
        </w:rPr>
        <w:t>aquella que resulta relevante o beneficiosa para la sociedad y no simplemente de interés individual, cuya divulgación resulta útil para que el público comprenda las actividades que llevan a cabo los sujetos obligados</w:t>
      </w:r>
      <w:r w:rsidR="001B09FA" w:rsidRPr="007775A4">
        <w:rPr>
          <w:rFonts w:ascii="Palatino Linotype" w:eastAsia="Palatino Linotype" w:hAnsi="Palatino Linotype" w:cs="Palatino Linotype"/>
        </w:rPr>
        <w:t xml:space="preserve">, sin embargo, también regula lo concerniente a la información reservada, ello mediante el artículo 113, mismo que versa de la siguiente manera: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lastRenderedPageBreak/>
        <w:t xml:space="preserve">“Artículo 113. Como información reservada podrá clasificarse aquella cuya publicación: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I. Comprometa la seguridad nacional, la seguridad pública o la defensa nacional y cuente con un propósito genuino y un efecto demostrable;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II. Pueda menoscabar la conducción de las negociaciones y relaciones internacionales;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III.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V. Pueda poner en riesgo la vida, seguridad o salud de una persona física;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VI. Obstruya las actividades de verificación, inspección y auditoría relativas al cumplimiento de las leyes o afecte la recaudación de contribuciones;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VII. Obstruya la prevención o persecución de los delitos;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VIII. La que contenga las opiniones, recomendaciones o puntos de vista que formen parte del proceso deliberativo de los servidores públicos, hasta en tanto no sea adoptada la decisión definitiva, la cual deberá estar documentada;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IX. Obstruya los procedimientos para fincar responsabilidad a los Servidores Públicos, en tanto no se haya dictado la resolución administrativa;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X. Afecte los derechos del debido proceso;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lastRenderedPageBreak/>
        <w:t xml:space="preserve">XI. Vulnere la conducción de los Expedientes judiciales o de los procedimientos administrativos seguidos en forma de juicio, en tanto no hayan causado estado;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XII. Se encuentre contenida dentro de las investigaciones de hechos que la ley señale como delitos y se tramiten ante el Ministerio Público, y </w:t>
      </w:r>
    </w:p>
    <w:p w:rsidR="001B09FA" w:rsidRPr="007775A4" w:rsidRDefault="001B09FA" w:rsidP="001B09FA">
      <w:pPr>
        <w:pBdr>
          <w:top w:val="nil"/>
          <w:left w:val="nil"/>
          <w:bottom w:val="nil"/>
          <w:right w:val="nil"/>
          <w:between w:val="nil"/>
        </w:pBdr>
        <w:shd w:val="clear" w:color="auto" w:fill="FFFFFF"/>
        <w:spacing w:after="28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XIII. Las que por disposición expresa de una ley tengan tal carácter, siempre que sean acordes con las bases, principios y disposiciones establecidos en esta Ley y no la contravengan; así como las previstas en tratados internacionales”</w:t>
      </w:r>
    </w:p>
    <w:p w:rsidR="00F55E75" w:rsidRPr="007775A4" w:rsidRDefault="001B09FA">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Es de precisar que esta circunstancia se replica en la Ley de Transparencia y Acceso a la Información Pública del Estado de México y Municipios, en su artículo 140, a saber: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140</w:t>
      </w:r>
      <w:r w:rsidRPr="007775A4">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w:t>
      </w:r>
      <w:r w:rsidRPr="007775A4">
        <w:rPr>
          <w:rFonts w:ascii="Palatino Linotype" w:eastAsia="Palatino Linotype" w:hAnsi="Palatino Linotype" w:cs="Palatino Linotype"/>
          <w:i/>
          <w:sz w:val="22"/>
          <w:szCs w:val="22"/>
        </w:rPr>
        <w:t xml:space="preserve">. Comprometa la seguridad pública y cuente con un propósito genuino y un efecto demostrable;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II.</w:t>
      </w:r>
      <w:r w:rsidRPr="007775A4">
        <w:rPr>
          <w:rFonts w:ascii="Palatino Linotype" w:eastAsia="Palatino Linotype" w:hAnsi="Palatino Linotype" w:cs="Palatino Linotype"/>
          <w:i/>
          <w:sz w:val="22"/>
          <w:szCs w:val="22"/>
        </w:rPr>
        <w:t xml:space="preserve"> Pueda menoscabar la conducción de las negociaciones y relaciones internacionales;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III.</w:t>
      </w:r>
      <w:r w:rsidRPr="007775A4">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IV.</w:t>
      </w:r>
      <w:r w:rsidRPr="007775A4">
        <w:rPr>
          <w:rFonts w:ascii="Palatino Linotype" w:eastAsia="Palatino Linotype" w:hAnsi="Palatino Linotype" w:cs="Palatino Linotype"/>
          <w:i/>
          <w:sz w:val="22"/>
          <w:szCs w:val="22"/>
        </w:rPr>
        <w:t xml:space="preserve"> Ponga en riesgo la vida, la seguridad o la salud de una persona física;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V</w:t>
      </w:r>
      <w:r w:rsidRPr="007775A4">
        <w:rPr>
          <w:rFonts w:ascii="Palatino Linotype" w:eastAsia="Palatino Linotype" w:hAnsi="Palatino Linotype" w:cs="Palatino Linotype"/>
          <w:i/>
          <w:sz w:val="22"/>
          <w:szCs w:val="22"/>
        </w:rPr>
        <w:t xml:space="preserve">. Aquella cuya divulgación obstruya o pueda causar un serio perjuicio a: </w:t>
      </w:r>
    </w:p>
    <w:p w:rsidR="001B09FA" w:rsidRPr="007775A4" w:rsidRDefault="001B09FA" w:rsidP="001B09FA">
      <w:pPr>
        <w:spacing w:before="240" w:after="240"/>
        <w:ind w:left="993"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rsidR="001B09FA" w:rsidRPr="007775A4" w:rsidRDefault="001B09FA" w:rsidP="001B09FA">
      <w:pPr>
        <w:spacing w:before="240" w:after="240"/>
        <w:ind w:left="993"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2. La recaudación de las contribuciones.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lastRenderedPageBreak/>
        <w:t>VI</w:t>
      </w:r>
      <w:r w:rsidRPr="007775A4">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VII.</w:t>
      </w:r>
      <w:r w:rsidRPr="007775A4">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VIII.</w:t>
      </w:r>
      <w:r w:rsidRPr="007775A4">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IX</w:t>
      </w:r>
      <w:r w:rsidRPr="007775A4">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X.</w:t>
      </w:r>
      <w:r w:rsidRPr="007775A4">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1B09FA" w:rsidRPr="007775A4" w:rsidRDefault="001B09FA" w:rsidP="001B09FA">
      <w:pPr>
        <w:spacing w:before="240" w:after="240"/>
        <w:ind w:left="851"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rsidR="001B09FA" w:rsidRPr="007775A4" w:rsidRDefault="001B09FA" w:rsidP="001B09FA">
      <w:pPr>
        <w:spacing w:before="240" w:after="240"/>
        <w:ind w:left="794" w:right="85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XI.</w:t>
      </w:r>
      <w:r w:rsidRPr="007775A4">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rsidR="001B09FA" w:rsidRPr="007775A4" w:rsidRDefault="001B09FA" w:rsidP="001B09FA">
      <w:pPr>
        <w:spacing w:before="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En relación con las implicaciones anteriores, cabe considerar que la </w:t>
      </w:r>
      <w:r w:rsidRPr="007775A4">
        <w:rPr>
          <w:rFonts w:ascii="Palatino Linotype" w:eastAsia="Palatino Linotype" w:hAnsi="Palatino Linotype" w:cs="Palatino Linotype"/>
          <w:i/>
        </w:rPr>
        <w:t>clasificación</w:t>
      </w:r>
      <w:r w:rsidRPr="007775A4">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w:t>
      </w:r>
      <w:r w:rsidRPr="007775A4">
        <w:rPr>
          <w:rFonts w:ascii="Palatino Linotype" w:eastAsia="Palatino Linotype" w:hAnsi="Palatino Linotype" w:cs="Palatino Linotype"/>
        </w:rPr>
        <w:lastRenderedPageBreak/>
        <w:t>máxima al interior de los sujetos obligados, siendo este un Cuerpo Colegiado que se integra para resolver sobre la información que debe clasificarse, así como para atender y resolver los requerimientos de las Unidades de Transparencia y del Instituto.</w:t>
      </w:r>
    </w:p>
    <w:p w:rsidR="001B09FA" w:rsidRPr="007775A4" w:rsidRDefault="001B09FA" w:rsidP="001B09FA">
      <w:pPr>
        <w:spacing w:before="240" w:line="360" w:lineRule="auto"/>
        <w:jc w:val="both"/>
        <w:rPr>
          <w:rFonts w:ascii="Palatino Linotype" w:eastAsia="Palatino Linotype" w:hAnsi="Palatino Linotype" w:cs="Palatino Linotype"/>
        </w:rPr>
      </w:pPr>
    </w:p>
    <w:p w:rsidR="001B09FA" w:rsidRPr="007775A4" w:rsidRDefault="001B09FA" w:rsidP="001B09FA">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subsistente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rsidR="001B09FA" w:rsidRPr="007775A4" w:rsidRDefault="001B09FA" w:rsidP="001B09FA">
      <w:pPr>
        <w:spacing w:line="360" w:lineRule="auto"/>
        <w:jc w:val="both"/>
        <w:rPr>
          <w:rFonts w:ascii="Palatino Linotype" w:eastAsia="Palatino Linotype" w:hAnsi="Palatino Linotype" w:cs="Palatino Linotype"/>
        </w:rPr>
      </w:pPr>
    </w:p>
    <w:p w:rsidR="001B09FA" w:rsidRPr="007775A4" w:rsidRDefault="001B09FA" w:rsidP="001B09FA">
      <w:pP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w:t>
      </w:r>
      <w:r w:rsidRPr="007775A4">
        <w:rPr>
          <w:rFonts w:ascii="Palatino Linotype" w:eastAsia="Palatino Linotype" w:hAnsi="Palatino Linotype" w:cs="Palatino Linotype"/>
        </w:rPr>
        <w:lastRenderedPageBreak/>
        <w:t>Transparencia en la entidad, debiendo en todo momento aplicar la prueba de daño</w:t>
      </w:r>
      <w:r w:rsidRPr="007775A4">
        <w:rPr>
          <w:rFonts w:ascii="Palatino Linotype" w:eastAsia="Palatino Linotype" w:hAnsi="Palatino Linotype" w:cs="Palatino Linotype"/>
          <w:vertAlign w:val="superscript"/>
        </w:rPr>
        <w:footnoteReference w:id="1"/>
      </w:r>
      <w:r w:rsidRPr="007775A4">
        <w:rPr>
          <w:rFonts w:ascii="Palatino Linotype" w:eastAsia="Palatino Linotype" w:hAnsi="Palatino Linotype" w:cs="Palatino Linotype"/>
        </w:rPr>
        <w:t xml:space="preserve"> y hacer mención del plazo al que estará sujeto la reserva.</w:t>
      </w:r>
    </w:p>
    <w:p w:rsidR="001B09FA" w:rsidRPr="007775A4" w:rsidRDefault="001B09FA" w:rsidP="001B09FA">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1B09FA" w:rsidRPr="007775A4" w:rsidRDefault="001B09FA" w:rsidP="001B09FA">
      <w:pPr>
        <w:jc w:val="both"/>
        <w:rPr>
          <w:rFonts w:ascii="Palatino Linotype" w:eastAsia="Palatino Linotype" w:hAnsi="Palatino Linotype" w:cs="Palatino Linotype"/>
        </w:rPr>
      </w:pPr>
    </w:p>
    <w:p w:rsidR="001B09FA" w:rsidRPr="007775A4" w:rsidRDefault="001B09FA" w:rsidP="001B09FA">
      <w:pPr>
        <w:ind w:left="851" w:right="902"/>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7775A4">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7775A4">
        <w:rPr>
          <w:rFonts w:ascii="Palatino Linotype" w:eastAsia="Palatino Linotype" w:hAnsi="Palatino Linotype" w:cs="Palatino Linotype"/>
          <w:i/>
          <w:sz w:val="22"/>
          <w:szCs w:val="22"/>
        </w:rPr>
        <w:t>officio</w:t>
      </w:r>
      <w:proofErr w:type="spellEnd"/>
      <w:r w:rsidRPr="007775A4">
        <w:rPr>
          <w:rFonts w:ascii="Palatino Linotype" w:eastAsia="Palatino Linotype" w:hAnsi="Palatino Linotype" w:cs="Palatino Linotype"/>
          <w:i/>
          <w:sz w:val="22"/>
          <w:szCs w:val="22"/>
        </w:rPr>
        <w:t>, con el propósito de obtener una versión que sea pública para la parte interesada.” (</w:t>
      </w:r>
      <w:proofErr w:type="gramStart"/>
      <w:r w:rsidRPr="007775A4">
        <w:rPr>
          <w:rFonts w:ascii="Palatino Linotype" w:eastAsia="Palatino Linotype" w:hAnsi="Palatino Linotype" w:cs="Palatino Linotype"/>
          <w:i/>
          <w:sz w:val="22"/>
          <w:szCs w:val="22"/>
        </w:rPr>
        <w:t>sic</w:t>
      </w:r>
      <w:proofErr w:type="gramEnd"/>
      <w:r w:rsidRPr="007775A4">
        <w:rPr>
          <w:rFonts w:ascii="Palatino Linotype" w:eastAsia="Palatino Linotype" w:hAnsi="Palatino Linotype" w:cs="Palatino Linotype"/>
          <w:i/>
          <w:sz w:val="22"/>
          <w:szCs w:val="22"/>
        </w:rPr>
        <w:t>)</w:t>
      </w:r>
    </w:p>
    <w:p w:rsidR="001B09FA" w:rsidRPr="007775A4" w:rsidRDefault="001B09FA" w:rsidP="001B09FA">
      <w:pPr>
        <w:ind w:left="851" w:right="902"/>
        <w:jc w:val="both"/>
        <w:rPr>
          <w:rFonts w:ascii="Palatino Linotype" w:eastAsia="Palatino Linotype" w:hAnsi="Palatino Linotype" w:cs="Palatino Linotype"/>
          <w:i/>
          <w:sz w:val="22"/>
          <w:szCs w:val="22"/>
        </w:rPr>
      </w:pPr>
    </w:p>
    <w:p w:rsidR="001B09FA" w:rsidRPr="007775A4" w:rsidRDefault="001B09FA" w:rsidP="001B09FA">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lastRenderedPageBreak/>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transparencias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rsidR="001B09FA" w:rsidRPr="007775A4" w:rsidRDefault="001B09FA" w:rsidP="001B09FA">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rsidR="001B09FA" w:rsidRPr="007775A4" w:rsidRDefault="001B09FA" w:rsidP="001B09FA">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En los casos en que la información solicitada por los particulares actualice algún supuesto de información reservada, les corresponde a los sujetos obligados la carga de la prueba para justificar la negativa de acceso a la información.</w:t>
      </w:r>
    </w:p>
    <w:p w:rsidR="001B09FA" w:rsidRPr="007775A4" w:rsidRDefault="00CB5E08">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Bajo este orden de ideas, los Lineamientos Generales en Materia de Clasificación y Desclasificación de la Información, así como para la Elaboración de Versiones Públicas, prevén que para la reserva de la información, se deberá emitir un acuerdo que cuente con las siguientes formalidades: </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lastRenderedPageBreak/>
        <w:t>“CAPÍTULO II</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DE LA CLASIFICACIÓN</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 xml:space="preserve">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Los sujetos obligados deberán aplicar, de manera estricta, las excepciones al derecho de acceso a la información y sólo podrán invocarlas cuando acrediten su procedencia.</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b/>
          <w:i/>
          <w:sz w:val="22"/>
        </w:rPr>
      </w:pPr>
      <w:r w:rsidRPr="007775A4">
        <w:rPr>
          <w:rFonts w:ascii="Palatino Linotype" w:eastAsia="Palatino Linotype" w:hAnsi="Palatino Linotype" w:cs="Palatino Linotype"/>
          <w:b/>
          <w:i/>
          <w:sz w:val="22"/>
        </w:rPr>
        <w:t>Sexto. Los sujetos obligados no podrán emitir acuerdos de carácter general ni particular que clasifiquen documentos o expedientes como reservados, ni clasificar documentos antes de que se genere la información o cuando éstos no obren en sus archivos.</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b/>
          <w:i/>
          <w:sz w:val="22"/>
        </w:rPr>
      </w:pPr>
      <w:r w:rsidRPr="007775A4">
        <w:rPr>
          <w:rFonts w:ascii="Palatino Linotype" w:eastAsia="Palatino Linotype" w:hAnsi="Palatino Linotype" w:cs="Palatino Linotype"/>
          <w:b/>
          <w:i/>
          <w:sz w:val="22"/>
        </w:rPr>
        <w:t>La clasificación de información se realizará conforme a un análisis caso por caso, mediante la aplicación de la prueba de daño y de interés público.</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b/>
          <w:i/>
          <w:sz w:val="22"/>
        </w:rPr>
      </w:pPr>
      <w:r w:rsidRPr="007775A4">
        <w:rPr>
          <w:rFonts w:ascii="Palatino Linotype" w:eastAsia="Palatino Linotype" w:hAnsi="Palatino Linotype" w:cs="Palatino Linotype"/>
          <w:b/>
          <w:i/>
          <w:sz w:val="22"/>
        </w:rPr>
        <w:t>…</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b/>
          <w:i/>
          <w:sz w:val="22"/>
        </w:rPr>
      </w:pPr>
      <w:r w:rsidRPr="007775A4">
        <w:rPr>
          <w:rFonts w:ascii="Palatino Linotype" w:eastAsia="Palatino Linotype" w:hAnsi="Palatino Linotype" w:cs="Palatino Linotype"/>
          <w:b/>
          <w:i/>
          <w:sz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b/>
          <w:i/>
          <w:sz w:val="22"/>
        </w:rPr>
      </w:pPr>
      <w:r w:rsidRPr="007775A4">
        <w:rPr>
          <w:rFonts w:ascii="Palatino Linotype" w:eastAsia="Palatino Linotype" w:hAnsi="Palatino Linotype" w:cs="Palatino Linotype"/>
          <w:b/>
          <w:i/>
          <w:sz w:val="22"/>
        </w:rPr>
        <w:lastRenderedPageBreak/>
        <w:t>Para motivar la clasificación se deberán señalar las razones o circunstancias especiales que lo llevaron a concluir que el caso particular se ajusta al supuesto previsto por la norma legal invocada como fundamento.</w:t>
      </w:r>
    </w:p>
    <w:p w:rsidR="00CB5E08" w:rsidRPr="007775A4" w:rsidRDefault="00CB5E08" w:rsidP="00CB5E08">
      <w:pPr>
        <w:spacing w:before="240" w:after="240" w:line="276" w:lineRule="auto"/>
        <w:ind w:left="567" w:right="900"/>
        <w:jc w:val="both"/>
        <w:rPr>
          <w:rFonts w:ascii="Palatino Linotype" w:eastAsia="Palatino Linotype" w:hAnsi="Palatino Linotype" w:cs="Palatino Linotype"/>
          <w:b/>
          <w:i/>
          <w:sz w:val="22"/>
        </w:rPr>
      </w:pPr>
      <w:r w:rsidRPr="007775A4">
        <w:rPr>
          <w:rFonts w:ascii="Palatino Linotype" w:eastAsia="Palatino Linotype" w:hAnsi="Palatino Linotype" w:cs="Palatino Linotype"/>
          <w:b/>
          <w:i/>
          <w:sz w:val="22"/>
        </w:rPr>
        <w:t xml:space="preserve">En caso de referirse a información reservada, la motivación de la clasificación también deberá comprender las circunstancias que justifican el establecimiento de determinado plazo de reserva.” </w:t>
      </w:r>
      <w:r w:rsidRPr="007775A4">
        <w:rPr>
          <w:rFonts w:ascii="Palatino Linotype" w:eastAsia="Palatino Linotype" w:hAnsi="Palatino Linotype" w:cs="Palatino Linotype"/>
          <w:i/>
          <w:sz w:val="22"/>
        </w:rPr>
        <w:t>(Sic) (Énfasis añadido)</w:t>
      </w:r>
    </w:p>
    <w:p w:rsidR="00B553E1" w:rsidRPr="007775A4" w:rsidRDefault="00B553E1" w:rsidP="00B553E1">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lo anteriormente analizado, se advierte que la reserva alegada por el </w:t>
      </w:r>
      <w:r w:rsidRPr="007775A4">
        <w:rPr>
          <w:rFonts w:ascii="Palatino Linotype" w:eastAsia="Palatino Linotype" w:hAnsi="Palatino Linotype" w:cs="Palatino Linotype"/>
          <w:b/>
        </w:rPr>
        <w:t xml:space="preserve">Sujeto Obligado </w:t>
      </w:r>
      <w:r w:rsidRPr="007775A4">
        <w:rPr>
          <w:rFonts w:ascii="Palatino Linotype" w:eastAsia="Palatino Linotype" w:hAnsi="Palatino Linotype" w:cs="Palatino Linotype"/>
        </w:rPr>
        <w:t>no se realizó conforme a derecho pues</w:t>
      </w:r>
      <w:r w:rsidRPr="007775A4">
        <w:rPr>
          <w:rFonts w:ascii="Palatino Linotype" w:eastAsia="Palatino Linotype" w:hAnsi="Palatino Linotype" w:cs="Palatino Linotype"/>
          <w:b/>
        </w:rPr>
        <w:t xml:space="preserve"> </w:t>
      </w:r>
      <w:r w:rsidRPr="007775A4">
        <w:rPr>
          <w:rFonts w:ascii="Palatino Linotype" w:eastAsia="Palatino Linotype" w:hAnsi="Palatino Linotype" w:cs="Palatino Linotype"/>
        </w:rPr>
        <w:t>el Director de Seguridad Municipal únicamente se limitó a otorgarle la calidad de reservada precisando las fracciones I y V de la Ley General de Transparencia y Acceso a la Información Pública, sin embargo, no se precisan las razones por las cuales, la divulgación de dicha información pudiera representar un riesgo, ni la temporalidad por la cual le aplicará dicha reserva, por lo tanto, no obra una debida fundamentación ni motivación, sirve de apoyo al razonamiento anterior, la siguiente Jurisprudencia emitida por el Poder Judicial de la Federación:</w:t>
      </w:r>
    </w:p>
    <w:p w:rsidR="00B553E1" w:rsidRPr="007775A4" w:rsidRDefault="00B553E1" w:rsidP="00B553E1">
      <w:pPr>
        <w:jc w:val="both"/>
        <w:rPr>
          <w:rFonts w:ascii="Palatino Linotype" w:eastAsia="Palatino Linotype" w:hAnsi="Palatino Linotype" w:cs="Palatino Linotype"/>
        </w:rPr>
      </w:pPr>
    </w:p>
    <w:p w:rsidR="00B553E1" w:rsidRPr="007775A4" w:rsidRDefault="00B553E1" w:rsidP="00B553E1">
      <w:pPr>
        <w:ind w:left="851" w:right="899"/>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FUNDAMENTACIÓN Y MOTIVACIÓN. LA DIFERENCIA ENTRE LA FALTA Y LA INDEBIDA SATISFACCIÓN DE AMBOS REQUISITOS CONSTITUCIONALES TRASCIENDE AL ORDEN EN QUE DEBEN ESTUDIARSE LOS CONCEPTOS DE VIOLACIÓN Y A LOS EFECTOS DEL FALLO PROTECTOR.</w:t>
      </w:r>
    </w:p>
    <w:p w:rsidR="00B553E1" w:rsidRPr="007775A4" w:rsidRDefault="00B553E1" w:rsidP="00B553E1">
      <w:pPr>
        <w:ind w:left="851" w:right="899"/>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 xml:space="preserve">La falta de fundamentación y motivación es una violación formal </w:t>
      </w:r>
      <w:r w:rsidRPr="007775A4">
        <w:rPr>
          <w:rFonts w:ascii="Palatino Linotype" w:eastAsia="Palatino Linotype" w:hAnsi="Palatino Linotype" w:cs="Palatino Linotype"/>
          <w:i/>
          <w:sz w:val="22"/>
          <w:szCs w:val="22"/>
        </w:rPr>
        <w:t xml:space="preserve">diversa a la indebida o incorrecta fundamentación y motivación, que es una violación material o de fondo, siendo distintos los efectos que genera la existencia de una u otra, por lo que el estudio de aquella omisión debe hacerse de manera previa. En efecto, el artículo 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w:t>
      </w:r>
      <w:r w:rsidRPr="007775A4">
        <w:rPr>
          <w:rFonts w:ascii="Palatino Linotype" w:eastAsia="Palatino Linotype" w:hAnsi="Palatino Linotype" w:cs="Palatino Linotype"/>
          <w:i/>
          <w:sz w:val="22"/>
          <w:szCs w:val="22"/>
        </w:rPr>
        <w:lastRenderedPageBreak/>
        <w:t xml:space="preserve">legal aplicable al asunto y las razones que se hayan considerado para estimar que el caso puede subsumirse en la hipótesis prevista en esa norma jurídica. En cambio, </w:t>
      </w:r>
      <w:r w:rsidRPr="007775A4">
        <w:rPr>
          <w:rFonts w:ascii="Palatino Linotype" w:eastAsia="Palatino Linotype" w:hAnsi="Palatino Linotype" w:cs="Palatino Linotype"/>
          <w:b/>
          <w:i/>
          <w:sz w:val="22"/>
          <w:szCs w:val="22"/>
        </w:rPr>
        <w:t xml:space="preserve">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w:t>
      </w:r>
      <w:r w:rsidRPr="007775A4">
        <w:rPr>
          <w:rFonts w:ascii="Palatino Linotype" w:eastAsia="Palatino Linotype" w:hAnsi="Palatino Linotype" w:cs="Palatino Linotype"/>
          <w:i/>
          <w:sz w:val="22"/>
          <w:szCs w:val="22"/>
        </w:rPr>
        <w:t xml:space="preserve">De manera que la falta de fundamentación y motivación significa la carencia o ausencia de tales requisitos, mientras que </w:t>
      </w:r>
      <w:r w:rsidRPr="007775A4">
        <w:rPr>
          <w:rFonts w:ascii="Palatino Linotype" w:eastAsia="Palatino Linotype" w:hAnsi="Palatino Linotype" w:cs="Palatino Linotype"/>
          <w:b/>
          <w:i/>
          <w:sz w:val="22"/>
          <w:szCs w:val="22"/>
        </w:rPr>
        <w:t>la indebida o incorrecta fundamentación y motivación entraña la presencia de ambos requisitos constitucionales, pero con un desajuste entre la aplicación de normas y los razonamientos formulados por la autoridad con el caso concreto</w:t>
      </w:r>
      <w:r w:rsidRPr="007775A4">
        <w:rPr>
          <w:rFonts w:ascii="Palatino Linotype" w:eastAsia="Palatino Linotype" w:hAnsi="Palatino Linotype" w:cs="Palatino Linotype"/>
          <w:i/>
          <w:sz w:val="22"/>
          <w:szCs w:val="22"/>
        </w:rPr>
        <w:t xml:space="preserve">.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w:t>
      </w:r>
      <w:r w:rsidRPr="007775A4">
        <w:rPr>
          <w:rFonts w:ascii="Palatino Linotype" w:eastAsia="Palatino Linotype" w:hAnsi="Palatino Linotype" w:cs="Palatino Linotype"/>
          <w:b/>
          <w:i/>
          <w:sz w:val="22"/>
          <w:szCs w:val="22"/>
        </w:rPr>
        <w:t>segundo caso consiste en una violación material o de fondo porque se ha cumplido con la forma mediante la expresión de fundamentos y motivos, pero unos y otros son incorrectos</w:t>
      </w:r>
      <w:r w:rsidRPr="007775A4">
        <w:rPr>
          <w:rFonts w:ascii="Palatino Linotype" w:eastAsia="Palatino Linotype" w:hAnsi="Palatino Linotype" w:cs="Palatino Linotype"/>
          <w:i/>
          <w:sz w:val="22"/>
          <w:szCs w:val="22"/>
        </w:rPr>
        <w:t xml:space="preserve">,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w:t>
      </w:r>
      <w:r w:rsidRPr="007775A4">
        <w:rPr>
          <w:rFonts w:ascii="Palatino Linotype" w:eastAsia="Palatino Linotype" w:hAnsi="Palatino Linotype" w:cs="Palatino Linotype"/>
          <w:b/>
          <w:i/>
          <w:sz w:val="22"/>
          <w:szCs w:val="22"/>
        </w:rPr>
        <w:t>subsane la irregularidad expresando la fundamentación y motivación antes ausente</w:t>
      </w:r>
      <w:r w:rsidRPr="007775A4">
        <w:rPr>
          <w:rFonts w:ascii="Palatino Linotype" w:eastAsia="Palatino Linotype" w:hAnsi="Palatino Linotype" w:cs="Palatino Linotype"/>
          <w:i/>
          <w:sz w:val="22"/>
          <w:szCs w:val="22"/>
        </w:rPr>
        <w:t>,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rsidR="00B553E1" w:rsidRPr="007775A4" w:rsidRDefault="00B553E1" w:rsidP="00B553E1">
      <w:pPr>
        <w:ind w:left="851" w:right="1417"/>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(Énfasis añadido)</w:t>
      </w:r>
    </w:p>
    <w:p w:rsidR="00B553E1" w:rsidRPr="007775A4" w:rsidRDefault="00B553E1" w:rsidP="00B553E1">
      <w:pPr>
        <w:spacing w:line="360" w:lineRule="auto"/>
        <w:jc w:val="both"/>
        <w:rPr>
          <w:rFonts w:ascii="Palatino Linotype" w:eastAsia="Palatino Linotype" w:hAnsi="Palatino Linotype" w:cs="Palatino Linotype"/>
        </w:rPr>
      </w:pPr>
    </w:p>
    <w:p w:rsidR="00B553E1" w:rsidRPr="007775A4" w:rsidRDefault="00B553E1" w:rsidP="00B553E1">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Precisado lo anterior, sobre la </w:t>
      </w:r>
      <w:r w:rsidRPr="007775A4">
        <w:rPr>
          <w:rFonts w:ascii="Palatino Linotype" w:eastAsia="Palatino Linotype" w:hAnsi="Palatino Linotype" w:cs="Palatino Linotype"/>
          <w:b/>
          <w:u w:val="single"/>
        </w:rPr>
        <w:t>naturaleza de la información solicitada</w:t>
      </w:r>
      <w:r w:rsidRPr="007775A4">
        <w:rPr>
          <w:rFonts w:ascii="Palatino Linotype" w:eastAsia="Palatino Linotype" w:hAnsi="Palatino Linotype" w:cs="Palatino Linotype"/>
        </w:rPr>
        <w:t xml:space="preserve">, es oportuno traer a colación, los artículos 5, fracción II, XVII, 7, fracción IX, 19, fracción I, 39, inciso b), fracción VI y XI, 118 de la Ley General del Sistema Nacional de Seguridad Pública; disposición legal que dispone lo siguiente: </w:t>
      </w:r>
    </w:p>
    <w:p w:rsidR="00B553E1" w:rsidRPr="007775A4" w:rsidRDefault="00B553E1" w:rsidP="00B553E1">
      <w:pPr>
        <w:tabs>
          <w:tab w:val="left" w:pos="7938"/>
        </w:tabs>
        <w:spacing w:line="276" w:lineRule="auto"/>
        <w:ind w:right="900"/>
        <w:jc w:val="both"/>
        <w:rPr>
          <w:rFonts w:ascii="Palatino Linotype" w:eastAsia="Palatino Linotype" w:hAnsi="Palatino Linotype" w:cs="Palatino Linotype"/>
          <w:b/>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5</w:t>
      </w:r>
      <w:r w:rsidRPr="007775A4">
        <w:rPr>
          <w:rFonts w:ascii="Palatino Linotype" w:eastAsia="Palatino Linotype" w:hAnsi="Palatino Linotype" w:cs="Palatino Linotype"/>
          <w:i/>
          <w:sz w:val="22"/>
          <w:szCs w:val="22"/>
        </w:rPr>
        <w:t>.- Para los efectos de esta Ley, se entenderá por:</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III a XVI…</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7.-</w:t>
      </w:r>
      <w:r w:rsidRPr="007775A4">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lastRenderedPageBreak/>
        <w:t>I a VIII…</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X a XVI…</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19.-</w:t>
      </w:r>
      <w:r w:rsidRPr="007775A4">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 Determinar los criterios técnicos y de homologación de las Bases de Datos que conforman el Sistema Nacional de Información;</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II a VI…</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7775A4">
        <w:rPr>
          <w:rFonts w:ascii="Palatino Linotype" w:eastAsia="Palatino Linotype" w:hAnsi="Palatino Linotype" w:cs="Palatino Linotype"/>
          <w:b/>
          <w:i/>
          <w:sz w:val="22"/>
          <w:szCs w:val="22"/>
          <w:u w:val="single"/>
        </w:rPr>
        <w:t>Artículo 39.- La concurrencia de facultades entre la Federación, las entidades federativas y los Municipios, quedará distribuida conforme a lo siguiente:</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A…</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7775A4">
        <w:rPr>
          <w:rFonts w:ascii="Palatino Linotype" w:eastAsia="Palatino Linotype" w:hAnsi="Palatino Linotype" w:cs="Palatino Linotype"/>
          <w:b/>
          <w:i/>
          <w:sz w:val="22"/>
          <w:szCs w:val="22"/>
          <w:u w:val="single"/>
        </w:rPr>
        <w:t>B. Corresponde a la Federación, a las entidades federativas y a los Municipios, en el ámbito de sus respectivas competencias:</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 a V…</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VI. Designar a un responsable del control, suministro y adecuado manejo de la información a que se refiere esta Ley;</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XII a X…</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7775A4">
        <w:rPr>
          <w:rFonts w:ascii="Palatino Linotype" w:eastAsia="Palatino Linotype" w:hAnsi="Palatino Linotype" w:cs="Palatino Linotype"/>
          <w:b/>
          <w:i/>
          <w:sz w:val="22"/>
          <w:szCs w:val="22"/>
          <w:u w:val="single"/>
        </w:rPr>
        <w:t xml:space="preserve">XI. Integrar y consultar la información relativa a la operación y Desarrollo Policial para el registro y seguimiento en el Sistema Nacional de Información; </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XII a XV…</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lastRenderedPageBreak/>
        <w:t>Artículo 118.-</w:t>
      </w:r>
      <w:r w:rsidRPr="007775A4">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938"/>
        </w:tabs>
        <w:spacing w:before="240" w:after="240" w:line="360" w:lineRule="auto"/>
        <w:jc w:val="center"/>
        <w:rPr>
          <w:rFonts w:ascii="Palatino Linotype" w:eastAsia="Palatino Linotype" w:hAnsi="Palatino Linotype" w:cs="Palatino Linotype"/>
          <w:b/>
        </w:rPr>
      </w:pPr>
      <w:r w:rsidRPr="007775A4">
        <w:rPr>
          <w:rFonts w:ascii="Palatino Linotype" w:eastAsia="Palatino Linotype" w:hAnsi="Palatino Linotype" w:cs="Palatino Linotype"/>
          <w:b/>
        </w:rPr>
        <w:t>Ley de Seguridad del Estado de México</w:t>
      </w:r>
    </w:p>
    <w:p w:rsidR="00B553E1" w:rsidRPr="007775A4" w:rsidRDefault="00B553E1" w:rsidP="002578B2">
      <w:pPr>
        <w:tabs>
          <w:tab w:val="left" w:pos="7938"/>
        </w:tabs>
        <w:spacing w:before="240" w:after="240" w:line="360" w:lineRule="auto"/>
        <w:ind w:left="567" w:right="900"/>
        <w:jc w:val="both"/>
        <w:rPr>
          <w:rFonts w:ascii="Palatino Linotype" w:eastAsia="Palatino Linotype" w:hAnsi="Palatino Linotype" w:cs="Palatino Linotype"/>
          <w:b/>
        </w:rPr>
      </w:pPr>
      <w:r w:rsidRPr="007775A4">
        <w:rPr>
          <w:rFonts w:ascii="Palatino Linotype" w:eastAsia="Palatino Linotype" w:hAnsi="Palatino Linotype" w:cs="Palatino Linotype"/>
          <w:b/>
        </w:rPr>
        <w:t>Decreto número 360 publicado en el Periódico Oficial “Gaceta del Gobierno” del Estado de México, el diecinueve de octubre</w:t>
      </w:r>
      <w:r w:rsidRPr="007775A4">
        <w:rPr>
          <w:rFonts w:ascii="Palatino Linotype" w:eastAsia="Palatino Linotype" w:hAnsi="Palatino Linotype" w:cs="Palatino Linotype"/>
          <w:b/>
          <w:u w:val="single"/>
        </w:rPr>
        <w:t xml:space="preserve"> de dos mil once</w:t>
      </w:r>
      <w:r w:rsidRPr="007775A4">
        <w:rPr>
          <w:rFonts w:ascii="Palatino Linotype" w:eastAsia="Palatino Linotype" w:hAnsi="Palatino Linotype" w:cs="Palatino Linotype"/>
          <w:b/>
        </w:rPr>
        <w:t>.</w:t>
      </w:r>
    </w:p>
    <w:p w:rsidR="00B553E1" w:rsidRPr="007775A4" w:rsidRDefault="00B553E1" w:rsidP="00B553E1">
      <w:pPr>
        <w:tabs>
          <w:tab w:val="left" w:pos="7938"/>
        </w:tabs>
        <w:spacing w:before="240" w:after="240" w:line="360" w:lineRule="auto"/>
        <w:jc w:val="center"/>
        <w:rPr>
          <w:rFonts w:ascii="Palatino Linotype" w:eastAsia="Palatino Linotype" w:hAnsi="Palatino Linotype" w:cs="Palatino Linotype"/>
          <w:b/>
        </w:rPr>
      </w:pPr>
      <w:r w:rsidRPr="007775A4">
        <w:rPr>
          <w:rFonts w:ascii="Palatino Linotype" w:eastAsia="Palatino Linotype" w:hAnsi="Palatino Linotype" w:cs="Palatino Linotype"/>
          <w:i/>
          <w:noProof/>
          <w:lang w:val="es-MX"/>
        </w:rPr>
        <w:lastRenderedPageBreak/>
        <w:drawing>
          <wp:inline distT="0" distB="0" distL="0" distR="0" wp14:anchorId="154D7936" wp14:editId="582FDB84">
            <wp:extent cx="4964433" cy="4812167"/>
            <wp:effectExtent l="19050" t="19050" r="26670" b="26670"/>
            <wp:docPr id="3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964433" cy="4812167"/>
                    </a:xfrm>
                    <a:prstGeom prst="rect">
                      <a:avLst/>
                    </a:prstGeom>
                    <a:ln>
                      <a:solidFill>
                        <a:schemeClr val="tx1"/>
                      </a:solidFill>
                    </a:ln>
                  </pic:spPr>
                </pic:pic>
              </a:graphicData>
            </a:graphic>
          </wp:inline>
        </w:drawing>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513"/>
        </w:tabs>
        <w:spacing w:line="360" w:lineRule="auto"/>
        <w:ind w:right="49"/>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rPr>
        <w:t>Por otra parte, los numerales 125, fracción VIII y 142 de la Ley Orgánica Municipal del Estado de México, señala lo siguiente:</w:t>
      </w:r>
      <w:r w:rsidRPr="007775A4">
        <w:rPr>
          <w:rFonts w:ascii="Palatino Linotype" w:eastAsia="Palatino Linotype" w:hAnsi="Palatino Linotype" w:cs="Palatino Linotype"/>
          <w:b/>
          <w:i/>
          <w:sz w:val="22"/>
          <w:szCs w:val="22"/>
        </w:rPr>
        <w:t xml:space="preserve"> </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b/>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125</w:t>
      </w:r>
      <w:r w:rsidRPr="007775A4">
        <w:rPr>
          <w:rFonts w:ascii="Palatino Linotype" w:eastAsia="Palatino Linotype" w:hAnsi="Palatino Linotype" w:cs="Palatino Linotype"/>
          <w:i/>
          <w:sz w:val="22"/>
          <w:szCs w:val="22"/>
        </w:rPr>
        <w:t>.- Los municipios tendrán a su cargo la prestación, explotación, administración y conservación de los servicios públicos municipales, considerándose enunciativa y no limitativamente, los siguientes:</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 a VII…</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VIII. Seguridad pública y tránsito;</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lastRenderedPageBreak/>
        <w:t>IX a XI…</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142</w:t>
      </w:r>
      <w:r w:rsidRPr="007775A4">
        <w:rPr>
          <w:rFonts w:ascii="Palatino Linotype" w:eastAsia="Palatino Linotype" w:hAnsi="Palatino Linotype" w:cs="Palatino Linotype"/>
          <w:i/>
          <w:sz w:val="22"/>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tabs>
          <w:tab w:val="left" w:pos="7938"/>
        </w:tabs>
        <w:spacing w:line="276" w:lineRule="auto"/>
        <w:ind w:left="1134"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w:t>
      </w:r>
    </w:p>
    <w:p w:rsidR="00B553E1" w:rsidRPr="007775A4" w:rsidRDefault="00B553E1" w:rsidP="00B553E1">
      <w:pPr>
        <w:spacing w:line="360" w:lineRule="auto"/>
        <w:ind w:left="567"/>
        <w:jc w:val="both"/>
        <w:rPr>
          <w:rFonts w:ascii="Palatino Linotype" w:eastAsia="Palatino Linotype" w:hAnsi="Palatino Linotype" w:cs="Palatino Linotype"/>
          <w:i/>
          <w:sz w:val="22"/>
          <w:szCs w:val="22"/>
        </w:rPr>
      </w:pPr>
    </w:p>
    <w:p w:rsidR="00B553E1" w:rsidRPr="007775A4" w:rsidRDefault="00B553E1" w:rsidP="00B553E1">
      <w:pPr>
        <w:spacing w:before="240" w:after="240" w:line="360" w:lineRule="auto"/>
        <w:jc w:val="both"/>
        <w:rPr>
          <w:rFonts w:ascii="Palatino Linotype" w:eastAsia="Palatino Linotype" w:hAnsi="Palatino Linotype" w:cs="Palatino Linotype"/>
          <w:b/>
        </w:rPr>
      </w:pPr>
      <w:r w:rsidRPr="007775A4">
        <w:rPr>
          <w:rFonts w:ascii="Palatino Linotype" w:eastAsia="Palatino Linotype" w:hAnsi="Palatino Linotype" w:cs="Palatino Linotype"/>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7775A4">
        <w:rPr>
          <w:rFonts w:ascii="Palatino Linotype" w:eastAsia="Palatino Linotype" w:hAnsi="Palatino Linotype" w:cs="Palatino Linotype"/>
          <w:b/>
        </w:rPr>
        <w:t xml:space="preserve">máxime que, desde la entrada en vigor de la Ley de Seguridad del Estado de México </w:t>
      </w:r>
      <w:r w:rsidRPr="007775A4">
        <w:rPr>
          <w:rFonts w:ascii="Palatino Linotype" w:eastAsia="Palatino Linotype" w:hAnsi="Palatino Linotype" w:cs="Palatino Linotype"/>
          <w:b/>
          <w:i/>
        </w:rPr>
        <w:t xml:space="preserve">-el 20 de octubre de 2011- </w:t>
      </w:r>
      <w:r w:rsidRPr="007775A4">
        <w:rPr>
          <w:rFonts w:ascii="Palatino Linotype" w:eastAsia="Palatino Linotype" w:hAnsi="Palatino Linotype" w:cs="Palatino Linotype"/>
          <w:b/>
        </w:rPr>
        <w:t xml:space="preserve">se desprende la atribución expresa para que, el Director de Seguridad Pública Municipal, </w:t>
      </w:r>
      <w:r w:rsidRPr="007775A4">
        <w:rPr>
          <w:rFonts w:ascii="Palatino Linotype" w:eastAsia="Palatino Linotype" w:hAnsi="Palatino Linotype" w:cs="Palatino Linotype"/>
        </w:rPr>
        <w:t xml:space="preserve"> entre otras cosas, </w:t>
      </w:r>
      <w:r w:rsidRPr="007775A4">
        <w:rPr>
          <w:rFonts w:ascii="Palatino Linotype" w:eastAsia="Palatino Linotype" w:hAnsi="Palatino Linotype" w:cs="Palatino Linotype"/>
          <w:b/>
        </w:rPr>
        <w:t xml:space="preserve">genere estadística delictiva. </w:t>
      </w:r>
    </w:p>
    <w:p w:rsidR="00B553E1" w:rsidRPr="007775A4" w:rsidRDefault="00B553E1" w:rsidP="00B553E1">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Así las cosas, se atrae al estudio los Lineamientos para el Llenado, Entrega, Recepción, Registro, Resguardo y Consulta del Informe Policial Homologado; véase: </w:t>
      </w:r>
      <w:hyperlink r:id="rId13">
        <w:r w:rsidRPr="007775A4">
          <w:rPr>
            <w:rFonts w:ascii="Palatino Linotype" w:eastAsia="Palatino Linotype" w:hAnsi="Palatino Linotype" w:cs="Palatino Linotype"/>
            <w:u w:val="single"/>
          </w:rPr>
          <w:t>https://www.dof.gob.mx/nota_detalle.php?codigo=5587157&amp;fecha=21/02/2020</w:t>
        </w:r>
      </w:hyperlink>
      <w:r w:rsidRPr="007775A4">
        <w:rPr>
          <w:rFonts w:ascii="Palatino Linotype" w:eastAsia="Palatino Linotype" w:hAnsi="Palatino Linotype" w:cs="Palatino Linotype"/>
        </w:rPr>
        <w:t xml:space="preserve"> y de los cuales, se inserta lo siguiente:</w:t>
      </w:r>
    </w:p>
    <w:p w:rsidR="00B553E1" w:rsidRPr="007775A4" w:rsidRDefault="00B553E1" w:rsidP="00B553E1">
      <w:pPr>
        <w:spacing w:line="360" w:lineRule="auto"/>
        <w:ind w:right="539"/>
        <w:rPr>
          <w:rFonts w:ascii="Palatino Linotype" w:eastAsia="Palatino Linotype" w:hAnsi="Palatino Linotype" w:cs="Palatino Linotype"/>
        </w:rPr>
      </w:pPr>
    </w:p>
    <w:p w:rsidR="00B553E1" w:rsidRPr="007775A4" w:rsidRDefault="00B553E1" w:rsidP="00B553E1">
      <w:pPr>
        <w:spacing w:line="276" w:lineRule="auto"/>
        <w:ind w:left="1134"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PRIMERO. OBJETO Y ÁMBITO DE APLICACIÓN.</w:t>
      </w:r>
    </w:p>
    <w:p w:rsidR="00B553E1" w:rsidRPr="007775A4" w:rsidRDefault="00B553E1" w:rsidP="00B553E1">
      <w:pPr>
        <w:spacing w:line="276" w:lineRule="auto"/>
        <w:ind w:left="1134" w:right="900"/>
        <w:jc w:val="both"/>
        <w:rPr>
          <w:rFonts w:ascii="Palatino Linotype" w:eastAsia="Palatino Linotype" w:hAnsi="Palatino Linotype" w:cs="Palatino Linotype"/>
          <w:i/>
          <w:sz w:val="22"/>
          <w:szCs w:val="22"/>
        </w:rPr>
      </w:pP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El Informe Policial Homologado es el medio a través del cual </w:t>
      </w:r>
      <w:r w:rsidRPr="007775A4">
        <w:rPr>
          <w:rFonts w:ascii="Palatino Linotype" w:eastAsia="Palatino Linotype" w:hAnsi="Palatino Linotype" w:cs="Palatino Linotype"/>
          <w:b/>
          <w:i/>
          <w:sz w:val="22"/>
          <w:szCs w:val="22"/>
        </w:rPr>
        <w:t>los integrantes de las instituciones policiales documentan la información relacionada con las puestas a disposición de personas y/o de objetos derivados de su intervención</w:t>
      </w:r>
      <w:r w:rsidRPr="007775A4">
        <w:rPr>
          <w:rFonts w:ascii="Palatino Linotype" w:eastAsia="Palatino Linotype" w:hAnsi="Palatino Linotype" w:cs="Palatino Linotype"/>
          <w:i/>
          <w:sz w:val="22"/>
          <w:szCs w:val="22"/>
        </w:rPr>
        <w:t>, a las autoridades competentes.</w:t>
      </w: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El Informe Policial Homologado tiene como objeto </w:t>
      </w:r>
      <w:proofErr w:type="spellStart"/>
      <w:r w:rsidRPr="007775A4">
        <w:rPr>
          <w:rFonts w:ascii="Palatino Linotype" w:eastAsia="Palatino Linotype" w:hAnsi="Palatino Linotype" w:cs="Palatino Linotype"/>
          <w:i/>
          <w:sz w:val="22"/>
          <w:szCs w:val="22"/>
        </w:rPr>
        <w:t>eficientar</w:t>
      </w:r>
      <w:proofErr w:type="spellEnd"/>
      <w:r w:rsidRPr="007775A4">
        <w:rPr>
          <w:rFonts w:ascii="Palatino Linotype" w:eastAsia="Palatino Linotype" w:hAnsi="Palatino Linotype" w:cs="Palatino Linotype"/>
          <w:i/>
          <w:sz w:val="22"/>
          <w:szCs w:val="22"/>
        </w:rPr>
        <w:t xml:space="preserve"> las puestas a disposición, garantizar el debido proceso, y fomentar el uso de la información para acciones de inteligencia.</w:t>
      </w: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Los presentes Lineamientos tienen como objeto señalar los criterios respecto a lo siguiente:</w:t>
      </w: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I a </w:t>
      </w:r>
      <w:proofErr w:type="gramStart"/>
      <w:r w:rsidRPr="007775A4">
        <w:rPr>
          <w:rFonts w:ascii="Palatino Linotype" w:eastAsia="Palatino Linotype" w:hAnsi="Palatino Linotype" w:cs="Palatino Linotype"/>
          <w:i/>
          <w:sz w:val="22"/>
          <w:szCs w:val="22"/>
        </w:rPr>
        <w:t>V …</w:t>
      </w:r>
      <w:proofErr w:type="gramEnd"/>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VI.   Resguardo de la base de datos del IPH en el Sistema Nacional de Información en Seguridad Pública;</w:t>
      </w: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VII a IX…</w:t>
      </w:r>
    </w:p>
    <w:p w:rsidR="00B553E1" w:rsidRPr="007775A4" w:rsidRDefault="00B553E1" w:rsidP="00B553E1">
      <w:pPr>
        <w:spacing w:line="276" w:lineRule="auto"/>
        <w:ind w:left="567" w:right="900"/>
        <w:jc w:val="both"/>
        <w:rPr>
          <w:rFonts w:ascii="Palatino Linotype" w:eastAsia="Palatino Linotype" w:hAnsi="Palatino Linotype" w:cs="Palatino Linotype"/>
          <w:b/>
          <w:i/>
          <w:sz w:val="22"/>
          <w:szCs w:val="22"/>
        </w:rPr>
      </w:pPr>
    </w:p>
    <w:p w:rsidR="00B553E1" w:rsidRPr="007775A4" w:rsidRDefault="00B553E1" w:rsidP="00B553E1">
      <w:pPr>
        <w:spacing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SEGUNDO. GLOSARIO DE TÉRMINOS.</w:t>
      </w:r>
    </w:p>
    <w:p w:rsidR="00B553E1" w:rsidRPr="007775A4" w:rsidRDefault="00B553E1" w:rsidP="00B553E1">
      <w:pPr>
        <w:spacing w:line="276" w:lineRule="auto"/>
        <w:ind w:left="567" w:right="900"/>
        <w:jc w:val="both"/>
        <w:rPr>
          <w:rFonts w:ascii="Palatino Linotype" w:eastAsia="Palatino Linotype" w:hAnsi="Palatino Linotype" w:cs="Palatino Linotype"/>
          <w:b/>
          <w:i/>
          <w:sz w:val="22"/>
          <w:szCs w:val="22"/>
        </w:rPr>
      </w:pP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I a IX…</w:t>
      </w: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X. IPH: El Informe Policial Homologado de hechos probablemente delictivos o de infracciones administrativas, mismo que puede ser en versión impresa o electrónica.</w:t>
      </w: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p>
    <w:p w:rsidR="00B553E1" w:rsidRPr="007775A4" w:rsidRDefault="00B553E1" w:rsidP="00B553E1">
      <w:pPr>
        <w:spacing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DÉCIMO TERCERO. ENTREGA Y RECEPCIÓN DEL IPH.</w:t>
      </w: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p>
    <w:p w:rsidR="00B553E1" w:rsidRPr="007775A4" w:rsidRDefault="00B553E1" w:rsidP="00B553E1">
      <w:pPr>
        <w:spacing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Los integrantes de las instituciones policiales de los tres órdenes de gobierno que realicen el llenado del IPH, </w:t>
      </w:r>
      <w:r w:rsidRPr="007775A4">
        <w:rPr>
          <w:rFonts w:ascii="Palatino Linotype" w:eastAsia="Palatino Linotype" w:hAnsi="Palatino Linotype" w:cs="Palatino Linotype"/>
          <w:b/>
          <w:i/>
          <w:sz w:val="22"/>
          <w:szCs w:val="22"/>
        </w:rPr>
        <w:t>deberán entregarlo junto con las personas detenidas y/o arrestadas y/o los objetos asegurados a la autoridad competente</w:t>
      </w:r>
      <w:r w:rsidRPr="007775A4">
        <w:rPr>
          <w:rFonts w:ascii="Palatino Linotype" w:eastAsia="Palatino Linotype" w:hAnsi="Palatino Linotype" w:cs="Palatino Linotype"/>
          <w:i/>
          <w:sz w:val="22"/>
          <w:szCs w:val="22"/>
        </w:rPr>
        <w:t>, según se trate de un hecho probablemente delictivo o una infracción administrativa.</w:t>
      </w:r>
    </w:p>
    <w:p w:rsidR="00B553E1" w:rsidRPr="007775A4" w:rsidRDefault="00B553E1" w:rsidP="00B553E1">
      <w:pPr>
        <w:spacing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rsidR="00B553E1" w:rsidRPr="007775A4" w:rsidRDefault="00B553E1" w:rsidP="00B553E1">
      <w:pPr>
        <w:spacing w:line="276" w:lineRule="auto"/>
        <w:ind w:left="567" w:right="900"/>
        <w:jc w:val="both"/>
        <w:rPr>
          <w:rFonts w:ascii="Palatino Linotype" w:eastAsia="Palatino Linotype" w:hAnsi="Palatino Linotype" w:cs="Palatino Linotype"/>
          <w:b/>
          <w:i/>
          <w:sz w:val="22"/>
          <w:szCs w:val="22"/>
        </w:rPr>
      </w:pPr>
    </w:p>
    <w:p w:rsidR="00B553E1" w:rsidRPr="007775A4" w:rsidRDefault="00B553E1" w:rsidP="00B553E1">
      <w:pPr>
        <w:spacing w:before="120" w:after="120"/>
        <w:ind w:left="567" w:right="902"/>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lastRenderedPageBreak/>
        <w:t>DÉCIMO CUARTO. REGISTRO DE LA INFORMACIÓN EN LA BASE DE DATOS DEL IPH.</w:t>
      </w:r>
    </w:p>
    <w:p w:rsidR="00B553E1" w:rsidRPr="007775A4" w:rsidRDefault="00B553E1" w:rsidP="00B553E1">
      <w:pPr>
        <w:spacing w:before="120" w:after="120"/>
        <w:ind w:left="567" w:right="902"/>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El registro de la información en la base de datos se llevará a cabo conforme a lo siguiente:</w:t>
      </w:r>
    </w:p>
    <w:p w:rsidR="00B553E1" w:rsidRPr="007775A4" w:rsidRDefault="00B553E1" w:rsidP="00B553E1">
      <w:pPr>
        <w:numPr>
          <w:ilvl w:val="0"/>
          <w:numId w:val="8"/>
        </w:numPr>
        <w:pBdr>
          <w:top w:val="nil"/>
          <w:left w:val="nil"/>
          <w:bottom w:val="nil"/>
          <w:right w:val="nil"/>
          <w:between w:val="nil"/>
        </w:pBdr>
        <w:tabs>
          <w:tab w:val="left" w:pos="1418"/>
        </w:tabs>
        <w:spacing w:before="120" w:after="120" w:line="259" w:lineRule="auto"/>
        <w:ind w:left="567" w:right="902" w:hanging="141"/>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La captura y registro de la información suministrada a la base de datos son obligatorios y estarán a cargo de las instituciones policiales de los tres órdenes de gobierno</w:t>
      </w:r>
      <w:r w:rsidRPr="007775A4">
        <w:rPr>
          <w:rFonts w:ascii="Palatino Linotype" w:eastAsia="Palatino Linotype" w:hAnsi="Palatino Linotype" w:cs="Palatino Linotype"/>
          <w:i/>
          <w:sz w:val="22"/>
          <w:szCs w:val="22"/>
        </w:rPr>
        <w:t>;</w:t>
      </w:r>
    </w:p>
    <w:p w:rsidR="00B553E1" w:rsidRPr="007775A4" w:rsidRDefault="00B553E1" w:rsidP="00B553E1">
      <w:pPr>
        <w:tabs>
          <w:tab w:val="left" w:pos="1418"/>
        </w:tabs>
        <w:spacing w:before="120" w:after="120"/>
        <w:ind w:left="567" w:right="902"/>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II.</w:t>
      </w:r>
      <w:r w:rsidRPr="007775A4">
        <w:rPr>
          <w:rFonts w:ascii="Palatino Linotype" w:eastAsia="Palatino Linotype" w:hAnsi="Palatino Linotype" w:cs="Palatino Linotype"/>
          <w:i/>
          <w:sz w:val="22"/>
          <w:szCs w:val="22"/>
        </w:rPr>
        <w:t xml:space="preserve"> El suministro de la información se realizará con apego a los datos contenidos en el IPH;</w:t>
      </w:r>
    </w:p>
    <w:p w:rsidR="00B553E1" w:rsidRPr="007775A4" w:rsidRDefault="00B553E1" w:rsidP="00B553E1">
      <w:pPr>
        <w:tabs>
          <w:tab w:val="left" w:pos="1418"/>
        </w:tabs>
        <w:spacing w:before="120" w:after="120"/>
        <w:ind w:left="567" w:right="902"/>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III</w:t>
      </w:r>
      <w:r w:rsidRPr="007775A4">
        <w:rPr>
          <w:rFonts w:ascii="Palatino Linotype" w:eastAsia="Palatino Linotype" w:hAnsi="Palatino Linotype" w:cs="Palatino Linotype"/>
          <w:i/>
          <w:sz w:val="22"/>
          <w:szCs w:val="22"/>
        </w:rPr>
        <w:t>. El registro de los datos contenidos en el IPH y su digitalización se harán de manera inmediata, sin que exceda de un término máximo de veinticuatro horas contadas a partir de la hora de recepción por parte de la autoridad competente, y</w:t>
      </w:r>
    </w:p>
    <w:p w:rsidR="00B553E1" w:rsidRPr="007775A4" w:rsidRDefault="00B553E1" w:rsidP="00B553E1">
      <w:pPr>
        <w:tabs>
          <w:tab w:val="left" w:pos="1418"/>
        </w:tabs>
        <w:spacing w:before="120" w:after="120"/>
        <w:ind w:left="567" w:right="902"/>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 xml:space="preserve">IV. </w:t>
      </w:r>
      <w:r w:rsidRPr="007775A4">
        <w:rPr>
          <w:rFonts w:ascii="Palatino Linotype" w:eastAsia="Palatino Linotype" w:hAnsi="Palatino Linotype" w:cs="Palatino Linotype"/>
          <w:i/>
          <w:sz w:val="22"/>
          <w:szCs w:val="22"/>
        </w:rPr>
        <w:t>La Secretaría garantizará la operación, disponibilidad, interconexión y mantenimiento de los componentes tecnológicos que soporten la base de datos y sistemas informáticos del IPH.” (Énfasis añadido)</w:t>
      </w:r>
    </w:p>
    <w:p w:rsidR="00B553E1" w:rsidRPr="007775A4" w:rsidRDefault="00B553E1" w:rsidP="00B553E1">
      <w:pPr>
        <w:spacing w:line="360" w:lineRule="auto"/>
        <w:jc w:val="both"/>
        <w:rPr>
          <w:rFonts w:ascii="Palatino Linotype" w:eastAsia="Palatino Linotype" w:hAnsi="Palatino Linotype" w:cs="Palatino Linotype"/>
          <w:b/>
          <w:i/>
          <w:sz w:val="22"/>
          <w:szCs w:val="22"/>
        </w:rPr>
      </w:pPr>
    </w:p>
    <w:p w:rsidR="00B553E1" w:rsidRPr="007775A4" w:rsidRDefault="00B553E1" w:rsidP="00B553E1">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lo anterior, se deduce que del informe policial homologado, tiene por objeto que las Instituciones policiales documenten la información relacionada con las puestas a disposición de personas y/u objetos derivados de su intervención, para con ello, deben hacer más eficiente el debido proceso y fomentar el uso de la información para acciones de inteligencia; </w:t>
      </w:r>
      <w:r w:rsidRPr="007775A4">
        <w:rPr>
          <w:rFonts w:ascii="Palatino Linotype" w:eastAsia="Palatino Linotype" w:hAnsi="Palatino Linotype" w:cs="Palatino Linotype"/>
          <w:b/>
        </w:rPr>
        <w:t xml:space="preserve">por lo tanto, dicho informe únicamente es entregado junto con la persona detenida o bien, con los objetos que fueron asegurados en el hecho y/o acto probablemente constitutivo de delito. </w:t>
      </w:r>
      <w:r w:rsidRPr="007775A4">
        <w:rPr>
          <w:rFonts w:ascii="Palatino Linotype" w:eastAsia="Palatino Linotype" w:hAnsi="Palatino Linotype" w:cs="Palatino Linotype"/>
        </w:rPr>
        <w:t>Es importante dejar de lado que no se están solicitando estos documentos, sino información estadística únicamente.</w:t>
      </w:r>
    </w:p>
    <w:p w:rsidR="00B553E1" w:rsidRPr="007775A4" w:rsidRDefault="00B553E1" w:rsidP="00B553E1">
      <w:pPr>
        <w:spacing w:line="360" w:lineRule="auto"/>
        <w:jc w:val="both"/>
        <w:rPr>
          <w:rFonts w:ascii="Palatino Linotype" w:eastAsia="Palatino Linotype" w:hAnsi="Palatino Linotype" w:cs="Palatino Linotype"/>
          <w:sz w:val="22"/>
          <w:szCs w:val="22"/>
        </w:rPr>
      </w:pPr>
    </w:p>
    <w:p w:rsidR="00B553E1" w:rsidRPr="007775A4" w:rsidRDefault="00B553E1" w:rsidP="00B553E1">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En este orden de ideas, es evidente que el Informe Policial Homologado se entrega en el momento que un elemento policial pone a disposición a una persona u objetos </w:t>
      </w:r>
      <w:r w:rsidRPr="007775A4">
        <w:rPr>
          <w:rFonts w:ascii="Palatino Linotype" w:eastAsia="Palatino Linotype" w:hAnsi="Palatino Linotype" w:cs="Palatino Linotype"/>
        </w:rPr>
        <w:lastRenderedPageBreak/>
        <w:t xml:space="preserve">recabados del lugar en el que ocurrieron los hechos delictivos y/o faltas administrativas; por lo tanto, </w:t>
      </w:r>
      <w:r w:rsidRPr="007775A4">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7775A4">
        <w:rPr>
          <w:rFonts w:ascii="Palatino Linotype" w:eastAsia="Palatino Linotype" w:hAnsi="Palatino Linotype" w:cs="Palatino Linotype"/>
        </w:rPr>
        <w:t xml:space="preserve">, pues es evidente que existen diversos tipos de delitos que se pueden configurar sin que se genere el informe en comento, tal como de manera enunciativa más no limitativa, es el caso de la </w:t>
      </w:r>
      <w:r w:rsidRPr="007775A4">
        <w:rPr>
          <w:rFonts w:ascii="Palatino Linotype" w:eastAsia="Palatino Linotype" w:hAnsi="Palatino Linotype" w:cs="Palatino Linotype"/>
          <w:b/>
        </w:rPr>
        <w:t>extorsión</w:t>
      </w:r>
      <w:r w:rsidRPr="007775A4">
        <w:rPr>
          <w:rFonts w:ascii="Palatino Linotype" w:eastAsia="Palatino Linotype" w:hAnsi="Palatino Linotype" w:cs="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rsidR="00B553E1" w:rsidRPr="007775A4" w:rsidRDefault="00B553E1" w:rsidP="00B553E1">
      <w:pPr>
        <w:spacing w:line="360" w:lineRule="auto"/>
        <w:jc w:val="both"/>
        <w:rPr>
          <w:rFonts w:ascii="Palatino Linotype" w:eastAsia="Palatino Linotype" w:hAnsi="Palatino Linotype" w:cs="Palatino Linotype"/>
        </w:rPr>
      </w:pPr>
    </w:p>
    <w:p w:rsidR="00B553E1" w:rsidRPr="007775A4" w:rsidRDefault="00B553E1" w:rsidP="00B553E1">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7775A4">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7775A4">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rsidR="00B553E1" w:rsidRPr="007775A4" w:rsidRDefault="00B553E1" w:rsidP="00B553E1">
      <w:pPr>
        <w:spacing w:line="360" w:lineRule="auto"/>
        <w:jc w:val="both"/>
        <w:rPr>
          <w:rFonts w:ascii="Palatino Linotype" w:eastAsia="Palatino Linotype" w:hAnsi="Palatino Linotype" w:cs="Palatino Linotype"/>
        </w:rPr>
      </w:pPr>
    </w:p>
    <w:p w:rsidR="00B553E1" w:rsidRPr="007775A4" w:rsidRDefault="00B553E1" w:rsidP="00B553E1">
      <w:pPr>
        <w:spacing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7775A4">
        <w:rPr>
          <w:rFonts w:ascii="Palatino Linotype" w:eastAsia="Palatino Linotype" w:hAnsi="Palatino Linotype" w:cs="Palatino Linotype"/>
          <w:b/>
        </w:rPr>
        <w:t>es preciso reiterar que el Particular solicitó información de la incidencia delictiva,</w:t>
      </w:r>
      <w:r w:rsidRPr="007775A4">
        <w:rPr>
          <w:rFonts w:ascii="Palatino Linotype" w:eastAsia="Palatino Linotype" w:hAnsi="Palatino Linotype" w:cs="Palatino Linotype"/>
        </w:rPr>
        <w:t xml:space="preserve"> lo cual, </w:t>
      </w:r>
      <w:r w:rsidRPr="007775A4">
        <w:rPr>
          <w:rFonts w:ascii="Palatino Linotype" w:eastAsia="Palatino Linotype" w:hAnsi="Palatino Linotype" w:cs="Palatino Linotype"/>
          <w:b/>
        </w:rPr>
        <w:t>corresponde únicamente al número de hechos y/o actos de los que se tuvo conocimiento</w:t>
      </w:r>
      <w:r w:rsidRPr="007775A4">
        <w:rPr>
          <w:rFonts w:ascii="Palatino Linotype" w:eastAsia="Palatino Linotype" w:hAnsi="Palatino Linotype" w:cs="Palatino Linotype"/>
        </w:rPr>
        <w:t>.</w:t>
      </w:r>
    </w:p>
    <w:p w:rsidR="002578B2" w:rsidRPr="007775A4" w:rsidRDefault="00B553E1" w:rsidP="00B553E1">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Tenie</w:t>
      </w:r>
      <w:r w:rsidR="002578B2" w:rsidRPr="007775A4">
        <w:rPr>
          <w:rFonts w:ascii="Palatino Linotype" w:eastAsia="Palatino Linotype" w:hAnsi="Palatino Linotype" w:cs="Palatino Linotype"/>
        </w:rPr>
        <w:t xml:space="preserve">ndo estos argumentos en cuenta y que la información solicitada versa específicamente de estadísticas, </w:t>
      </w:r>
      <w:r w:rsidRPr="007775A4">
        <w:rPr>
          <w:rFonts w:ascii="Palatino Linotype" w:eastAsia="Palatino Linotype" w:hAnsi="Palatino Linotype" w:cs="Palatino Linotype"/>
        </w:rPr>
        <w:t xml:space="preserve">resulta de vital importancia </w:t>
      </w:r>
      <w:r w:rsidR="002578B2" w:rsidRPr="007775A4">
        <w:rPr>
          <w:rFonts w:ascii="Palatino Linotype" w:eastAsia="Palatino Linotype" w:hAnsi="Palatino Linotype" w:cs="Palatino Linotype"/>
        </w:rPr>
        <w:t xml:space="preserve">traer a colación el artículo 92 de </w:t>
      </w:r>
      <w:r w:rsidRPr="007775A4">
        <w:rPr>
          <w:rFonts w:ascii="Palatino Linotype" w:eastAsia="Palatino Linotype" w:hAnsi="Palatino Linotype" w:cs="Palatino Linotype"/>
        </w:rPr>
        <w:t xml:space="preserve">la Ley de Transparencia y Acceso a la Información Pública del Estado de México y Municipios </w:t>
      </w:r>
      <w:r w:rsidR="002578B2" w:rsidRPr="007775A4">
        <w:rPr>
          <w:rFonts w:ascii="Palatino Linotype" w:eastAsia="Palatino Linotype" w:hAnsi="Palatino Linotype" w:cs="Palatino Linotype"/>
        </w:rPr>
        <w:t xml:space="preserve">que señala lo siguiente: </w:t>
      </w:r>
    </w:p>
    <w:p w:rsidR="002578B2" w:rsidRPr="007775A4" w:rsidRDefault="002578B2" w:rsidP="002578B2">
      <w:pPr>
        <w:spacing w:before="240" w:after="24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i/>
          <w:sz w:val="22"/>
        </w:rPr>
        <w:t>“</w:t>
      </w:r>
      <w:r w:rsidRPr="007775A4">
        <w:rPr>
          <w:rFonts w:ascii="Palatino Linotype" w:eastAsia="Palatino Linotype" w:hAnsi="Palatino Linotype" w:cs="Palatino Linotype"/>
          <w:b/>
          <w:i/>
          <w:sz w:val="22"/>
        </w:rPr>
        <w:t>Artículo 92. Los sujetos obligados deberán poner a disposición del público de manera permanente y actualizada de forma sencilla, precisa y entendible</w:t>
      </w:r>
      <w:r w:rsidRPr="007775A4">
        <w:rPr>
          <w:rFonts w:ascii="Palatino Linotype" w:eastAsia="Palatino Linotype" w:hAnsi="Palatino Linotype" w:cs="Palatino Linotype"/>
          <w:i/>
          <w:sz w:val="22"/>
        </w:rPr>
        <w:t>, en los respectivos medios electrónicos, de acuerdo con sus facultades, atribuciones, funciones u objeto social, según corresponda, la información, por lo menos, de los temas, documentos y políticas que a continuación se señalan:</w:t>
      </w:r>
      <w:r w:rsidRPr="007775A4">
        <w:rPr>
          <w:rFonts w:ascii="Palatino Linotype" w:eastAsia="Palatino Linotype" w:hAnsi="Palatino Linotype" w:cs="Palatino Linotype"/>
          <w:i/>
          <w:sz w:val="22"/>
        </w:rPr>
        <w:cr/>
        <w:t>…</w:t>
      </w:r>
    </w:p>
    <w:p w:rsidR="002578B2" w:rsidRPr="007775A4" w:rsidRDefault="002578B2" w:rsidP="002578B2">
      <w:pPr>
        <w:spacing w:before="240" w:after="240" w:line="276" w:lineRule="auto"/>
        <w:ind w:left="567" w:right="900"/>
        <w:jc w:val="both"/>
        <w:rPr>
          <w:rFonts w:ascii="Palatino Linotype" w:eastAsia="Palatino Linotype" w:hAnsi="Palatino Linotype" w:cs="Palatino Linotype"/>
          <w:i/>
          <w:sz w:val="22"/>
        </w:rPr>
      </w:pPr>
      <w:r w:rsidRPr="007775A4">
        <w:rPr>
          <w:rFonts w:ascii="Palatino Linotype" w:eastAsia="Palatino Linotype" w:hAnsi="Palatino Linotype" w:cs="Palatino Linotype"/>
          <w:b/>
          <w:i/>
          <w:sz w:val="22"/>
        </w:rPr>
        <w:t>XXXIV. Las estadísticas que generen en cumplimiento de sus facultades, competencias o funciones con la mayor desagregación posible</w:t>
      </w:r>
      <w:r w:rsidRPr="007775A4">
        <w:rPr>
          <w:rFonts w:ascii="Palatino Linotype" w:eastAsia="Palatino Linotype" w:hAnsi="Palatino Linotype" w:cs="Palatino Linotype"/>
          <w:i/>
          <w:sz w:val="22"/>
        </w:rPr>
        <w:t>;”</w:t>
      </w:r>
    </w:p>
    <w:p w:rsidR="002578B2" w:rsidRPr="007775A4" w:rsidRDefault="002578B2">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tal suerte que con lo citado anteriormente, se encuentra la justificación para la publicidad de las estadísticas de incidencia delictiva, es por ello que este Organismo Garante determina que en el asunto que nos ocupa, la información solicitada no es reservada por no actualizar ningún supuesto del artículo 140 de la Ley de </w:t>
      </w:r>
      <w:r w:rsidRPr="007775A4">
        <w:rPr>
          <w:rFonts w:ascii="Palatino Linotype" w:eastAsia="Palatino Linotype" w:hAnsi="Palatino Linotype" w:cs="Palatino Linotype"/>
        </w:rPr>
        <w:lastRenderedPageBreak/>
        <w:t>Transparencia y Acceso a la Información Pública del Estado de México y Municipios, alusivo; en razón, de que se insiste, la información solicitada por el particular es pública y puede ser entregada en versión pública.</w:t>
      </w:r>
    </w:p>
    <w:p w:rsidR="00836EA1" w:rsidRPr="007775A4" w:rsidRDefault="00FE6669">
      <w:pPr>
        <w:spacing w:before="240" w:after="240" w:line="360" w:lineRule="auto"/>
        <w:jc w:val="both"/>
        <w:rPr>
          <w:rFonts w:ascii="Palatino Linotype" w:eastAsia="Palatino Linotype" w:hAnsi="Palatino Linotype" w:cs="Palatino Linotype"/>
          <w:b/>
        </w:rPr>
      </w:pPr>
      <w:r w:rsidRPr="007775A4">
        <w:rPr>
          <w:rFonts w:ascii="Palatino Linotype" w:eastAsia="Palatino Linotype" w:hAnsi="Palatino Linotype" w:cs="Palatino Linotype"/>
          <w:b/>
        </w:rPr>
        <w:t>2</w:t>
      </w:r>
      <w:r w:rsidR="00F55E75" w:rsidRPr="007775A4">
        <w:rPr>
          <w:rFonts w:ascii="Palatino Linotype" w:eastAsia="Palatino Linotype" w:hAnsi="Palatino Linotype" w:cs="Palatino Linotype"/>
          <w:b/>
        </w:rPr>
        <w:t>.1</w:t>
      </w:r>
      <w:r w:rsidRPr="007775A4">
        <w:rPr>
          <w:rFonts w:ascii="Palatino Linotype" w:eastAsia="Palatino Linotype" w:hAnsi="Palatino Linotype" w:cs="Palatino Linotype"/>
          <w:b/>
        </w:rPr>
        <w:t>.- De las atribuciones del Sujeto Obligado en materia de faltas administrativas</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Respecto de la estadística en materia de faltas administrativas, debemos tener en cuenta que el Sujeto Obligado no emitió pronunciamiento, ello en virtud de que se insiste que no se efectuó una búsqueda exhaustiva y razonable como lo mandata el artículo 162 de la Ley de Transparencia aplicable en la materia, por lo que en aras de tutelar el derecho de acceso a la información pública que le asiste al particular, es que se estima que para atender este punto, deberá turnarse este requerimiento a la Oficialía Calificadora, en virtud que de conformidad con los artículos 44 y 123 del Bando Municipal, cuenta con las siguientes atribuciones: </w:t>
      </w:r>
    </w:p>
    <w:p w:rsidR="00836EA1" w:rsidRPr="007775A4" w:rsidRDefault="00FE6669">
      <w:pPr>
        <w:spacing w:before="240" w:after="240"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Artículo 44. Son facultades de la Oficialía Mediadora, Conciliadora y Calificadora las dispuestas en el Artículo 150 de la Ley Orgánica Municipal.</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Artículo 123. La Oficialía Mediadora, Conciliadora y Calificadora será el órgano encargado de determinar la procedencia o improcedencia de las sanciones derivadas del incumplimiento de las disposiciones administrativas de carácter general</w:t>
      </w:r>
      <w:r w:rsidRPr="007775A4">
        <w:rPr>
          <w:rFonts w:ascii="Palatino Linotype" w:eastAsia="Palatino Linotype" w:hAnsi="Palatino Linotype" w:cs="Palatino Linotype"/>
          <w:i/>
          <w:sz w:val="22"/>
          <w:szCs w:val="22"/>
        </w:rPr>
        <w:t>. ” (Sic) (Énfasis añadido)</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lo anteriormente citado, se visualiza que efectivamente el Ayuntamiento por conducto de la Oficialía Mediadora, Conciliadora y Calificadora podrá imponer sanciones administrativas derivado de alguna falta al Bando Municipal o cualquier disposición de carácter general que expida el Ayuntamiento. Asimismo para </w:t>
      </w:r>
      <w:r w:rsidRPr="007775A4">
        <w:rPr>
          <w:rFonts w:ascii="Palatino Linotype" w:eastAsia="Palatino Linotype" w:hAnsi="Palatino Linotype" w:cs="Palatino Linotype"/>
        </w:rPr>
        <w:lastRenderedPageBreak/>
        <w:t xml:space="preserve">robustecer el presente análisis respecto del marco normativo de la Oficialía Calificadora, conviene insertar las facultades de esta área previstas en la Ley Orgánica Municipal: </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“Artículo 150.- Son facultades y obligaciones de:</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spacing w:before="240" w:after="240"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II. De los Oficiales Calificadores:</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p>
    <w:p w:rsidR="00836EA1" w:rsidRPr="007775A4" w:rsidRDefault="00FE6669">
      <w:pPr>
        <w:spacing w:before="240" w:after="240" w:line="276" w:lineRule="auto"/>
        <w:ind w:left="567" w:right="900"/>
        <w:jc w:val="both"/>
        <w:rPr>
          <w:rFonts w:ascii="Palatino Linotype" w:eastAsia="Palatino Linotype" w:hAnsi="Palatino Linotype" w:cs="Palatino Linotype"/>
          <w:b/>
          <w:i/>
          <w:sz w:val="22"/>
          <w:szCs w:val="22"/>
        </w:rPr>
      </w:pPr>
      <w:r w:rsidRPr="007775A4">
        <w:rPr>
          <w:i/>
          <w:sz w:val="22"/>
          <w:szCs w:val="22"/>
        </w:rPr>
        <w:t xml:space="preserve"> </w:t>
      </w:r>
      <w:r w:rsidRPr="007775A4">
        <w:rPr>
          <w:rFonts w:ascii="Palatino Linotype" w:eastAsia="Palatino Linotype" w:hAnsi="Palatino Linotype" w:cs="Palatino Linotype"/>
          <w:b/>
          <w:i/>
          <w:sz w:val="22"/>
          <w:szCs w:val="22"/>
        </w:rPr>
        <w:t>b). Conocer, calificar e imponer las sanciones administrativas municipales que procedan por faltas o infracciones al bando municipal, reglamentos y demás disposiciones de carácter general contenidas en los ordenamientos expedidos por los ayuntamientos, y aquellas que deriven con motivo de la aplicación del Libro Octavo del Código Administrativo del Estado de México, excepto las de carácter fiscal;</w:t>
      </w:r>
    </w:p>
    <w:p w:rsidR="00836EA1" w:rsidRPr="007775A4" w:rsidRDefault="00FE6669">
      <w:pPr>
        <w:spacing w:before="240" w:after="240"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b/>
          <w:i/>
          <w:sz w:val="22"/>
          <w:szCs w:val="22"/>
        </w:rPr>
        <w:t xml:space="preserve">e). Llevar un libro en donde se asiente todo lo actuado;” </w:t>
      </w:r>
      <w:r w:rsidRPr="007775A4">
        <w:rPr>
          <w:rFonts w:ascii="Palatino Linotype" w:eastAsia="Palatino Linotype" w:hAnsi="Palatino Linotype" w:cs="Palatino Linotype"/>
          <w:i/>
          <w:sz w:val="22"/>
          <w:szCs w:val="22"/>
        </w:rPr>
        <w:t>(Sic) (Énfasis añadido)</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tal suerte que como se acredita con lo insertado anteriormente, se advierte que en efecto, el Sujeto Obligado por conducto de la Oficialía Calificadora es competente para imponer las sanciones de carácter administrativo por las sanciones administrativas municipales, adicionalmente la Ley Orgánica Municipal mandata a esta área el llevar un libro donde se asiente todo lo actuado, sin embargo, no puede pasar desapercibido para este organismo garante que este libro no es una estadística, por lo tanto, no se advirtió fuente obligacional que constriña a las Instituciones policiales o de seguridad pública, incluso a las oficialías calificadoras a generar </w:t>
      </w:r>
      <w:r w:rsidRPr="007775A4">
        <w:rPr>
          <w:rFonts w:ascii="Palatino Linotype" w:eastAsia="Palatino Linotype" w:hAnsi="Palatino Linotype" w:cs="Palatino Linotype"/>
        </w:rPr>
        <w:lastRenderedPageBreak/>
        <w:t>estadísticas de la misma, como en el caso de incidencia delictiva, por lo 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836EA1" w:rsidRPr="007775A4" w:rsidRDefault="00FE6669">
      <w:pPr>
        <w:spacing w:before="120" w:after="120"/>
        <w:ind w:left="851" w:right="902"/>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w:t>
      </w:r>
      <w:r w:rsidRPr="007775A4">
        <w:rPr>
          <w:rFonts w:ascii="Palatino Linotype" w:eastAsia="Palatino Linotype" w:hAnsi="Palatino Linotype" w:cs="Palatino Linotype"/>
          <w:b/>
          <w:i/>
          <w:sz w:val="22"/>
          <w:szCs w:val="22"/>
        </w:rPr>
        <w:t>Artículo 19</w:t>
      </w:r>
      <w:r w:rsidRPr="007775A4">
        <w:rPr>
          <w:rFonts w:ascii="Palatino Linotype" w:eastAsia="Palatino Linotype" w:hAnsi="Palatino Linotype" w:cs="Palatino Linotype"/>
          <w:i/>
          <w:sz w:val="22"/>
          <w:szCs w:val="22"/>
        </w:rPr>
        <w:t>…</w:t>
      </w:r>
    </w:p>
    <w:p w:rsidR="00836EA1" w:rsidRPr="007775A4" w:rsidRDefault="00FE6669">
      <w:pPr>
        <w:spacing w:before="120" w:after="120"/>
        <w:ind w:left="851" w:right="902"/>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836EA1" w:rsidRPr="007775A4" w:rsidRDefault="00836EA1">
      <w:pPr>
        <w:spacing w:before="120" w:after="120"/>
        <w:ind w:left="851" w:right="902"/>
        <w:jc w:val="both"/>
        <w:rPr>
          <w:rFonts w:ascii="Palatino Linotype" w:eastAsia="Palatino Linotype" w:hAnsi="Palatino Linotype" w:cs="Palatino Linotype"/>
          <w:i/>
          <w:sz w:val="22"/>
          <w:szCs w:val="22"/>
        </w:rPr>
      </w:pPr>
    </w:p>
    <w:p w:rsidR="00836EA1" w:rsidRPr="007775A4" w:rsidRDefault="00FE6669">
      <w:pPr>
        <w:spacing w:before="240" w:after="240" w:line="360" w:lineRule="auto"/>
        <w:ind w:right="49"/>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De lo hasta aquí expuesto, se concluye que los motivos de inconformidad de la parte </w:t>
      </w:r>
      <w:r w:rsidRPr="007775A4">
        <w:rPr>
          <w:rFonts w:ascii="Palatino Linotype" w:eastAsia="Palatino Linotype" w:hAnsi="Palatino Linotype" w:cs="Palatino Linotype"/>
          <w:b/>
        </w:rPr>
        <w:t xml:space="preserve">Recurrente </w:t>
      </w:r>
      <w:r w:rsidRPr="007775A4">
        <w:rPr>
          <w:rFonts w:ascii="Palatino Linotype" w:eastAsia="Palatino Linotype" w:hAnsi="Palatino Linotype" w:cs="Palatino Linotype"/>
        </w:rPr>
        <w:t xml:space="preserve">devienen fundados, en razón de que como se visualizó a lo largo del estudio, el Sujeto Obligado fue omiso en pronunciarse respecto de los sueldos de los integrantes de la Comisión de Honor y Justicia, además se determinó que la reserva invocada por el Director de Seguridad Municipal no se realizó conforme a derecho y no era pertinente en el caso particular, por lo que se determinó procedente </w:t>
      </w:r>
      <w:r w:rsidRPr="007775A4">
        <w:rPr>
          <w:rFonts w:ascii="Palatino Linotype" w:eastAsia="Palatino Linotype" w:hAnsi="Palatino Linotype" w:cs="Palatino Linotype"/>
          <w:i/>
        </w:rPr>
        <w:t>Modificar</w:t>
      </w:r>
      <w:r w:rsidRPr="007775A4">
        <w:rPr>
          <w:rFonts w:ascii="Palatino Linotype" w:eastAsia="Palatino Linotype" w:hAnsi="Palatino Linotype" w:cs="Palatino Linotype"/>
        </w:rPr>
        <w:t xml:space="preserve"> la respuesta proporcionada por el </w:t>
      </w:r>
      <w:r w:rsidRPr="007775A4">
        <w:rPr>
          <w:rFonts w:ascii="Palatino Linotype" w:eastAsia="Palatino Linotype" w:hAnsi="Palatino Linotype" w:cs="Palatino Linotype"/>
          <w:b/>
        </w:rPr>
        <w:t xml:space="preserve">Sujeto Obligado </w:t>
      </w:r>
      <w:r w:rsidRPr="007775A4">
        <w:rPr>
          <w:rFonts w:ascii="Palatino Linotype" w:eastAsia="Palatino Linotype" w:hAnsi="Palatino Linotype" w:cs="Palatino Linotype"/>
        </w:rPr>
        <w:t>en términos del artículo 186 fracción III de la Ley de Transparencia y Acceso a la Información Pública del Estado de México y Municipios.</w:t>
      </w:r>
    </w:p>
    <w:p w:rsidR="00D17D08" w:rsidRPr="007775A4" w:rsidRDefault="00D17D08" w:rsidP="00D17D08">
      <w:pPr>
        <w:spacing w:before="280" w:after="280" w:line="360" w:lineRule="auto"/>
        <w:ind w:right="49"/>
        <w:jc w:val="both"/>
        <w:rPr>
          <w:rFonts w:ascii="Palatino Linotype" w:eastAsia="Palatino Linotype" w:hAnsi="Palatino Linotype" w:cs="Palatino Linotype"/>
          <w:lang w:eastAsia="es-ES"/>
        </w:rPr>
      </w:pPr>
      <w:r w:rsidRPr="007775A4">
        <w:rPr>
          <w:rFonts w:ascii="Palatino Linotype" w:eastAsia="Palatino Linotype" w:hAnsi="Palatino Linotype" w:cs="Palatino Linotype"/>
          <w:lang w:eastAsia="es-ES"/>
        </w:rPr>
        <w:t xml:space="preserve">Finalmente, es de señalar que, como ya se mencionó </w:t>
      </w:r>
      <w:r w:rsidRPr="007775A4">
        <w:rPr>
          <w:rFonts w:ascii="Palatino Linotype" w:eastAsia="Palatino Linotype" w:hAnsi="Palatino Linotype" w:cs="Palatino Linotype"/>
          <w:b/>
          <w:lang w:eastAsia="es-ES"/>
        </w:rPr>
        <w:t>el Sujeto Obligado</w:t>
      </w:r>
      <w:r w:rsidRPr="007775A4">
        <w:rPr>
          <w:rFonts w:ascii="Palatino Linotype" w:eastAsia="Palatino Linotype" w:hAnsi="Palatino Linotype" w:cs="Palatino Linotype"/>
          <w:lang w:eastAsia="es-ES"/>
        </w:rPr>
        <w:t xml:space="preserve"> dejó visible el nombre de un técnico operativo de la Comisaría de Seguridad Pública, razón por la que </w:t>
      </w:r>
      <w:r w:rsidRPr="007775A4">
        <w:rPr>
          <w:rFonts w:ascii="Palatino Linotype" w:eastAsia="Palatino Linotype" w:hAnsi="Palatino Linotype" w:cs="Palatino Linotype"/>
          <w:b/>
          <w:lang w:eastAsia="es-ES"/>
        </w:rPr>
        <w:t xml:space="preserve">se ordena dar vista al Titular de la Contraloría Interna y Órgano de Control </w:t>
      </w:r>
      <w:r w:rsidRPr="007775A4">
        <w:rPr>
          <w:rFonts w:ascii="Palatino Linotype" w:eastAsia="Palatino Linotype" w:hAnsi="Palatino Linotype" w:cs="Palatino Linotype"/>
          <w:b/>
          <w:lang w:eastAsia="es-ES"/>
        </w:rPr>
        <w:lastRenderedPageBreak/>
        <w:t>y Vigilancia de este Instituto</w:t>
      </w:r>
      <w:r w:rsidRPr="007775A4">
        <w:rPr>
          <w:rFonts w:ascii="Palatino Linotype" w:eastAsia="Palatino Linotype" w:hAnsi="Palatino Linotype" w:cs="Palatino Linotype"/>
          <w:lang w:eastAsia="es-ES"/>
        </w:rPr>
        <w:t xml:space="preserve"> para que</w:t>
      </w:r>
      <w:r w:rsidR="00C97B75" w:rsidRPr="007775A4">
        <w:rPr>
          <w:rFonts w:ascii="Palatino Linotype" w:eastAsia="Palatino Linotype" w:hAnsi="Palatino Linotype" w:cs="Palatino Linotype"/>
          <w:lang w:eastAsia="es-ES"/>
        </w:rPr>
        <w:t>,</w:t>
      </w:r>
      <w:r w:rsidR="00B73239" w:rsidRPr="007775A4">
        <w:rPr>
          <w:rFonts w:ascii="Palatino Linotype" w:eastAsia="Palatino Linotype" w:hAnsi="Palatino Linotype" w:cs="Palatino Linotype"/>
          <w:lang w:eastAsia="es-ES"/>
        </w:rPr>
        <w:t xml:space="preserve"> de ser el caso</w:t>
      </w:r>
      <w:r w:rsidR="00C97B75" w:rsidRPr="007775A4">
        <w:rPr>
          <w:rFonts w:ascii="Palatino Linotype" w:eastAsia="Palatino Linotype" w:hAnsi="Palatino Linotype" w:cs="Palatino Linotype"/>
          <w:lang w:eastAsia="es-ES"/>
        </w:rPr>
        <w:t xml:space="preserve">, </w:t>
      </w:r>
      <w:r w:rsidR="00B73239" w:rsidRPr="007775A4">
        <w:rPr>
          <w:rFonts w:ascii="Palatino Linotype" w:eastAsia="Palatino Linotype" w:hAnsi="Palatino Linotype" w:cs="Palatino Linotype"/>
          <w:lang w:eastAsia="es-ES"/>
        </w:rPr>
        <w:t>que el servidor público referido desempeñe funciones operativas en materia de seguridad pública,</w:t>
      </w:r>
      <w:r w:rsidRPr="007775A4">
        <w:rPr>
          <w:rFonts w:ascii="Palatino Linotype" w:eastAsia="Palatino Linotype" w:hAnsi="Palatino Linotype" w:cs="Palatino Linotype"/>
          <w:lang w:eastAsia="es-ES"/>
        </w:rPr>
        <w:t xml:space="preserv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2578B2" w:rsidRPr="007775A4" w:rsidRDefault="002578B2" w:rsidP="002578B2">
      <w:pPr>
        <w:spacing w:before="240" w:after="240" w:line="360" w:lineRule="auto"/>
        <w:ind w:right="51"/>
        <w:jc w:val="both"/>
        <w:rPr>
          <w:rFonts w:ascii="Palatino Linotype" w:eastAsia="Palatino Linotype" w:hAnsi="Palatino Linotype" w:cs="Palatino Linotype"/>
          <w:lang w:val="es-MX" w:eastAsia="en-US"/>
        </w:rPr>
      </w:pPr>
      <w:r w:rsidRPr="007775A4">
        <w:rPr>
          <w:rFonts w:ascii="Palatino Linotype" w:eastAsia="Palatino Linotype" w:hAnsi="Palatino Linotype" w:cs="Palatino Linotype"/>
          <w:b/>
          <w:sz w:val="22"/>
          <w:szCs w:val="22"/>
          <w:lang w:val="es-MX" w:eastAsia="en-US"/>
        </w:rPr>
        <w:t xml:space="preserve">Quinto. Versión Pública. </w:t>
      </w:r>
      <w:r w:rsidRPr="007775A4">
        <w:rPr>
          <w:rFonts w:ascii="Palatino Linotype" w:eastAsia="Palatino Linotype" w:hAnsi="Palatino Linotype" w:cs="Palatino Linotype"/>
          <w:lang w:val="es-MX" w:eastAsia="en-US"/>
        </w:rPr>
        <w:t>Como fue debidamente apuntado, el </w:t>
      </w:r>
      <w:r w:rsidRPr="007775A4">
        <w:rPr>
          <w:rFonts w:ascii="Palatino Linotype" w:eastAsia="Palatino Linotype" w:hAnsi="Palatino Linotype" w:cs="Palatino Linotype"/>
          <w:b/>
          <w:lang w:val="es-MX" w:eastAsia="en-US"/>
        </w:rPr>
        <w:t>Sujeto Obligado</w:t>
      </w:r>
      <w:r w:rsidRPr="007775A4">
        <w:rPr>
          <w:rFonts w:ascii="Palatino Linotype" w:eastAsia="Palatino Linotype" w:hAnsi="Palatino Linotype" w:cs="Palatino Linotype"/>
          <w:lang w:val="es-MX" w:eastAsia="en-US"/>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2578B2" w:rsidRPr="007775A4" w:rsidRDefault="002578B2" w:rsidP="002578B2">
      <w:pPr>
        <w:spacing w:before="240" w:after="240" w:line="360" w:lineRule="auto"/>
        <w:ind w:right="49"/>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2578B2" w:rsidRPr="007775A4" w:rsidRDefault="002578B2" w:rsidP="002578B2">
      <w:pPr>
        <w:spacing w:before="240" w:after="240" w:line="360" w:lineRule="auto"/>
        <w:ind w:right="49"/>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2578B2" w:rsidRPr="007775A4" w:rsidRDefault="002578B2" w:rsidP="002578B2">
      <w:pPr>
        <w:spacing w:before="240" w:after="240" w:line="360" w:lineRule="auto"/>
        <w:ind w:right="49"/>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Al respecto, los artículos 3, fracciones IX, XX, XXI, XXXII, XLV; 6, 91, 137, 143 </w:t>
      </w:r>
      <w:proofErr w:type="gramStart"/>
      <w:r w:rsidRPr="007775A4">
        <w:rPr>
          <w:rFonts w:ascii="Palatino Linotype" w:eastAsia="Palatino Linotype" w:hAnsi="Palatino Linotype" w:cs="Palatino Linotype"/>
          <w:sz w:val="22"/>
          <w:szCs w:val="22"/>
          <w:lang w:val="es-MX" w:eastAsia="en-US"/>
        </w:rPr>
        <w:t>fracción</w:t>
      </w:r>
      <w:proofErr w:type="gramEnd"/>
      <w:r w:rsidRPr="007775A4">
        <w:rPr>
          <w:rFonts w:ascii="Palatino Linotype" w:eastAsia="Palatino Linotype" w:hAnsi="Palatino Linotype" w:cs="Palatino Linotype"/>
          <w:sz w:val="22"/>
          <w:szCs w:val="22"/>
          <w:lang w:val="es-MX" w:eastAsia="en-US"/>
        </w:rPr>
        <w:t xml:space="preserve"> I, de la Ley de Transparencia y Acceso a la Información Pública del Estado de México y Municipios vigente establecen:</w:t>
      </w:r>
    </w:p>
    <w:p w:rsidR="002578B2" w:rsidRPr="007775A4" w:rsidRDefault="002578B2" w:rsidP="002578B2">
      <w:pPr>
        <w:spacing w:before="120" w:after="120" w:line="259" w:lineRule="auto"/>
        <w:ind w:left="851"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sz w:val="22"/>
          <w:szCs w:val="22"/>
          <w:lang w:val="es-MX" w:eastAsia="en-US"/>
        </w:rPr>
        <w:lastRenderedPageBreak/>
        <w:t> </w:t>
      </w:r>
      <w:r w:rsidRPr="007775A4">
        <w:rPr>
          <w:rFonts w:ascii="Palatino Linotype" w:eastAsia="Palatino Linotype" w:hAnsi="Palatino Linotype" w:cs="Palatino Linotype"/>
          <w:i/>
          <w:sz w:val="22"/>
          <w:szCs w:val="22"/>
          <w:lang w:val="es-MX" w:eastAsia="en-US"/>
        </w:rPr>
        <w:t>“</w:t>
      </w:r>
      <w:r w:rsidRPr="007775A4">
        <w:rPr>
          <w:rFonts w:ascii="Palatino Linotype" w:eastAsia="Palatino Linotype" w:hAnsi="Palatino Linotype" w:cs="Palatino Linotype"/>
          <w:b/>
          <w:i/>
          <w:sz w:val="22"/>
          <w:szCs w:val="22"/>
          <w:lang w:val="es-MX" w:eastAsia="en-US"/>
        </w:rPr>
        <w:t>Artículo 3.</w:t>
      </w:r>
      <w:r w:rsidRPr="007775A4">
        <w:rPr>
          <w:rFonts w:ascii="Palatino Linotype" w:eastAsia="Palatino Linotype" w:hAnsi="Palatino Linotype" w:cs="Palatino Linotype"/>
          <w:i/>
          <w:sz w:val="22"/>
          <w:szCs w:val="22"/>
          <w:lang w:val="es-MX" w:eastAsia="en-US"/>
        </w:rPr>
        <w:t xml:space="preserve"> Para los efectos de la presente Ley se entenderá por:</w:t>
      </w:r>
    </w:p>
    <w:p w:rsidR="002578B2" w:rsidRPr="007775A4" w:rsidRDefault="002578B2" w:rsidP="002578B2">
      <w:pPr>
        <w:tabs>
          <w:tab w:val="left" w:pos="1276"/>
        </w:tabs>
        <w:spacing w:before="120" w:after="120" w:line="259" w:lineRule="auto"/>
        <w:ind w:left="1134"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IX. Datos personales</w:t>
      </w:r>
      <w:r w:rsidRPr="007775A4">
        <w:rPr>
          <w:rFonts w:ascii="Palatino Linotype" w:eastAsia="Palatino Linotype" w:hAnsi="Palatino Linotype" w:cs="Palatino Linotype"/>
          <w:i/>
          <w:sz w:val="22"/>
          <w:szCs w:val="22"/>
          <w:lang w:val="es-MX" w:eastAsia="en-US"/>
        </w:rPr>
        <w:t>: La información concerniente a una persona, identificada o identificable según lo dispuesto por la Ley de Protección de Datos Personales del Estado de México;</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XX. Información clasificada</w:t>
      </w:r>
      <w:r w:rsidRPr="007775A4">
        <w:rPr>
          <w:rFonts w:ascii="Palatino Linotype" w:eastAsia="Palatino Linotype" w:hAnsi="Palatino Linotype" w:cs="Palatino Linotype"/>
          <w:i/>
          <w:sz w:val="22"/>
          <w:szCs w:val="22"/>
          <w:lang w:val="es-MX" w:eastAsia="en-US"/>
        </w:rPr>
        <w:t>: Aquella considerada por la presente Ley como reservada o confidencial;</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XXI. Información confidencial</w:t>
      </w:r>
      <w:r w:rsidRPr="007775A4">
        <w:rPr>
          <w:rFonts w:ascii="Palatino Linotype" w:eastAsia="Palatino Linotype" w:hAnsi="Palatino Linotype" w:cs="Palatino Linotype"/>
          <w:i/>
          <w:sz w:val="22"/>
          <w:szCs w:val="22"/>
          <w:lang w:val="es-MX"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XXXII. Protección de Datos Personales</w:t>
      </w:r>
      <w:r w:rsidRPr="007775A4">
        <w:rPr>
          <w:rFonts w:ascii="Palatino Linotype" w:eastAsia="Palatino Linotype" w:hAnsi="Palatino Linotype" w:cs="Palatino Linotype"/>
          <w:i/>
          <w:sz w:val="22"/>
          <w:szCs w:val="22"/>
          <w:lang w:val="es-MX" w:eastAsia="en-US"/>
        </w:rPr>
        <w:t>: Derecho humano que tutela la privacidad de datos personales en poder de los sujetos obligados y sujetos particulares;</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p>
    <w:p w:rsidR="002578B2" w:rsidRPr="007775A4" w:rsidRDefault="002578B2" w:rsidP="002578B2">
      <w:pPr>
        <w:tabs>
          <w:tab w:val="left" w:pos="1276"/>
        </w:tabs>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XLV. Versión pública</w:t>
      </w:r>
      <w:r w:rsidRPr="007775A4">
        <w:rPr>
          <w:rFonts w:ascii="Palatino Linotype" w:eastAsia="Palatino Linotype" w:hAnsi="Palatino Linotype" w:cs="Palatino Linotype"/>
          <w:i/>
          <w:sz w:val="22"/>
          <w:szCs w:val="22"/>
          <w:lang w:val="es-MX" w:eastAsia="en-US"/>
        </w:rPr>
        <w:t>: Documento en el que se elimine, suprime o borra la información clasificada como reservada o confidencial para permitir su acceso.</w:t>
      </w:r>
    </w:p>
    <w:p w:rsidR="002578B2" w:rsidRPr="007775A4" w:rsidRDefault="002578B2" w:rsidP="002578B2">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 Artículo 6</w:t>
      </w:r>
      <w:r w:rsidRPr="007775A4">
        <w:rPr>
          <w:rFonts w:ascii="Palatino Linotype" w:eastAsia="Palatino Linotype" w:hAnsi="Palatino Linotype" w:cs="Palatino Linotype"/>
          <w:i/>
          <w:sz w:val="22"/>
          <w:szCs w:val="22"/>
          <w:lang w:val="es-MX" w:eastAsia="en-US"/>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578B2" w:rsidRPr="007775A4" w:rsidRDefault="002578B2" w:rsidP="002578B2">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 (…)</w:t>
      </w:r>
    </w:p>
    <w:p w:rsidR="002578B2" w:rsidRPr="007775A4" w:rsidRDefault="002578B2" w:rsidP="002578B2">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Artículo 91.</w:t>
      </w:r>
      <w:r w:rsidRPr="007775A4">
        <w:rPr>
          <w:rFonts w:ascii="Palatino Linotype" w:eastAsia="Palatino Linotype" w:hAnsi="Palatino Linotype" w:cs="Palatino Linotype"/>
          <w:i/>
          <w:sz w:val="22"/>
          <w:szCs w:val="22"/>
          <w:lang w:val="es-MX" w:eastAsia="en-US"/>
        </w:rPr>
        <w:t xml:space="preserve"> El acceso a la información pública será restringido excepcionalmente, cuando ésta sea clasificada como reservada o confidencial.</w:t>
      </w:r>
    </w:p>
    <w:p w:rsidR="002578B2" w:rsidRPr="007775A4" w:rsidRDefault="002578B2" w:rsidP="002578B2">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p>
    <w:p w:rsidR="002578B2" w:rsidRPr="007775A4" w:rsidRDefault="002578B2" w:rsidP="002578B2">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lastRenderedPageBreak/>
        <w:t>Artículo 137.</w:t>
      </w:r>
      <w:r w:rsidRPr="007775A4">
        <w:rPr>
          <w:rFonts w:ascii="Palatino Linotype" w:eastAsia="Palatino Linotype" w:hAnsi="Palatino Linotype" w:cs="Palatino Linotype"/>
          <w:i/>
          <w:sz w:val="22"/>
          <w:szCs w:val="22"/>
          <w:lang w:val="es-MX" w:eastAsia="en-U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578B2" w:rsidRPr="007775A4" w:rsidRDefault="002578B2" w:rsidP="002578B2">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 Artículo 143.</w:t>
      </w:r>
      <w:r w:rsidRPr="007775A4">
        <w:rPr>
          <w:rFonts w:ascii="Palatino Linotype" w:eastAsia="Palatino Linotype" w:hAnsi="Palatino Linotype" w:cs="Palatino Linotype"/>
          <w:i/>
          <w:sz w:val="22"/>
          <w:szCs w:val="22"/>
          <w:lang w:val="es-MX" w:eastAsia="en-US"/>
        </w:rPr>
        <w:t xml:space="preserve"> Para los efectos de esta Ley se considera información confidencial, la clasificada como tal, de manera permanente, por su naturaleza, cuando:</w:t>
      </w:r>
    </w:p>
    <w:p w:rsidR="002578B2" w:rsidRPr="007775A4" w:rsidRDefault="002578B2" w:rsidP="002578B2">
      <w:pPr>
        <w:spacing w:before="120" w:after="120" w:line="259" w:lineRule="auto"/>
        <w:ind w:left="567"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I.</w:t>
      </w:r>
      <w:r w:rsidRPr="007775A4">
        <w:rPr>
          <w:rFonts w:ascii="Palatino Linotype" w:eastAsia="Palatino Linotype" w:hAnsi="Palatino Linotype" w:cs="Palatino Linotype"/>
          <w:i/>
          <w:sz w:val="22"/>
          <w:szCs w:val="22"/>
          <w:lang w:val="es-MX" w:eastAsia="en-US"/>
        </w:rPr>
        <w:t xml:space="preserve"> Se refiera a la información privada y los datos personales concernientes a una persona física o jurídico colectiva identificada o identificable...”</w:t>
      </w:r>
    </w:p>
    <w:p w:rsidR="002578B2" w:rsidRPr="007775A4" w:rsidRDefault="002578B2" w:rsidP="002578B2">
      <w:pPr>
        <w:spacing w:before="240" w:after="240" w:line="360" w:lineRule="auto"/>
        <w:ind w:right="50"/>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775A4">
        <w:rPr>
          <w:rFonts w:ascii="Palatino Linotype" w:eastAsia="Palatino Linotype" w:hAnsi="Palatino Linotype" w:cs="Palatino Linotype"/>
          <w:b/>
          <w:sz w:val="22"/>
          <w:szCs w:val="22"/>
          <w:lang w:val="es-MX" w:eastAsia="en-US"/>
        </w:rPr>
        <w:t>Sujeto Obligado</w:t>
      </w:r>
      <w:r w:rsidRPr="007775A4">
        <w:rPr>
          <w:rFonts w:ascii="Palatino Linotype" w:eastAsia="Palatino Linotype" w:hAnsi="Palatino Linotype" w:cs="Palatino Linotype"/>
          <w:sz w:val="22"/>
          <w:szCs w:val="22"/>
          <w:lang w:val="es-MX" w:eastAsia="en-US"/>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2578B2" w:rsidRPr="007775A4" w:rsidRDefault="002578B2" w:rsidP="002578B2">
      <w:pPr>
        <w:spacing w:before="240" w:after="240" w:line="360" w:lineRule="auto"/>
        <w:ind w:right="50"/>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578B2" w:rsidRPr="007775A4" w:rsidRDefault="002578B2" w:rsidP="002578B2">
      <w:pPr>
        <w:spacing w:before="240" w:after="240" w:line="360" w:lineRule="auto"/>
        <w:jc w:val="both"/>
        <w:rPr>
          <w:rFonts w:ascii="Palatino Linotype" w:eastAsia="Calibri" w:hAnsi="Palatino Linotype" w:cs="Arial"/>
          <w:sz w:val="22"/>
          <w:szCs w:val="22"/>
          <w:lang w:val="es-MX" w:eastAsia="en-US"/>
        </w:rPr>
      </w:pPr>
      <w:r w:rsidRPr="007775A4">
        <w:rPr>
          <w:rFonts w:ascii="Palatino Linotype" w:eastAsia="Palatino Linotype" w:hAnsi="Palatino Linotype" w:cs="Palatino Linotype"/>
          <w:sz w:val="22"/>
          <w:szCs w:val="22"/>
          <w:lang w:val="es-MX" w:eastAsia="en-US"/>
        </w:rPr>
        <w:t xml:space="preserve">En el caso específico, dada la naturaleza de la información que se ordena, si bien tiene el carácter información pública en razón de que se trata de documentos que se encuentran en </w:t>
      </w:r>
      <w:r w:rsidRPr="007775A4">
        <w:rPr>
          <w:rFonts w:ascii="Palatino Linotype" w:eastAsia="Palatino Linotype" w:hAnsi="Palatino Linotype" w:cs="Palatino Linotype"/>
          <w:sz w:val="22"/>
          <w:szCs w:val="22"/>
          <w:lang w:val="es-MX" w:eastAsia="en-US"/>
        </w:rPr>
        <w:lastRenderedPageBreak/>
        <w:t xml:space="preserve">posesión del </w:t>
      </w:r>
      <w:r w:rsidRPr="007775A4">
        <w:rPr>
          <w:rFonts w:ascii="Palatino Linotype" w:eastAsia="Palatino Linotype" w:hAnsi="Palatino Linotype" w:cs="Palatino Linotype"/>
          <w:b/>
          <w:sz w:val="22"/>
          <w:szCs w:val="22"/>
          <w:lang w:val="es-MX" w:eastAsia="en-US"/>
        </w:rPr>
        <w:t>Sujeto Obligado</w:t>
      </w:r>
      <w:r w:rsidRPr="007775A4">
        <w:rPr>
          <w:rFonts w:ascii="Palatino Linotype" w:eastAsia="Palatino Linotype" w:hAnsi="Palatino Linotype" w:cs="Palatino Linotype"/>
          <w:sz w:val="22"/>
          <w:szCs w:val="22"/>
          <w:lang w:val="es-MX" w:eastAsia="en-US"/>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775A4">
        <w:rPr>
          <w:rFonts w:ascii="Palatino Linotype" w:eastAsia="Palatino Linotype" w:hAnsi="Palatino Linotype" w:cs="Palatino Linotype"/>
          <w:b/>
          <w:sz w:val="22"/>
          <w:szCs w:val="22"/>
          <w:lang w:val="es-MX" w:eastAsia="en-US"/>
        </w:rPr>
        <w:t>Registro Federal de Contribuyentes</w:t>
      </w:r>
      <w:r w:rsidRPr="007775A4">
        <w:rPr>
          <w:rFonts w:ascii="Palatino Linotype" w:eastAsia="Palatino Linotype" w:hAnsi="Palatino Linotype" w:cs="Palatino Linotype"/>
          <w:sz w:val="22"/>
          <w:szCs w:val="22"/>
          <w:lang w:val="es-MX" w:eastAsia="en-US"/>
        </w:rPr>
        <w:t xml:space="preserve"> (RFC), la </w:t>
      </w:r>
      <w:r w:rsidRPr="007775A4">
        <w:rPr>
          <w:rFonts w:ascii="Palatino Linotype" w:eastAsia="Palatino Linotype" w:hAnsi="Palatino Linotype" w:cs="Palatino Linotype"/>
          <w:b/>
          <w:sz w:val="22"/>
          <w:szCs w:val="22"/>
          <w:lang w:val="es-MX" w:eastAsia="en-US"/>
        </w:rPr>
        <w:t>Clave Única de Registro de Población</w:t>
      </w:r>
      <w:r w:rsidRPr="007775A4">
        <w:rPr>
          <w:rFonts w:ascii="Palatino Linotype" w:eastAsia="Palatino Linotype" w:hAnsi="Palatino Linotype" w:cs="Palatino Linotype"/>
          <w:sz w:val="22"/>
          <w:szCs w:val="22"/>
          <w:lang w:val="es-MX" w:eastAsia="en-US"/>
        </w:rPr>
        <w:t xml:space="preserve"> (CURP), la </w:t>
      </w:r>
      <w:r w:rsidRPr="007775A4">
        <w:rPr>
          <w:rFonts w:ascii="Palatino Linotype" w:eastAsia="Palatino Linotype" w:hAnsi="Palatino Linotype" w:cs="Palatino Linotype"/>
          <w:b/>
          <w:sz w:val="22"/>
          <w:szCs w:val="22"/>
          <w:lang w:val="es-MX" w:eastAsia="en-US"/>
        </w:rPr>
        <w:t>Clave de cualquier tipo de seguridad social</w:t>
      </w:r>
      <w:r w:rsidRPr="007775A4">
        <w:rPr>
          <w:rFonts w:ascii="Palatino Linotype" w:eastAsia="Palatino Linotype" w:hAnsi="Palatino Linotype" w:cs="Palatino Linotype"/>
          <w:sz w:val="22"/>
          <w:szCs w:val="22"/>
          <w:lang w:val="es-MX" w:eastAsia="en-US"/>
        </w:rPr>
        <w:t xml:space="preserve"> (ISSEMYM, u otros), los </w:t>
      </w:r>
      <w:r w:rsidRPr="007775A4">
        <w:rPr>
          <w:rFonts w:ascii="Palatino Linotype" w:eastAsia="Palatino Linotype" w:hAnsi="Palatino Linotype" w:cs="Palatino Linotype"/>
          <w:b/>
          <w:sz w:val="22"/>
          <w:szCs w:val="22"/>
          <w:lang w:val="es-MX" w:eastAsia="en-US"/>
        </w:rPr>
        <w:t>números de cuentas bancarias</w:t>
      </w:r>
      <w:r w:rsidRPr="007775A4">
        <w:rPr>
          <w:rFonts w:ascii="Palatino Linotype" w:eastAsia="Palatino Linotype" w:hAnsi="Palatino Linotype" w:cs="Palatino Linotype"/>
          <w:sz w:val="22"/>
          <w:szCs w:val="22"/>
          <w:lang w:val="es-MX" w:eastAsia="en-US"/>
        </w:rPr>
        <w:t xml:space="preserve">, claves estandarizadas – interbancarias - (CLABES) y de tarjetas, los </w:t>
      </w:r>
      <w:r w:rsidRPr="007775A4">
        <w:rPr>
          <w:rFonts w:ascii="Palatino Linotype" w:eastAsia="Palatino Linotype" w:hAnsi="Palatino Linotype" w:cs="Palatino Linotype"/>
          <w:b/>
          <w:sz w:val="22"/>
          <w:szCs w:val="22"/>
          <w:lang w:val="es-MX" w:eastAsia="en-US"/>
        </w:rPr>
        <w:t>préstamos o descuentos</w:t>
      </w:r>
      <w:r w:rsidRPr="007775A4">
        <w:rPr>
          <w:rFonts w:ascii="Palatino Linotype" w:eastAsia="Palatino Linotype" w:hAnsi="Palatino Linotype" w:cs="Palatino Linotype"/>
          <w:sz w:val="22"/>
          <w:szCs w:val="22"/>
          <w:lang w:val="es-MX" w:eastAsia="en-US"/>
        </w:rPr>
        <w:t xml:space="preserve"> que se le hagan a la persona y que no tengan relación con los impuestos o la cuota por seguridad social, el</w:t>
      </w:r>
      <w:r w:rsidRPr="007775A4">
        <w:rPr>
          <w:rFonts w:ascii="Palatino Linotype" w:eastAsia="Palatino Linotype" w:hAnsi="Palatino Linotype" w:cs="Palatino Linotype"/>
          <w:b/>
          <w:sz w:val="22"/>
          <w:szCs w:val="22"/>
          <w:lang w:val="es-MX" w:eastAsia="en-US"/>
        </w:rPr>
        <w:t xml:space="preserve"> número de empleado, </w:t>
      </w:r>
      <w:r w:rsidRPr="007775A4">
        <w:rPr>
          <w:rFonts w:ascii="Palatino Linotype" w:eastAsia="Calibri" w:hAnsi="Palatino Linotype" w:cs="Arial"/>
          <w:sz w:val="22"/>
          <w:szCs w:val="22"/>
          <w:lang w:val="es-MX" w:eastAsia="en-US"/>
        </w:rPr>
        <w:t xml:space="preserve">así como el </w:t>
      </w:r>
      <w:r w:rsidRPr="007775A4">
        <w:rPr>
          <w:rFonts w:ascii="Palatino Linotype" w:eastAsia="Calibri" w:hAnsi="Palatino Linotype" w:cs="Arial"/>
          <w:b/>
          <w:sz w:val="22"/>
          <w:szCs w:val="22"/>
          <w:lang w:val="es-MX" w:eastAsia="en-US"/>
        </w:rPr>
        <w:t>folio fiscal</w:t>
      </w:r>
      <w:r w:rsidRPr="007775A4">
        <w:rPr>
          <w:rFonts w:ascii="Palatino Linotype" w:eastAsia="Calibri" w:hAnsi="Palatino Linotype" w:cs="Arial"/>
          <w:sz w:val="22"/>
          <w:szCs w:val="22"/>
          <w:lang w:val="es-MX" w:eastAsia="en-US"/>
        </w:rPr>
        <w:t xml:space="preserve">, la  </w:t>
      </w:r>
      <w:r w:rsidRPr="007775A4">
        <w:rPr>
          <w:rFonts w:ascii="Palatino Linotype" w:eastAsia="Calibri" w:hAnsi="Palatino Linotype" w:cs="Arial"/>
          <w:b/>
          <w:sz w:val="22"/>
          <w:szCs w:val="22"/>
          <w:lang w:val="es-MX" w:eastAsia="en-US"/>
        </w:rPr>
        <w:t xml:space="preserve">cadena original, </w:t>
      </w:r>
      <w:r w:rsidRPr="007775A4">
        <w:rPr>
          <w:rFonts w:ascii="Palatino Linotype" w:eastAsia="Calibri" w:hAnsi="Palatino Linotype" w:cs="Arial"/>
          <w:sz w:val="22"/>
          <w:szCs w:val="22"/>
          <w:lang w:val="es-MX" w:eastAsia="en-US"/>
        </w:rPr>
        <w:t>los</w:t>
      </w:r>
      <w:r w:rsidRPr="007775A4">
        <w:rPr>
          <w:rFonts w:ascii="Palatino Linotype" w:eastAsia="Calibri" w:hAnsi="Palatino Linotype" w:cs="Arial"/>
          <w:b/>
          <w:sz w:val="22"/>
          <w:szCs w:val="22"/>
          <w:lang w:val="es-MX" w:eastAsia="en-US"/>
        </w:rPr>
        <w:t xml:space="preserve"> códigos bidimensionales o códigos QR,</w:t>
      </w:r>
      <w:r w:rsidRPr="007775A4">
        <w:rPr>
          <w:rFonts w:ascii="Palatino Linotype" w:eastAsia="Calibri" w:hAnsi="Palatino Linotype" w:cs="Arial"/>
          <w:sz w:val="22"/>
          <w:szCs w:val="22"/>
          <w:lang w:val="es-MX" w:eastAsia="en-US"/>
        </w:rPr>
        <w:t xml:space="preserve"> y cualquier información de carácter fiscal, bajo las siguientes consideraciones. </w:t>
      </w:r>
    </w:p>
    <w:p w:rsidR="002578B2" w:rsidRPr="007775A4" w:rsidRDefault="002578B2" w:rsidP="002578B2">
      <w:pPr>
        <w:spacing w:before="240" w:after="240" w:line="360" w:lineRule="auto"/>
        <w:ind w:right="50"/>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7775A4">
        <w:rPr>
          <w:rFonts w:ascii="Palatino Linotype" w:eastAsia="Palatino Linotype" w:hAnsi="Palatino Linotype" w:cs="Palatino Linotype"/>
          <w:sz w:val="22"/>
          <w:szCs w:val="22"/>
          <w:lang w:val="es-MX" w:eastAsia="en-US"/>
        </w:rPr>
        <w:t>homoclave</w:t>
      </w:r>
      <w:proofErr w:type="spellEnd"/>
      <w:r w:rsidRPr="007775A4">
        <w:rPr>
          <w:rFonts w:ascii="Palatino Linotype" w:eastAsia="Palatino Linotype" w:hAnsi="Palatino Linotype" w:cs="Palatino Linotype"/>
          <w:sz w:val="22"/>
          <w:szCs w:val="22"/>
          <w:lang w:val="es-MX" w:eastAsia="en-US"/>
        </w:rPr>
        <w:t>, por lo que para su obtención es necesario acreditar ante la autoridad fiscal previamente la identidad de la persona, su fecha de nacimiento, entre otros aspectos.</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Lo anterior es compartido por el Instituto Nacional de Transparencia, Acceso a la Información y Protección de Datos Personales, INAI, a través del Criterio 19/17, el cual es del tenor literal siguiente:</w:t>
      </w:r>
    </w:p>
    <w:p w:rsidR="002578B2" w:rsidRPr="007775A4" w:rsidRDefault="002578B2" w:rsidP="002578B2">
      <w:pPr>
        <w:spacing w:after="16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 xml:space="preserve"> “Registro Federal de Contribuyentes (RFC) de personas físicas</w:t>
      </w:r>
      <w:r w:rsidRPr="007775A4">
        <w:rPr>
          <w:rFonts w:ascii="Palatino Linotype" w:eastAsia="Palatino Linotype" w:hAnsi="Palatino Linotype" w:cs="Palatino Linotype"/>
          <w:i/>
          <w:sz w:val="22"/>
          <w:szCs w:val="22"/>
          <w:lang w:val="es-MX" w:eastAsia="en-US"/>
        </w:rPr>
        <w:t>. El RFC es una clave de carácter fiscal, única e irrepetible, que permite identificar al titular, su edad y fecha de nacimiento, por lo que es un dato personal de carácter confidencial.”</w:t>
      </w:r>
    </w:p>
    <w:p w:rsidR="002578B2" w:rsidRPr="007775A4" w:rsidRDefault="002578B2" w:rsidP="002578B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Así, el Registro Federal de Contribuyentes, RFC, se vincula al nombre de su titular y permite identificar la edad de la persona, su fecha de nacimiento, así como su </w:t>
      </w:r>
      <w:proofErr w:type="spellStart"/>
      <w:r w:rsidRPr="007775A4">
        <w:rPr>
          <w:rFonts w:ascii="Palatino Linotype" w:eastAsia="Palatino Linotype" w:hAnsi="Palatino Linotype" w:cs="Palatino Linotype"/>
          <w:sz w:val="22"/>
          <w:szCs w:val="22"/>
          <w:lang w:val="es-MX" w:eastAsia="en-US"/>
        </w:rPr>
        <w:t>homoclave</w:t>
      </w:r>
      <w:proofErr w:type="spellEnd"/>
      <w:r w:rsidRPr="007775A4">
        <w:rPr>
          <w:rFonts w:ascii="Palatino Linotype" w:eastAsia="Palatino Linotype" w:hAnsi="Palatino Linotype" w:cs="Palatino Linotype"/>
          <w:sz w:val="22"/>
          <w:szCs w:val="22"/>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2578B2" w:rsidRPr="007775A4" w:rsidRDefault="002578B2" w:rsidP="002578B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578B2" w:rsidRPr="007775A4" w:rsidRDefault="002578B2" w:rsidP="002578B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lastRenderedPageBreak/>
        <w:t>Argumento que es compartido por el Instituto Nacional de Transparencia, Acceso a la Información y Protección de Datos Personales, INAI, conforme al criterio 18/17, el cual refiere:</w:t>
      </w:r>
    </w:p>
    <w:p w:rsidR="002578B2" w:rsidRPr="007775A4" w:rsidRDefault="002578B2" w:rsidP="002578B2">
      <w:pPr>
        <w:spacing w:after="160" w:line="259" w:lineRule="auto"/>
        <w:ind w:left="851" w:right="851"/>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 xml:space="preserve"> “Clave Única de Registro de Población (CURP). </w:t>
      </w:r>
      <w:r w:rsidRPr="007775A4">
        <w:rPr>
          <w:rFonts w:ascii="Palatino Linotype" w:eastAsia="Palatino Linotype" w:hAnsi="Palatino Linotype" w:cs="Palatino Linotype"/>
          <w:i/>
          <w:sz w:val="22"/>
          <w:szCs w:val="22"/>
          <w:lang w:val="es-MX" w:eastAsia="en-U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2578B2" w:rsidRPr="007775A4" w:rsidRDefault="002578B2" w:rsidP="002578B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lastRenderedPageBreak/>
        <w:t xml:space="preserve">En esa virtud, este Pleno determina que dicha información no puede ser del dominio público, toda vez que se podría dar un uso inadecuado a la misma o cometer algún ilícito o fraude como ya ha sido expuesto. </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Lo anterior no es así tratándose de las cuentas bancarias o claves interbancarias de los Sujetos Obligados ya que su publicidad cede a la rendición de cuentas al transparentar la forma en que son administrados los recursos públicos.</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Lo argumentado encuentra sustento en los criterios 10/17 y 11/17 emitidos por el Instituto Nacional de Transparencia, Acceso a la Información y Protección de Datos Personales, INAI, que llevan por rubro y texto los siguientes:</w:t>
      </w:r>
    </w:p>
    <w:p w:rsidR="002578B2" w:rsidRPr="007775A4" w:rsidRDefault="002578B2" w:rsidP="002578B2">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r w:rsidRPr="007775A4">
        <w:rPr>
          <w:rFonts w:ascii="Palatino Linotype" w:eastAsia="Palatino Linotype" w:hAnsi="Palatino Linotype" w:cs="Palatino Linotype"/>
          <w:b/>
          <w:i/>
          <w:sz w:val="22"/>
          <w:szCs w:val="22"/>
          <w:lang w:val="es-MX" w:eastAsia="en-US"/>
        </w:rPr>
        <w:t>Cuentas bancarias y/o CLABE interbancaria de personas físicas y morales privadas.</w:t>
      </w:r>
      <w:r w:rsidRPr="007775A4">
        <w:rPr>
          <w:rFonts w:ascii="Palatino Linotype" w:eastAsia="Palatino Linotype" w:hAnsi="Palatino Linotype" w:cs="Palatino Linotype"/>
          <w:i/>
          <w:sz w:val="22"/>
          <w:szCs w:val="22"/>
          <w:lang w:val="es-MX"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578B2" w:rsidRPr="007775A4" w:rsidRDefault="002578B2" w:rsidP="002578B2">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Cuentas bancarias y/o CLABE interbancaria de sujetos obligados que reciben y/o transfieren recursos públicos, son información pública.</w:t>
      </w:r>
      <w:r w:rsidRPr="007775A4">
        <w:rPr>
          <w:rFonts w:ascii="Palatino Linotype" w:eastAsia="Palatino Linotype" w:hAnsi="Palatino Linotype" w:cs="Palatino Linotype"/>
          <w:i/>
          <w:sz w:val="22"/>
          <w:szCs w:val="22"/>
          <w:lang w:val="es-MX" w:eastAsia="en-U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Por cuanto hace a los </w:t>
      </w:r>
      <w:r w:rsidRPr="007775A4">
        <w:rPr>
          <w:rFonts w:ascii="Palatino Linotype" w:eastAsia="Palatino Linotype" w:hAnsi="Palatino Linotype" w:cs="Palatino Linotype"/>
          <w:b/>
          <w:sz w:val="22"/>
          <w:szCs w:val="22"/>
          <w:lang w:val="es-MX" w:eastAsia="en-US"/>
        </w:rPr>
        <w:t>préstamos o descuentos de carácter personal</w:t>
      </w:r>
      <w:r w:rsidRPr="007775A4">
        <w:rPr>
          <w:rFonts w:ascii="Palatino Linotype" w:eastAsia="Palatino Linotype" w:hAnsi="Palatino Linotype" w:cs="Palatino Linotype"/>
          <w:sz w:val="22"/>
          <w:szCs w:val="22"/>
          <w:lang w:val="es-MX" w:eastAsia="en-US"/>
        </w:rPr>
        <w:t>, en virtud de no tener relación con la prestación del servicio y al no involucrar instituciones públicas, se consideran datos confidenciales.</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lastRenderedPageBreak/>
        <w:t>Para entender los límites y alcances de esta restricción, es oportuno recurrir al artículo 84 de la Ley del Trabajo de los Servidores Públicos del Estado y Municipios:</w:t>
      </w:r>
    </w:p>
    <w:p w:rsidR="002578B2" w:rsidRPr="007775A4" w:rsidRDefault="002578B2" w:rsidP="002578B2">
      <w:pPr>
        <w:spacing w:before="240" w:after="240" w:line="259" w:lineRule="auto"/>
        <w:ind w:left="851" w:right="900"/>
        <w:jc w:val="both"/>
        <w:rPr>
          <w:rFonts w:ascii="Palatino Linotype" w:eastAsia="Palatino Linotype" w:hAnsi="Palatino Linotype" w:cs="Palatino Linotype"/>
          <w:b/>
          <w:i/>
          <w:sz w:val="22"/>
          <w:szCs w:val="22"/>
          <w:lang w:val="es-MX" w:eastAsia="en-US"/>
        </w:rPr>
      </w:pPr>
      <w:r w:rsidRPr="007775A4">
        <w:rPr>
          <w:rFonts w:ascii="Palatino Linotype" w:eastAsia="Palatino Linotype" w:hAnsi="Palatino Linotype" w:cs="Palatino Linotype"/>
          <w:b/>
          <w:i/>
          <w:sz w:val="22"/>
          <w:szCs w:val="22"/>
          <w:lang w:val="es-MX" w:eastAsia="en-US"/>
        </w:rPr>
        <w:t xml:space="preserve">“ARTÍCULO 84. </w:t>
      </w:r>
      <w:r w:rsidRPr="007775A4">
        <w:rPr>
          <w:rFonts w:ascii="Palatino Linotype" w:eastAsia="Palatino Linotype" w:hAnsi="Palatino Linotype" w:cs="Palatino Linotype"/>
          <w:i/>
          <w:sz w:val="22"/>
          <w:szCs w:val="22"/>
          <w:lang w:val="es-MX" w:eastAsia="en-US"/>
        </w:rPr>
        <w:t>Sólo podrán hacerse retenciones, descuentos o deducciones al sueldo de los servidores públicos por concepto de:</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I. Gravámenes fiscales relacionados con el sueldo;</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II. Deudas contraídas con las instituciones públicas o dependencias por concepto de anticipos de sueldo, pagos hechos con exceso, errores o pérdidas debidamente comprobados;</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III. Cuotas sindicales;</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IV. Cuotas de aportación a fondos para la constitución de cooperativas y de cajas de ahorro, siempre que el servidor público hubiese manifestado previamente, de manera expresa, su conformidad;</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V. Descuentos ordenados por el Instituto de Seguridad Social del Estado de México y Municipios, con motivo de cuotas y obligaciones contraídas con éste por los servidores públicos;</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VI. Obligaciones a cargo del servidor público con las que haya consentido, derivadas de la adquisición o del uso de habitaciones consideradas como de interés social;</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VII. Faltas de puntualidad o de asistencia injustificadas;</w:t>
      </w:r>
    </w:p>
    <w:p w:rsidR="002578B2" w:rsidRPr="007775A4" w:rsidRDefault="002578B2" w:rsidP="002578B2">
      <w:pPr>
        <w:spacing w:after="160" w:line="259" w:lineRule="auto"/>
        <w:ind w:left="993"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VIII. Pensiones alimenticias ordenadas por la autoridad judicial;</w:t>
      </w:r>
      <w:r w:rsidRPr="007775A4">
        <w:rPr>
          <w:rFonts w:ascii="Palatino Linotype" w:eastAsia="Palatino Linotype" w:hAnsi="Palatino Linotype" w:cs="Palatino Linotype"/>
          <w:i/>
          <w:sz w:val="22"/>
          <w:szCs w:val="22"/>
          <w:lang w:val="es-MX" w:eastAsia="en-US"/>
        </w:rPr>
        <w:t xml:space="preserve"> o</w:t>
      </w:r>
    </w:p>
    <w:p w:rsidR="002578B2" w:rsidRPr="007775A4" w:rsidRDefault="002578B2" w:rsidP="002578B2">
      <w:pPr>
        <w:spacing w:after="160" w:line="259" w:lineRule="auto"/>
        <w:ind w:left="993" w:right="902"/>
        <w:jc w:val="both"/>
        <w:rPr>
          <w:rFonts w:ascii="Palatino Linotype" w:eastAsia="Palatino Linotype" w:hAnsi="Palatino Linotype" w:cs="Palatino Linotype"/>
          <w:b/>
          <w:i/>
          <w:sz w:val="22"/>
          <w:szCs w:val="22"/>
          <w:lang w:val="es-MX" w:eastAsia="en-US"/>
        </w:rPr>
      </w:pPr>
      <w:r w:rsidRPr="007775A4">
        <w:rPr>
          <w:rFonts w:ascii="Palatino Linotype" w:eastAsia="Palatino Linotype" w:hAnsi="Palatino Linotype" w:cs="Palatino Linotype"/>
          <w:b/>
          <w:i/>
          <w:sz w:val="22"/>
          <w:szCs w:val="22"/>
          <w:lang w:val="es-MX" w:eastAsia="en-US"/>
        </w:rPr>
        <w:t>IX. Cualquier otro convenido con instituciones de servicios y aceptado por el servidor público.</w:t>
      </w:r>
    </w:p>
    <w:p w:rsidR="002578B2" w:rsidRPr="007775A4" w:rsidRDefault="002578B2" w:rsidP="002578B2">
      <w:pPr>
        <w:spacing w:before="240" w:after="24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Con relación al </w:t>
      </w:r>
      <w:r w:rsidRPr="007775A4">
        <w:rPr>
          <w:rFonts w:ascii="Palatino Linotype" w:eastAsia="Palatino Linotype" w:hAnsi="Palatino Linotype" w:cs="Palatino Linotype"/>
          <w:b/>
          <w:sz w:val="22"/>
          <w:szCs w:val="22"/>
          <w:lang w:val="es-MX" w:eastAsia="en-US"/>
        </w:rPr>
        <w:t>número de empleado</w:t>
      </w:r>
      <w:r w:rsidRPr="007775A4">
        <w:rPr>
          <w:rFonts w:ascii="Palatino Linotype" w:eastAsia="Palatino Linotype" w:hAnsi="Palatino Linotype" w:cs="Palatino Linotype"/>
          <w:sz w:val="22"/>
          <w:szCs w:val="22"/>
          <w:lang w:val="es-MX" w:eastAsia="en-US"/>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7775A4">
        <w:rPr>
          <w:rFonts w:ascii="Palatino Linotype" w:eastAsia="Palatino Linotype" w:hAnsi="Palatino Linotype" w:cs="Palatino Linotype"/>
          <w:sz w:val="22"/>
          <w:szCs w:val="22"/>
          <w:vertAlign w:val="superscript"/>
          <w:lang w:val="es-MX" w:eastAsia="en-US"/>
        </w:rPr>
        <w:footnoteReference w:id="2"/>
      </w:r>
      <w:r w:rsidRPr="007775A4">
        <w:rPr>
          <w:rFonts w:ascii="Palatino Linotype" w:eastAsia="Palatino Linotype" w:hAnsi="Palatino Linotype" w:cs="Palatino Linotype"/>
          <w:sz w:val="22"/>
          <w:szCs w:val="22"/>
          <w:lang w:val="es-MX" w:eastAsia="en-US"/>
        </w:rPr>
        <w:t>.</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7775A4">
        <w:rPr>
          <w:rFonts w:ascii="Palatino Linotype" w:eastAsia="Palatino Linotype" w:hAnsi="Palatino Linotype" w:cs="Palatino Linotype"/>
          <w:sz w:val="22"/>
          <w:szCs w:val="22"/>
          <w:lang w:val="es-MX" w:eastAsia="en-US"/>
        </w:rPr>
        <w:t>INAI  se</w:t>
      </w:r>
      <w:proofErr w:type="gramEnd"/>
      <w:r w:rsidRPr="007775A4">
        <w:rPr>
          <w:rFonts w:ascii="Palatino Linotype" w:eastAsia="Palatino Linotype" w:hAnsi="Palatino Linotype" w:cs="Palatino Linotype"/>
          <w:sz w:val="22"/>
          <w:szCs w:val="22"/>
          <w:lang w:val="es-MX" w:eastAsia="en-US"/>
        </w:rPr>
        <w:t xml:space="preserve"> ha pronunciado sobre su publicidad, a través del criterio 06/19, que indica lo siguiente:</w:t>
      </w:r>
    </w:p>
    <w:p w:rsidR="002578B2" w:rsidRPr="007775A4" w:rsidRDefault="002578B2" w:rsidP="002578B2">
      <w:pPr>
        <w:tabs>
          <w:tab w:val="left" w:pos="7655"/>
        </w:tabs>
        <w:spacing w:before="240" w:after="240" w:line="259" w:lineRule="auto"/>
        <w:ind w:left="993" w:right="99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 xml:space="preserve">“Número de empleado. </w:t>
      </w:r>
      <w:r w:rsidRPr="007775A4">
        <w:rPr>
          <w:rFonts w:ascii="Palatino Linotype" w:eastAsia="Palatino Linotype" w:hAnsi="Palatino Linotype" w:cs="Palatino Linotype"/>
          <w:i/>
          <w:sz w:val="22"/>
          <w:szCs w:val="22"/>
          <w:lang w:val="es-MX"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lastRenderedPageBreak/>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7775A4">
        <w:rPr>
          <w:rFonts w:ascii="Palatino Linotype" w:eastAsia="Palatino Linotype" w:hAnsi="Palatino Linotype" w:cs="Palatino Linotype"/>
          <w:b/>
          <w:sz w:val="22"/>
          <w:szCs w:val="22"/>
          <w:lang w:val="es-MX" w:eastAsia="en-US"/>
        </w:rPr>
        <w:t>Sujeto Obligado</w:t>
      </w:r>
      <w:r w:rsidRPr="007775A4">
        <w:rPr>
          <w:rFonts w:ascii="Palatino Linotype" w:eastAsia="Palatino Linotype" w:hAnsi="Palatino Linotype" w:cs="Palatino Linotype"/>
          <w:sz w:val="22"/>
          <w:szCs w:val="22"/>
          <w:lang w:val="es-MX" w:eastAsia="en-US"/>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2578B2" w:rsidRPr="007775A4" w:rsidRDefault="002578B2" w:rsidP="002578B2">
      <w:pPr>
        <w:spacing w:before="240" w:after="240" w:line="360" w:lineRule="auto"/>
        <w:jc w:val="both"/>
        <w:rPr>
          <w:rFonts w:ascii="Palatino Linotype" w:eastAsia="Calibri" w:hAnsi="Palatino Linotype"/>
          <w:sz w:val="22"/>
          <w:szCs w:val="22"/>
          <w:lang w:val="es-MX" w:eastAsia="en-US"/>
        </w:rPr>
      </w:pPr>
      <w:r w:rsidRPr="007775A4">
        <w:rPr>
          <w:rFonts w:ascii="Palatino Linotype" w:eastAsia="Calibri" w:hAnsi="Palatino Linotype"/>
          <w:b/>
          <w:bCs/>
          <w:sz w:val="22"/>
          <w:szCs w:val="22"/>
          <w:lang w:val="es-MX" w:eastAsia="en-US"/>
        </w:rPr>
        <w:t>De la información fiscal</w:t>
      </w:r>
      <w:r w:rsidRPr="007775A4">
        <w:rPr>
          <w:rFonts w:ascii="Palatino Linotype" w:eastAsia="Calibri" w:hAnsi="Palatino Linotype"/>
          <w:sz w:val="22"/>
          <w:szCs w:val="22"/>
          <w:lang w:val="es-MX" w:eastAsia="en-US"/>
        </w:rPr>
        <w:t xml:space="preserve">: </w:t>
      </w:r>
    </w:p>
    <w:p w:rsidR="002578B2" w:rsidRPr="007775A4" w:rsidRDefault="002578B2" w:rsidP="002578B2">
      <w:pPr>
        <w:spacing w:before="240" w:after="240" w:line="360" w:lineRule="auto"/>
        <w:jc w:val="both"/>
        <w:rPr>
          <w:rFonts w:ascii="Palatino Linotype" w:eastAsia="Calibri" w:hAnsi="Palatino Linotype"/>
          <w:sz w:val="22"/>
          <w:szCs w:val="22"/>
          <w:lang w:val="es-MX" w:eastAsia="en-US"/>
        </w:rPr>
      </w:pPr>
      <w:r w:rsidRPr="007775A4">
        <w:rPr>
          <w:rFonts w:ascii="Palatino Linotype" w:eastAsia="Calibri" w:hAnsi="Palatino Linotype"/>
          <w:sz w:val="22"/>
          <w:szCs w:val="22"/>
          <w:lang w:val="es-MX" w:eastAsia="en-US"/>
        </w:rPr>
        <w:t xml:space="preserve">La </w:t>
      </w:r>
      <w:r w:rsidRPr="007775A4">
        <w:rPr>
          <w:rFonts w:ascii="Palatino Linotype" w:eastAsia="Calibri" w:hAnsi="Palatino Linotype"/>
          <w:b/>
          <w:sz w:val="22"/>
          <w:szCs w:val="22"/>
          <w:lang w:val="es-MX" w:eastAsia="en-US"/>
        </w:rPr>
        <w:t>Cadena Original</w:t>
      </w:r>
      <w:r w:rsidRPr="007775A4">
        <w:rPr>
          <w:rFonts w:ascii="Palatino Linotype" w:eastAsia="Calibri" w:hAnsi="Palatino Linotype"/>
          <w:sz w:val="22"/>
          <w:szCs w:val="22"/>
          <w:lang w:val="es-MX" w:eastAsia="en-US"/>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7775A4">
        <w:rPr>
          <w:rFonts w:ascii="Palatino Linotype" w:eastAsia="Calibri" w:hAnsi="Palatino Linotype"/>
          <w:b/>
          <w:bCs/>
          <w:sz w:val="22"/>
          <w:szCs w:val="22"/>
          <w:lang w:val="es-MX" w:eastAsia="en-US"/>
        </w:rPr>
        <w:t>Sujeto Obligado</w:t>
      </w:r>
      <w:r w:rsidRPr="007775A4">
        <w:rPr>
          <w:rFonts w:ascii="Palatino Linotype" w:eastAsia="Calibri" w:hAnsi="Palatino Linotype"/>
          <w:sz w:val="22"/>
          <w:szCs w:val="22"/>
          <w:lang w:val="es-MX" w:eastAsia="en-US"/>
        </w:rPr>
        <w:t xml:space="preserve"> analizar dicha circunstancia con la finalidad de proteger, de ser el caso, la información a través de su clasificación por actualizarse el supuesto de confidencialidad.</w:t>
      </w:r>
    </w:p>
    <w:p w:rsidR="002578B2" w:rsidRPr="007775A4" w:rsidRDefault="002578B2" w:rsidP="002578B2">
      <w:pPr>
        <w:spacing w:before="240" w:after="240" w:line="360" w:lineRule="auto"/>
        <w:jc w:val="both"/>
        <w:rPr>
          <w:rFonts w:ascii="Palatino Linotype" w:eastAsia="Calibri" w:hAnsi="Palatino Linotype"/>
          <w:sz w:val="22"/>
          <w:szCs w:val="22"/>
          <w:lang w:val="es-MX" w:eastAsia="en-US"/>
        </w:rPr>
      </w:pPr>
      <w:r w:rsidRPr="007775A4">
        <w:rPr>
          <w:rFonts w:ascii="Palatino Linotype" w:eastAsia="Calibri" w:hAnsi="Palatino Linotype" w:cs="Arial"/>
          <w:sz w:val="22"/>
          <w:szCs w:val="22"/>
          <w:lang w:val="es-MX" w:eastAsia="en-US"/>
        </w:rPr>
        <w:t xml:space="preserve">Los </w:t>
      </w:r>
      <w:r w:rsidRPr="007775A4">
        <w:rPr>
          <w:rFonts w:ascii="Palatino Linotype" w:eastAsia="Calibri" w:hAnsi="Palatino Linotype" w:cs="Arial"/>
          <w:b/>
          <w:sz w:val="22"/>
          <w:szCs w:val="22"/>
          <w:lang w:val="es-MX" w:eastAsia="en-US"/>
        </w:rPr>
        <w:t>códigos bidimensionales</w:t>
      </w:r>
      <w:r w:rsidRPr="007775A4">
        <w:rPr>
          <w:rFonts w:ascii="Palatino Linotype" w:eastAsia="Calibri" w:hAnsi="Palatino Linotype" w:cs="Arial"/>
          <w:sz w:val="22"/>
          <w:szCs w:val="22"/>
          <w:lang w:val="es-MX" w:eastAsia="en-US"/>
        </w:rPr>
        <w:t xml:space="preserve"> o </w:t>
      </w:r>
      <w:r w:rsidRPr="007775A4">
        <w:rPr>
          <w:rFonts w:ascii="Palatino Linotype" w:eastAsia="Calibri" w:hAnsi="Palatino Linotype" w:cs="Arial"/>
          <w:b/>
          <w:sz w:val="22"/>
          <w:szCs w:val="22"/>
          <w:lang w:val="es-MX" w:eastAsia="en-US"/>
        </w:rPr>
        <w:t xml:space="preserve">códigos QR, </w:t>
      </w:r>
      <w:r w:rsidRPr="007775A4">
        <w:rPr>
          <w:rFonts w:ascii="Palatino Linotype" w:eastAsia="Calibri" w:hAnsi="Palatino Linotype" w:cs="Arial"/>
          <w:sz w:val="22"/>
          <w:szCs w:val="22"/>
          <w:lang w:val="es-MX" w:eastAsia="en-US"/>
        </w:rPr>
        <w:t>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r w:rsidRPr="007775A4">
        <w:rPr>
          <w:rFonts w:ascii="Palatino Linotype" w:eastAsia="Calibri" w:hAnsi="Palatino Linotype"/>
          <w:sz w:val="22"/>
          <w:szCs w:val="22"/>
          <w:lang w:val="es-MX" w:eastAsia="en-US"/>
        </w:rPr>
        <w:t xml:space="preserve">, debiendo el </w:t>
      </w:r>
      <w:r w:rsidRPr="007775A4">
        <w:rPr>
          <w:rFonts w:ascii="Palatino Linotype" w:eastAsia="Calibri" w:hAnsi="Palatino Linotype"/>
          <w:b/>
          <w:bCs/>
          <w:sz w:val="22"/>
          <w:szCs w:val="22"/>
          <w:lang w:val="es-MX" w:eastAsia="en-US"/>
        </w:rPr>
        <w:t xml:space="preserve">Sujeto Obligado </w:t>
      </w:r>
      <w:r w:rsidRPr="007775A4">
        <w:rPr>
          <w:rFonts w:ascii="Palatino Linotype" w:eastAsia="Calibri" w:hAnsi="Palatino Linotype"/>
          <w:sz w:val="22"/>
          <w:szCs w:val="22"/>
          <w:lang w:val="es-MX" w:eastAsia="en-US"/>
        </w:rPr>
        <w:t xml:space="preserve">analizar dicha </w:t>
      </w:r>
      <w:r w:rsidRPr="007775A4">
        <w:rPr>
          <w:rFonts w:ascii="Palatino Linotype" w:eastAsia="Calibri" w:hAnsi="Palatino Linotype"/>
          <w:sz w:val="22"/>
          <w:szCs w:val="22"/>
          <w:lang w:val="es-MX" w:eastAsia="en-US"/>
        </w:rPr>
        <w:lastRenderedPageBreak/>
        <w:t>circunstancia con la finalidad de determinar si se actualiza algún supuesto de confidencialidad.</w:t>
      </w:r>
    </w:p>
    <w:p w:rsidR="002578B2" w:rsidRPr="007775A4" w:rsidRDefault="002578B2" w:rsidP="002578B2">
      <w:pPr>
        <w:spacing w:before="240" w:after="240" w:line="360" w:lineRule="auto"/>
        <w:jc w:val="both"/>
        <w:rPr>
          <w:rFonts w:ascii="Palatino Linotype" w:eastAsia="Calibri" w:hAnsi="Palatino Linotype" w:cs="Arial"/>
          <w:sz w:val="22"/>
          <w:szCs w:val="22"/>
          <w:lang w:val="es-MX" w:eastAsia="en-US"/>
        </w:rPr>
      </w:pPr>
      <w:r w:rsidRPr="007775A4">
        <w:rPr>
          <w:rFonts w:ascii="Palatino Linotype" w:eastAsia="Calibri" w:hAnsi="Palatino Linotype" w:cs="Arial"/>
          <w:sz w:val="22"/>
          <w:szCs w:val="22"/>
          <w:lang w:val="es-MX" w:eastAsia="en-US"/>
        </w:rPr>
        <w:t xml:space="preserve">En tal sentido, si derivado del análisis efectuado por </w:t>
      </w:r>
      <w:r w:rsidRPr="007775A4">
        <w:rPr>
          <w:rFonts w:ascii="Palatino Linotype" w:eastAsia="Calibri" w:hAnsi="Palatino Linotype" w:cs="Arial"/>
          <w:b/>
          <w:sz w:val="22"/>
          <w:szCs w:val="22"/>
          <w:lang w:val="es-MX" w:eastAsia="en-US"/>
        </w:rPr>
        <w:t xml:space="preserve">Sujeto Obligado </w:t>
      </w:r>
      <w:r w:rsidRPr="007775A4">
        <w:rPr>
          <w:rFonts w:ascii="Palatino Linotype" w:eastAsia="Calibri" w:hAnsi="Palatino Linotype" w:cs="Arial"/>
          <w:bCs/>
          <w:sz w:val="22"/>
          <w:szCs w:val="22"/>
          <w:lang w:val="es-MX" w:eastAsia="en-US"/>
        </w:rPr>
        <w:t>en el presente caso,</w:t>
      </w:r>
      <w:r w:rsidRPr="007775A4">
        <w:rPr>
          <w:rFonts w:ascii="Palatino Linotype" w:eastAsia="Calibri" w:hAnsi="Palatino Linotype" w:cs="Arial"/>
          <w:sz w:val="22"/>
          <w:szCs w:val="22"/>
          <w:lang w:val="es-MX" w:eastAsia="en-US"/>
        </w:rPr>
        <w:t xml:space="preserve">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7775A4">
        <w:rPr>
          <w:rFonts w:ascii="Palatino Linotype" w:eastAsia="Palatino Linotype" w:hAnsi="Palatino Linotype" w:cs="Palatino Linotype"/>
          <w:b/>
          <w:sz w:val="22"/>
          <w:szCs w:val="22"/>
          <w:lang w:val="es-MX" w:eastAsia="en-US"/>
        </w:rPr>
        <w:t>que desempeñen funciones operativas</w:t>
      </w:r>
      <w:r w:rsidRPr="007775A4">
        <w:rPr>
          <w:rFonts w:ascii="Palatino Linotype" w:eastAsia="Palatino Linotype" w:hAnsi="Palatino Linotype" w:cs="Palatino Linotype"/>
          <w:sz w:val="22"/>
          <w:szCs w:val="22"/>
          <w:lang w:val="es-MX" w:eastAsia="en-US"/>
        </w:rPr>
        <w:t>.</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2578B2" w:rsidRPr="007775A4" w:rsidRDefault="002578B2" w:rsidP="002578B2">
      <w:pPr>
        <w:spacing w:before="240" w:after="240" w:line="360" w:lineRule="auto"/>
        <w:jc w:val="both"/>
        <w:rPr>
          <w:rFonts w:ascii="Palatino Linotype" w:eastAsia="Palatino Linotype" w:hAnsi="Palatino Linotype" w:cs="Palatino Linotype"/>
          <w:szCs w:val="22"/>
          <w:lang w:val="es-MX" w:eastAsia="en-US"/>
        </w:rPr>
      </w:pPr>
      <w:r w:rsidRPr="007775A4">
        <w:rPr>
          <w:rFonts w:ascii="Palatino Linotype" w:eastAsia="Palatino Linotype" w:hAnsi="Palatino Linotype" w:cs="Palatino Linotype"/>
          <w:szCs w:val="22"/>
          <w:lang w:val="es-MX" w:eastAsia="en-US"/>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En ese entendido, la leyenda de clasificación que se genere, deberá establecer ambos supuestos de clasificación: reserva y confidencialidad, en congruencia con los requisitos establecidos en los lineamientos citados.</w:t>
      </w:r>
    </w:p>
    <w:p w:rsidR="002578B2" w:rsidRPr="007775A4" w:rsidRDefault="002578B2" w:rsidP="002578B2">
      <w:pPr>
        <w:spacing w:before="120" w:after="12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w:t>
      </w:r>
      <w:r w:rsidRPr="007775A4">
        <w:rPr>
          <w:rFonts w:ascii="Palatino Linotype" w:eastAsia="Palatino Linotype" w:hAnsi="Palatino Linotype" w:cs="Palatino Linotype"/>
          <w:sz w:val="22"/>
          <w:szCs w:val="22"/>
          <w:lang w:val="es-MX" w:eastAsia="en-US"/>
        </w:rPr>
        <w:lastRenderedPageBreak/>
        <w:t>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2578B2" w:rsidRPr="007775A4" w:rsidRDefault="002578B2" w:rsidP="002578B2">
      <w:pPr>
        <w:tabs>
          <w:tab w:val="left" w:pos="4962"/>
        </w:tabs>
        <w:spacing w:before="120" w:after="120" w:line="259" w:lineRule="auto"/>
        <w:ind w:left="851" w:right="902"/>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“Nombres de servidores públicos dedicados a actividades en materia de seguridad, por excepción pueden considerarse información reservada.</w:t>
      </w:r>
      <w:r w:rsidRPr="007775A4">
        <w:rPr>
          <w:rFonts w:ascii="Palatino Linotype" w:eastAsia="Palatino Linotype" w:hAnsi="Palatino Linotype" w:cs="Palatino Linotype"/>
          <w:i/>
          <w:sz w:val="22"/>
          <w:szCs w:val="22"/>
          <w:lang w:val="es-MX"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w:t>
      </w:r>
      <w:r w:rsidRPr="007775A4">
        <w:rPr>
          <w:rFonts w:ascii="Palatino Linotype" w:eastAsia="Palatino Linotype" w:hAnsi="Palatino Linotype" w:cs="Palatino Linotype"/>
          <w:sz w:val="22"/>
          <w:szCs w:val="22"/>
          <w:lang w:val="es-MX" w:eastAsia="en-US"/>
        </w:rPr>
        <w:lastRenderedPageBreak/>
        <w:t xml:space="preserve">la seguridad del País, Estado y Municipio, anulando, impidiendo u obstaculizando la actuación de los servidores públicos que realizan </w:t>
      </w:r>
      <w:r w:rsidRPr="007775A4">
        <w:rPr>
          <w:rFonts w:ascii="Palatino Linotype" w:eastAsia="Palatino Linotype" w:hAnsi="Palatino Linotype" w:cs="Palatino Linotype"/>
          <w:b/>
          <w:sz w:val="22"/>
          <w:szCs w:val="22"/>
          <w:lang w:val="es-MX" w:eastAsia="en-US"/>
        </w:rPr>
        <w:t>funciones de carácter operativo.</w:t>
      </w:r>
    </w:p>
    <w:p w:rsidR="002578B2" w:rsidRPr="007775A4" w:rsidRDefault="002578B2" w:rsidP="002578B2">
      <w:pPr>
        <w:spacing w:before="240" w:after="36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Sirven de sustento a lo anterior las tesis jurisprudenciales emitidas por la Suprema corte de Justicia de la Nación, que son del literal siguiente:</w:t>
      </w:r>
    </w:p>
    <w:p w:rsidR="002578B2" w:rsidRPr="007775A4" w:rsidRDefault="002578B2" w:rsidP="002578B2">
      <w:pPr>
        <w:spacing w:before="120" w:after="120" w:line="259" w:lineRule="auto"/>
        <w:ind w:left="851" w:right="760"/>
        <w:jc w:val="both"/>
        <w:rPr>
          <w:rFonts w:ascii="Palatino Linotype" w:eastAsia="Palatino Linotype" w:hAnsi="Palatino Linotype" w:cs="Palatino Linotype"/>
          <w:b/>
          <w:i/>
          <w:sz w:val="22"/>
          <w:szCs w:val="22"/>
          <w:lang w:val="es-MX" w:eastAsia="en-US"/>
        </w:rPr>
      </w:pPr>
      <w:r w:rsidRPr="007775A4">
        <w:rPr>
          <w:rFonts w:ascii="Palatino Linotype" w:eastAsia="Palatino Linotype" w:hAnsi="Palatino Linotype" w:cs="Palatino Linotype"/>
          <w:b/>
          <w:i/>
          <w:sz w:val="22"/>
          <w:szCs w:val="22"/>
          <w:lang w:val="es-MX" w:eastAsia="en-US"/>
        </w:rPr>
        <w:t xml:space="preserve">“DERECHO A LA INFORMACIÓN. SU EJERCICIO SE ENCUENTRA LIMITADO TANTO POR LOS INTERESES NACIONALES Y DE LA SOCIEDAD, COMO POR LOS DERECHOS DE TERCEROS. </w:t>
      </w:r>
      <w:r w:rsidRPr="007775A4">
        <w:rPr>
          <w:rFonts w:ascii="Palatino Linotype" w:eastAsia="Palatino Linotype" w:hAnsi="Palatino Linotype" w:cs="Palatino Linotype"/>
          <w:i/>
          <w:sz w:val="22"/>
          <w:szCs w:val="22"/>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7775A4">
        <w:rPr>
          <w:rFonts w:ascii="Palatino Linotype" w:eastAsia="Palatino Linotype" w:hAnsi="Palatino Linotype" w:cs="Palatino Linotype"/>
          <w:b/>
          <w:i/>
          <w:sz w:val="22"/>
          <w:szCs w:val="22"/>
          <w:lang w:val="es-MX" w:eastAsia="en-US"/>
        </w:rPr>
        <w:t>restringen el acceso a la información en esta materia, en razón de que su conocimiento público puede generar daños a los intereses nacionales y, por el otro, sancionan la inobservancia de esa reserva;</w:t>
      </w:r>
      <w:r w:rsidRPr="007775A4">
        <w:rPr>
          <w:rFonts w:ascii="Palatino Linotype" w:eastAsia="Palatino Linotype" w:hAnsi="Palatino Linotype" w:cs="Palatino Linotype"/>
          <w:i/>
          <w:sz w:val="22"/>
          <w:szCs w:val="22"/>
          <w:lang w:val="es-MX" w:eastAsia="en-US"/>
        </w:rPr>
        <w:t xml:space="preserve"> por lo que hace al interés social, se cuenta con normas que tienden a proteger la averiguación de los delitos, la salud y la moral públicas, </w:t>
      </w:r>
      <w:r w:rsidRPr="007775A4">
        <w:rPr>
          <w:rFonts w:ascii="Palatino Linotype" w:eastAsia="Palatino Linotype" w:hAnsi="Palatino Linotype" w:cs="Palatino Linotype"/>
          <w:b/>
          <w:i/>
          <w:sz w:val="22"/>
          <w:szCs w:val="22"/>
          <w:lang w:val="es-MX" w:eastAsia="en-US"/>
        </w:rPr>
        <w:t>mientras que por lo que respecta a la protección de la persona existen normas que protegen el derecho a la vida o a la privacidad de los gobernados.</w:t>
      </w:r>
      <w:r w:rsidRPr="007775A4">
        <w:rPr>
          <w:rFonts w:ascii="Palatino Linotype" w:eastAsia="Palatino Linotype" w:hAnsi="Palatino Linotype" w:cs="Palatino Linotype"/>
          <w:i/>
          <w:sz w:val="22"/>
          <w:szCs w:val="22"/>
          <w:lang w:val="es-MX" w:eastAsia="en-US"/>
        </w:rPr>
        <w:t>”</w:t>
      </w:r>
    </w:p>
    <w:p w:rsidR="002578B2" w:rsidRPr="007775A4" w:rsidRDefault="002578B2" w:rsidP="002578B2">
      <w:pPr>
        <w:spacing w:before="120" w:after="120" w:line="259" w:lineRule="auto"/>
        <w:ind w:left="851" w:right="76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“TRANSPARENCIA Y ACCESO A LA INFORMACIÓN PÚBLICA GUBERNAMENTAL. EL ARTÍCULO 14, FRACCIÓN I, DE LA LEY FEDERAL RELATIVA, NO VIOLA LA GARANTÍA DE ACCESO A LA INFORMACIÓN.</w:t>
      </w:r>
      <w:r w:rsidRPr="007775A4">
        <w:rPr>
          <w:rFonts w:ascii="Palatino Linotype" w:eastAsia="Palatino Linotype" w:hAnsi="Palatino Linotype" w:cs="Palatino Linotype"/>
          <w:i/>
          <w:sz w:val="22"/>
          <w:szCs w:val="22"/>
          <w:lang w:val="es-MX" w:eastAsia="en-US"/>
        </w:rPr>
        <w:t xml:space="preserve"> El Tribunal en Pleno de la Suprema Corte de Justicia de la Nación en la tesis P. LX/2000 de rubro: "DERECHO A LA INFORMACIÓN. SU EJERCICIO SE ENCUENTRA LIMITADO TANTO POR LOS </w:t>
      </w:r>
      <w:r w:rsidRPr="007775A4">
        <w:rPr>
          <w:rFonts w:ascii="Palatino Linotype" w:eastAsia="Palatino Linotype" w:hAnsi="Palatino Linotype" w:cs="Palatino Linotype"/>
          <w:i/>
          <w:sz w:val="22"/>
          <w:szCs w:val="22"/>
          <w:lang w:val="es-MX" w:eastAsia="en-US"/>
        </w:rPr>
        <w:lastRenderedPageBreak/>
        <w:t xml:space="preserve">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7775A4">
        <w:rPr>
          <w:rFonts w:ascii="Palatino Linotype" w:eastAsia="Palatino Linotype" w:hAnsi="Palatino Linotype" w:cs="Palatino Linotype"/>
          <w:b/>
          <w:i/>
          <w:sz w:val="22"/>
          <w:szCs w:val="22"/>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7775A4">
        <w:rPr>
          <w:rFonts w:ascii="Palatino Linotype" w:eastAsia="Palatino Linotype" w:hAnsi="Palatino Linotype" w:cs="Palatino Linotype"/>
          <w:i/>
          <w:sz w:val="22"/>
          <w:szCs w:val="22"/>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2578B2" w:rsidRPr="007775A4" w:rsidRDefault="002578B2" w:rsidP="002578B2">
      <w:pPr>
        <w:widowControl w:val="0"/>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7775A4">
        <w:rPr>
          <w:rFonts w:ascii="Palatino Linotype" w:eastAsia="Palatino Linotype" w:hAnsi="Palatino Linotype" w:cs="Palatino Linotype"/>
          <w:b/>
          <w:sz w:val="22"/>
          <w:szCs w:val="22"/>
          <w:u w:val="single"/>
          <w:lang w:val="es-MX" w:eastAsia="en-US"/>
        </w:rPr>
        <w:t>razones, motivos o circunstancias especiales</w:t>
      </w:r>
      <w:r w:rsidRPr="007775A4">
        <w:rPr>
          <w:rFonts w:ascii="Palatino Linotype" w:eastAsia="Palatino Linotype" w:hAnsi="Palatino Linotype" w:cs="Palatino Linotype"/>
          <w:sz w:val="22"/>
          <w:szCs w:val="22"/>
          <w:lang w:val="es-MX" w:eastAsia="en-US"/>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w:t>
      </w:r>
      <w:r w:rsidRPr="007775A4">
        <w:rPr>
          <w:rFonts w:ascii="Palatino Linotype" w:eastAsia="Palatino Linotype" w:hAnsi="Palatino Linotype" w:cs="Palatino Linotype"/>
          <w:sz w:val="22"/>
          <w:szCs w:val="22"/>
          <w:lang w:val="es-MX" w:eastAsia="en-US"/>
        </w:rPr>
        <w:lastRenderedPageBreak/>
        <w:t>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2578B2" w:rsidRPr="007775A4" w:rsidRDefault="002578B2" w:rsidP="002578B2">
      <w:pPr>
        <w:spacing w:before="240" w:after="240" w:line="360" w:lineRule="auto"/>
        <w:ind w:right="50"/>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2578B2" w:rsidRPr="007775A4" w:rsidRDefault="002578B2" w:rsidP="00497698">
      <w:pPr>
        <w:spacing w:before="120" w:after="120" w:line="259" w:lineRule="auto"/>
        <w:ind w:left="567"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“Artículo 49.</w:t>
      </w:r>
      <w:r w:rsidRPr="007775A4">
        <w:rPr>
          <w:rFonts w:ascii="Palatino Linotype" w:eastAsia="Palatino Linotype" w:hAnsi="Palatino Linotype" w:cs="Palatino Linotype"/>
          <w:i/>
          <w:sz w:val="22"/>
          <w:szCs w:val="22"/>
          <w:lang w:val="es-MX" w:eastAsia="en-US"/>
        </w:rPr>
        <w:t xml:space="preserve"> </w:t>
      </w:r>
      <w:r w:rsidRPr="007775A4">
        <w:rPr>
          <w:rFonts w:ascii="Palatino Linotype" w:eastAsia="Palatino Linotype" w:hAnsi="Palatino Linotype" w:cs="Palatino Linotype"/>
          <w:b/>
          <w:i/>
          <w:sz w:val="22"/>
          <w:szCs w:val="22"/>
          <w:lang w:val="es-MX" w:eastAsia="en-US"/>
        </w:rPr>
        <w:t>Los Comités de Transparencia</w:t>
      </w:r>
      <w:r w:rsidRPr="007775A4">
        <w:rPr>
          <w:rFonts w:ascii="Palatino Linotype" w:eastAsia="Palatino Linotype" w:hAnsi="Palatino Linotype" w:cs="Palatino Linotype"/>
          <w:i/>
          <w:sz w:val="22"/>
          <w:szCs w:val="22"/>
          <w:lang w:val="es-MX" w:eastAsia="en-US"/>
        </w:rPr>
        <w:t xml:space="preserve"> tendrán las siguientes atribuciones:</w:t>
      </w:r>
    </w:p>
    <w:p w:rsidR="002578B2" w:rsidRPr="007775A4" w:rsidRDefault="002578B2" w:rsidP="00497698">
      <w:pPr>
        <w:spacing w:before="120" w:after="120" w:line="259" w:lineRule="auto"/>
        <w:ind w:left="567"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VIII. Aprobar, modificar o revocar la clasificación de la información</w:t>
      </w:r>
      <w:r w:rsidRPr="007775A4">
        <w:rPr>
          <w:rFonts w:ascii="Palatino Linotype" w:eastAsia="Palatino Linotype" w:hAnsi="Palatino Linotype" w:cs="Palatino Linotype"/>
          <w:i/>
          <w:sz w:val="22"/>
          <w:szCs w:val="22"/>
          <w:lang w:val="es-MX" w:eastAsia="en-US"/>
        </w:rPr>
        <w:t>…”</w:t>
      </w:r>
    </w:p>
    <w:p w:rsidR="002578B2" w:rsidRPr="007775A4" w:rsidRDefault="002578B2" w:rsidP="00497698">
      <w:pPr>
        <w:spacing w:before="120" w:after="120" w:line="259" w:lineRule="auto"/>
        <w:ind w:left="567"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r w:rsidRPr="007775A4">
        <w:rPr>
          <w:rFonts w:ascii="Palatino Linotype" w:eastAsia="Palatino Linotype" w:hAnsi="Palatino Linotype" w:cs="Palatino Linotype"/>
          <w:b/>
          <w:i/>
          <w:sz w:val="22"/>
          <w:szCs w:val="22"/>
          <w:lang w:val="es-MX" w:eastAsia="en-US"/>
        </w:rPr>
        <w:t>Artículo 53.</w:t>
      </w:r>
      <w:r w:rsidRPr="007775A4">
        <w:rPr>
          <w:rFonts w:ascii="Palatino Linotype" w:eastAsia="Palatino Linotype" w:hAnsi="Palatino Linotype" w:cs="Palatino Linotype"/>
          <w:i/>
          <w:sz w:val="22"/>
          <w:szCs w:val="22"/>
          <w:lang w:val="es-MX" w:eastAsia="en-US"/>
        </w:rPr>
        <w:t xml:space="preserve"> Las </w:t>
      </w:r>
      <w:r w:rsidRPr="007775A4">
        <w:rPr>
          <w:rFonts w:ascii="Palatino Linotype" w:eastAsia="Palatino Linotype" w:hAnsi="Palatino Linotype" w:cs="Palatino Linotype"/>
          <w:b/>
          <w:i/>
          <w:sz w:val="22"/>
          <w:szCs w:val="22"/>
          <w:lang w:val="es-MX" w:eastAsia="en-US"/>
        </w:rPr>
        <w:t>Unidades de Transparencia</w:t>
      </w:r>
      <w:r w:rsidRPr="007775A4">
        <w:rPr>
          <w:rFonts w:ascii="Palatino Linotype" w:eastAsia="Palatino Linotype" w:hAnsi="Palatino Linotype" w:cs="Palatino Linotype"/>
          <w:i/>
          <w:sz w:val="22"/>
          <w:szCs w:val="22"/>
          <w:lang w:val="es-MX" w:eastAsia="en-US"/>
        </w:rPr>
        <w:t xml:space="preserve"> tendrán las siguientes </w:t>
      </w:r>
      <w:r w:rsidRPr="007775A4">
        <w:rPr>
          <w:rFonts w:ascii="Palatino Linotype" w:eastAsia="Palatino Linotype" w:hAnsi="Palatino Linotype" w:cs="Palatino Linotype"/>
          <w:b/>
          <w:i/>
          <w:sz w:val="22"/>
          <w:szCs w:val="22"/>
          <w:lang w:val="es-MX" w:eastAsia="en-US"/>
        </w:rPr>
        <w:t>funciones</w:t>
      </w:r>
      <w:r w:rsidRPr="007775A4">
        <w:rPr>
          <w:rFonts w:ascii="Palatino Linotype" w:eastAsia="Palatino Linotype" w:hAnsi="Palatino Linotype" w:cs="Palatino Linotype"/>
          <w:i/>
          <w:sz w:val="22"/>
          <w:szCs w:val="22"/>
          <w:lang w:val="es-MX" w:eastAsia="en-US"/>
        </w:rPr>
        <w:t>:</w:t>
      </w:r>
    </w:p>
    <w:p w:rsidR="002578B2" w:rsidRPr="007775A4" w:rsidRDefault="002578B2" w:rsidP="00497698">
      <w:pPr>
        <w:spacing w:before="120" w:after="120" w:line="259" w:lineRule="auto"/>
        <w:ind w:left="567"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X. Presentar ante el Comité, el proyecto de clasificación de información</w:t>
      </w:r>
      <w:r w:rsidRPr="007775A4">
        <w:rPr>
          <w:rFonts w:ascii="Palatino Linotype" w:eastAsia="Palatino Linotype" w:hAnsi="Palatino Linotype" w:cs="Palatino Linotype"/>
          <w:i/>
          <w:sz w:val="22"/>
          <w:szCs w:val="22"/>
          <w:lang w:val="es-MX" w:eastAsia="en-US"/>
        </w:rPr>
        <w:t xml:space="preserve">…” </w:t>
      </w:r>
    </w:p>
    <w:p w:rsidR="002578B2" w:rsidRPr="007775A4" w:rsidRDefault="002578B2" w:rsidP="00497698">
      <w:pPr>
        <w:spacing w:before="120" w:after="120" w:line="259" w:lineRule="auto"/>
        <w:ind w:left="567"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“Artículo 59.</w:t>
      </w:r>
      <w:r w:rsidRPr="007775A4">
        <w:rPr>
          <w:rFonts w:ascii="Palatino Linotype" w:eastAsia="Palatino Linotype" w:hAnsi="Palatino Linotype" w:cs="Palatino Linotype"/>
          <w:i/>
          <w:sz w:val="22"/>
          <w:szCs w:val="22"/>
          <w:lang w:val="es-MX" w:eastAsia="en-US"/>
        </w:rPr>
        <w:t xml:space="preserve"> Los </w:t>
      </w:r>
      <w:r w:rsidRPr="007775A4">
        <w:rPr>
          <w:rFonts w:ascii="Palatino Linotype" w:eastAsia="Palatino Linotype" w:hAnsi="Palatino Linotype" w:cs="Palatino Linotype"/>
          <w:b/>
          <w:i/>
          <w:sz w:val="22"/>
          <w:szCs w:val="22"/>
          <w:lang w:val="es-MX" w:eastAsia="en-US"/>
        </w:rPr>
        <w:t>servidores públicos habilitados</w:t>
      </w:r>
      <w:r w:rsidRPr="007775A4">
        <w:rPr>
          <w:rFonts w:ascii="Palatino Linotype" w:eastAsia="Palatino Linotype" w:hAnsi="Palatino Linotype" w:cs="Palatino Linotype"/>
          <w:i/>
          <w:sz w:val="22"/>
          <w:szCs w:val="22"/>
          <w:lang w:val="es-MX" w:eastAsia="en-US"/>
        </w:rPr>
        <w:t xml:space="preserve"> tendrán las </w:t>
      </w:r>
      <w:r w:rsidRPr="007775A4">
        <w:rPr>
          <w:rFonts w:ascii="Palatino Linotype" w:eastAsia="Palatino Linotype" w:hAnsi="Palatino Linotype" w:cs="Palatino Linotype"/>
          <w:b/>
          <w:i/>
          <w:sz w:val="22"/>
          <w:szCs w:val="22"/>
          <w:lang w:val="es-MX" w:eastAsia="en-US"/>
        </w:rPr>
        <w:t>funciones</w:t>
      </w:r>
      <w:r w:rsidRPr="007775A4">
        <w:rPr>
          <w:rFonts w:ascii="Palatino Linotype" w:eastAsia="Palatino Linotype" w:hAnsi="Palatino Linotype" w:cs="Palatino Linotype"/>
          <w:i/>
          <w:sz w:val="22"/>
          <w:szCs w:val="22"/>
          <w:lang w:val="es-MX" w:eastAsia="en-US"/>
        </w:rPr>
        <w:t xml:space="preserve"> siguientes:</w:t>
      </w:r>
    </w:p>
    <w:p w:rsidR="002578B2" w:rsidRPr="007775A4" w:rsidRDefault="002578B2" w:rsidP="00497698">
      <w:pPr>
        <w:spacing w:before="120" w:after="120" w:line="259" w:lineRule="auto"/>
        <w:ind w:left="567"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V. Integrar y presentar al responsable de la Unidad de Transparencia la propuesta de clasificación de información</w:t>
      </w:r>
      <w:r w:rsidRPr="007775A4">
        <w:rPr>
          <w:rFonts w:ascii="Palatino Linotype" w:eastAsia="Palatino Linotype" w:hAnsi="Palatino Linotype" w:cs="Palatino Linotype"/>
          <w:i/>
          <w:sz w:val="22"/>
          <w:szCs w:val="22"/>
          <w:lang w:val="es-MX" w:eastAsia="en-US"/>
        </w:rPr>
        <w:t>, la cual tendrá los fundamentos y argumentos en que se basa dicha propuesta…”</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w:t>
      </w:r>
      <w:r w:rsidRPr="007775A4">
        <w:rPr>
          <w:rFonts w:ascii="Palatino Linotype" w:eastAsia="Palatino Linotype" w:hAnsi="Palatino Linotype" w:cs="Palatino Linotype"/>
          <w:sz w:val="22"/>
          <w:szCs w:val="22"/>
          <w:lang w:val="es-MX" w:eastAsia="en-US"/>
        </w:rPr>
        <w:lastRenderedPageBreak/>
        <w:t>finalmente sea éste último quien apruebe, modifique o revoque la clasificación de la información solicitada.</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Para lo cual, a su vez en el caso de información de carácter confidencial, se debe atender a lo que señala el artículo 149 de la Ley de Transparencia Local vigente, que se lee como sigue:</w:t>
      </w:r>
    </w:p>
    <w:p w:rsidR="002578B2" w:rsidRPr="007775A4" w:rsidRDefault="002578B2" w:rsidP="002578B2">
      <w:pPr>
        <w:spacing w:after="24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r w:rsidRPr="007775A4">
        <w:rPr>
          <w:rFonts w:ascii="Palatino Linotype" w:eastAsia="Palatino Linotype" w:hAnsi="Palatino Linotype" w:cs="Palatino Linotype"/>
          <w:b/>
          <w:i/>
          <w:sz w:val="22"/>
          <w:szCs w:val="22"/>
          <w:lang w:val="es-MX" w:eastAsia="en-US"/>
        </w:rPr>
        <w:t>Artículo 149.</w:t>
      </w:r>
      <w:r w:rsidRPr="007775A4">
        <w:rPr>
          <w:rFonts w:ascii="Palatino Linotype" w:eastAsia="Palatino Linotype" w:hAnsi="Palatino Linotype" w:cs="Palatino Linotype"/>
          <w:i/>
          <w:sz w:val="22"/>
          <w:szCs w:val="22"/>
          <w:lang w:val="es-MX" w:eastAsia="en-US"/>
        </w:rPr>
        <w:t xml:space="preserve"> El </w:t>
      </w:r>
      <w:r w:rsidRPr="007775A4">
        <w:rPr>
          <w:rFonts w:ascii="Palatino Linotype" w:eastAsia="Palatino Linotype" w:hAnsi="Palatino Linotype" w:cs="Palatino Linotype"/>
          <w:b/>
          <w:i/>
          <w:sz w:val="22"/>
          <w:szCs w:val="22"/>
          <w:lang w:val="es-MX" w:eastAsia="en-US"/>
        </w:rPr>
        <w:t>acuerdo que clasifique la información como confidencial</w:t>
      </w:r>
      <w:r w:rsidRPr="007775A4">
        <w:rPr>
          <w:rFonts w:ascii="Palatino Linotype" w:eastAsia="Palatino Linotype" w:hAnsi="Palatino Linotype" w:cs="Palatino Linotype"/>
          <w:i/>
          <w:sz w:val="22"/>
          <w:szCs w:val="22"/>
          <w:lang w:val="es-MX" w:eastAsia="en-US"/>
        </w:rPr>
        <w:t xml:space="preserve"> deberá contener un razonamiento lógico en el que demuestre que la información se encuentra en alguna o algunas de las hipótesis previstas en la presente Ley.” (Sic)</w:t>
      </w:r>
    </w:p>
    <w:p w:rsidR="002578B2" w:rsidRPr="007775A4" w:rsidRDefault="002578B2" w:rsidP="002578B2">
      <w:pPr>
        <w:spacing w:before="240" w:after="240" w:line="360" w:lineRule="auto"/>
        <w:ind w:right="51"/>
        <w:jc w:val="both"/>
        <w:rPr>
          <w:rFonts w:ascii="Palatino Linotype" w:eastAsia="Palatino Linotype" w:hAnsi="Palatino Linotype" w:cs="Palatino Linotype"/>
          <w:sz w:val="22"/>
          <w:szCs w:val="22"/>
          <w:lang w:val="es-MX" w:eastAsia="en-US"/>
        </w:rPr>
      </w:pPr>
      <w:r w:rsidRPr="007775A4">
        <w:rPr>
          <w:rFonts w:ascii="Palatino Linotype" w:eastAsia="Palatino Linotype" w:hAnsi="Palatino Linotype" w:cs="Palatino Linotype"/>
          <w:sz w:val="22"/>
          <w:szCs w:val="22"/>
          <w:lang w:val="es-MX" w:eastAsia="en-US"/>
        </w:rPr>
        <w:t xml:space="preserve">Es decir, el </w:t>
      </w:r>
      <w:r w:rsidRPr="007775A4">
        <w:rPr>
          <w:rFonts w:ascii="Palatino Linotype" w:eastAsia="Palatino Linotype" w:hAnsi="Palatino Linotype" w:cs="Palatino Linotype"/>
          <w:b/>
          <w:sz w:val="22"/>
          <w:szCs w:val="22"/>
          <w:lang w:val="es-MX" w:eastAsia="en-US"/>
        </w:rPr>
        <w:t>Sujeto Obligado</w:t>
      </w:r>
      <w:r w:rsidRPr="007775A4">
        <w:rPr>
          <w:rFonts w:ascii="Palatino Linotype" w:eastAsia="Palatino Linotype" w:hAnsi="Palatino Linotype" w:cs="Palatino Linotype"/>
          <w:sz w:val="22"/>
          <w:szCs w:val="22"/>
          <w:lang w:val="es-MX" w:eastAsia="en-US"/>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578B2" w:rsidRPr="007775A4" w:rsidRDefault="002578B2" w:rsidP="002578B2">
      <w:pPr>
        <w:spacing w:before="240" w:after="240" w:line="360" w:lineRule="auto"/>
        <w:ind w:right="49"/>
        <w:jc w:val="both"/>
        <w:rPr>
          <w:rFonts w:ascii="Palatino Linotype" w:eastAsia="Palatino Linotype" w:hAnsi="Palatino Linotype" w:cs="Palatino Linotype"/>
          <w:sz w:val="22"/>
          <w:szCs w:val="22"/>
          <w:lang w:val="es-MX" w:eastAsia="en-US"/>
        </w:rPr>
      </w:pPr>
      <w:bookmarkStart w:id="3" w:name="_heading=h.3dy6vkm" w:colFirst="0" w:colLast="0"/>
      <w:bookmarkEnd w:id="3"/>
      <w:r w:rsidRPr="007775A4">
        <w:rPr>
          <w:rFonts w:ascii="Palatino Linotype" w:eastAsia="Palatino Linotype" w:hAnsi="Palatino Linotype" w:cs="Palatino Linotype"/>
          <w:sz w:val="22"/>
          <w:szCs w:val="22"/>
          <w:lang w:val="es-MX" w:eastAsia="en-US"/>
        </w:rPr>
        <w:t xml:space="preserve">Por último, respecto a la versión pública de los documentos que contenga la información solicitada, cabe señalar que el Comité de Transparencia del </w:t>
      </w:r>
      <w:r w:rsidRPr="007775A4">
        <w:rPr>
          <w:rFonts w:ascii="Palatino Linotype" w:eastAsia="Palatino Linotype" w:hAnsi="Palatino Linotype" w:cs="Palatino Linotype"/>
          <w:b/>
          <w:sz w:val="22"/>
          <w:szCs w:val="22"/>
          <w:lang w:val="es-MX" w:eastAsia="en-US"/>
        </w:rPr>
        <w:t>Sujeto Obligado</w:t>
      </w:r>
      <w:r w:rsidRPr="007775A4">
        <w:rPr>
          <w:rFonts w:ascii="Palatino Linotype" w:eastAsia="Palatino Linotype" w:hAnsi="Palatino Linotype" w:cs="Palatino Linotype"/>
          <w:sz w:val="22"/>
          <w:szCs w:val="22"/>
          <w:lang w:val="es-MX" w:eastAsia="en-US"/>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b/>
          <w:i/>
          <w:sz w:val="21"/>
          <w:szCs w:val="21"/>
          <w:lang w:val="es-MX" w:eastAsia="en-US"/>
        </w:rPr>
      </w:pPr>
      <w:bookmarkStart w:id="4" w:name="_heading=h.1t3h5sf" w:colFirst="0" w:colLast="0"/>
      <w:bookmarkEnd w:id="4"/>
      <w:r w:rsidRPr="007775A4">
        <w:rPr>
          <w:rFonts w:ascii="Palatino Linotype" w:eastAsia="Palatino Linotype" w:hAnsi="Palatino Linotype" w:cs="Palatino Linotype"/>
          <w:i/>
          <w:sz w:val="21"/>
          <w:szCs w:val="21"/>
          <w:lang w:val="es-MX" w:eastAsia="en-US"/>
        </w:rPr>
        <w:lastRenderedPageBreak/>
        <w:t>“</w:t>
      </w:r>
      <w:r w:rsidRPr="007775A4">
        <w:rPr>
          <w:rFonts w:ascii="Palatino Linotype" w:eastAsia="Palatino Linotype" w:hAnsi="Palatino Linotype" w:cs="Palatino Linotype"/>
          <w:b/>
          <w:i/>
          <w:sz w:val="21"/>
          <w:szCs w:val="21"/>
          <w:lang w:val="es-MX" w:eastAsia="en-US"/>
        </w:rPr>
        <w:t>Artículo 132.</w:t>
      </w:r>
      <w:r w:rsidRPr="007775A4">
        <w:rPr>
          <w:rFonts w:ascii="Palatino Linotype" w:eastAsia="Palatino Linotype" w:hAnsi="Palatino Linotype" w:cs="Palatino Linotype"/>
          <w:i/>
          <w:sz w:val="21"/>
          <w:szCs w:val="21"/>
          <w:lang w:val="es-MX" w:eastAsia="en-US"/>
        </w:rPr>
        <w:t xml:space="preserve"> </w:t>
      </w:r>
      <w:r w:rsidRPr="007775A4">
        <w:rPr>
          <w:rFonts w:ascii="Palatino Linotype" w:eastAsia="Palatino Linotype" w:hAnsi="Palatino Linotype" w:cs="Palatino Linotype"/>
          <w:b/>
          <w:i/>
          <w:sz w:val="21"/>
          <w:szCs w:val="21"/>
          <w:lang w:val="es-MX" w:eastAsia="en-US"/>
        </w:rPr>
        <w:t>La clasificación de la información se llevará a cabo en el momento en que:</w:t>
      </w:r>
    </w:p>
    <w:p w:rsidR="002578B2" w:rsidRPr="007775A4" w:rsidRDefault="002578B2" w:rsidP="002578B2">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w:t>
      </w:r>
    </w:p>
    <w:p w:rsidR="002578B2" w:rsidRPr="007775A4" w:rsidRDefault="002578B2" w:rsidP="002578B2">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II.</w:t>
      </w:r>
      <w:r w:rsidRPr="007775A4">
        <w:rPr>
          <w:rFonts w:ascii="Palatino Linotype" w:eastAsia="Palatino Linotype" w:hAnsi="Palatino Linotype" w:cs="Palatino Linotype"/>
          <w:i/>
          <w:sz w:val="21"/>
          <w:szCs w:val="21"/>
          <w:lang w:val="es-MX" w:eastAsia="en-US"/>
        </w:rPr>
        <w:t xml:space="preserve"> Se determine mediante resolución de autoridad competente; o</w:t>
      </w:r>
    </w:p>
    <w:p w:rsidR="002578B2" w:rsidRPr="007775A4" w:rsidRDefault="002578B2" w:rsidP="002578B2">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III</w:t>
      </w:r>
      <w:r w:rsidRPr="007775A4">
        <w:rPr>
          <w:rFonts w:ascii="Palatino Linotype" w:eastAsia="Palatino Linotype" w:hAnsi="Palatino Linotype" w:cs="Palatino Linotype"/>
          <w:i/>
          <w:sz w:val="21"/>
          <w:szCs w:val="21"/>
          <w:lang w:val="es-MX" w:eastAsia="en-US"/>
        </w:rPr>
        <w:t xml:space="preserve">. </w:t>
      </w:r>
      <w:r w:rsidRPr="007775A4">
        <w:rPr>
          <w:rFonts w:ascii="Palatino Linotype" w:eastAsia="Palatino Linotype" w:hAnsi="Palatino Linotype" w:cs="Palatino Linotype"/>
          <w:b/>
          <w:i/>
          <w:sz w:val="21"/>
          <w:szCs w:val="21"/>
          <w:lang w:val="es-MX" w:eastAsia="en-US"/>
        </w:rPr>
        <w:t>Se generen versiones públicas para dar cumplimiento a las obligaciones de transparencia previstas en esta Ley</w:t>
      </w:r>
      <w:r w:rsidRPr="007775A4">
        <w:rPr>
          <w:rFonts w:ascii="Palatino Linotype" w:eastAsia="Palatino Linotype" w:hAnsi="Palatino Linotype" w:cs="Palatino Linotype"/>
          <w:i/>
          <w:sz w:val="21"/>
          <w:szCs w:val="21"/>
          <w:lang w:val="es-MX" w:eastAsia="en-US"/>
        </w:rPr>
        <w:t>.”</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w:t>
      </w:r>
      <w:r w:rsidRPr="007775A4">
        <w:rPr>
          <w:rFonts w:ascii="Palatino Linotype" w:eastAsia="Palatino Linotype" w:hAnsi="Palatino Linotype" w:cs="Palatino Linotype"/>
          <w:b/>
          <w:i/>
          <w:sz w:val="21"/>
          <w:szCs w:val="21"/>
          <w:lang w:val="es-MX" w:eastAsia="en-US"/>
        </w:rPr>
        <w:t>Segundo.-</w:t>
      </w:r>
      <w:r w:rsidRPr="007775A4">
        <w:rPr>
          <w:rFonts w:ascii="Palatino Linotype" w:eastAsia="Palatino Linotype" w:hAnsi="Palatino Linotype" w:cs="Palatino Linotype"/>
          <w:i/>
          <w:sz w:val="21"/>
          <w:szCs w:val="21"/>
          <w:lang w:val="es-MX" w:eastAsia="en-US"/>
        </w:rPr>
        <w:t xml:space="preserve"> Para efectos de los presentes Lineamientos Generales, se entenderá por:</w:t>
      </w:r>
    </w:p>
    <w:p w:rsidR="002578B2" w:rsidRPr="007775A4" w:rsidRDefault="002578B2" w:rsidP="002578B2">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XVIII.</w:t>
      </w:r>
      <w:r w:rsidRPr="007775A4">
        <w:rPr>
          <w:rFonts w:ascii="Palatino Linotype" w:eastAsia="Palatino Linotype" w:hAnsi="Palatino Linotype" w:cs="Palatino Linotype"/>
          <w:i/>
          <w:sz w:val="21"/>
          <w:szCs w:val="21"/>
          <w:lang w:val="es-MX" w:eastAsia="en-US"/>
        </w:rPr>
        <w:t xml:space="preserve"> </w:t>
      </w:r>
      <w:r w:rsidRPr="007775A4">
        <w:rPr>
          <w:rFonts w:ascii="Palatino Linotype" w:eastAsia="Palatino Linotype" w:hAnsi="Palatino Linotype" w:cs="Palatino Linotype"/>
          <w:b/>
          <w:i/>
          <w:sz w:val="21"/>
          <w:szCs w:val="21"/>
          <w:lang w:val="es-MX" w:eastAsia="en-US"/>
        </w:rPr>
        <w:t>Versión pública:</w:t>
      </w:r>
      <w:r w:rsidRPr="007775A4">
        <w:rPr>
          <w:rFonts w:ascii="Palatino Linotype" w:eastAsia="Palatino Linotype" w:hAnsi="Palatino Linotype" w:cs="Palatino Linotype"/>
          <w:i/>
          <w:sz w:val="21"/>
          <w:szCs w:val="21"/>
          <w:lang w:val="es-MX" w:eastAsia="en-US"/>
        </w:rPr>
        <w:t xml:space="preserve"> El documento a partir del que se otorga acceso a la información, en el que se testan partes o secciones clasificadas, indicando el contenido de éstas de manera genérica, </w:t>
      </w:r>
      <w:r w:rsidRPr="007775A4">
        <w:rPr>
          <w:rFonts w:ascii="Palatino Linotype" w:eastAsia="Palatino Linotype" w:hAnsi="Palatino Linotype" w:cs="Palatino Linotype"/>
          <w:b/>
          <w:i/>
          <w:sz w:val="21"/>
          <w:szCs w:val="21"/>
          <w:lang w:val="es-MX" w:eastAsia="en-US"/>
        </w:rPr>
        <w:t>fundando y motivando la</w:t>
      </w:r>
      <w:r w:rsidRPr="007775A4">
        <w:rPr>
          <w:rFonts w:ascii="Palatino Linotype" w:eastAsia="Palatino Linotype" w:hAnsi="Palatino Linotype" w:cs="Palatino Linotype"/>
          <w:i/>
          <w:sz w:val="21"/>
          <w:szCs w:val="21"/>
          <w:lang w:val="es-MX" w:eastAsia="en-US"/>
        </w:rPr>
        <w:t xml:space="preserve"> reserva o </w:t>
      </w:r>
      <w:r w:rsidRPr="007775A4">
        <w:rPr>
          <w:rFonts w:ascii="Palatino Linotype" w:eastAsia="Palatino Linotype" w:hAnsi="Palatino Linotype" w:cs="Palatino Linotype"/>
          <w:b/>
          <w:i/>
          <w:sz w:val="21"/>
          <w:szCs w:val="21"/>
          <w:lang w:val="es-MX" w:eastAsia="en-US"/>
        </w:rPr>
        <w:t>confidencialidad</w:t>
      </w:r>
      <w:r w:rsidRPr="007775A4">
        <w:rPr>
          <w:rFonts w:ascii="Palatino Linotype" w:eastAsia="Palatino Linotype" w:hAnsi="Palatino Linotype" w:cs="Palatino Linotype"/>
          <w:i/>
          <w:sz w:val="21"/>
          <w:szCs w:val="21"/>
          <w:lang w:val="es-MX" w:eastAsia="en-US"/>
        </w:rPr>
        <w:t>, a través de la resolución que para tal efecto emita el Comité de Transparencia.</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Cuarto.</w:t>
      </w:r>
      <w:r w:rsidRPr="007775A4">
        <w:rPr>
          <w:rFonts w:ascii="Palatino Linotype" w:eastAsia="Palatino Linotype" w:hAnsi="Palatino Linotype" w:cs="Palatino Linotype"/>
          <w:i/>
          <w:sz w:val="21"/>
          <w:szCs w:val="21"/>
          <w:lang w:val="es-MX" w:eastAsia="en-US"/>
        </w:rPr>
        <w:t xml:space="preserve"> </w:t>
      </w:r>
      <w:r w:rsidRPr="007775A4">
        <w:rPr>
          <w:rFonts w:ascii="Palatino Linotype" w:eastAsia="Palatino Linotype" w:hAnsi="Palatino Linotype" w:cs="Palatino Linotype"/>
          <w:b/>
          <w:i/>
          <w:sz w:val="21"/>
          <w:szCs w:val="21"/>
          <w:lang w:val="es-MX" w:eastAsia="en-US"/>
        </w:rPr>
        <w:t>Para clasificar la información como</w:t>
      </w:r>
      <w:r w:rsidRPr="007775A4">
        <w:rPr>
          <w:rFonts w:ascii="Palatino Linotype" w:eastAsia="Palatino Linotype" w:hAnsi="Palatino Linotype" w:cs="Palatino Linotype"/>
          <w:i/>
          <w:sz w:val="21"/>
          <w:szCs w:val="21"/>
          <w:lang w:val="es-MX" w:eastAsia="en-US"/>
        </w:rPr>
        <w:t xml:space="preserve"> reservada o </w:t>
      </w:r>
      <w:r w:rsidRPr="007775A4">
        <w:rPr>
          <w:rFonts w:ascii="Palatino Linotype" w:eastAsia="Palatino Linotype" w:hAnsi="Palatino Linotype" w:cs="Palatino Linotype"/>
          <w:b/>
          <w:i/>
          <w:sz w:val="21"/>
          <w:szCs w:val="21"/>
          <w:lang w:val="es-MX" w:eastAsia="en-US"/>
        </w:rPr>
        <w:t>confidencial, de manera total o parcial, el titular del área del sujeto obligado deberá atender lo dispuesto por el Título Sexto de la Ley General</w:t>
      </w:r>
      <w:r w:rsidRPr="007775A4">
        <w:rPr>
          <w:rFonts w:ascii="Palatino Linotype" w:eastAsia="Palatino Linotype" w:hAnsi="Palatino Linotype" w:cs="Palatino Linotype"/>
          <w:i/>
          <w:sz w:val="21"/>
          <w:szCs w:val="21"/>
          <w:lang w:val="es-MX" w:eastAsia="en-US"/>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Los sujetos obligados deberán aplicar, de manera estricta, las excepciones al derecho de acceso a la información y sólo podrán invocarlas cuando acrediten su procedencia.</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Quinto.</w:t>
      </w:r>
      <w:r w:rsidRPr="007775A4">
        <w:rPr>
          <w:rFonts w:ascii="Palatino Linotype" w:eastAsia="Palatino Linotype" w:hAnsi="Palatino Linotype" w:cs="Palatino Linotype"/>
          <w:i/>
          <w:sz w:val="21"/>
          <w:szCs w:val="21"/>
          <w:lang w:val="es-MX"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Sexto.</w:t>
      </w:r>
      <w:r w:rsidRPr="007775A4">
        <w:rPr>
          <w:rFonts w:ascii="Palatino Linotype" w:eastAsia="Palatino Linotype" w:hAnsi="Palatino Linotype" w:cs="Palatino Linotype"/>
          <w:i/>
          <w:sz w:val="21"/>
          <w:szCs w:val="21"/>
          <w:lang w:val="es-MX"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lastRenderedPageBreak/>
        <w:t>La clasificación de información se realizará conforme a un análisis caso por caso, mediante la aplicación de la prueba de daño y de interés público.</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Séptimo.</w:t>
      </w:r>
      <w:r w:rsidRPr="007775A4">
        <w:rPr>
          <w:rFonts w:ascii="Palatino Linotype" w:eastAsia="Palatino Linotype" w:hAnsi="Palatino Linotype" w:cs="Palatino Linotype"/>
          <w:i/>
          <w:sz w:val="21"/>
          <w:szCs w:val="21"/>
          <w:lang w:val="es-MX" w:eastAsia="en-US"/>
        </w:rPr>
        <w:t xml:space="preserve"> La clasificación de la información se llevará a cabo en el momento en que:</w:t>
      </w:r>
    </w:p>
    <w:p w:rsidR="002578B2" w:rsidRPr="007775A4" w:rsidRDefault="002578B2" w:rsidP="002578B2">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I.</w:t>
      </w:r>
      <w:r w:rsidRPr="007775A4">
        <w:rPr>
          <w:rFonts w:ascii="Palatino Linotype" w:eastAsia="Palatino Linotype" w:hAnsi="Palatino Linotype" w:cs="Palatino Linotype"/>
          <w:i/>
          <w:sz w:val="21"/>
          <w:szCs w:val="21"/>
          <w:lang w:val="es-MX" w:eastAsia="en-US"/>
        </w:rPr>
        <w:t xml:space="preserve"> Se reciba una solicitud de acceso a la información;</w:t>
      </w:r>
    </w:p>
    <w:p w:rsidR="002578B2" w:rsidRPr="007775A4" w:rsidRDefault="002578B2" w:rsidP="002578B2">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II.</w:t>
      </w:r>
      <w:r w:rsidRPr="007775A4">
        <w:rPr>
          <w:rFonts w:ascii="Palatino Linotype" w:eastAsia="Palatino Linotype" w:hAnsi="Palatino Linotype" w:cs="Palatino Linotype"/>
          <w:i/>
          <w:sz w:val="21"/>
          <w:szCs w:val="21"/>
          <w:lang w:val="es-MX" w:eastAsia="en-US"/>
        </w:rPr>
        <w:t xml:space="preserve"> Se determine mediante resolución de autoridad competente, o</w:t>
      </w:r>
    </w:p>
    <w:p w:rsidR="002578B2" w:rsidRPr="007775A4" w:rsidRDefault="002578B2" w:rsidP="002578B2">
      <w:pPr>
        <w:tabs>
          <w:tab w:val="left" w:pos="8222"/>
        </w:tabs>
        <w:spacing w:before="120" w:after="120" w:line="259" w:lineRule="auto"/>
        <w:ind w:left="1134"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III.</w:t>
      </w:r>
      <w:r w:rsidRPr="007775A4">
        <w:rPr>
          <w:rFonts w:ascii="Palatino Linotype" w:eastAsia="Palatino Linotype" w:hAnsi="Palatino Linotype" w:cs="Palatino Linotype"/>
          <w:i/>
          <w:sz w:val="21"/>
          <w:szCs w:val="21"/>
          <w:lang w:val="es-MX" w:eastAsia="en-US"/>
        </w:rPr>
        <w:t xml:space="preserve"> Se generen versiones públicas para dar cumplimiento a las obligaciones de transparencia previstas en la Ley General, la Ley Federal y las correspondientes de las entidades federativas.</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Los titulares de las áreas deberán revisar la clasificación al momento de la recepción de una solicitud de acceso a la información, para verificar si encuadra en una causal de reserva o de confidencialidad.</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Octavo.</w:t>
      </w:r>
      <w:r w:rsidRPr="007775A4">
        <w:rPr>
          <w:rFonts w:ascii="Palatino Linotype" w:eastAsia="Palatino Linotype" w:hAnsi="Palatino Linotype" w:cs="Palatino Linotype"/>
          <w:i/>
          <w:sz w:val="21"/>
          <w:szCs w:val="21"/>
          <w:lang w:val="es-MX"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Para motivar la clasificación se deberán señalar las razones o circunstancias especiales que lo llevaron a concluir que el caso particular se ajusta al supuesto previsto por la norma legal invocada como fundamento.</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En caso de referirse a información reservada, la motivación de la clasificación también deberá comprender las circunstancias que justifican el establecimiento de determinado plazo de reserva.</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Los documentos contenidos en los archivos históricos y los identificados como históricos confidenciales no serán susceptibles de clasificación como reservados.</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Noveno.</w:t>
      </w:r>
      <w:r w:rsidRPr="007775A4">
        <w:rPr>
          <w:rFonts w:ascii="Palatino Linotype" w:eastAsia="Palatino Linotype" w:hAnsi="Palatino Linotype" w:cs="Palatino Linotype"/>
          <w:i/>
          <w:sz w:val="21"/>
          <w:szCs w:val="21"/>
          <w:lang w:val="es-MX"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lastRenderedPageBreak/>
        <w:t>Décimo.</w:t>
      </w:r>
      <w:r w:rsidRPr="007775A4">
        <w:rPr>
          <w:rFonts w:ascii="Palatino Linotype" w:eastAsia="Palatino Linotype" w:hAnsi="Palatino Linotype" w:cs="Palatino Linotype"/>
          <w:i/>
          <w:sz w:val="21"/>
          <w:szCs w:val="21"/>
          <w:lang w:val="es-MX"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i/>
          <w:sz w:val="21"/>
          <w:szCs w:val="21"/>
          <w:lang w:val="es-MX" w:eastAsia="en-US"/>
        </w:rPr>
        <w:t>En ausencia de los titulares de las áreas, la información será clasificada o desclasificada por la persona que lo supla, en términos de la normativa que rija la actuación del sujeto obligado.</w:t>
      </w:r>
    </w:p>
    <w:p w:rsidR="002578B2" w:rsidRPr="007775A4" w:rsidRDefault="002578B2" w:rsidP="002578B2">
      <w:pPr>
        <w:tabs>
          <w:tab w:val="left" w:pos="8222"/>
        </w:tabs>
        <w:spacing w:before="120" w:after="120" w:line="259" w:lineRule="auto"/>
        <w:ind w:left="851" w:right="1134"/>
        <w:jc w:val="both"/>
        <w:rPr>
          <w:rFonts w:ascii="Palatino Linotype" w:eastAsia="Palatino Linotype" w:hAnsi="Palatino Linotype" w:cs="Palatino Linotype"/>
          <w:i/>
          <w:sz w:val="21"/>
          <w:szCs w:val="21"/>
          <w:lang w:val="es-MX" w:eastAsia="en-US"/>
        </w:rPr>
      </w:pPr>
      <w:r w:rsidRPr="007775A4">
        <w:rPr>
          <w:rFonts w:ascii="Palatino Linotype" w:eastAsia="Palatino Linotype" w:hAnsi="Palatino Linotype" w:cs="Palatino Linotype"/>
          <w:b/>
          <w:i/>
          <w:sz w:val="21"/>
          <w:szCs w:val="21"/>
          <w:lang w:val="es-MX" w:eastAsia="en-US"/>
        </w:rPr>
        <w:t>Décimo primero.</w:t>
      </w:r>
      <w:r w:rsidRPr="007775A4">
        <w:rPr>
          <w:rFonts w:ascii="Palatino Linotype" w:eastAsia="Palatino Linotype" w:hAnsi="Palatino Linotype" w:cs="Palatino Linotype"/>
          <w:i/>
          <w:sz w:val="21"/>
          <w:szCs w:val="21"/>
          <w:lang w:val="es-MX"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2578B2" w:rsidRPr="007775A4" w:rsidRDefault="002578B2" w:rsidP="002578B2">
      <w:pPr>
        <w:spacing w:before="240" w:after="240" w:line="360" w:lineRule="auto"/>
        <w:jc w:val="both"/>
        <w:rPr>
          <w:rFonts w:ascii="Palatino Linotype" w:eastAsia="Palatino Linotype" w:hAnsi="Palatino Linotype" w:cs="Palatino Linotype"/>
          <w:sz w:val="22"/>
          <w:szCs w:val="22"/>
          <w:lang w:val="es-MX" w:eastAsia="en-US"/>
        </w:rPr>
      </w:pPr>
      <w:bookmarkStart w:id="5" w:name="_heading=h.4d34og8" w:colFirst="0" w:colLast="0"/>
      <w:bookmarkEnd w:id="5"/>
      <w:r w:rsidRPr="007775A4">
        <w:rPr>
          <w:rFonts w:ascii="Palatino Linotype" w:eastAsia="Palatino Linotype" w:hAnsi="Palatino Linotype" w:cs="Palatino Linotype"/>
          <w:sz w:val="22"/>
          <w:szCs w:val="22"/>
          <w:lang w:val="es-MX" w:eastAsia="en-US"/>
        </w:rPr>
        <w:t xml:space="preserve">Asimismo, deberá observar los numerales Quincuagésimo tercero y Quincuagésimo quinto de los Lineamientos Generales en Materia de Clasificación y Desclasificación de la Información </w:t>
      </w:r>
      <w:proofErr w:type="spellStart"/>
      <w:r w:rsidRPr="007775A4">
        <w:rPr>
          <w:rFonts w:ascii="Palatino Linotype" w:eastAsia="Palatino Linotype" w:hAnsi="Palatino Linotype" w:cs="Palatino Linotype"/>
          <w:sz w:val="22"/>
          <w:szCs w:val="22"/>
          <w:lang w:val="es-MX" w:eastAsia="en-US"/>
        </w:rPr>
        <w:t>supraindicados</w:t>
      </w:r>
      <w:proofErr w:type="spellEnd"/>
      <w:r w:rsidRPr="007775A4">
        <w:rPr>
          <w:rFonts w:ascii="Palatino Linotype" w:eastAsia="Palatino Linotype" w:hAnsi="Palatino Linotype" w:cs="Palatino Linotype"/>
          <w:sz w:val="22"/>
          <w:szCs w:val="22"/>
          <w:lang w:val="es-MX" w:eastAsia="en-US"/>
        </w:rPr>
        <w:t xml:space="preserve">, que establecen los formatos para la clasificación parcial y total de los documentos, conforme a lo siguiente: </w:t>
      </w:r>
    </w:p>
    <w:p w:rsidR="002578B2" w:rsidRPr="007775A4" w:rsidRDefault="002578B2" w:rsidP="002578B2">
      <w:pPr>
        <w:spacing w:after="160" w:line="259" w:lineRule="auto"/>
        <w:ind w:left="851" w:right="900"/>
        <w:jc w:val="center"/>
        <w:rPr>
          <w:rFonts w:ascii="Palatino Linotype" w:eastAsia="Palatino Linotype" w:hAnsi="Palatino Linotype" w:cs="Palatino Linotype"/>
          <w:b/>
          <w:i/>
          <w:sz w:val="22"/>
          <w:szCs w:val="22"/>
          <w:lang w:val="es-MX" w:eastAsia="en-US"/>
        </w:rPr>
      </w:pPr>
      <w:r w:rsidRPr="007775A4">
        <w:rPr>
          <w:rFonts w:ascii="Palatino Linotype" w:eastAsia="Palatino Linotype" w:hAnsi="Palatino Linotype" w:cs="Palatino Linotype"/>
          <w:b/>
          <w:i/>
          <w:sz w:val="22"/>
          <w:szCs w:val="22"/>
          <w:lang w:val="es-MX" w:eastAsia="en-US"/>
        </w:rPr>
        <w:t>CAPÍTULO VIII</w:t>
      </w:r>
    </w:p>
    <w:p w:rsidR="002578B2" w:rsidRPr="007775A4" w:rsidRDefault="002578B2" w:rsidP="002578B2">
      <w:pPr>
        <w:spacing w:after="160" w:line="259" w:lineRule="auto"/>
        <w:ind w:left="851" w:right="900"/>
        <w:jc w:val="center"/>
        <w:rPr>
          <w:rFonts w:ascii="Palatino Linotype" w:eastAsia="Palatino Linotype" w:hAnsi="Palatino Linotype" w:cs="Palatino Linotype"/>
          <w:b/>
          <w:i/>
          <w:sz w:val="22"/>
          <w:szCs w:val="22"/>
          <w:lang w:val="es-MX" w:eastAsia="en-US"/>
        </w:rPr>
      </w:pPr>
      <w:r w:rsidRPr="007775A4">
        <w:rPr>
          <w:rFonts w:ascii="Palatino Linotype" w:eastAsia="Palatino Linotype" w:hAnsi="Palatino Linotype" w:cs="Palatino Linotype"/>
          <w:b/>
          <w:i/>
          <w:sz w:val="22"/>
          <w:szCs w:val="22"/>
          <w:lang w:val="es-MX" w:eastAsia="en-US"/>
        </w:rPr>
        <w:t>DE LA LEYENDA DE CLASIFICACIÓN</w:t>
      </w:r>
    </w:p>
    <w:p w:rsidR="002578B2" w:rsidRPr="007775A4" w:rsidRDefault="002578B2" w:rsidP="002578B2">
      <w:pPr>
        <w:spacing w:after="16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w:t>
      </w:r>
    </w:p>
    <w:p w:rsidR="002578B2" w:rsidRPr="007775A4" w:rsidRDefault="002578B2" w:rsidP="002578B2">
      <w:pPr>
        <w:spacing w:after="16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 xml:space="preserve">Quincuagésimo tercero. </w:t>
      </w:r>
      <w:r w:rsidRPr="007775A4">
        <w:rPr>
          <w:rFonts w:ascii="Palatino Linotype" w:eastAsia="Palatino Linotype" w:hAnsi="Palatino Linotype" w:cs="Palatino Linotype"/>
          <w:b/>
          <w:i/>
          <w:sz w:val="22"/>
          <w:szCs w:val="22"/>
          <w:u w:val="single"/>
          <w:lang w:val="es-MX" w:eastAsia="en-US"/>
        </w:rPr>
        <w:t>El formato para señalar la clasificación parcial de un documento</w:t>
      </w:r>
      <w:r w:rsidRPr="007775A4">
        <w:rPr>
          <w:rFonts w:ascii="Palatino Linotype" w:eastAsia="Palatino Linotype" w:hAnsi="Palatino Linotype" w:cs="Palatino Linotype"/>
          <w:i/>
          <w:sz w:val="22"/>
          <w:szCs w:val="22"/>
          <w:lang w:val="es-MX" w:eastAsia="en-US"/>
        </w:rPr>
        <w:t>, es el siguiente:</w:t>
      </w:r>
    </w:p>
    <w:p w:rsidR="002578B2" w:rsidRPr="007775A4" w:rsidRDefault="002578B2" w:rsidP="002578B2">
      <w:pPr>
        <w:spacing w:after="160" w:line="259" w:lineRule="auto"/>
        <w:ind w:left="851" w:right="900"/>
        <w:jc w:val="both"/>
        <w:rPr>
          <w:rFonts w:ascii="Palatino Linotype" w:eastAsia="Palatino Linotype" w:hAnsi="Palatino Linotype" w:cs="Palatino Linotype"/>
          <w:b/>
          <w:i/>
          <w:sz w:val="22"/>
          <w:szCs w:val="22"/>
          <w:lang w:val="es-MX" w:eastAsia="en-US"/>
        </w:rPr>
      </w:pPr>
      <w:r w:rsidRPr="007775A4">
        <w:rPr>
          <w:rFonts w:ascii="Palatino Linotype" w:eastAsia="Palatino Linotype" w:hAnsi="Palatino Linotype" w:cs="Palatino Linotype"/>
          <w:b/>
          <w:i/>
          <w:sz w:val="22"/>
          <w:szCs w:val="22"/>
          <w:lang w:val="es-MX" w:eastAsia="en-US"/>
        </w:rPr>
        <w:t>...</w:t>
      </w:r>
    </w:p>
    <w:p w:rsidR="002578B2" w:rsidRPr="007775A4" w:rsidRDefault="002578B2" w:rsidP="002578B2">
      <w:pPr>
        <w:spacing w:after="16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b/>
          <w:i/>
          <w:sz w:val="22"/>
          <w:szCs w:val="22"/>
          <w:lang w:val="es-MX" w:eastAsia="en-US"/>
        </w:rPr>
        <w:t>Quincuagésimo quinto</w:t>
      </w:r>
      <w:r w:rsidRPr="007775A4">
        <w:rPr>
          <w:rFonts w:ascii="Palatino Linotype" w:eastAsia="Palatino Linotype" w:hAnsi="Palatino Linotype" w:cs="Palatino Linotype"/>
          <w:i/>
          <w:sz w:val="22"/>
          <w:szCs w:val="22"/>
          <w:lang w:val="es-MX" w:eastAsia="en-US"/>
        </w:rPr>
        <w:t>. Los documentos que integren un expediente reservado o confidencial en su totalidad no deberán marcarse en lo individual.</w:t>
      </w:r>
    </w:p>
    <w:p w:rsidR="002578B2" w:rsidRPr="007775A4" w:rsidRDefault="002578B2" w:rsidP="002578B2">
      <w:pPr>
        <w:spacing w:after="16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Una vez desclasificados los expedientes, si existieren documentos que tuvieran el carácter de reservados o confidenciales, deberán ser marcados.</w:t>
      </w:r>
    </w:p>
    <w:p w:rsidR="002578B2" w:rsidRPr="007775A4" w:rsidRDefault="002578B2" w:rsidP="002578B2">
      <w:pPr>
        <w:spacing w:after="160" w:line="259" w:lineRule="auto"/>
        <w:ind w:left="851" w:right="900"/>
        <w:jc w:val="both"/>
        <w:rPr>
          <w:rFonts w:ascii="Palatino Linotype" w:eastAsia="Palatino Linotype" w:hAnsi="Palatino Linotype" w:cs="Palatino Linotype"/>
          <w:i/>
          <w:sz w:val="22"/>
          <w:szCs w:val="22"/>
          <w:lang w:val="es-MX" w:eastAsia="en-US"/>
        </w:rPr>
      </w:pPr>
      <w:r w:rsidRPr="007775A4">
        <w:rPr>
          <w:rFonts w:ascii="Palatino Linotype" w:eastAsia="Palatino Linotype" w:hAnsi="Palatino Linotype" w:cs="Palatino Linotype"/>
          <w:i/>
          <w:sz w:val="22"/>
          <w:szCs w:val="22"/>
          <w:lang w:val="es-MX" w:eastAsia="en-US"/>
        </w:rPr>
        <w:t>El formato para señalar la clasificación de expedientes que por su naturaleza sean en su totalidad reservados o confidenciales, es el siguiente:”</w:t>
      </w:r>
    </w:p>
    <w:tbl>
      <w:tblPr>
        <w:tblStyle w:val="Tabladelista1clara-nfasis112"/>
        <w:tblW w:w="0" w:type="auto"/>
        <w:tblLayout w:type="fixed"/>
        <w:tblLook w:val="04A0" w:firstRow="1" w:lastRow="0" w:firstColumn="1" w:lastColumn="0" w:noHBand="0" w:noVBand="1"/>
      </w:tblPr>
      <w:tblGrid>
        <w:gridCol w:w="993"/>
        <w:gridCol w:w="3421"/>
        <w:gridCol w:w="968"/>
        <w:gridCol w:w="3446"/>
      </w:tblGrid>
      <w:tr w:rsidR="0060612D" w:rsidRPr="007775A4" w:rsidTr="00257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2578B2" w:rsidRPr="007775A4" w:rsidRDefault="002578B2" w:rsidP="002578B2">
            <w:pPr>
              <w:jc w:val="center"/>
              <w:rPr>
                <w:rFonts w:ascii="Palatino Linotype" w:hAnsi="Palatino Linotype"/>
                <w:sz w:val="12"/>
                <w:szCs w:val="12"/>
              </w:rPr>
            </w:pPr>
            <w:r w:rsidRPr="007775A4">
              <w:rPr>
                <w:rFonts w:ascii="Palatino Linotype" w:hAnsi="Palatino Linotype"/>
                <w:sz w:val="12"/>
                <w:szCs w:val="12"/>
              </w:rPr>
              <w:lastRenderedPageBreak/>
              <w:t>Parcial</w:t>
            </w:r>
          </w:p>
        </w:tc>
        <w:tc>
          <w:tcPr>
            <w:tcW w:w="4414" w:type="dxa"/>
            <w:gridSpan w:val="2"/>
          </w:tcPr>
          <w:p w:rsidR="002578B2" w:rsidRPr="007775A4" w:rsidRDefault="002578B2" w:rsidP="002578B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Total</w:t>
            </w:r>
          </w:p>
        </w:tc>
      </w:tr>
      <w:tr w:rsidR="0060612D" w:rsidRPr="007775A4" w:rsidTr="0025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center"/>
              <w:rPr>
                <w:rFonts w:ascii="Palatino Linotype" w:hAnsi="Palatino Linotype"/>
                <w:sz w:val="12"/>
                <w:szCs w:val="12"/>
              </w:rPr>
            </w:pPr>
            <w:r w:rsidRPr="007775A4">
              <w:rPr>
                <w:rFonts w:ascii="Palatino Linotype" w:hAnsi="Palatino Linotype"/>
                <w:sz w:val="12"/>
                <w:szCs w:val="12"/>
              </w:rPr>
              <w:t>Concepto</w:t>
            </w:r>
          </w:p>
        </w:tc>
        <w:tc>
          <w:tcPr>
            <w:tcW w:w="3421" w:type="dxa"/>
          </w:tcPr>
          <w:p w:rsidR="002578B2" w:rsidRPr="007775A4" w:rsidRDefault="002578B2" w:rsidP="002578B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Dónde</w:t>
            </w:r>
          </w:p>
        </w:tc>
        <w:tc>
          <w:tcPr>
            <w:tcW w:w="968" w:type="dxa"/>
          </w:tcPr>
          <w:p w:rsidR="002578B2" w:rsidRPr="007775A4" w:rsidRDefault="002578B2" w:rsidP="002578B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Concepto</w:t>
            </w:r>
          </w:p>
        </w:tc>
        <w:tc>
          <w:tcPr>
            <w:tcW w:w="3446" w:type="dxa"/>
          </w:tcPr>
          <w:p w:rsidR="002578B2" w:rsidRPr="007775A4" w:rsidRDefault="002578B2" w:rsidP="002578B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Dónde</w:t>
            </w:r>
          </w:p>
        </w:tc>
      </w:tr>
      <w:tr w:rsidR="0060612D" w:rsidRPr="007775A4" w:rsidTr="002578B2">
        <w:tc>
          <w:tcPr>
            <w:cnfStyle w:val="001000000000" w:firstRow="0" w:lastRow="0" w:firstColumn="1" w:lastColumn="0" w:oddVBand="0" w:evenVBand="0" w:oddHBand="0" w:evenHBand="0" w:firstRowFirstColumn="0" w:firstRowLastColumn="0" w:lastRowFirstColumn="0" w:lastRowLastColumn="0"/>
            <w:tcW w:w="8828" w:type="dxa"/>
            <w:gridSpan w:val="4"/>
          </w:tcPr>
          <w:p w:rsidR="002578B2" w:rsidRPr="007775A4" w:rsidRDefault="002578B2" w:rsidP="002578B2">
            <w:pPr>
              <w:jc w:val="center"/>
              <w:rPr>
                <w:rFonts w:ascii="Palatino Linotype" w:hAnsi="Palatino Linotype"/>
                <w:sz w:val="12"/>
                <w:szCs w:val="12"/>
              </w:rPr>
            </w:pPr>
            <w:r w:rsidRPr="007775A4">
              <w:rPr>
                <w:rFonts w:ascii="Palatino Linotype" w:hAnsi="Palatino Linotype"/>
                <w:sz w:val="12"/>
                <w:szCs w:val="12"/>
              </w:rPr>
              <w:t>Sello oficial o logotipo del sujeto obligado</w:t>
            </w:r>
          </w:p>
        </w:tc>
      </w:tr>
      <w:tr w:rsidR="0060612D" w:rsidRPr="007775A4" w:rsidTr="0025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Fecha de clasificación</w:t>
            </w:r>
          </w:p>
        </w:tc>
        <w:tc>
          <w:tcPr>
            <w:tcW w:w="3421"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anotará la fecha en la que el Comité de Transparencia confirmó la clasificación del documento, en su caso.</w:t>
            </w:r>
          </w:p>
        </w:tc>
        <w:tc>
          <w:tcPr>
            <w:tcW w:w="968"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Fecha de clasificación</w:t>
            </w:r>
          </w:p>
        </w:tc>
        <w:tc>
          <w:tcPr>
            <w:tcW w:w="3446"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anotará la fecha en la que el Comité de Transparencia confirmó la clasificación del documento, en su caso.</w:t>
            </w:r>
          </w:p>
        </w:tc>
      </w:tr>
      <w:tr w:rsidR="0060612D" w:rsidRPr="007775A4" w:rsidTr="002578B2">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Área</w:t>
            </w:r>
          </w:p>
        </w:tc>
        <w:tc>
          <w:tcPr>
            <w:tcW w:w="3421"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señalará el nombre del área del cual es titular quien clasifica.</w:t>
            </w:r>
          </w:p>
        </w:tc>
        <w:tc>
          <w:tcPr>
            <w:tcW w:w="968"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Área</w:t>
            </w:r>
          </w:p>
        </w:tc>
        <w:tc>
          <w:tcPr>
            <w:tcW w:w="3446"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señalará el nombre del área de la cual es el titular quien clasifica.</w:t>
            </w:r>
          </w:p>
        </w:tc>
      </w:tr>
      <w:tr w:rsidR="0060612D" w:rsidRPr="007775A4" w:rsidTr="0025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Información reservada</w:t>
            </w:r>
          </w:p>
        </w:tc>
        <w:tc>
          <w:tcPr>
            <w:tcW w:w="3421"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7775A4">
              <w:rPr>
                <w:rFonts w:ascii="Palatino Linotype" w:hAnsi="Palatino Linotype"/>
                <w:sz w:val="12"/>
                <w:szCs w:val="12"/>
              </w:rPr>
              <w:t>anotarán</w:t>
            </w:r>
            <w:proofErr w:type="gramEnd"/>
            <w:r w:rsidRPr="007775A4">
              <w:rPr>
                <w:rFonts w:ascii="Palatino Linotype" w:hAnsi="Palatino Linotype"/>
                <w:sz w:val="12"/>
                <w:szCs w:val="12"/>
              </w:rPr>
              <w:t xml:space="preserve"> todas las páginas que lo conforman. Si el documento no contiene información reservada, se tachará este apartado.</w:t>
            </w:r>
          </w:p>
        </w:tc>
        <w:tc>
          <w:tcPr>
            <w:tcW w:w="968"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Reservado</w:t>
            </w:r>
          </w:p>
        </w:tc>
        <w:tc>
          <w:tcPr>
            <w:tcW w:w="3446"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Leyenda de información RESERVADA.</w:t>
            </w:r>
          </w:p>
        </w:tc>
      </w:tr>
      <w:tr w:rsidR="0060612D" w:rsidRPr="007775A4" w:rsidTr="002578B2">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Fundamento legal</w:t>
            </w:r>
          </w:p>
        </w:tc>
        <w:tc>
          <w:tcPr>
            <w:tcW w:w="3421"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Periodo de reserva</w:t>
            </w:r>
          </w:p>
        </w:tc>
        <w:tc>
          <w:tcPr>
            <w:tcW w:w="3446"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60612D" w:rsidRPr="007775A4" w:rsidTr="0025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Ampliación del periodo de reserva</w:t>
            </w:r>
          </w:p>
        </w:tc>
        <w:tc>
          <w:tcPr>
            <w:tcW w:w="3421"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Fundamento legal</w:t>
            </w:r>
          </w:p>
        </w:tc>
        <w:tc>
          <w:tcPr>
            <w:tcW w:w="3446"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señalará el nombre del o de los ordenamientos jurídicos, el o los artículos, fracción(es), párrafo(s) con base en los cuales se sustenta la reserva.</w:t>
            </w:r>
          </w:p>
        </w:tc>
      </w:tr>
      <w:tr w:rsidR="0060612D" w:rsidRPr="007775A4" w:rsidTr="002578B2">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Confidencial</w:t>
            </w:r>
          </w:p>
        </w:tc>
        <w:tc>
          <w:tcPr>
            <w:tcW w:w="3421"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Ampliación del periodo de reserva</w:t>
            </w:r>
          </w:p>
        </w:tc>
        <w:tc>
          <w:tcPr>
            <w:tcW w:w="3446"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60612D" w:rsidRPr="007775A4" w:rsidTr="0025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Fundamento legal</w:t>
            </w:r>
          </w:p>
        </w:tc>
        <w:tc>
          <w:tcPr>
            <w:tcW w:w="3421"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Confidencial</w:t>
            </w:r>
          </w:p>
        </w:tc>
        <w:tc>
          <w:tcPr>
            <w:tcW w:w="3446"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Leyenda de información CONFIDENCIAL.</w:t>
            </w:r>
          </w:p>
        </w:tc>
      </w:tr>
      <w:tr w:rsidR="0060612D" w:rsidRPr="007775A4" w:rsidTr="002578B2">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Rúbrica del titular del área</w:t>
            </w:r>
          </w:p>
        </w:tc>
        <w:tc>
          <w:tcPr>
            <w:tcW w:w="3421"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Rúbrica autógrafa de quien clasifica.</w:t>
            </w:r>
          </w:p>
        </w:tc>
        <w:tc>
          <w:tcPr>
            <w:tcW w:w="968"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Fundamento legal</w:t>
            </w:r>
          </w:p>
        </w:tc>
        <w:tc>
          <w:tcPr>
            <w:tcW w:w="3446"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60612D" w:rsidRPr="007775A4" w:rsidTr="0025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Fecha de desclasificación</w:t>
            </w:r>
          </w:p>
        </w:tc>
        <w:tc>
          <w:tcPr>
            <w:tcW w:w="3421"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anotará la fecha en que se desclasifica el documento.</w:t>
            </w:r>
          </w:p>
        </w:tc>
        <w:tc>
          <w:tcPr>
            <w:tcW w:w="968"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Rúbrica del titular del área</w:t>
            </w:r>
          </w:p>
        </w:tc>
        <w:tc>
          <w:tcPr>
            <w:tcW w:w="3446"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Rúbrica autógrafa de quien clasifica.</w:t>
            </w:r>
          </w:p>
        </w:tc>
      </w:tr>
      <w:tr w:rsidR="0060612D" w:rsidRPr="007775A4" w:rsidTr="002578B2">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r w:rsidRPr="007775A4">
              <w:rPr>
                <w:rFonts w:ascii="Palatino Linotype" w:hAnsi="Palatino Linotype"/>
                <w:sz w:val="12"/>
                <w:szCs w:val="12"/>
              </w:rPr>
              <w:t>Rúbrica y cargo del servidor público</w:t>
            </w:r>
          </w:p>
        </w:tc>
        <w:tc>
          <w:tcPr>
            <w:tcW w:w="3421"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Rúbrica autógrafa de quien desclasifica.</w:t>
            </w:r>
          </w:p>
        </w:tc>
        <w:tc>
          <w:tcPr>
            <w:tcW w:w="968"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Fecha de desclasificación</w:t>
            </w:r>
          </w:p>
        </w:tc>
        <w:tc>
          <w:tcPr>
            <w:tcW w:w="3446"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Se anotará la fecha en que se desclasifica.</w:t>
            </w:r>
          </w:p>
        </w:tc>
      </w:tr>
      <w:tr w:rsidR="0060612D" w:rsidRPr="007775A4" w:rsidTr="00257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p>
        </w:tc>
        <w:tc>
          <w:tcPr>
            <w:tcW w:w="3421"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Partes o secciones reservadas o confidenciales</w:t>
            </w:r>
          </w:p>
        </w:tc>
        <w:tc>
          <w:tcPr>
            <w:tcW w:w="3446" w:type="dxa"/>
          </w:tcPr>
          <w:p w:rsidR="002578B2" w:rsidRPr="007775A4" w:rsidRDefault="002578B2" w:rsidP="002578B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 xml:space="preserve">En caso que una vez desclasificado el expediente, </w:t>
            </w:r>
            <w:proofErr w:type="spellStart"/>
            <w:r w:rsidRPr="007775A4">
              <w:rPr>
                <w:rFonts w:ascii="Palatino Linotype" w:hAnsi="Palatino Linotype"/>
                <w:sz w:val="12"/>
                <w:szCs w:val="12"/>
              </w:rPr>
              <w:t>subsistanpartes</w:t>
            </w:r>
            <w:proofErr w:type="spellEnd"/>
            <w:r w:rsidRPr="007775A4">
              <w:rPr>
                <w:rFonts w:ascii="Palatino Linotype" w:hAnsi="Palatino Linotype"/>
                <w:sz w:val="12"/>
                <w:szCs w:val="12"/>
              </w:rPr>
              <w:t xml:space="preserve"> o secciones del mismo reservadas o confidenciales, se señalará este hecho.</w:t>
            </w:r>
          </w:p>
        </w:tc>
      </w:tr>
      <w:tr w:rsidR="0060612D" w:rsidRPr="007775A4" w:rsidTr="002578B2">
        <w:tc>
          <w:tcPr>
            <w:cnfStyle w:val="001000000000" w:firstRow="0" w:lastRow="0" w:firstColumn="1" w:lastColumn="0" w:oddVBand="0" w:evenVBand="0" w:oddHBand="0" w:evenHBand="0" w:firstRowFirstColumn="0" w:firstRowLastColumn="0" w:lastRowFirstColumn="0" w:lastRowLastColumn="0"/>
            <w:tcW w:w="993" w:type="dxa"/>
          </w:tcPr>
          <w:p w:rsidR="002578B2" w:rsidRPr="007775A4" w:rsidRDefault="002578B2" w:rsidP="002578B2">
            <w:pPr>
              <w:jc w:val="both"/>
              <w:rPr>
                <w:rFonts w:ascii="Palatino Linotype" w:hAnsi="Palatino Linotype"/>
                <w:sz w:val="12"/>
                <w:szCs w:val="12"/>
              </w:rPr>
            </w:pPr>
          </w:p>
        </w:tc>
        <w:tc>
          <w:tcPr>
            <w:tcW w:w="3421"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775A4">
              <w:rPr>
                <w:rFonts w:ascii="Palatino Linotype" w:hAnsi="Palatino Linotype"/>
                <w:b/>
                <w:sz w:val="12"/>
                <w:szCs w:val="12"/>
              </w:rPr>
              <w:t>Rúbrica y cargo del servidor público</w:t>
            </w:r>
          </w:p>
        </w:tc>
        <w:tc>
          <w:tcPr>
            <w:tcW w:w="3446" w:type="dxa"/>
          </w:tcPr>
          <w:p w:rsidR="002578B2" w:rsidRPr="007775A4" w:rsidRDefault="002578B2" w:rsidP="002578B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775A4">
              <w:rPr>
                <w:rFonts w:ascii="Palatino Linotype" w:hAnsi="Palatino Linotype"/>
                <w:sz w:val="12"/>
                <w:szCs w:val="12"/>
              </w:rPr>
              <w:t>Rúbrica autógrafa de quien desclasifica.</w:t>
            </w:r>
          </w:p>
        </w:tc>
      </w:tr>
    </w:tbl>
    <w:p w:rsidR="002578B2" w:rsidRPr="007775A4" w:rsidRDefault="002578B2" w:rsidP="002578B2">
      <w:pPr>
        <w:spacing w:after="160" w:line="259" w:lineRule="auto"/>
        <w:rPr>
          <w:rFonts w:ascii="Calibri" w:eastAsia="Calibri" w:hAnsi="Calibri"/>
          <w:sz w:val="22"/>
          <w:szCs w:val="22"/>
          <w:lang w:val="es-MX" w:eastAsia="en-US"/>
        </w:rPr>
      </w:pPr>
    </w:p>
    <w:p w:rsidR="00836EA1" w:rsidRPr="007775A4" w:rsidRDefault="00FE6669">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7775A4">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836EA1" w:rsidRPr="007775A4" w:rsidRDefault="00FE666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rPr>
        <w:t xml:space="preserve">Es por todo lo anteriormente expuesto que se estima procedente </w:t>
      </w:r>
      <w:r w:rsidRPr="007775A4">
        <w:rPr>
          <w:rFonts w:ascii="Palatino Linotype" w:eastAsia="Palatino Linotype" w:hAnsi="Palatino Linotype" w:cs="Palatino Linotype"/>
          <w:b/>
        </w:rPr>
        <w:t>MODIFICAR </w:t>
      </w:r>
      <w:r w:rsidRPr="007775A4">
        <w:rPr>
          <w:rFonts w:ascii="Palatino Linotype" w:eastAsia="Palatino Linotype" w:hAnsi="Palatino Linotype" w:cs="Palatino Linotype"/>
        </w:rPr>
        <w:t xml:space="preserve">la respuesta del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de conformidad con lo establecido en el artículo 186 </w:t>
      </w:r>
      <w:r w:rsidRPr="007775A4">
        <w:rPr>
          <w:rFonts w:ascii="Palatino Linotype" w:eastAsia="Palatino Linotype" w:hAnsi="Palatino Linotype" w:cs="Palatino Linotype"/>
        </w:rPr>
        <w:lastRenderedPageBreak/>
        <w:t>fracción III de la Ley de Transparencia y Acceso a la Información Pública del Estado de México y Municipios, a fin de que se ponga a disposición de la particular, la documentación requerida, 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836EA1" w:rsidRPr="007775A4" w:rsidRDefault="00FE6669">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7775A4">
        <w:rPr>
          <w:rFonts w:ascii="Palatino Linotype" w:eastAsia="Palatino Linotype" w:hAnsi="Palatino Linotype" w:cs="Palatino Linotype"/>
          <w:b/>
        </w:rPr>
        <w:t>R E S U E L V E:</w:t>
      </w:r>
    </w:p>
    <w:p w:rsidR="00836EA1" w:rsidRPr="007775A4" w:rsidRDefault="00FE6669">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7775A4">
        <w:rPr>
          <w:rFonts w:ascii="Palatino Linotype" w:eastAsia="Palatino Linotype" w:hAnsi="Palatino Linotype" w:cs="Palatino Linotype"/>
          <w:b/>
        </w:rPr>
        <w:t xml:space="preserve">Primero. </w:t>
      </w:r>
      <w:r w:rsidRPr="007775A4">
        <w:rPr>
          <w:rFonts w:ascii="Palatino Linotype" w:eastAsia="Palatino Linotype" w:hAnsi="Palatino Linotype" w:cs="Palatino Linotype"/>
        </w:rPr>
        <w:t xml:space="preserve">Resultan </w:t>
      </w:r>
      <w:r w:rsidRPr="007775A4">
        <w:rPr>
          <w:rFonts w:ascii="Palatino Linotype" w:eastAsia="Palatino Linotype" w:hAnsi="Palatino Linotype" w:cs="Palatino Linotype"/>
          <w:b/>
        </w:rPr>
        <w:t>fundadas</w:t>
      </w:r>
      <w:r w:rsidRPr="007775A4">
        <w:rPr>
          <w:rFonts w:ascii="Palatino Linotype" w:eastAsia="Palatino Linotype" w:hAnsi="Palatino Linotype" w:cs="Palatino Linotype"/>
        </w:rPr>
        <w:t xml:space="preserve"> las razones o motivos de inconformidad hechos valer por el </w:t>
      </w:r>
      <w:r w:rsidRPr="007775A4">
        <w:rPr>
          <w:rFonts w:ascii="Palatino Linotype" w:eastAsia="Palatino Linotype" w:hAnsi="Palatino Linotype" w:cs="Palatino Linotype"/>
          <w:b/>
        </w:rPr>
        <w:t>Recurrente</w:t>
      </w:r>
      <w:r w:rsidRPr="007775A4">
        <w:rPr>
          <w:rFonts w:ascii="Palatino Linotype" w:eastAsia="Palatino Linotype" w:hAnsi="Palatino Linotype" w:cs="Palatino Linotype"/>
        </w:rPr>
        <w:t xml:space="preserve"> en el recurso de revisión </w:t>
      </w:r>
      <w:r w:rsidRPr="007775A4">
        <w:rPr>
          <w:rFonts w:ascii="Palatino Linotype" w:eastAsia="Palatino Linotype" w:hAnsi="Palatino Linotype" w:cs="Palatino Linotype"/>
          <w:b/>
        </w:rPr>
        <w:t>12969/INFOEM/IP/RR/2022</w:t>
      </w:r>
      <w:r w:rsidRPr="007775A4">
        <w:rPr>
          <w:rFonts w:ascii="Palatino Linotype" w:eastAsia="Palatino Linotype" w:hAnsi="Palatino Linotype" w:cs="Palatino Linotype"/>
        </w:rPr>
        <w:t xml:space="preserve">; por lo que, en términos del </w:t>
      </w:r>
      <w:r w:rsidRPr="007775A4">
        <w:rPr>
          <w:rFonts w:ascii="Palatino Linotype" w:eastAsia="Palatino Linotype" w:hAnsi="Palatino Linotype" w:cs="Palatino Linotype"/>
          <w:b/>
        </w:rPr>
        <w:t>Considerando</w:t>
      </w:r>
      <w:r w:rsidRPr="007775A4">
        <w:rPr>
          <w:rFonts w:ascii="Palatino Linotype" w:eastAsia="Palatino Linotype" w:hAnsi="Palatino Linotype" w:cs="Palatino Linotype"/>
        </w:rPr>
        <w:t xml:space="preserve"> </w:t>
      </w:r>
      <w:r w:rsidRPr="007775A4">
        <w:rPr>
          <w:rFonts w:ascii="Palatino Linotype" w:eastAsia="Palatino Linotype" w:hAnsi="Palatino Linotype" w:cs="Palatino Linotype"/>
          <w:b/>
        </w:rPr>
        <w:t xml:space="preserve">Cuarto </w:t>
      </w:r>
      <w:r w:rsidRPr="007775A4">
        <w:rPr>
          <w:rFonts w:ascii="Palatino Linotype" w:eastAsia="Palatino Linotype" w:hAnsi="Palatino Linotype" w:cs="Palatino Linotype"/>
        </w:rPr>
        <w:t xml:space="preserve">de esta resolución, se </w:t>
      </w:r>
      <w:r w:rsidRPr="007775A4">
        <w:rPr>
          <w:rFonts w:ascii="Palatino Linotype" w:eastAsia="Palatino Linotype" w:hAnsi="Palatino Linotype" w:cs="Palatino Linotype"/>
          <w:b/>
        </w:rPr>
        <w:t xml:space="preserve">MODIFICA </w:t>
      </w:r>
      <w:r w:rsidRPr="007775A4">
        <w:rPr>
          <w:rFonts w:ascii="Palatino Linotype" w:eastAsia="Palatino Linotype" w:hAnsi="Palatino Linotype" w:cs="Palatino Linotype"/>
        </w:rPr>
        <w:t xml:space="preserve">la respuesta emitida por el </w:t>
      </w:r>
      <w:r w:rsidRPr="007775A4">
        <w:rPr>
          <w:rFonts w:ascii="Palatino Linotype" w:eastAsia="Palatino Linotype" w:hAnsi="Palatino Linotype" w:cs="Palatino Linotype"/>
          <w:b/>
        </w:rPr>
        <w:t xml:space="preserve">Sujeto Obligado. </w:t>
      </w:r>
    </w:p>
    <w:p w:rsidR="00836EA1" w:rsidRPr="007775A4" w:rsidRDefault="00FE6669">
      <w:pPr>
        <w:spacing w:before="240" w:after="240" w:line="360" w:lineRule="auto"/>
        <w:ind w:right="49"/>
        <w:jc w:val="both"/>
        <w:rPr>
          <w:rFonts w:ascii="Palatino Linotype" w:eastAsia="Palatino Linotype" w:hAnsi="Palatino Linotype" w:cs="Palatino Linotype"/>
          <w:b/>
          <w:u w:val="single"/>
        </w:rPr>
      </w:pPr>
      <w:bookmarkStart w:id="7" w:name="_heading=h.1fob9te" w:colFirst="0" w:colLast="0"/>
      <w:bookmarkEnd w:id="7"/>
      <w:r w:rsidRPr="007775A4">
        <w:rPr>
          <w:rFonts w:ascii="Palatino Linotype" w:eastAsia="Palatino Linotype" w:hAnsi="Palatino Linotype" w:cs="Palatino Linotype"/>
          <w:b/>
        </w:rPr>
        <w:t xml:space="preserve">Segundo. </w:t>
      </w:r>
      <w:r w:rsidRPr="007775A4">
        <w:rPr>
          <w:rFonts w:ascii="Palatino Linotype" w:eastAsia="Palatino Linotype" w:hAnsi="Palatino Linotype" w:cs="Palatino Linotype"/>
        </w:rPr>
        <w:t xml:space="preserve">Se </w:t>
      </w:r>
      <w:r w:rsidRPr="007775A4">
        <w:rPr>
          <w:rFonts w:ascii="Palatino Linotype" w:eastAsia="Palatino Linotype" w:hAnsi="Palatino Linotype" w:cs="Palatino Linotype"/>
          <w:b/>
        </w:rPr>
        <w:t xml:space="preserve">Ordena </w:t>
      </w:r>
      <w:r w:rsidRPr="007775A4">
        <w:rPr>
          <w:rFonts w:ascii="Palatino Linotype" w:eastAsia="Palatino Linotype" w:hAnsi="Palatino Linotype" w:cs="Palatino Linotype"/>
        </w:rPr>
        <w:t xml:space="preserve">al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haga entrega a</w:t>
      </w:r>
      <w:r w:rsidRPr="007775A4">
        <w:rPr>
          <w:rFonts w:ascii="Palatino Linotype" w:eastAsia="Palatino Linotype" w:hAnsi="Palatino Linotype" w:cs="Palatino Linotype"/>
          <w:b/>
        </w:rPr>
        <w:t>l Recurrente</w:t>
      </w:r>
      <w:r w:rsidR="00FF6566" w:rsidRPr="007775A4">
        <w:rPr>
          <w:rFonts w:ascii="Palatino Linotype" w:eastAsia="Palatino Linotype" w:hAnsi="Palatino Linotype" w:cs="Palatino Linotype"/>
          <w:b/>
        </w:rPr>
        <w:t>, en términos del considerando Cuarto y Quinto,</w:t>
      </w:r>
      <w:r w:rsidRPr="007775A4">
        <w:rPr>
          <w:rFonts w:ascii="Palatino Linotype" w:eastAsia="Palatino Linotype" w:hAnsi="Palatino Linotype" w:cs="Palatino Linotype"/>
        </w:rPr>
        <w:t xml:space="preserve"> vía </w:t>
      </w:r>
      <w:r w:rsidRPr="007775A4">
        <w:rPr>
          <w:rFonts w:ascii="Palatino Linotype" w:eastAsia="Palatino Linotype" w:hAnsi="Palatino Linotype" w:cs="Palatino Linotype"/>
          <w:b/>
        </w:rPr>
        <w:t>SAIMEX de ser procedente en versión pública</w:t>
      </w:r>
      <w:r w:rsidR="00F55E75" w:rsidRPr="007775A4">
        <w:rPr>
          <w:rFonts w:ascii="Palatino Linotype" w:eastAsia="Palatino Linotype" w:hAnsi="Palatino Linotype" w:cs="Palatino Linotype"/>
          <w:b/>
        </w:rPr>
        <w:t>, de lo siguiente:</w:t>
      </w:r>
      <w:r w:rsidR="00F55E75" w:rsidRPr="007775A4">
        <w:rPr>
          <w:rFonts w:ascii="Palatino Linotype" w:eastAsia="Palatino Linotype" w:hAnsi="Palatino Linotype" w:cs="Palatino Linotype"/>
        </w:rPr>
        <w:t xml:space="preserve"> </w:t>
      </w:r>
    </w:p>
    <w:p w:rsidR="00836EA1" w:rsidRPr="007775A4" w:rsidRDefault="00F55E75">
      <w:pPr>
        <w:spacing w:before="240" w:after="240"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1. Documentos donde conste el</w:t>
      </w:r>
      <w:r w:rsidR="00FE6669" w:rsidRPr="007775A4">
        <w:rPr>
          <w:rFonts w:ascii="Palatino Linotype" w:eastAsia="Palatino Linotype" w:hAnsi="Palatino Linotype" w:cs="Palatino Linotype"/>
          <w:b/>
          <w:i/>
          <w:sz w:val="22"/>
          <w:szCs w:val="22"/>
        </w:rPr>
        <w:t xml:space="preserve"> sueldo de los integrantes de </w:t>
      </w:r>
      <w:r w:rsidRPr="007775A4">
        <w:rPr>
          <w:rFonts w:ascii="Palatino Linotype" w:eastAsia="Palatino Linotype" w:hAnsi="Palatino Linotype" w:cs="Palatino Linotype"/>
          <w:b/>
          <w:i/>
          <w:sz w:val="22"/>
          <w:szCs w:val="22"/>
        </w:rPr>
        <w:t xml:space="preserve">la Comisión de Honor y Justicia, generados de la primera quincena de enero a la primera quincena de junio de dos mil </w:t>
      </w:r>
      <w:r w:rsidR="002578B2" w:rsidRPr="007775A4">
        <w:rPr>
          <w:rFonts w:ascii="Palatino Linotype" w:eastAsia="Palatino Linotype" w:hAnsi="Palatino Linotype" w:cs="Palatino Linotype"/>
          <w:b/>
          <w:i/>
          <w:sz w:val="22"/>
          <w:szCs w:val="22"/>
        </w:rPr>
        <w:t>veintidós</w:t>
      </w:r>
      <w:r w:rsidRPr="007775A4">
        <w:rPr>
          <w:rFonts w:ascii="Palatino Linotype" w:eastAsia="Palatino Linotype" w:hAnsi="Palatino Linotype" w:cs="Palatino Linotype"/>
          <w:b/>
          <w:i/>
          <w:sz w:val="22"/>
          <w:szCs w:val="22"/>
        </w:rPr>
        <w:t>.</w:t>
      </w:r>
    </w:p>
    <w:p w:rsidR="00836EA1" w:rsidRPr="007775A4" w:rsidRDefault="00FE6669">
      <w:pPr>
        <w:spacing w:before="240" w:after="240"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2.- La estadística de faltas administrativas, al mayor grado de desagregación posible</w:t>
      </w:r>
      <w:r w:rsidR="00497698" w:rsidRPr="007775A4">
        <w:rPr>
          <w:rFonts w:ascii="Palatino Linotype" w:eastAsia="Palatino Linotype" w:hAnsi="Palatino Linotype" w:cs="Palatino Linotype"/>
          <w:b/>
          <w:i/>
          <w:sz w:val="22"/>
          <w:szCs w:val="22"/>
        </w:rPr>
        <w:t xml:space="preserve"> del 1 de enero al 27 de junio de 2022</w:t>
      </w:r>
      <w:r w:rsidRPr="007775A4">
        <w:rPr>
          <w:rFonts w:ascii="Palatino Linotype" w:eastAsia="Palatino Linotype" w:hAnsi="Palatino Linotype" w:cs="Palatino Linotype"/>
          <w:b/>
          <w:i/>
          <w:sz w:val="22"/>
          <w:szCs w:val="22"/>
        </w:rPr>
        <w:t xml:space="preserve">. </w:t>
      </w:r>
    </w:p>
    <w:p w:rsidR="00836EA1" w:rsidRPr="007775A4" w:rsidRDefault="00B73239">
      <w:pPr>
        <w:spacing w:before="240" w:after="240" w:line="276" w:lineRule="auto"/>
        <w:ind w:left="567" w:right="900"/>
        <w:jc w:val="both"/>
        <w:rPr>
          <w:rFonts w:ascii="Palatino Linotype" w:eastAsia="Palatino Linotype" w:hAnsi="Palatino Linotype" w:cs="Palatino Linotype"/>
          <w:b/>
          <w:i/>
          <w:sz w:val="22"/>
          <w:szCs w:val="22"/>
        </w:rPr>
      </w:pPr>
      <w:r w:rsidRPr="007775A4">
        <w:rPr>
          <w:rFonts w:ascii="Palatino Linotype" w:eastAsia="Palatino Linotype" w:hAnsi="Palatino Linotype" w:cs="Palatino Linotype"/>
          <w:b/>
          <w:i/>
          <w:sz w:val="22"/>
          <w:szCs w:val="22"/>
        </w:rPr>
        <w:t>3</w:t>
      </w:r>
      <w:r w:rsidR="00FE6669" w:rsidRPr="007775A4">
        <w:rPr>
          <w:rFonts w:ascii="Palatino Linotype" w:eastAsia="Palatino Linotype" w:hAnsi="Palatino Linotype" w:cs="Palatino Linotype"/>
          <w:b/>
          <w:i/>
          <w:sz w:val="22"/>
          <w:szCs w:val="22"/>
        </w:rPr>
        <w:t>. La estadística de incidencia delictiva al mayor grado de desagregación posible</w:t>
      </w:r>
      <w:r w:rsidR="00497698" w:rsidRPr="007775A4">
        <w:rPr>
          <w:rFonts w:ascii="Palatino Linotype" w:eastAsia="Palatino Linotype" w:hAnsi="Palatino Linotype" w:cs="Palatino Linotype"/>
          <w:b/>
          <w:i/>
          <w:sz w:val="22"/>
          <w:szCs w:val="22"/>
        </w:rPr>
        <w:t>, del 1 de enero al 27 de junio de 2022</w:t>
      </w:r>
      <w:r w:rsidR="00FE6669" w:rsidRPr="007775A4">
        <w:rPr>
          <w:rFonts w:ascii="Palatino Linotype" w:eastAsia="Palatino Linotype" w:hAnsi="Palatino Linotype" w:cs="Palatino Linotype"/>
          <w:b/>
          <w:i/>
          <w:sz w:val="22"/>
          <w:szCs w:val="22"/>
        </w:rPr>
        <w:t xml:space="preserve">. </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bookmarkStart w:id="8" w:name="_heading=h.2et92p0" w:colFirst="0" w:colLast="0"/>
      <w:bookmarkEnd w:id="8"/>
      <w:r w:rsidRPr="007775A4">
        <w:rPr>
          <w:rFonts w:ascii="Palatino Linotype" w:eastAsia="Palatino Linotype" w:hAnsi="Palatino Linotype" w:cs="Palatino Linotype"/>
          <w:i/>
          <w:sz w:val="22"/>
          <w:szCs w:val="22"/>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836EA1" w:rsidRPr="007775A4" w:rsidRDefault="00FE6669">
      <w:pPr>
        <w:spacing w:before="240" w:after="240" w:line="276" w:lineRule="auto"/>
        <w:ind w:left="567" w:right="900"/>
        <w:jc w:val="both"/>
        <w:rPr>
          <w:rFonts w:ascii="Palatino Linotype" w:eastAsia="Palatino Linotype" w:hAnsi="Palatino Linotype" w:cs="Palatino Linotype"/>
          <w:i/>
          <w:sz w:val="22"/>
          <w:szCs w:val="22"/>
        </w:rPr>
      </w:pPr>
      <w:r w:rsidRPr="007775A4">
        <w:rPr>
          <w:rFonts w:ascii="Palatino Linotype" w:eastAsia="Palatino Linotype" w:hAnsi="Palatino Linotype" w:cs="Palatino Linotype"/>
          <w:i/>
          <w:sz w:val="22"/>
          <w:szCs w:val="22"/>
        </w:rPr>
        <w:t xml:space="preserve">En el supuesto que la información ordenada en el </w:t>
      </w:r>
      <w:r w:rsidRPr="007775A4">
        <w:rPr>
          <w:rFonts w:ascii="Palatino Linotype" w:eastAsia="Palatino Linotype" w:hAnsi="Palatino Linotype" w:cs="Palatino Linotype"/>
          <w:b/>
          <w:i/>
          <w:sz w:val="22"/>
          <w:szCs w:val="22"/>
        </w:rPr>
        <w:t>punto 2</w:t>
      </w:r>
      <w:r w:rsidRPr="007775A4">
        <w:rPr>
          <w:rFonts w:ascii="Palatino Linotype" w:eastAsia="Palatino Linotype" w:hAnsi="Palatino Linotype" w:cs="Palatino Linotype"/>
          <w:i/>
          <w:sz w:val="22"/>
          <w:szCs w:val="22"/>
        </w:rPr>
        <w:t xml:space="preserve"> no obre en los archivos del Sujeto Obligado por no haberse generado, bastará con que así lo haga del conocimiento de la parte Recurrente, de manera fundada y motivada, para tener por colmado el requerimiento de información.</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Tercero</w:t>
      </w:r>
      <w:r w:rsidRPr="007775A4">
        <w:rPr>
          <w:rFonts w:ascii="Palatino Linotype" w:eastAsia="Palatino Linotype" w:hAnsi="Palatino Linotype" w:cs="Palatino Linotype"/>
          <w:b/>
          <w:sz w:val="28"/>
          <w:szCs w:val="28"/>
        </w:rPr>
        <w:t xml:space="preserve">.  </w:t>
      </w:r>
      <w:r w:rsidRPr="007775A4">
        <w:rPr>
          <w:rFonts w:ascii="Palatino Linotype" w:eastAsia="Palatino Linotype" w:hAnsi="Palatino Linotype" w:cs="Palatino Linotype"/>
          <w:b/>
        </w:rPr>
        <w:t>Notifíquese vía SAIMEX,</w:t>
      </w:r>
      <w:r w:rsidRPr="007775A4">
        <w:rPr>
          <w:rFonts w:ascii="Palatino Linotype" w:eastAsia="Palatino Linotype" w:hAnsi="Palatino Linotype" w:cs="Palatino Linotype"/>
          <w:b/>
          <w:sz w:val="28"/>
          <w:szCs w:val="28"/>
        </w:rPr>
        <w:t xml:space="preserve"> </w:t>
      </w:r>
      <w:r w:rsidRPr="007775A4">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36EA1" w:rsidRPr="007775A4" w:rsidRDefault="00FE6669">
      <w:pPr>
        <w:spacing w:before="240"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Cuarto</w:t>
      </w:r>
      <w:r w:rsidRPr="007775A4">
        <w:rPr>
          <w:rFonts w:ascii="Palatino Linotype" w:eastAsia="Palatino Linotype" w:hAnsi="Palatino Linotype" w:cs="Palatino Linotype"/>
          <w:b/>
          <w:sz w:val="28"/>
          <w:szCs w:val="28"/>
        </w:rPr>
        <w:t xml:space="preserve">. </w:t>
      </w:r>
      <w:r w:rsidRPr="007775A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775A4">
        <w:rPr>
          <w:rFonts w:ascii="Palatino Linotype" w:eastAsia="Palatino Linotype" w:hAnsi="Palatino Linotype" w:cs="Palatino Linotype"/>
          <w:b/>
        </w:rPr>
        <w:t>Sujeto Obligado</w:t>
      </w:r>
      <w:r w:rsidRPr="007775A4">
        <w:rPr>
          <w:rFonts w:ascii="Palatino Linotype" w:eastAsia="Palatino Linotype" w:hAnsi="Palatino Linotype" w:cs="Palatino Linotype"/>
        </w:rPr>
        <w:t xml:space="preserve"> de manera fundada y motivada, podrá solicitar una ampliación de plazo para el cumplimiento de la presente resolución.</w:t>
      </w:r>
    </w:p>
    <w:p w:rsidR="00836EA1" w:rsidRPr="007775A4" w:rsidRDefault="00FE6669">
      <w:pPr>
        <w:pBdr>
          <w:top w:val="nil"/>
          <w:left w:val="nil"/>
          <w:bottom w:val="nil"/>
          <w:right w:val="nil"/>
          <w:between w:val="nil"/>
        </w:pBdr>
        <w:spacing w:after="240" w:line="360" w:lineRule="auto"/>
        <w:jc w:val="both"/>
        <w:rPr>
          <w:rFonts w:ascii="Palatino Linotype" w:eastAsia="Palatino Linotype" w:hAnsi="Palatino Linotype" w:cs="Palatino Linotype"/>
        </w:rPr>
      </w:pPr>
      <w:r w:rsidRPr="007775A4">
        <w:rPr>
          <w:rFonts w:ascii="Palatino Linotype" w:eastAsia="Palatino Linotype" w:hAnsi="Palatino Linotype" w:cs="Palatino Linotype"/>
          <w:b/>
        </w:rPr>
        <w:t xml:space="preserve">Quinto. </w:t>
      </w:r>
      <w:r w:rsidRPr="007775A4">
        <w:rPr>
          <w:rFonts w:ascii="Palatino Linotype" w:eastAsia="Palatino Linotype" w:hAnsi="Palatino Linotype" w:cs="Palatino Linotype"/>
        </w:rPr>
        <w:t xml:space="preserve">Notifíquese, vía </w:t>
      </w:r>
      <w:r w:rsidRPr="007775A4">
        <w:rPr>
          <w:rFonts w:ascii="Palatino Linotype" w:eastAsia="Palatino Linotype" w:hAnsi="Palatino Linotype" w:cs="Palatino Linotype"/>
          <w:b/>
        </w:rPr>
        <w:t>SAIMEX</w:t>
      </w:r>
      <w:r w:rsidRPr="007775A4">
        <w:rPr>
          <w:rFonts w:ascii="Palatino Linotype" w:eastAsia="Palatino Linotype" w:hAnsi="Palatino Linotype" w:cs="Palatino Linotype"/>
        </w:rPr>
        <w:t xml:space="preserve">, a </w:t>
      </w:r>
      <w:r w:rsidRPr="007775A4">
        <w:rPr>
          <w:rFonts w:ascii="Palatino Linotype" w:eastAsia="Palatino Linotype" w:hAnsi="Palatino Linotype" w:cs="Palatino Linotype"/>
          <w:b/>
        </w:rPr>
        <w:t>la parte</w:t>
      </w:r>
      <w:r w:rsidRPr="007775A4">
        <w:rPr>
          <w:rFonts w:ascii="Palatino Linotype" w:eastAsia="Palatino Linotype" w:hAnsi="Palatino Linotype" w:cs="Palatino Linotype"/>
        </w:rPr>
        <w:t xml:space="preserve"> </w:t>
      </w:r>
      <w:r w:rsidRPr="007775A4">
        <w:rPr>
          <w:rFonts w:ascii="Palatino Linotype" w:eastAsia="Palatino Linotype" w:hAnsi="Palatino Linotype" w:cs="Palatino Linotype"/>
          <w:b/>
        </w:rPr>
        <w:t>Recurrente</w:t>
      </w:r>
      <w:r w:rsidRPr="007775A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D17D08" w:rsidRPr="007775A4" w:rsidRDefault="00D17D08" w:rsidP="00D17D08">
      <w:pPr>
        <w:spacing w:line="360" w:lineRule="auto"/>
        <w:jc w:val="both"/>
        <w:rPr>
          <w:rFonts w:ascii="Palatino Linotype" w:eastAsia="Palatino Linotype" w:hAnsi="Palatino Linotype" w:cs="Palatino Linotype"/>
          <w:lang w:val="es-MX" w:eastAsia="es-ES"/>
        </w:rPr>
      </w:pPr>
      <w:r w:rsidRPr="007775A4">
        <w:rPr>
          <w:rFonts w:ascii="Palatino Linotype" w:eastAsia="Palatino Linotype" w:hAnsi="Palatino Linotype" w:cs="Palatino Linotype"/>
          <w:b/>
          <w:lang w:val="es-MX" w:eastAsia="es-ES"/>
        </w:rPr>
        <w:lastRenderedPageBreak/>
        <w:t>Sexto. Gírese</w:t>
      </w:r>
      <w:r w:rsidRPr="007775A4">
        <w:rPr>
          <w:rFonts w:ascii="Palatino Linotype" w:eastAsia="Palatino Linotype" w:hAnsi="Palatino Linotype" w:cs="Palatino Linotype"/>
          <w:lang w:val="es-MX" w:eastAsia="es-ES"/>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7775A4">
        <w:rPr>
          <w:rFonts w:ascii="Palatino Linotype" w:eastAsia="Palatino Linotype" w:hAnsi="Palatino Linotype" w:cs="Palatino Linotype"/>
          <w:b/>
          <w:lang w:val="es-MX" w:eastAsia="es-ES"/>
        </w:rPr>
        <w:t>Considerando Cuarto</w:t>
      </w:r>
      <w:r w:rsidRPr="007775A4">
        <w:rPr>
          <w:rFonts w:ascii="Palatino Linotype" w:eastAsia="Palatino Linotype" w:hAnsi="Palatino Linotype" w:cs="Palatino Linotype"/>
          <w:lang w:val="es-MX" w:eastAsia="es-ES"/>
        </w:rPr>
        <w:t xml:space="preserve"> de la presente resolución.</w:t>
      </w:r>
    </w:p>
    <w:p w:rsidR="00836EA1" w:rsidRPr="007775A4" w:rsidRDefault="00424930">
      <w:pPr>
        <w:spacing w:before="240" w:after="240" w:line="360" w:lineRule="auto"/>
        <w:jc w:val="both"/>
        <w:rPr>
          <w:rFonts w:ascii="Palatino Linotype" w:eastAsia="Palatino Linotype" w:hAnsi="Palatino Linotype" w:cs="Palatino Linotype"/>
          <w:sz w:val="20"/>
          <w:szCs w:val="20"/>
        </w:rPr>
        <w:sectPr w:rsidR="00836EA1" w:rsidRPr="007775A4">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pPr>
      <w:r w:rsidRPr="007775A4">
        <w:rPr>
          <w:rFonts w:ascii="Palatino Linotype" w:eastAsia="Palatino Linotype" w:hAnsi="Palatino Linotype" w:cs="Palatino Linotype"/>
        </w:rPr>
        <w:t>ASÍ LO RESUELVE, POR MAYORÍA</w:t>
      </w:r>
      <w:r w:rsidR="00FE6669" w:rsidRPr="007775A4">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w:t>
      </w:r>
      <w:r w:rsidRPr="007775A4">
        <w:rPr>
          <w:rFonts w:ascii="Palatino Linotype" w:eastAsia="Palatino Linotype" w:hAnsi="Palatino Linotype" w:cs="Palatino Linotype"/>
        </w:rPr>
        <w:t xml:space="preserve">EMITIENDO VOTO PARTICULAR; </w:t>
      </w:r>
      <w:r w:rsidR="00FE6669" w:rsidRPr="007775A4">
        <w:rPr>
          <w:rFonts w:ascii="Palatino Linotype" w:eastAsia="Palatino Linotype" w:hAnsi="Palatino Linotype" w:cs="Palatino Linotype"/>
        </w:rPr>
        <w:t xml:space="preserve">MARÍA DEL ROSARIO MEJÍA AYALA, SHARON CRISTINA MORALES MARTÍNEZ; </w:t>
      </w:r>
      <w:r w:rsidRPr="007775A4">
        <w:rPr>
          <w:rFonts w:ascii="Palatino Linotype" w:eastAsia="Palatino Linotype" w:hAnsi="Palatino Linotype" w:cs="Palatino Linotype"/>
        </w:rPr>
        <w:t xml:space="preserve">EMITIENDO VOTO DISIDENTE; </w:t>
      </w:r>
      <w:r w:rsidR="00FE6669" w:rsidRPr="007775A4">
        <w:rPr>
          <w:rFonts w:ascii="Palatino Linotype" w:eastAsia="Palatino Linotype" w:hAnsi="Palatino Linotype" w:cs="Palatino Linotype"/>
        </w:rPr>
        <w:t>LUIS GUSTAVO PARRA NORIEGA</w:t>
      </w:r>
      <w:r w:rsidRPr="007775A4">
        <w:rPr>
          <w:rFonts w:ascii="Palatino Linotype" w:eastAsia="Palatino Linotype" w:hAnsi="Palatino Linotype" w:cs="Palatino Linotype"/>
        </w:rPr>
        <w:t>; EMITIENDO VOTO PARTICULAR</w:t>
      </w:r>
      <w:r w:rsidR="00FE6669" w:rsidRPr="007775A4">
        <w:rPr>
          <w:rFonts w:ascii="Palatino Linotype" w:eastAsia="Palatino Linotype" w:hAnsi="Palatino Linotype" w:cs="Palatino Linotype"/>
        </w:rPr>
        <w:t xml:space="preserve"> Y GUAD</w:t>
      </w:r>
      <w:r w:rsidR="009519BA" w:rsidRPr="007775A4">
        <w:rPr>
          <w:rFonts w:ascii="Palatino Linotype" w:eastAsia="Palatino Linotype" w:hAnsi="Palatino Linotype" w:cs="Palatino Linotype"/>
        </w:rPr>
        <w:t>ALUPE RAMÍREZ PEÑA; EN LA SEXT</w:t>
      </w:r>
      <w:r w:rsidR="00FE6669" w:rsidRPr="007775A4">
        <w:rPr>
          <w:rFonts w:ascii="Palatino Linotype" w:eastAsia="Palatino Linotype" w:hAnsi="Palatino Linotype" w:cs="Palatino Linotype"/>
        </w:rPr>
        <w:t>A SE</w:t>
      </w:r>
      <w:r w:rsidR="009519BA" w:rsidRPr="007775A4">
        <w:rPr>
          <w:rFonts w:ascii="Palatino Linotype" w:eastAsia="Palatino Linotype" w:hAnsi="Palatino Linotype" w:cs="Palatino Linotype"/>
        </w:rPr>
        <w:t>SIÓN ORDINARIA CELEBRADA EL QUINCE</w:t>
      </w:r>
      <w:r w:rsidR="00FE6669" w:rsidRPr="007775A4">
        <w:rPr>
          <w:rFonts w:ascii="Palatino Linotype" w:eastAsia="Palatino Linotype" w:hAnsi="Palatino Linotype" w:cs="Palatino Linotype"/>
        </w:rPr>
        <w:t xml:space="preserve"> </w:t>
      </w:r>
      <w:r w:rsidR="009519BA" w:rsidRPr="007775A4">
        <w:rPr>
          <w:rFonts w:ascii="Palatino Linotype" w:eastAsia="Palatino Linotype" w:hAnsi="Palatino Linotype" w:cs="Palatino Linotype"/>
        </w:rPr>
        <w:t>DE FEBR</w:t>
      </w:r>
      <w:r w:rsidR="00FE6669" w:rsidRPr="007775A4">
        <w:rPr>
          <w:rFonts w:ascii="Palatino Linotype" w:eastAsia="Palatino Linotype" w:hAnsi="Palatino Linotype" w:cs="Palatino Linotype"/>
        </w:rPr>
        <w:t>ERO DE DOS MIL VEINTITRÉS, ANTE EL SECRETARIO TÉCNICO DEL PLENO, ALEXIS TAPIA RAMÍREZ.</w:t>
      </w: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p w:rsidR="00836EA1" w:rsidRPr="007775A4" w:rsidRDefault="00836EA1">
      <w:pPr>
        <w:spacing w:before="240" w:after="240" w:line="360" w:lineRule="auto"/>
        <w:jc w:val="both"/>
        <w:rPr>
          <w:rFonts w:ascii="Palatino Linotype" w:eastAsia="Palatino Linotype" w:hAnsi="Palatino Linotype" w:cs="Palatino Linotype"/>
          <w:sz w:val="20"/>
          <w:szCs w:val="20"/>
        </w:rPr>
      </w:pPr>
    </w:p>
    <w:sectPr w:rsidR="00836EA1" w:rsidRPr="007775A4">
      <w:head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E29" w:rsidRDefault="00DE5E29">
      <w:r>
        <w:separator/>
      </w:r>
    </w:p>
  </w:endnote>
  <w:endnote w:type="continuationSeparator" w:id="0">
    <w:p w:rsidR="00DE5E29" w:rsidRDefault="00DE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9C8" w:rsidRDefault="00B319C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2781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2781A">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rsidR="00B319C8" w:rsidRDefault="00B319C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9C8" w:rsidRDefault="00B319C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2781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2781A">
      <w:rPr>
        <w:rFonts w:ascii="Palatino Linotype" w:eastAsia="Palatino Linotype" w:hAnsi="Palatino Linotype" w:cs="Palatino Linotype"/>
        <w:b/>
        <w:noProof/>
        <w:color w:val="000000"/>
        <w:sz w:val="20"/>
        <w:szCs w:val="20"/>
      </w:rPr>
      <w:t>81</w:t>
    </w:r>
    <w:r>
      <w:rPr>
        <w:rFonts w:ascii="Palatino Linotype" w:eastAsia="Palatino Linotype" w:hAnsi="Palatino Linotype" w:cs="Palatino Linotype"/>
        <w:b/>
        <w:color w:val="000000"/>
        <w:sz w:val="20"/>
        <w:szCs w:val="20"/>
      </w:rPr>
      <w:fldChar w:fldCharType="end"/>
    </w:r>
  </w:p>
  <w:p w:rsidR="00B319C8" w:rsidRDefault="00B319C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E29" w:rsidRDefault="00DE5E29">
      <w:r>
        <w:separator/>
      </w:r>
    </w:p>
  </w:footnote>
  <w:footnote w:type="continuationSeparator" w:id="0">
    <w:p w:rsidR="00DE5E29" w:rsidRDefault="00DE5E29">
      <w:r>
        <w:continuationSeparator/>
      </w:r>
    </w:p>
  </w:footnote>
  <w:footnote w:id="1">
    <w:p w:rsidR="00B319C8" w:rsidRDefault="00B319C8" w:rsidP="001B09F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6"/>
          <w:szCs w:val="16"/>
        </w:rPr>
        <w:t xml:space="preserve">Artículo 129. En la aplicación de la prueba de daño, el sujeto obligado deberá precisar las razones objetivas por las que la apertura de la información generaría una afectación, justificando que:  </w:t>
      </w:r>
    </w:p>
    <w:p w:rsidR="00B319C8" w:rsidRDefault="00B319C8" w:rsidP="001B09F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 La divulgación de la información representa un riesgo real, demostrable e identificable del perjuicio significativo al interés público o a la seguridad pública;  </w:t>
      </w:r>
    </w:p>
    <w:p w:rsidR="00B319C8" w:rsidRDefault="00B319C8" w:rsidP="001B09FA">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II. El riesgo de perjuicio que supondría la divulgación supera el interés público general de que se difunda; y  </w:t>
      </w:r>
    </w:p>
    <w:p w:rsidR="00B319C8" w:rsidRDefault="00B319C8" w:rsidP="001B09F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color w:val="000000"/>
          <w:sz w:val="16"/>
          <w:szCs w:val="16"/>
        </w:rPr>
        <w:t xml:space="preserve"> Ley de Transparencia y Acceso a la Información Pública del Estado de México y Municipios.</w:t>
      </w:r>
    </w:p>
  </w:footnote>
  <w:footnote w:id="2">
    <w:p w:rsidR="00B319C8" w:rsidRDefault="00B319C8" w:rsidP="002578B2">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9C8" w:rsidRDefault="00B319C8">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-1080130</wp:posOffset>
          </wp:positionH>
          <wp:positionV relativeFrom="paragraph">
            <wp:posOffset>-396397</wp:posOffset>
          </wp:positionV>
          <wp:extent cx="7809865" cy="10165715"/>
          <wp:effectExtent l="0" t="0" r="0" b="0"/>
          <wp:wrapNone/>
          <wp:docPr id="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B319C8">
      <w:tc>
        <w:tcPr>
          <w:tcW w:w="2489" w:type="dxa"/>
          <w:shd w:val="clear" w:color="auto" w:fill="auto"/>
        </w:tcPr>
        <w:p w:rsidR="00B319C8" w:rsidRDefault="00B319C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B319C8" w:rsidRDefault="00B319C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12969/INFOEM/IP/RR/2022</w:t>
          </w:r>
        </w:p>
      </w:tc>
    </w:tr>
    <w:tr w:rsidR="00B319C8">
      <w:trPr>
        <w:trHeight w:val="228"/>
      </w:trPr>
      <w:tc>
        <w:tcPr>
          <w:tcW w:w="2489" w:type="dxa"/>
          <w:shd w:val="clear" w:color="auto" w:fill="auto"/>
          <w:vAlign w:val="center"/>
        </w:tcPr>
        <w:p w:rsidR="00B319C8" w:rsidRDefault="00B319C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B319C8" w:rsidRDefault="00B319C8">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Ayuntamiento de Villa de Allende</w:t>
          </w:r>
        </w:p>
      </w:tc>
    </w:tr>
    <w:tr w:rsidR="00B319C8">
      <w:tc>
        <w:tcPr>
          <w:tcW w:w="2489" w:type="dxa"/>
          <w:shd w:val="clear" w:color="auto" w:fill="auto"/>
          <w:vAlign w:val="center"/>
        </w:tcPr>
        <w:p w:rsidR="00B319C8" w:rsidRDefault="00B319C8">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B319C8" w:rsidRDefault="00B319C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319C8" w:rsidRDefault="00B319C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9C8" w:rsidRDefault="00B319C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953" w:type="dxa"/>
      <w:tblInd w:w="3261" w:type="dxa"/>
      <w:tblLayout w:type="fixed"/>
      <w:tblLook w:val="0400" w:firstRow="0" w:lastRow="0" w:firstColumn="0" w:lastColumn="0" w:noHBand="0" w:noVBand="1"/>
    </w:tblPr>
    <w:tblGrid>
      <w:gridCol w:w="2551"/>
      <w:gridCol w:w="3402"/>
    </w:tblGrid>
    <w:tr w:rsidR="00B319C8">
      <w:tc>
        <w:tcPr>
          <w:tcW w:w="2551" w:type="dxa"/>
          <w:shd w:val="clear" w:color="auto" w:fill="auto"/>
          <w:vAlign w:val="center"/>
        </w:tcPr>
        <w:p w:rsidR="00B319C8" w:rsidRDefault="00B319C8">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B319C8" w:rsidRDefault="00B319C8">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12969/INFOEM/IP/RR/2022</w:t>
          </w:r>
        </w:p>
      </w:tc>
    </w:tr>
    <w:tr w:rsidR="00B319C8">
      <w:trPr>
        <w:trHeight w:val="130"/>
      </w:trPr>
      <w:tc>
        <w:tcPr>
          <w:tcW w:w="2551" w:type="dxa"/>
          <w:shd w:val="clear" w:color="auto" w:fill="auto"/>
          <w:vAlign w:val="center"/>
        </w:tcPr>
        <w:p w:rsidR="00B319C8" w:rsidRDefault="00B319C8">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B319C8" w:rsidRDefault="00B319C8">
          <w:pPr>
            <w:ind w:left="-45"/>
            <w:jc w:val="both"/>
            <w:rPr>
              <w:rFonts w:ascii="Palatino Linotype" w:eastAsia="Palatino Linotype" w:hAnsi="Palatino Linotype" w:cs="Palatino Linotype"/>
              <w:b/>
            </w:rPr>
          </w:pPr>
        </w:p>
      </w:tc>
    </w:tr>
    <w:tr w:rsidR="00B319C8">
      <w:trPr>
        <w:trHeight w:val="228"/>
      </w:trPr>
      <w:tc>
        <w:tcPr>
          <w:tcW w:w="2551" w:type="dxa"/>
          <w:shd w:val="clear" w:color="auto" w:fill="auto"/>
          <w:vAlign w:val="center"/>
        </w:tcPr>
        <w:p w:rsidR="00B319C8" w:rsidRDefault="00B319C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B319C8" w:rsidRDefault="00B319C8">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Ayuntamiento de Villa de Allende</w:t>
          </w:r>
        </w:p>
      </w:tc>
    </w:tr>
    <w:tr w:rsidR="00B319C8">
      <w:tc>
        <w:tcPr>
          <w:tcW w:w="2551" w:type="dxa"/>
          <w:shd w:val="clear" w:color="auto" w:fill="auto"/>
          <w:vAlign w:val="center"/>
        </w:tcPr>
        <w:p w:rsidR="00B319C8" w:rsidRDefault="00B319C8">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B319C8" w:rsidRDefault="00B319C8">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319C8" w:rsidRDefault="00B319C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-1175380</wp:posOffset>
          </wp:positionH>
          <wp:positionV relativeFrom="paragraph">
            <wp:posOffset>-1325240</wp:posOffset>
          </wp:positionV>
          <wp:extent cx="7809865" cy="10165715"/>
          <wp:effectExtent l="0" t="0" r="0" b="0"/>
          <wp:wrapNone/>
          <wp:docPr id="3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9C8" w:rsidRDefault="00B319C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B319C8" w:rsidRDefault="00B319C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437BC"/>
    <w:multiLevelType w:val="multilevel"/>
    <w:tmpl w:val="BEE84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70D03D7"/>
    <w:multiLevelType w:val="multilevel"/>
    <w:tmpl w:val="0C1CF8E6"/>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25C77CE2"/>
    <w:multiLevelType w:val="multilevel"/>
    <w:tmpl w:val="7FBA9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1C08F3"/>
    <w:multiLevelType w:val="multilevel"/>
    <w:tmpl w:val="E3C454E0"/>
    <w:lvl w:ilvl="0">
      <w:start w:val="1"/>
      <w:numFmt w:val="bullet"/>
      <w:pStyle w:val="Listaconvietas2"/>
      <w:lvlText w:val="●"/>
      <w:lvlJc w:val="left"/>
      <w:pPr>
        <w:ind w:left="709" w:hanging="423"/>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nsid w:val="32F65246"/>
    <w:multiLevelType w:val="multilevel"/>
    <w:tmpl w:val="3564C33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E661DFA"/>
    <w:multiLevelType w:val="multilevel"/>
    <w:tmpl w:val="81D6576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nsid w:val="430D1BBD"/>
    <w:multiLevelType w:val="multilevel"/>
    <w:tmpl w:val="A816C068"/>
    <w:lvl w:ilvl="0">
      <w:start w:val="1"/>
      <w:numFmt w:val="upperRoman"/>
      <w:pStyle w:val="Listaconvietas"/>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nsid w:val="726D7D4F"/>
    <w:multiLevelType w:val="multilevel"/>
    <w:tmpl w:val="4C9A25E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1"/>
  </w:num>
  <w:num w:numId="3">
    <w:abstractNumId w:val="2"/>
  </w:num>
  <w:num w:numId="4">
    <w:abstractNumId w:val="5"/>
  </w:num>
  <w:num w:numId="5">
    <w:abstractNumId w:val="0"/>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A1"/>
    <w:rsid w:val="00027AB2"/>
    <w:rsid w:val="00045758"/>
    <w:rsid w:val="0016587C"/>
    <w:rsid w:val="00182EED"/>
    <w:rsid w:val="001B09FA"/>
    <w:rsid w:val="002578B2"/>
    <w:rsid w:val="00397601"/>
    <w:rsid w:val="00401BF5"/>
    <w:rsid w:val="00424930"/>
    <w:rsid w:val="004277FD"/>
    <w:rsid w:val="00444A38"/>
    <w:rsid w:val="0045215E"/>
    <w:rsid w:val="00462968"/>
    <w:rsid w:val="00497698"/>
    <w:rsid w:val="004A5B0A"/>
    <w:rsid w:val="00543DF0"/>
    <w:rsid w:val="0060612D"/>
    <w:rsid w:val="00756CE2"/>
    <w:rsid w:val="007775A4"/>
    <w:rsid w:val="00836EA1"/>
    <w:rsid w:val="008A2273"/>
    <w:rsid w:val="009215D1"/>
    <w:rsid w:val="00930865"/>
    <w:rsid w:val="009519BA"/>
    <w:rsid w:val="00985CB1"/>
    <w:rsid w:val="009A2F05"/>
    <w:rsid w:val="009B6DDC"/>
    <w:rsid w:val="009C04D9"/>
    <w:rsid w:val="009C0FBF"/>
    <w:rsid w:val="00AB69AA"/>
    <w:rsid w:val="00B319C8"/>
    <w:rsid w:val="00B553E1"/>
    <w:rsid w:val="00B55C82"/>
    <w:rsid w:val="00B67F75"/>
    <w:rsid w:val="00B73239"/>
    <w:rsid w:val="00B93347"/>
    <w:rsid w:val="00BB63FE"/>
    <w:rsid w:val="00BF51C1"/>
    <w:rsid w:val="00C97B75"/>
    <w:rsid w:val="00CB5E08"/>
    <w:rsid w:val="00CF5F63"/>
    <w:rsid w:val="00D17D08"/>
    <w:rsid w:val="00D6770E"/>
    <w:rsid w:val="00D95090"/>
    <w:rsid w:val="00DE5E29"/>
    <w:rsid w:val="00E815C7"/>
    <w:rsid w:val="00EC0D3F"/>
    <w:rsid w:val="00EC339E"/>
    <w:rsid w:val="00F101F5"/>
    <w:rsid w:val="00F2781A"/>
    <w:rsid w:val="00F55E75"/>
    <w:rsid w:val="00F8318F"/>
    <w:rsid w:val="00FA738D"/>
    <w:rsid w:val="00FE6669"/>
    <w:rsid w:val="00FF65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68B53-F865-4EBE-A1B5-7196CC1F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CC5"/>
  </w:style>
  <w:style w:type="paragraph" w:styleId="Ttulo1">
    <w:name w:val="heading 1"/>
    <w:basedOn w:val="Normal"/>
    <w:next w:val="Normal"/>
    <w:link w:val="Ttulo1Car"/>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B0963"/>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1"/>
    <w:unhideWhenUsed/>
    <w:qFormat/>
    <w:rsid w:val="00603D72"/>
    <w:pPr>
      <w:spacing w:after="120"/>
    </w:pPr>
  </w:style>
  <w:style w:type="character" w:customStyle="1" w:styleId="TextoindependienteCar">
    <w:name w:val="Texto independiente Car"/>
    <w:basedOn w:val="Fuentedeprrafopredeter"/>
    <w:link w:val="Textoindependiente"/>
    <w:uiPriority w:val="1"/>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3"/>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3"/>
    <w:tblPr>
      <w:tblStyleRowBandSize w:val="1"/>
      <w:tblStyleColBandSize w:val="1"/>
      <w:tblCellMar>
        <w:top w:w="0" w:type="dxa"/>
        <w:left w:w="115" w:type="dxa"/>
        <w:bottom w:w="0" w:type="dxa"/>
        <w:right w:w="115" w:type="dxa"/>
      </w:tblCellMar>
    </w:tblPr>
  </w:style>
  <w:style w:type="table" w:customStyle="1" w:styleId="1">
    <w:name w:val="1"/>
    <w:basedOn w:val="TableNormal3"/>
    <w:tblPr>
      <w:tblStyleRowBandSize w:val="1"/>
      <w:tblStyleColBandSize w:val="1"/>
      <w:tblCellMar>
        <w:top w:w="0" w:type="dxa"/>
        <w:left w:w="115" w:type="dxa"/>
        <w:bottom w:w="0" w:type="dxa"/>
        <w:right w:w="115"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41362B"/>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75621"/>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774A00"/>
    <w:pPr>
      <w:numPr>
        <w:numId w:val="6"/>
      </w:numPr>
      <w:contextualSpacing/>
    </w:pPr>
    <w:rPr>
      <w:lang w:val="es-MX"/>
    </w:r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b">
    <w:basedOn w:val="TableNormal1"/>
    <w:rPr>
      <w:sz w:val="22"/>
      <w:szCs w:val="22"/>
    </w:rPr>
    <w:tblPr>
      <w:tblStyleRowBandSize w:val="1"/>
      <w:tblStyleColBandSize w:val="1"/>
      <w:tblCellMar>
        <w:top w:w="0" w:type="dxa"/>
        <w:left w:w="115" w:type="dxa"/>
        <w:bottom w:w="0" w:type="dxa"/>
        <w:right w:w="115" w:type="dxa"/>
      </w:tblCellMar>
    </w:tblPr>
  </w:style>
  <w:style w:type="character" w:customStyle="1" w:styleId="eop">
    <w:name w:val="eop"/>
    <w:basedOn w:val="Fuentedeprrafopredeter"/>
    <w:rsid w:val="00F84CC5"/>
  </w:style>
  <w:style w:type="character" w:customStyle="1" w:styleId="titulorubro">
    <w:name w:val="titulorubro"/>
    <w:basedOn w:val="Fuentedeprrafopredeter"/>
    <w:rsid w:val="00F84CC5"/>
  </w:style>
  <w:style w:type="paragraph" w:customStyle="1" w:styleId="Pa1">
    <w:name w:val="Pa1"/>
    <w:basedOn w:val="Normal"/>
    <w:next w:val="Normal"/>
    <w:uiPriority w:val="99"/>
    <w:rsid w:val="00F84CC5"/>
    <w:pPr>
      <w:autoSpaceDE w:val="0"/>
      <w:autoSpaceDN w:val="0"/>
      <w:adjustRightInd w:val="0"/>
      <w:spacing w:line="191" w:lineRule="atLeast"/>
    </w:pPr>
    <w:rPr>
      <w:rFonts w:ascii="Helvetica" w:eastAsia="Calibri" w:hAnsi="Helvetica" w:cs="Helvetica"/>
      <w:lang w:val="es-MX" w:eastAsia="en-US"/>
    </w:rPr>
  </w:style>
  <w:style w:type="paragraph" w:customStyle="1" w:styleId="Pa3">
    <w:name w:val="Pa3"/>
    <w:basedOn w:val="Normal"/>
    <w:next w:val="Normal"/>
    <w:uiPriority w:val="99"/>
    <w:rsid w:val="00F84CC5"/>
    <w:pPr>
      <w:autoSpaceDE w:val="0"/>
      <w:autoSpaceDN w:val="0"/>
      <w:adjustRightInd w:val="0"/>
      <w:spacing w:line="191" w:lineRule="atLeast"/>
    </w:pPr>
    <w:rPr>
      <w:rFonts w:ascii="Helvetica" w:eastAsia="Calibri" w:hAnsi="Helvetica" w:cs="Helvetica"/>
      <w:lang w:val="es-MX" w:eastAsia="en-US"/>
    </w:rPr>
  </w:style>
  <w:style w:type="paragraph" w:customStyle="1" w:styleId="Citas">
    <w:name w:val="Citas"/>
    <w:basedOn w:val="Normal"/>
    <w:qFormat/>
    <w:rsid w:val="00F84CC5"/>
    <w:pPr>
      <w:spacing w:before="240" w:after="160" w:line="360" w:lineRule="auto"/>
      <w:ind w:left="851" w:right="851"/>
      <w:jc w:val="both"/>
    </w:pPr>
    <w:rPr>
      <w:rFonts w:ascii="Palatino Linotype" w:eastAsia="Calibri" w:hAnsi="Palatino Linotype" w:cs="Arial"/>
      <w:i/>
      <w:sz w:val="22"/>
      <w:szCs w:val="22"/>
      <w:lang w:val="es-MX" w:eastAsia="en-US"/>
    </w:rPr>
  </w:style>
  <w:style w:type="paragraph" w:styleId="Listaconvietas">
    <w:name w:val="List Bullet"/>
    <w:basedOn w:val="Normal"/>
    <w:uiPriority w:val="99"/>
    <w:unhideWhenUsed/>
    <w:rsid w:val="00F84CC5"/>
    <w:pPr>
      <w:numPr>
        <w:numId w:val="8"/>
      </w:numPr>
      <w:contextualSpacing/>
    </w:pPr>
    <w:rPr>
      <w:lang w:val="es-MX"/>
    </w:rPr>
  </w:style>
  <w:style w:type="table" w:customStyle="1" w:styleId="ac">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9519BA"/>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2">
    <w:name w:val="Tabla de lista 1 clara - Énfasis 112"/>
    <w:basedOn w:val="Tablanormal"/>
    <w:uiPriority w:val="46"/>
    <w:rsid w:val="002578B2"/>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of.gob.mx/nota_detalle.php?codigo=5587157&amp;fecha=21/02/2020"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EhYKes2/pamqjbtLNcu8kmLkZg==">AMUW2mWRu89BBxSIzaaQYAc/W9R6jHPElFjdwvd0KX5dI7MqPEIuO6X9ad2wJ+A7Kq/bwxdPKKcQL6M30unt3vw6GA5/ne8lSL5SzKzqkpJv/D4pOEAczh9mPsOKmKwnIq3iuKReO6Ic2jhWD7Zu3yhiBmzT+ZMbvFFVUX/CHy7mvHZjXyzMPKJx5Rek6s+tO5aDzxMFpP0O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20640</Words>
  <Characters>113524</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2023-02-17T16:02:00Z</cp:lastPrinted>
  <dcterms:created xsi:type="dcterms:W3CDTF">2023-02-23T17:17:00Z</dcterms:created>
  <dcterms:modified xsi:type="dcterms:W3CDTF">2023-02-23T17:17:00Z</dcterms:modified>
</cp:coreProperties>
</file>