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3E95CF2D" w:rsidR="00662C69" w:rsidRPr="00B6547E" w:rsidRDefault="00665D5C"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B6547E">
        <w:rPr>
          <w:rFonts w:ascii="Palatino Linotype" w:hAnsi="Palatino Linotype"/>
          <w:color w:val="000000" w:themeColor="text1"/>
        </w:rPr>
        <w:t>R</w:t>
      </w:r>
      <w:r w:rsidR="00662C69" w:rsidRPr="00B6547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6547E">
        <w:rPr>
          <w:rFonts w:ascii="Palatino Linotype" w:hAnsi="Palatino Linotype"/>
          <w:color w:val="000000" w:themeColor="text1"/>
        </w:rPr>
        <w:t>icipios, con</w:t>
      </w:r>
      <w:r w:rsidR="00662C69" w:rsidRPr="00B6547E">
        <w:rPr>
          <w:rFonts w:ascii="Palatino Linotype" w:hAnsi="Palatino Linotype"/>
          <w:color w:val="000000" w:themeColor="text1"/>
        </w:rPr>
        <w:t xml:space="preserve"> </w:t>
      </w:r>
      <w:r w:rsidR="00485DB6" w:rsidRPr="00B6547E">
        <w:rPr>
          <w:rFonts w:ascii="Palatino Linotype" w:hAnsi="Palatino Linotype"/>
          <w:color w:val="000000" w:themeColor="text1"/>
        </w:rPr>
        <w:t xml:space="preserve">domicilio </w:t>
      </w:r>
      <w:r w:rsidR="00662C69" w:rsidRPr="00B6547E">
        <w:rPr>
          <w:rFonts w:ascii="Palatino Linotype" w:hAnsi="Palatino Linotype"/>
          <w:color w:val="000000" w:themeColor="text1"/>
        </w:rPr>
        <w:t xml:space="preserve">en Metepec, Estado de México; de </w:t>
      </w:r>
      <w:r w:rsidR="0095630E" w:rsidRPr="00B6547E">
        <w:rPr>
          <w:rFonts w:ascii="Palatino Linotype" w:hAnsi="Palatino Linotype"/>
          <w:color w:val="000000" w:themeColor="text1"/>
        </w:rPr>
        <w:t xml:space="preserve">trece </w:t>
      </w:r>
      <w:r w:rsidR="00530D0C" w:rsidRPr="00B6547E">
        <w:rPr>
          <w:rFonts w:ascii="Palatino Linotype" w:hAnsi="Palatino Linotype"/>
          <w:color w:val="000000" w:themeColor="text1"/>
        </w:rPr>
        <w:t xml:space="preserve">(13) </w:t>
      </w:r>
      <w:r w:rsidR="0095630E" w:rsidRPr="00B6547E">
        <w:rPr>
          <w:rFonts w:ascii="Palatino Linotype" w:hAnsi="Palatino Linotype"/>
          <w:color w:val="000000" w:themeColor="text1"/>
        </w:rPr>
        <w:t>de diciembre</w:t>
      </w:r>
      <w:r w:rsidR="002D1AA7" w:rsidRPr="00B6547E">
        <w:rPr>
          <w:rFonts w:ascii="Palatino Linotype" w:hAnsi="Palatino Linotype"/>
          <w:color w:val="000000" w:themeColor="text1"/>
        </w:rPr>
        <w:t xml:space="preserve"> de dos mil veinti</w:t>
      </w:r>
      <w:r w:rsidR="00743BB5" w:rsidRPr="00B6547E">
        <w:rPr>
          <w:rFonts w:ascii="Palatino Linotype" w:hAnsi="Palatino Linotype"/>
          <w:color w:val="000000" w:themeColor="text1"/>
        </w:rPr>
        <w:t>trés.</w:t>
      </w:r>
    </w:p>
    <w:p w14:paraId="1181C59D" w14:textId="77777777" w:rsidR="00B31E90" w:rsidRPr="00B6547E" w:rsidRDefault="00B31E90" w:rsidP="00B31E90">
      <w:pPr>
        <w:tabs>
          <w:tab w:val="left" w:pos="3465"/>
        </w:tabs>
        <w:spacing w:line="360" w:lineRule="auto"/>
        <w:jc w:val="both"/>
        <w:rPr>
          <w:rFonts w:ascii="Palatino Linotype" w:hAnsi="Palatino Linotype"/>
          <w:color w:val="000000" w:themeColor="text1"/>
        </w:rPr>
      </w:pPr>
    </w:p>
    <w:p w14:paraId="04F87235" w14:textId="0AF8CF97" w:rsidR="005F0007" w:rsidRPr="00B6547E" w:rsidRDefault="00662C69" w:rsidP="00B31E90">
      <w:pPr>
        <w:spacing w:line="360" w:lineRule="auto"/>
        <w:jc w:val="both"/>
        <w:rPr>
          <w:rFonts w:ascii="Palatino Linotype" w:eastAsia="Times New Roman" w:hAnsi="Palatino Linotype" w:cs="Times New Roman"/>
          <w:color w:val="000000" w:themeColor="text1"/>
        </w:rPr>
      </w:pPr>
      <w:r w:rsidRPr="00B6547E">
        <w:rPr>
          <w:rFonts w:ascii="Palatino Linotype" w:hAnsi="Palatino Linotype"/>
          <w:b/>
          <w:color w:val="000000" w:themeColor="text1"/>
        </w:rPr>
        <w:t>VISTO</w:t>
      </w:r>
      <w:r w:rsidRPr="00B6547E">
        <w:rPr>
          <w:rFonts w:ascii="Palatino Linotype" w:hAnsi="Palatino Linotype"/>
          <w:color w:val="000000" w:themeColor="text1"/>
        </w:rPr>
        <w:t xml:space="preserve"> el expediente electrónico for</w:t>
      </w:r>
      <w:r w:rsidR="00D37494" w:rsidRPr="00B6547E">
        <w:rPr>
          <w:rFonts w:ascii="Palatino Linotype" w:hAnsi="Palatino Linotype"/>
          <w:color w:val="000000" w:themeColor="text1"/>
        </w:rPr>
        <w:t>mado con motivo del</w:t>
      </w:r>
      <w:r w:rsidRPr="00B6547E">
        <w:rPr>
          <w:rFonts w:ascii="Palatino Linotype" w:hAnsi="Palatino Linotype"/>
          <w:color w:val="000000" w:themeColor="text1"/>
        </w:rPr>
        <w:t xml:space="preserve"> recurso de revisión </w:t>
      </w:r>
      <w:r w:rsidR="000021A0" w:rsidRPr="00B6547E">
        <w:rPr>
          <w:rFonts w:ascii="Palatino Linotype" w:hAnsi="Palatino Linotype"/>
          <w:b/>
          <w:bCs/>
        </w:rPr>
        <w:t>0</w:t>
      </w:r>
      <w:r w:rsidR="004B2723" w:rsidRPr="00B6547E">
        <w:rPr>
          <w:rFonts w:ascii="Palatino Linotype" w:hAnsi="Palatino Linotype"/>
          <w:b/>
          <w:bCs/>
        </w:rPr>
        <w:t>5053</w:t>
      </w:r>
      <w:r w:rsidR="000021A0" w:rsidRPr="00B6547E">
        <w:rPr>
          <w:rFonts w:ascii="Palatino Linotype" w:hAnsi="Palatino Linotype"/>
          <w:b/>
          <w:bCs/>
        </w:rPr>
        <w:t>/INFOEM/IP/RR/202</w:t>
      </w:r>
      <w:r w:rsidR="004B2723" w:rsidRPr="00B6547E">
        <w:rPr>
          <w:rFonts w:ascii="Palatino Linotype" w:hAnsi="Palatino Linotype"/>
          <w:b/>
          <w:bCs/>
        </w:rPr>
        <w:t>2</w:t>
      </w:r>
      <w:r w:rsidR="005F1362" w:rsidRPr="00B6547E">
        <w:rPr>
          <w:rFonts w:ascii="Palatino Linotype" w:eastAsia="Times New Roman" w:hAnsi="Palatino Linotype" w:cs="Arial"/>
          <w:b/>
          <w:bCs/>
          <w:color w:val="000000" w:themeColor="text1"/>
        </w:rPr>
        <w:t>,</w:t>
      </w:r>
      <w:r w:rsidR="005F1362" w:rsidRPr="00B6547E">
        <w:rPr>
          <w:rFonts w:ascii="Palatino Linotype" w:eastAsia="Times New Roman" w:hAnsi="Palatino Linotype" w:cs="Arial"/>
          <w:color w:val="000000" w:themeColor="text1"/>
        </w:rPr>
        <w:t xml:space="preserve"> </w:t>
      </w:r>
      <w:r w:rsidR="00CF1E4C" w:rsidRPr="00B6547E">
        <w:rPr>
          <w:rFonts w:ascii="Palatino Linotype" w:eastAsia="Times New Roman" w:hAnsi="Palatino Linotype" w:cs="Times New Roman"/>
          <w:color w:val="000000" w:themeColor="text1"/>
        </w:rPr>
        <w:t xml:space="preserve">promovido por un </w:t>
      </w:r>
      <w:r w:rsidR="006B31E7" w:rsidRPr="00B6547E">
        <w:rPr>
          <w:rFonts w:ascii="Palatino Linotype" w:eastAsia="Times New Roman" w:hAnsi="Palatino Linotype" w:cs="Times New Roman"/>
          <w:b/>
          <w:bCs/>
          <w:color w:val="000000" w:themeColor="text1"/>
        </w:rPr>
        <w:t>RECURRENTE</w:t>
      </w:r>
      <w:r w:rsidR="00E647FF" w:rsidRPr="00B6547E">
        <w:rPr>
          <w:rFonts w:ascii="Palatino Linotype" w:eastAsia="Times New Roman" w:hAnsi="Palatino Linotype" w:cs="Arial"/>
          <w:color w:val="000000" w:themeColor="text1"/>
        </w:rPr>
        <w:t>;</w:t>
      </w:r>
      <w:r w:rsidR="005F1362" w:rsidRPr="00B6547E">
        <w:rPr>
          <w:rFonts w:ascii="Palatino Linotype" w:eastAsia="Times New Roman" w:hAnsi="Palatino Linotype" w:cs="Arial"/>
          <w:color w:val="000000" w:themeColor="text1"/>
        </w:rPr>
        <w:t xml:space="preserve"> en contra de la respuesta de</w:t>
      </w:r>
      <w:r w:rsidR="00CF1E4C" w:rsidRPr="00B6547E">
        <w:rPr>
          <w:rFonts w:ascii="Palatino Linotype" w:eastAsia="Times New Roman" w:hAnsi="Palatino Linotype" w:cs="Arial"/>
          <w:color w:val="000000" w:themeColor="text1"/>
        </w:rPr>
        <w:t xml:space="preserve"> </w:t>
      </w:r>
      <w:r w:rsidR="009450F4" w:rsidRPr="00B6547E">
        <w:rPr>
          <w:rFonts w:ascii="Palatino Linotype" w:eastAsia="Times New Roman" w:hAnsi="Palatino Linotype" w:cs="Arial"/>
          <w:color w:val="000000" w:themeColor="text1"/>
        </w:rPr>
        <w:t>l</w:t>
      </w:r>
      <w:r w:rsidR="00CF1E4C" w:rsidRPr="00B6547E">
        <w:rPr>
          <w:rFonts w:ascii="Palatino Linotype" w:eastAsia="Times New Roman" w:hAnsi="Palatino Linotype" w:cs="Arial"/>
          <w:color w:val="000000" w:themeColor="text1"/>
        </w:rPr>
        <w:t>a</w:t>
      </w:r>
      <w:r w:rsidR="0064767C" w:rsidRPr="00B6547E">
        <w:rPr>
          <w:rFonts w:ascii="Palatino Linotype" w:eastAsia="Times New Roman" w:hAnsi="Palatino Linotype" w:cs="Arial"/>
          <w:color w:val="000000" w:themeColor="text1"/>
        </w:rPr>
        <w:t xml:space="preserve"> </w:t>
      </w:r>
      <w:r w:rsidR="004B2723" w:rsidRPr="00B6547E">
        <w:rPr>
          <w:rFonts w:ascii="Palatino Linotype" w:eastAsia="Times New Roman" w:hAnsi="Palatino Linotype" w:cs="Arial"/>
          <w:b/>
          <w:color w:val="000000" w:themeColor="text1"/>
        </w:rPr>
        <w:t>Secretaría de Movilidad</w:t>
      </w:r>
      <w:r w:rsidR="009572EE" w:rsidRPr="00B6547E">
        <w:rPr>
          <w:rFonts w:ascii="Palatino Linotype" w:eastAsia="Calibri" w:hAnsi="Palatino Linotype" w:cs="Arial"/>
          <w:b/>
          <w:bCs/>
          <w:color w:val="000000" w:themeColor="text1"/>
          <w:lang w:val="es-ES"/>
        </w:rPr>
        <w:t>,</w:t>
      </w:r>
      <w:r w:rsidR="005F1362" w:rsidRPr="00B6547E">
        <w:rPr>
          <w:rFonts w:ascii="Palatino Linotype" w:eastAsia="Calibri" w:hAnsi="Palatino Linotype" w:cs="Arial"/>
          <w:b/>
          <w:bCs/>
          <w:color w:val="000000" w:themeColor="text1"/>
          <w:lang w:val="es-ES"/>
        </w:rPr>
        <w:t xml:space="preserve"> </w:t>
      </w:r>
      <w:r w:rsidR="005F1362" w:rsidRPr="00B6547E">
        <w:rPr>
          <w:rFonts w:ascii="Palatino Linotype" w:eastAsia="Times New Roman" w:hAnsi="Palatino Linotype" w:cs="Times New Roman"/>
          <w:color w:val="000000" w:themeColor="text1"/>
        </w:rPr>
        <w:t>en lo sucesivo el</w:t>
      </w:r>
      <w:r w:rsidR="005F1362" w:rsidRPr="00B6547E">
        <w:rPr>
          <w:rFonts w:ascii="Palatino Linotype" w:eastAsia="Times New Roman" w:hAnsi="Palatino Linotype" w:cs="Times New Roman"/>
          <w:b/>
          <w:color w:val="000000" w:themeColor="text1"/>
        </w:rPr>
        <w:t xml:space="preserve"> SUJETO OBLIGADO, </w:t>
      </w:r>
      <w:r w:rsidR="005F1362" w:rsidRPr="00B6547E">
        <w:rPr>
          <w:rFonts w:ascii="Palatino Linotype" w:eastAsia="Times New Roman" w:hAnsi="Palatino Linotype" w:cs="Times New Roman"/>
          <w:color w:val="000000" w:themeColor="text1"/>
        </w:rPr>
        <w:t>se procede a dictar la presente resolución, con base en los siguientes:</w:t>
      </w:r>
    </w:p>
    <w:p w14:paraId="01930C6D" w14:textId="77777777" w:rsidR="00741959" w:rsidRPr="00B6547E" w:rsidRDefault="00741959" w:rsidP="00B31E90">
      <w:pPr>
        <w:spacing w:line="360" w:lineRule="auto"/>
        <w:jc w:val="both"/>
        <w:rPr>
          <w:rFonts w:ascii="Palatino Linotype" w:eastAsia="Times New Roman" w:hAnsi="Palatino Linotype" w:cs="Times New Roman"/>
          <w:color w:val="000000" w:themeColor="text1"/>
        </w:rPr>
      </w:pPr>
    </w:p>
    <w:p w14:paraId="769E1410" w14:textId="54C465E2" w:rsidR="00587366" w:rsidRPr="00B6547E"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B6547E">
        <w:rPr>
          <w:b/>
          <w:color w:val="000000" w:themeColor="text1"/>
        </w:rPr>
        <w:t>A</w:t>
      </w:r>
      <w:r w:rsidR="00C967DD" w:rsidRPr="00B6547E">
        <w:rPr>
          <w:b/>
          <w:color w:val="000000" w:themeColor="text1"/>
        </w:rPr>
        <w:t xml:space="preserve"> </w:t>
      </w:r>
      <w:r w:rsidRPr="00B6547E">
        <w:rPr>
          <w:b/>
          <w:color w:val="000000" w:themeColor="text1"/>
        </w:rPr>
        <w:t>N</w:t>
      </w:r>
      <w:r w:rsidR="00C967DD" w:rsidRPr="00B6547E">
        <w:rPr>
          <w:b/>
          <w:color w:val="000000" w:themeColor="text1"/>
        </w:rPr>
        <w:t xml:space="preserve"> </w:t>
      </w:r>
      <w:r w:rsidRPr="00B6547E">
        <w:rPr>
          <w:b/>
          <w:color w:val="000000" w:themeColor="text1"/>
        </w:rPr>
        <w:t>T</w:t>
      </w:r>
      <w:r w:rsidR="00C967DD" w:rsidRPr="00B6547E">
        <w:rPr>
          <w:b/>
          <w:color w:val="000000" w:themeColor="text1"/>
        </w:rPr>
        <w:t xml:space="preserve"> </w:t>
      </w:r>
      <w:r w:rsidRPr="00B6547E">
        <w:rPr>
          <w:b/>
          <w:color w:val="000000" w:themeColor="text1"/>
        </w:rPr>
        <w:t>E</w:t>
      </w:r>
      <w:r w:rsidR="00C967DD" w:rsidRPr="00B6547E">
        <w:rPr>
          <w:b/>
          <w:color w:val="000000" w:themeColor="text1"/>
        </w:rPr>
        <w:t xml:space="preserve"> </w:t>
      </w:r>
      <w:r w:rsidRPr="00B6547E">
        <w:rPr>
          <w:b/>
          <w:color w:val="000000" w:themeColor="text1"/>
        </w:rPr>
        <w:t>C</w:t>
      </w:r>
      <w:r w:rsidR="00C967DD" w:rsidRPr="00B6547E">
        <w:rPr>
          <w:b/>
          <w:color w:val="000000" w:themeColor="text1"/>
        </w:rPr>
        <w:t xml:space="preserve"> </w:t>
      </w:r>
      <w:r w:rsidRPr="00B6547E">
        <w:rPr>
          <w:b/>
          <w:color w:val="000000" w:themeColor="text1"/>
        </w:rPr>
        <w:t>E</w:t>
      </w:r>
      <w:r w:rsidR="00C967DD" w:rsidRPr="00B6547E">
        <w:rPr>
          <w:b/>
          <w:color w:val="000000" w:themeColor="text1"/>
        </w:rPr>
        <w:t xml:space="preserve"> </w:t>
      </w:r>
      <w:r w:rsidRPr="00B6547E">
        <w:rPr>
          <w:b/>
          <w:color w:val="000000" w:themeColor="text1"/>
        </w:rPr>
        <w:t>D</w:t>
      </w:r>
      <w:r w:rsidR="00C967DD" w:rsidRPr="00B6547E">
        <w:rPr>
          <w:b/>
          <w:color w:val="000000" w:themeColor="text1"/>
        </w:rPr>
        <w:t xml:space="preserve"> </w:t>
      </w:r>
      <w:r w:rsidRPr="00B6547E">
        <w:rPr>
          <w:b/>
          <w:color w:val="000000" w:themeColor="text1"/>
        </w:rPr>
        <w:t>E</w:t>
      </w:r>
      <w:r w:rsidR="00C967DD" w:rsidRPr="00B6547E">
        <w:rPr>
          <w:b/>
          <w:color w:val="000000" w:themeColor="text1"/>
        </w:rPr>
        <w:t xml:space="preserve"> </w:t>
      </w:r>
      <w:r w:rsidRPr="00B6547E">
        <w:rPr>
          <w:b/>
          <w:color w:val="000000" w:themeColor="text1"/>
        </w:rPr>
        <w:t>N</w:t>
      </w:r>
      <w:r w:rsidR="00C967DD" w:rsidRPr="00B6547E">
        <w:rPr>
          <w:b/>
          <w:color w:val="000000" w:themeColor="text1"/>
        </w:rPr>
        <w:t xml:space="preserve"> </w:t>
      </w:r>
      <w:r w:rsidRPr="00B6547E">
        <w:rPr>
          <w:b/>
          <w:color w:val="000000" w:themeColor="text1"/>
        </w:rPr>
        <w:t>T</w:t>
      </w:r>
      <w:r w:rsidR="00C967DD" w:rsidRPr="00B6547E">
        <w:rPr>
          <w:b/>
          <w:color w:val="000000" w:themeColor="text1"/>
        </w:rPr>
        <w:t xml:space="preserve"> </w:t>
      </w:r>
      <w:r w:rsidRPr="00B6547E">
        <w:rPr>
          <w:b/>
          <w:color w:val="000000" w:themeColor="text1"/>
        </w:rPr>
        <w:t>E</w:t>
      </w:r>
      <w:r w:rsidR="00C967DD" w:rsidRPr="00B6547E">
        <w:rPr>
          <w:b/>
          <w:color w:val="000000" w:themeColor="text1"/>
        </w:rPr>
        <w:t xml:space="preserve"> </w:t>
      </w:r>
      <w:r w:rsidRPr="00B6547E">
        <w:rPr>
          <w:b/>
          <w:color w:val="000000" w:themeColor="text1"/>
        </w:rPr>
        <w:t>S</w:t>
      </w:r>
      <w:bookmarkEnd w:id="0"/>
      <w:bookmarkEnd w:id="1"/>
      <w:bookmarkEnd w:id="2"/>
    </w:p>
    <w:p w14:paraId="0D857A54" w14:textId="12015669" w:rsidR="005C2B1C" w:rsidRPr="00B6547E" w:rsidRDefault="00DF6738" w:rsidP="005C2B1C">
      <w:pPr>
        <w:rPr>
          <w:lang w:eastAsia="en-US"/>
        </w:rPr>
      </w:pPr>
      <w:r w:rsidRPr="00B6547E">
        <w:rPr>
          <w:lang w:eastAsia="en-US"/>
        </w:rPr>
        <w:t xml:space="preserve"> </w:t>
      </w:r>
    </w:p>
    <w:p w14:paraId="402A4C0A" w14:textId="2DA3F2C3" w:rsidR="00D9392E" w:rsidRPr="00B6547E"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6547E">
        <w:rPr>
          <w:rFonts w:ascii="Palatino Linotype" w:eastAsia="Calibri" w:hAnsi="Palatino Linotype" w:cs="Arial"/>
          <w:color w:val="000000" w:themeColor="text1"/>
          <w:lang w:val="es-ES"/>
        </w:rPr>
        <w:t>El</w:t>
      </w:r>
      <w:r w:rsidR="00D9392E" w:rsidRPr="00B6547E">
        <w:rPr>
          <w:rFonts w:ascii="Palatino Linotype" w:eastAsia="Calibri" w:hAnsi="Palatino Linotype" w:cs="Arial"/>
          <w:color w:val="000000" w:themeColor="text1"/>
          <w:lang w:val="es-ES"/>
        </w:rPr>
        <w:t xml:space="preserve"> </w:t>
      </w:r>
      <w:r w:rsidR="004B2723" w:rsidRPr="00B6547E">
        <w:rPr>
          <w:rFonts w:ascii="Palatino Linotype" w:eastAsia="Calibri" w:hAnsi="Palatino Linotype" w:cs="Arial"/>
          <w:color w:val="000000" w:themeColor="text1"/>
          <w:lang w:val="es-ES"/>
        </w:rPr>
        <w:t xml:space="preserve">tres de febrero de dos mil </w:t>
      </w:r>
      <w:proofErr w:type="spellStart"/>
      <w:r w:rsidR="004B2723" w:rsidRPr="00B6547E">
        <w:rPr>
          <w:rFonts w:ascii="Palatino Linotype" w:eastAsia="Calibri" w:hAnsi="Palatino Linotype" w:cs="Arial"/>
          <w:color w:val="000000" w:themeColor="text1"/>
          <w:lang w:val="es-ES"/>
        </w:rPr>
        <w:t>veintidos</w:t>
      </w:r>
      <w:proofErr w:type="spellEnd"/>
      <w:r w:rsidR="005F1362" w:rsidRPr="00B6547E">
        <w:rPr>
          <w:rFonts w:ascii="Palatino Linotype" w:eastAsia="Calibri" w:hAnsi="Palatino Linotype" w:cs="Arial"/>
          <w:color w:val="000000" w:themeColor="text1"/>
          <w:lang w:val="es-ES"/>
        </w:rPr>
        <w:t xml:space="preserve">, </w:t>
      </w:r>
      <w:r w:rsidR="005C2B1C" w:rsidRPr="00B6547E">
        <w:rPr>
          <w:rFonts w:ascii="Palatino Linotype" w:eastAsia="Calibri" w:hAnsi="Palatino Linotype" w:cs="Arial"/>
          <w:color w:val="000000" w:themeColor="text1"/>
          <w:lang w:val="es-ES"/>
        </w:rPr>
        <w:t>el</w:t>
      </w:r>
      <w:r w:rsidR="00743BB5" w:rsidRPr="00B6547E">
        <w:rPr>
          <w:rFonts w:ascii="Palatino Linotype" w:hAnsi="Palatino Linotype"/>
          <w:color w:val="000000" w:themeColor="text1"/>
        </w:rPr>
        <w:t xml:space="preserve"> </w:t>
      </w:r>
      <w:r w:rsidR="00743BB5" w:rsidRPr="00B6547E">
        <w:rPr>
          <w:rFonts w:ascii="Palatino Linotype" w:hAnsi="Palatino Linotype"/>
          <w:b/>
          <w:color w:val="000000" w:themeColor="text1"/>
        </w:rPr>
        <w:t>RECURRENTE</w:t>
      </w:r>
      <w:r w:rsidR="005F1362" w:rsidRPr="00B6547E">
        <w:rPr>
          <w:rFonts w:ascii="Palatino Linotype" w:hAnsi="Palatino Linotype"/>
          <w:color w:val="000000" w:themeColor="text1"/>
        </w:rPr>
        <w:t xml:space="preserve"> presentó</w:t>
      </w:r>
      <w:r w:rsidR="005F1362" w:rsidRPr="00B6547E">
        <w:rPr>
          <w:rFonts w:ascii="Palatino Linotype" w:hAnsi="Palatino Linotype"/>
          <w:b/>
          <w:color w:val="000000" w:themeColor="text1"/>
        </w:rPr>
        <w:t xml:space="preserve"> </w:t>
      </w:r>
      <w:r w:rsidR="00127E68" w:rsidRPr="00B6547E">
        <w:rPr>
          <w:rFonts w:ascii="Palatino Linotype" w:hAnsi="Palatino Linotype"/>
          <w:bCs/>
          <w:color w:val="000000" w:themeColor="text1"/>
        </w:rPr>
        <w:t xml:space="preserve">a través </w:t>
      </w:r>
      <w:r w:rsidR="00DE4F75" w:rsidRPr="00B6547E">
        <w:rPr>
          <w:rFonts w:ascii="Palatino Linotype" w:hAnsi="Palatino Linotype"/>
          <w:bCs/>
          <w:color w:val="000000" w:themeColor="text1"/>
        </w:rPr>
        <w:t>d</w:t>
      </w:r>
      <w:r w:rsidR="000021A0" w:rsidRPr="00B6547E">
        <w:rPr>
          <w:rFonts w:ascii="Palatino Linotype" w:hAnsi="Palatino Linotype"/>
          <w:bCs/>
          <w:color w:val="000000" w:themeColor="text1"/>
        </w:rPr>
        <w:t>el</w:t>
      </w:r>
      <w:r w:rsidR="004863BC" w:rsidRPr="00B6547E">
        <w:rPr>
          <w:rFonts w:ascii="Palatino Linotype" w:hAnsi="Palatino Linotype"/>
          <w:bCs/>
          <w:color w:val="000000" w:themeColor="text1"/>
        </w:rPr>
        <w:t xml:space="preserve"> </w:t>
      </w:r>
      <w:r w:rsidR="005F1362" w:rsidRPr="00B6547E">
        <w:rPr>
          <w:rFonts w:ascii="Palatino Linotype" w:eastAsia="Calibri" w:hAnsi="Palatino Linotype" w:cs="Arial"/>
          <w:color w:val="000000" w:themeColor="text1"/>
          <w:lang w:val="es-ES"/>
        </w:rPr>
        <w:t>Sist</w:t>
      </w:r>
      <w:r w:rsidR="004B2723" w:rsidRPr="00B6547E">
        <w:rPr>
          <w:rFonts w:ascii="Palatino Linotype" w:eastAsia="Calibri" w:hAnsi="Palatino Linotype" w:cs="Arial"/>
          <w:color w:val="000000" w:themeColor="text1"/>
          <w:lang w:val="es-ES"/>
        </w:rPr>
        <w:t>ema de Acceso a la Información Mexiquense</w:t>
      </w:r>
      <w:r w:rsidR="005F1362" w:rsidRPr="00B6547E">
        <w:rPr>
          <w:rFonts w:ascii="Palatino Linotype" w:eastAsia="Calibri" w:hAnsi="Palatino Linotype" w:cs="Arial"/>
          <w:color w:val="000000" w:themeColor="text1"/>
          <w:lang w:val="es-ES"/>
        </w:rPr>
        <w:t xml:space="preserve"> </w:t>
      </w:r>
      <w:r w:rsidR="005F1362" w:rsidRPr="00B6547E">
        <w:rPr>
          <w:rFonts w:ascii="Palatino Linotype" w:eastAsia="Calibri" w:hAnsi="Palatino Linotype" w:cs="Arial"/>
          <w:b/>
          <w:color w:val="000000" w:themeColor="text1"/>
          <w:lang w:val="es-ES"/>
        </w:rPr>
        <w:t>(SAIMEX),</w:t>
      </w:r>
      <w:r w:rsidR="005F1362" w:rsidRPr="00B6547E">
        <w:rPr>
          <w:rFonts w:ascii="Palatino Linotype" w:eastAsia="Calibri" w:hAnsi="Palatino Linotype" w:cs="Arial"/>
          <w:color w:val="000000" w:themeColor="text1"/>
          <w:lang w:val="es-ES"/>
        </w:rPr>
        <w:t xml:space="preserve"> la solicitud de información pública registrada con el número</w:t>
      </w:r>
      <w:r w:rsidR="005F1362" w:rsidRPr="00B6547E">
        <w:rPr>
          <w:rFonts w:ascii="Palatino Linotype" w:hAnsi="Palatino Linotype"/>
          <w:b/>
          <w:bCs/>
          <w:color w:val="000000" w:themeColor="text1"/>
        </w:rPr>
        <w:t xml:space="preserve"> </w:t>
      </w:r>
      <w:r w:rsidR="000544CE" w:rsidRPr="00B6547E">
        <w:rPr>
          <w:rFonts w:ascii="Palatino Linotype" w:hAnsi="Palatino Linotype"/>
          <w:b/>
          <w:bCs/>
          <w:color w:val="000000" w:themeColor="text1"/>
        </w:rPr>
        <w:t>00</w:t>
      </w:r>
      <w:r w:rsidR="004B2723" w:rsidRPr="00B6547E">
        <w:rPr>
          <w:rFonts w:ascii="Palatino Linotype" w:hAnsi="Palatino Linotype"/>
          <w:b/>
          <w:bCs/>
          <w:color w:val="000000" w:themeColor="text1"/>
        </w:rPr>
        <w:t>076</w:t>
      </w:r>
      <w:r w:rsidR="00304056" w:rsidRPr="00B6547E">
        <w:rPr>
          <w:rFonts w:ascii="Palatino Linotype" w:hAnsi="Palatino Linotype"/>
          <w:b/>
          <w:bCs/>
          <w:color w:val="000000" w:themeColor="text1"/>
        </w:rPr>
        <w:t>/</w:t>
      </w:r>
      <w:r w:rsidR="004B2723" w:rsidRPr="00B6547E">
        <w:rPr>
          <w:rFonts w:ascii="Palatino Linotype" w:hAnsi="Palatino Linotype"/>
          <w:b/>
          <w:bCs/>
          <w:color w:val="000000" w:themeColor="text1"/>
        </w:rPr>
        <w:t>SMOV/IP/2022</w:t>
      </w:r>
      <w:r w:rsidR="005F1362" w:rsidRPr="00B6547E">
        <w:rPr>
          <w:rFonts w:ascii="Palatino Linotype" w:hAnsi="Palatino Linotype"/>
          <w:b/>
          <w:bCs/>
          <w:color w:val="000000" w:themeColor="text1"/>
        </w:rPr>
        <w:t>,</w:t>
      </w:r>
      <w:r w:rsidR="005F1362" w:rsidRPr="00B6547E">
        <w:rPr>
          <w:rFonts w:ascii="Palatino Linotype" w:eastAsia="Calibri" w:hAnsi="Palatino Linotype" w:cs="Arial"/>
          <w:color w:val="000000" w:themeColor="text1"/>
          <w:lang w:val="es-ES"/>
        </w:rPr>
        <w:t xml:space="preserve"> mediante la cual</w:t>
      </w:r>
      <w:r w:rsidR="00743BB5" w:rsidRPr="00B6547E">
        <w:rPr>
          <w:rFonts w:ascii="Palatino Linotype" w:eastAsia="Calibri" w:hAnsi="Palatino Linotype" w:cs="Arial"/>
          <w:color w:val="000000" w:themeColor="text1"/>
          <w:lang w:val="es-ES"/>
        </w:rPr>
        <w:t>,</w:t>
      </w:r>
      <w:r w:rsidR="005F1362" w:rsidRPr="00B6547E">
        <w:rPr>
          <w:rFonts w:ascii="Palatino Linotype" w:eastAsia="Calibri" w:hAnsi="Palatino Linotype" w:cs="Arial"/>
          <w:color w:val="000000" w:themeColor="text1"/>
          <w:lang w:val="es-ES"/>
        </w:rPr>
        <w:t xml:space="preserve"> requirió</w:t>
      </w:r>
      <w:r w:rsidR="00022D89" w:rsidRPr="00B6547E">
        <w:rPr>
          <w:rFonts w:ascii="Palatino Linotype" w:eastAsia="Calibri" w:hAnsi="Palatino Linotype" w:cs="Arial"/>
          <w:color w:val="000000" w:themeColor="text1"/>
          <w:lang w:val="es-ES"/>
        </w:rPr>
        <w:t xml:space="preserve"> lo siguiente</w:t>
      </w:r>
      <w:r w:rsidR="005F1362" w:rsidRPr="00B6547E">
        <w:rPr>
          <w:rFonts w:ascii="Palatino Linotype" w:eastAsia="Calibri" w:hAnsi="Palatino Linotype" w:cs="Arial"/>
          <w:color w:val="000000" w:themeColor="text1"/>
          <w:lang w:val="es-ES"/>
        </w:rPr>
        <w:t>:</w:t>
      </w:r>
    </w:p>
    <w:p w14:paraId="76EB7490" w14:textId="77777777" w:rsidR="00B31E90" w:rsidRPr="00B6547E" w:rsidRDefault="00B31E90" w:rsidP="009450F4">
      <w:pPr>
        <w:pStyle w:val="Prrafodelista"/>
        <w:ind w:left="567" w:right="567"/>
        <w:jc w:val="both"/>
        <w:rPr>
          <w:rFonts w:ascii="Palatino Linotype" w:hAnsi="Palatino Linotype"/>
          <w:i/>
          <w:color w:val="000000" w:themeColor="text1"/>
          <w:sz w:val="22"/>
          <w:szCs w:val="22"/>
        </w:rPr>
      </w:pPr>
    </w:p>
    <w:p w14:paraId="605C5067" w14:textId="52809DF8" w:rsidR="0097210F" w:rsidRPr="00B6547E" w:rsidRDefault="00412538" w:rsidP="004B2723">
      <w:pPr>
        <w:pStyle w:val="Prrafodelista"/>
        <w:ind w:left="567" w:right="567"/>
        <w:jc w:val="both"/>
        <w:rPr>
          <w:rFonts w:ascii="Palatino Linotype" w:hAnsi="Palatino Linotype"/>
          <w:i/>
          <w:color w:val="000000" w:themeColor="text1"/>
          <w:sz w:val="22"/>
          <w:szCs w:val="22"/>
        </w:rPr>
      </w:pPr>
      <w:r w:rsidRPr="00B6547E">
        <w:rPr>
          <w:rFonts w:ascii="Palatino Linotype" w:hAnsi="Palatino Linotype"/>
          <w:i/>
          <w:color w:val="000000" w:themeColor="text1"/>
          <w:sz w:val="22"/>
          <w:szCs w:val="22"/>
        </w:rPr>
        <w:t>“</w:t>
      </w:r>
      <w:r w:rsidR="004B2723" w:rsidRPr="00B6547E">
        <w:rPr>
          <w:rFonts w:ascii="Palatino Linotype" w:hAnsi="Palatino Linotype"/>
          <w:i/>
          <w:color w:val="000000"/>
          <w:sz w:val="22"/>
          <w:szCs w:val="22"/>
        </w:rPr>
        <w:t xml:space="preserve">Todos los operativos realizados al transporte público de 2010 a 2022 y los resultados, que autoridades participaron y los oficios de autorización y coordinación con </w:t>
      </w:r>
      <w:proofErr w:type="gramStart"/>
      <w:r w:rsidR="004B2723" w:rsidRPr="00B6547E">
        <w:rPr>
          <w:rFonts w:ascii="Palatino Linotype" w:hAnsi="Palatino Linotype"/>
          <w:i/>
          <w:color w:val="000000"/>
          <w:sz w:val="22"/>
          <w:szCs w:val="22"/>
        </w:rPr>
        <w:t>la autoridades involucradas</w:t>
      </w:r>
      <w:proofErr w:type="gramEnd"/>
      <w:r w:rsidR="004B2723" w:rsidRPr="00B6547E">
        <w:rPr>
          <w:rFonts w:ascii="Palatino Linotype" w:hAnsi="Palatino Linotype"/>
          <w:i/>
          <w:color w:val="000000"/>
          <w:sz w:val="22"/>
          <w:szCs w:val="22"/>
        </w:rPr>
        <w:t xml:space="preserve"> y que inspectores participaron de la Secretaría de Transporte y Movilidad.</w:t>
      </w:r>
      <w:r w:rsidR="005F1362" w:rsidRPr="00B6547E">
        <w:rPr>
          <w:rFonts w:ascii="Palatino Linotype" w:hAnsi="Palatino Linotype"/>
          <w:i/>
          <w:color w:val="000000" w:themeColor="text1"/>
          <w:sz w:val="22"/>
          <w:szCs w:val="22"/>
        </w:rPr>
        <w:t>” (Sic).</w:t>
      </w:r>
    </w:p>
    <w:p w14:paraId="010F49EF" w14:textId="4293FA51" w:rsidR="004E197E" w:rsidRPr="00B6547E" w:rsidRDefault="004E197E" w:rsidP="00B31E90">
      <w:pPr>
        <w:pStyle w:val="Prrafodelista"/>
        <w:spacing w:line="276" w:lineRule="auto"/>
        <w:ind w:left="567" w:right="567"/>
        <w:jc w:val="both"/>
        <w:rPr>
          <w:rFonts w:ascii="Palatino Linotype" w:hAnsi="Palatino Linotype"/>
          <w:i/>
          <w:color w:val="000000" w:themeColor="text1"/>
          <w:sz w:val="22"/>
          <w:szCs w:val="22"/>
        </w:rPr>
      </w:pPr>
    </w:p>
    <w:p w14:paraId="74331DAE" w14:textId="0F00E6C3" w:rsidR="0064767C" w:rsidRPr="00B6547E" w:rsidRDefault="00836FF4" w:rsidP="007F05B5">
      <w:pPr>
        <w:tabs>
          <w:tab w:val="left" w:pos="426"/>
        </w:tabs>
        <w:spacing w:line="360" w:lineRule="auto"/>
        <w:ind w:right="616"/>
        <w:jc w:val="both"/>
        <w:rPr>
          <w:rFonts w:ascii="Palatino Linotype" w:eastAsia="MS Mincho" w:hAnsi="Palatino Linotype" w:cs="Times New Roman"/>
          <w:color w:val="000000" w:themeColor="text1"/>
        </w:rPr>
      </w:pPr>
      <w:r w:rsidRPr="00B6547E">
        <w:rPr>
          <w:rFonts w:ascii="Palatino Linotype" w:hAnsi="Palatino Linotype" w:cs="Arial"/>
          <w:color w:val="000000" w:themeColor="text1"/>
          <w:sz w:val="22"/>
          <w:szCs w:val="22"/>
        </w:rPr>
        <w:t>Modalidad de entrega</w:t>
      </w:r>
      <w:r w:rsidR="005C2B1C" w:rsidRPr="00B6547E">
        <w:rPr>
          <w:rFonts w:ascii="Palatino Linotype" w:hAnsi="Palatino Linotype" w:cs="Arial"/>
          <w:color w:val="000000" w:themeColor="text1"/>
          <w:sz w:val="22"/>
          <w:szCs w:val="22"/>
        </w:rPr>
        <w:t xml:space="preserve"> de la información</w:t>
      </w:r>
      <w:r w:rsidRPr="00B6547E">
        <w:rPr>
          <w:rFonts w:ascii="Palatino Linotype" w:hAnsi="Palatino Linotype" w:cs="Arial"/>
          <w:color w:val="000000" w:themeColor="text1"/>
          <w:sz w:val="22"/>
          <w:szCs w:val="22"/>
        </w:rPr>
        <w:t xml:space="preserve">: </w:t>
      </w:r>
      <w:r w:rsidRPr="00B6547E">
        <w:rPr>
          <w:rFonts w:ascii="Palatino Linotype" w:hAnsi="Palatino Linotype" w:cs="Arial"/>
          <w:b/>
          <w:color w:val="000000" w:themeColor="text1"/>
          <w:sz w:val="22"/>
          <w:szCs w:val="22"/>
        </w:rPr>
        <w:t>A través d</w:t>
      </w:r>
      <w:r w:rsidR="009C0215" w:rsidRPr="00B6547E">
        <w:rPr>
          <w:rFonts w:ascii="Palatino Linotype" w:hAnsi="Palatino Linotype" w:cs="Arial"/>
          <w:b/>
          <w:color w:val="000000" w:themeColor="text1"/>
          <w:sz w:val="22"/>
          <w:szCs w:val="22"/>
        </w:rPr>
        <w:t>e</w:t>
      </w:r>
      <w:r w:rsidR="00755146" w:rsidRPr="00B6547E">
        <w:rPr>
          <w:rFonts w:ascii="Palatino Linotype" w:hAnsi="Palatino Linotype" w:cs="Arial"/>
          <w:b/>
          <w:color w:val="000000" w:themeColor="text1"/>
          <w:sz w:val="22"/>
          <w:szCs w:val="22"/>
        </w:rPr>
        <w:t>l SAIMEX</w:t>
      </w:r>
      <w:r w:rsidR="0064767C" w:rsidRPr="00B6547E">
        <w:rPr>
          <w:rFonts w:ascii="Palatino Linotype" w:hAnsi="Palatino Linotype" w:cs="Arial"/>
          <w:b/>
          <w:color w:val="000000" w:themeColor="text1"/>
          <w:sz w:val="22"/>
          <w:szCs w:val="22"/>
        </w:rPr>
        <w:t>.</w:t>
      </w:r>
    </w:p>
    <w:p w14:paraId="30A19225" w14:textId="77777777" w:rsidR="00C30330" w:rsidRPr="00B6547E" w:rsidRDefault="00C30330" w:rsidP="007F05B5">
      <w:pPr>
        <w:tabs>
          <w:tab w:val="left" w:pos="426"/>
        </w:tabs>
        <w:spacing w:line="360" w:lineRule="auto"/>
        <w:ind w:right="616"/>
        <w:jc w:val="both"/>
        <w:rPr>
          <w:rFonts w:ascii="Palatino Linotype" w:eastAsia="MS Mincho" w:hAnsi="Palatino Linotype" w:cs="Times New Roman"/>
          <w:color w:val="000000" w:themeColor="text1"/>
        </w:rPr>
      </w:pPr>
    </w:p>
    <w:p w14:paraId="14E1B3B5" w14:textId="13611BCF" w:rsidR="00412538" w:rsidRPr="00B6547E" w:rsidRDefault="00412538" w:rsidP="0041253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6547E">
        <w:rPr>
          <w:rFonts w:ascii="Palatino Linotype" w:eastAsia="MS Mincho" w:hAnsi="Palatino Linotype" w:cs="Times New Roman"/>
          <w:color w:val="000000" w:themeColor="text1"/>
        </w:rPr>
        <w:t xml:space="preserve">El </w:t>
      </w:r>
      <w:r w:rsidR="00CF1E4C" w:rsidRPr="00B6547E">
        <w:rPr>
          <w:rFonts w:ascii="Palatino Linotype" w:eastAsia="MS Mincho" w:hAnsi="Palatino Linotype" w:cs="Times New Roman"/>
          <w:color w:val="000000" w:themeColor="text1"/>
        </w:rPr>
        <w:t xml:space="preserve">cuatro de </w:t>
      </w:r>
      <w:r w:rsidR="004B2723" w:rsidRPr="00B6547E">
        <w:rPr>
          <w:rFonts w:ascii="Palatino Linotype" w:eastAsia="MS Mincho" w:hAnsi="Palatino Linotype" w:cs="Times New Roman"/>
          <w:color w:val="000000" w:themeColor="text1"/>
        </w:rPr>
        <w:t>febrero de dos mil veintidós</w:t>
      </w:r>
      <w:r w:rsidRPr="00B6547E">
        <w:rPr>
          <w:rFonts w:ascii="Palatino Linotype" w:eastAsia="MS Mincho" w:hAnsi="Palatino Linotype" w:cs="Times New Roman"/>
          <w:color w:val="000000" w:themeColor="text1"/>
        </w:rPr>
        <w:t xml:space="preserve">, el </w:t>
      </w:r>
      <w:r w:rsidRPr="00B6547E">
        <w:rPr>
          <w:rFonts w:ascii="Palatino Linotype" w:eastAsia="MS Mincho" w:hAnsi="Palatino Linotype" w:cs="Times New Roman"/>
          <w:b/>
          <w:bCs/>
          <w:color w:val="000000" w:themeColor="text1"/>
        </w:rPr>
        <w:t>SUJETO OBLIGADO</w:t>
      </w:r>
      <w:r w:rsidRPr="00B6547E">
        <w:rPr>
          <w:rFonts w:ascii="Palatino Linotype" w:eastAsia="MS Mincho" w:hAnsi="Palatino Linotype" w:cs="Times New Roman"/>
          <w:color w:val="000000" w:themeColor="text1"/>
        </w:rPr>
        <w:t xml:space="preserve"> realizó </w:t>
      </w:r>
      <w:r w:rsidR="009450F4" w:rsidRPr="00B6547E">
        <w:rPr>
          <w:rFonts w:ascii="Palatino Linotype" w:eastAsia="MS Mincho" w:hAnsi="Palatino Linotype" w:cs="Times New Roman"/>
          <w:color w:val="000000" w:themeColor="text1"/>
        </w:rPr>
        <w:t>un</w:t>
      </w:r>
      <w:r w:rsidRPr="00B6547E">
        <w:rPr>
          <w:rFonts w:ascii="Palatino Linotype" w:eastAsia="MS Mincho" w:hAnsi="Palatino Linotype" w:cs="Times New Roman"/>
          <w:color w:val="000000" w:themeColor="text1"/>
        </w:rPr>
        <w:t xml:space="preserve"> requerimiento de información a</w:t>
      </w:r>
      <w:r w:rsidR="009450F4" w:rsidRPr="00B6547E">
        <w:rPr>
          <w:rFonts w:ascii="Palatino Linotype" w:eastAsia="MS Mincho" w:hAnsi="Palatino Linotype" w:cs="Times New Roman"/>
          <w:color w:val="000000" w:themeColor="text1"/>
        </w:rPr>
        <w:t xml:space="preserve">l </w:t>
      </w:r>
      <w:r w:rsidRPr="00B6547E">
        <w:rPr>
          <w:rFonts w:ascii="Palatino Linotype" w:eastAsia="MS Mincho" w:hAnsi="Palatino Linotype" w:cs="Times New Roman"/>
          <w:color w:val="000000" w:themeColor="text1"/>
        </w:rPr>
        <w:t>Servidor</w:t>
      </w:r>
      <w:r w:rsidR="0064767C" w:rsidRPr="00B6547E">
        <w:rPr>
          <w:rFonts w:ascii="Palatino Linotype" w:eastAsia="MS Mincho" w:hAnsi="Palatino Linotype" w:cs="Times New Roman"/>
          <w:color w:val="000000" w:themeColor="text1"/>
        </w:rPr>
        <w:t xml:space="preserve"> </w:t>
      </w:r>
      <w:r w:rsidR="009450F4" w:rsidRPr="00B6547E">
        <w:rPr>
          <w:rFonts w:ascii="Palatino Linotype" w:eastAsia="MS Mincho" w:hAnsi="Palatino Linotype" w:cs="Times New Roman"/>
          <w:color w:val="000000" w:themeColor="text1"/>
        </w:rPr>
        <w:t>Público Habilitado correspondiente.</w:t>
      </w:r>
    </w:p>
    <w:p w14:paraId="7B1E6878" w14:textId="4ED1C223" w:rsidR="00CF1E4C" w:rsidRPr="00B6547E" w:rsidRDefault="00CF1E4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6547E">
        <w:rPr>
          <w:rFonts w:ascii="Palatino Linotype" w:eastAsia="MS Mincho" w:hAnsi="Palatino Linotype" w:cs="Times New Roman"/>
          <w:color w:val="000000" w:themeColor="text1"/>
        </w:rPr>
        <w:lastRenderedPageBreak/>
        <w:t xml:space="preserve">El veinticinco de </w:t>
      </w:r>
      <w:r w:rsidR="004B2723" w:rsidRPr="00B6547E">
        <w:rPr>
          <w:rFonts w:ascii="Palatino Linotype" w:eastAsia="MS Mincho" w:hAnsi="Palatino Linotype" w:cs="Times New Roman"/>
          <w:color w:val="000000" w:themeColor="text1"/>
        </w:rPr>
        <w:t>febrero de dos mil veintidós</w:t>
      </w:r>
      <w:r w:rsidRPr="00B6547E">
        <w:rPr>
          <w:rFonts w:ascii="Palatino Linotype" w:eastAsia="MS Mincho" w:hAnsi="Palatino Linotype" w:cs="Times New Roman"/>
          <w:color w:val="000000" w:themeColor="text1"/>
        </w:rPr>
        <w:t xml:space="preserve">, el </w:t>
      </w:r>
      <w:r w:rsidRPr="00B6547E">
        <w:rPr>
          <w:rFonts w:ascii="Palatino Linotype" w:eastAsia="MS Mincho" w:hAnsi="Palatino Linotype" w:cs="Times New Roman"/>
          <w:b/>
          <w:color w:val="000000" w:themeColor="text1"/>
        </w:rPr>
        <w:t>SUJETO OBLIGADO</w:t>
      </w:r>
      <w:r w:rsidRPr="00B6547E">
        <w:rPr>
          <w:rFonts w:ascii="Palatino Linotype" w:eastAsia="MS Mincho" w:hAnsi="Palatino Linotype" w:cs="Times New Roman"/>
          <w:color w:val="000000" w:themeColor="text1"/>
        </w:rPr>
        <w:t xml:space="preserve"> notificó una prórroga para dar respuesta a la solicitud de información, en los siguientes términos:</w:t>
      </w:r>
    </w:p>
    <w:p w14:paraId="4379EFE1" w14:textId="77777777" w:rsidR="00CF1E4C" w:rsidRPr="00B6547E" w:rsidRDefault="00CF1E4C" w:rsidP="00CF1E4C">
      <w:pPr>
        <w:pStyle w:val="Prrafodelista"/>
        <w:tabs>
          <w:tab w:val="left" w:pos="426"/>
        </w:tabs>
        <w:spacing w:line="360" w:lineRule="auto"/>
        <w:ind w:left="0"/>
        <w:jc w:val="both"/>
        <w:rPr>
          <w:rFonts w:ascii="Palatino Linotype" w:eastAsia="MS Mincho" w:hAnsi="Palatino Linotype" w:cs="Times New Roman"/>
          <w:color w:val="000000" w:themeColor="text1"/>
          <w:sz w:val="22"/>
        </w:rPr>
      </w:pPr>
    </w:p>
    <w:p w14:paraId="37F461A8" w14:textId="39BC090D" w:rsidR="00CF1E4C" w:rsidRPr="00B6547E" w:rsidRDefault="00CF1E4C" w:rsidP="004B2723">
      <w:pPr>
        <w:pStyle w:val="Prrafodelista"/>
        <w:tabs>
          <w:tab w:val="left" w:pos="426"/>
        </w:tabs>
        <w:ind w:left="567" w:right="616"/>
        <w:jc w:val="both"/>
        <w:rPr>
          <w:rFonts w:ascii="Palatino Linotype" w:eastAsia="MS Mincho" w:hAnsi="Palatino Linotype" w:cs="Times New Roman"/>
          <w:i/>
          <w:color w:val="000000" w:themeColor="text1"/>
          <w:sz w:val="22"/>
          <w:szCs w:val="22"/>
        </w:rPr>
      </w:pPr>
      <w:r w:rsidRPr="00B6547E">
        <w:rPr>
          <w:rFonts w:ascii="Palatino Linotype" w:eastAsia="MS Mincho" w:hAnsi="Palatino Linotype" w:cs="Times New Roman"/>
          <w:i/>
          <w:color w:val="000000" w:themeColor="text1"/>
          <w:sz w:val="22"/>
          <w:szCs w:val="22"/>
        </w:rPr>
        <w:t>“…</w:t>
      </w:r>
      <w:r w:rsidR="004B2723" w:rsidRPr="00B6547E">
        <w:rPr>
          <w:rFonts w:ascii="Palatino Linotype" w:hAnsi="Palatino Linotype"/>
          <w:i/>
          <w:color w:val="000000"/>
          <w:sz w:val="22"/>
          <w:szCs w:val="22"/>
        </w:rPr>
        <w:t>Se remite Acta de la Sesión de Comité donde se aprueba la Prórroga solicitada</w:t>
      </w:r>
      <w:r w:rsidRPr="00B6547E">
        <w:rPr>
          <w:rFonts w:ascii="Palatino Linotype" w:hAnsi="Palatino Linotype"/>
          <w:i/>
          <w:color w:val="000000"/>
          <w:sz w:val="22"/>
          <w:szCs w:val="22"/>
        </w:rPr>
        <w:t>…” (Sic)</w:t>
      </w:r>
    </w:p>
    <w:p w14:paraId="3553387B" w14:textId="77777777" w:rsidR="00CF1E4C" w:rsidRPr="00B6547E" w:rsidRDefault="00CF1E4C" w:rsidP="00CF1E4C">
      <w:pPr>
        <w:pStyle w:val="Prrafodelista"/>
        <w:tabs>
          <w:tab w:val="left" w:pos="426"/>
        </w:tabs>
        <w:spacing w:line="360" w:lineRule="auto"/>
        <w:ind w:left="0"/>
        <w:jc w:val="both"/>
        <w:rPr>
          <w:rFonts w:ascii="Palatino Linotype" w:eastAsia="MS Mincho" w:hAnsi="Palatino Linotype" w:cs="Times New Roman"/>
          <w:color w:val="000000" w:themeColor="text1"/>
          <w:sz w:val="22"/>
        </w:rPr>
      </w:pPr>
    </w:p>
    <w:p w14:paraId="0EFD1C5D" w14:textId="05BDD9C5" w:rsidR="004B2723" w:rsidRPr="00B6547E" w:rsidRDefault="004B2723" w:rsidP="00CF1E4C">
      <w:pPr>
        <w:pStyle w:val="Prrafodelista"/>
        <w:tabs>
          <w:tab w:val="left" w:pos="426"/>
        </w:tabs>
        <w:spacing w:line="360" w:lineRule="auto"/>
        <w:ind w:left="0"/>
        <w:jc w:val="both"/>
        <w:rPr>
          <w:rFonts w:ascii="Palatino Linotype" w:eastAsia="MS Mincho" w:hAnsi="Palatino Linotype" w:cs="Times New Roman"/>
          <w:color w:val="000000" w:themeColor="text1"/>
          <w:sz w:val="22"/>
        </w:rPr>
      </w:pPr>
      <w:r w:rsidRPr="00B6547E">
        <w:rPr>
          <w:rFonts w:ascii="Palatino Linotype" w:eastAsia="MS Mincho" w:hAnsi="Palatino Linotype" w:cs="Times New Roman"/>
          <w:color w:val="000000" w:themeColor="text1"/>
          <w:sz w:val="22"/>
        </w:rPr>
        <w:t xml:space="preserve">Se adjuntó el archivo electrónico denominado </w:t>
      </w:r>
      <w:r w:rsidRPr="00B6547E">
        <w:rPr>
          <w:rFonts w:ascii="Palatino Linotype" w:eastAsia="MS Mincho" w:hAnsi="Palatino Linotype" w:cs="Times New Roman"/>
          <w:b/>
          <w:color w:val="000000" w:themeColor="text1"/>
          <w:sz w:val="22"/>
        </w:rPr>
        <w:t xml:space="preserve">Acta 29a </w:t>
      </w:r>
      <w:proofErr w:type="spellStart"/>
      <w:r w:rsidRPr="00B6547E">
        <w:rPr>
          <w:rFonts w:ascii="Palatino Linotype" w:eastAsia="MS Mincho" w:hAnsi="Palatino Linotype" w:cs="Times New Roman"/>
          <w:b/>
          <w:color w:val="000000" w:themeColor="text1"/>
          <w:sz w:val="22"/>
        </w:rPr>
        <w:t>Extraord</w:t>
      </w:r>
      <w:proofErr w:type="spellEnd"/>
      <w:r w:rsidRPr="00B6547E">
        <w:rPr>
          <w:rFonts w:ascii="Palatino Linotype" w:eastAsia="MS Mincho" w:hAnsi="Palatino Linotype" w:cs="Times New Roman"/>
          <w:b/>
          <w:color w:val="000000" w:themeColor="text1"/>
          <w:sz w:val="22"/>
        </w:rPr>
        <w:t xml:space="preserve"> </w:t>
      </w:r>
      <w:proofErr w:type="spellStart"/>
      <w:r w:rsidRPr="00B6547E">
        <w:rPr>
          <w:rFonts w:ascii="Palatino Linotype" w:eastAsia="MS Mincho" w:hAnsi="Palatino Linotype" w:cs="Times New Roman"/>
          <w:b/>
          <w:color w:val="000000" w:themeColor="text1"/>
          <w:sz w:val="22"/>
        </w:rPr>
        <w:t>Solic</w:t>
      </w:r>
      <w:proofErr w:type="spellEnd"/>
      <w:r w:rsidRPr="00B6547E">
        <w:rPr>
          <w:rFonts w:ascii="Palatino Linotype" w:eastAsia="MS Mincho" w:hAnsi="Palatino Linotype" w:cs="Times New Roman"/>
          <w:b/>
          <w:color w:val="000000" w:themeColor="text1"/>
          <w:sz w:val="22"/>
        </w:rPr>
        <w:t xml:space="preserve"> 00076 (Prórroga).</w:t>
      </w:r>
      <w:proofErr w:type="spellStart"/>
      <w:r w:rsidRPr="00B6547E">
        <w:rPr>
          <w:rFonts w:ascii="Palatino Linotype" w:eastAsia="MS Mincho" w:hAnsi="Palatino Linotype" w:cs="Times New Roman"/>
          <w:b/>
          <w:color w:val="000000" w:themeColor="text1"/>
          <w:sz w:val="22"/>
        </w:rPr>
        <w:t>pdf</w:t>
      </w:r>
      <w:proofErr w:type="spellEnd"/>
      <w:r w:rsidRPr="00B6547E">
        <w:rPr>
          <w:rFonts w:ascii="Palatino Linotype" w:eastAsia="MS Mincho" w:hAnsi="Palatino Linotype" w:cs="Times New Roman"/>
          <w:b/>
          <w:color w:val="000000" w:themeColor="text1"/>
          <w:sz w:val="22"/>
        </w:rPr>
        <w:t xml:space="preserve">, </w:t>
      </w:r>
      <w:r w:rsidRPr="00B6547E">
        <w:rPr>
          <w:rFonts w:ascii="Palatino Linotype" w:eastAsia="MS Mincho" w:hAnsi="Palatino Linotype" w:cs="Times New Roman"/>
          <w:color w:val="000000" w:themeColor="text1"/>
          <w:sz w:val="22"/>
        </w:rPr>
        <w:t>consistente en la copia digitalizada del Acta de la Vigésima Novena Sesión Extraordinaria del año dos mil veintidós, del Comité de Transparencia de la Secretaría de Movilidad del Gobierno del Estado de México.</w:t>
      </w:r>
    </w:p>
    <w:p w14:paraId="1F35D974" w14:textId="77777777" w:rsidR="004B2723" w:rsidRPr="00B6547E" w:rsidRDefault="004B2723" w:rsidP="00CF1E4C">
      <w:pPr>
        <w:pStyle w:val="Prrafodelista"/>
        <w:tabs>
          <w:tab w:val="left" w:pos="426"/>
        </w:tabs>
        <w:spacing w:line="360" w:lineRule="auto"/>
        <w:ind w:left="0"/>
        <w:jc w:val="both"/>
        <w:rPr>
          <w:rFonts w:ascii="Palatino Linotype" w:eastAsia="MS Mincho" w:hAnsi="Palatino Linotype" w:cs="Times New Roman"/>
          <w:color w:val="000000" w:themeColor="text1"/>
          <w:sz w:val="22"/>
        </w:rPr>
      </w:pPr>
    </w:p>
    <w:p w14:paraId="2DC632CD" w14:textId="3711F4BD" w:rsidR="005C2B1C" w:rsidRPr="00B6547E" w:rsidRDefault="005C2B1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6547E">
        <w:rPr>
          <w:rFonts w:ascii="Palatino Linotype" w:eastAsia="MS Mincho" w:hAnsi="Palatino Linotype" w:cs="Times New Roman"/>
          <w:color w:val="000000" w:themeColor="text1"/>
        </w:rPr>
        <w:t xml:space="preserve">El </w:t>
      </w:r>
      <w:r w:rsidR="004B2723" w:rsidRPr="00B6547E">
        <w:rPr>
          <w:rFonts w:ascii="Palatino Linotype" w:eastAsia="MS Mincho" w:hAnsi="Palatino Linotype" w:cs="Times New Roman"/>
          <w:color w:val="000000" w:themeColor="text1"/>
        </w:rPr>
        <w:t>nueve de marzo de dos mil veintidós</w:t>
      </w:r>
      <w:r w:rsidRPr="00B6547E">
        <w:rPr>
          <w:rFonts w:ascii="Palatino Linotype" w:eastAsia="MS Mincho" w:hAnsi="Palatino Linotype" w:cs="Times New Roman"/>
          <w:color w:val="000000" w:themeColor="text1"/>
        </w:rPr>
        <w:t xml:space="preserve">, el </w:t>
      </w:r>
      <w:r w:rsidRPr="00B6547E">
        <w:rPr>
          <w:rFonts w:ascii="Palatino Linotype" w:eastAsia="MS Mincho" w:hAnsi="Palatino Linotype" w:cs="Times New Roman"/>
          <w:b/>
          <w:bCs/>
          <w:color w:val="000000" w:themeColor="text1"/>
        </w:rPr>
        <w:t>SUJETO OBLIGADO</w:t>
      </w:r>
      <w:r w:rsidRPr="00B6547E">
        <w:rPr>
          <w:rFonts w:ascii="Palatino Linotype" w:eastAsia="MS Mincho" w:hAnsi="Palatino Linotype" w:cs="Times New Roman"/>
          <w:color w:val="000000" w:themeColor="text1"/>
        </w:rPr>
        <w:t xml:space="preserve"> </w:t>
      </w:r>
      <w:r w:rsidR="00804787" w:rsidRPr="00B6547E">
        <w:rPr>
          <w:rFonts w:ascii="Palatino Linotype" w:eastAsia="MS Mincho" w:hAnsi="Palatino Linotype" w:cs="Times New Roman"/>
          <w:color w:val="000000" w:themeColor="text1"/>
        </w:rPr>
        <w:t>dio respuesta a la solicitud de información</w:t>
      </w:r>
      <w:r w:rsidRPr="00B6547E">
        <w:rPr>
          <w:rFonts w:ascii="Palatino Linotype" w:eastAsia="MS Mincho" w:hAnsi="Palatino Linotype" w:cs="Times New Roman"/>
          <w:color w:val="000000" w:themeColor="text1"/>
        </w:rPr>
        <w:t>, en los siguientes términos:</w:t>
      </w:r>
    </w:p>
    <w:p w14:paraId="2743D335" w14:textId="77777777" w:rsidR="00412538" w:rsidRPr="00B6547E" w:rsidRDefault="00412538" w:rsidP="0041253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E1BEE3A" w14:textId="6607A7E7" w:rsidR="005C2B1C" w:rsidRPr="00B6547E" w:rsidRDefault="005C2B1C" w:rsidP="004B2723">
      <w:pPr>
        <w:pStyle w:val="Prrafodelista"/>
        <w:tabs>
          <w:tab w:val="left" w:pos="426"/>
        </w:tabs>
        <w:ind w:left="567" w:right="616"/>
        <w:jc w:val="both"/>
        <w:rPr>
          <w:rFonts w:ascii="Palatino Linotype" w:hAnsi="Palatino Linotype"/>
          <w:i/>
          <w:iCs/>
          <w:color w:val="000000"/>
          <w:sz w:val="22"/>
          <w:szCs w:val="22"/>
        </w:rPr>
      </w:pPr>
      <w:r w:rsidRPr="00B6547E">
        <w:rPr>
          <w:rFonts w:ascii="Palatino Linotype" w:eastAsia="MS Mincho" w:hAnsi="Palatino Linotype" w:cs="Times New Roman"/>
          <w:i/>
          <w:iCs/>
          <w:color w:val="000000" w:themeColor="text1"/>
          <w:sz w:val="22"/>
          <w:szCs w:val="22"/>
        </w:rPr>
        <w:t>“…</w:t>
      </w:r>
      <w:r w:rsidR="004B2723" w:rsidRPr="00B6547E">
        <w:rPr>
          <w:rFonts w:ascii="Palatino Linotype" w:hAnsi="Palatino Linotype"/>
          <w:i/>
          <w:color w:val="000000"/>
          <w:sz w:val="22"/>
          <w:szCs w:val="22"/>
        </w:rPr>
        <w:t xml:space="preserve">C. Solicitante: En atención a la solicitud de acceso a la información identificada con el número de folio 00076/SMOV/IP/2022, anexo al presente se remiten las respuestas proporcionadas por las áreas involucradas. Ecatepec de Morelos; Estado de México, a 8 de marzo del 2022 En respuesta a la solicitud con número de folio 00076/SMOV/IP/2022, interpuesta través del Sistema de Acceso a la Información Mexiquense (SAIMEX), que a la letra dice, le informo lo siguiente: “…Todos los operativos realizados al transporte público de 2010 a 2022 y los resultados, que autoridades participaron y los oficios de autorización y coordinación con la autoridades involucradas y que inspectores participaron de la Secretaría de Transporte y Movilidad.…” (sic) </w:t>
      </w:r>
      <w:r w:rsidR="004B2723" w:rsidRPr="00B6547E">
        <w:rPr>
          <w:rFonts w:ascii="Palatino Linotype" w:hAnsi="Palatino Linotype"/>
          <w:b/>
          <w:i/>
          <w:color w:val="000000"/>
          <w:sz w:val="22"/>
          <w:szCs w:val="22"/>
        </w:rPr>
        <w:t xml:space="preserve">Derivado de una revisión minuciosa en los archivos en base de datos de listados de las Delegaciones Regionales de Movilidad en Ecatepec y Texcoco, dependientes de esta Dirección General, se identificaron los operativos con que cuenta esta unidad Administrativa, resultados, autoridades involucradas, números de oficio e inspectores que participaron. </w:t>
      </w:r>
      <w:r w:rsidR="004B2723" w:rsidRPr="00B6547E">
        <w:rPr>
          <w:rFonts w:ascii="Palatino Linotype" w:hAnsi="Palatino Linotype"/>
          <w:i/>
          <w:color w:val="000000"/>
          <w:sz w:val="22"/>
          <w:szCs w:val="22"/>
        </w:rPr>
        <w:t xml:space="preserve">Lo anterior con fundamento en lo dispuesto por los artículos 6, 8, y 35 fracción V de la Constitución Política de los Estados Unidos Mexicanos, 5 de la Constitución Política del Estado Libre y Soberano, 1, 2 fracción II, 3 fracción VIII, 4, 12 segundo párrafo, 15, 24 último párrafo de la Ley de Transparencia y Acceso a la Información Pública del Estado de México y </w:t>
      </w:r>
      <w:r w:rsidR="004B2723" w:rsidRPr="00B6547E">
        <w:rPr>
          <w:rFonts w:ascii="Palatino Linotype" w:hAnsi="Palatino Linotype"/>
          <w:i/>
          <w:color w:val="000000"/>
          <w:sz w:val="22"/>
          <w:szCs w:val="22"/>
        </w:rPr>
        <w:lastRenderedPageBreak/>
        <w:t xml:space="preserve">Municipios, me permito manifestar que dentro del ámbito de las facultades conferidas por la Ley. Sin otro particular, le envió un saludo. Mtro. José Alberto González Aguilar Director General de Movilidad Zona III En respuesta a su solicitud con número de folio 00076/SMOV/IP/2022, que fue presentada a través del Sistema de Acceso a la Información Mexiquense (SAIMEX), la cual a la letra dice: “Todos los operativos realizados al transporte público de 2010 a 2022 y los resultados, que autoridades participaron y los oficios de autorización y coordinación con la autoridades involucradas y que inspectores participaron de la Secretaría de Transporte y Movilidad. “…(sic) </w:t>
      </w:r>
      <w:r w:rsidR="004B2723" w:rsidRPr="00B6547E">
        <w:rPr>
          <w:rFonts w:ascii="Palatino Linotype" w:hAnsi="Palatino Linotype"/>
          <w:b/>
          <w:i/>
          <w:color w:val="000000"/>
          <w:sz w:val="22"/>
          <w:szCs w:val="22"/>
        </w:rPr>
        <w:t xml:space="preserve">Al respecto, con fundamento en lo dispuesto en los artículos 6, 8, y 35 fracción V de la Constitución Política de los Estados Unidos Mexicanos, 5 de la Constitución Política del Estado Libre y Soberano, 1, 2 fracción II, 3 fracción VIII, 4, 12 segundo párrafo, 15 y 24 último párrafo de la Ley de Transparencia y Acceso a la Información Pública del Estado de México y Municipios, 1 y 37 de la Ley de Archivos y Administración de Documentos del Estado de México y Municipios, me permito manifestar lo siguiente: Sobre el particular se envía la respuesta solicitada por usted, en archivos adjuntos al presente, de acuerdo a la información emitida por parte de las Delegaciones dependientes de esta Dirección General, que fue localizada y extraída en archivos físicos y digitales bajo su resguardo, así como de esta Dirección General de Movilidad Zona II. </w:t>
      </w:r>
      <w:r w:rsidR="004B2723" w:rsidRPr="00B6547E">
        <w:rPr>
          <w:rFonts w:ascii="Palatino Linotype" w:hAnsi="Palatino Linotype"/>
          <w:i/>
          <w:color w:val="000000"/>
          <w:sz w:val="22"/>
          <w:szCs w:val="22"/>
        </w:rPr>
        <w:t xml:space="preserve">Lo anterior con fundamento en el artículo 12 de la Ley de Transparencia y Acceso a la Información Pública del Estado de México y Municipios, el cual a la letra puntualiza: “…. Los sujetos obligados sólo proporcionarán información pública que se les requiera y que obre en sus archivos y en el estado en que ésta se encuentre. La obligación de proporcionar información, no comprende el procesamiento de la misma ni el prestarla conforme al interés del solicitante; no están obligados a generarla, resumirla, efectuar cálculos o practicar investigación…” (sic) Sin más por el momento, en espera de haber cubierto lo peticionado, aprovecho para enviarle un cordial saludo. Toluca, Estado de México; a 09 de marzo de 2022. Atento a su solicitud con número de folio 00076/SMOV/IP/2022, presentada ante el Instituto de Transparencia, Acceso a la Información Pública y Protección de Datos Personales del Estado de México (INFOEM), mediante la cual solicita: “Todos los operativos realizados al transporte público de 2010 a 2022 y los resultados, que autoridades participaron y los oficios de autorización y coordinación con las autoridades involucradas y que inspectores participaron de la Secretaría de Transporte y Movilidad.” (sic). En esa virtud, con fundamento en lo dispuesto por los artículos 6, 8 y 35 fracción V de la Constitución Política de los Estados Unidos Mexicanos; 5 de la Constitución Política del Estado Libre y Soberano de México; 1, 2 fracción II, 3 fracción VIII, 4, 12 segundo párrafo, 15 y 24 último párrafo de Transparencia y Acceso a la Información Pública del Estado de México y Municipios; </w:t>
      </w:r>
      <w:r w:rsidR="004B2723" w:rsidRPr="00B6547E">
        <w:rPr>
          <w:rFonts w:ascii="Palatino Linotype" w:hAnsi="Palatino Linotype"/>
          <w:b/>
          <w:i/>
          <w:color w:val="000000"/>
          <w:sz w:val="22"/>
          <w:szCs w:val="22"/>
        </w:rPr>
        <w:t xml:space="preserve">esta Dirección General de Movilidad Zona I, emite respuesta en los siguientes términos: Se anexa al presente archivo digital que engloba la </w:t>
      </w:r>
      <w:r w:rsidR="004B2723" w:rsidRPr="00B6547E">
        <w:rPr>
          <w:rFonts w:ascii="Palatino Linotype" w:hAnsi="Palatino Linotype"/>
          <w:b/>
          <w:i/>
          <w:color w:val="000000"/>
          <w:sz w:val="22"/>
          <w:szCs w:val="22"/>
        </w:rPr>
        <w:lastRenderedPageBreak/>
        <w:t>información solicitada; así como diversos que contienen: Transferencia de expedientes del periodo 2010-2015 de la Delegación Regional de Movilidad Ixtapan de la Sal y Acta Circunstancial de Hechos, mediante la cual consta la inexistencia de información concerniente al periodo 2010-2013 de la Delegación Regional de Movilidad Tejupilco, solicitando de la manera más atenta a esa Unidad de Transparencia en base a ésta última, en términos del artículo</w:t>
      </w:r>
      <w:r w:rsidR="004B2723" w:rsidRPr="00B6547E">
        <w:rPr>
          <w:rFonts w:ascii="Palatino Linotype" w:hAnsi="Palatino Linotype"/>
          <w:i/>
          <w:color w:val="000000"/>
          <w:sz w:val="22"/>
          <w:szCs w:val="22"/>
        </w:rPr>
        <w:t xml:space="preserve"> 49 fracción XIII dictamine la Declaratoria de Inexistencia de la Información. No omitiendo aclarar, que </w:t>
      </w:r>
      <w:r w:rsidR="004B2723" w:rsidRPr="00B6547E">
        <w:rPr>
          <w:rFonts w:ascii="Palatino Linotype" w:hAnsi="Palatino Linotype"/>
          <w:b/>
          <w:i/>
          <w:color w:val="000000"/>
          <w:sz w:val="22"/>
          <w:szCs w:val="22"/>
        </w:rPr>
        <w:t xml:space="preserve">con relación al apartado Oficios de Autorización, después de haber realizado una búsqueda exhaustiva dentro de los expedientes de esta Dirección General de Movilidad Zona I; fueron únicamente localizados los señalados. Así también, se informa que todas las visitas de verificación realizadas durante el periodo solicitado fueron ejecutadas por esta Secretaría de Movilidad; así como por la extinta Secretaría de Transporte, participando de manera esporádica las señaladas en los oficios de </w:t>
      </w:r>
      <w:proofErr w:type="gramStart"/>
      <w:r w:rsidR="004B2723" w:rsidRPr="00B6547E">
        <w:rPr>
          <w:rFonts w:ascii="Palatino Linotype" w:hAnsi="Palatino Linotype"/>
          <w:b/>
          <w:i/>
          <w:color w:val="000000"/>
          <w:sz w:val="22"/>
          <w:szCs w:val="22"/>
        </w:rPr>
        <w:t>coordinación</w:t>
      </w:r>
      <w:r w:rsidR="004B2723" w:rsidRPr="00B6547E">
        <w:rPr>
          <w:rFonts w:ascii="Palatino Linotype" w:hAnsi="Palatino Linotype"/>
          <w:i/>
          <w:color w:val="000000"/>
          <w:sz w:val="22"/>
          <w:szCs w:val="22"/>
        </w:rPr>
        <w:t>.</w:t>
      </w:r>
      <w:r w:rsidR="009450F4" w:rsidRPr="00B6547E">
        <w:rPr>
          <w:rFonts w:ascii="Palatino Linotype" w:hAnsi="Palatino Linotype"/>
          <w:i/>
          <w:iCs/>
          <w:color w:val="000000"/>
          <w:sz w:val="22"/>
          <w:szCs w:val="22"/>
        </w:rPr>
        <w:t>…</w:t>
      </w:r>
      <w:proofErr w:type="gramEnd"/>
      <w:r w:rsidR="009450F4" w:rsidRPr="00B6547E">
        <w:rPr>
          <w:rFonts w:ascii="Palatino Linotype" w:hAnsi="Palatino Linotype"/>
          <w:i/>
          <w:iCs/>
          <w:color w:val="000000"/>
          <w:sz w:val="22"/>
          <w:szCs w:val="22"/>
        </w:rPr>
        <w:t>”</w:t>
      </w:r>
      <w:r w:rsidRPr="00B6547E">
        <w:rPr>
          <w:rFonts w:ascii="Palatino Linotype" w:hAnsi="Palatino Linotype"/>
          <w:i/>
          <w:iCs/>
          <w:color w:val="000000"/>
          <w:sz w:val="22"/>
          <w:szCs w:val="22"/>
        </w:rPr>
        <w:t xml:space="preserve"> (Sic)</w:t>
      </w:r>
    </w:p>
    <w:p w14:paraId="5E23D47F" w14:textId="77777777" w:rsidR="00061087" w:rsidRPr="00B6547E" w:rsidRDefault="00061087" w:rsidP="00061087">
      <w:pPr>
        <w:tabs>
          <w:tab w:val="left" w:pos="426"/>
        </w:tabs>
        <w:ind w:right="616"/>
        <w:jc w:val="both"/>
        <w:rPr>
          <w:rFonts w:ascii="Palatino Linotype" w:hAnsi="Palatino Linotype"/>
          <w:i/>
          <w:iCs/>
          <w:color w:val="000000"/>
          <w:sz w:val="22"/>
          <w:szCs w:val="22"/>
        </w:rPr>
      </w:pPr>
    </w:p>
    <w:p w14:paraId="63C30EF7" w14:textId="2D4AB6B6" w:rsidR="00061087" w:rsidRPr="00B6547E" w:rsidRDefault="00061087" w:rsidP="00061087">
      <w:pPr>
        <w:tabs>
          <w:tab w:val="left" w:pos="426"/>
        </w:tabs>
        <w:ind w:right="616"/>
        <w:jc w:val="both"/>
        <w:rPr>
          <w:rFonts w:ascii="Palatino Linotype" w:hAnsi="Palatino Linotype"/>
          <w:i/>
          <w:iCs/>
          <w:color w:val="000000"/>
          <w:sz w:val="22"/>
          <w:szCs w:val="22"/>
        </w:rPr>
      </w:pPr>
      <w:r w:rsidRPr="00B6547E">
        <w:rPr>
          <w:rFonts w:ascii="Palatino Linotype" w:hAnsi="Palatino Linotype"/>
          <w:i/>
          <w:iCs/>
          <w:color w:val="000000"/>
          <w:sz w:val="22"/>
          <w:szCs w:val="22"/>
        </w:rPr>
        <w:t>Archivos electrónicos adjuntos:</w:t>
      </w:r>
    </w:p>
    <w:p w14:paraId="44A4F2FC" w14:textId="77777777" w:rsidR="00061087" w:rsidRPr="00B6547E" w:rsidRDefault="00061087" w:rsidP="00061087">
      <w:pPr>
        <w:tabs>
          <w:tab w:val="left" w:pos="426"/>
        </w:tabs>
        <w:ind w:right="616"/>
        <w:rPr>
          <w:rFonts w:ascii="Palatino Linotype" w:hAnsi="Palatino Linotype"/>
          <w:i/>
          <w:iCs/>
          <w:sz w:val="22"/>
          <w:szCs w:val="22"/>
        </w:rPr>
      </w:pPr>
    </w:p>
    <w:p w14:paraId="0AEC9C64" w14:textId="0E7D4F32" w:rsidR="00061087" w:rsidRPr="00B6547E" w:rsidRDefault="0005149B" w:rsidP="00001544">
      <w:pPr>
        <w:tabs>
          <w:tab w:val="left" w:pos="426"/>
        </w:tabs>
        <w:ind w:left="567" w:right="616"/>
        <w:jc w:val="both"/>
        <w:rPr>
          <w:rFonts w:ascii="Palatino Linotype" w:hAnsi="Palatino Linotype"/>
          <w:sz w:val="22"/>
          <w:szCs w:val="22"/>
        </w:rPr>
      </w:pPr>
      <w:hyperlink r:id="rId8" w:tgtFrame="_blank" w:history="1">
        <w:r w:rsidR="00061087" w:rsidRPr="00B6547E">
          <w:rPr>
            <w:rStyle w:val="Hipervnculo"/>
            <w:rFonts w:ascii="Palatino Linotype" w:hAnsi="Palatino Linotype" w:cs="Arial"/>
            <w:b/>
            <w:bCs/>
            <w:color w:val="auto"/>
            <w:sz w:val="22"/>
            <w:szCs w:val="22"/>
            <w:u w:val="none"/>
          </w:rPr>
          <w:t>OPERATIVOS 2017-2022.pdf</w:t>
        </w:r>
      </w:hyperlink>
      <w:r w:rsidR="00061087" w:rsidRPr="00B6547E">
        <w:rPr>
          <w:rFonts w:ascii="Palatino Linotype" w:hAnsi="Palatino Linotype"/>
          <w:sz w:val="22"/>
          <w:szCs w:val="22"/>
        </w:rPr>
        <w:t>:</w:t>
      </w:r>
      <w:r w:rsidR="00803A69" w:rsidRPr="00B6547E">
        <w:rPr>
          <w:rFonts w:ascii="Palatino Linotype" w:hAnsi="Palatino Linotype"/>
          <w:sz w:val="22"/>
          <w:szCs w:val="22"/>
        </w:rPr>
        <w:t xml:space="preserve"> Documento de treinta y cinco fojas, consistente en </w:t>
      </w:r>
      <w:r w:rsidR="00001544" w:rsidRPr="00B6547E">
        <w:rPr>
          <w:rFonts w:ascii="Palatino Linotype" w:hAnsi="Palatino Linotype"/>
          <w:sz w:val="22"/>
          <w:szCs w:val="22"/>
        </w:rPr>
        <w:t>un registro de operativos,</w:t>
      </w:r>
      <w:r w:rsidR="00803A69" w:rsidRPr="00B6547E">
        <w:rPr>
          <w:rFonts w:ascii="Palatino Linotype" w:hAnsi="Palatino Linotype"/>
          <w:sz w:val="22"/>
          <w:szCs w:val="22"/>
        </w:rPr>
        <w:t xml:space="preserve"> con los siguientes rubros: AÑO</w:t>
      </w:r>
      <w:r w:rsidR="00001544" w:rsidRPr="00B6547E">
        <w:rPr>
          <w:rFonts w:ascii="Palatino Linotype" w:hAnsi="Palatino Linotype"/>
          <w:sz w:val="22"/>
          <w:szCs w:val="22"/>
        </w:rPr>
        <w:t xml:space="preserve"> (2010 - 2022)</w:t>
      </w:r>
      <w:r w:rsidR="00803A69" w:rsidRPr="00B6547E">
        <w:rPr>
          <w:rFonts w:ascii="Palatino Linotype" w:hAnsi="Palatino Linotype"/>
          <w:sz w:val="22"/>
          <w:szCs w:val="22"/>
        </w:rPr>
        <w:t xml:space="preserve">, NO. DE OPERATIVOS, </w:t>
      </w:r>
      <w:r w:rsidR="00001544" w:rsidRPr="00B6547E">
        <w:rPr>
          <w:rFonts w:ascii="Palatino Linotype" w:hAnsi="Palatino Linotype"/>
          <w:sz w:val="22"/>
          <w:szCs w:val="22"/>
        </w:rPr>
        <w:t>UNIDADES RETENIDAD, TOTAL. Se informó que</w:t>
      </w:r>
      <w:r w:rsidR="003D6D4A" w:rsidRPr="00B6547E">
        <w:rPr>
          <w:rFonts w:ascii="Palatino Linotype" w:hAnsi="Palatino Linotype"/>
          <w:sz w:val="22"/>
          <w:szCs w:val="22"/>
        </w:rPr>
        <w:t>,</w:t>
      </w:r>
      <w:r w:rsidR="00001544" w:rsidRPr="00B6547E">
        <w:rPr>
          <w:rFonts w:ascii="Palatino Linotype" w:hAnsi="Palatino Linotype"/>
          <w:sz w:val="22"/>
          <w:szCs w:val="22"/>
        </w:rPr>
        <w:t xml:space="preserve"> derivado de una revisión minuciosa en los archivos, no se localizó información de 2010 a 2016.</w:t>
      </w:r>
    </w:p>
    <w:p w14:paraId="6B4A1807" w14:textId="77777777" w:rsidR="00001544" w:rsidRPr="00B6547E" w:rsidRDefault="00001544" w:rsidP="00001544">
      <w:pPr>
        <w:tabs>
          <w:tab w:val="left" w:pos="426"/>
        </w:tabs>
        <w:ind w:left="567" w:right="616"/>
        <w:jc w:val="both"/>
        <w:rPr>
          <w:rFonts w:ascii="Palatino Linotype" w:hAnsi="Palatino Linotype"/>
          <w:sz w:val="22"/>
          <w:szCs w:val="22"/>
        </w:rPr>
      </w:pPr>
    </w:p>
    <w:p w14:paraId="6330EE9C" w14:textId="72AA68A4" w:rsidR="00001544" w:rsidRPr="00B6547E" w:rsidRDefault="0005149B" w:rsidP="00001544">
      <w:pPr>
        <w:tabs>
          <w:tab w:val="left" w:pos="426"/>
        </w:tabs>
        <w:ind w:left="567" w:right="616"/>
        <w:jc w:val="both"/>
        <w:rPr>
          <w:rFonts w:ascii="Palatino Linotype" w:hAnsi="Palatino Linotype"/>
          <w:sz w:val="22"/>
          <w:szCs w:val="22"/>
        </w:rPr>
      </w:pPr>
      <w:hyperlink r:id="rId9" w:tgtFrame="_blank" w:history="1">
        <w:r w:rsidR="00061087" w:rsidRPr="00B6547E">
          <w:rPr>
            <w:rStyle w:val="Hipervnculo"/>
            <w:rFonts w:ascii="Palatino Linotype" w:hAnsi="Palatino Linotype" w:cs="Arial"/>
            <w:b/>
            <w:bCs/>
            <w:color w:val="auto"/>
            <w:sz w:val="22"/>
            <w:szCs w:val="22"/>
            <w:u w:val="none"/>
          </w:rPr>
          <w:t>OPERATIVOS ECATEPEC Y TEXCOCO 2017-2022.xlsx</w:t>
        </w:r>
      </w:hyperlink>
      <w:r w:rsidR="00061087" w:rsidRPr="00B6547E">
        <w:rPr>
          <w:rFonts w:ascii="Palatino Linotype" w:hAnsi="Palatino Linotype"/>
          <w:sz w:val="22"/>
          <w:szCs w:val="22"/>
        </w:rPr>
        <w:t>:</w:t>
      </w:r>
      <w:r w:rsidR="00001544" w:rsidRPr="00B6547E">
        <w:rPr>
          <w:rFonts w:ascii="Palatino Linotype" w:hAnsi="Palatino Linotype"/>
          <w:sz w:val="22"/>
          <w:szCs w:val="22"/>
        </w:rPr>
        <w:t xml:space="preserve"> Documento consistente en un registro de operativos de Ecatepec y Texcoco, con los siguientes rubros: AÑO (2010 - 2022), NO. DE OPERATIVOS, UNIDADES RETENIDAS, AUTORIDADES INVOLUCRADAS, NO. OFICIOS y PERSONAL INSPECCIÓN PARTICIPANTES. Se informó que</w:t>
      </w:r>
      <w:r w:rsidR="003D6D4A" w:rsidRPr="00B6547E">
        <w:rPr>
          <w:rFonts w:ascii="Palatino Linotype" w:hAnsi="Palatino Linotype"/>
          <w:sz w:val="22"/>
          <w:szCs w:val="22"/>
        </w:rPr>
        <w:t>,</w:t>
      </w:r>
      <w:r w:rsidR="00001544" w:rsidRPr="00B6547E">
        <w:rPr>
          <w:rFonts w:ascii="Palatino Linotype" w:hAnsi="Palatino Linotype"/>
          <w:sz w:val="22"/>
          <w:szCs w:val="22"/>
        </w:rPr>
        <w:t xml:space="preserve"> derivado de una revisión minuciosa en los archivos, no se localizó información de 2010 a 2016.</w:t>
      </w:r>
    </w:p>
    <w:p w14:paraId="5312E4F5" w14:textId="77777777" w:rsidR="00001544" w:rsidRPr="00B6547E" w:rsidRDefault="00001544" w:rsidP="00001544">
      <w:pPr>
        <w:tabs>
          <w:tab w:val="left" w:pos="426"/>
        </w:tabs>
        <w:ind w:right="616"/>
        <w:jc w:val="both"/>
        <w:rPr>
          <w:rFonts w:ascii="Palatino Linotype" w:hAnsi="Palatino Linotype"/>
          <w:sz w:val="22"/>
          <w:szCs w:val="22"/>
        </w:rPr>
      </w:pPr>
    </w:p>
    <w:p w14:paraId="0CC5D3BA" w14:textId="08EC4825" w:rsidR="00061087" w:rsidRPr="00B6547E" w:rsidRDefault="0005149B" w:rsidP="00001544">
      <w:pPr>
        <w:tabs>
          <w:tab w:val="left" w:pos="426"/>
        </w:tabs>
        <w:ind w:left="567" w:right="616"/>
        <w:jc w:val="both"/>
        <w:rPr>
          <w:rFonts w:ascii="Palatino Linotype" w:hAnsi="Palatino Linotype"/>
          <w:sz w:val="22"/>
          <w:szCs w:val="22"/>
        </w:rPr>
      </w:pPr>
      <w:hyperlink r:id="rId10" w:tgtFrame="_blank" w:history="1">
        <w:r w:rsidR="00061087" w:rsidRPr="00B6547E">
          <w:rPr>
            <w:rStyle w:val="Hipervnculo"/>
            <w:rFonts w:ascii="Palatino Linotype" w:hAnsi="Palatino Linotype" w:cs="Arial"/>
            <w:b/>
            <w:bCs/>
            <w:color w:val="auto"/>
            <w:sz w:val="22"/>
            <w:szCs w:val="22"/>
            <w:u w:val="none"/>
          </w:rPr>
          <w:t>OPERATIVOS Y SUS RESULTADOS.pdf</w:t>
        </w:r>
      </w:hyperlink>
      <w:r w:rsidR="00061087" w:rsidRPr="00B6547E">
        <w:rPr>
          <w:rFonts w:ascii="Palatino Linotype" w:hAnsi="Palatino Linotype"/>
          <w:sz w:val="22"/>
          <w:szCs w:val="22"/>
        </w:rPr>
        <w:t>:</w:t>
      </w:r>
      <w:r w:rsidR="00001544" w:rsidRPr="00B6547E">
        <w:rPr>
          <w:rFonts w:ascii="Palatino Linotype" w:hAnsi="Palatino Linotype"/>
          <w:sz w:val="22"/>
          <w:szCs w:val="22"/>
        </w:rPr>
        <w:t xml:space="preserve"> Documento por medio del cual, se informó </w:t>
      </w:r>
      <w:proofErr w:type="gramStart"/>
      <w:r w:rsidR="00001544" w:rsidRPr="00B6547E">
        <w:rPr>
          <w:rFonts w:ascii="Palatino Linotype" w:hAnsi="Palatino Linotype"/>
          <w:sz w:val="22"/>
          <w:szCs w:val="22"/>
        </w:rPr>
        <w:t>que</w:t>
      </w:r>
      <w:proofErr w:type="gramEnd"/>
      <w:r w:rsidR="00001544" w:rsidRPr="00B6547E">
        <w:rPr>
          <w:rFonts w:ascii="Palatino Linotype" w:hAnsi="Palatino Linotype"/>
          <w:sz w:val="22"/>
          <w:szCs w:val="22"/>
        </w:rPr>
        <w:t xml:space="preserve"> durante el periodo </w:t>
      </w:r>
      <w:r w:rsidR="003D6D4A" w:rsidRPr="00B6547E">
        <w:rPr>
          <w:rFonts w:ascii="Palatino Linotype" w:hAnsi="Palatino Linotype"/>
          <w:sz w:val="22"/>
          <w:szCs w:val="22"/>
        </w:rPr>
        <w:t>de</w:t>
      </w:r>
      <w:r w:rsidR="00001544" w:rsidRPr="00B6547E">
        <w:rPr>
          <w:rFonts w:ascii="Palatino Linotype" w:hAnsi="Palatino Linotype"/>
          <w:sz w:val="22"/>
          <w:szCs w:val="22"/>
        </w:rPr>
        <w:t xml:space="preserve"> 2010 a febrero</w:t>
      </w:r>
      <w:r w:rsidR="003D6D4A" w:rsidRPr="00B6547E">
        <w:rPr>
          <w:rFonts w:ascii="Palatino Linotype" w:hAnsi="Palatino Linotype"/>
          <w:sz w:val="22"/>
          <w:szCs w:val="22"/>
        </w:rPr>
        <w:t xml:space="preserve"> 2022</w:t>
      </w:r>
      <w:r w:rsidR="00001544" w:rsidRPr="00B6547E">
        <w:rPr>
          <w:rFonts w:ascii="Palatino Linotype" w:hAnsi="Palatino Linotype"/>
          <w:sz w:val="22"/>
          <w:szCs w:val="22"/>
        </w:rPr>
        <w:t xml:space="preserve">, se realizaron 3,702 visitas de verificación inspección, de los cuales se retiraron 14,608 unidades fuera de normatividad, </w:t>
      </w:r>
      <w:r w:rsidR="00001544" w:rsidRPr="00B6547E">
        <w:rPr>
          <w:rFonts w:ascii="Palatino Linotype" w:hAnsi="Palatino Linotype"/>
          <w:sz w:val="22"/>
          <w:szCs w:val="22"/>
        </w:rPr>
        <w:lastRenderedPageBreak/>
        <w:t>asimismo, se agregó un registro de operativos, con los siguientes rubros: AÑO, VISTAS DE VERIFICACIÓN E INSPECCIÓN y UNIDADES RETENIDAS.</w:t>
      </w:r>
    </w:p>
    <w:p w14:paraId="04A49E3A" w14:textId="77777777" w:rsidR="00001544" w:rsidRPr="00B6547E" w:rsidRDefault="00001544" w:rsidP="00001544">
      <w:pPr>
        <w:tabs>
          <w:tab w:val="left" w:pos="426"/>
        </w:tabs>
        <w:ind w:left="567" w:right="616"/>
        <w:jc w:val="both"/>
        <w:rPr>
          <w:rFonts w:ascii="Palatino Linotype" w:hAnsi="Palatino Linotype"/>
          <w:sz w:val="22"/>
          <w:szCs w:val="22"/>
        </w:rPr>
      </w:pPr>
    </w:p>
    <w:p w14:paraId="6B98609F" w14:textId="6764875F" w:rsidR="003D6D4A" w:rsidRPr="00B6547E" w:rsidRDefault="0005149B" w:rsidP="003D6D4A">
      <w:pPr>
        <w:tabs>
          <w:tab w:val="left" w:pos="426"/>
        </w:tabs>
        <w:ind w:left="567" w:right="616"/>
        <w:jc w:val="both"/>
        <w:rPr>
          <w:rFonts w:ascii="Palatino Linotype" w:hAnsi="Palatino Linotype"/>
          <w:sz w:val="22"/>
          <w:szCs w:val="22"/>
        </w:rPr>
      </w:pPr>
      <w:hyperlink r:id="rId11" w:tgtFrame="_blank" w:history="1">
        <w:r w:rsidR="00061087" w:rsidRPr="00B6547E">
          <w:rPr>
            <w:rStyle w:val="Hipervnculo"/>
            <w:rFonts w:ascii="Palatino Linotype" w:hAnsi="Palatino Linotype" w:cs="Arial"/>
            <w:b/>
            <w:bCs/>
            <w:color w:val="auto"/>
            <w:sz w:val="22"/>
            <w:szCs w:val="22"/>
            <w:u w:val="none"/>
          </w:rPr>
          <w:t>RELACIÓN DE OFICIOS DE HABILITACIÓN (SUBSEC.).pdf</w:t>
        </w:r>
      </w:hyperlink>
      <w:r w:rsidR="00061087" w:rsidRPr="00B6547E">
        <w:rPr>
          <w:rFonts w:ascii="Palatino Linotype" w:hAnsi="Palatino Linotype"/>
          <w:sz w:val="22"/>
          <w:szCs w:val="22"/>
        </w:rPr>
        <w:t>:</w:t>
      </w:r>
      <w:r w:rsidR="003D6D4A" w:rsidRPr="00B6547E">
        <w:rPr>
          <w:rFonts w:ascii="Palatino Linotype" w:hAnsi="Palatino Linotype"/>
          <w:sz w:val="22"/>
          <w:szCs w:val="22"/>
        </w:rPr>
        <w:t xml:space="preserve"> Documento de dos fojas que contiene los oficios de autorización para realización de visitas de verificación e inspección de 2017 a 2022.</w:t>
      </w:r>
    </w:p>
    <w:p w14:paraId="22F3BC27" w14:textId="6093C1F5" w:rsidR="00061087" w:rsidRPr="00B6547E" w:rsidRDefault="0005149B" w:rsidP="00001544">
      <w:pPr>
        <w:tabs>
          <w:tab w:val="left" w:pos="426"/>
        </w:tabs>
        <w:ind w:left="567" w:right="616"/>
        <w:jc w:val="both"/>
        <w:rPr>
          <w:rFonts w:ascii="Palatino Linotype" w:hAnsi="Palatino Linotype"/>
          <w:sz w:val="22"/>
          <w:szCs w:val="22"/>
        </w:rPr>
      </w:pPr>
      <w:hyperlink r:id="rId12" w:tgtFrame="_blank" w:history="1">
        <w:r w:rsidR="00061087" w:rsidRPr="00B6547E">
          <w:rPr>
            <w:rStyle w:val="Hipervnculo"/>
            <w:rFonts w:ascii="Palatino Linotype" w:hAnsi="Palatino Linotype" w:cs="Arial"/>
            <w:b/>
            <w:bCs/>
            <w:color w:val="auto"/>
            <w:sz w:val="22"/>
            <w:szCs w:val="22"/>
            <w:u w:val="none"/>
          </w:rPr>
          <w:t>INSPECTORES HABILITADOS DIRECCIÓN GENERAL ZONA II.pdf</w:t>
        </w:r>
      </w:hyperlink>
      <w:r w:rsidR="00061087" w:rsidRPr="00B6547E">
        <w:rPr>
          <w:rFonts w:ascii="Palatino Linotype" w:hAnsi="Palatino Linotype"/>
          <w:sz w:val="22"/>
          <w:szCs w:val="22"/>
        </w:rPr>
        <w:t>:</w:t>
      </w:r>
      <w:r w:rsidR="003D6D4A" w:rsidRPr="00B6547E">
        <w:rPr>
          <w:rFonts w:ascii="Palatino Linotype" w:hAnsi="Palatino Linotype"/>
          <w:sz w:val="22"/>
          <w:szCs w:val="22"/>
        </w:rPr>
        <w:t xml:space="preserve"> Documento de cuatro fojas consistente en un registro de inspectores habilitados Delegación Regional Naucalpan, Delegación Regional Cuautitlán Izcalli, Delegación Regional Zumpango y Dirección General de Movilidad Zona II, de 2017 a 2022.</w:t>
      </w:r>
    </w:p>
    <w:p w14:paraId="7B9D94DB" w14:textId="77777777" w:rsidR="003D6D4A" w:rsidRPr="00B6547E" w:rsidRDefault="003D6D4A" w:rsidP="003D6D4A">
      <w:pPr>
        <w:tabs>
          <w:tab w:val="left" w:pos="426"/>
        </w:tabs>
        <w:ind w:right="616"/>
        <w:jc w:val="both"/>
        <w:rPr>
          <w:rFonts w:ascii="Palatino Linotype" w:hAnsi="Palatino Linotype"/>
          <w:sz w:val="22"/>
          <w:szCs w:val="22"/>
        </w:rPr>
      </w:pPr>
    </w:p>
    <w:p w14:paraId="2C621CC1" w14:textId="20132D76" w:rsidR="00061087" w:rsidRPr="00B6547E" w:rsidRDefault="0005149B" w:rsidP="00001544">
      <w:pPr>
        <w:tabs>
          <w:tab w:val="left" w:pos="426"/>
        </w:tabs>
        <w:ind w:left="567" w:right="616"/>
        <w:jc w:val="both"/>
        <w:rPr>
          <w:rFonts w:ascii="Palatino Linotype" w:hAnsi="Palatino Linotype"/>
          <w:sz w:val="22"/>
          <w:szCs w:val="22"/>
        </w:rPr>
      </w:pPr>
      <w:hyperlink r:id="rId13" w:tgtFrame="_blank" w:history="1">
        <w:r w:rsidR="00061087" w:rsidRPr="00B6547E">
          <w:rPr>
            <w:rStyle w:val="Hipervnculo"/>
            <w:rFonts w:ascii="Palatino Linotype" w:hAnsi="Palatino Linotype" w:cs="Arial"/>
            <w:b/>
            <w:bCs/>
            <w:color w:val="auto"/>
            <w:sz w:val="22"/>
            <w:szCs w:val="22"/>
            <w:u w:val="none"/>
          </w:rPr>
          <w:t>AUTORIDADES PARTICIPANTES EN LAS VISITAS DE VERIFICACIÓN E INSPECCIÓN.pdf</w:t>
        </w:r>
      </w:hyperlink>
      <w:r w:rsidR="00061087" w:rsidRPr="00B6547E">
        <w:rPr>
          <w:rFonts w:ascii="Palatino Linotype" w:hAnsi="Palatino Linotype"/>
          <w:sz w:val="22"/>
          <w:szCs w:val="22"/>
        </w:rPr>
        <w:t>:</w:t>
      </w:r>
      <w:r w:rsidR="003D6D4A" w:rsidRPr="00B6547E">
        <w:rPr>
          <w:rFonts w:ascii="Palatino Linotype" w:hAnsi="Palatino Linotype"/>
          <w:sz w:val="22"/>
          <w:szCs w:val="22"/>
        </w:rPr>
        <w:t xml:space="preserve"> </w:t>
      </w:r>
      <w:r w:rsidR="00A17EAA" w:rsidRPr="00B6547E">
        <w:rPr>
          <w:rFonts w:ascii="Palatino Linotype" w:hAnsi="Palatino Linotype"/>
          <w:sz w:val="22"/>
          <w:szCs w:val="22"/>
        </w:rPr>
        <w:t>Documento de una foja donde se advierten las autoridades que participaron en las visitas de verificación e inspección: FISCLAÍA DEL ESTADO DE MÉXICO, POLICÍA MUNICIPAL, POLICÍA ESTATAL, POLICÍA DE GÉNERO, SECRETARIA DE MOVILIDAD Y EJÉRCITO MEXICANO.</w:t>
      </w:r>
    </w:p>
    <w:p w14:paraId="1F84ABAC" w14:textId="77777777" w:rsidR="003D6D4A" w:rsidRPr="00B6547E" w:rsidRDefault="003D6D4A" w:rsidP="00001544">
      <w:pPr>
        <w:tabs>
          <w:tab w:val="left" w:pos="426"/>
        </w:tabs>
        <w:ind w:left="567" w:right="616"/>
        <w:jc w:val="both"/>
        <w:rPr>
          <w:rFonts w:ascii="Palatino Linotype" w:hAnsi="Palatino Linotype"/>
          <w:sz w:val="22"/>
          <w:szCs w:val="22"/>
        </w:rPr>
      </w:pPr>
    </w:p>
    <w:p w14:paraId="10FFB7BF" w14:textId="568B6562" w:rsidR="00061087" w:rsidRPr="00B6547E" w:rsidRDefault="0005149B" w:rsidP="00001544">
      <w:pPr>
        <w:tabs>
          <w:tab w:val="left" w:pos="426"/>
        </w:tabs>
        <w:ind w:left="567" w:right="616"/>
        <w:jc w:val="both"/>
        <w:rPr>
          <w:rFonts w:ascii="Palatino Linotype" w:hAnsi="Palatino Linotype"/>
          <w:sz w:val="22"/>
          <w:szCs w:val="22"/>
        </w:rPr>
      </w:pPr>
      <w:hyperlink r:id="rId14" w:tgtFrame="_blank" w:history="1">
        <w:r w:rsidR="00061087" w:rsidRPr="00B6547E">
          <w:rPr>
            <w:rStyle w:val="Hipervnculo"/>
            <w:rFonts w:ascii="Palatino Linotype" w:hAnsi="Palatino Linotype" w:cs="Arial"/>
            <w:b/>
            <w:bCs/>
            <w:color w:val="auto"/>
            <w:sz w:val="22"/>
            <w:szCs w:val="22"/>
            <w:u w:val="none"/>
          </w:rPr>
          <w:t>ACTA CIRCUNSTANCIAL DE HECHOS_Tejupilco.pdf</w:t>
        </w:r>
      </w:hyperlink>
      <w:r w:rsidR="00061087" w:rsidRPr="00B6547E">
        <w:rPr>
          <w:rFonts w:ascii="Palatino Linotype" w:hAnsi="Palatino Linotype"/>
          <w:sz w:val="22"/>
          <w:szCs w:val="22"/>
        </w:rPr>
        <w:t>:</w:t>
      </w:r>
      <w:r w:rsidR="00A72125" w:rsidRPr="00B6547E">
        <w:rPr>
          <w:rFonts w:ascii="Palatino Linotype" w:hAnsi="Palatino Linotype"/>
          <w:sz w:val="22"/>
          <w:szCs w:val="22"/>
        </w:rPr>
        <w:t xml:space="preserve"> Documento de una foja, consistente en la copia digitalizada del Acta Circunstanciada de Hechos, signada por el </w:t>
      </w:r>
      <w:proofErr w:type="gramStart"/>
      <w:r w:rsidR="00A72125" w:rsidRPr="00B6547E">
        <w:rPr>
          <w:rFonts w:ascii="Palatino Linotype" w:hAnsi="Palatino Linotype"/>
          <w:sz w:val="22"/>
          <w:szCs w:val="22"/>
        </w:rPr>
        <w:t>Delegado</w:t>
      </w:r>
      <w:proofErr w:type="gramEnd"/>
      <w:r w:rsidR="00A72125" w:rsidRPr="00B6547E">
        <w:rPr>
          <w:rFonts w:ascii="Palatino Linotype" w:hAnsi="Palatino Linotype"/>
          <w:sz w:val="22"/>
          <w:szCs w:val="22"/>
        </w:rPr>
        <w:t xml:space="preserve"> Regional de Movilidad Tejupilco, el Subdelegado Regional de Movilidad Tejupilco y la Jefa de Oficina, por medio de la cual, informaron que se realizó una búsqueda exhaustiva de la información solicitada, en la Oficina de la Delegación y en todas las áreas donde pudiera localizarse la información, sin que esta fuera localizada.</w:t>
      </w:r>
    </w:p>
    <w:p w14:paraId="4A7DCFFD" w14:textId="77777777" w:rsidR="00A72125" w:rsidRPr="00B6547E" w:rsidRDefault="00A72125" w:rsidP="00001544">
      <w:pPr>
        <w:tabs>
          <w:tab w:val="left" w:pos="426"/>
        </w:tabs>
        <w:ind w:left="567" w:right="616"/>
        <w:jc w:val="both"/>
        <w:rPr>
          <w:rFonts w:ascii="Palatino Linotype" w:hAnsi="Palatino Linotype"/>
          <w:sz w:val="22"/>
          <w:szCs w:val="22"/>
        </w:rPr>
      </w:pPr>
    </w:p>
    <w:p w14:paraId="71BCE9DA" w14:textId="3551A230" w:rsidR="00A17EAA" w:rsidRPr="00B6547E" w:rsidRDefault="0005149B" w:rsidP="00A17EAA">
      <w:pPr>
        <w:tabs>
          <w:tab w:val="left" w:pos="426"/>
        </w:tabs>
        <w:ind w:left="567" w:right="616"/>
        <w:jc w:val="both"/>
        <w:rPr>
          <w:rFonts w:ascii="Palatino Linotype" w:hAnsi="Palatino Linotype"/>
          <w:sz w:val="22"/>
          <w:szCs w:val="22"/>
        </w:rPr>
      </w:pPr>
      <w:hyperlink r:id="rId15" w:tgtFrame="_blank" w:history="1">
        <w:r w:rsidR="00061087" w:rsidRPr="00B6547E">
          <w:rPr>
            <w:rStyle w:val="Hipervnculo"/>
            <w:rFonts w:ascii="Palatino Linotype" w:hAnsi="Palatino Linotype" w:cs="Arial"/>
            <w:b/>
            <w:bCs/>
            <w:color w:val="auto"/>
            <w:sz w:val="22"/>
            <w:szCs w:val="22"/>
            <w:u w:val="none"/>
          </w:rPr>
          <w:t>Transferencia expedientes al Archivo del 2010 al 2015_Ixtapan.pdf</w:t>
        </w:r>
      </w:hyperlink>
      <w:r w:rsidR="00061087" w:rsidRPr="00B6547E">
        <w:rPr>
          <w:rFonts w:ascii="Palatino Linotype" w:hAnsi="Palatino Linotype"/>
          <w:sz w:val="22"/>
          <w:szCs w:val="22"/>
        </w:rPr>
        <w:t>:</w:t>
      </w:r>
      <w:r w:rsidR="00A72125" w:rsidRPr="00B6547E">
        <w:rPr>
          <w:rFonts w:ascii="Palatino Linotype" w:hAnsi="Palatino Linotype"/>
          <w:sz w:val="22"/>
          <w:szCs w:val="22"/>
        </w:rPr>
        <w:t xml:space="preserve"> Documento consistente en la copia digitalizada del oficio de fecha 29 de junio de 2017, suscrito por el Delegado Regional de Movilidad de Ixtapan de la Sal, dirigido al Subdirector Administrativo y Presidente del Comité de selección documental de la Secretaría de Movilidad, por medio del cual, informó que la delegación cuenta con 47,153 documentos susceptibles de destrucción por el método de trituración, correspondiente a los archivos 2010, 2011, 2012, 2013 y 2014 de la Delegación Regional de Movilidad Ixtapan de la </w:t>
      </w:r>
      <w:r w:rsidR="00A72125" w:rsidRPr="00B6547E">
        <w:rPr>
          <w:rFonts w:ascii="Palatino Linotype" w:hAnsi="Palatino Linotype"/>
          <w:sz w:val="22"/>
          <w:szCs w:val="22"/>
        </w:rPr>
        <w:lastRenderedPageBreak/>
        <w:t>Sal, 2009, 2010, 2011, 2012, 2013 y 2014 de la Subdirección del Comité para determinar su transferencia al Archivo</w:t>
      </w:r>
      <w:r w:rsidR="00A17EAA" w:rsidRPr="00B6547E">
        <w:rPr>
          <w:rFonts w:ascii="Palatino Linotype" w:hAnsi="Palatino Linotype"/>
          <w:sz w:val="22"/>
          <w:szCs w:val="22"/>
        </w:rPr>
        <w:t xml:space="preserve"> General del Poder Ejecutivo y/o su destrucción. Asimismo, se adjuntó el Inventario de Archivo de Concentración de 2009 a 2015.</w:t>
      </w:r>
    </w:p>
    <w:p w14:paraId="3CBD5411" w14:textId="77777777" w:rsidR="00A72125" w:rsidRPr="00B6547E" w:rsidRDefault="00A72125" w:rsidP="00A72125">
      <w:pPr>
        <w:tabs>
          <w:tab w:val="left" w:pos="426"/>
        </w:tabs>
        <w:ind w:right="616"/>
        <w:jc w:val="both"/>
        <w:rPr>
          <w:rFonts w:ascii="Palatino Linotype" w:hAnsi="Palatino Linotype"/>
          <w:sz w:val="22"/>
          <w:szCs w:val="22"/>
        </w:rPr>
      </w:pPr>
    </w:p>
    <w:p w14:paraId="1CBCEB81" w14:textId="77777777" w:rsidR="00A17EAA" w:rsidRPr="00B6547E" w:rsidRDefault="0005149B" w:rsidP="00001544">
      <w:pPr>
        <w:tabs>
          <w:tab w:val="left" w:pos="426"/>
        </w:tabs>
        <w:ind w:left="567" w:right="616"/>
        <w:jc w:val="both"/>
        <w:rPr>
          <w:rFonts w:ascii="Palatino Linotype" w:hAnsi="Palatino Linotype"/>
          <w:sz w:val="22"/>
          <w:szCs w:val="22"/>
        </w:rPr>
      </w:pPr>
      <w:hyperlink r:id="rId16" w:tgtFrame="_blank" w:history="1">
        <w:r w:rsidR="00061087" w:rsidRPr="00B6547E">
          <w:rPr>
            <w:rStyle w:val="Hipervnculo"/>
            <w:rFonts w:ascii="Palatino Linotype" w:hAnsi="Palatino Linotype" w:cs="Arial"/>
            <w:b/>
            <w:bCs/>
            <w:color w:val="auto"/>
            <w:sz w:val="22"/>
            <w:szCs w:val="22"/>
            <w:u w:val="none"/>
          </w:rPr>
          <w:t>Operativos_Zona_I.pdf</w:t>
        </w:r>
      </w:hyperlink>
      <w:r w:rsidR="00061087" w:rsidRPr="00B6547E">
        <w:rPr>
          <w:rFonts w:ascii="Palatino Linotype" w:hAnsi="Palatino Linotype"/>
          <w:sz w:val="22"/>
          <w:szCs w:val="22"/>
        </w:rPr>
        <w:t>:</w:t>
      </w:r>
      <w:r w:rsidR="00A17EAA" w:rsidRPr="00B6547E">
        <w:rPr>
          <w:rFonts w:ascii="Palatino Linotype" w:hAnsi="Palatino Linotype"/>
          <w:sz w:val="22"/>
          <w:szCs w:val="22"/>
        </w:rPr>
        <w:t xml:space="preserve"> Documento de cinco fojas, consistente en:</w:t>
      </w:r>
    </w:p>
    <w:p w14:paraId="752FAB8D" w14:textId="7D66EBAA" w:rsidR="00A17EAA" w:rsidRPr="00B6547E" w:rsidRDefault="00A17EAA" w:rsidP="00A917F3">
      <w:pPr>
        <w:tabs>
          <w:tab w:val="left" w:pos="426"/>
        </w:tabs>
        <w:ind w:left="567" w:right="616"/>
        <w:jc w:val="both"/>
        <w:rPr>
          <w:rFonts w:ascii="Palatino Linotype" w:hAnsi="Palatino Linotype"/>
          <w:sz w:val="22"/>
          <w:szCs w:val="22"/>
        </w:rPr>
      </w:pPr>
      <w:r w:rsidRPr="00B6547E">
        <w:rPr>
          <w:rFonts w:ascii="Palatino Linotype" w:hAnsi="Palatino Linotype"/>
          <w:sz w:val="22"/>
          <w:szCs w:val="22"/>
        </w:rPr>
        <w:t>-El registro de operativos de la Delegación Regional de Movilidad Toluca, Valle de Bravo, Atlacomulco, Ixtapan de la Sal, Tejupilco</w:t>
      </w:r>
      <w:r w:rsidR="00A917F3" w:rsidRPr="00B6547E">
        <w:rPr>
          <w:rFonts w:ascii="Palatino Linotype" w:hAnsi="Palatino Linotype"/>
          <w:sz w:val="22"/>
          <w:szCs w:val="22"/>
        </w:rPr>
        <w:t xml:space="preserve"> de 2010 a 2022</w:t>
      </w:r>
      <w:r w:rsidRPr="00B6547E">
        <w:rPr>
          <w:rFonts w:ascii="Palatino Linotype" w:hAnsi="Palatino Linotype"/>
          <w:sz w:val="22"/>
          <w:szCs w:val="22"/>
        </w:rPr>
        <w:t xml:space="preserve">, con los siguientes rubros: AÑO, NUMERO DE OPERATIVOS, VEHÍCULOS RETENIDOS y TOTAL. </w:t>
      </w:r>
    </w:p>
    <w:p w14:paraId="265020D0" w14:textId="6AEA0CFF" w:rsidR="00061087" w:rsidRPr="00B6547E" w:rsidRDefault="00A17EAA" w:rsidP="00001544">
      <w:pPr>
        <w:tabs>
          <w:tab w:val="left" w:pos="426"/>
        </w:tabs>
        <w:ind w:left="567" w:right="616"/>
        <w:jc w:val="both"/>
        <w:rPr>
          <w:rFonts w:ascii="Palatino Linotype" w:hAnsi="Palatino Linotype"/>
          <w:sz w:val="22"/>
          <w:szCs w:val="22"/>
        </w:rPr>
      </w:pPr>
      <w:r w:rsidRPr="00B6547E">
        <w:rPr>
          <w:rFonts w:ascii="Palatino Linotype" w:hAnsi="Palatino Linotype"/>
          <w:sz w:val="22"/>
          <w:szCs w:val="22"/>
        </w:rPr>
        <w:t>-</w:t>
      </w:r>
      <w:r w:rsidR="00A917F3" w:rsidRPr="00B6547E">
        <w:rPr>
          <w:rFonts w:ascii="Palatino Linotype" w:hAnsi="Palatino Linotype"/>
          <w:sz w:val="22"/>
          <w:szCs w:val="22"/>
        </w:rPr>
        <w:t>El registro de l</w:t>
      </w:r>
      <w:r w:rsidRPr="00B6547E">
        <w:rPr>
          <w:rFonts w:ascii="Palatino Linotype" w:hAnsi="Palatino Linotype"/>
          <w:sz w:val="22"/>
          <w:szCs w:val="22"/>
        </w:rPr>
        <w:t>os nombres del Personal adscrito a la Dirección General de Movilidad Zona I, Comisionado para la realización de visitas durante el periodo 2010-2022.</w:t>
      </w:r>
    </w:p>
    <w:p w14:paraId="40D541B3" w14:textId="67225718" w:rsidR="00A17EAA" w:rsidRPr="00B6547E" w:rsidRDefault="00A917F3" w:rsidP="00001544">
      <w:pPr>
        <w:tabs>
          <w:tab w:val="left" w:pos="426"/>
        </w:tabs>
        <w:ind w:left="567" w:right="616"/>
        <w:jc w:val="both"/>
        <w:rPr>
          <w:rFonts w:ascii="Palatino Linotype" w:hAnsi="Palatino Linotype"/>
          <w:sz w:val="22"/>
          <w:szCs w:val="22"/>
        </w:rPr>
      </w:pPr>
      <w:r w:rsidRPr="00B6547E">
        <w:rPr>
          <w:rFonts w:ascii="Palatino Linotype" w:hAnsi="Palatino Linotype"/>
          <w:sz w:val="22"/>
          <w:szCs w:val="22"/>
        </w:rPr>
        <w:t>-Relación de</w:t>
      </w:r>
      <w:r w:rsidR="00A17EAA" w:rsidRPr="00B6547E">
        <w:rPr>
          <w:rFonts w:ascii="Palatino Linotype" w:hAnsi="Palatino Linotype"/>
          <w:sz w:val="22"/>
          <w:szCs w:val="22"/>
        </w:rPr>
        <w:t xml:space="preserve"> oficios de autorización.</w:t>
      </w:r>
    </w:p>
    <w:p w14:paraId="03BE75A2" w14:textId="2B742144" w:rsidR="00A17EAA" w:rsidRPr="00B6547E" w:rsidRDefault="00A17EAA" w:rsidP="00A917F3">
      <w:pPr>
        <w:tabs>
          <w:tab w:val="left" w:pos="426"/>
        </w:tabs>
        <w:ind w:left="567" w:right="616"/>
        <w:jc w:val="both"/>
        <w:rPr>
          <w:rFonts w:ascii="Palatino Linotype" w:hAnsi="Palatino Linotype"/>
          <w:sz w:val="22"/>
          <w:szCs w:val="22"/>
        </w:rPr>
      </w:pPr>
      <w:r w:rsidRPr="00B6547E">
        <w:rPr>
          <w:rFonts w:ascii="Palatino Linotype" w:hAnsi="Palatino Linotype"/>
          <w:sz w:val="22"/>
          <w:szCs w:val="22"/>
        </w:rPr>
        <w:t>-</w:t>
      </w:r>
      <w:r w:rsidR="00A917F3" w:rsidRPr="00B6547E">
        <w:rPr>
          <w:rFonts w:ascii="Palatino Linotype" w:hAnsi="Palatino Linotype"/>
          <w:sz w:val="22"/>
          <w:szCs w:val="22"/>
        </w:rPr>
        <w:t>Relación de o</w:t>
      </w:r>
      <w:r w:rsidRPr="00B6547E">
        <w:rPr>
          <w:rFonts w:ascii="Palatino Linotype" w:hAnsi="Palatino Linotype"/>
          <w:sz w:val="22"/>
          <w:szCs w:val="22"/>
        </w:rPr>
        <w:t>ficios de Coordinación con otras Unidades Administrativas / Dependencias</w:t>
      </w:r>
      <w:r w:rsidR="00A917F3" w:rsidRPr="00B6547E">
        <w:rPr>
          <w:rFonts w:ascii="Palatino Linotype" w:hAnsi="Palatino Linotype"/>
          <w:sz w:val="22"/>
          <w:szCs w:val="22"/>
        </w:rPr>
        <w:t>, con los siguientes rubros: NÚMERO DE OFICIO, FECHA, AUTORIDAD DIRIGIDA.</w:t>
      </w:r>
    </w:p>
    <w:p w14:paraId="718F2F07" w14:textId="77777777" w:rsidR="00C30330" w:rsidRPr="00B6547E" w:rsidRDefault="00C30330" w:rsidP="00395839">
      <w:pPr>
        <w:tabs>
          <w:tab w:val="left" w:pos="426"/>
        </w:tabs>
        <w:jc w:val="both"/>
        <w:rPr>
          <w:rFonts w:ascii="Palatino Linotype" w:eastAsia="MS Mincho" w:hAnsi="Palatino Linotype" w:cs="Times New Roman"/>
          <w:color w:val="000000" w:themeColor="text1"/>
          <w:sz w:val="22"/>
          <w:szCs w:val="22"/>
        </w:rPr>
      </w:pPr>
    </w:p>
    <w:p w14:paraId="272B63B3" w14:textId="22D0E742" w:rsidR="000D5A1D" w:rsidRPr="00B6547E" w:rsidRDefault="006477E7" w:rsidP="00804787">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6547E">
        <w:rPr>
          <w:rFonts w:ascii="Palatino Linotype" w:eastAsia="Times New Roman" w:hAnsi="Palatino Linotype" w:cs="Arial"/>
          <w:color w:val="000000" w:themeColor="text1"/>
          <w:lang w:val="es-ES"/>
        </w:rPr>
        <w:t>E</w:t>
      </w:r>
      <w:r w:rsidR="00DB4BEF" w:rsidRPr="00B6547E">
        <w:rPr>
          <w:rFonts w:ascii="Palatino Linotype" w:eastAsia="Times New Roman" w:hAnsi="Palatino Linotype" w:cs="Arial"/>
          <w:color w:val="000000" w:themeColor="text1"/>
          <w:lang w:val="es-ES"/>
        </w:rPr>
        <w:t xml:space="preserve">l </w:t>
      </w:r>
      <w:r w:rsidR="00061087" w:rsidRPr="00B6547E">
        <w:rPr>
          <w:rFonts w:ascii="Palatino Linotype" w:eastAsia="Times New Roman" w:hAnsi="Palatino Linotype" w:cs="Arial"/>
          <w:color w:val="000000" w:themeColor="text1"/>
          <w:lang w:val="es-ES"/>
        </w:rPr>
        <w:t>veintiocho de marzo de dos mil veintidós</w:t>
      </w:r>
      <w:r w:rsidR="00FE49E3" w:rsidRPr="00B6547E">
        <w:rPr>
          <w:rFonts w:ascii="Palatino Linotype" w:eastAsia="Times New Roman" w:hAnsi="Palatino Linotype" w:cs="Arial"/>
          <w:color w:val="000000" w:themeColor="text1"/>
          <w:lang w:val="es-ES"/>
        </w:rPr>
        <w:t xml:space="preserve">, </w:t>
      </w:r>
      <w:r w:rsidR="00773572" w:rsidRPr="00B6547E">
        <w:rPr>
          <w:rFonts w:ascii="Palatino Linotype" w:eastAsia="Times New Roman" w:hAnsi="Palatino Linotype" w:cs="Arial"/>
          <w:color w:val="000000" w:themeColor="text1"/>
          <w:lang w:val="es-ES"/>
        </w:rPr>
        <w:t xml:space="preserve">el </w:t>
      </w:r>
      <w:r w:rsidR="009F21D6" w:rsidRPr="00B6547E">
        <w:rPr>
          <w:rFonts w:ascii="Palatino Linotype" w:eastAsia="Times New Roman" w:hAnsi="Palatino Linotype" w:cs="Arial"/>
          <w:b/>
          <w:color w:val="000000" w:themeColor="text1"/>
          <w:lang w:val="es-ES"/>
        </w:rPr>
        <w:t>RECURRENTE</w:t>
      </w:r>
      <w:r w:rsidR="00DB4BEF" w:rsidRPr="00B6547E">
        <w:rPr>
          <w:rFonts w:ascii="Palatino Linotype" w:eastAsia="Times New Roman" w:hAnsi="Palatino Linotype" w:cs="Arial"/>
          <w:color w:val="000000" w:themeColor="text1"/>
          <w:lang w:val="es-ES"/>
        </w:rPr>
        <w:t xml:space="preserve"> interpuso</w:t>
      </w:r>
      <w:r w:rsidR="009316E9" w:rsidRPr="00B6547E">
        <w:rPr>
          <w:rFonts w:ascii="Palatino Linotype" w:eastAsia="Times New Roman" w:hAnsi="Palatino Linotype" w:cs="Arial"/>
          <w:color w:val="000000" w:themeColor="text1"/>
          <w:lang w:val="es-ES"/>
        </w:rPr>
        <w:t xml:space="preserve"> </w:t>
      </w:r>
      <w:r w:rsidR="00102D65" w:rsidRPr="00B6547E">
        <w:rPr>
          <w:rFonts w:ascii="Palatino Linotype" w:eastAsia="Times New Roman" w:hAnsi="Palatino Linotype" w:cs="Arial"/>
          <w:color w:val="000000" w:themeColor="text1"/>
          <w:lang w:val="es-ES"/>
        </w:rPr>
        <w:t>el</w:t>
      </w:r>
      <w:r w:rsidR="004D68F8" w:rsidRPr="00B6547E">
        <w:rPr>
          <w:rFonts w:ascii="Palatino Linotype" w:eastAsia="Times New Roman" w:hAnsi="Palatino Linotype" w:cs="Arial"/>
          <w:color w:val="000000" w:themeColor="text1"/>
          <w:lang w:val="es-ES"/>
        </w:rPr>
        <w:t xml:space="preserve"> recurso de revisión</w:t>
      </w:r>
      <w:r w:rsidR="002B5733" w:rsidRPr="00B6547E">
        <w:rPr>
          <w:rFonts w:ascii="Palatino Linotype" w:eastAsia="Times New Roman" w:hAnsi="Palatino Linotype" w:cs="Arial"/>
          <w:color w:val="000000" w:themeColor="text1"/>
          <w:lang w:val="es-ES"/>
        </w:rPr>
        <w:t xml:space="preserve">, </w:t>
      </w:r>
      <w:r w:rsidR="00102D65" w:rsidRPr="00B6547E">
        <w:rPr>
          <w:rFonts w:ascii="Palatino Linotype" w:eastAsia="Times New Roman" w:hAnsi="Palatino Linotype" w:cs="Arial"/>
          <w:color w:val="000000" w:themeColor="text1"/>
          <w:lang w:val="es-ES"/>
        </w:rPr>
        <w:t>impugnación</w:t>
      </w:r>
      <w:r w:rsidR="004D68F8" w:rsidRPr="00B6547E">
        <w:rPr>
          <w:rFonts w:ascii="Palatino Linotype" w:eastAsia="Times New Roman" w:hAnsi="Palatino Linotype" w:cs="Arial"/>
          <w:color w:val="000000" w:themeColor="text1"/>
          <w:lang w:val="es-ES"/>
        </w:rPr>
        <w:t xml:space="preserve"> </w:t>
      </w:r>
      <w:r w:rsidR="00A45546" w:rsidRPr="00B6547E">
        <w:rPr>
          <w:rFonts w:ascii="Palatino Linotype" w:eastAsia="Times New Roman" w:hAnsi="Palatino Linotype" w:cs="Arial"/>
          <w:color w:val="000000" w:themeColor="text1"/>
          <w:lang w:val="es-ES"/>
        </w:rPr>
        <w:t xml:space="preserve">en </w:t>
      </w:r>
      <w:r w:rsidR="00977D37" w:rsidRPr="00B6547E">
        <w:rPr>
          <w:rFonts w:ascii="Palatino Linotype" w:eastAsia="Times New Roman" w:hAnsi="Palatino Linotype" w:cs="Arial"/>
          <w:color w:val="000000" w:themeColor="text1"/>
          <w:lang w:val="es-ES"/>
        </w:rPr>
        <w:t>la</w:t>
      </w:r>
      <w:r w:rsidR="00A45546" w:rsidRPr="00B6547E">
        <w:rPr>
          <w:rFonts w:ascii="Palatino Linotype" w:eastAsia="Times New Roman" w:hAnsi="Palatino Linotype" w:cs="Arial"/>
          <w:color w:val="000000" w:themeColor="text1"/>
          <w:lang w:val="es-ES"/>
        </w:rPr>
        <w:t xml:space="preserve"> que refirió </w:t>
      </w:r>
      <w:r w:rsidR="004D68F8" w:rsidRPr="00B6547E">
        <w:rPr>
          <w:rFonts w:ascii="Palatino Linotype" w:eastAsia="Times New Roman" w:hAnsi="Palatino Linotype" w:cs="Arial"/>
          <w:color w:val="000000" w:themeColor="text1"/>
          <w:lang w:val="es-ES"/>
        </w:rPr>
        <w:t>lo siguiente:</w:t>
      </w:r>
    </w:p>
    <w:p w14:paraId="054906C6" w14:textId="77777777" w:rsidR="00E34622" w:rsidRPr="00B6547E" w:rsidRDefault="00E34622" w:rsidP="00061087">
      <w:pPr>
        <w:tabs>
          <w:tab w:val="left" w:pos="426"/>
        </w:tabs>
        <w:jc w:val="both"/>
        <w:rPr>
          <w:rFonts w:ascii="Palatino Linotype" w:eastAsia="Times New Roman" w:hAnsi="Palatino Linotype" w:cs="Arial"/>
          <w:color w:val="000000" w:themeColor="text1"/>
          <w:sz w:val="22"/>
          <w:szCs w:val="22"/>
        </w:rPr>
      </w:pPr>
    </w:p>
    <w:p w14:paraId="5D958B88" w14:textId="78534589" w:rsidR="00E34622" w:rsidRPr="00B6547E" w:rsidRDefault="00E34622" w:rsidP="00061087">
      <w:pPr>
        <w:pStyle w:val="Prrafodelista"/>
        <w:tabs>
          <w:tab w:val="left" w:pos="426"/>
        </w:tabs>
        <w:ind w:left="567" w:right="616"/>
        <w:jc w:val="both"/>
        <w:rPr>
          <w:rFonts w:ascii="Palatino Linotype" w:eastAsia="Times New Roman" w:hAnsi="Palatino Linotype" w:cs="Arial"/>
          <w:i/>
          <w:color w:val="000000" w:themeColor="text1"/>
          <w:sz w:val="22"/>
          <w:szCs w:val="22"/>
          <w:lang w:val="es-ES"/>
        </w:rPr>
      </w:pPr>
      <w:r w:rsidRPr="00B6547E">
        <w:rPr>
          <w:rFonts w:ascii="Palatino Linotype" w:eastAsia="Times New Roman" w:hAnsi="Palatino Linotype" w:cs="Arial"/>
          <w:b/>
          <w:color w:val="000000" w:themeColor="text1"/>
          <w:sz w:val="22"/>
          <w:szCs w:val="22"/>
          <w:lang w:val="es-ES"/>
        </w:rPr>
        <w:t>Acto impugnado:</w:t>
      </w:r>
      <w:r w:rsidRPr="00B6547E">
        <w:rPr>
          <w:rFonts w:ascii="Palatino Linotype" w:eastAsia="Times New Roman" w:hAnsi="Palatino Linotype" w:cs="Arial"/>
          <w:color w:val="000000" w:themeColor="text1"/>
          <w:sz w:val="22"/>
          <w:szCs w:val="22"/>
          <w:lang w:val="es-ES"/>
        </w:rPr>
        <w:t xml:space="preserve"> </w:t>
      </w:r>
      <w:r w:rsidRPr="00B6547E">
        <w:rPr>
          <w:rFonts w:ascii="Palatino Linotype" w:eastAsia="Times New Roman" w:hAnsi="Palatino Linotype" w:cs="Arial"/>
          <w:i/>
          <w:color w:val="000000" w:themeColor="text1"/>
          <w:sz w:val="22"/>
          <w:szCs w:val="22"/>
          <w:lang w:val="es-ES"/>
        </w:rPr>
        <w:t>“</w:t>
      </w:r>
      <w:r w:rsidR="00061087" w:rsidRPr="00B6547E">
        <w:rPr>
          <w:rFonts w:ascii="Palatino Linotype" w:hAnsi="Palatino Linotype"/>
          <w:i/>
          <w:color w:val="000000"/>
          <w:sz w:val="22"/>
          <w:szCs w:val="22"/>
        </w:rPr>
        <w:t>La información entregada</w:t>
      </w:r>
      <w:r w:rsidR="00395839" w:rsidRPr="00B6547E">
        <w:rPr>
          <w:rFonts w:ascii="Palatino Linotype" w:eastAsia="Times New Roman" w:hAnsi="Palatino Linotype" w:cs="Arial"/>
          <w:i/>
          <w:color w:val="000000" w:themeColor="text1"/>
          <w:sz w:val="22"/>
          <w:szCs w:val="22"/>
          <w:lang w:val="es-ES"/>
        </w:rPr>
        <w:t>”</w:t>
      </w:r>
      <w:r w:rsidR="006477E7" w:rsidRPr="00B6547E">
        <w:rPr>
          <w:rFonts w:ascii="Palatino Linotype" w:eastAsia="Times New Roman" w:hAnsi="Palatino Linotype" w:cs="Arial"/>
          <w:i/>
          <w:color w:val="000000" w:themeColor="text1"/>
          <w:sz w:val="22"/>
          <w:szCs w:val="22"/>
          <w:lang w:val="es-ES"/>
        </w:rPr>
        <w:t xml:space="preserve"> </w:t>
      </w:r>
      <w:r w:rsidRPr="00B6547E">
        <w:rPr>
          <w:rFonts w:ascii="Palatino Linotype" w:eastAsia="Times New Roman" w:hAnsi="Palatino Linotype" w:cs="Arial"/>
          <w:i/>
          <w:color w:val="000000" w:themeColor="text1"/>
          <w:sz w:val="22"/>
          <w:szCs w:val="22"/>
          <w:lang w:val="es-ES"/>
        </w:rPr>
        <w:t>(Sic).</w:t>
      </w:r>
    </w:p>
    <w:p w14:paraId="2AB8CABF" w14:textId="77777777" w:rsidR="007F1558" w:rsidRPr="00B6547E" w:rsidRDefault="007F1558" w:rsidP="00061087">
      <w:pPr>
        <w:pStyle w:val="Prrafodelista"/>
        <w:tabs>
          <w:tab w:val="left" w:pos="426"/>
        </w:tabs>
        <w:ind w:left="567" w:right="616"/>
        <w:jc w:val="both"/>
        <w:rPr>
          <w:rFonts w:ascii="Palatino Linotype" w:eastAsia="Times New Roman" w:hAnsi="Palatino Linotype" w:cs="Arial"/>
          <w:color w:val="000000" w:themeColor="text1"/>
          <w:sz w:val="22"/>
          <w:szCs w:val="22"/>
          <w:lang w:val="es-ES"/>
        </w:rPr>
      </w:pPr>
    </w:p>
    <w:p w14:paraId="033BFDE8" w14:textId="5D392997" w:rsidR="00901BB1" w:rsidRPr="00B6547E" w:rsidRDefault="00901BB1" w:rsidP="00061087">
      <w:pPr>
        <w:pStyle w:val="Prrafodelista"/>
        <w:tabs>
          <w:tab w:val="left" w:pos="426"/>
        </w:tabs>
        <w:ind w:left="567" w:right="616"/>
        <w:jc w:val="both"/>
        <w:rPr>
          <w:rFonts w:ascii="Palatino Linotype" w:eastAsia="Times New Roman" w:hAnsi="Palatino Linotype" w:cs="Arial"/>
          <w:i/>
          <w:color w:val="000000" w:themeColor="text1"/>
          <w:sz w:val="22"/>
          <w:szCs w:val="22"/>
          <w:lang w:val="es-ES"/>
        </w:rPr>
      </w:pPr>
      <w:r w:rsidRPr="00B6547E">
        <w:rPr>
          <w:rFonts w:ascii="Palatino Linotype" w:eastAsia="Times New Roman" w:hAnsi="Palatino Linotype" w:cs="Arial"/>
          <w:b/>
          <w:color w:val="000000" w:themeColor="text1"/>
          <w:sz w:val="22"/>
          <w:szCs w:val="22"/>
          <w:lang w:val="es-ES"/>
        </w:rPr>
        <w:t>Motivos o razones de inconformidad:</w:t>
      </w:r>
      <w:r w:rsidR="00773572" w:rsidRPr="00B6547E">
        <w:rPr>
          <w:rFonts w:ascii="Palatino Linotype" w:eastAsia="Times New Roman" w:hAnsi="Palatino Linotype" w:cs="Arial"/>
          <w:b/>
          <w:color w:val="000000" w:themeColor="text1"/>
          <w:sz w:val="22"/>
          <w:szCs w:val="22"/>
          <w:lang w:val="es-ES"/>
        </w:rPr>
        <w:t xml:space="preserve"> </w:t>
      </w:r>
      <w:r w:rsidR="007E1A88" w:rsidRPr="00B6547E">
        <w:rPr>
          <w:rFonts w:ascii="Palatino Linotype" w:eastAsia="Times New Roman" w:hAnsi="Palatino Linotype" w:cs="Arial"/>
          <w:bCs/>
          <w:i/>
          <w:iCs/>
          <w:color w:val="000000" w:themeColor="text1"/>
          <w:sz w:val="22"/>
          <w:szCs w:val="22"/>
          <w:lang w:val="es-ES"/>
        </w:rPr>
        <w:t>“</w:t>
      </w:r>
      <w:r w:rsidR="00061087" w:rsidRPr="00B6547E">
        <w:rPr>
          <w:rFonts w:ascii="Palatino Linotype" w:hAnsi="Palatino Linotype"/>
          <w:i/>
          <w:color w:val="000000"/>
          <w:sz w:val="22"/>
          <w:szCs w:val="22"/>
        </w:rPr>
        <w:t>la información no es clara por lo que no se entiende</w:t>
      </w:r>
      <w:r w:rsidR="00773572" w:rsidRPr="00B6547E">
        <w:rPr>
          <w:rFonts w:ascii="Palatino Linotype" w:eastAsia="Times New Roman" w:hAnsi="Palatino Linotype" w:cs="Arial"/>
          <w:bCs/>
          <w:i/>
          <w:iCs/>
          <w:color w:val="000000" w:themeColor="text1"/>
          <w:sz w:val="22"/>
          <w:szCs w:val="22"/>
          <w:lang w:val="es-ES"/>
        </w:rPr>
        <w:t>” (Sic)</w:t>
      </w:r>
    </w:p>
    <w:p w14:paraId="7D1DC8CB" w14:textId="77777777" w:rsidR="00341454" w:rsidRPr="00B6547E" w:rsidRDefault="00341454" w:rsidP="00FF3330">
      <w:pPr>
        <w:tabs>
          <w:tab w:val="left" w:pos="426"/>
        </w:tabs>
        <w:jc w:val="both"/>
        <w:rPr>
          <w:rFonts w:ascii="Palatino Linotype" w:eastAsia="Calibri" w:hAnsi="Palatino Linotype" w:cs="Arial"/>
          <w:b/>
          <w:bCs/>
          <w:color w:val="000000" w:themeColor="text1"/>
          <w:szCs w:val="22"/>
          <w:lang w:val="es-ES"/>
        </w:rPr>
      </w:pPr>
    </w:p>
    <w:p w14:paraId="65CB77BE" w14:textId="0DD25F33" w:rsidR="005F1362" w:rsidRPr="00B6547E"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6547E">
        <w:rPr>
          <w:rFonts w:ascii="Palatino Linotype" w:eastAsia="Times New Roman" w:hAnsi="Palatino Linotype" w:cs="Arial"/>
          <w:color w:val="000000" w:themeColor="text1"/>
          <w:lang w:val="es-ES"/>
        </w:rPr>
        <w:t xml:space="preserve">Se registró el recurso de revisión bajo el número de expediente </w:t>
      </w:r>
      <w:r w:rsidR="004F785F" w:rsidRPr="00B6547E">
        <w:rPr>
          <w:rFonts w:ascii="Palatino Linotype" w:hAnsi="Palatino Linotype" w:cs="Arial"/>
          <w:bCs/>
          <w:color w:val="000000" w:themeColor="text1"/>
        </w:rPr>
        <w:t>al rubro indicado, asi</w:t>
      </w:r>
      <w:r w:rsidRPr="00B6547E">
        <w:rPr>
          <w:rFonts w:ascii="Palatino Linotype" w:hAnsi="Palatino Linotype" w:cs="Arial"/>
          <w:bCs/>
          <w:color w:val="000000" w:themeColor="text1"/>
        </w:rPr>
        <w:t xml:space="preserve">mismo, con fundamento en lo dispuesto por el </w:t>
      </w:r>
      <w:r w:rsidRPr="00B6547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B6547E">
        <w:rPr>
          <w:rFonts w:ascii="Palatino Linotype" w:eastAsia="Times New Roman" w:hAnsi="Palatino Linotype" w:cs="Arial"/>
          <w:bCs/>
          <w:color w:val="000000" w:themeColor="text1"/>
          <w:lang w:val="es-ES"/>
        </w:rPr>
        <w:t xml:space="preserve">se turnó </w:t>
      </w:r>
      <w:r w:rsidR="0096234B" w:rsidRPr="00B6547E">
        <w:rPr>
          <w:rFonts w:ascii="Palatino Linotype" w:eastAsia="Times New Roman" w:hAnsi="Palatino Linotype" w:cs="Arial"/>
          <w:bCs/>
          <w:color w:val="000000" w:themeColor="text1"/>
          <w:lang w:val="es-ES"/>
        </w:rPr>
        <w:t xml:space="preserve">a la </w:t>
      </w:r>
      <w:r w:rsidR="0096234B" w:rsidRPr="00B6547E">
        <w:rPr>
          <w:rFonts w:ascii="Palatino Linotype" w:eastAsia="Times New Roman" w:hAnsi="Palatino Linotype" w:cs="Arial"/>
          <w:b/>
          <w:bCs/>
          <w:color w:val="000000" w:themeColor="text1"/>
          <w:lang w:val="es-ES"/>
        </w:rPr>
        <w:t xml:space="preserve">Comisionada </w:t>
      </w:r>
      <w:r w:rsidR="00D12402" w:rsidRPr="00B6547E">
        <w:rPr>
          <w:rFonts w:ascii="Palatino Linotype" w:eastAsia="Times New Roman" w:hAnsi="Palatino Linotype" w:cs="Arial"/>
          <w:b/>
          <w:bCs/>
          <w:color w:val="000000" w:themeColor="text1"/>
          <w:lang w:val="es-ES"/>
        </w:rPr>
        <w:t>María del Rosario Mejía Ayala</w:t>
      </w:r>
      <w:r w:rsidRPr="00B6547E">
        <w:rPr>
          <w:rFonts w:ascii="Palatino Linotype" w:eastAsia="Times New Roman" w:hAnsi="Palatino Linotype" w:cs="Arial"/>
          <w:bCs/>
          <w:color w:val="000000" w:themeColor="text1"/>
          <w:lang w:val="es-ES"/>
        </w:rPr>
        <w:t xml:space="preserve">, con el objeto de </w:t>
      </w:r>
      <w:r w:rsidRPr="00B6547E">
        <w:rPr>
          <w:rFonts w:ascii="Palatino Linotype" w:eastAsia="Times New Roman" w:hAnsi="Palatino Linotype" w:cs="Arial"/>
          <w:bCs/>
          <w:color w:val="000000" w:themeColor="text1"/>
        </w:rPr>
        <w:t>su análisis.</w:t>
      </w:r>
    </w:p>
    <w:p w14:paraId="2BDE682E" w14:textId="77777777" w:rsidR="005F1362" w:rsidRPr="00B6547E"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416F3BC" w:rsidR="007446C2" w:rsidRPr="00B6547E"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6547E">
        <w:rPr>
          <w:rFonts w:ascii="Palatino Linotype" w:eastAsia="Times New Roman" w:hAnsi="Palatino Linotype" w:cs="Arial"/>
          <w:color w:val="000000" w:themeColor="text1"/>
          <w:lang w:val="es-ES"/>
        </w:rPr>
        <w:lastRenderedPageBreak/>
        <w:t>La</w:t>
      </w:r>
      <w:r w:rsidR="00E647FF" w:rsidRPr="00B6547E">
        <w:rPr>
          <w:rFonts w:ascii="Palatino Linotype" w:eastAsia="Times New Roman" w:hAnsi="Palatino Linotype" w:cs="Arial"/>
          <w:color w:val="000000" w:themeColor="text1"/>
          <w:lang w:val="es-ES"/>
        </w:rPr>
        <w:t xml:space="preserve"> </w:t>
      </w:r>
      <w:r w:rsidR="0004686A" w:rsidRPr="00B6547E">
        <w:rPr>
          <w:rFonts w:ascii="Palatino Linotype" w:eastAsia="Calibri" w:hAnsi="Palatino Linotype" w:cs="Arial"/>
          <w:color w:val="000000" w:themeColor="text1"/>
          <w:lang w:val="es-ES"/>
        </w:rPr>
        <w:t>Comisionad</w:t>
      </w:r>
      <w:r w:rsidRPr="00B6547E">
        <w:rPr>
          <w:rFonts w:ascii="Palatino Linotype" w:eastAsia="Calibri" w:hAnsi="Palatino Linotype" w:cs="Arial"/>
          <w:color w:val="000000" w:themeColor="text1"/>
          <w:lang w:val="es-ES"/>
        </w:rPr>
        <w:t>a</w:t>
      </w:r>
      <w:r w:rsidR="0004686A" w:rsidRPr="00B6547E">
        <w:rPr>
          <w:rFonts w:ascii="Palatino Linotype" w:eastAsia="Calibri" w:hAnsi="Palatino Linotype" w:cs="Arial"/>
          <w:color w:val="000000" w:themeColor="text1"/>
          <w:lang w:val="es-ES"/>
        </w:rPr>
        <w:t xml:space="preserve"> Ponente</w:t>
      </w:r>
      <w:r w:rsidR="006B31E7" w:rsidRPr="00B6547E">
        <w:rPr>
          <w:rFonts w:ascii="Palatino Linotype" w:eastAsia="Calibri" w:hAnsi="Palatino Linotype" w:cs="Arial"/>
          <w:color w:val="000000" w:themeColor="text1"/>
          <w:lang w:val="es-ES"/>
        </w:rPr>
        <w:t>,</w:t>
      </w:r>
      <w:r w:rsidR="0004686A" w:rsidRPr="00B6547E">
        <w:rPr>
          <w:rFonts w:ascii="Palatino Linotype" w:eastAsia="Calibri" w:hAnsi="Palatino Linotype" w:cs="Arial"/>
          <w:color w:val="000000" w:themeColor="text1"/>
          <w:lang w:val="es-ES"/>
        </w:rPr>
        <w:t xml:space="preserve"> con fundamento en lo dispuesto por el artículo 185 fracción II de la </w:t>
      </w:r>
      <w:r w:rsidR="00613655" w:rsidRPr="00B6547E">
        <w:rPr>
          <w:rFonts w:ascii="Palatino Linotype" w:eastAsia="Calibri" w:hAnsi="Palatino Linotype" w:cs="Arial"/>
          <w:color w:val="000000" w:themeColor="text1"/>
          <w:lang w:val="es-ES"/>
        </w:rPr>
        <w:t>Ley de Transparencia y Acceso a la Información Pública del Estado de México y Municipios</w:t>
      </w:r>
      <w:r w:rsidR="0004686A" w:rsidRPr="00B6547E">
        <w:rPr>
          <w:rFonts w:ascii="Palatino Linotype" w:eastAsia="Calibri" w:hAnsi="Palatino Linotype" w:cs="Arial"/>
          <w:color w:val="000000" w:themeColor="text1"/>
          <w:lang w:val="es-ES"/>
        </w:rPr>
        <w:t xml:space="preserve">, a través </w:t>
      </w:r>
      <w:r w:rsidR="006E4E2A" w:rsidRPr="00B6547E">
        <w:rPr>
          <w:rFonts w:ascii="Palatino Linotype" w:eastAsia="Calibri" w:hAnsi="Palatino Linotype" w:cs="Arial"/>
          <w:color w:val="000000" w:themeColor="text1"/>
          <w:lang w:val="es-ES"/>
        </w:rPr>
        <w:t>del</w:t>
      </w:r>
      <w:r w:rsidR="0004686A" w:rsidRPr="00B6547E">
        <w:rPr>
          <w:rFonts w:ascii="Palatino Linotype" w:eastAsia="Calibri" w:hAnsi="Palatino Linotype" w:cs="Arial"/>
          <w:color w:val="000000" w:themeColor="text1"/>
          <w:lang w:val="es-ES"/>
        </w:rPr>
        <w:t xml:space="preserve"> </w:t>
      </w:r>
      <w:r w:rsidR="00B81371" w:rsidRPr="00B6547E">
        <w:rPr>
          <w:rFonts w:ascii="Palatino Linotype" w:eastAsia="Calibri" w:hAnsi="Palatino Linotype" w:cs="Arial"/>
          <w:color w:val="000000" w:themeColor="text1"/>
          <w:lang w:val="es-ES"/>
        </w:rPr>
        <w:t xml:space="preserve">acuerdo </w:t>
      </w:r>
      <w:r w:rsidR="00F147C6" w:rsidRPr="00B6547E">
        <w:rPr>
          <w:rFonts w:ascii="Palatino Linotype" w:eastAsia="Calibri" w:hAnsi="Palatino Linotype" w:cs="Arial"/>
          <w:color w:val="000000" w:themeColor="text1"/>
          <w:lang w:val="es-ES"/>
        </w:rPr>
        <w:t xml:space="preserve">de admisión </w:t>
      </w:r>
      <w:r w:rsidR="00091F3E" w:rsidRPr="00B6547E">
        <w:rPr>
          <w:rFonts w:ascii="Palatino Linotype" w:eastAsia="Calibri" w:hAnsi="Palatino Linotype" w:cs="Arial"/>
          <w:color w:val="000000" w:themeColor="text1"/>
          <w:lang w:val="es-ES"/>
        </w:rPr>
        <w:t>de</w:t>
      </w:r>
      <w:r w:rsidR="00395353" w:rsidRPr="00B6547E">
        <w:rPr>
          <w:rFonts w:ascii="Palatino Linotype" w:eastAsia="Calibri" w:hAnsi="Palatino Linotype" w:cs="Arial"/>
          <w:color w:val="000000" w:themeColor="text1"/>
          <w:lang w:val="es-ES"/>
        </w:rPr>
        <w:t xml:space="preserve"> fecha </w:t>
      </w:r>
      <w:r w:rsidR="00061087" w:rsidRPr="00B6547E">
        <w:rPr>
          <w:rFonts w:ascii="Palatino Linotype" w:eastAsia="Calibri" w:hAnsi="Palatino Linotype" w:cs="Arial"/>
          <w:color w:val="000000" w:themeColor="text1"/>
          <w:lang w:val="es-ES"/>
        </w:rPr>
        <w:t>treinta y uno de marzo de dos mil veintidós</w:t>
      </w:r>
      <w:r w:rsidR="006A1047" w:rsidRPr="00B6547E">
        <w:rPr>
          <w:rFonts w:ascii="Palatino Linotype" w:eastAsia="Calibri" w:hAnsi="Palatino Linotype" w:cs="Arial"/>
          <w:color w:val="000000" w:themeColor="text1"/>
          <w:lang w:val="es-ES"/>
        </w:rPr>
        <w:t xml:space="preserve">, </w:t>
      </w:r>
      <w:r w:rsidR="00B81371" w:rsidRPr="00B6547E">
        <w:rPr>
          <w:rFonts w:ascii="Palatino Linotype" w:eastAsia="Calibri" w:hAnsi="Palatino Linotype" w:cs="Arial"/>
          <w:color w:val="000000" w:themeColor="text1"/>
          <w:lang w:val="es-ES"/>
        </w:rPr>
        <w:t xml:space="preserve">puso a </w:t>
      </w:r>
      <w:r w:rsidR="00875167" w:rsidRPr="00B6547E">
        <w:rPr>
          <w:rFonts w:ascii="Palatino Linotype" w:eastAsia="Calibri" w:hAnsi="Palatino Linotype" w:cs="Arial"/>
          <w:color w:val="000000" w:themeColor="text1"/>
          <w:lang w:val="es-ES"/>
        </w:rPr>
        <w:t>disposición</w:t>
      </w:r>
      <w:r w:rsidR="00B81371" w:rsidRPr="00B6547E">
        <w:rPr>
          <w:rFonts w:ascii="Palatino Linotype" w:eastAsia="Calibri" w:hAnsi="Palatino Linotype" w:cs="Arial"/>
          <w:color w:val="000000" w:themeColor="text1"/>
          <w:lang w:val="es-ES"/>
        </w:rPr>
        <w:t xml:space="preserve"> de las partes el expediente electrónico </w:t>
      </w:r>
      <w:r w:rsidR="00B81371" w:rsidRPr="00B6547E">
        <w:rPr>
          <w:rFonts w:ascii="Palatino Linotype" w:eastAsia="Calibri" w:hAnsi="Palatino Linotype" w:cs="Arial"/>
          <w:color w:val="000000" w:themeColor="text1"/>
        </w:rPr>
        <w:t xml:space="preserve">vía </w:t>
      </w:r>
      <w:r w:rsidR="00B81371" w:rsidRPr="00B6547E">
        <w:rPr>
          <w:rFonts w:ascii="Palatino Linotype" w:eastAsia="Calibri" w:hAnsi="Palatino Linotype" w:cs="Arial"/>
          <w:color w:val="000000" w:themeColor="text1"/>
          <w:lang w:val="es-ES"/>
        </w:rPr>
        <w:t xml:space="preserve">Sistema de Acceso a la Información Mexiquense </w:t>
      </w:r>
      <w:r w:rsidR="001468E9" w:rsidRPr="00B6547E">
        <w:rPr>
          <w:rFonts w:ascii="Palatino Linotype" w:eastAsia="Calibri" w:hAnsi="Palatino Linotype" w:cs="Arial"/>
          <w:color w:val="000000" w:themeColor="text1"/>
          <w:lang w:val="es-ES"/>
        </w:rPr>
        <w:t>(</w:t>
      </w:r>
      <w:r w:rsidR="00B81371" w:rsidRPr="00B6547E">
        <w:rPr>
          <w:rFonts w:ascii="Palatino Linotype" w:eastAsia="Calibri" w:hAnsi="Palatino Linotype" w:cs="Arial"/>
          <w:b/>
          <w:color w:val="000000" w:themeColor="text1"/>
          <w:lang w:val="es-ES"/>
        </w:rPr>
        <w:t>SAIMEX</w:t>
      </w:r>
      <w:r w:rsidR="001468E9" w:rsidRPr="00B6547E">
        <w:rPr>
          <w:rFonts w:ascii="Palatino Linotype" w:eastAsia="Calibri" w:hAnsi="Palatino Linotype" w:cs="Arial"/>
          <w:b/>
          <w:color w:val="000000" w:themeColor="text1"/>
          <w:lang w:val="es-ES"/>
        </w:rPr>
        <w:t>)</w:t>
      </w:r>
      <w:r w:rsidR="00B81371" w:rsidRPr="00B6547E">
        <w:rPr>
          <w:rFonts w:ascii="Palatino Linotype" w:eastAsia="Calibri" w:hAnsi="Palatino Linotype" w:cs="Arial"/>
          <w:b/>
          <w:color w:val="000000" w:themeColor="text1"/>
          <w:lang w:val="es-ES"/>
        </w:rPr>
        <w:t xml:space="preserve"> </w:t>
      </w:r>
      <w:r w:rsidR="00B81371" w:rsidRPr="00B6547E">
        <w:rPr>
          <w:rFonts w:ascii="Palatino Linotype" w:eastAsia="Calibri" w:hAnsi="Palatino Linotype" w:cs="Arial"/>
          <w:color w:val="000000" w:themeColor="text1"/>
          <w:lang w:val="es-ES"/>
        </w:rPr>
        <w:t xml:space="preserve">a efecto de que en un plazo máximo de siete días </w:t>
      </w:r>
      <w:r w:rsidR="00875167" w:rsidRPr="00B6547E">
        <w:rPr>
          <w:rFonts w:ascii="Palatino Linotype" w:eastAsia="Calibri" w:hAnsi="Palatino Linotype" w:cs="Arial"/>
          <w:color w:val="000000" w:themeColor="text1"/>
          <w:lang w:val="es-ES"/>
        </w:rPr>
        <w:t>manifestaran</w:t>
      </w:r>
      <w:r w:rsidR="00B81371" w:rsidRPr="00B6547E">
        <w:rPr>
          <w:rFonts w:ascii="Palatino Linotype" w:eastAsia="Calibri" w:hAnsi="Palatino Linotype" w:cs="Arial"/>
          <w:color w:val="000000" w:themeColor="text1"/>
          <w:lang w:val="es-ES"/>
        </w:rPr>
        <w:t xml:space="preserve"> lo que a</w:t>
      </w:r>
      <w:r w:rsidR="003A2029" w:rsidRPr="00B6547E">
        <w:rPr>
          <w:rFonts w:ascii="Palatino Linotype" w:eastAsia="Calibri" w:hAnsi="Palatino Linotype" w:cs="Arial"/>
          <w:color w:val="000000" w:themeColor="text1"/>
          <w:lang w:val="es-ES"/>
        </w:rPr>
        <w:t xml:space="preserve"> su</w:t>
      </w:r>
      <w:r w:rsidR="00B81371" w:rsidRPr="00B6547E">
        <w:rPr>
          <w:rFonts w:ascii="Palatino Linotype" w:eastAsia="Calibri" w:hAnsi="Palatino Linotype" w:cs="Arial"/>
          <w:color w:val="000000" w:themeColor="text1"/>
          <w:lang w:val="es-ES"/>
        </w:rPr>
        <w:t xml:space="preserve"> derecho conviniera</w:t>
      </w:r>
      <w:r w:rsidR="00875167" w:rsidRPr="00B6547E">
        <w:rPr>
          <w:rFonts w:ascii="Palatino Linotype" w:eastAsia="Calibri" w:hAnsi="Palatino Linotype" w:cs="Arial"/>
          <w:color w:val="000000" w:themeColor="text1"/>
          <w:lang w:val="es-ES"/>
        </w:rPr>
        <w:t>n</w:t>
      </w:r>
      <w:r w:rsidR="00032493" w:rsidRPr="00B6547E">
        <w:rPr>
          <w:rFonts w:ascii="Palatino Linotype" w:eastAsia="Calibri" w:hAnsi="Palatino Linotype" w:cs="Arial"/>
          <w:color w:val="000000" w:themeColor="text1"/>
          <w:lang w:val="es-ES"/>
        </w:rPr>
        <w:t>,</w:t>
      </w:r>
      <w:r w:rsidR="00B81371" w:rsidRPr="00B6547E">
        <w:rPr>
          <w:rFonts w:ascii="Palatino Linotype" w:eastAsia="Calibri" w:hAnsi="Palatino Linotype" w:cs="Arial"/>
          <w:color w:val="000000" w:themeColor="text1"/>
          <w:lang w:val="es-ES"/>
        </w:rPr>
        <w:t xml:space="preserve"> </w:t>
      </w:r>
      <w:r w:rsidR="00875167" w:rsidRPr="00B6547E">
        <w:rPr>
          <w:rFonts w:ascii="Palatino Linotype" w:eastAsia="Calibri" w:hAnsi="Palatino Linotype" w:cs="Arial"/>
          <w:color w:val="000000" w:themeColor="text1"/>
          <w:lang w:val="es-ES"/>
        </w:rPr>
        <w:t>ofrecieran pruebas y</w:t>
      </w:r>
      <w:r w:rsidR="00132C06" w:rsidRPr="00B6547E">
        <w:rPr>
          <w:rFonts w:ascii="Palatino Linotype" w:eastAsia="Calibri" w:hAnsi="Palatino Linotype" w:cs="Arial"/>
          <w:color w:val="000000" w:themeColor="text1"/>
          <w:lang w:val="es-ES"/>
        </w:rPr>
        <w:t xml:space="preserve"> </w:t>
      </w:r>
      <w:r w:rsidR="00875167" w:rsidRPr="00B6547E">
        <w:rPr>
          <w:rFonts w:ascii="Palatino Linotype" w:eastAsia="Calibri" w:hAnsi="Palatino Linotype" w:cs="Arial"/>
          <w:color w:val="000000" w:themeColor="text1"/>
          <w:lang w:val="es-ES"/>
        </w:rPr>
        <w:t>alegatos según corresponda a</w:t>
      </w:r>
      <w:r w:rsidR="004C20F2" w:rsidRPr="00B6547E">
        <w:rPr>
          <w:rFonts w:ascii="Palatino Linotype" w:eastAsia="Calibri" w:hAnsi="Palatino Linotype" w:cs="Arial"/>
          <w:color w:val="000000" w:themeColor="text1"/>
          <w:lang w:val="es-ES"/>
        </w:rPr>
        <w:t xml:space="preserve"> </w:t>
      </w:r>
      <w:r w:rsidR="00875167" w:rsidRPr="00B6547E">
        <w:rPr>
          <w:rFonts w:ascii="Palatino Linotype" w:eastAsia="Calibri" w:hAnsi="Palatino Linotype" w:cs="Arial"/>
          <w:color w:val="000000" w:themeColor="text1"/>
          <w:lang w:val="es-ES"/>
        </w:rPr>
        <w:t>l</w:t>
      </w:r>
      <w:r w:rsidR="004C20F2" w:rsidRPr="00B6547E">
        <w:rPr>
          <w:rFonts w:ascii="Palatino Linotype" w:eastAsia="Calibri" w:hAnsi="Palatino Linotype" w:cs="Arial"/>
          <w:color w:val="000000" w:themeColor="text1"/>
          <w:lang w:val="es-ES"/>
        </w:rPr>
        <w:t>os</w:t>
      </w:r>
      <w:r w:rsidR="00875167" w:rsidRPr="00B6547E">
        <w:rPr>
          <w:rFonts w:ascii="Palatino Linotype" w:eastAsia="Calibri" w:hAnsi="Palatino Linotype" w:cs="Arial"/>
          <w:color w:val="000000" w:themeColor="text1"/>
          <w:lang w:val="es-ES"/>
        </w:rPr>
        <w:t xml:space="preserve"> caso</w:t>
      </w:r>
      <w:r w:rsidR="004C20F2" w:rsidRPr="00B6547E">
        <w:rPr>
          <w:rFonts w:ascii="Palatino Linotype" w:eastAsia="Calibri" w:hAnsi="Palatino Linotype" w:cs="Arial"/>
          <w:color w:val="000000" w:themeColor="text1"/>
          <w:lang w:val="es-ES"/>
        </w:rPr>
        <w:t>s</w:t>
      </w:r>
      <w:r w:rsidR="00875167" w:rsidRPr="00B6547E">
        <w:rPr>
          <w:rFonts w:ascii="Palatino Linotype" w:eastAsia="Calibri" w:hAnsi="Palatino Linotype" w:cs="Arial"/>
          <w:color w:val="000000" w:themeColor="text1"/>
          <w:lang w:val="es-ES"/>
        </w:rPr>
        <w:t xml:space="preserve"> concreto</w:t>
      </w:r>
      <w:r w:rsidR="004C20F2" w:rsidRPr="00B6547E">
        <w:rPr>
          <w:rFonts w:ascii="Palatino Linotype" w:eastAsia="Calibri" w:hAnsi="Palatino Linotype" w:cs="Arial"/>
          <w:color w:val="000000" w:themeColor="text1"/>
          <w:lang w:val="es-ES"/>
        </w:rPr>
        <w:t>s</w:t>
      </w:r>
      <w:r w:rsidR="00875167" w:rsidRPr="00B6547E">
        <w:rPr>
          <w:rFonts w:ascii="Palatino Linotype" w:eastAsia="Calibri" w:hAnsi="Palatino Linotype" w:cs="Arial"/>
          <w:color w:val="000000" w:themeColor="text1"/>
          <w:lang w:val="es-ES"/>
        </w:rPr>
        <w:t xml:space="preserve">, </w:t>
      </w:r>
      <w:r w:rsidR="00F147C6" w:rsidRPr="00B6547E">
        <w:rPr>
          <w:rFonts w:ascii="Palatino Linotype" w:eastAsia="Calibri" w:hAnsi="Palatino Linotype" w:cs="Arial"/>
          <w:color w:val="000000" w:themeColor="text1"/>
          <w:lang w:val="es-ES"/>
        </w:rPr>
        <w:t>de esta forma</w:t>
      </w:r>
      <w:r w:rsidR="00875167" w:rsidRPr="00B6547E">
        <w:rPr>
          <w:rFonts w:ascii="Palatino Linotype" w:eastAsia="Calibri" w:hAnsi="Palatino Linotype" w:cs="Arial"/>
          <w:color w:val="000000" w:themeColor="text1"/>
          <w:lang w:val="es-ES"/>
        </w:rPr>
        <w:t xml:space="preserve"> para que el </w:t>
      </w:r>
      <w:r w:rsidR="00875167" w:rsidRPr="00B6547E">
        <w:rPr>
          <w:rFonts w:ascii="Palatino Linotype" w:eastAsia="Calibri" w:hAnsi="Palatino Linotype" w:cs="Arial"/>
          <w:b/>
          <w:color w:val="000000" w:themeColor="text1"/>
          <w:lang w:val="es-ES"/>
        </w:rPr>
        <w:t>SUJETO OBLIGADO</w:t>
      </w:r>
      <w:r w:rsidR="00875167" w:rsidRPr="00B6547E">
        <w:rPr>
          <w:rFonts w:ascii="Palatino Linotype" w:eastAsia="Calibri" w:hAnsi="Palatino Linotype" w:cs="Arial"/>
          <w:color w:val="000000" w:themeColor="text1"/>
          <w:lang w:val="es-ES"/>
        </w:rPr>
        <w:t xml:space="preserve"> </w:t>
      </w:r>
      <w:r w:rsidR="00B81371" w:rsidRPr="00B6547E">
        <w:rPr>
          <w:rFonts w:ascii="Palatino Linotype" w:eastAsia="Calibri" w:hAnsi="Palatino Linotype" w:cs="Arial"/>
          <w:color w:val="000000" w:themeColor="text1"/>
          <w:lang w:val="es-ES"/>
        </w:rPr>
        <w:t>presentar</w:t>
      </w:r>
      <w:r w:rsidR="003A03D0" w:rsidRPr="00B6547E">
        <w:rPr>
          <w:rFonts w:ascii="Palatino Linotype" w:eastAsia="Calibri" w:hAnsi="Palatino Linotype" w:cs="Arial"/>
          <w:color w:val="000000" w:themeColor="text1"/>
          <w:lang w:val="es-ES"/>
        </w:rPr>
        <w:t>a</w:t>
      </w:r>
      <w:r w:rsidR="00B81371" w:rsidRPr="00B6547E">
        <w:rPr>
          <w:rFonts w:ascii="Palatino Linotype" w:eastAsia="Calibri" w:hAnsi="Palatino Linotype" w:cs="Arial"/>
          <w:color w:val="000000" w:themeColor="text1"/>
          <w:lang w:val="es-ES"/>
        </w:rPr>
        <w:t xml:space="preserve"> el </w:t>
      </w:r>
      <w:r w:rsidR="00556F72" w:rsidRPr="00B6547E">
        <w:rPr>
          <w:rFonts w:ascii="Palatino Linotype" w:eastAsia="Calibri" w:hAnsi="Palatino Linotype" w:cs="Arial"/>
          <w:color w:val="000000" w:themeColor="text1"/>
          <w:lang w:val="es-ES"/>
        </w:rPr>
        <w:t xml:space="preserve">informe justificado </w:t>
      </w:r>
      <w:r w:rsidR="00875167" w:rsidRPr="00B6547E">
        <w:rPr>
          <w:rFonts w:ascii="Palatino Linotype" w:eastAsia="Calibri" w:hAnsi="Palatino Linotype" w:cs="Arial"/>
          <w:color w:val="000000" w:themeColor="text1"/>
          <w:lang w:val="es-ES"/>
        </w:rPr>
        <w:t>procedente</w:t>
      </w:r>
      <w:r w:rsidR="00787184" w:rsidRPr="00B6547E">
        <w:rPr>
          <w:rFonts w:ascii="Palatino Linotype" w:eastAsia="Calibri" w:hAnsi="Palatino Linotype" w:cs="Arial"/>
          <w:color w:val="000000" w:themeColor="text1"/>
          <w:lang w:val="es-ES"/>
        </w:rPr>
        <w:t>.</w:t>
      </w:r>
    </w:p>
    <w:p w14:paraId="67D7209A" w14:textId="77777777" w:rsidR="001B32B2" w:rsidRPr="00B6547E" w:rsidRDefault="001B32B2" w:rsidP="004364E5">
      <w:pPr>
        <w:rPr>
          <w:rFonts w:ascii="Palatino Linotype" w:eastAsia="Calibri" w:hAnsi="Palatino Linotype" w:cs="Arial"/>
          <w:color w:val="000000" w:themeColor="text1"/>
          <w:lang w:val="es-ES"/>
        </w:rPr>
      </w:pPr>
    </w:p>
    <w:p w14:paraId="782655B8" w14:textId="2FC436B7" w:rsidR="00061087" w:rsidRPr="00B6547E" w:rsidRDefault="000152B8" w:rsidP="00BF1531">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B6547E">
        <w:rPr>
          <w:rFonts w:ascii="Palatino Linotype" w:eastAsia="Calibri" w:hAnsi="Palatino Linotype" w:cs="Arial"/>
          <w:color w:val="000000" w:themeColor="text1"/>
          <w:lang w:val="es-ES"/>
        </w:rPr>
        <w:t xml:space="preserve">De las constancias que obran en el expediente electrónico del </w:t>
      </w:r>
      <w:r w:rsidRPr="00B6547E">
        <w:rPr>
          <w:rFonts w:ascii="Palatino Linotype" w:eastAsia="Calibri" w:hAnsi="Palatino Linotype" w:cs="Arial"/>
          <w:b/>
          <w:color w:val="000000" w:themeColor="text1"/>
          <w:lang w:val="es-ES"/>
        </w:rPr>
        <w:t>SAIMEX</w:t>
      </w:r>
      <w:r w:rsidR="00176843" w:rsidRPr="00B6547E">
        <w:rPr>
          <w:rFonts w:ascii="Palatino Linotype" w:eastAsia="Calibri" w:hAnsi="Palatino Linotype" w:cs="Arial"/>
          <w:color w:val="000000" w:themeColor="text1"/>
          <w:lang w:val="es-ES"/>
        </w:rPr>
        <w:t xml:space="preserve">, </w:t>
      </w:r>
      <w:r w:rsidR="00395839" w:rsidRPr="00B6547E">
        <w:rPr>
          <w:rFonts w:ascii="Palatino Linotype" w:eastAsia="Calibri" w:hAnsi="Palatino Linotype" w:cs="Arial"/>
          <w:color w:val="000000" w:themeColor="text1"/>
          <w:lang w:val="es-ES"/>
        </w:rPr>
        <w:t xml:space="preserve">se aprecia que, </w:t>
      </w:r>
      <w:r w:rsidR="00BF1531" w:rsidRPr="00B6547E">
        <w:rPr>
          <w:rFonts w:ascii="Palatino Linotype" w:eastAsia="Calibri" w:hAnsi="Palatino Linotype" w:cs="Arial"/>
          <w:color w:val="000000" w:themeColor="text1"/>
          <w:lang w:val="es-ES"/>
        </w:rPr>
        <w:t xml:space="preserve">el </w:t>
      </w:r>
      <w:r w:rsidR="006477E7" w:rsidRPr="00B6547E">
        <w:rPr>
          <w:rFonts w:ascii="Palatino Linotype" w:eastAsia="Calibri" w:hAnsi="Palatino Linotype" w:cs="Arial"/>
          <w:color w:val="000000" w:themeColor="text1"/>
          <w:lang w:val="es-ES"/>
        </w:rPr>
        <w:t>veintitrés de noviembre</w:t>
      </w:r>
      <w:r w:rsidR="002B5733" w:rsidRPr="00B6547E">
        <w:rPr>
          <w:rFonts w:ascii="Palatino Linotype" w:eastAsia="Calibri" w:hAnsi="Palatino Linotype" w:cs="Arial"/>
          <w:color w:val="000000" w:themeColor="text1"/>
          <w:lang w:val="es-ES"/>
        </w:rPr>
        <w:t xml:space="preserve"> </w:t>
      </w:r>
      <w:r w:rsidR="00395839" w:rsidRPr="00B6547E">
        <w:rPr>
          <w:rFonts w:ascii="Palatino Linotype" w:eastAsia="Calibri" w:hAnsi="Palatino Linotype" w:cs="Arial"/>
          <w:color w:val="000000" w:themeColor="text1"/>
          <w:lang w:val="es-ES"/>
        </w:rPr>
        <w:t>de dos mil veinti</w:t>
      </w:r>
      <w:r w:rsidR="002B5733" w:rsidRPr="00B6547E">
        <w:rPr>
          <w:rFonts w:ascii="Palatino Linotype" w:eastAsia="Calibri" w:hAnsi="Palatino Linotype" w:cs="Arial"/>
          <w:color w:val="000000" w:themeColor="text1"/>
          <w:lang w:val="es-ES"/>
        </w:rPr>
        <w:t>trés</w:t>
      </w:r>
      <w:r w:rsidR="00395839" w:rsidRPr="00B6547E">
        <w:rPr>
          <w:rFonts w:ascii="Palatino Linotype" w:eastAsia="Calibri" w:hAnsi="Palatino Linotype" w:cs="Arial"/>
          <w:color w:val="000000" w:themeColor="text1"/>
          <w:lang w:val="es-ES"/>
        </w:rPr>
        <w:t xml:space="preserve">, el </w:t>
      </w:r>
      <w:r w:rsidR="00395839" w:rsidRPr="00B6547E">
        <w:rPr>
          <w:rFonts w:ascii="Palatino Linotype" w:eastAsia="Calibri" w:hAnsi="Palatino Linotype" w:cs="Arial"/>
          <w:b/>
          <w:color w:val="000000" w:themeColor="text1"/>
          <w:lang w:val="es-ES"/>
        </w:rPr>
        <w:t>SUJETO OBLIGADO</w:t>
      </w:r>
      <w:r w:rsidR="00395839" w:rsidRPr="00B6547E">
        <w:rPr>
          <w:rFonts w:ascii="Palatino Linotype" w:eastAsia="Calibri" w:hAnsi="Palatino Linotype" w:cs="Arial"/>
          <w:color w:val="000000" w:themeColor="text1"/>
          <w:lang w:val="es-ES"/>
        </w:rPr>
        <w:t xml:space="preserve"> rindió el informe justificado correspondiente </w:t>
      </w:r>
      <w:r w:rsidR="00BF1531" w:rsidRPr="00B6547E">
        <w:rPr>
          <w:rFonts w:ascii="Palatino Linotype" w:eastAsia="Calibri" w:hAnsi="Palatino Linotype" w:cs="Arial"/>
          <w:color w:val="000000" w:themeColor="text1"/>
          <w:lang w:val="es-ES"/>
        </w:rPr>
        <w:t xml:space="preserve">por medio </w:t>
      </w:r>
      <w:r w:rsidR="00061087" w:rsidRPr="00B6547E">
        <w:rPr>
          <w:rFonts w:ascii="Palatino Linotype" w:eastAsia="Calibri" w:hAnsi="Palatino Linotype" w:cs="Arial"/>
          <w:color w:val="000000" w:themeColor="text1"/>
          <w:lang w:val="es-ES"/>
        </w:rPr>
        <w:t>de los siguientes</w:t>
      </w:r>
      <w:r w:rsidR="00395839" w:rsidRPr="00B6547E">
        <w:rPr>
          <w:rFonts w:ascii="Palatino Linotype" w:eastAsia="Calibri" w:hAnsi="Palatino Linotype" w:cs="Arial"/>
          <w:color w:val="000000" w:themeColor="text1"/>
          <w:lang w:val="es-ES"/>
        </w:rPr>
        <w:t xml:space="preserve"> archivo</w:t>
      </w:r>
      <w:r w:rsidR="00061087" w:rsidRPr="00B6547E">
        <w:rPr>
          <w:rFonts w:ascii="Palatino Linotype" w:eastAsia="Calibri" w:hAnsi="Palatino Linotype" w:cs="Arial"/>
          <w:color w:val="000000" w:themeColor="text1"/>
          <w:lang w:val="es-ES"/>
        </w:rPr>
        <w:t>s</w:t>
      </w:r>
      <w:r w:rsidR="00395839" w:rsidRPr="00B6547E">
        <w:rPr>
          <w:rFonts w:ascii="Palatino Linotype" w:eastAsia="Calibri" w:hAnsi="Palatino Linotype" w:cs="Arial"/>
          <w:color w:val="000000" w:themeColor="text1"/>
          <w:lang w:val="es-ES"/>
        </w:rPr>
        <w:t xml:space="preserve"> electrónico</w:t>
      </w:r>
      <w:r w:rsidR="00061087" w:rsidRPr="00B6547E">
        <w:rPr>
          <w:rFonts w:ascii="Palatino Linotype" w:eastAsia="Calibri" w:hAnsi="Palatino Linotype" w:cs="Arial"/>
          <w:color w:val="000000" w:themeColor="text1"/>
          <w:lang w:val="es-ES"/>
        </w:rPr>
        <w:t>s:</w:t>
      </w:r>
    </w:p>
    <w:p w14:paraId="5EB57E77" w14:textId="77777777" w:rsidR="00061087" w:rsidRPr="00B6547E" w:rsidRDefault="00061087" w:rsidP="00061087">
      <w:pPr>
        <w:tabs>
          <w:tab w:val="left" w:pos="426"/>
        </w:tabs>
        <w:ind w:right="616"/>
        <w:jc w:val="both"/>
        <w:rPr>
          <w:rFonts w:ascii="Palatino Linotype" w:hAnsi="Palatino Linotype"/>
          <w:sz w:val="22"/>
          <w:szCs w:val="22"/>
        </w:rPr>
      </w:pPr>
    </w:p>
    <w:p w14:paraId="7D99E0B7" w14:textId="619C6747" w:rsidR="00061087" w:rsidRPr="00B6547E" w:rsidRDefault="0005149B" w:rsidP="00C823B5">
      <w:pPr>
        <w:pStyle w:val="Prrafodelista"/>
        <w:numPr>
          <w:ilvl w:val="0"/>
          <w:numId w:val="6"/>
        </w:numPr>
        <w:tabs>
          <w:tab w:val="left" w:pos="426"/>
        </w:tabs>
        <w:ind w:right="616"/>
        <w:jc w:val="both"/>
        <w:rPr>
          <w:rFonts w:ascii="Palatino Linotype" w:hAnsi="Palatino Linotype"/>
          <w:sz w:val="22"/>
          <w:szCs w:val="22"/>
        </w:rPr>
      </w:pPr>
      <w:hyperlink r:id="rId17" w:history="1">
        <w:r w:rsidR="00061087" w:rsidRPr="00B6547E">
          <w:rPr>
            <w:rStyle w:val="Hipervnculo"/>
            <w:rFonts w:ascii="Palatino Linotype" w:hAnsi="Palatino Linotype" w:cs="Arial"/>
            <w:b/>
            <w:bCs/>
            <w:color w:val="auto"/>
            <w:sz w:val="22"/>
            <w:szCs w:val="22"/>
            <w:u w:val="none"/>
          </w:rPr>
          <w:t>Anexos Informe Justificado RR 05053.zip</w:t>
        </w:r>
      </w:hyperlink>
      <w:r w:rsidR="00061087" w:rsidRPr="00B6547E">
        <w:rPr>
          <w:rFonts w:ascii="Palatino Linotype" w:hAnsi="Palatino Linotype"/>
          <w:sz w:val="22"/>
          <w:szCs w:val="22"/>
        </w:rPr>
        <w:t>:</w:t>
      </w:r>
    </w:p>
    <w:p w14:paraId="4F81CC0E" w14:textId="77777777" w:rsidR="00061087" w:rsidRPr="00B6547E" w:rsidRDefault="00061087" w:rsidP="00C823B5">
      <w:pPr>
        <w:pStyle w:val="Prrafodelista"/>
        <w:numPr>
          <w:ilvl w:val="0"/>
          <w:numId w:val="7"/>
        </w:numPr>
        <w:tabs>
          <w:tab w:val="left" w:pos="426"/>
        </w:tabs>
        <w:ind w:left="851" w:right="616" w:hanging="284"/>
        <w:jc w:val="both"/>
        <w:rPr>
          <w:rFonts w:ascii="Palatino Linotype" w:hAnsi="Palatino Linotype"/>
          <w:b/>
          <w:sz w:val="22"/>
          <w:szCs w:val="22"/>
        </w:rPr>
      </w:pPr>
      <w:r w:rsidRPr="00B6547E">
        <w:rPr>
          <w:rFonts w:ascii="Palatino Linotype" w:hAnsi="Palatino Linotype"/>
          <w:b/>
          <w:sz w:val="22"/>
          <w:szCs w:val="22"/>
        </w:rPr>
        <w:t xml:space="preserve">ZONA I </w:t>
      </w:r>
    </w:p>
    <w:p w14:paraId="7EDC6B5B" w14:textId="621BD7A1" w:rsidR="00AE76BF" w:rsidRPr="00B6547E" w:rsidRDefault="00061087" w:rsidP="00C823B5">
      <w:pPr>
        <w:pStyle w:val="Prrafodelista"/>
        <w:numPr>
          <w:ilvl w:val="0"/>
          <w:numId w:val="8"/>
        </w:numPr>
        <w:tabs>
          <w:tab w:val="left" w:pos="426"/>
        </w:tabs>
        <w:ind w:left="1276" w:right="616" w:hanging="283"/>
        <w:jc w:val="both"/>
        <w:rPr>
          <w:rFonts w:ascii="Palatino Linotype" w:hAnsi="Palatino Linotype"/>
          <w:b/>
          <w:sz w:val="22"/>
          <w:szCs w:val="22"/>
        </w:rPr>
      </w:pPr>
      <w:proofErr w:type="spellStart"/>
      <w:r w:rsidRPr="00B6547E">
        <w:rPr>
          <w:rFonts w:ascii="Palatino Linotype" w:hAnsi="Palatino Linotype"/>
          <w:b/>
          <w:sz w:val="22"/>
          <w:szCs w:val="22"/>
        </w:rPr>
        <w:t>Operativos_Zona_I</w:t>
      </w:r>
      <w:proofErr w:type="spellEnd"/>
      <w:r w:rsidRPr="00B6547E">
        <w:rPr>
          <w:rFonts w:ascii="Palatino Linotype" w:hAnsi="Palatino Linotype"/>
          <w:b/>
          <w:sz w:val="22"/>
          <w:szCs w:val="22"/>
        </w:rPr>
        <w:t xml:space="preserve"> (1):</w:t>
      </w:r>
      <w:r w:rsidR="00AE76BF" w:rsidRPr="00B6547E">
        <w:rPr>
          <w:rFonts w:ascii="Palatino Linotype" w:hAnsi="Palatino Linotype"/>
          <w:b/>
          <w:sz w:val="22"/>
          <w:szCs w:val="22"/>
        </w:rPr>
        <w:t xml:space="preserve"> </w:t>
      </w:r>
      <w:r w:rsidR="00AE76BF" w:rsidRPr="00B6547E">
        <w:rPr>
          <w:rFonts w:ascii="Palatino Linotype" w:hAnsi="Palatino Linotype"/>
          <w:sz w:val="22"/>
          <w:szCs w:val="22"/>
        </w:rPr>
        <w:t>Documento de cinco fojas, consistente en:</w:t>
      </w:r>
    </w:p>
    <w:p w14:paraId="690F730C" w14:textId="77777777" w:rsidR="00AE76BF" w:rsidRPr="00B6547E" w:rsidRDefault="00AE76BF" w:rsidP="00055860">
      <w:pPr>
        <w:pStyle w:val="Prrafodelista"/>
        <w:spacing w:after="160"/>
        <w:ind w:left="1377" w:right="616" w:hanging="101"/>
        <w:jc w:val="both"/>
        <w:rPr>
          <w:rFonts w:ascii="Palatino Linotype" w:hAnsi="Palatino Linotype"/>
          <w:sz w:val="22"/>
          <w:szCs w:val="22"/>
        </w:rPr>
      </w:pPr>
      <w:r w:rsidRPr="00B6547E">
        <w:rPr>
          <w:rFonts w:ascii="Palatino Linotype" w:hAnsi="Palatino Linotype"/>
          <w:sz w:val="22"/>
          <w:szCs w:val="22"/>
        </w:rPr>
        <w:t xml:space="preserve">-El registro de operativos de la Delegación Regional de Movilidad Toluca, Valle de Bravo, Atlacomulco, Ixtapan de la Sal, Tejupilco de 2010 a 2022, con los siguientes rubros: AÑO, NUMERO DE OPERATIVOS, VEHÍCULOS RETENIDOS y TOTAL. </w:t>
      </w:r>
    </w:p>
    <w:p w14:paraId="10BD9045" w14:textId="77777777" w:rsidR="00AE76BF" w:rsidRPr="00B6547E" w:rsidRDefault="00AE76BF" w:rsidP="00055860">
      <w:pPr>
        <w:pStyle w:val="Prrafodelista"/>
        <w:spacing w:after="160"/>
        <w:ind w:left="1377" w:right="616" w:hanging="101"/>
        <w:jc w:val="both"/>
        <w:rPr>
          <w:rFonts w:ascii="Palatino Linotype" w:hAnsi="Palatino Linotype"/>
          <w:sz w:val="22"/>
          <w:szCs w:val="22"/>
        </w:rPr>
      </w:pPr>
      <w:r w:rsidRPr="00B6547E">
        <w:rPr>
          <w:rFonts w:ascii="Palatino Linotype" w:hAnsi="Palatino Linotype"/>
          <w:sz w:val="22"/>
          <w:szCs w:val="22"/>
        </w:rPr>
        <w:t>-El registro de los nombres del Personal adscrito a la Dirección General de Movilidad Zona I, Comisionado para la realización de visitas durante el periodo 2010-2022.</w:t>
      </w:r>
    </w:p>
    <w:p w14:paraId="535452AC" w14:textId="77777777" w:rsidR="00AE76BF" w:rsidRPr="00B6547E" w:rsidRDefault="00AE76BF" w:rsidP="00055860">
      <w:pPr>
        <w:pStyle w:val="Prrafodelista"/>
        <w:spacing w:after="160"/>
        <w:ind w:left="1377" w:right="616" w:hanging="101"/>
        <w:jc w:val="both"/>
        <w:rPr>
          <w:rFonts w:ascii="Palatino Linotype" w:hAnsi="Palatino Linotype"/>
          <w:sz w:val="22"/>
          <w:szCs w:val="22"/>
        </w:rPr>
      </w:pPr>
      <w:r w:rsidRPr="00B6547E">
        <w:rPr>
          <w:rFonts w:ascii="Palatino Linotype" w:hAnsi="Palatino Linotype"/>
          <w:sz w:val="22"/>
          <w:szCs w:val="22"/>
        </w:rPr>
        <w:t>-Relación de oficios de autorización.</w:t>
      </w:r>
    </w:p>
    <w:p w14:paraId="64F485BF" w14:textId="77777777" w:rsidR="00AE76BF" w:rsidRPr="00B6547E" w:rsidRDefault="00AE76BF" w:rsidP="00055860">
      <w:pPr>
        <w:pStyle w:val="Prrafodelista"/>
        <w:spacing w:after="160"/>
        <w:ind w:left="1377" w:right="616" w:hanging="101"/>
        <w:jc w:val="both"/>
        <w:rPr>
          <w:rFonts w:ascii="Palatino Linotype" w:hAnsi="Palatino Linotype"/>
          <w:sz w:val="22"/>
          <w:szCs w:val="22"/>
        </w:rPr>
      </w:pPr>
      <w:r w:rsidRPr="00B6547E">
        <w:rPr>
          <w:rFonts w:ascii="Palatino Linotype" w:hAnsi="Palatino Linotype"/>
          <w:sz w:val="22"/>
          <w:szCs w:val="22"/>
        </w:rPr>
        <w:t>-Relación de oficios de Coordinación con otras Unidades Administrativas / Dependencias, con los siguientes rubros: NÚMERO DE OFICIO, FECHA, AUTORIDAD DIRIGIDA.</w:t>
      </w:r>
    </w:p>
    <w:p w14:paraId="4BEC80D1" w14:textId="77777777" w:rsidR="00AE76BF" w:rsidRPr="00B6547E" w:rsidRDefault="00AE76BF" w:rsidP="00055860">
      <w:pPr>
        <w:pStyle w:val="Prrafodelista"/>
        <w:tabs>
          <w:tab w:val="left" w:pos="426"/>
        </w:tabs>
        <w:ind w:left="1377" w:right="616"/>
        <w:jc w:val="both"/>
        <w:rPr>
          <w:rFonts w:ascii="Palatino Linotype" w:hAnsi="Palatino Linotype"/>
          <w:b/>
          <w:sz w:val="22"/>
          <w:szCs w:val="22"/>
        </w:rPr>
      </w:pPr>
    </w:p>
    <w:p w14:paraId="136BB63B" w14:textId="188EC0B1" w:rsidR="00061087" w:rsidRPr="00B6547E" w:rsidRDefault="00061087" w:rsidP="00C823B5">
      <w:pPr>
        <w:pStyle w:val="Prrafodelista"/>
        <w:numPr>
          <w:ilvl w:val="0"/>
          <w:numId w:val="8"/>
        </w:numPr>
        <w:tabs>
          <w:tab w:val="left" w:pos="426"/>
        </w:tabs>
        <w:ind w:left="1377" w:right="616"/>
        <w:jc w:val="both"/>
        <w:rPr>
          <w:rFonts w:ascii="Palatino Linotype" w:hAnsi="Palatino Linotype"/>
          <w:b/>
          <w:sz w:val="22"/>
          <w:szCs w:val="22"/>
        </w:rPr>
      </w:pPr>
      <w:r w:rsidRPr="00B6547E">
        <w:rPr>
          <w:rFonts w:ascii="Palatino Linotype" w:hAnsi="Palatino Linotype"/>
          <w:b/>
          <w:sz w:val="22"/>
          <w:szCs w:val="22"/>
        </w:rPr>
        <w:lastRenderedPageBreak/>
        <w:t xml:space="preserve">ACTA CIRCUNSTANCIAL DE </w:t>
      </w:r>
      <w:proofErr w:type="spellStart"/>
      <w:r w:rsidRPr="00B6547E">
        <w:rPr>
          <w:rFonts w:ascii="Palatino Linotype" w:hAnsi="Palatino Linotype"/>
          <w:b/>
          <w:sz w:val="22"/>
          <w:szCs w:val="22"/>
        </w:rPr>
        <w:t>HECHOS_Tejupilco</w:t>
      </w:r>
      <w:proofErr w:type="spellEnd"/>
      <w:r w:rsidRPr="00B6547E">
        <w:rPr>
          <w:rFonts w:ascii="Palatino Linotype" w:hAnsi="Palatino Linotype"/>
          <w:b/>
          <w:sz w:val="22"/>
          <w:szCs w:val="22"/>
        </w:rPr>
        <w:t xml:space="preserve"> (3):</w:t>
      </w:r>
      <w:r w:rsidR="00AE76BF" w:rsidRPr="00B6547E">
        <w:rPr>
          <w:rFonts w:ascii="Palatino Linotype" w:hAnsi="Palatino Linotype"/>
          <w:sz w:val="22"/>
          <w:szCs w:val="22"/>
        </w:rPr>
        <w:t xml:space="preserve"> Documento de una foja, consistente en la copia digitalizada del Acta Circunstanciada de Hechos, signada por el </w:t>
      </w:r>
      <w:proofErr w:type="gramStart"/>
      <w:r w:rsidR="00AE76BF" w:rsidRPr="00B6547E">
        <w:rPr>
          <w:rFonts w:ascii="Palatino Linotype" w:hAnsi="Palatino Linotype"/>
          <w:sz w:val="22"/>
          <w:szCs w:val="22"/>
        </w:rPr>
        <w:t>Delegado</w:t>
      </w:r>
      <w:proofErr w:type="gramEnd"/>
      <w:r w:rsidR="00AE76BF" w:rsidRPr="00B6547E">
        <w:rPr>
          <w:rFonts w:ascii="Palatino Linotype" w:hAnsi="Palatino Linotype"/>
          <w:sz w:val="22"/>
          <w:szCs w:val="22"/>
        </w:rPr>
        <w:t xml:space="preserve"> Regional de Movilidad Tejupilco, el Subdelegado Regional de Movilidad Tejupilco y la Jefa de Oficina, por medio de la cual, informaron que se realizó una búsqueda exhaustiva de la información solicitada, en la Oficina de la Delegación y en todas las áreas donde pudiera localizarse la información, sin que esta fuera localizada.</w:t>
      </w:r>
    </w:p>
    <w:p w14:paraId="0AE10CB7" w14:textId="77777777" w:rsidR="00055860" w:rsidRPr="00B6547E" w:rsidRDefault="00055860" w:rsidP="00055860">
      <w:pPr>
        <w:pStyle w:val="Prrafodelista"/>
        <w:tabs>
          <w:tab w:val="left" w:pos="426"/>
        </w:tabs>
        <w:ind w:left="1377" w:right="616"/>
        <w:jc w:val="both"/>
        <w:rPr>
          <w:rFonts w:ascii="Palatino Linotype" w:hAnsi="Palatino Linotype"/>
          <w:b/>
          <w:sz w:val="22"/>
          <w:szCs w:val="22"/>
        </w:rPr>
      </w:pPr>
    </w:p>
    <w:p w14:paraId="55C864AA" w14:textId="7C1F297E" w:rsidR="00061087" w:rsidRPr="00B6547E" w:rsidRDefault="00AE76BF" w:rsidP="00C823B5">
      <w:pPr>
        <w:pStyle w:val="Prrafodelista"/>
        <w:numPr>
          <w:ilvl w:val="0"/>
          <w:numId w:val="8"/>
        </w:numPr>
        <w:tabs>
          <w:tab w:val="left" w:pos="426"/>
        </w:tabs>
        <w:ind w:left="1377" w:right="616"/>
        <w:jc w:val="both"/>
        <w:rPr>
          <w:rFonts w:ascii="Palatino Linotype" w:hAnsi="Palatino Linotype"/>
          <w:b/>
          <w:sz w:val="22"/>
          <w:szCs w:val="22"/>
        </w:rPr>
      </w:pPr>
      <w:r w:rsidRPr="00B6547E">
        <w:rPr>
          <w:rFonts w:ascii="Palatino Linotype" w:hAnsi="Palatino Linotype"/>
          <w:b/>
          <w:sz w:val="22"/>
          <w:szCs w:val="22"/>
        </w:rPr>
        <w:t xml:space="preserve">Transferencia expedientes al </w:t>
      </w:r>
      <w:r w:rsidR="00061087" w:rsidRPr="00B6547E">
        <w:rPr>
          <w:rFonts w:ascii="Palatino Linotype" w:hAnsi="Palatino Linotype"/>
          <w:b/>
          <w:sz w:val="22"/>
          <w:szCs w:val="22"/>
        </w:rPr>
        <w:t>Archivo del 2010 al 2015_Ixtapan (2):</w:t>
      </w:r>
      <w:r w:rsidRPr="00B6547E">
        <w:rPr>
          <w:rFonts w:ascii="Palatino Linotype" w:hAnsi="Palatino Linotype"/>
          <w:sz w:val="22"/>
          <w:szCs w:val="22"/>
        </w:rPr>
        <w:t xml:space="preserve"> Documento consistente en la copia digitalizada del oficio de fecha 29 de junio de 2017, suscrito por el Delegado Regional de Movilidad de Ixtapan de la Sal, dirigido al Subdirector Administrativo y Presidente del Comité de selección documental de la Secretaría de Movilidad, por medio del cual, informó que la delegación cuenta con 47,153 documentos susceptibles de destrucción por el método de trituración, correspondiente a los archivos 2010, 2011, 2012, 2013 y 2014 de la Delegación Regional de Movilidad Ixtapan de la Sal, 2009, 2010, 2011, 2012, 2013 y 2014 de la Subdirección del Comité para determinar su transferencia al Archivo General del Poder Ejecutivo y/o su destrucción. Asimismo, se adjuntó el Inventario de Archivo de Concentración de 2009 a 2015.</w:t>
      </w:r>
    </w:p>
    <w:p w14:paraId="6B907630" w14:textId="0D44D1C9" w:rsidR="00275630" w:rsidRPr="00B6547E" w:rsidRDefault="00061087" w:rsidP="00C823B5">
      <w:pPr>
        <w:pStyle w:val="Prrafodelista"/>
        <w:numPr>
          <w:ilvl w:val="0"/>
          <w:numId w:val="8"/>
        </w:numPr>
        <w:tabs>
          <w:tab w:val="left" w:pos="426"/>
        </w:tabs>
        <w:ind w:left="1377" w:right="616"/>
        <w:jc w:val="both"/>
        <w:rPr>
          <w:rFonts w:ascii="Palatino Linotype" w:hAnsi="Palatino Linotype"/>
          <w:sz w:val="22"/>
          <w:szCs w:val="22"/>
        </w:rPr>
      </w:pPr>
      <w:r w:rsidRPr="00B6547E">
        <w:rPr>
          <w:rFonts w:ascii="Palatino Linotype" w:hAnsi="Palatino Linotype"/>
          <w:b/>
          <w:sz w:val="22"/>
          <w:szCs w:val="22"/>
        </w:rPr>
        <w:t>Respuesta RR 05053 ZONA I:</w:t>
      </w:r>
      <w:r w:rsidR="00275630" w:rsidRPr="00B6547E">
        <w:rPr>
          <w:rFonts w:ascii="Palatino Linotype" w:hAnsi="Palatino Linotype"/>
          <w:b/>
          <w:sz w:val="22"/>
          <w:szCs w:val="22"/>
        </w:rPr>
        <w:t xml:space="preserve"> </w:t>
      </w:r>
      <w:r w:rsidR="00275630" w:rsidRPr="00B6547E">
        <w:rPr>
          <w:rFonts w:ascii="Palatino Linotype" w:hAnsi="Palatino Linotype"/>
          <w:sz w:val="22"/>
          <w:szCs w:val="22"/>
        </w:rPr>
        <w:t xml:space="preserve">Oficio suscrito por el </w:t>
      </w:r>
      <w:proofErr w:type="gramStart"/>
      <w:r w:rsidR="00275630" w:rsidRPr="00B6547E">
        <w:rPr>
          <w:rFonts w:ascii="Palatino Linotype" w:hAnsi="Palatino Linotype"/>
          <w:sz w:val="22"/>
          <w:szCs w:val="22"/>
        </w:rPr>
        <w:t>Director</w:t>
      </w:r>
      <w:proofErr w:type="gramEnd"/>
      <w:r w:rsidR="00275630" w:rsidRPr="00B6547E">
        <w:rPr>
          <w:rFonts w:ascii="Palatino Linotype" w:hAnsi="Palatino Linotype"/>
          <w:sz w:val="22"/>
          <w:szCs w:val="22"/>
        </w:rPr>
        <w:t xml:space="preserve"> de Movilidad Zona I, por medio del cual, refirió hacer entrega de los archivos electrónicos denominados: Operativos_Zona_I.pdf, </w:t>
      </w:r>
    </w:p>
    <w:p w14:paraId="492C4B6E" w14:textId="6DDDA9D9" w:rsidR="00275630" w:rsidRPr="00B6547E" w:rsidRDefault="00275630" w:rsidP="00275630">
      <w:pPr>
        <w:pStyle w:val="Prrafodelista"/>
        <w:tabs>
          <w:tab w:val="left" w:pos="426"/>
        </w:tabs>
        <w:ind w:left="1377" w:right="616"/>
        <w:jc w:val="both"/>
        <w:rPr>
          <w:rFonts w:ascii="Palatino Linotype" w:hAnsi="Palatino Linotype"/>
          <w:sz w:val="22"/>
          <w:szCs w:val="22"/>
        </w:rPr>
      </w:pPr>
      <w:r w:rsidRPr="00B6547E">
        <w:rPr>
          <w:rFonts w:ascii="Palatino Linotype" w:hAnsi="Palatino Linotype"/>
          <w:sz w:val="22"/>
          <w:szCs w:val="22"/>
        </w:rPr>
        <w:t>Transferencia expedientes al Archivo del 2010 al 2015_Ixtapan.pdf y ACTA CIRCUNSTANCIAL DE HECHOS_Tejupilco.pdf.</w:t>
      </w:r>
    </w:p>
    <w:p w14:paraId="36A87B3C" w14:textId="77777777" w:rsidR="00061087" w:rsidRPr="00B6547E" w:rsidRDefault="00061087" w:rsidP="00AE76BF">
      <w:pPr>
        <w:tabs>
          <w:tab w:val="left" w:pos="426"/>
        </w:tabs>
        <w:ind w:left="1080" w:right="616"/>
        <w:jc w:val="both"/>
        <w:rPr>
          <w:rFonts w:ascii="Palatino Linotype" w:hAnsi="Palatino Linotype"/>
          <w:b/>
          <w:sz w:val="22"/>
          <w:szCs w:val="22"/>
        </w:rPr>
      </w:pPr>
    </w:p>
    <w:p w14:paraId="064BC865" w14:textId="3803DFC3" w:rsidR="00061087" w:rsidRPr="00B6547E" w:rsidRDefault="00061087" w:rsidP="00C823B5">
      <w:pPr>
        <w:pStyle w:val="Prrafodelista"/>
        <w:numPr>
          <w:ilvl w:val="0"/>
          <w:numId w:val="7"/>
        </w:numPr>
        <w:tabs>
          <w:tab w:val="left" w:pos="426"/>
        </w:tabs>
        <w:ind w:left="851" w:right="616" w:hanging="284"/>
        <w:jc w:val="both"/>
        <w:rPr>
          <w:rFonts w:ascii="Palatino Linotype" w:hAnsi="Palatino Linotype"/>
          <w:b/>
          <w:sz w:val="22"/>
          <w:szCs w:val="22"/>
        </w:rPr>
      </w:pPr>
      <w:r w:rsidRPr="00B6547E">
        <w:rPr>
          <w:rFonts w:ascii="Palatino Linotype" w:hAnsi="Palatino Linotype"/>
          <w:b/>
          <w:sz w:val="22"/>
          <w:szCs w:val="22"/>
        </w:rPr>
        <w:t>ZONA II</w:t>
      </w:r>
    </w:p>
    <w:p w14:paraId="7EA73C8A" w14:textId="0916A9A9" w:rsidR="00803A69" w:rsidRPr="00B6547E" w:rsidRDefault="00803A69" w:rsidP="00C823B5">
      <w:pPr>
        <w:pStyle w:val="Prrafodelista"/>
        <w:numPr>
          <w:ilvl w:val="0"/>
          <w:numId w:val="9"/>
        </w:numPr>
        <w:tabs>
          <w:tab w:val="left" w:pos="426"/>
        </w:tabs>
        <w:ind w:right="616"/>
        <w:jc w:val="both"/>
        <w:rPr>
          <w:rFonts w:ascii="Palatino Linotype" w:hAnsi="Palatino Linotype"/>
          <w:b/>
          <w:sz w:val="22"/>
          <w:szCs w:val="22"/>
        </w:rPr>
      </w:pPr>
      <w:r w:rsidRPr="00B6547E">
        <w:rPr>
          <w:rFonts w:ascii="Palatino Linotype" w:hAnsi="Palatino Linotype"/>
          <w:b/>
          <w:sz w:val="22"/>
          <w:szCs w:val="22"/>
        </w:rPr>
        <w:t>AUTORIDADES PARTICIPANTES EN LAS VISITAS DE VERIFICACIÓN E INSPECCIÓN:</w:t>
      </w:r>
      <w:r w:rsidR="00AE76BF" w:rsidRPr="00B6547E">
        <w:rPr>
          <w:rFonts w:ascii="Palatino Linotype" w:hAnsi="Palatino Linotype"/>
          <w:sz w:val="22"/>
          <w:szCs w:val="22"/>
        </w:rPr>
        <w:t xml:space="preserve"> Documento de una foja donde se advierten las autoridades que participaron en las visitas de verificación e inspección: FISCLAÍA DEL ESTADO DE MÉXICO, POLICÍA MUNICIPAL, POLICÍA ESTATAL, POLICÍA DE GÉNERO, SECRETARIA DE MOVILIDAD Y EJÉRCITO MEXICANO.</w:t>
      </w:r>
    </w:p>
    <w:p w14:paraId="71410A5A" w14:textId="793850B1" w:rsidR="00803A69" w:rsidRPr="00B6547E" w:rsidRDefault="00803A69" w:rsidP="00C823B5">
      <w:pPr>
        <w:pStyle w:val="Prrafodelista"/>
        <w:numPr>
          <w:ilvl w:val="0"/>
          <w:numId w:val="9"/>
        </w:numPr>
        <w:tabs>
          <w:tab w:val="left" w:pos="426"/>
        </w:tabs>
        <w:ind w:right="616"/>
        <w:jc w:val="both"/>
        <w:rPr>
          <w:rFonts w:ascii="Palatino Linotype" w:hAnsi="Palatino Linotype"/>
          <w:b/>
          <w:sz w:val="22"/>
          <w:szCs w:val="22"/>
        </w:rPr>
      </w:pPr>
      <w:r w:rsidRPr="00B6547E">
        <w:rPr>
          <w:rFonts w:ascii="Palatino Linotype" w:hAnsi="Palatino Linotype"/>
          <w:b/>
          <w:sz w:val="22"/>
          <w:szCs w:val="22"/>
        </w:rPr>
        <w:t>INSPECTORES HABILITADOS DIRECCIÓN GENERAL ZONA II:</w:t>
      </w:r>
      <w:r w:rsidR="00AE76BF" w:rsidRPr="00B6547E">
        <w:rPr>
          <w:rFonts w:ascii="Palatino Linotype" w:hAnsi="Palatino Linotype"/>
          <w:sz w:val="22"/>
          <w:szCs w:val="22"/>
        </w:rPr>
        <w:t xml:space="preserve"> Documento de cuatro fojas consistente en un registro de inspectores habilitados Delegación Regional Naucalpan, Delegación Regional Cuautitlán Izcalli, Delegación Regional Zumpango y Dirección General de Movilidad Zona II, de 2017 a 2022.</w:t>
      </w:r>
    </w:p>
    <w:p w14:paraId="21C48E53" w14:textId="2733FFB8" w:rsidR="00803A69" w:rsidRPr="00B6547E" w:rsidRDefault="00803A69" w:rsidP="00C823B5">
      <w:pPr>
        <w:pStyle w:val="Prrafodelista"/>
        <w:numPr>
          <w:ilvl w:val="0"/>
          <w:numId w:val="9"/>
        </w:numPr>
        <w:tabs>
          <w:tab w:val="left" w:pos="426"/>
        </w:tabs>
        <w:ind w:right="616"/>
        <w:jc w:val="both"/>
        <w:rPr>
          <w:rFonts w:ascii="Palatino Linotype" w:hAnsi="Palatino Linotype"/>
          <w:b/>
          <w:sz w:val="22"/>
          <w:szCs w:val="22"/>
        </w:rPr>
      </w:pPr>
      <w:r w:rsidRPr="00B6547E">
        <w:rPr>
          <w:rFonts w:ascii="Palatino Linotype" w:hAnsi="Palatino Linotype"/>
          <w:b/>
          <w:sz w:val="22"/>
          <w:szCs w:val="22"/>
        </w:rPr>
        <w:lastRenderedPageBreak/>
        <w:t>OPERATIVOS Y SUS RESULTADOS:</w:t>
      </w:r>
      <w:r w:rsidR="00AE76BF" w:rsidRPr="00B6547E">
        <w:rPr>
          <w:rFonts w:ascii="Palatino Linotype" w:hAnsi="Palatino Linotype"/>
          <w:sz w:val="22"/>
          <w:szCs w:val="22"/>
        </w:rPr>
        <w:t xml:space="preserve"> Documento por medio del cual, se informó </w:t>
      </w:r>
      <w:proofErr w:type="gramStart"/>
      <w:r w:rsidR="00AE76BF" w:rsidRPr="00B6547E">
        <w:rPr>
          <w:rFonts w:ascii="Palatino Linotype" w:hAnsi="Palatino Linotype"/>
          <w:sz w:val="22"/>
          <w:szCs w:val="22"/>
        </w:rPr>
        <w:t>que</w:t>
      </w:r>
      <w:proofErr w:type="gramEnd"/>
      <w:r w:rsidR="00AE76BF" w:rsidRPr="00B6547E">
        <w:rPr>
          <w:rFonts w:ascii="Palatino Linotype" w:hAnsi="Palatino Linotype"/>
          <w:sz w:val="22"/>
          <w:szCs w:val="22"/>
        </w:rPr>
        <w:t xml:space="preserve"> durante el periodo de 2010 a febrero 2022, se realizaron 3,702 visitas de verificación inspección, de los cuales se retiraron 14,608 unidades fuera de normatividad, asimismo, se agregó un registro de operativos, con los siguientes rubros: AÑO, VISTAS DE VERIFICACIÓN E INSPECCIÓN y UNIDADES RETENIDAS.</w:t>
      </w:r>
    </w:p>
    <w:p w14:paraId="5A8F1F86" w14:textId="50046776" w:rsidR="00803A69" w:rsidRPr="00B6547E" w:rsidRDefault="00803A69" w:rsidP="00C823B5">
      <w:pPr>
        <w:pStyle w:val="Prrafodelista"/>
        <w:numPr>
          <w:ilvl w:val="0"/>
          <w:numId w:val="9"/>
        </w:numPr>
        <w:tabs>
          <w:tab w:val="left" w:pos="426"/>
        </w:tabs>
        <w:ind w:right="616"/>
        <w:jc w:val="both"/>
        <w:rPr>
          <w:rFonts w:ascii="Palatino Linotype" w:hAnsi="Palatino Linotype"/>
          <w:b/>
          <w:sz w:val="22"/>
          <w:szCs w:val="22"/>
        </w:rPr>
      </w:pPr>
      <w:r w:rsidRPr="00B6547E">
        <w:rPr>
          <w:rFonts w:ascii="Palatino Linotype" w:hAnsi="Palatino Linotype"/>
          <w:b/>
          <w:sz w:val="22"/>
          <w:szCs w:val="22"/>
        </w:rPr>
        <w:t>RELACIÓN DE OFICIOS DE HABILITACIÓN (SUBSEC.):</w:t>
      </w:r>
      <w:r w:rsidR="00AE76BF" w:rsidRPr="00B6547E">
        <w:rPr>
          <w:rFonts w:ascii="Palatino Linotype" w:hAnsi="Palatino Linotype"/>
          <w:sz w:val="22"/>
          <w:szCs w:val="22"/>
        </w:rPr>
        <w:t xml:space="preserve"> Documento de dos fojas que contiene los oficios de autorización para realización de visitas de verificación e inspección de 2017 a 2022.</w:t>
      </w:r>
    </w:p>
    <w:p w14:paraId="3DC4B777" w14:textId="77777777" w:rsidR="00803A69" w:rsidRPr="00B6547E" w:rsidRDefault="00803A69" w:rsidP="00AE76BF">
      <w:pPr>
        <w:tabs>
          <w:tab w:val="left" w:pos="426"/>
        </w:tabs>
        <w:ind w:right="616"/>
        <w:jc w:val="both"/>
        <w:rPr>
          <w:rFonts w:ascii="Palatino Linotype" w:hAnsi="Palatino Linotype"/>
          <w:b/>
          <w:sz w:val="22"/>
          <w:szCs w:val="22"/>
        </w:rPr>
      </w:pPr>
    </w:p>
    <w:p w14:paraId="4E01A259" w14:textId="3BC4123C" w:rsidR="00803A69" w:rsidRPr="00B6547E" w:rsidRDefault="00061087" w:rsidP="00C823B5">
      <w:pPr>
        <w:pStyle w:val="Prrafodelista"/>
        <w:numPr>
          <w:ilvl w:val="0"/>
          <w:numId w:val="7"/>
        </w:numPr>
        <w:tabs>
          <w:tab w:val="left" w:pos="426"/>
        </w:tabs>
        <w:ind w:left="851" w:right="616" w:hanging="284"/>
        <w:jc w:val="both"/>
        <w:rPr>
          <w:rFonts w:ascii="Palatino Linotype" w:hAnsi="Palatino Linotype"/>
          <w:b/>
          <w:sz w:val="22"/>
          <w:szCs w:val="22"/>
        </w:rPr>
      </w:pPr>
      <w:r w:rsidRPr="00B6547E">
        <w:rPr>
          <w:rFonts w:ascii="Palatino Linotype" w:hAnsi="Palatino Linotype"/>
          <w:b/>
          <w:sz w:val="22"/>
          <w:szCs w:val="22"/>
        </w:rPr>
        <w:t>ZONA III</w:t>
      </w:r>
    </w:p>
    <w:p w14:paraId="2FBE02AE" w14:textId="16D86865" w:rsidR="00803A69" w:rsidRPr="00B6547E" w:rsidRDefault="00803A69" w:rsidP="00C823B5">
      <w:pPr>
        <w:pStyle w:val="Prrafodelista"/>
        <w:numPr>
          <w:ilvl w:val="0"/>
          <w:numId w:val="10"/>
        </w:numPr>
        <w:tabs>
          <w:tab w:val="left" w:pos="426"/>
        </w:tabs>
        <w:ind w:right="616"/>
        <w:jc w:val="both"/>
        <w:rPr>
          <w:rFonts w:ascii="Palatino Linotype" w:hAnsi="Palatino Linotype"/>
          <w:b/>
          <w:sz w:val="22"/>
          <w:szCs w:val="22"/>
        </w:rPr>
      </w:pPr>
      <w:r w:rsidRPr="00B6547E">
        <w:rPr>
          <w:rFonts w:ascii="Palatino Linotype" w:hAnsi="Palatino Linotype"/>
          <w:b/>
          <w:sz w:val="22"/>
          <w:szCs w:val="22"/>
        </w:rPr>
        <w:t>OPERATIVOS 2017-2022:</w:t>
      </w:r>
      <w:r w:rsidR="00AE76BF" w:rsidRPr="00B6547E">
        <w:rPr>
          <w:rFonts w:ascii="Palatino Linotype" w:hAnsi="Palatino Linotype"/>
          <w:sz w:val="22"/>
          <w:szCs w:val="22"/>
        </w:rPr>
        <w:t xml:space="preserve"> Documento de treinta y cinco fojas, consistente en un registro de operativos, con los siguientes rubros: AÑO (2010 - 2022), NO. DE OPERATIVOS, UNIDADES RETENIDAD, TOTAL. Se informó que, derivado de una revisión minuciosa en los archivos, no se localizó información de 2010 a 2016.</w:t>
      </w:r>
    </w:p>
    <w:p w14:paraId="0266B740" w14:textId="3C8C5DDB" w:rsidR="00803A69" w:rsidRPr="00B6547E" w:rsidRDefault="00803A69" w:rsidP="00C823B5">
      <w:pPr>
        <w:pStyle w:val="Prrafodelista"/>
        <w:numPr>
          <w:ilvl w:val="0"/>
          <w:numId w:val="10"/>
        </w:numPr>
        <w:tabs>
          <w:tab w:val="left" w:pos="426"/>
        </w:tabs>
        <w:ind w:right="616"/>
        <w:jc w:val="both"/>
        <w:rPr>
          <w:rFonts w:ascii="Palatino Linotype" w:hAnsi="Palatino Linotype"/>
          <w:b/>
          <w:sz w:val="22"/>
          <w:szCs w:val="22"/>
        </w:rPr>
      </w:pPr>
      <w:r w:rsidRPr="00B6547E">
        <w:rPr>
          <w:rFonts w:ascii="Palatino Linotype" w:hAnsi="Palatino Linotype"/>
          <w:b/>
          <w:sz w:val="22"/>
          <w:szCs w:val="22"/>
        </w:rPr>
        <w:t>OPERATIVOS ECATEPEC Y TEXCOCO 2017-2022:</w:t>
      </w:r>
      <w:r w:rsidR="00AE76BF" w:rsidRPr="00B6547E">
        <w:rPr>
          <w:rFonts w:ascii="Palatino Linotype" w:hAnsi="Palatino Linotype"/>
          <w:sz w:val="22"/>
          <w:szCs w:val="22"/>
        </w:rPr>
        <w:t xml:space="preserve"> Documento consistente en un registro de operativos de Ecatepec y Texcoco, con los siguientes rubros: AÑO (2010 - 2022), NO. DE OPERATIVOS, UNIDADES RETENIDAS, AUTORIDADES INVOLUCRADAS, NO. OFICIOS y PERSONAL INSPECCIÓN PARTICIPANTES. Se informó que, derivado de una revisión minuciosa en los archivos, no se localizó información de 2010 a 2016.</w:t>
      </w:r>
    </w:p>
    <w:p w14:paraId="49FA7C9A" w14:textId="3094372A" w:rsidR="00803A69" w:rsidRPr="00B6547E" w:rsidRDefault="00803A69" w:rsidP="00C823B5">
      <w:pPr>
        <w:pStyle w:val="Prrafodelista"/>
        <w:numPr>
          <w:ilvl w:val="0"/>
          <w:numId w:val="10"/>
        </w:numPr>
        <w:tabs>
          <w:tab w:val="left" w:pos="426"/>
        </w:tabs>
        <w:ind w:right="616"/>
        <w:jc w:val="both"/>
        <w:rPr>
          <w:rFonts w:ascii="Palatino Linotype" w:hAnsi="Palatino Linotype"/>
          <w:b/>
          <w:sz w:val="22"/>
          <w:szCs w:val="22"/>
        </w:rPr>
      </w:pPr>
      <w:r w:rsidRPr="00B6547E">
        <w:rPr>
          <w:rFonts w:ascii="Palatino Linotype" w:hAnsi="Palatino Linotype"/>
          <w:b/>
          <w:sz w:val="22"/>
          <w:szCs w:val="22"/>
        </w:rPr>
        <w:t>Respuesta RR 05053 ZONA III:</w:t>
      </w:r>
    </w:p>
    <w:p w14:paraId="27799897" w14:textId="77777777" w:rsidR="00803A69" w:rsidRPr="00B6547E" w:rsidRDefault="00803A69" w:rsidP="00AE76BF">
      <w:pPr>
        <w:pStyle w:val="Prrafodelista"/>
        <w:tabs>
          <w:tab w:val="left" w:pos="426"/>
        </w:tabs>
        <w:ind w:left="851" w:right="616"/>
        <w:jc w:val="both"/>
        <w:rPr>
          <w:rFonts w:ascii="Palatino Linotype" w:hAnsi="Palatino Linotype"/>
          <w:b/>
          <w:sz w:val="22"/>
          <w:szCs w:val="22"/>
        </w:rPr>
      </w:pPr>
    </w:p>
    <w:p w14:paraId="41150AAB" w14:textId="3211F17D" w:rsidR="00803A69" w:rsidRPr="00B6547E" w:rsidRDefault="00061087" w:rsidP="00C823B5">
      <w:pPr>
        <w:pStyle w:val="Prrafodelista"/>
        <w:numPr>
          <w:ilvl w:val="0"/>
          <w:numId w:val="7"/>
        </w:numPr>
        <w:tabs>
          <w:tab w:val="left" w:pos="426"/>
        </w:tabs>
        <w:ind w:left="851" w:right="616" w:hanging="284"/>
        <w:jc w:val="both"/>
        <w:rPr>
          <w:rFonts w:ascii="Palatino Linotype" w:hAnsi="Palatino Linotype"/>
          <w:b/>
          <w:sz w:val="22"/>
          <w:szCs w:val="22"/>
        </w:rPr>
      </w:pPr>
      <w:r w:rsidRPr="00B6547E">
        <w:rPr>
          <w:rFonts w:ascii="Palatino Linotype" w:hAnsi="Palatino Linotype"/>
          <w:b/>
          <w:sz w:val="22"/>
          <w:szCs w:val="22"/>
        </w:rPr>
        <w:t>ZONA IV</w:t>
      </w:r>
    </w:p>
    <w:p w14:paraId="6C6B1C90" w14:textId="7FA56BEE" w:rsidR="00055860" w:rsidRPr="00B6547E" w:rsidRDefault="00803A69" w:rsidP="00C823B5">
      <w:pPr>
        <w:pStyle w:val="Prrafodelista"/>
        <w:numPr>
          <w:ilvl w:val="0"/>
          <w:numId w:val="11"/>
        </w:numPr>
        <w:tabs>
          <w:tab w:val="left" w:pos="426"/>
        </w:tabs>
        <w:ind w:right="616"/>
        <w:jc w:val="both"/>
        <w:rPr>
          <w:rFonts w:ascii="Palatino Linotype" w:hAnsi="Palatino Linotype"/>
          <w:b/>
          <w:sz w:val="22"/>
          <w:szCs w:val="22"/>
        </w:rPr>
      </w:pPr>
      <w:r w:rsidRPr="00B6547E">
        <w:rPr>
          <w:rFonts w:ascii="Palatino Linotype" w:hAnsi="Palatino Linotype"/>
          <w:b/>
          <w:sz w:val="22"/>
          <w:szCs w:val="22"/>
        </w:rPr>
        <w:t>INF. 00076-RR:</w:t>
      </w:r>
      <w:r w:rsidR="00055860" w:rsidRPr="00B6547E">
        <w:rPr>
          <w:rFonts w:ascii="Palatino Linotype" w:hAnsi="Palatino Linotype"/>
          <w:b/>
          <w:sz w:val="22"/>
          <w:szCs w:val="22"/>
        </w:rPr>
        <w:t xml:space="preserve"> </w:t>
      </w:r>
      <w:r w:rsidR="00055860" w:rsidRPr="00B6547E">
        <w:rPr>
          <w:rFonts w:ascii="Palatino Linotype" w:hAnsi="Palatino Linotype"/>
          <w:sz w:val="22"/>
          <w:szCs w:val="22"/>
        </w:rPr>
        <w:t xml:space="preserve">Documento consistente en un registro de operativos, con los siguientes rubros: AÑO (2010 - 2022), NÚMERO DE OPERATIVOS, UNIDADES RETENIDAS, AUTORIDADES DE MOVILIDAD, NO. OFICIOS ENTREGADOS, AUTORIDADES INVOLUCRADAS e INSPECTORES. </w:t>
      </w:r>
    </w:p>
    <w:p w14:paraId="14E9E7B7" w14:textId="77777777" w:rsidR="00055860" w:rsidRPr="00B6547E" w:rsidRDefault="00055860" w:rsidP="00055860">
      <w:pPr>
        <w:tabs>
          <w:tab w:val="left" w:pos="426"/>
        </w:tabs>
        <w:ind w:right="616"/>
        <w:jc w:val="both"/>
        <w:rPr>
          <w:rFonts w:ascii="Palatino Linotype" w:hAnsi="Palatino Linotype"/>
          <w:b/>
          <w:sz w:val="22"/>
          <w:szCs w:val="22"/>
        </w:rPr>
      </w:pPr>
    </w:p>
    <w:p w14:paraId="48C5CE83" w14:textId="3EDFE225" w:rsidR="00803A69" w:rsidRPr="00B6547E" w:rsidRDefault="00803A69" w:rsidP="00C823B5">
      <w:pPr>
        <w:pStyle w:val="Prrafodelista"/>
        <w:numPr>
          <w:ilvl w:val="0"/>
          <w:numId w:val="11"/>
        </w:numPr>
        <w:tabs>
          <w:tab w:val="left" w:pos="426"/>
        </w:tabs>
        <w:ind w:right="616"/>
        <w:jc w:val="both"/>
        <w:rPr>
          <w:rFonts w:ascii="Palatino Linotype" w:hAnsi="Palatino Linotype"/>
          <w:b/>
          <w:sz w:val="22"/>
          <w:szCs w:val="22"/>
        </w:rPr>
      </w:pPr>
      <w:r w:rsidRPr="00B6547E">
        <w:rPr>
          <w:rFonts w:ascii="Palatino Linotype" w:hAnsi="Palatino Linotype"/>
          <w:b/>
          <w:sz w:val="22"/>
          <w:szCs w:val="22"/>
        </w:rPr>
        <w:t>Respuesta Zona IV:</w:t>
      </w:r>
      <w:r w:rsidR="00055860" w:rsidRPr="00B6547E">
        <w:rPr>
          <w:rFonts w:ascii="Palatino Linotype" w:hAnsi="Palatino Linotype"/>
          <w:b/>
          <w:sz w:val="22"/>
          <w:szCs w:val="22"/>
        </w:rPr>
        <w:t xml:space="preserve"> </w:t>
      </w:r>
      <w:r w:rsidR="00055860" w:rsidRPr="00B6547E">
        <w:rPr>
          <w:rFonts w:ascii="Palatino Linotype" w:hAnsi="Palatino Linotype"/>
          <w:sz w:val="22"/>
          <w:szCs w:val="22"/>
        </w:rPr>
        <w:t>Oficio signado por el Encargado del Despacho de la Dirección General de Movilidad Zona IV, por medio del cual, informó</w:t>
      </w:r>
      <w:r w:rsidR="00275630" w:rsidRPr="00B6547E">
        <w:rPr>
          <w:rFonts w:ascii="Palatino Linotype" w:hAnsi="Palatino Linotype"/>
          <w:sz w:val="22"/>
          <w:szCs w:val="22"/>
        </w:rPr>
        <w:t xml:space="preserve"> hacer entrega de la información solicitada en el estado en el que se encuentra.</w:t>
      </w:r>
    </w:p>
    <w:p w14:paraId="18A63B75" w14:textId="77777777" w:rsidR="00061087" w:rsidRPr="00B6547E" w:rsidRDefault="00061087" w:rsidP="00AE76BF">
      <w:pPr>
        <w:pStyle w:val="Prrafodelista"/>
        <w:tabs>
          <w:tab w:val="left" w:pos="426"/>
        </w:tabs>
        <w:ind w:right="616"/>
        <w:jc w:val="both"/>
        <w:rPr>
          <w:rFonts w:ascii="Palatino Linotype" w:hAnsi="Palatino Linotype"/>
          <w:sz w:val="22"/>
          <w:szCs w:val="22"/>
        </w:rPr>
      </w:pPr>
    </w:p>
    <w:p w14:paraId="0FD59FEB" w14:textId="4CD999DC" w:rsidR="00061087" w:rsidRPr="00B6547E" w:rsidRDefault="0005149B" w:rsidP="00C823B5">
      <w:pPr>
        <w:pStyle w:val="Prrafodelista"/>
        <w:numPr>
          <w:ilvl w:val="0"/>
          <w:numId w:val="6"/>
        </w:numPr>
        <w:tabs>
          <w:tab w:val="left" w:pos="426"/>
        </w:tabs>
        <w:ind w:right="616"/>
        <w:jc w:val="both"/>
        <w:rPr>
          <w:rFonts w:ascii="Palatino Linotype" w:hAnsi="Palatino Linotype"/>
          <w:b/>
          <w:sz w:val="22"/>
          <w:szCs w:val="22"/>
        </w:rPr>
      </w:pPr>
      <w:hyperlink r:id="rId18" w:history="1">
        <w:r w:rsidR="00061087" w:rsidRPr="00B6547E">
          <w:rPr>
            <w:rStyle w:val="Hipervnculo"/>
            <w:rFonts w:ascii="Palatino Linotype" w:hAnsi="Palatino Linotype" w:cs="Arial"/>
            <w:b/>
            <w:bCs/>
            <w:color w:val="auto"/>
            <w:sz w:val="22"/>
            <w:szCs w:val="22"/>
            <w:u w:val="none"/>
          </w:rPr>
          <w:t>Informe Justificado RR 05053.pdf</w:t>
        </w:r>
      </w:hyperlink>
      <w:r w:rsidR="00061087" w:rsidRPr="00B6547E">
        <w:rPr>
          <w:rFonts w:ascii="Palatino Linotype" w:hAnsi="Palatino Linotype"/>
          <w:sz w:val="22"/>
          <w:szCs w:val="22"/>
        </w:rPr>
        <w:t>:</w:t>
      </w:r>
      <w:r w:rsidR="00A917F3" w:rsidRPr="00B6547E">
        <w:rPr>
          <w:rFonts w:ascii="Palatino Linotype" w:hAnsi="Palatino Linotype"/>
          <w:sz w:val="22"/>
          <w:szCs w:val="22"/>
        </w:rPr>
        <w:t xml:space="preserve"> Oficio del siete de abril de dos mil veintidós, suscrito por el Titular de la </w:t>
      </w:r>
      <w:r w:rsidR="00A917F3" w:rsidRPr="00B6547E">
        <w:rPr>
          <w:rFonts w:ascii="Palatino Linotype" w:hAnsi="Palatino Linotype"/>
          <w:sz w:val="22"/>
          <w:szCs w:val="22"/>
        </w:rPr>
        <w:lastRenderedPageBreak/>
        <w:t xml:space="preserve">Unidad de Transparencia, por medio del cual, </w:t>
      </w:r>
      <w:r w:rsidR="00A917F3" w:rsidRPr="00B6547E">
        <w:rPr>
          <w:rFonts w:ascii="Palatino Linotype" w:hAnsi="Palatino Linotype"/>
          <w:b/>
          <w:sz w:val="22"/>
          <w:szCs w:val="22"/>
        </w:rPr>
        <w:t xml:space="preserve">informó que por medio de la respuesta primigenia se puso a disposición del RECURRENTE las respuestas proporcionadas por los Servidores Públicos Habilitados de las Direcciones </w:t>
      </w:r>
      <w:r w:rsidR="00AE76BF" w:rsidRPr="00B6547E">
        <w:rPr>
          <w:rFonts w:ascii="Palatino Linotype" w:hAnsi="Palatino Linotype"/>
          <w:b/>
          <w:sz w:val="22"/>
          <w:szCs w:val="22"/>
        </w:rPr>
        <w:t xml:space="preserve">Generales </w:t>
      </w:r>
      <w:r w:rsidR="00A917F3" w:rsidRPr="00B6547E">
        <w:rPr>
          <w:rFonts w:ascii="Palatino Linotype" w:hAnsi="Palatino Linotype"/>
          <w:b/>
          <w:sz w:val="22"/>
          <w:szCs w:val="22"/>
        </w:rPr>
        <w:t>de Zona I, II, III y IV, no obstante, el Sistema de Acceso a la Información Mexiquense (SAIMEX) de manera automática, al generar el acuse de respuesta, unió todas las respuestas causando posibles confusiones al momento de su lectura, por parte del Solicitante.</w:t>
      </w:r>
      <w:r w:rsidR="00AE76BF" w:rsidRPr="00B6547E">
        <w:rPr>
          <w:rFonts w:ascii="Palatino Linotype" w:hAnsi="Palatino Linotype"/>
          <w:b/>
          <w:sz w:val="22"/>
          <w:szCs w:val="22"/>
        </w:rPr>
        <w:t xml:space="preserve"> Motivo por el cual, los Servidores Públicos Habilitados de las Direcciones Generales hicieron entrega nuevamente de la información de manera accesible y desglosada por Dirección General de Zona, en el estado en el que se encuentra en sus archivos.</w:t>
      </w:r>
    </w:p>
    <w:p w14:paraId="7346F7D2" w14:textId="77777777" w:rsidR="00341454" w:rsidRPr="00B6547E" w:rsidRDefault="00341454" w:rsidP="00341454">
      <w:pPr>
        <w:pStyle w:val="Prrafodelista"/>
        <w:tabs>
          <w:tab w:val="left" w:pos="426"/>
        </w:tabs>
        <w:spacing w:line="360" w:lineRule="auto"/>
        <w:ind w:left="0"/>
        <w:jc w:val="both"/>
        <w:rPr>
          <w:rFonts w:ascii="Palatino Linotype" w:eastAsia="Calibri" w:hAnsi="Palatino Linotype" w:cs="Arial"/>
          <w:b/>
          <w:color w:val="000000" w:themeColor="text1"/>
          <w:lang w:val="es-ES"/>
        </w:rPr>
      </w:pPr>
    </w:p>
    <w:p w14:paraId="74DF0DDE" w14:textId="476B05E7" w:rsidR="00061087" w:rsidRPr="00B6547E" w:rsidRDefault="00395839" w:rsidP="00061087">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B6547E">
        <w:rPr>
          <w:rFonts w:ascii="Palatino Linotype" w:eastAsia="Calibri" w:hAnsi="Palatino Linotype" w:cs="Arial"/>
          <w:color w:val="000000" w:themeColor="text1"/>
          <w:lang w:val="es-ES"/>
        </w:rPr>
        <w:t xml:space="preserve">Por su parte, el </w:t>
      </w:r>
      <w:r w:rsidRPr="00B6547E">
        <w:rPr>
          <w:rFonts w:ascii="Palatino Linotype" w:eastAsia="Calibri" w:hAnsi="Palatino Linotype" w:cs="Arial"/>
          <w:b/>
          <w:color w:val="000000" w:themeColor="text1"/>
          <w:lang w:val="es-ES"/>
        </w:rPr>
        <w:t>RECURRENTE</w:t>
      </w:r>
      <w:r w:rsidRPr="00B6547E">
        <w:rPr>
          <w:rFonts w:ascii="Palatino Linotype" w:eastAsia="Calibri" w:hAnsi="Palatino Linotype" w:cs="Arial"/>
          <w:color w:val="000000" w:themeColor="text1"/>
          <w:lang w:val="es-ES"/>
        </w:rPr>
        <w:t xml:space="preserve"> </w:t>
      </w:r>
      <w:r w:rsidR="00FC7C35" w:rsidRPr="00B6547E">
        <w:rPr>
          <w:rFonts w:ascii="Palatino Linotype" w:eastAsia="Calibri" w:hAnsi="Palatino Linotype" w:cs="Arial"/>
          <w:color w:val="000000" w:themeColor="text1"/>
          <w:lang w:val="es-ES"/>
        </w:rPr>
        <w:t>no realizó manifestaciones que ha su derecho convinieran.</w:t>
      </w:r>
      <w:bookmarkStart w:id="3" w:name="_Toc461555889"/>
      <w:bookmarkStart w:id="4" w:name="_Toc466371858"/>
    </w:p>
    <w:p w14:paraId="3F02CD56" w14:textId="3017B936" w:rsidR="00803A69" w:rsidRPr="00B6547E" w:rsidRDefault="00803A69" w:rsidP="00803A6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6547E">
        <w:rPr>
          <w:rFonts w:ascii="Palatino Linotype" w:eastAsia="Calibri" w:hAnsi="Palatino Linotype" w:cs="Arial"/>
          <w:color w:val="000000" w:themeColor="text1"/>
          <w:lang w:val="es-ES"/>
        </w:rPr>
        <w:t xml:space="preserve">El </w:t>
      </w:r>
      <w:r w:rsidRPr="00B6547E">
        <w:rPr>
          <w:rFonts w:ascii="Palatino Linotype" w:eastAsia="Times New Roman" w:hAnsi="Palatino Linotype" w:cs="Arial"/>
          <w:bCs/>
          <w:color w:val="000000" w:themeColor="text1"/>
        </w:rPr>
        <w:t>dos de junio de dos mil veintidós</w:t>
      </w:r>
      <w:r w:rsidRPr="00B6547E">
        <w:rPr>
          <w:rFonts w:ascii="Palatino Linotype" w:eastAsia="Times New Roman" w:hAnsi="Palatino Linotype" w:cs="Arial"/>
          <w:color w:val="000000" w:themeColor="text1"/>
        </w:rPr>
        <w:t xml:space="preserve">, se notificó el acuerdo de ampliación de plazo, </w:t>
      </w:r>
      <w:r w:rsidRPr="00B6547E">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B6547E">
        <w:rPr>
          <w:rFonts w:ascii="Palatino Linotype" w:hAnsi="Palatino Linotype" w:cs="Arial"/>
          <w:bCs/>
          <w:color w:val="000000" w:themeColor="text1"/>
          <w:lang w:val="es-ES"/>
        </w:rPr>
        <w:t>.</w:t>
      </w:r>
    </w:p>
    <w:p w14:paraId="698C339B" w14:textId="77777777" w:rsidR="00803A69" w:rsidRPr="00B6547E" w:rsidRDefault="00803A69" w:rsidP="00803A6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2A4B992" w14:textId="77777777" w:rsidR="00803A69" w:rsidRPr="00B6547E"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B6547E">
        <w:rPr>
          <w:rFonts w:ascii="Palatino Linotype" w:eastAsia="Calibri" w:hAnsi="Palatino Linotype" w:cs="Arial"/>
          <w:color w:val="000000" w:themeColor="text1"/>
          <w:lang w:val="es-ES"/>
        </w:rPr>
        <w:t xml:space="preserve">Este </w:t>
      </w:r>
      <w:r w:rsidRPr="00B6547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6FDDF8" w14:textId="77777777" w:rsidR="00803A69" w:rsidRPr="00B6547E" w:rsidRDefault="00803A69" w:rsidP="00803A69">
      <w:pPr>
        <w:pStyle w:val="Prrafodelista"/>
        <w:tabs>
          <w:tab w:val="left" w:pos="426"/>
        </w:tabs>
        <w:spacing w:before="240" w:after="240" w:line="360" w:lineRule="auto"/>
        <w:ind w:left="0"/>
        <w:jc w:val="both"/>
        <w:rPr>
          <w:rFonts w:ascii="Palatino Linotype" w:hAnsi="Palatino Linotype"/>
        </w:rPr>
      </w:pPr>
    </w:p>
    <w:p w14:paraId="12A35B52" w14:textId="77777777" w:rsidR="00803A69" w:rsidRPr="00B6547E" w:rsidRDefault="00803A69" w:rsidP="00803A69">
      <w:pPr>
        <w:pStyle w:val="Prrafodelista"/>
        <w:numPr>
          <w:ilvl w:val="0"/>
          <w:numId w:val="1"/>
        </w:numPr>
        <w:tabs>
          <w:tab w:val="left" w:pos="426"/>
        </w:tabs>
        <w:spacing w:line="360" w:lineRule="auto"/>
        <w:jc w:val="both"/>
        <w:rPr>
          <w:rFonts w:ascii="Palatino Linotype" w:hAnsi="Palatino Linotype"/>
          <w:color w:val="000000" w:themeColor="text1"/>
        </w:rPr>
      </w:pPr>
      <w:r w:rsidRPr="00B6547E">
        <w:rPr>
          <w:rFonts w:ascii="Palatino Linotype" w:hAnsi="Palatino Linotype"/>
        </w:rPr>
        <w:t xml:space="preserve">Por ello, es menester precisar </w:t>
      </w:r>
      <w:proofErr w:type="gramStart"/>
      <w:r w:rsidRPr="00B6547E">
        <w:rPr>
          <w:rFonts w:ascii="Palatino Linotype" w:hAnsi="Palatino Linotype"/>
        </w:rPr>
        <w:t>que</w:t>
      </w:r>
      <w:proofErr w:type="gramEnd"/>
      <w:r w:rsidRPr="00B6547E">
        <w:rPr>
          <w:rFonts w:ascii="Palatino Linotype" w:hAnsi="Palatino Linotype"/>
        </w:rPr>
        <w:t xml:space="preserve"> si bien se ha excedido el plazo para resolver el presente medio de impugnación, de conformidad con la Ley de la materia, dicha </w:t>
      </w:r>
      <w:r w:rsidRPr="00B6547E">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FF325AB" w14:textId="77777777" w:rsidR="00803A69" w:rsidRPr="00B6547E" w:rsidRDefault="00803A69" w:rsidP="00803A69">
      <w:pPr>
        <w:pStyle w:val="Prrafodelista"/>
        <w:tabs>
          <w:tab w:val="left" w:pos="426"/>
        </w:tabs>
        <w:spacing w:line="360" w:lineRule="auto"/>
        <w:ind w:left="0"/>
        <w:jc w:val="both"/>
        <w:rPr>
          <w:rFonts w:ascii="Palatino Linotype" w:hAnsi="Palatino Linotype"/>
          <w:color w:val="000000" w:themeColor="text1"/>
        </w:rPr>
      </w:pPr>
    </w:p>
    <w:p w14:paraId="4DF8D288" w14:textId="77777777" w:rsidR="00803A69" w:rsidRPr="00B6547E"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B6547E">
        <w:rPr>
          <w:rFonts w:ascii="Palatino Linotype" w:eastAsia="Calibri" w:hAnsi="Palatino Linotype" w:cs="Arial"/>
          <w:color w:val="000000" w:themeColor="text1"/>
        </w:rPr>
        <w:t xml:space="preserve">Así, </w:t>
      </w:r>
      <w:r w:rsidRPr="00B6547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B19B33" w14:textId="77777777" w:rsidR="00803A69" w:rsidRPr="00B6547E" w:rsidRDefault="00803A69" w:rsidP="00803A69">
      <w:pPr>
        <w:pStyle w:val="Prrafodelista"/>
        <w:tabs>
          <w:tab w:val="left" w:pos="426"/>
        </w:tabs>
        <w:spacing w:before="240" w:after="240" w:line="360" w:lineRule="auto"/>
        <w:ind w:left="0"/>
        <w:jc w:val="both"/>
        <w:rPr>
          <w:rFonts w:ascii="Palatino Linotype" w:hAnsi="Palatino Linotype"/>
        </w:rPr>
      </w:pPr>
    </w:p>
    <w:p w14:paraId="019BCDAC" w14:textId="77777777" w:rsidR="00803A69" w:rsidRPr="00B6547E"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B6547E">
        <w:rPr>
          <w:rFonts w:ascii="Palatino Linotype" w:eastAsia="Calibri" w:hAnsi="Palatino Linotype" w:cs="Arial"/>
        </w:rPr>
        <w:t xml:space="preserve">En </w:t>
      </w:r>
      <w:r w:rsidRPr="00B6547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2DE04D" w14:textId="77777777" w:rsidR="00803A69" w:rsidRPr="00B6547E" w:rsidRDefault="00803A69" w:rsidP="00803A69">
      <w:pPr>
        <w:pStyle w:val="Prrafodelista"/>
        <w:tabs>
          <w:tab w:val="left" w:pos="426"/>
        </w:tabs>
        <w:spacing w:before="240" w:after="240" w:line="360" w:lineRule="auto"/>
        <w:ind w:left="0"/>
        <w:jc w:val="both"/>
        <w:rPr>
          <w:rFonts w:ascii="Palatino Linotype" w:hAnsi="Palatino Linotype"/>
        </w:rPr>
      </w:pPr>
    </w:p>
    <w:p w14:paraId="6802D93D" w14:textId="77777777" w:rsidR="00803A69" w:rsidRPr="00B6547E" w:rsidRDefault="00803A69" w:rsidP="00803A69">
      <w:pPr>
        <w:pStyle w:val="Prrafodelista"/>
        <w:numPr>
          <w:ilvl w:val="0"/>
          <w:numId w:val="1"/>
        </w:numPr>
        <w:tabs>
          <w:tab w:val="left" w:pos="426"/>
        </w:tabs>
        <w:spacing w:line="360" w:lineRule="auto"/>
        <w:jc w:val="both"/>
        <w:rPr>
          <w:rFonts w:ascii="Palatino Linotype" w:hAnsi="Palatino Linotype"/>
          <w:color w:val="000000" w:themeColor="text1"/>
        </w:rPr>
      </w:pPr>
      <w:r w:rsidRPr="00B6547E">
        <w:rPr>
          <w:rFonts w:ascii="Palatino Linotype" w:eastAsia="Calibri" w:hAnsi="Palatino Linotype" w:cs="Arial"/>
        </w:rPr>
        <w:t xml:space="preserve">Por </w:t>
      </w:r>
      <w:r w:rsidRPr="00B6547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054FAB6" w14:textId="77777777" w:rsidR="00803A69" w:rsidRPr="00B6547E" w:rsidRDefault="00803A69" w:rsidP="00803A69">
      <w:pPr>
        <w:pStyle w:val="Prrafodelista"/>
        <w:tabs>
          <w:tab w:val="left" w:pos="426"/>
        </w:tabs>
        <w:spacing w:line="360" w:lineRule="auto"/>
        <w:ind w:left="0"/>
        <w:jc w:val="both"/>
        <w:rPr>
          <w:rFonts w:ascii="Palatino Linotype" w:hAnsi="Palatino Linotype"/>
          <w:color w:val="000000" w:themeColor="text1"/>
        </w:rPr>
      </w:pPr>
    </w:p>
    <w:p w14:paraId="6722F421" w14:textId="77777777" w:rsidR="00803A69" w:rsidRPr="00B6547E" w:rsidRDefault="00803A69" w:rsidP="00C823B5">
      <w:pPr>
        <w:pStyle w:val="Prrafodelista"/>
        <w:numPr>
          <w:ilvl w:val="1"/>
          <w:numId w:val="12"/>
        </w:numPr>
        <w:tabs>
          <w:tab w:val="left" w:pos="426"/>
        </w:tabs>
        <w:ind w:left="851" w:right="616" w:hanging="284"/>
        <w:jc w:val="both"/>
        <w:rPr>
          <w:rFonts w:ascii="Palatino Linotype" w:eastAsia="Calibri" w:hAnsi="Palatino Linotype" w:cs="Arial"/>
        </w:rPr>
      </w:pPr>
      <w:r w:rsidRPr="00B6547E">
        <w:rPr>
          <w:rFonts w:ascii="Palatino Linotype" w:eastAsia="Calibri" w:hAnsi="Palatino Linotype" w:cs="Arial"/>
          <w:b/>
          <w:bCs/>
        </w:rPr>
        <w:t>Complejidad del Asunto:</w:t>
      </w:r>
      <w:r w:rsidRPr="00B6547E">
        <w:rPr>
          <w:rFonts w:ascii="Palatino Linotype" w:eastAsia="Calibri" w:hAnsi="Palatino Linotype" w:cs="Arial"/>
        </w:rPr>
        <w:t xml:space="preserve"> La complejidad de la prueba, la pluralidad de sujetos procesales, el tiempo transcurrido, las características y contexto del recurso.</w:t>
      </w:r>
    </w:p>
    <w:p w14:paraId="42FC71ED" w14:textId="77777777" w:rsidR="00803A69" w:rsidRPr="00B6547E" w:rsidRDefault="00803A69" w:rsidP="00C823B5">
      <w:pPr>
        <w:pStyle w:val="Prrafodelista"/>
        <w:numPr>
          <w:ilvl w:val="1"/>
          <w:numId w:val="12"/>
        </w:numPr>
        <w:tabs>
          <w:tab w:val="left" w:pos="426"/>
        </w:tabs>
        <w:ind w:left="851" w:right="616" w:hanging="284"/>
        <w:jc w:val="both"/>
        <w:rPr>
          <w:rFonts w:ascii="Palatino Linotype" w:eastAsia="Calibri" w:hAnsi="Palatino Linotype" w:cs="Arial"/>
        </w:rPr>
      </w:pPr>
      <w:r w:rsidRPr="00B6547E">
        <w:rPr>
          <w:rFonts w:ascii="Palatino Linotype" w:eastAsia="Calibri" w:hAnsi="Palatino Linotype" w:cs="Arial"/>
          <w:b/>
          <w:bCs/>
        </w:rPr>
        <w:t>Actividad Procesal del interesado:</w:t>
      </w:r>
      <w:r w:rsidRPr="00B6547E">
        <w:rPr>
          <w:rFonts w:ascii="Palatino Linotype" w:eastAsia="Calibri" w:hAnsi="Palatino Linotype" w:cs="Arial"/>
        </w:rPr>
        <w:t xml:space="preserve"> Acciones u omisiones del interesado.</w:t>
      </w:r>
    </w:p>
    <w:p w14:paraId="69AB6610" w14:textId="77777777" w:rsidR="00803A69" w:rsidRPr="00B6547E" w:rsidRDefault="00803A69" w:rsidP="00C823B5">
      <w:pPr>
        <w:pStyle w:val="Prrafodelista"/>
        <w:numPr>
          <w:ilvl w:val="1"/>
          <w:numId w:val="12"/>
        </w:numPr>
        <w:tabs>
          <w:tab w:val="left" w:pos="426"/>
        </w:tabs>
        <w:ind w:left="851" w:right="616" w:hanging="284"/>
        <w:jc w:val="both"/>
        <w:rPr>
          <w:rFonts w:ascii="Palatino Linotype" w:eastAsia="Calibri" w:hAnsi="Palatino Linotype" w:cs="Arial"/>
        </w:rPr>
      </w:pPr>
      <w:r w:rsidRPr="00B6547E">
        <w:rPr>
          <w:rFonts w:ascii="Palatino Linotype" w:eastAsia="Calibri" w:hAnsi="Palatino Linotype" w:cs="Arial"/>
          <w:b/>
          <w:bCs/>
        </w:rPr>
        <w:t>Conducta de la Autoridad:</w:t>
      </w:r>
      <w:r w:rsidRPr="00B6547E">
        <w:rPr>
          <w:rFonts w:ascii="Palatino Linotype" w:eastAsia="Calibri" w:hAnsi="Palatino Linotype" w:cs="Arial"/>
        </w:rPr>
        <w:t xml:space="preserve"> Las Acciones u omisiones realizadas en el procedimiento. Así como si la autoridad actuó con la debida diligencia.</w:t>
      </w:r>
    </w:p>
    <w:p w14:paraId="6F777343" w14:textId="77777777" w:rsidR="00803A69" w:rsidRPr="00B6547E" w:rsidRDefault="00803A69" w:rsidP="00C823B5">
      <w:pPr>
        <w:pStyle w:val="Prrafodelista"/>
        <w:numPr>
          <w:ilvl w:val="1"/>
          <w:numId w:val="12"/>
        </w:numPr>
        <w:tabs>
          <w:tab w:val="left" w:pos="426"/>
        </w:tabs>
        <w:ind w:left="851" w:right="616" w:hanging="284"/>
        <w:jc w:val="both"/>
        <w:rPr>
          <w:rFonts w:ascii="Palatino Linotype" w:hAnsi="Palatino Linotype"/>
          <w:color w:val="000000" w:themeColor="text1"/>
        </w:rPr>
      </w:pPr>
      <w:r w:rsidRPr="00B6547E">
        <w:rPr>
          <w:rFonts w:ascii="Palatino Linotype" w:eastAsia="Calibri" w:hAnsi="Palatino Linotype" w:cs="Arial"/>
          <w:b/>
          <w:bCs/>
        </w:rPr>
        <w:lastRenderedPageBreak/>
        <w:t xml:space="preserve">La afectación generada en la situación jurídica de la persona involucrada en el proceso: </w:t>
      </w:r>
      <w:r w:rsidRPr="00B6547E">
        <w:rPr>
          <w:rFonts w:ascii="Palatino Linotype" w:eastAsia="Calibri" w:hAnsi="Palatino Linotype" w:cs="Arial"/>
        </w:rPr>
        <w:t>Violación a sus derechos humanos.</w:t>
      </w:r>
    </w:p>
    <w:p w14:paraId="548DD06B" w14:textId="77777777" w:rsidR="00803A69" w:rsidRPr="00B6547E" w:rsidRDefault="00803A69" w:rsidP="00803A69">
      <w:pPr>
        <w:pStyle w:val="Prrafodelista"/>
        <w:tabs>
          <w:tab w:val="left" w:pos="426"/>
        </w:tabs>
        <w:spacing w:line="360" w:lineRule="auto"/>
        <w:ind w:left="0"/>
        <w:jc w:val="both"/>
        <w:rPr>
          <w:rFonts w:ascii="Palatino Linotype" w:hAnsi="Palatino Linotype"/>
          <w:color w:val="000000" w:themeColor="text1"/>
        </w:rPr>
      </w:pPr>
    </w:p>
    <w:p w14:paraId="5F81751B" w14:textId="77777777" w:rsidR="00803A69" w:rsidRPr="00B6547E"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B6547E">
        <w:rPr>
          <w:rFonts w:ascii="Palatino Linotype" w:eastAsia="Calibri" w:hAnsi="Palatino Linotype" w:cs="Arial"/>
          <w:color w:val="000000" w:themeColor="text1"/>
        </w:rPr>
        <w:t xml:space="preserve">De </w:t>
      </w:r>
      <w:r w:rsidRPr="00B6547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767DA8" w14:textId="77777777" w:rsidR="00803A69" w:rsidRPr="00B6547E" w:rsidRDefault="00803A69" w:rsidP="00803A69">
      <w:pPr>
        <w:pStyle w:val="Prrafodelista"/>
        <w:tabs>
          <w:tab w:val="left" w:pos="426"/>
        </w:tabs>
        <w:spacing w:before="240" w:after="240" w:line="360" w:lineRule="auto"/>
        <w:ind w:left="0"/>
        <w:jc w:val="both"/>
        <w:rPr>
          <w:rFonts w:ascii="Palatino Linotype" w:hAnsi="Palatino Linotype"/>
        </w:rPr>
      </w:pPr>
    </w:p>
    <w:p w14:paraId="52DEAFA4" w14:textId="49B55B87" w:rsidR="00803A69" w:rsidRPr="00B6547E"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B6547E">
        <w:rPr>
          <w:rFonts w:ascii="Palatino Linotype" w:eastAsia="Calibri" w:hAnsi="Palatino Linotype" w:cs="Arial"/>
        </w:rPr>
        <w:t xml:space="preserve">Argumento </w:t>
      </w:r>
      <w:r w:rsidRPr="00B6547E">
        <w:rPr>
          <w:rFonts w:ascii="Palatino Linotype" w:hAnsi="Palatino Linotype"/>
        </w:rPr>
        <w:t xml:space="preserve">que encuentra sustento en la jurisprudencia P./J. 32/92 emitida por el Pleno de la Suprema Corte de Justicia de la Nación de rubro </w:t>
      </w:r>
      <w:r w:rsidRPr="00B6547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6547E">
        <w:rPr>
          <w:rStyle w:val="Refdenotaalpie"/>
          <w:rFonts w:ascii="Palatino Linotype" w:hAnsi="Palatino Linotype"/>
          <w:i/>
        </w:rPr>
        <w:footnoteReference w:id="1"/>
      </w:r>
      <w:r w:rsidRPr="00B6547E">
        <w:rPr>
          <w:rFonts w:ascii="Palatino Linotype" w:hAnsi="Palatino Linotype"/>
        </w:rPr>
        <w:t>, visible en la Gaceta del Seminario Judicial de la Federación con el registro digital 205635.</w:t>
      </w:r>
    </w:p>
    <w:p w14:paraId="17FC3261" w14:textId="77777777" w:rsidR="00CE5CE9" w:rsidRPr="00B6547E" w:rsidRDefault="00CE5CE9" w:rsidP="00CE5CE9">
      <w:pPr>
        <w:pStyle w:val="Prrafodelista"/>
        <w:tabs>
          <w:tab w:val="left" w:pos="426"/>
        </w:tabs>
        <w:spacing w:before="240" w:after="240" w:line="360" w:lineRule="auto"/>
        <w:ind w:left="0"/>
        <w:jc w:val="both"/>
        <w:rPr>
          <w:rFonts w:ascii="Palatino Linotype" w:hAnsi="Palatino Linotype"/>
        </w:rPr>
      </w:pPr>
    </w:p>
    <w:p w14:paraId="44051B17" w14:textId="77777777" w:rsidR="00803A69" w:rsidRPr="00B6547E"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B6547E">
        <w:rPr>
          <w:rFonts w:ascii="Palatino Linotype" w:eastAsia="Calibri" w:hAnsi="Palatino Linotype" w:cs="Arial"/>
        </w:rPr>
        <w:t xml:space="preserve">Razones </w:t>
      </w:r>
      <w:r w:rsidRPr="00B6547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ED2C82" w14:textId="77777777" w:rsidR="00803A69" w:rsidRPr="00B6547E" w:rsidRDefault="00803A69" w:rsidP="00803A69">
      <w:pPr>
        <w:pStyle w:val="Prrafodelista"/>
        <w:tabs>
          <w:tab w:val="left" w:pos="426"/>
        </w:tabs>
        <w:spacing w:before="240" w:after="240" w:line="360" w:lineRule="auto"/>
        <w:ind w:left="0"/>
        <w:jc w:val="both"/>
        <w:rPr>
          <w:rFonts w:ascii="Palatino Linotype" w:hAnsi="Palatino Linotype"/>
        </w:rPr>
      </w:pPr>
    </w:p>
    <w:p w14:paraId="2FD120F7" w14:textId="77777777" w:rsidR="00803A69" w:rsidRPr="00B6547E" w:rsidRDefault="00803A69" w:rsidP="00803A69">
      <w:pPr>
        <w:pStyle w:val="Prrafodelista"/>
        <w:numPr>
          <w:ilvl w:val="0"/>
          <w:numId w:val="1"/>
        </w:numPr>
        <w:tabs>
          <w:tab w:val="left" w:pos="426"/>
        </w:tabs>
        <w:spacing w:before="240" w:after="240" w:line="360" w:lineRule="auto"/>
        <w:jc w:val="both"/>
        <w:rPr>
          <w:rFonts w:ascii="Palatino Linotype" w:hAnsi="Palatino Linotype"/>
        </w:rPr>
      </w:pPr>
      <w:r w:rsidRPr="00B6547E">
        <w:rPr>
          <w:rFonts w:ascii="Palatino Linotype" w:eastAsia="Calibri" w:hAnsi="Palatino Linotype" w:cs="Arial"/>
        </w:rPr>
        <w:t xml:space="preserve">Por </w:t>
      </w:r>
      <w:r w:rsidRPr="00B6547E">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04EA5DE1" w14:textId="77777777" w:rsidR="00803A69" w:rsidRPr="00B6547E" w:rsidRDefault="00803A69" w:rsidP="00803A69">
      <w:pPr>
        <w:pStyle w:val="Prrafodelista"/>
        <w:tabs>
          <w:tab w:val="left" w:pos="426"/>
        </w:tabs>
        <w:spacing w:before="240" w:after="240" w:line="360" w:lineRule="auto"/>
        <w:ind w:left="0"/>
        <w:jc w:val="both"/>
        <w:rPr>
          <w:rFonts w:ascii="Palatino Linotype" w:hAnsi="Palatino Linotype"/>
        </w:rPr>
      </w:pPr>
    </w:p>
    <w:p w14:paraId="2E20326B" w14:textId="77777777" w:rsidR="00803A69" w:rsidRPr="00B6547E" w:rsidRDefault="00803A69" w:rsidP="00803A69">
      <w:pPr>
        <w:pStyle w:val="Prrafodelista"/>
        <w:numPr>
          <w:ilvl w:val="0"/>
          <w:numId w:val="1"/>
        </w:numPr>
        <w:tabs>
          <w:tab w:val="left" w:pos="426"/>
        </w:tabs>
        <w:spacing w:line="360" w:lineRule="auto"/>
        <w:jc w:val="both"/>
        <w:rPr>
          <w:rFonts w:ascii="Palatino Linotype" w:hAnsi="Palatino Linotype"/>
          <w:color w:val="000000" w:themeColor="text1"/>
        </w:rPr>
      </w:pPr>
      <w:r w:rsidRPr="00B6547E">
        <w:rPr>
          <w:rFonts w:ascii="Palatino Linotype" w:eastAsia="Calibri" w:hAnsi="Palatino Linotype" w:cs="Arial"/>
        </w:rPr>
        <w:t xml:space="preserve">Al </w:t>
      </w:r>
      <w:r w:rsidRPr="00B6547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43AF6C2" w14:textId="77777777" w:rsidR="00803A69" w:rsidRPr="00B6547E" w:rsidRDefault="00803A69" w:rsidP="00803A69">
      <w:pPr>
        <w:pStyle w:val="Prrafodelista"/>
        <w:tabs>
          <w:tab w:val="left" w:pos="426"/>
        </w:tabs>
        <w:spacing w:line="360" w:lineRule="auto"/>
        <w:ind w:left="0"/>
        <w:jc w:val="both"/>
        <w:rPr>
          <w:rFonts w:ascii="Palatino Linotype" w:hAnsi="Palatino Linotype"/>
          <w:color w:val="000000" w:themeColor="text1"/>
        </w:rPr>
      </w:pPr>
    </w:p>
    <w:p w14:paraId="051939AF" w14:textId="77777777" w:rsidR="00803A69" w:rsidRPr="00B6547E" w:rsidRDefault="00803A69" w:rsidP="00803A69">
      <w:pPr>
        <w:pStyle w:val="Prrafodelista"/>
        <w:ind w:left="567" w:right="567"/>
        <w:jc w:val="both"/>
        <w:rPr>
          <w:rFonts w:ascii="Palatino Linotype" w:hAnsi="Palatino Linotype"/>
          <w:i/>
          <w:sz w:val="22"/>
        </w:rPr>
      </w:pPr>
      <w:r w:rsidRPr="00B6547E">
        <w:rPr>
          <w:rFonts w:ascii="Palatino Linotype" w:hAnsi="Palatino Linotype"/>
          <w:b/>
          <w:i/>
          <w:sz w:val="22"/>
        </w:rPr>
        <w:t>PLAZO RAZONABLE PARA RESOLVER. DIMENSIÓN Y EFECTOS DE ESTE CONCEPTO CUANDO SE ADUCE EXCESIVA CARGA DE TRABAJO.</w:t>
      </w:r>
      <w:r w:rsidRPr="00B6547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B6547E">
        <w:rPr>
          <w:rStyle w:val="Refdenotaalpie"/>
          <w:rFonts w:ascii="Palatino Linotype" w:hAnsi="Palatino Linotype"/>
          <w:i/>
          <w:sz w:val="22"/>
        </w:rPr>
        <w:footnoteReference w:id="2"/>
      </w:r>
    </w:p>
    <w:p w14:paraId="33C6B3CF" w14:textId="77777777" w:rsidR="00803A69" w:rsidRPr="00B6547E" w:rsidRDefault="00803A69" w:rsidP="00803A69">
      <w:pPr>
        <w:pStyle w:val="Prrafodelista"/>
        <w:ind w:left="567" w:right="567"/>
        <w:jc w:val="both"/>
        <w:rPr>
          <w:rFonts w:ascii="Palatino Linotype" w:hAnsi="Palatino Linotype"/>
          <w:i/>
          <w:sz w:val="22"/>
        </w:rPr>
      </w:pPr>
    </w:p>
    <w:p w14:paraId="4D853737" w14:textId="0AA40569" w:rsidR="00803A69" w:rsidRPr="00B6547E" w:rsidRDefault="00803A69" w:rsidP="00803A69">
      <w:pPr>
        <w:pStyle w:val="Prrafodelista"/>
        <w:ind w:left="567" w:right="567"/>
        <w:jc w:val="both"/>
        <w:rPr>
          <w:rFonts w:ascii="Palatino Linotype" w:hAnsi="Palatino Linotype"/>
          <w:i/>
          <w:sz w:val="22"/>
        </w:rPr>
      </w:pPr>
      <w:r w:rsidRPr="00B6547E">
        <w:rPr>
          <w:rFonts w:ascii="Palatino Linotype" w:hAnsi="Palatino Linotype"/>
          <w:b/>
          <w:i/>
          <w:sz w:val="22"/>
        </w:rPr>
        <w:t>PLAZO RAZONABLE PARA RESOLVER. CONCEPTO Y ELEMENTOS QUE LO INTEGRAN A LA LUZ DEL DERECHO INTERNACIONAL DE LOS DERECHOS HUMANOS.</w:t>
      </w:r>
      <w:r w:rsidRPr="00B6547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w:t>
      </w:r>
      <w:r w:rsidRPr="00B6547E">
        <w:rPr>
          <w:rFonts w:ascii="Palatino Linotype" w:hAnsi="Palatino Linotype"/>
          <w:i/>
          <w:sz w:val="22"/>
        </w:rPr>
        <w:lastRenderedPageBreak/>
        <w:t>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B6547E">
        <w:rPr>
          <w:rStyle w:val="Refdenotaalpie"/>
          <w:rFonts w:ascii="Palatino Linotype" w:hAnsi="Palatino Linotype"/>
          <w:i/>
          <w:sz w:val="22"/>
        </w:rPr>
        <w:footnoteReference w:id="3"/>
      </w:r>
    </w:p>
    <w:p w14:paraId="51704B1C" w14:textId="77777777" w:rsidR="00803A69" w:rsidRPr="00B6547E" w:rsidRDefault="00803A69" w:rsidP="00803A69">
      <w:pPr>
        <w:ind w:right="567"/>
        <w:jc w:val="both"/>
        <w:rPr>
          <w:rFonts w:ascii="Palatino Linotype" w:hAnsi="Palatino Linotype"/>
          <w:i/>
          <w:sz w:val="22"/>
        </w:rPr>
      </w:pPr>
    </w:p>
    <w:p w14:paraId="3BBA66C6" w14:textId="4205CDE9" w:rsidR="00061087" w:rsidRPr="00B6547E" w:rsidRDefault="00803A69" w:rsidP="00803A69">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B6547E">
        <w:rPr>
          <w:rFonts w:ascii="Palatino Linotype" w:eastAsia="Calibri" w:hAnsi="Palatino Linotype" w:cs="Arial"/>
          <w:color w:val="000000" w:themeColor="text1"/>
        </w:rPr>
        <w:t xml:space="preserve">Por </w:t>
      </w:r>
      <w:r w:rsidRPr="00B6547E">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9B1E5DA" w14:textId="77777777" w:rsidR="004852B4" w:rsidRPr="00B6547E" w:rsidRDefault="004852B4" w:rsidP="003F7625">
      <w:pPr>
        <w:pStyle w:val="Prrafodelista"/>
        <w:tabs>
          <w:tab w:val="left" w:pos="426"/>
        </w:tabs>
        <w:spacing w:line="360" w:lineRule="auto"/>
        <w:ind w:left="0"/>
        <w:jc w:val="both"/>
        <w:rPr>
          <w:rFonts w:ascii="Palatino Linotype" w:hAnsi="Palatino Linotype"/>
          <w:color w:val="000000" w:themeColor="text1"/>
        </w:rPr>
      </w:pPr>
    </w:p>
    <w:p w14:paraId="6B6E6EC9" w14:textId="05FC50F4" w:rsidR="00D04702" w:rsidRPr="00B6547E" w:rsidRDefault="00F778B2" w:rsidP="00295100">
      <w:pPr>
        <w:pStyle w:val="Prrafodelista"/>
        <w:numPr>
          <w:ilvl w:val="0"/>
          <w:numId w:val="1"/>
        </w:numPr>
        <w:tabs>
          <w:tab w:val="left" w:pos="426"/>
        </w:tabs>
        <w:spacing w:line="360" w:lineRule="auto"/>
        <w:jc w:val="both"/>
        <w:rPr>
          <w:rFonts w:ascii="Palatino Linotype" w:hAnsi="Palatino Linotype"/>
          <w:color w:val="000000" w:themeColor="text1"/>
        </w:rPr>
      </w:pPr>
      <w:r w:rsidRPr="00B6547E">
        <w:rPr>
          <w:rFonts w:ascii="Palatino Linotype" w:hAnsi="Palatino Linotype" w:cs="Arial"/>
          <w:color w:val="000000" w:themeColor="text1"/>
        </w:rPr>
        <w:t xml:space="preserve">El </w:t>
      </w:r>
      <w:r w:rsidR="00061087" w:rsidRPr="00B6547E">
        <w:rPr>
          <w:rFonts w:ascii="Palatino Linotype" w:hAnsi="Palatino Linotype" w:cs="Arial"/>
          <w:color w:val="000000" w:themeColor="text1"/>
        </w:rPr>
        <w:t>trece</w:t>
      </w:r>
      <w:r w:rsidR="00402577" w:rsidRPr="00B6547E">
        <w:rPr>
          <w:rFonts w:ascii="Palatino Linotype" w:hAnsi="Palatino Linotype" w:cs="Arial"/>
          <w:color w:val="000000" w:themeColor="text1"/>
        </w:rPr>
        <w:t xml:space="preserve"> de diciembre</w:t>
      </w:r>
      <w:r w:rsidR="00BE528B" w:rsidRPr="00B6547E">
        <w:rPr>
          <w:rFonts w:ascii="Palatino Linotype" w:hAnsi="Palatino Linotype" w:cs="Arial"/>
          <w:color w:val="000000" w:themeColor="text1"/>
        </w:rPr>
        <w:t xml:space="preserve"> de dos mil veintitrés</w:t>
      </w:r>
      <w:r w:rsidR="00E23CA4" w:rsidRPr="00B6547E">
        <w:rPr>
          <w:rFonts w:ascii="Palatino Linotype" w:hAnsi="Palatino Linotype" w:cs="Arial"/>
          <w:color w:val="000000" w:themeColor="text1"/>
        </w:rPr>
        <w:t xml:space="preserve">, </w:t>
      </w:r>
      <w:r w:rsidR="00041DCC" w:rsidRPr="00B6547E">
        <w:rPr>
          <w:rFonts w:ascii="Palatino Linotype" w:hAnsi="Palatino Linotype" w:cs="Arial"/>
          <w:color w:val="000000" w:themeColor="text1"/>
        </w:rPr>
        <w:t>la Comisionada Ponente de</w:t>
      </w:r>
      <w:r w:rsidR="000152B8" w:rsidRPr="00B6547E">
        <w:rPr>
          <w:rFonts w:ascii="Palatino Linotype" w:hAnsi="Palatino Linotype" w:cs="Arial"/>
          <w:color w:val="000000" w:themeColor="text1"/>
        </w:rPr>
        <w:t xml:space="preserve">cretó el cierre de instrucción, </w:t>
      </w:r>
      <w:r w:rsidR="00AD6AC5" w:rsidRPr="00B6547E">
        <w:rPr>
          <w:rFonts w:ascii="Palatino Linotype" w:hAnsi="Palatino Linotype" w:cs="Arial"/>
          <w:color w:val="000000" w:themeColor="text1"/>
        </w:rPr>
        <w:t xml:space="preserve">por lo que ordenó turnar el expediente para su resolución, misma que ahora se </w:t>
      </w:r>
      <w:proofErr w:type="gramStart"/>
      <w:r w:rsidR="00AD6AC5" w:rsidRPr="00B6547E">
        <w:rPr>
          <w:rFonts w:ascii="Palatino Linotype" w:hAnsi="Palatino Linotype" w:cs="Arial"/>
          <w:color w:val="000000" w:themeColor="text1"/>
        </w:rPr>
        <w:t>pronunci</w:t>
      </w:r>
      <w:r w:rsidR="00BE528B" w:rsidRPr="00B6547E">
        <w:rPr>
          <w:rFonts w:ascii="Palatino Linotype" w:hAnsi="Palatino Linotype" w:cs="Arial"/>
          <w:color w:val="000000" w:themeColor="text1"/>
        </w:rPr>
        <w:t>a;</w:t>
      </w:r>
      <w:r w:rsidR="00F072F3" w:rsidRPr="00B6547E">
        <w:rPr>
          <w:rFonts w:ascii="Palatino Linotype" w:hAnsi="Palatino Linotype" w:cs="Arial"/>
          <w:color w:val="000000" w:themeColor="text1"/>
        </w:rPr>
        <w:t>------------------------------------------------------</w:t>
      </w:r>
      <w:r w:rsidR="00402577" w:rsidRPr="00B6547E">
        <w:rPr>
          <w:rFonts w:ascii="Palatino Linotype" w:hAnsi="Palatino Linotype" w:cs="Arial"/>
          <w:color w:val="000000" w:themeColor="text1"/>
        </w:rPr>
        <w:t>---------------</w:t>
      </w:r>
      <w:proofErr w:type="gramEnd"/>
    </w:p>
    <w:p w14:paraId="21E0E2C3" w14:textId="77777777" w:rsidR="007E1A88" w:rsidRPr="00B6547E" w:rsidRDefault="007E1A88" w:rsidP="007E1A88">
      <w:pPr>
        <w:pStyle w:val="Prrafodelista"/>
        <w:tabs>
          <w:tab w:val="left" w:pos="426"/>
        </w:tabs>
        <w:spacing w:line="360" w:lineRule="auto"/>
        <w:ind w:left="0"/>
        <w:jc w:val="both"/>
        <w:rPr>
          <w:rFonts w:ascii="Palatino Linotype" w:hAnsi="Palatino Linotype"/>
          <w:color w:val="000000" w:themeColor="text1"/>
        </w:rPr>
      </w:pPr>
    </w:p>
    <w:p w14:paraId="5CB47E4D" w14:textId="29C9F0A6" w:rsidR="00C33279" w:rsidRPr="00B6547E" w:rsidRDefault="007C0013" w:rsidP="00B31E90">
      <w:pPr>
        <w:pStyle w:val="Ttulo1"/>
        <w:spacing w:before="0"/>
        <w:jc w:val="center"/>
        <w:rPr>
          <w:b/>
          <w:color w:val="000000" w:themeColor="text1"/>
        </w:rPr>
      </w:pPr>
      <w:bookmarkStart w:id="5" w:name="_Toc87456485"/>
      <w:r w:rsidRPr="00B6547E">
        <w:rPr>
          <w:b/>
          <w:color w:val="000000" w:themeColor="text1"/>
        </w:rPr>
        <w:t>CONSIDERANDO</w:t>
      </w:r>
      <w:bookmarkEnd w:id="3"/>
      <w:bookmarkEnd w:id="4"/>
      <w:bookmarkEnd w:id="5"/>
    </w:p>
    <w:p w14:paraId="435CF9A4" w14:textId="77777777" w:rsidR="00FC1DA7" w:rsidRPr="00B6547E" w:rsidRDefault="00FC1DA7" w:rsidP="00B31E90">
      <w:pPr>
        <w:rPr>
          <w:color w:val="000000" w:themeColor="text1"/>
          <w:lang w:eastAsia="en-US"/>
        </w:rPr>
      </w:pPr>
    </w:p>
    <w:p w14:paraId="629A5BE2" w14:textId="56C3E7D5" w:rsidR="007C0013" w:rsidRPr="00B6547E"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B6547E">
        <w:rPr>
          <w:rFonts w:ascii="Palatino Linotype" w:hAnsi="Palatino Linotype"/>
          <w:b/>
          <w:color w:val="000000" w:themeColor="text1"/>
          <w:sz w:val="24"/>
        </w:rPr>
        <w:t>PRIMERO. De la competencia</w:t>
      </w:r>
      <w:bookmarkEnd w:id="6"/>
      <w:bookmarkEnd w:id="7"/>
      <w:bookmarkEnd w:id="8"/>
    </w:p>
    <w:p w14:paraId="60FBD8C7" w14:textId="77777777" w:rsidR="00FC1DA7" w:rsidRPr="00B6547E" w:rsidRDefault="00FC1DA7" w:rsidP="00B31E90">
      <w:pPr>
        <w:rPr>
          <w:rFonts w:ascii="Palatino Linotype" w:hAnsi="Palatino Linotype"/>
          <w:color w:val="000000" w:themeColor="text1"/>
          <w:lang w:eastAsia="en-US"/>
        </w:rPr>
      </w:pPr>
    </w:p>
    <w:p w14:paraId="0BF52B18" w14:textId="515C3AEB" w:rsidR="005A228F" w:rsidRPr="00B6547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6547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6547E">
        <w:rPr>
          <w:rFonts w:ascii="Palatino Linotype" w:eastAsia="Calibri" w:hAnsi="Palatino Linotype" w:cs="Times New Roman"/>
          <w:color w:val="000000" w:themeColor="text1"/>
          <w:lang w:val="es-ES"/>
        </w:rPr>
        <w:t xml:space="preserve">etente para conocer y resolver </w:t>
      </w:r>
      <w:r w:rsidRPr="00B6547E">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5, párrafos </w:t>
      </w:r>
      <w:r w:rsidR="000B7C4F" w:rsidRPr="00B6547E">
        <w:rPr>
          <w:rFonts w:ascii="Palatino Linotype" w:eastAsia="Calibri" w:hAnsi="Palatino Linotype" w:cs="Times New Roman"/>
          <w:color w:val="000000" w:themeColor="text1"/>
          <w:lang w:val="es-ES"/>
        </w:rPr>
        <w:t>trigésimo, trigésimo primero y trigésimo segundo</w:t>
      </w:r>
      <w:r w:rsidR="004F785F" w:rsidRPr="00B6547E">
        <w:rPr>
          <w:rFonts w:ascii="Palatino Linotype" w:eastAsia="Calibri" w:hAnsi="Palatino Linotype" w:cs="Times New Roman"/>
          <w:color w:val="000000" w:themeColor="text1"/>
          <w:lang w:val="es-ES"/>
        </w:rPr>
        <w:t>,</w:t>
      </w:r>
      <w:r w:rsidRPr="00B6547E">
        <w:rPr>
          <w:rFonts w:ascii="Palatino Linotype" w:eastAsia="Calibri" w:hAnsi="Palatino Linotype" w:cs="Times New Roman"/>
          <w:color w:val="000000" w:themeColor="text1"/>
          <w:lang w:val="es-ES"/>
        </w:rPr>
        <w:t xml:space="preserve"> fracciones IV y V</w:t>
      </w:r>
      <w:r w:rsidR="004F785F" w:rsidRPr="00B6547E">
        <w:rPr>
          <w:rFonts w:ascii="Palatino Linotype" w:eastAsia="Calibri" w:hAnsi="Palatino Linotype" w:cs="Times New Roman"/>
          <w:color w:val="000000" w:themeColor="text1"/>
          <w:lang w:val="es-ES"/>
        </w:rPr>
        <w:t>,</w:t>
      </w:r>
      <w:r w:rsidRPr="00B6547E">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B6547E">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B6547E"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6547E"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B6547E">
        <w:rPr>
          <w:rFonts w:ascii="Palatino Linotype" w:hAnsi="Palatino Linotype"/>
          <w:b/>
          <w:color w:val="000000" w:themeColor="text1"/>
          <w:sz w:val="24"/>
        </w:rPr>
        <w:t>SEGUNDO. De la oportunidad y proced</w:t>
      </w:r>
      <w:r w:rsidR="00F35C44" w:rsidRPr="00B6547E">
        <w:rPr>
          <w:rFonts w:ascii="Palatino Linotype" w:hAnsi="Palatino Linotype"/>
          <w:b/>
          <w:color w:val="000000" w:themeColor="text1"/>
          <w:sz w:val="24"/>
        </w:rPr>
        <w:t>encia</w:t>
      </w:r>
      <w:r w:rsidRPr="00B6547E">
        <w:rPr>
          <w:rFonts w:ascii="Palatino Linotype" w:hAnsi="Palatino Linotype"/>
          <w:b/>
          <w:color w:val="000000" w:themeColor="text1"/>
          <w:sz w:val="24"/>
        </w:rPr>
        <w:t>.</w:t>
      </w:r>
      <w:bookmarkEnd w:id="9"/>
      <w:bookmarkEnd w:id="10"/>
      <w:bookmarkEnd w:id="11"/>
    </w:p>
    <w:p w14:paraId="18E22450" w14:textId="77777777" w:rsidR="00C6440A" w:rsidRPr="00B6547E" w:rsidRDefault="00C6440A" w:rsidP="00B31E90">
      <w:pPr>
        <w:rPr>
          <w:color w:val="000000" w:themeColor="text1"/>
          <w:lang w:eastAsia="en-US"/>
        </w:rPr>
      </w:pPr>
    </w:p>
    <w:p w14:paraId="1AA46A76" w14:textId="2FCF0840" w:rsidR="00241D28" w:rsidRPr="00B6547E" w:rsidRDefault="003E6D0F" w:rsidP="00241D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6547E">
        <w:rPr>
          <w:rFonts w:ascii="Palatino Linotype" w:eastAsia="Calibri" w:hAnsi="Palatino Linotype" w:cs="Arial"/>
          <w:color w:val="000000" w:themeColor="text1"/>
        </w:rPr>
        <w:t xml:space="preserve">El </w:t>
      </w:r>
      <w:r w:rsidR="00740BA4" w:rsidRPr="00B6547E">
        <w:rPr>
          <w:rFonts w:ascii="Palatino Linotype" w:eastAsia="Calibri" w:hAnsi="Palatino Linotype" w:cs="Arial"/>
          <w:color w:val="000000" w:themeColor="text1"/>
        </w:rPr>
        <w:t xml:space="preserve">medio de impugnación fue presentado a través del </w:t>
      </w:r>
      <w:r w:rsidR="00740BA4" w:rsidRPr="00B6547E">
        <w:rPr>
          <w:rFonts w:ascii="Palatino Linotype" w:eastAsia="Calibri" w:hAnsi="Palatino Linotype" w:cs="Arial"/>
          <w:bCs/>
          <w:iCs/>
          <w:color w:val="000000" w:themeColor="text1"/>
        </w:rPr>
        <w:t>SAIMEX</w:t>
      </w:r>
      <w:r w:rsidR="00740BA4" w:rsidRPr="00B6547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B6547E">
        <w:rPr>
          <w:rFonts w:ascii="Palatino Linotype" w:eastAsia="Calibri" w:hAnsi="Palatino Linotype" w:cs="Arial"/>
          <w:b/>
          <w:color w:val="000000" w:themeColor="text1"/>
        </w:rPr>
        <w:t>SUJETO OBLIGADO</w:t>
      </w:r>
      <w:r w:rsidR="00740BA4" w:rsidRPr="00B6547E">
        <w:rPr>
          <w:rFonts w:ascii="Palatino Linotype" w:eastAsia="Calibri" w:hAnsi="Palatino Linotype" w:cs="Arial"/>
          <w:color w:val="000000" w:themeColor="text1"/>
        </w:rPr>
        <w:t xml:space="preserve"> entregó respuesta el </w:t>
      </w:r>
      <w:r w:rsidR="00580B5B" w:rsidRPr="00B6547E">
        <w:rPr>
          <w:rFonts w:ascii="Palatino Linotype" w:eastAsia="Calibri" w:hAnsi="Palatino Linotype" w:cs="Arial"/>
          <w:color w:val="000000" w:themeColor="text1"/>
        </w:rPr>
        <w:t xml:space="preserve">seis de noviembre </w:t>
      </w:r>
      <w:r w:rsidR="00740BA4" w:rsidRPr="00B6547E">
        <w:rPr>
          <w:rFonts w:ascii="Palatino Linotype" w:eastAsia="Calibri" w:hAnsi="Palatino Linotype" w:cs="Arial"/>
          <w:color w:val="000000" w:themeColor="text1"/>
        </w:rPr>
        <w:t>de dos mil veinti</w:t>
      </w:r>
      <w:r w:rsidR="00FC7C35" w:rsidRPr="00B6547E">
        <w:rPr>
          <w:rFonts w:ascii="Palatino Linotype" w:eastAsia="Calibri" w:hAnsi="Palatino Linotype" w:cs="Arial"/>
          <w:color w:val="000000" w:themeColor="text1"/>
        </w:rPr>
        <w:t>trés</w:t>
      </w:r>
      <w:r w:rsidR="00740BA4" w:rsidRPr="00B6547E">
        <w:rPr>
          <w:rFonts w:ascii="Palatino Linotype" w:eastAsia="Calibri" w:hAnsi="Palatino Linotype" w:cs="Arial"/>
          <w:color w:val="000000" w:themeColor="text1"/>
        </w:rPr>
        <w:t>, de tal forma que el plazo para interponer el recurso de revisión transcurrió d</w:t>
      </w:r>
      <w:r w:rsidR="0021345D" w:rsidRPr="00B6547E">
        <w:rPr>
          <w:rFonts w:ascii="Palatino Linotype" w:eastAsia="Calibri" w:hAnsi="Palatino Linotype" w:cs="Arial"/>
          <w:color w:val="000000" w:themeColor="text1"/>
        </w:rPr>
        <w:t xml:space="preserve">el </w:t>
      </w:r>
      <w:r w:rsidR="00580B5B" w:rsidRPr="00B6547E">
        <w:rPr>
          <w:rFonts w:ascii="Palatino Linotype" w:eastAsia="Calibri" w:hAnsi="Palatino Linotype" w:cs="Arial"/>
          <w:color w:val="000000" w:themeColor="text1"/>
        </w:rPr>
        <w:t>siete al veintiocho de noviembre</w:t>
      </w:r>
      <w:r w:rsidR="003F7625" w:rsidRPr="00B6547E">
        <w:rPr>
          <w:rFonts w:ascii="Palatino Linotype" w:eastAsia="Calibri" w:hAnsi="Palatino Linotype" w:cs="Arial"/>
          <w:color w:val="000000" w:themeColor="text1"/>
        </w:rPr>
        <w:t xml:space="preserve"> </w:t>
      </w:r>
      <w:r w:rsidR="00921375" w:rsidRPr="00B6547E">
        <w:rPr>
          <w:rFonts w:ascii="Palatino Linotype" w:eastAsia="Calibri" w:hAnsi="Palatino Linotype" w:cs="Arial"/>
          <w:color w:val="000000" w:themeColor="text1"/>
        </w:rPr>
        <w:t xml:space="preserve">de dos mil </w:t>
      </w:r>
      <w:r w:rsidR="00AA37A7" w:rsidRPr="00B6547E">
        <w:rPr>
          <w:rFonts w:ascii="Palatino Linotype" w:eastAsia="Calibri" w:hAnsi="Palatino Linotype" w:cs="Arial"/>
          <w:color w:val="000000" w:themeColor="text1"/>
        </w:rPr>
        <w:t>veint</w:t>
      </w:r>
      <w:r w:rsidR="00FC7C35" w:rsidRPr="00B6547E">
        <w:rPr>
          <w:rFonts w:ascii="Palatino Linotype" w:eastAsia="Calibri" w:hAnsi="Palatino Linotype" w:cs="Arial"/>
          <w:color w:val="000000" w:themeColor="text1"/>
        </w:rPr>
        <w:t>itrés</w:t>
      </w:r>
      <w:r w:rsidR="00CE035D" w:rsidRPr="00B6547E">
        <w:rPr>
          <w:rFonts w:ascii="Palatino Linotype" w:eastAsia="Calibri" w:hAnsi="Palatino Linotype" w:cs="Arial"/>
          <w:color w:val="000000" w:themeColor="text1"/>
        </w:rPr>
        <w:t xml:space="preserve">, el recurso de revisión </w:t>
      </w:r>
      <w:r w:rsidR="00E95534" w:rsidRPr="00B6547E">
        <w:rPr>
          <w:rFonts w:ascii="Palatino Linotype" w:hAnsi="Palatino Linotype"/>
          <w:color w:val="000000" w:themeColor="text1"/>
        </w:rPr>
        <w:t xml:space="preserve">fue interpuesto </w:t>
      </w:r>
      <w:r w:rsidR="00580B5B" w:rsidRPr="00B6547E">
        <w:rPr>
          <w:rFonts w:ascii="Palatino Linotype" w:hAnsi="Palatino Linotype"/>
          <w:color w:val="000000" w:themeColor="text1"/>
        </w:rPr>
        <w:t>nueve de noviembre</w:t>
      </w:r>
      <w:r w:rsidR="00295100" w:rsidRPr="00B6547E">
        <w:rPr>
          <w:rFonts w:ascii="Palatino Linotype" w:hAnsi="Palatino Linotype"/>
          <w:color w:val="000000" w:themeColor="text1"/>
        </w:rPr>
        <w:t xml:space="preserve"> </w:t>
      </w:r>
      <w:r w:rsidR="00061A86" w:rsidRPr="00B6547E">
        <w:rPr>
          <w:rFonts w:ascii="Palatino Linotype" w:hAnsi="Palatino Linotype"/>
          <w:color w:val="000000" w:themeColor="text1"/>
        </w:rPr>
        <w:t>de dos mil veinti</w:t>
      </w:r>
      <w:r w:rsidR="00FC7C35" w:rsidRPr="00B6547E">
        <w:rPr>
          <w:rFonts w:ascii="Palatino Linotype" w:hAnsi="Palatino Linotype"/>
          <w:color w:val="000000" w:themeColor="text1"/>
        </w:rPr>
        <w:t>trés</w:t>
      </w:r>
      <w:r w:rsidR="00E95534" w:rsidRPr="00B6547E">
        <w:rPr>
          <w:rFonts w:ascii="Palatino Linotype" w:hAnsi="Palatino Linotype"/>
          <w:color w:val="000000" w:themeColor="text1"/>
        </w:rPr>
        <w:t>, éste</w:t>
      </w:r>
      <w:r w:rsidR="00E95534" w:rsidRPr="00B6547E">
        <w:rPr>
          <w:rFonts w:ascii="Palatino Linotype" w:hAnsi="Palatino Linotype" w:cs="Arial"/>
          <w:color w:val="000000" w:themeColor="text1"/>
        </w:rPr>
        <w:t xml:space="preserve"> se encuentra dentro de los márgenes temporales previstos en el artículo 178 de la </w:t>
      </w:r>
      <w:r w:rsidR="00E95534" w:rsidRPr="00B6547E">
        <w:rPr>
          <w:rFonts w:ascii="Palatino Linotype" w:hAnsi="Palatino Linotype" w:cs="Arial"/>
          <w:color w:val="000000" w:themeColor="text1"/>
        </w:rPr>
        <w:lastRenderedPageBreak/>
        <w:t>Ley de Transparencia y Acceso a la Información Pública del Estado de México y Municipios</w:t>
      </w:r>
      <w:r w:rsidR="00E95534" w:rsidRPr="00B6547E">
        <w:rPr>
          <w:rFonts w:ascii="Palatino Linotype" w:hAnsi="Palatino Linotype" w:cs="Arial"/>
          <w:b/>
          <w:color w:val="000000" w:themeColor="text1"/>
        </w:rPr>
        <w:t xml:space="preserve"> </w:t>
      </w:r>
      <w:r w:rsidR="00E95534" w:rsidRPr="00B6547E">
        <w:rPr>
          <w:rFonts w:ascii="Palatino Linotype" w:hAnsi="Palatino Linotype" w:cs="Arial"/>
          <w:color w:val="000000" w:themeColor="text1"/>
        </w:rPr>
        <w:t>vigente.</w:t>
      </w:r>
    </w:p>
    <w:p w14:paraId="1DB2581B" w14:textId="77777777" w:rsidR="00207968" w:rsidRPr="00B6547E" w:rsidRDefault="00207968" w:rsidP="0020796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96CFECF" w:rsidR="005F1362" w:rsidRPr="00B6547E"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6547E">
        <w:rPr>
          <w:rFonts w:ascii="Palatino Linotype" w:eastAsia="Calibri" w:hAnsi="Palatino Linotype" w:cs="Arial"/>
          <w:color w:val="000000" w:themeColor="text1"/>
        </w:rPr>
        <w:t>C</w:t>
      </w:r>
      <w:r w:rsidR="00AF6795" w:rsidRPr="00B6547E">
        <w:rPr>
          <w:rFonts w:ascii="Palatino Linotype" w:eastAsia="Calibri" w:hAnsi="Palatino Linotype" w:cs="Arial"/>
          <w:color w:val="000000" w:themeColor="text1"/>
        </w:rPr>
        <w:t>onsecuencia de lo anterior, este</w:t>
      </w:r>
      <w:r w:rsidRPr="00B6547E">
        <w:rPr>
          <w:rFonts w:ascii="Palatino Linotype" w:eastAsia="Calibri" w:hAnsi="Palatino Linotype" w:cs="Arial"/>
          <w:color w:val="000000" w:themeColor="text1"/>
        </w:rPr>
        <w:t xml:space="preserve"> </w:t>
      </w:r>
      <w:r w:rsidR="00AF6795" w:rsidRPr="00B6547E">
        <w:rPr>
          <w:rFonts w:ascii="Palatino Linotype" w:eastAsia="Calibri" w:hAnsi="Palatino Linotype" w:cs="Arial"/>
          <w:color w:val="000000" w:themeColor="text1"/>
        </w:rPr>
        <w:t>Órgano Garante</w:t>
      </w:r>
      <w:r w:rsidRPr="00B6547E">
        <w:rPr>
          <w:rFonts w:ascii="Palatino Linotype" w:eastAsia="Calibri" w:hAnsi="Palatino Linotype" w:cs="Arial"/>
          <w:color w:val="000000" w:themeColor="text1"/>
        </w:rPr>
        <w:t xml:space="preserve"> advierte que </w:t>
      </w:r>
      <w:r w:rsidR="00540208" w:rsidRPr="00B6547E">
        <w:rPr>
          <w:rFonts w:ascii="Palatino Linotype" w:eastAsia="Calibri" w:hAnsi="Palatino Linotype" w:cs="Arial"/>
          <w:color w:val="000000" w:themeColor="text1"/>
        </w:rPr>
        <w:t xml:space="preserve">el escrito contiene las formalidades previstas por el artículo 180 último párrafo de la Ley </w:t>
      </w:r>
      <w:r w:rsidR="004911B6" w:rsidRPr="00B6547E">
        <w:rPr>
          <w:rFonts w:ascii="Palatino Linotype" w:eastAsia="Calibri" w:hAnsi="Palatino Linotype" w:cs="Arial"/>
          <w:color w:val="000000" w:themeColor="text1"/>
        </w:rPr>
        <w:t>de Transparencia y Acceso a la Información Pública del Estado de México y Municipios</w:t>
      </w:r>
      <w:r w:rsidR="00540208" w:rsidRPr="00B6547E">
        <w:rPr>
          <w:rFonts w:ascii="Palatino Linotype" w:eastAsia="Calibri" w:hAnsi="Palatino Linotype" w:cs="Arial"/>
          <w:color w:val="000000" w:themeColor="text1"/>
        </w:rPr>
        <w:t xml:space="preserve">, por lo que es procedente que </w:t>
      </w:r>
      <w:r w:rsidR="004911B6" w:rsidRPr="00B6547E">
        <w:rPr>
          <w:rFonts w:ascii="Palatino Linotype" w:eastAsia="Calibri" w:hAnsi="Palatino Linotype" w:cs="Arial"/>
          <w:color w:val="000000" w:themeColor="text1"/>
        </w:rPr>
        <w:t>e</w:t>
      </w:r>
      <w:r w:rsidR="00540208" w:rsidRPr="00B6547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B6547E" w:rsidRDefault="00E23CA4" w:rsidP="00092A5F">
      <w:pPr>
        <w:rPr>
          <w:rFonts w:ascii="Palatino Linotype" w:eastAsia="Times New Roman" w:hAnsi="Palatino Linotype" w:cs="Arial"/>
          <w:bCs/>
          <w:color w:val="000000" w:themeColor="text1"/>
          <w:lang w:eastAsia="es-MX"/>
        </w:rPr>
      </w:pPr>
    </w:p>
    <w:p w14:paraId="15661DD9" w14:textId="2CDF4EE3" w:rsidR="00540208" w:rsidRPr="00B6547E"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6547E">
        <w:rPr>
          <w:rFonts w:ascii="Palatino Linotype" w:hAnsi="Palatino Linotype"/>
          <w:b/>
          <w:color w:val="000000" w:themeColor="text1"/>
          <w:sz w:val="24"/>
          <w:szCs w:val="24"/>
        </w:rPr>
        <w:t>TERCERO</w:t>
      </w:r>
      <w:r w:rsidR="00C50A2B" w:rsidRPr="00B6547E">
        <w:rPr>
          <w:rFonts w:ascii="Palatino Linotype" w:hAnsi="Palatino Linotype"/>
          <w:b/>
          <w:color w:val="000000" w:themeColor="text1"/>
          <w:sz w:val="24"/>
          <w:szCs w:val="24"/>
        </w:rPr>
        <w:t>. De</w:t>
      </w:r>
      <w:r w:rsidR="00AD76A1" w:rsidRPr="00B6547E">
        <w:rPr>
          <w:rFonts w:ascii="Palatino Linotype" w:hAnsi="Palatino Linotype"/>
          <w:b/>
          <w:color w:val="000000" w:themeColor="text1"/>
          <w:sz w:val="24"/>
          <w:szCs w:val="24"/>
        </w:rPr>
        <w:t xml:space="preserve">l planteamiento de la </w:t>
      </w:r>
      <w:r w:rsidR="00AD76A1" w:rsidRPr="00B6547E">
        <w:rPr>
          <w:rFonts w:ascii="Palatino Linotype" w:hAnsi="Palatino Linotype"/>
          <w:b/>
          <w:i/>
          <w:color w:val="000000" w:themeColor="text1"/>
          <w:sz w:val="24"/>
          <w:szCs w:val="24"/>
        </w:rPr>
        <w:t>Litis</w:t>
      </w:r>
      <w:r w:rsidR="00C50A2B" w:rsidRPr="00B6547E">
        <w:rPr>
          <w:rFonts w:ascii="Palatino Linotype" w:hAnsi="Palatino Linotype"/>
          <w:b/>
          <w:color w:val="000000" w:themeColor="text1"/>
          <w:sz w:val="24"/>
          <w:szCs w:val="24"/>
        </w:rPr>
        <w:t>.</w:t>
      </w:r>
      <w:bookmarkEnd w:id="12"/>
      <w:bookmarkEnd w:id="13"/>
      <w:bookmarkEnd w:id="14"/>
    </w:p>
    <w:p w14:paraId="4231B8D5" w14:textId="77777777" w:rsidR="00540208" w:rsidRPr="00B6547E" w:rsidRDefault="00540208" w:rsidP="00B31E90">
      <w:pPr>
        <w:rPr>
          <w:rFonts w:ascii="Palatino Linotype" w:hAnsi="Palatino Linotype"/>
          <w:color w:val="000000" w:themeColor="text1"/>
          <w:lang w:eastAsia="en-US"/>
        </w:rPr>
      </w:pPr>
    </w:p>
    <w:bookmarkEnd w:id="15"/>
    <w:bookmarkEnd w:id="16"/>
    <w:p w14:paraId="7AEADCD1" w14:textId="2BF9718D" w:rsidR="003E6145" w:rsidRPr="00B6547E" w:rsidRDefault="003E6145" w:rsidP="003E61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 xml:space="preserve">El </w:t>
      </w:r>
      <w:r w:rsidRPr="00B6547E">
        <w:rPr>
          <w:rFonts w:ascii="Palatino Linotype" w:hAnsi="Palatino Linotype" w:cs="Arial"/>
          <w:b/>
          <w:color w:val="000000" w:themeColor="text1"/>
        </w:rPr>
        <w:t>RECURRENTE</w:t>
      </w:r>
      <w:r w:rsidRPr="00B6547E">
        <w:rPr>
          <w:rFonts w:ascii="Palatino Linotype" w:hAnsi="Palatino Linotype" w:cs="Arial"/>
          <w:color w:val="000000" w:themeColor="text1"/>
        </w:rPr>
        <w:t xml:space="preserve"> solicitó, t</w:t>
      </w:r>
      <w:r w:rsidRPr="00B6547E">
        <w:rPr>
          <w:rFonts w:ascii="Palatino Linotype" w:hAnsi="Palatino Linotype"/>
        </w:rPr>
        <w:t xml:space="preserve">odos los operativos realizados al transporte público, los resultados, las autoridades participaron, los oficios de autorización y coordinación con las autoridades involucradas y los inspectores participaron de la Secretaría de Transporte y Movilidad, de </w:t>
      </w:r>
      <w:r w:rsidR="00273E57" w:rsidRPr="00B6547E">
        <w:rPr>
          <w:rFonts w:ascii="Palatino Linotype" w:hAnsi="Palatino Linotype"/>
        </w:rPr>
        <w:t xml:space="preserve">enero de </w:t>
      </w:r>
      <w:r w:rsidRPr="00B6547E">
        <w:rPr>
          <w:rFonts w:ascii="Palatino Linotype" w:hAnsi="Palatino Linotype"/>
        </w:rPr>
        <w:t>dos mil diez al tres de febrero de dos mil veintidós.</w:t>
      </w:r>
    </w:p>
    <w:p w14:paraId="6C7A8B16" w14:textId="77777777" w:rsidR="003E6145" w:rsidRPr="00B6547E" w:rsidRDefault="003E6145" w:rsidP="003E6145">
      <w:pPr>
        <w:pStyle w:val="Prrafodelista"/>
        <w:tabs>
          <w:tab w:val="left" w:pos="426"/>
        </w:tabs>
        <w:spacing w:line="360" w:lineRule="auto"/>
        <w:ind w:left="0" w:right="49"/>
        <w:jc w:val="both"/>
        <w:rPr>
          <w:rFonts w:ascii="Palatino Linotype" w:hAnsi="Palatino Linotype" w:cs="Arial"/>
          <w:color w:val="000000" w:themeColor="text1"/>
        </w:rPr>
      </w:pPr>
    </w:p>
    <w:p w14:paraId="0D1FE557" w14:textId="3D0381C6" w:rsidR="003E6145" w:rsidRPr="00B6547E" w:rsidRDefault="003E6145" w:rsidP="003E61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 xml:space="preserve">En respuesta, el </w:t>
      </w:r>
      <w:r w:rsidRPr="00B6547E">
        <w:rPr>
          <w:rFonts w:ascii="Palatino Linotype" w:hAnsi="Palatino Linotype" w:cs="Arial"/>
          <w:b/>
          <w:color w:val="000000" w:themeColor="text1"/>
        </w:rPr>
        <w:t>SUJETO OBLIGADO</w:t>
      </w:r>
      <w:r w:rsidRPr="00B6547E">
        <w:rPr>
          <w:rFonts w:ascii="Palatino Linotype" w:hAnsi="Palatino Linotype" w:cs="Arial"/>
          <w:color w:val="000000" w:themeColor="text1"/>
        </w:rPr>
        <w:t xml:space="preserve"> por medio de </w:t>
      </w:r>
      <w:r w:rsidRPr="00B6547E">
        <w:rPr>
          <w:rFonts w:ascii="Palatino Linotype" w:hAnsi="Palatino Linotype"/>
        </w:rPr>
        <w:t xml:space="preserve">los Servidores Públicos Habilitados de las Direcciones Generales de </w:t>
      </w:r>
      <w:r w:rsidR="00900FE3" w:rsidRPr="00B6547E">
        <w:rPr>
          <w:rFonts w:ascii="Palatino Linotype" w:hAnsi="Palatino Linotype"/>
        </w:rPr>
        <w:t xml:space="preserve">las </w:t>
      </w:r>
      <w:r w:rsidRPr="00B6547E">
        <w:rPr>
          <w:rFonts w:ascii="Palatino Linotype" w:hAnsi="Palatino Linotype"/>
        </w:rPr>
        <w:t>Zona I, II, III y IV,</w:t>
      </w:r>
      <w:r w:rsidR="001A2469" w:rsidRPr="00B6547E">
        <w:rPr>
          <w:rFonts w:ascii="Palatino Linotype" w:hAnsi="Palatino Linotype" w:cs="Arial"/>
          <w:color w:val="000000" w:themeColor="text1"/>
        </w:rPr>
        <w:t xml:space="preserve"> </w:t>
      </w:r>
      <w:r w:rsidR="001A2469" w:rsidRPr="00B6547E">
        <w:rPr>
          <w:rFonts w:ascii="Palatino Linotype" w:hAnsi="Palatino Linotype"/>
          <w:color w:val="000000" w:themeColor="text1"/>
        </w:rPr>
        <w:t>remitió</w:t>
      </w:r>
      <w:r w:rsidRPr="00B6547E">
        <w:rPr>
          <w:rFonts w:ascii="Palatino Linotype" w:hAnsi="Palatino Linotype"/>
          <w:color w:val="000000" w:themeColor="text1"/>
        </w:rPr>
        <w:t xml:space="preserve"> diversos archivos electrónicos, </w:t>
      </w:r>
      <w:r w:rsidR="00273E57" w:rsidRPr="00B6547E">
        <w:rPr>
          <w:rFonts w:ascii="Palatino Linotype" w:hAnsi="Palatino Linotype"/>
          <w:color w:val="000000" w:themeColor="text1"/>
        </w:rPr>
        <w:t xml:space="preserve">consistentes en los </w:t>
      </w:r>
      <w:r w:rsidRPr="00B6547E">
        <w:rPr>
          <w:rFonts w:ascii="Palatino Linotype" w:hAnsi="Palatino Linotype"/>
          <w:color w:val="000000" w:themeColor="text1"/>
        </w:rPr>
        <w:t>registros de operativos</w:t>
      </w:r>
      <w:r w:rsidR="001A2469" w:rsidRPr="00B6547E">
        <w:rPr>
          <w:rFonts w:ascii="Palatino Linotype" w:hAnsi="Palatino Linotype"/>
          <w:color w:val="000000" w:themeColor="text1"/>
        </w:rPr>
        <w:t xml:space="preserve"> respectivamente, en los cuales</w:t>
      </w:r>
      <w:r w:rsidR="00273E57" w:rsidRPr="00B6547E">
        <w:rPr>
          <w:rFonts w:ascii="Palatino Linotype" w:hAnsi="Palatino Linotype"/>
          <w:color w:val="000000" w:themeColor="text1"/>
        </w:rPr>
        <w:t>,</w:t>
      </w:r>
      <w:r w:rsidR="001A2469" w:rsidRPr="00B6547E">
        <w:rPr>
          <w:rFonts w:ascii="Palatino Linotype" w:hAnsi="Palatino Linotype"/>
          <w:color w:val="000000" w:themeColor="text1"/>
        </w:rPr>
        <w:t xml:space="preserve"> </w:t>
      </w:r>
      <w:r w:rsidRPr="00B6547E">
        <w:rPr>
          <w:rFonts w:ascii="Palatino Linotype" w:hAnsi="Palatino Linotype"/>
          <w:color w:val="000000" w:themeColor="text1"/>
        </w:rPr>
        <w:t xml:space="preserve">se exponen los siguientes rubros: </w:t>
      </w:r>
      <w:r w:rsidR="00273E57" w:rsidRPr="00B6547E">
        <w:rPr>
          <w:rFonts w:ascii="Palatino Linotype" w:hAnsi="Palatino Linotype"/>
        </w:rPr>
        <w:t>AÑO (2010-</w:t>
      </w:r>
      <w:r w:rsidRPr="00B6547E">
        <w:rPr>
          <w:rFonts w:ascii="Palatino Linotype" w:hAnsi="Palatino Linotype"/>
        </w:rPr>
        <w:t>2022), NO. DE OPERATIVOS, UNIDADES RETENIDAS, AUTORIDADES INVOLUCRADAS, NO. OFICIOS y PERSONAL INSPECCIÓN PARTICIPANTES.</w:t>
      </w:r>
    </w:p>
    <w:p w14:paraId="46278DB0" w14:textId="77777777" w:rsidR="003E6145" w:rsidRPr="00B6547E" w:rsidRDefault="003E6145" w:rsidP="003E6145">
      <w:pPr>
        <w:rPr>
          <w:rFonts w:ascii="Palatino Linotype" w:hAnsi="Palatino Linotype" w:cs="Arial"/>
          <w:color w:val="000000" w:themeColor="text1"/>
        </w:rPr>
      </w:pPr>
    </w:p>
    <w:p w14:paraId="54463AC5" w14:textId="7BDB776A" w:rsidR="00273E57" w:rsidRPr="00B6547E" w:rsidRDefault="00273E57" w:rsidP="00273E5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lastRenderedPageBreak/>
        <w:t xml:space="preserve">El </w:t>
      </w:r>
      <w:r w:rsidRPr="00B6547E">
        <w:rPr>
          <w:rFonts w:ascii="Palatino Linotype" w:eastAsia="Calibri" w:hAnsi="Palatino Linotype" w:cs="Tahoma"/>
          <w:b/>
          <w:bCs/>
          <w:color w:val="000000"/>
          <w:lang w:val="es-ES" w:eastAsia="es-MX"/>
        </w:rPr>
        <w:t>RECURRENTE</w:t>
      </w:r>
      <w:r w:rsidRPr="00B6547E">
        <w:rPr>
          <w:rFonts w:ascii="Palatino Linotype" w:eastAsia="Calibri" w:hAnsi="Palatino Linotype" w:cs="Tahoma"/>
          <w:color w:val="000000"/>
          <w:lang w:val="es-ES" w:eastAsia="es-MX"/>
        </w:rPr>
        <w:t xml:space="preserve"> se inconformó a través del recurso de revisión, manifestando que, la información proporcionada no es clara, por lo que no se entiende.</w:t>
      </w:r>
    </w:p>
    <w:p w14:paraId="25496DE3" w14:textId="77777777" w:rsidR="00273E57" w:rsidRPr="00B6547E" w:rsidRDefault="00273E57" w:rsidP="00273E57">
      <w:pPr>
        <w:pStyle w:val="Prrafodelista"/>
        <w:tabs>
          <w:tab w:val="left" w:pos="426"/>
        </w:tabs>
        <w:spacing w:line="360" w:lineRule="auto"/>
        <w:ind w:left="0" w:right="49"/>
        <w:jc w:val="both"/>
        <w:rPr>
          <w:rFonts w:ascii="Palatino Linotype" w:hAnsi="Palatino Linotype" w:cs="Arial"/>
          <w:color w:val="000000" w:themeColor="text1"/>
        </w:rPr>
      </w:pPr>
    </w:p>
    <w:p w14:paraId="1B7C91EB" w14:textId="7DE5964C" w:rsidR="003E6145" w:rsidRPr="00B6547E" w:rsidRDefault="00273E5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 xml:space="preserve">En consecuencia, el </w:t>
      </w:r>
      <w:r w:rsidRPr="00B6547E">
        <w:rPr>
          <w:rFonts w:ascii="Palatino Linotype" w:hAnsi="Palatino Linotype" w:cs="Arial"/>
          <w:b/>
          <w:color w:val="000000" w:themeColor="text1"/>
        </w:rPr>
        <w:t>SUJETO OBLIGADO</w:t>
      </w:r>
      <w:r w:rsidRPr="00B6547E">
        <w:rPr>
          <w:rFonts w:ascii="Palatino Linotype" w:hAnsi="Palatino Linotype" w:cs="Arial"/>
          <w:color w:val="000000" w:themeColor="text1"/>
        </w:rPr>
        <w:t xml:space="preserve"> </w:t>
      </w:r>
      <w:r w:rsidR="0055782C" w:rsidRPr="00B6547E">
        <w:rPr>
          <w:rFonts w:ascii="Palatino Linotype" w:hAnsi="Palatino Linotype"/>
        </w:rPr>
        <w:t>por medio del informe justificado, señaló</w:t>
      </w:r>
      <w:r w:rsidRPr="00B6547E">
        <w:rPr>
          <w:rFonts w:ascii="Palatino Linotype" w:hAnsi="Palatino Linotype"/>
        </w:rPr>
        <w:t xml:space="preserve"> que, </w:t>
      </w:r>
      <w:r w:rsidR="0055782C" w:rsidRPr="00B6547E">
        <w:rPr>
          <w:rFonts w:ascii="Palatino Linotype" w:hAnsi="Palatino Linotype"/>
        </w:rPr>
        <w:t>a través</w:t>
      </w:r>
      <w:r w:rsidRPr="00B6547E">
        <w:rPr>
          <w:rFonts w:ascii="Palatino Linotype" w:hAnsi="Palatino Linotype"/>
        </w:rPr>
        <w:t xml:space="preserve"> de la respuesta primigenia se puso a disposición del </w:t>
      </w:r>
      <w:r w:rsidRPr="00B6547E">
        <w:rPr>
          <w:rFonts w:ascii="Palatino Linotype" w:hAnsi="Palatino Linotype"/>
          <w:b/>
        </w:rPr>
        <w:t xml:space="preserve">RECURRENTE </w:t>
      </w:r>
      <w:r w:rsidRPr="00B6547E">
        <w:rPr>
          <w:rFonts w:ascii="Palatino Linotype" w:hAnsi="Palatino Linotype"/>
        </w:rPr>
        <w:t>las respuestas proporcionadas por los Servidores Públicos Habilitados de las Direcciones Generales de Zona I, II, III y IV, no obstante, el Sistema de Acceso a la Información Mexiquense (SAIMEX) de manera automática, al generar el acuse de respuesta, unió todas las respuestas causando posibles confusiones al momento de su lectura, por parte del Solicitante. Motivo por el cual, los Servidores Públicos Habilitados de las Direcciones Generales hicieron entrega nuevamente de la información de manera accesible y desglosada por Dirección General de Zona, en el estado en el que se encuentra en sus archivos, incluyendo los registros de operativos, inicialmente proporcionados, así como, los documentos donde se advierten las autoridades que participaron en las visitas de verificación e inspección, el registro de inspectores habilitados y el registro de oficios de autorización para realización de visitas de verificación e inspección.</w:t>
      </w:r>
    </w:p>
    <w:p w14:paraId="38CBACE6" w14:textId="77777777" w:rsidR="00273E57" w:rsidRPr="00B6547E" w:rsidRDefault="00273E57" w:rsidP="00273E57">
      <w:pPr>
        <w:pStyle w:val="Prrafodelista"/>
        <w:tabs>
          <w:tab w:val="left" w:pos="426"/>
        </w:tabs>
        <w:spacing w:line="360" w:lineRule="auto"/>
        <w:ind w:left="0" w:right="49"/>
        <w:jc w:val="both"/>
        <w:rPr>
          <w:rFonts w:ascii="Palatino Linotype" w:hAnsi="Palatino Linotype" w:cs="Arial"/>
          <w:color w:val="000000" w:themeColor="text1"/>
        </w:rPr>
      </w:pPr>
    </w:p>
    <w:p w14:paraId="379A7EDC" w14:textId="075A6C17" w:rsidR="00636E63" w:rsidRPr="00B6547E" w:rsidRDefault="00636E63" w:rsidP="00636E6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 xml:space="preserve">En consecuencia, </w:t>
      </w:r>
      <w:r w:rsidRPr="00B6547E">
        <w:rPr>
          <w:rFonts w:ascii="Palatino Linotype" w:eastAsia="MS Gothic" w:hAnsi="Palatino Linotype"/>
        </w:rPr>
        <w:t xml:space="preserve">la Litis a resolver en este recurso, se circunscribe a determinar si la respuesta colma con lo solicitado o si se actualizan las causales de procedencia previstas </w:t>
      </w:r>
      <w:r w:rsidRPr="00B6547E">
        <w:rPr>
          <w:rFonts w:ascii="Palatino Linotype" w:hAnsi="Palatino Linotype"/>
        </w:rPr>
        <w:t>en el artículo 179, fracción I, V y IX de la Ley de Transparencia y Acceso a la Información Pública del Estado de México y Municipios.</w:t>
      </w:r>
    </w:p>
    <w:p w14:paraId="3D017C6A" w14:textId="77777777" w:rsidR="00636E63" w:rsidRPr="00B6547E" w:rsidRDefault="00636E63" w:rsidP="00636E63">
      <w:pPr>
        <w:pStyle w:val="Prrafodelista"/>
        <w:tabs>
          <w:tab w:val="left" w:pos="426"/>
        </w:tabs>
        <w:spacing w:line="360" w:lineRule="auto"/>
        <w:ind w:left="0" w:right="49"/>
        <w:jc w:val="both"/>
        <w:rPr>
          <w:rFonts w:ascii="Palatino Linotype" w:hAnsi="Palatino Linotype" w:cs="Arial"/>
          <w:color w:val="000000" w:themeColor="text1"/>
        </w:rPr>
      </w:pPr>
    </w:p>
    <w:p w14:paraId="619D21FA" w14:textId="77777777" w:rsidR="00636E63" w:rsidRPr="00B6547E" w:rsidRDefault="00636E63" w:rsidP="00636E63">
      <w:pPr>
        <w:pStyle w:val="Ttulo1"/>
        <w:spacing w:before="0" w:after="240" w:line="360" w:lineRule="auto"/>
        <w:rPr>
          <w:rFonts w:eastAsia="MS Gothic"/>
          <w:b/>
          <w:szCs w:val="24"/>
          <w:lang w:val="es-ES_tradnl"/>
        </w:rPr>
      </w:pPr>
      <w:bookmarkStart w:id="22" w:name="_Toc65713733"/>
      <w:bookmarkStart w:id="23" w:name="_Toc94119615"/>
      <w:r w:rsidRPr="00B6547E">
        <w:rPr>
          <w:rFonts w:eastAsia="MS Gothic"/>
          <w:b/>
          <w:szCs w:val="24"/>
          <w:lang w:val="es-ES_tradnl"/>
        </w:rPr>
        <w:lastRenderedPageBreak/>
        <w:t>CUARTO. Del estudio y resolución del recurso de revisión.</w:t>
      </w:r>
      <w:bookmarkEnd w:id="22"/>
      <w:bookmarkEnd w:id="23"/>
    </w:p>
    <w:p w14:paraId="7E01EC30" w14:textId="5BF4F773" w:rsidR="00636E63" w:rsidRPr="00B6547E" w:rsidRDefault="00636E63" w:rsidP="00636E63">
      <w:pPr>
        <w:pStyle w:val="Ttulo1"/>
        <w:numPr>
          <w:ilvl w:val="0"/>
          <w:numId w:val="13"/>
        </w:numPr>
        <w:spacing w:before="0" w:after="240" w:line="360" w:lineRule="auto"/>
        <w:rPr>
          <w:rFonts w:eastAsia="MS Gothic"/>
          <w:b/>
          <w:lang w:val="es-ES_tradnl" w:eastAsia="es-ES"/>
        </w:rPr>
      </w:pPr>
      <w:bookmarkStart w:id="24" w:name="_Toc498528948"/>
      <w:bookmarkStart w:id="25" w:name="_Toc71234379"/>
      <w:bookmarkStart w:id="26" w:name="_Toc71239557"/>
      <w:bookmarkStart w:id="27" w:name="_Toc80812776"/>
      <w:bookmarkStart w:id="28" w:name="_Toc83301639"/>
      <w:bookmarkStart w:id="29" w:name="_Toc94119616"/>
      <w:r w:rsidRPr="00B6547E">
        <w:rPr>
          <w:rFonts w:eastAsia="MS Gothic"/>
          <w:b/>
          <w:lang w:val="es-ES_tradnl" w:eastAsia="es-ES"/>
        </w:rPr>
        <w:t>De</w:t>
      </w:r>
      <w:bookmarkEnd w:id="24"/>
      <w:r w:rsidRPr="00B6547E">
        <w:rPr>
          <w:rFonts w:eastAsia="MS Gothic"/>
          <w:b/>
          <w:lang w:val="es-ES_tradnl" w:eastAsia="es-ES"/>
        </w:rPr>
        <w:t>l derecho de acceso a la información.</w:t>
      </w:r>
      <w:bookmarkEnd w:id="25"/>
      <w:bookmarkEnd w:id="26"/>
      <w:bookmarkEnd w:id="27"/>
      <w:bookmarkEnd w:id="28"/>
      <w:bookmarkEnd w:id="29"/>
    </w:p>
    <w:p w14:paraId="568CE66B" w14:textId="77777777" w:rsidR="00636E63" w:rsidRPr="00B6547E" w:rsidRDefault="00636E63" w:rsidP="00636E6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 xml:space="preserve">El </w:t>
      </w:r>
      <w:r w:rsidRPr="00B6547E">
        <w:rPr>
          <w:rFonts w:ascii="Palatino Linotype" w:hAnsi="Palatino Linotype" w:cs="Arial"/>
          <w:color w:val="000000"/>
          <w:lang w:val="es-ES_tradnl"/>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560200DC" w14:textId="77777777" w:rsidR="00636E63" w:rsidRPr="00B6547E" w:rsidRDefault="00636E63" w:rsidP="005E5EAA">
      <w:pPr>
        <w:pStyle w:val="Prrafodelista"/>
        <w:tabs>
          <w:tab w:val="left" w:pos="426"/>
        </w:tabs>
        <w:spacing w:line="360" w:lineRule="auto"/>
        <w:ind w:left="0" w:right="49"/>
        <w:jc w:val="both"/>
        <w:rPr>
          <w:rFonts w:ascii="Palatino Linotype" w:hAnsi="Palatino Linotype" w:cs="Arial"/>
          <w:color w:val="000000" w:themeColor="text1"/>
        </w:rPr>
      </w:pPr>
    </w:p>
    <w:p w14:paraId="09A9943B" w14:textId="77777777" w:rsidR="005E5EAA" w:rsidRPr="00B6547E"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lang w:val="es-ES_tradnl"/>
        </w:rPr>
        <w:t xml:space="preserve">Definiendo el Derecho de Acceso a la Información Pública como: </w:t>
      </w:r>
      <w:r w:rsidRPr="00B6547E">
        <w:rPr>
          <w:rFonts w:ascii="Palatino Linotype" w:hAnsi="Palatino Linotype"/>
          <w:i/>
          <w:color w:val="000000"/>
          <w:lang w:val="es-ES_tradnl"/>
        </w:rPr>
        <w:t>La igualdad de oportunidades para recibir, buscar e impartir información</w:t>
      </w:r>
      <w:r w:rsidRPr="00B6547E">
        <w:rPr>
          <w:vertAlign w:val="superscript"/>
          <w:lang w:val="es-ES_tradnl"/>
        </w:rPr>
        <w:footnoteReference w:id="4"/>
      </w:r>
      <w:r w:rsidRPr="00B6547E">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6547E">
        <w:rPr>
          <w:vertAlign w:val="superscript"/>
          <w:lang w:val="es-ES_tradnl"/>
        </w:rPr>
        <w:footnoteReference w:id="5"/>
      </w:r>
      <w:r w:rsidRPr="00B6547E">
        <w:rPr>
          <w:rFonts w:ascii="Palatino Linotype" w:hAnsi="Palatino Linotype"/>
          <w:color w:val="000000"/>
          <w:lang w:val="es-ES_tradnl"/>
        </w:rPr>
        <w:t>que se constituye como una herramienta fundamental para ejercer</w:t>
      </w:r>
      <w:r w:rsidRPr="00B6547E">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B6547E">
        <w:rPr>
          <w:vertAlign w:val="superscript"/>
          <w:lang w:val="es-ES_tradnl"/>
        </w:rPr>
        <w:footnoteReference w:id="6"/>
      </w:r>
      <w:r w:rsidRPr="00B6547E">
        <w:rPr>
          <w:rFonts w:ascii="Palatino Linotype" w:hAnsi="Palatino Linotype"/>
          <w:color w:val="000000"/>
          <w:lang w:val="es-ES_tradnl"/>
        </w:rPr>
        <w:t>fomentando</w:t>
      </w:r>
      <w:r w:rsidRPr="00B6547E">
        <w:rPr>
          <w:rFonts w:ascii="Palatino Linotype" w:hAnsi="Palatino Linotype"/>
          <w:i/>
          <w:color w:val="000000"/>
          <w:lang w:val="es-ES_tradnl"/>
        </w:rPr>
        <w:t xml:space="preserve"> la transparencia de las actividades estatales y </w:t>
      </w:r>
      <w:r w:rsidRPr="00B6547E">
        <w:rPr>
          <w:rFonts w:ascii="Palatino Linotype" w:hAnsi="Palatino Linotype"/>
          <w:color w:val="000000"/>
          <w:lang w:val="es-ES_tradnl"/>
        </w:rPr>
        <w:t>promoviendo</w:t>
      </w:r>
      <w:r w:rsidRPr="00B6547E">
        <w:rPr>
          <w:rFonts w:ascii="Palatino Linotype" w:hAnsi="Palatino Linotype"/>
          <w:i/>
          <w:color w:val="000000"/>
          <w:lang w:val="es-ES_tradnl"/>
        </w:rPr>
        <w:t xml:space="preserve"> la responsabilidad de los funcionarios sobre su gestión pública,</w:t>
      </w:r>
      <w:r w:rsidRPr="00B6547E">
        <w:rPr>
          <w:vertAlign w:val="superscript"/>
          <w:lang w:val="es-ES_tradnl"/>
        </w:rPr>
        <w:footnoteReference w:id="7"/>
      </w:r>
      <w:r w:rsidRPr="00B6547E">
        <w:rPr>
          <w:rFonts w:ascii="Palatino Linotype" w:hAnsi="Palatino Linotype"/>
          <w:color w:val="000000"/>
          <w:lang w:val="es-ES_tradnl"/>
        </w:rPr>
        <w:t>que permite</w:t>
      </w:r>
      <w:r w:rsidRPr="00B6547E">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59D98774" w14:textId="77777777" w:rsidR="005E5EAA" w:rsidRPr="00B6547E" w:rsidRDefault="005E5EAA" w:rsidP="005E5EAA">
      <w:pPr>
        <w:rPr>
          <w:rFonts w:ascii="Palatino Linotype" w:hAnsi="Palatino Linotype"/>
          <w:lang w:val="es-ES_tradnl"/>
        </w:rPr>
      </w:pPr>
    </w:p>
    <w:p w14:paraId="1E2219AB" w14:textId="77777777" w:rsidR="005E5EAA" w:rsidRPr="00B6547E"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lang w:val="es-ES_tradnl"/>
        </w:rPr>
        <w:lastRenderedPageBreak/>
        <w:t>En México, además de los derechos, están reconocidas las garantías para su protección, en ese sentido el párrafo tercero de artículo primero de la Constitución Política de los Estados Unidos Mexicanos dispone lo siguiente:</w:t>
      </w:r>
    </w:p>
    <w:p w14:paraId="26B8EEF1" w14:textId="77777777" w:rsidR="005E5EAA" w:rsidRPr="00B6547E" w:rsidRDefault="005E5EAA" w:rsidP="005E5EAA">
      <w:pPr>
        <w:pStyle w:val="Prrafodelista"/>
        <w:rPr>
          <w:rFonts w:ascii="Palatino Linotype" w:hAnsi="Palatino Linotype"/>
          <w:i/>
          <w:sz w:val="22"/>
          <w:lang w:val="es-ES_tradnl"/>
        </w:rPr>
      </w:pPr>
    </w:p>
    <w:p w14:paraId="6617313F" w14:textId="77777777" w:rsidR="005E5EAA" w:rsidRPr="00B6547E" w:rsidRDefault="005E5EAA" w:rsidP="005E5EAA">
      <w:pPr>
        <w:pStyle w:val="Prrafodelista"/>
        <w:tabs>
          <w:tab w:val="left" w:pos="426"/>
        </w:tabs>
        <w:ind w:left="567" w:right="616"/>
        <w:jc w:val="both"/>
        <w:rPr>
          <w:rFonts w:ascii="Palatino Linotype" w:hAnsi="Palatino Linotype"/>
          <w:b/>
          <w:i/>
          <w:sz w:val="22"/>
          <w:lang w:val="es-ES_tradnl"/>
        </w:rPr>
      </w:pPr>
      <w:r w:rsidRPr="00B6547E">
        <w:rPr>
          <w:rFonts w:ascii="Palatino Linotype" w:hAnsi="Palatino Linotype"/>
          <w:i/>
          <w:sz w:val="22"/>
          <w:lang w:val="es-ES_tradnl"/>
        </w:rPr>
        <w:t>“</w:t>
      </w:r>
      <w:r w:rsidRPr="00B6547E">
        <w:rPr>
          <w:rFonts w:ascii="Palatino Linotype" w:hAnsi="Palatino Linotype"/>
          <w:b/>
          <w:i/>
          <w:sz w:val="22"/>
          <w:lang w:val="es-ES_tradnl"/>
        </w:rPr>
        <w:t>Artículo 1.-</w:t>
      </w:r>
    </w:p>
    <w:p w14:paraId="1A1E2F89" w14:textId="77777777" w:rsidR="005E5EAA" w:rsidRPr="00B6547E" w:rsidRDefault="005E5EAA" w:rsidP="005E5EAA">
      <w:pPr>
        <w:pStyle w:val="Prrafodelista"/>
        <w:tabs>
          <w:tab w:val="left" w:pos="426"/>
        </w:tabs>
        <w:ind w:left="567" w:right="616"/>
        <w:jc w:val="both"/>
        <w:rPr>
          <w:rFonts w:ascii="Palatino Linotype" w:hAnsi="Palatino Linotype"/>
          <w:i/>
          <w:sz w:val="22"/>
          <w:lang w:val="es-ES_tradnl"/>
        </w:rPr>
      </w:pPr>
      <w:r w:rsidRPr="00B6547E">
        <w:rPr>
          <w:rFonts w:ascii="Palatino Linotype" w:hAnsi="Palatino Linotype"/>
          <w:i/>
          <w:sz w:val="22"/>
          <w:lang w:val="es-ES_tradnl"/>
        </w:rPr>
        <w:t xml:space="preserve"> (…) </w:t>
      </w:r>
    </w:p>
    <w:p w14:paraId="411F8F3F" w14:textId="77777777" w:rsidR="005E5EAA" w:rsidRPr="00B6547E" w:rsidRDefault="005E5EAA" w:rsidP="005E5EAA">
      <w:pPr>
        <w:pStyle w:val="Prrafodelista"/>
        <w:tabs>
          <w:tab w:val="left" w:pos="426"/>
        </w:tabs>
        <w:ind w:left="567" w:right="616"/>
        <w:jc w:val="both"/>
        <w:rPr>
          <w:rFonts w:ascii="Palatino Linotype" w:hAnsi="Palatino Linotype"/>
          <w:i/>
          <w:sz w:val="22"/>
        </w:rPr>
      </w:pPr>
      <w:r w:rsidRPr="00B6547E">
        <w:rPr>
          <w:rFonts w:ascii="Palatino Linotype" w:hAnsi="Palatino Linotype"/>
          <w:i/>
          <w:sz w:val="22"/>
          <w:lang w:val="es-ES_tradnl"/>
        </w:rPr>
        <w:t>Todas las</w:t>
      </w:r>
      <w:r w:rsidRPr="00B6547E">
        <w:rPr>
          <w:rFonts w:ascii="Palatino Linotype" w:hAnsi="Palatino Linotype"/>
          <w:sz w:val="22"/>
          <w:lang w:val="es-ES_tradnl"/>
        </w:rPr>
        <w:t xml:space="preserve"> </w:t>
      </w:r>
      <w:r w:rsidRPr="00B6547E">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p>
    <w:p w14:paraId="05B15A49" w14:textId="72C74777" w:rsidR="005E5EAA" w:rsidRPr="00B6547E" w:rsidRDefault="005E5EAA" w:rsidP="005E5EAA">
      <w:pPr>
        <w:pStyle w:val="Prrafodelista"/>
        <w:tabs>
          <w:tab w:val="left" w:pos="426"/>
        </w:tabs>
        <w:ind w:left="567" w:right="616"/>
        <w:jc w:val="both"/>
        <w:rPr>
          <w:rFonts w:ascii="Palatino Linotype" w:hAnsi="Palatino Linotype" w:cs="Arial"/>
          <w:color w:val="000000" w:themeColor="text1"/>
        </w:rPr>
      </w:pPr>
      <w:r w:rsidRPr="00B6547E">
        <w:rPr>
          <w:rFonts w:ascii="Palatino Linotype" w:hAnsi="Palatino Linotype"/>
          <w:i/>
          <w:sz w:val="22"/>
        </w:rPr>
        <w:t>(…)</w:t>
      </w:r>
      <w:r w:rsidRPr="00B6547E">
        <w:rPr>
          <w:rFonts w:ascii="Palatino Linotype" w:hAnsi="Palatino Linotype"/>
          <w:sz w:val="22"/>
          <w:lang w:val="es-ES_tradnl"/>
        </w:rPr>
        <w:t>”.</w:t>
      </w:r>
    </w:p>
    <w:p w14:paraId="1D43A4A1" w14:textId="77777777" w:rsidR="005E5EAA" w:rsidRPr="00B6547E" w:rsidRDefault="005E5EAA" w:rsidP="005E5EAA">
      <w:pPr>
        <w:pStyle w:val="Prrafodelista"/>
        <w:tabs>
          <w:tab w:val="left" w:pos="426"/>
        </w:tabs>
        <w:spacing w:line="360" w:lineRule="auto"/>
        <w:ind w:left="0" w:right="49"/>
        <w:jc w:val="both"/>
        <w:rPr>
          <w:rFonts w:ascii="Palatino Linotype" w:hAnsi="Palatino Linotype" w:cs="Arial"/>
          <w:color w:val="000000" w:themeColor="text1"/>
        </w:rPr>
      </w:pPr>
    </w:p>
    <w:p w14:paraId="68E55B18" w14:textId="77777777" w:rsidR="005E5EAA" w:rsidRPr="00B6547E"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986F75F" w14:textId="77777777" w:rsidR="005E5EAA" w:rsidRPr="00B6547E" w:rsidRDefault="005E5EAA" w:rsidP="005E5EAA">
      <w:pPr>
        <w:pStyle w:val="Prrafodelista"/>
        <w:tabs>
          <w:tab w:val="left" w:pos="426"/>
        </w:tabs>
        <w:spacing w:line="360" w:lineRule="auto"/>
        <w:ind w:left="0" w:right="49"/>
        <w:jc w:val="both"/>
        <w:rPr>
          <w:rFonts w:ascii="Palatino Linotype" w:hAnsi="Palatino Linotype" w:cs="Arial"/>
          <w:color w:val="000000" w:themeColor="text1"/>
        </w:rPr>
      </w:pPr>
    </w:p>
    <w:p w14:paraId="2161BB52" w14:textId="77777777" w:rsidR="005E5EAA" w:rsidRPr="00B6547E"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lang w:val="es-ES_tradnl"/>
        </w:rPr>
        <w:t xml:space="preserve">Así, conforme a la Constitución Política de las Estado Unidos Mexicanos </w:t>
      </w:r>
      <w:r w:rsidRPr="00B6547E">
        <w:rPr>
          <w:rFonts w:ascii="Palatino Linotype" w:eastAsia="Calibri" w:hAnsi="Palatino Linotype"/>
          <w:lang w:val="es-ES_tradnl"/>
        </w:rPr>
        <w:t>y la Constitución Política del Estado Libre y Soberano de México respectivamente</w:t>
      </w:r>
      <w:r w:rsidRPr="00B6547E">
        <w:rPr>
          <w:rFonts w:ascii="Palatino Linotype"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3B7E0F2" w14:textId="77777777" w:rsidR="005E5EAA" w:rsidRPr="00B6547E" w:rsidRDefault="005E5EAA" w:rsidP="005E5EAA">
      <w:pPr>
        <w:rPr>
          <w:rFonts w:ascii="Palatino Linotype" w:hAnsi="Palatino Linotype" w:cs="Arial"/>
          <w:lang w:val="es-ES_tradnl"/>
        </w:rPr>
      </w:pPr>
    </w:p>
    <w:p w14:paraId="2F56745C" w14:textId="77777777" w:rsidR="005E5EAA" w:rsidRPr="00B6547E" w:rsidRDefault="005E5EAA" w:rsidP="005E5EAA">
      <w:pPr>
        <w:spacing w:before="240" w:after="240"/>
        <w:ind w:left="567" w:right="567"/>
        <w:jc w:val="center"/>
        <w:rPr>
          <w:rFonts w:ascii="Palatino Linotype" w:hAnsi="Palatino Linotype" w:cs="Arial"/>
          <w:b/>
          <w:bCs/>
          <w:i/>
          <w:sz w:val="22"/>
          <w:lang w:val="es-ES_tradnl"/>
        </w:rPr>
      </w:pPr>
      <w:r w:rsidRPr="00B6547E">
        <w:rPr>
          <w:rFonts w:ascii="Palatino Linotype" w:hAnsi="Palatino Linotype" w:cs="Arial"/>
          <w:b/>
          <w:bCs/>
          <w:i/>
          <w:sz w:val="22"/>
          <w:lang w:val="es-ES_tradnl"/>
        </w:rPr>
        <w:t>Constitución Política de los Estados Unidos Mexicanos</w:t>
      </w:r>
    </w:p>
    <w:p w14:paraId="22BAAEE9" w14:textId="77777777" w:rsidR="005E5EAA" w:rsidRPr="00B6547E" w:rsidRDefault="005E5EAA" w:rsidP="005E5EAA">
      <w:pPr>
        <w:spacing w:before="240" w:after="240"/>
        <w:ind w:left="567" w:right="567"/>
        <w:jc w:val="both"/>
        <w:rPr>
          <w:rFonts w:ascii="Palatino Linotype" w:hAnsi="Palatino Linotype" w:cs="Arial"/>
          <w:b/>
          <w:bCs/>
          <w:i/>
          <w:sz w:val="22"/>
          <w:lang w:val="es-ES_tradnl"/>
        </w:rPr>
      </w:pPr>
      <w:r w:rsidRPr="00B6547E">
        <w:rPr>
          <w:rFonts w:ascii="Palatino Linotype" w:hAnsi="Palatino Linotype" w:cs="Arial"/>
          <w:b/>
          <w:bCs/>
          <w:i/>
          <w:sz w:val="22"/>
          <w:lang w:val="es-ES_tradnl"/>
        </w:rPr>
        <w:t>“Artículo 6.</w:t>
      </w:r>
    </w:p>
    <w:p w14:paraId="6ED4F10A" w14:textId="77777777" w:rsidR="005E5EAA" w:rsidRPr="00B6547E" w:rsidRDefault="005E5EAA" w:rsidP="005E5EAA">
      <w:pPr>
        <w:spacing w:before="240" w:after="240"/>
        <w:ind w:left="567" w:right="567"/>
        <w:jc w:val="both"/>
        <w:rPr>
          <w:rFonts w:ascii="Palatino Linotype" w:hAnsi="Palatino Linotype" w:cs="Arial"/>
          <w:bCs/>
          <w:i/>
          <w:sz w:val="22"/>
          <w:lang w:val="es-ES_tradnl"/>
        </w:rPr>
      </w:pPr>
      <w:r w:rsidRPr="00B6547E">
        <w:rPr>
          <w:rFonts w:ascii="Palatino Linotype" w:hAnsi="Palatino Linotype" w:cs="Arial"/>
          <w:bCs/>
          <w:i/>
          <w:sz w:val="22"/>
          <w:lang w:val="es-ES_tradnl"/>
        </w:rPr>
        <w:t>(…)</w:t>
      </w:r>
    </w:p>
    <w:p w14:paraId="7A300903" w14:textId="77777777" w:rsidR="005E5EAA" w:rsidRPr="00B6547E" w:rsidRDefault="005E5EAA" w:rsidP="005E5EAA">
      <w:pPr>
        <w:spacing w:before="240" w:after="240"/>
        <w:ind w:left="567" w:right="567"/>
        <w:jc w:val="both"/>
        <w:rPr>
          <w:rFonts w:ascii="Palatino Linotype" w:hAnsi="Palatino Linotype" w:cs="Arial"/>
          <w:bCs/>
          <w:i/>
          <w:sz w:val="22"/>
          <w:lang w:val="es-ES_tradnl"/>
        </w:rPr>
      </w:pPr>
      <w:r w:rsidRPr="00B6547E">
        <w:rPr>
          <w:rFonts w:ascii="Palatino Linotype" w:hAnsi="Palatino Linotype" w:cs="Arial"/>
          <w:bCs/>
          <w:i/>
          <w:sz w:val="22"/>
          <w:lang w:val="es-ES_tradnl"/>
        </w:rPr>
        <w:lastRenderedPageBreak/>
        <w:t>Para efectos de lo dispuesto en el presente artículo se observará lo siguiente:</w:t>
      </w:r>
    </w:p>
    <w:p w14:paraId="1FD6A603" w14:textId="77777777" w:rsidR="005E5EAA" w:rsidRPr="00B6547E" w:rsidRDefault="005E5EAA" w:rsidP="005E5EAA">
      <w:pPr>
        <w:spacing w:before="240" w:after="240"/>
        <w:ind w:left="567" w:right="567"/>
        <w:jc w:val="both"/>
        <w:rPr>
          <w:rFonts w:ascii="Palatino Linotype" w:hAnsi="Palatino Linotype" w:cs="Arial"/>
          <w:b/>
          <w:bCs/>
          <w:i/>
          <w:sz w:val="22"/>
          <w:lang w:val="es-ES_tradnl"/>
        </w:rPr>
      </w:pPr>
      <w:r w:rsidRPr="00B6547E">
        <w:rPr>
          <w:rFonts w:ascii="Palatino Linotype" w:hAnsi="Palatino Linotype" w:cs="Arial"/>
          <w:b/>
          <w:bCs/>
          <w:i/>
          <w:sz w:val="22"/>
          <w:lang w:val="es-ES_tradnl"/>
        </w:rPr>
        <w:t>A</w:t>
      </w:r>
      <w:r w:rsidRPr="00B6547E">
        <w:rPr>
          <w:rFonts w:ascii="Palatino Linotype" w:hAnsi="Palatino Linotype" w:cs="Arial"/>
          <w:bCs/>
          <w:i/>
          <w:sz w:val="22"/>
          <w:lang w:val="es-ES_tradnl"/>
        </w:rPr>
        <w:t xml:space="preserve">. </w:t>
      </w:r>
      <w:r w:rsidRPr="00B6547E">
        <w:rPr>
          <w:rFonts w:ascii="Palatino Linotype" w:hAnsi="Palatino Linotype" w:cs="Arial"/>
          <w:b/>
          <w:bCs/>
          <w:i/>
          <w:sz w:val="22"/>
          <w:lang w:val="es-ES_tradnl"/>
        </w:rPr>
        <w:t>Para el ejercicio del derecho de acceso a la información</w:t>
      </w:r>
      <w:r w:rsidRPr="00B6547E">
        <w:rPr>
          <w:rFonts w:ascii="Palatino Linotype" w:hAnsi="Palatino Linotype" w:cs="Arial"/>
          <w:bCs/>
          <w:i/>
          <w:sz w:val="22"/>
          <w:lang w:val="es-ES_tradnl"/>
        </w:rPr>
        <w:t xml:space="preserve">, la Federación y </w:t>
      </w:r>
      <w:r w:rsidRPr="00B6547E">
        <w:rPr>
          <w:rFonts w:ascii="Palatino Linotype" w:hAnsi="Palatino Linotype" w:cs="Arial"/>
          <w:b/>
          <w:bCs/>
          <w:i/>
          <w:sz w:val="22"/>
          <w:lang w:val="es-ES_tradnl"/>
        </w:rPr>
        <w:t>las entidades federativas, en el ámbito de sus respectivas competencias, se regirán por los siguientes principios y bases:</w:t>
      </w:r>
    </w:p>
    <w:p w14:paraId="08AB868D" w14:textId="77777777" w:rsidR="005E5EAA" w:rsidRPr="00B6547E" w:rsidRDefault="005E5EAA" w:rsidP="005E5EAA">
      <w:pPr>
        <w:spacing w:before="240" w:after="240"/>
        <w:ind w:left="567" w:right="567"/>
        <w:jc w:val="both"/>
        <w:rPr>
          <w:rFonts w:ascii="Palatino Linotype" w:hAnsi="Palatino Linotype" w:cs="Arial"/>
          <w:bCs/>
          <w:i/>
          <w:sz w:val="22"/>
          <w:lang w:val="es-ES_tradnl"/>
        </w:rPr>
      </w:pPr>
      <w:r w:rsidRPr="00B6547E">
        <w:rPr>
          <w:rFonts w:ascii="Palatino Linotype" w:hAnsi="Palatino Linotype" w:cs="Arial"/>
          <w:b/>
          <w:bCs/>
          <w:i/>
          <w:sz w:val="22"/>
          <w:lang w:val="es-ES_tradnl"/>
        </w:rPr>
        <w:t xml:space="preserve">I. </w:t>
      </w:r>
      <w:r w:rsidRPr="00B6547E">
        <w:rPr>
          <w:rFonts w:ascii="Palatino Linotype" w:hAnsi="Palatino Linotype" w:cs="Arial"/>
          <w:b/>
          <w:bCs/>
          <w:i/>
          <w:sz w:val="22"/>
          <w:lang w:val="es-ES_tradnl"/>
        </w:rPr>
        <w:tab/>
        <w:t>Toda la información en posesión de cualquier</w:t>
      </w:r>
      <w:r w:rsidRPr="00B6547E">
        <w:rPr>
          <w:rFonts w:ascii="Palatino Linotype" w:hAnsi="Palatino Linotype" w:cs="Arial"/>
          <w:bCs/>
          <w:i/>
          <w:sz w:val="22"/>
          <w:lang w:val="es-ES_tradnl"/>
        </w:rPr>
        <w:t xml:space="preserve"> </w:t>
      </w:r>
      <w:r w:rsidRPr="00B6547E">
        <w:rPr>
          <w:rFonts w:ascii="Palatino Linotype" w:hAnsi="Palatino Linotype" w:cs="Arial"/>
          <w:b/>
          <w:bCs/>
          <w:i/>
          <w:sz w:val="22"/>
          <w:lang w:val="es-ES_tradnl"/>
        </w:rPr>
        <w:t>autoridad</w:t>
      </w:r>
      <w:r w:rsidRPr="00B6547E">
        <w:rPr>
          <w:rFonts w:ascii="Palatino Linotype"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6547E">
        <w:rPr>
          <w:rFonts w:ascii="Palatino Linotype" w:hAnsi="Palatino Linotype" w:cs="Arial"/>
          <w:b/>
          <w:bCs/>
          <w:i/>
          <w:sz w:val="22"/>
          <w:lang w:val="es-ES_tradnl"/>
        </w:rPr>
        <w:t>municipal</w:t>
      </w:r>
      <w:r w:rsidRPr="00B6547E">
        <w:rPr>
          <w:rFonts w:ascii="Palatino Linotype" w:hAnsi="Palatino Linotype" w:cs="Arial"/>
          <w:bCs/>
          <w:i/>
          <w:sz w:val="22"/>
          <w:lang w:val="es-ES_tradnl"/>
        </w:rPr>
        <w:t xml:space="preserve">, </w:t>
      </w:r>
      <w:r w:rsidRPr="00B6547E">
        <w:rPr>
          <w:rFonts w:ascii="Palatino Linotype" w:hAnsi="Palatino Linotype" w:cs="Arial"/>
          <w:b/>
          <w:bCs/>
          <w:i/>
          <w:sz w:val="22"/>
          <w:lang w:val="es-ES_tradnl"/>
        </w:rPr>
        <w:t>es pública</w:t>
      </w:r>
      <w:r w:rsidRPr="00B6547E">
        <w:rPr>
          <w:rFonts w:ascii="Palatino Linotype" w:hAnsi="Palatino Linotype" w:cs="Arial"/>
          <w:bCs/>
          <w:i/>
          <w:sz w:val="22"/>
          <w:lang w:val="es-ES_tradnl"/>
        </w:rPr>
        <w:t xml:space="preserve"> y sólo podrá ser reservada temporalmente por razones de interés público y seguridad nacional, en los términos que fijen las leyes. </w:t>
      </w:r>
      <w:r w:rsidRPr="00B6547E">
        <w:rPr>
          <w:rFonts w:ascii="Palatino Linotype"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B6547E">
        <w:rPr>
          <w:rFonts w:ascii="Palatino Linotype" w:hAnsi="Palatino Linotype" w:cs="Arial"/>
          <w:bCs/>
          <w:i/>
          <w:sz w:val="22"/>
          <w:lang w:val="es-ES_tradnl"/>
        </w:rPr>
        <w:t>, la ley determinará los supuestos específicos bajo los cuales procederá la declaración de inexistencia de la información.”</w:t>
      </w:r>
    </w:p>
    <w:p w14:paraId="3755914F" w14:textId="77777777" w:rsidR="005E5EAA" w:rsidRPr="00B6547E" w:rsidRDefault="005E5EAA" w:rsidP="005E5EAA">
      <w:pPr>
        <w:pStyle w:val="Prrafodelista"/>
        <w:tabs>
          <w:tab w:val="left" w:pos="567"/>
        </w:tabs>
        <w:spacing w:before="240" w:after="240"/>
        <w:ind w:left="567" w:right="567"/>
        <w:jc w:val="both"/>
        <w:rPr>
          <w:rFonts w:ascii="Palatino Linotype" w:hAnsi="Palatino Linotype" w:cs="Arial"/>
          <w:b/>
          <w:bCs/>
          <w:i/>
        </w:rPr>
      </w:pPr>
    </w:p>
    <w:p w14:paraId="68B4657A" w14:textId="77777777" w:rsidR="005E5EAA" w:rsidRPr="00B6547E" w:rsidRDefault="005E5EAA" w:rsidP="005E5EAA">
      <w:pPr>
        <w:spacing w:before="240" w:after="240"/>
        <w:ind w:left="567" w:right="567"/>
        <w:jc w:val="center"/>
        <w:rPr>
          <w:rFonts w:ascii="Palatino Linotype" w:hAnsi="Palatino Linotype" w:cs="Arial"/>
          <w:b/>
          <w:bCs/>
          <w:i/>
          <w:sz w:val="22"/>
          <w:lang w:val="es-ES_tradnl"/>
        </w:rPr>
      </w:pPr>
      <w:r w:rsidRPr="00B6547E">
        <w:rPr>
          <w:rFonts w:ascii="Palatino Linotype" w:hAnsi="Palatino Linotype" w:cs="Arial"/>
          <w:b/>
          <w:bCs/>
          <w:i/>
          <w:sz w:val="22"/>
          <w:lang w:val="es-ES_tradnl"/>
        </w:rPr>
        <w:t>Constitución Política del Estado Libre y Soberano de México</w:t>
      </w:r>
    </w:p>
    <w:p w14:paraId="6BA5FB18" w14:textId="77777777" w:rsidR="005E5EAA" w:rsidRPr="00B6547E" w:rsidRDefault="005E5EAA" w:rsidP="005E5EAA">
      <w:pPr>
        <w:spacing w:before="240" w:after="240"/>
        <w:ind w:left="567" w:right="567"/>
        <w:jc w:val="both"/>
        <w:rPr>
          <w:rFonts w:ascii="Palatino Linotype" w:hAnsi="Palatino Linotype" w:cs="Arial"/>
          <w:bCs/>
          <w:i/>
          <w:sz w:val="22"/>
          <w:lang w:val="es-ES_tradnl"/>
        </w:rPr>
      </w:pPr>
      <w:r w:rsidRPr="00B6547E">
        <w:rPr>
          <w:rFonts w:ascii="Palatino Linotype" w:hAnsi="Palatino Linotype" w:cs="Arial"/>
          <w:b/>
          <w:bCs/>
          <w:i/>
          <w:sz w:val="22"/>
          <w:lang w:val="es-ES_tradnl"/>
        </w:rPr>
        <w:t>“Artículo 5</w:t>
      </w:r>
      <w:r w:rsidRPr="00B6547E">
        <w:rPr>
          <w:rFonts w:ascii="Palatino Linotype" w:hAnsi="Palatino Linotype" w:cs="Arial"/>
          <w:bCs/>
          <w:i/>
          <w:sz w:val="22"/>
          <w:lang w:val="es-ES_tradnl"/>
        </w:rPr>
        <w:t xml:space="preserve">.- </w:t>
      </w:r>
    </w:p>
    <w:p w14:paraId="599EB8A2" w14:textId="77777777" w:rsidR="005E5EAA" w:rsidRPr="00B6547E" w:rsidRDefault="005E5EAA" w:rsidP="005E5EAA">
      <w:pPr>
        <w:spacing w:before="240" w:after="240"/>
        <w:ind w:left="567" w:right="567"/>
        <w:jc w:val="both"/>
        <w:rPr>
          <w:rFonts w:ascii="Palatino Linotype" w:hAnsi="Palatino Linotype" w:cs="Arial"/>
          <w:bCs/>
          <w:i/>
          <w:sz w:val="22"/>
          <w:lang w:val="es-ES_tradnl"/>
        </w:rPr>
      </w:pPr>
      <w:r w:rsidRPr="00B6547E">
        <w:rPr>
          <w:rFonts w:ascii="Palatino Linotype" w:hAnsi="Palatino Linotype" w:cs="Arial"/>
          <w:bCs/>
          <w:i/>
          <w:sz w:val="22"/>
          <w:lang w:val="es-ES_tradnl"/>
        </w:rPr>
        <w:t>(…)</w:t>
      </w:r>
    </w:p>
    <w:p w14:paraId="391E14DD" w14:textId="77777777" w:rsidR="005E5EAA" w:rsidRPr="00B6547E" w:rsidRDefault="005E5EAA" w:rsidP="005E5EAA">
      <w:pPr>
        <w:spacing w:before="240" w:after="240"/>
        <w:ind w:left="567" w:right="567"/>
        <w:jc w:val="both"/>
        <w:rPr>
          <w:rFonts w:ascii="Palatino Linotype" w:hAnsi="Palatino Linotype" w:cs="Arial"/>
          <w:bCs/>
          <w:i/>
          <w:sz w:val="22"/>
          <w:lang w:val="es-ES_tradnl"/>
        </w:rPr>
      </w:pPr>
      <w:r w:rsidRPr="00B6547E">
        <w:rPr>
          <w:rFonts w:ascii="Palatino Linotype" w:hAnsi="Palatino Linotype" w:cs="Arial"/>
          <w:b/>
          <w:bCs/>
          <w:i/>
          <w:sz w:val="22"/>
          <w:lang w:val="es-ES_tradnl"/>
        </w:rPr>
        <w:t>El derecho a la información será garantizado por el Estado. La ley establecerá las previsiones que permitan asegurar la protección, el respeto y la difusión de este derecho</w:t>
      </w:r>
      <w:r w:rsidRPr="00B6547E">
        <w:rPr>
          <w:rFonts w:ascii="Palatino Linotype" w:hAnsi="Palatino Linotype" w:cs="Arial"/>
          <w:bCs/>
          <w:i/>
          <w:sz w:val="22"/>
          <w:lang w:val="es-ES_tradnl"/>
        </w:rPr>
        <w:t>.</w:t>
      </w:r>
    </w:p>
    <w:p w14:paraId="52133F58" w14:textId="77777777" w:rsidR="005E5EAA" w:rsidRPr="00B6547E" w:rsidRDefault="005E5EAA" w:rsidP="005E5EAA">
      <w:pPr>
        <w:spacing w:before="240" w:after="240"/>
        <w:ind w:left="567" w:right="567"/>
        <w:jc w:val="both"/>
        <w:rPr>
          <w:rFonts w:ascii="Palatino Linotype" w:hAnsi="Palatino Linotype" w:cs="Arial"/>
          <w:bCs/>
          <w:i/>
          <w:sz w:val="22"/>
          <w:lang w:val="es-ES_tradnl"/>
        </w:rPr>
      </w:pPr>
      <w:r w:rsidRPr="00B6547E">
        <w:rPr>
          <w:rFonts w:ascii="Palatino Linotype"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77203BC" w14:textId="77777777" w:rsidR="005E5EAA" w:rsidRPr="00B6547E" w:rsidRDefault="005E5EAA" w:rsidP="005E5EAA">
      <w:pPr>
        <w:spacing w:before="240" w:after="240"/>
        <w:ind w:left="567" w:right="567"/>
        <w:jc w:val="both"/>
        <w:rPr>
          <w:rFonts w:ascii="Palatino Linotype" w:hAnsi="Palatino Linotype" w:cs="Arial"/>
          <w:bCs/>
          <w:i/>
          <w:sz w:val="22"/>
          <w:lang w:val="es-ES_tradnl"/>
        </w:rPr>
      </w:pPr>
      <w:r w:rsidRPr="00B6547E">
        <w:rPr>
          <w:rFonts w:ascii="Palatino Linotype" w:hAnsi="Palatino Linotype" w:cs="Arial"/>
          <w:b/>
          <w:bCs/>
          <w:i/>
          <w:sz w:val="22"/>
          <w:lang w:val="es-ES_tradnl"/>
        </w:rPr>
        <w:t>Este derecho se regirá por los principios y bases siguientes</w:t>
      </w:r>
      <w:r w:rsidRPr="00B6547E">
        <w:rPr>
          <w:rFonts w:ascii="Palatino Linotype" w:hAnsi="Palatino Linotype" w:cs="Arial"/>
          <w:bCs/>
          <w:i/>
          <w:sz w:val="22"/>
          <w:lang w:val="es-ES_tradnl"/>
        </w:rPr>
        <w:t>:</w:t>
      </w:r>
    </w:p>
    <w:p w14:paraId="4448C918" w14:textId="7C062B4B" w:rsidR="005E5EAA" w:rsidRPr="00B6547E" w:rsidRDefault="005E5EAA" w:rsidP="005E5EAA">
      <w:pPr>
        <w:ind w:left="567" w:right="567"/>
        <w:jc w:val="both"/>
        <w:rPr>
          <w:rFonts w:ascii="Palatino Linotype" w:hAnsi="Palatino Linotype" w:cs="Arial"/>
          <w:lang w:val="es-ES_tradnl"/>
        </w:rPr>
      </w:pPr>
      <w:r w:rsidRPr="00B6547E">
        <w:rPr>
          <w:rFonts w:ascii="Palatino Linotype" w:hAnsi="Palatino Linotype" w:cs="Arial"/>
          <w:b/>
          <w:bCs/>
          <w:i/>
          <w:sz w:val="22"/>
          <w:lang w:val="es-ES_tradnl"/>
        </w:rPr>
        <w:t>I. Toda la información en posesión de cualquier autoridad, entidad, órgano y organismos de los</w:t>
      </w:r>
      <w:r w:rsidRPr="00B6547E">
        <w:rPr>
          <w:rFonts w:ascii="Palatino Linotype" w:hAnsi="Palatino Linotype" w:cs="Arial"/>
          <w:bCs/>
          <w:i/>
          <w:sz w:val="22"/>
          <w:lang w:val="es-ES_tradnl"/>
        </w:rPr>
        <w:t xml:space="preserve"> Poderes Ejecutivo, Legislativo y Judicial, órganos autónomos, partidos políticos, fideicomisos y fondos públicos estatales y </w:t>
      </w:r>
      <w:r w:rsidRPr="00B6547E">
        <w:rPr>
          <w:rFonts w:ascii="Palatino Linotype" w:hAnsi="Palatino Linotype" w:cs="Arial"/>
          <w:b/>
          <w:bCs/>
          <w:i/>
          <w:sz w:val="22"/>
          <w:lang w:val="es-ES_tradnl"/>
        </w:rPr>
        <w:t>municipales</w:t>
      </w:r>
      <w:r w:rsidRPr="00B6547E">
        <w:rPr>
          <w:rFonts w:ascii="Palatino Linotype"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w:t>
      </w:r>
      <w:r w:rsidRPr="00B6547E">
        <w:rPr>
          <w:rFonts w:ascii="Palatino Linotype" w:hAnsi="Palatino Linotype" w:cs="Arial"/>
          <w:bCs/>
          <w:i/>
          <w:sz w:val="22"/>
          <w:lang w:val="es-ES_tradnl"/>
        </w:rPr>
        <w:lastRenderedPageBreak/>
        <w:t xml:space="preserve">recursos públicos o realice actos de autoridad en el ámbito estatal y municipal, </w:t>
      </w:r>
      <w:r w:rsidRPr="00B6547E">
        <w:rPr>
          <w:rFonts w:ascii="Palatino Linotype" w:hAnsi="Palatino Linotype" w:cs="Arial"/>
          <w:b/>
          <w:bCs/>
          <w:i/>
          <w:sz w:val="22"/>
          <w:lang w:val="es-ES_tradnl"/>
        </w:rPr>
        <w:t>es pública</w:t>
      </w:r>
      <w:r w:rsidRPr="00B6547E">
        <w:rPr>
          <w:rFonts w:ascii="Palatino Linotype"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B6547E">
        <w:rPr>
          <w:rFonts w:ascii="Palatino Linotype" w:hAnsi="Palatino Linotype" w:cs="Arial"/>
          <w:b/>
          <w:bCs/>
          <w:i/>
          <w:sz w:val="22"/>
          <w:lang w:val="es-ES_tradnl"/>
        </w:rPr>
        <w:t>En la interpretación de este derecho deberá prevalecer el principio de máxima publicidad</w:t>
      </w:r>
      <w:r w:rsidRPr="00B6547E">
        <w:rPr>
          <w:rFonts w:ascii="Palatino Linotype" w:hAnsi="Palatino Linotype" w:cs="Arial"/>
          <w:bCs/>
          <w:i/>
          <w:sz w:val="22"/>
          <w:lang w:val="es-ES_tradnl"/>
        </w:rPr>
        <w:t xml:space="preserve">. </w:t>
      </w:r>
      <w:r w:rsidRPr="00B6547E">
        <w:rPr>
          <w:rFonts w:ascii="Palatino Linotype" w:hAnsi="Palatino Linotype" w:cs="Arial"/>
          <w:b/>
          <w:bCs/>
          <w:i/>
          <w:sz w:val="22"/>
          <w:lang w:val="es-ES_tradnl"/>
        </w:rPr>
        <w:t>Los sujetos obligados deberán documentar todo acto que derive del ejercicio de sus facultades, competencias o funciones</w:t>
      </w:r>
      <w:r w:rsidRPr="00B6547E">
        <w:rPr>
          <w:rFonts w:ascii="Palatino Linotype" w:hAnsi="Palatino Linotype" w:cs="Arial"/>
          <w:bCs/>
          <w:i/>
          <w:sz w:val="22"/>
          <w:lang w:val="es-ES_tradnl"/>
        </w:rPr>
        <w:t>, la ley determinará los supuestos específicos bajo los cuales procederá la declaración de inexistencia de la información.”</w:t>
      </w:r>
    </w:p>
    <w:p w14:paraId="5CB61AE2" w14:textId="77777777" w:rsidR="005E5EAA" w:rsidRPr="00B6547E" w:rsidRDefault="005E5EAA" w:rsidP="005E5EAA">
      <w:pPr>
        <w:rPr>
          <w:rFonts w:ascii="Palatino Linotype" w:hAnsi="Palatino Linotype" w:cs="Arial"/>
          <w:lang w:val="es-ES_tradnl"/>
        </w:rPr>
      </w:pPr>
    </w:p>
    <w:p w14:paraId="63DB1326" w14:textId="0D9ACEF5" w:rsidR="005E5EAA" w:rsidRPr="00B6547E"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lang w:val="es-ES_tradnl"/>
        </w:rPr>
        <w:t xml:space="preserve">Según el artículo 150 de la Ley de Transparencia del Estado, la solicitud es la garantía primaria del Derecho de Acceso a la Información, además, establece que se regirá </w:t>
      </w:r>
      <w:r w:rsidRPr="00B6547E">
        <w:rPr>
          <w:rFonts w:ascii="Palatino Linotype" w:hAnsi="Palatino Linotype" w:cs="Arial"/>
          <w:i/>
          <w:lang w:val="es-ES_tradnl"/>
        </w:rPr>
        <w:t>por los principios de simplicidad, rapidez gratuidad del procedimiento, auxilio y orientación a los particulares</w:t>
      </w:r>
      <w:r w:rsidRPr="00B6547E">
        <w:rPr>
          <w:rFonts w:ascii="Palatino Linotype" w:hAnsi="Palatino Linotype" w:cs="Arial"/>
          <w:lang w:val="es-ES_tradnl"/>
        </w:rPr>
        <w:t>, contemplando el derecho de las personas con discapacidad y hablantes de lengua indígena.</w:t>
      </w:r>
    </w:p>
    <w:p w14:paraId="4697B612" w14:textId="77777777" w:rsidR="005E5EAA" w:rsidRPr="00B6547E"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lang w:val="es-ES_tradnl"/>
        </w:rPr>
        <w:t xml:space="preserve">El Derecho de Acceso a la Información se garantiza y respeta oportunamente, y según lo que dispone la Ley, las </w:t>
      </w:r>
      <w:r w:rsidRPr="00B6547E">
        <w:rPr>
          <w:rFonts w:ascii="Palatino Linotype" w:hAnsi="Palatino Linotype" w:cs="Arial"/>
          <w:i/>
          <w:lang w:val="es-ES_tradnl"/>
        </w:rPr>
        <w:t>solicitudes de acceso a la información</w:t>
      </w:r>
      <w:r w:rsidRPr="00B6547E">
        <w:rPr>
          <w:rFonts w:ascii="Palatino Linotype" w:hAnsi="Palatino Linotype" w:cs="Arial"/>
          <w:lang w:val="es-ES_tradnl"/>
        </w:rPr>
        <w:t>.</w:t>
      </w:r>
    </w:p>
    <w:p w14:paraId="78904429" w14:textId="77777777" w:rsidR="005E5EAA" w:rsidRPr="00B6547E" w:rsidRDefault="005E5EAA" w:rsidP="005E5EAA">
      <w:pPr>
        <w:jc w:val="both"/>
        <w:rPr>
          <w:rFonts w:ascii="Palatino Linotype" w:hAnsi="Palatino Linotype" w:cs="Arial"/>
          <w:lang w:val="es-ES_tradnl"/>
        </w:rPr>
      </w:pPr>
    </w:p>
    <w:p w14:paraId="62D41CE1" w14:textId="092DA79D" w:rsidR="003E6145" w:rsidRPr="00B6547E" w:rsidRDefault="00636E63"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lang w:val="es-ES_tradnl"/>
        </w:rPr>
        <w:t xml:space="preserve">Así entonces, se procede analizar, en primer lugar, si el </w:t>
      </w:r>
      <w:r w:rsidRPr="00B6547E">
        <w:rPr>
          <w:rFonts w:ascii="Palatino Linotype" w:hAnsi="Palatino Linotype" w:cs="Arial"/>
          <w:b/>
          <w:bCs/>
          <w:lang w:val="es-ES_tradnl"/>
        </w:rPr>
        <w:t>SUJETO OBLIGADO</w:t>
      </w:r>
      <w:r w:rsidRPr="00B6547E">
        <w:rPr>
          <w:rFonts w:ascii="Palatino Linotype" w:hAnsi="Palatino Linotype" w:cs="Arial"/>
          <w:lang w:val="es-ES_tradn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r w:rsidR="005E5EAA" w:rsidRPr="00B6547E">
        <w:rPr>
          <w:rFonts w:ascii="Palatino Linotype" w:hAnsi="Palatino Linotype" w:cs="Arial"/>
          <w:lang w:val="es-ES_tradnl"/>
        </w:rPr>
        <w:t>.</w:t>
      </w:r>
    </w:p>
    <w:p w14:paraId="45106F63" w14:textId="77777777" w:rsidR="005E5EAA" w:rsidRPr="00B6547E" w:rsidRDefault="005E5EAA" w:rsidP="005E5EAA">
      <w:pPr>
        <w:pStyle w:val="Prrafodelista"/>
        <w:tabs>
          <w:tab w:val="left" w:pos="426"/>
        </w:tabs>
        <w:spacing w:line="360" w:lineRule="auto"/>
        <w:ind w:left="0" w:right="49"/>
        <w:jc w:val="both"/>
        <w:rPr>
          <w:rFonts w:ascii="Palatino Linotype" w:hAnsi="Palatino Linotype" w:cs="Arial"/>
          <w:color w:val="000000" w:themeColor="text1"/>
        </w:rPr>
      </w:pPr>
    </w:p>
    <w:p w14:paraId="7C598163" w14:textId="756FBC82" w:rsidR="005E5EAA" w:rsidRPr="00B6547E" w:rsidRDefault="005E5EAA" w:rsidP="005E5EAA">
      <w:pPr>
        <w:pStyle w:val="Ttulo1"/>
        <w:spacing w:before="0" w:after="240" w:line="360" w:lineRule="auto"/>
        <w:rPr>
          <w:b/>
          <w:szCs w:val="24"/>
        </w:rPr>
      </w:pPr>
      <w:bookmarkStart w:id="30" w:name="_Toc83301641"/>
      <w:bookmarkStart w:id="31" w:name="_Toc94119617"/>
      <w:r w:rsidRPr="00B6547E">
        <w:rPr>
          <w:b/>
          <w:szCs w:val="24"/>
        </w:rPr>
        <w:t>II. De la información solicitada</w:t>
      </w:r>
      <w:bookmarkEnd w:id="30"/>
      <w:r w:rsidRPr="00B6547E">
        <w:rPr>
          <w:b/>
          <w:szCs w:val="24"/>
        </w:rPr>
        <w:t xml:space="preserve"> y la respuesta del SUJETO OBLIGADO</w:t>
      </w:r>
      <w:bookmarkEnd w:id="31"/>
      <w:r w:rsidRPr="00B6547E">
        <w:rPr>
          <w:b/>
          <w:szCs w:val="24"/>
        </w:rPr>
        <w:t>.</w:t>
      </w:r>
    </w:p>
    <w:p w14:paraId="7E64C691" w14:textId="0B24B4C3" w:rsidR="003E6145" w:rsidRPr="00B6547E" w:rsidRDefault="005E5EAA"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 xml:space="preserve">Se </w:t>
      </w:r>
      <w:r w:rsidRPr="00B6547E">
        <w:rPr>
          <w:rFonts w:ascii="Palatino Linotype" w:eastAsia="Calibri" w:hAnsi="Palatino Linotype" w:cs="Arial"/>
        </w:rPr>
        <w:t xml:space="preserve">procede a analizar el contenido íntegro de las actuaciones que obran en el expediente electrónico y con ello, este Órgano Garante dicte la resolución correspondiente, tomando en consideración los elementos aportados por las partes </w:t>
      </w:r>
      <w:r w:rsidRPr="00B6547E">
        <w:rPr>
          <w:rFonts w:ascii="Palatino Linotype" w:eastAsia="Calibri" w:hAnsi="Palatino Linotype" w:cs="Arial"/>
        </w:rPr>
        <w:lastRenderedPageBreak/>
        <w:t>y apegándose en todo momento al principio de máxima publicidad, de acuerdo con lo establecido en el artículo 8 de la Ley de Transparencia y Acceso a la Información Pública del Estado de México y Municipios.</w:t>
      </w:r>
    </w:p>
    <w:p w14:paraId="1A375B1C" w14:textId="77777777" w:rsidR="005E5EAA" w:rsidRPr="00B6547E" w:rsidRDefault="005E5EAA" w:rsidP="005E5EAA">
      <w:pPr>
        <w:pStyle w:val="Prrafodelista"/>
        <w:tabs>
          <w:tab w:val="left" w:pos="426"/>
        </w:tabs>
        <w:spacing w:line="360" w:lineRule="auto"/>
        <w:ind w:left="0" w:right="49"/>
        <w:jc w:val="both"/>
        <w:rPr>
          <w:rFonts w:ascii="Palatino Linotype" w:hAnsi="Palatino Linotype" w:cs="Arial"/>
          <w:color w:val="000000" w:themeColor="text1"/>
        </w:rPr>
      </w:pPr>
    </w:p>
    <w:p w14:paraId="21FE6C39" w14:textId="03B3732B" w:rsidR="005E5EAA" w:rsidRPr="00B6547E" w:rsidRDefault="005E5EAA"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Así, resulta</w:t>
      </w:r>
      <w:r w:rsidRPr="00B6547E">
        <w:rPr>
          <w:rFonts w:ascii="Palatino Linotype" w:eastAsia="Calibri" w:hAnsi="Palatino Linotype" w:cs="Arial"/>
        </w:rPr>
        <w:t xml:space="preserve"> conveniente recapitular que el </w:t>
      </w:r>
      <w:r w:rsidRPr="00B6547E">
        <w:rPr>
          <w:rFonts w:ascii="Palatino Linotype" w:eastAsia="Calibri" w:hAnsi="Palatino Linotype" w:cs="Arial"/>
          <w:b/>
          <w:bCs/>
        </w:rPr>
        <w:t>RECURRENTE</w:t>
      </w:r>
      <w:r w:rsidRPr="00B6547E">
        <w:rPr>
          <w:rFonts w:ascii="Palatino Linotype" w:eastAsia="Calibri" w:hAnsi="Palatino Linotype" w:cs="Arial"/>
          <w:bCs/>
        </w:rPr>
        <w:t>, solicitó</w:t>
      </w:r>
      <w:r w:rsidRPr="00B6547E">
        <w:rPr>
          <w:rFonts w:ascii="Palatino Linotype" w:hAnsi="Palatino Linotype"/>
        </w:rPr>
        <w:t xml:space="preserve"> los operativos realizados al transporte público, </w:t>
      </w:r>
      <w:r w:rsidRPr="00B6547E">
        <w:rPr>
          <w:rFonts w:ascii="Palatino Linotype" w:hAnsi="Palatino Linotype"/>
          <w:b/>
        </w:rPr>
        <w:t>los resultados, las autoridades participaron, los oficios de autorización y coordinación con las autoridades involucradas y los inspectores participaron de la Secretaría de Transporte y Movilidad</w:t>
      </w:r>
      <w:r w:rsidRPr="00B6547E">
        <w:rPr>
          <w:rFonts w:ascii="Palatino Linotype" w:hAnsi="Palatino Linotype"/>
        </w:rPr>
        <w:t>, de enero de dos mil diez al tres de febrero de dos mil veintidós.</w:t>
      </w:r>
    </w:p>
    <w:p w14:paraId="388A80A1" w14:textId="77777777" w:rsidR="005E5EAA" w:rsidRPr="00B6547E" w:rsidRDefault="005E5EAA" w:rsidP="005E5EAA">
      <w:pPr>
        <w:pStyle w:val="Prrafodelista"/>
        <w:tabs>
          <w:tab w:val="left" w:pos="426"/>
        </w:tabs>
        <w:spacing w:line="360" w:lineRule="auto"/>
        <w:ind w:left="0" w:right="49"/>
        <w:jc w:val="both"/>
        <w:rPr>
          <w:rFonts w:ascii="Palatino Linotype" w:hAnsi="Palatino Linotype" w:cs="Arial"/>
          <w:color w:val="000000" w:themeColor="text1"/>
        </w:rPr>
      </w:pPr>
    </w:p>
    <w:p w14:paraId="347563A0" w14:textId="77777777" w:rsidR="005E5EAA" w:rsidRPr="00B6547E" w:rsidRDefault="005E5EAA"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 xml:space="preserve">En respuesta, el </w:t>
      </w:r>
      <w:r w:rsidRPr="00B6547E">
        <w:rPr>
          <w:rFonts w:ascii="Palatino Linotype" w:hAnsi="Palatino Linotype" w:cs="Arial"/>
          <w:b/>
          <w:color w:val="000000" w:themeColor="text1"/>
        </w:rPr>
        <w:t>SUJETO OBLIGADO</w:t>
      </w:r>
      <w:r w:rsidRPr="00B6547E">
        <w:rPr>
          <w:rFonts w:ascii="Palatino Linotype" w:hAnsi="Palatino Linotype" w:cs="Arial"/>
          <w:color w:val="000000" w:themeColor="text1"/>
        </w:rPr>
        <w:t xml:space="preserve"> por medio de </w:t>
      </w:r>
      <w:r w:rsidRPr="00B6547E">
        <w:rPr>
          <w:rFonts w:ascii="Palatino Linotype" w:hAnsi="Palatino Linotype"/>
        </w:rPr>
        <w:t>los Servidores Públicos Habilitados de las Direcciones Generales de las Zona I, II, III y IV,</w:t>
      </w:r>
      <w:r w:rsidRPr="00B6547E">
        <w:rPr>
          <w:rFonts w:ascii="Palatino Linotype" w:hAnsi="Palatino Linotype" w:cs="Arial"/>
          <w:color w:val="000000" w:themeColor="text1"/>
        </w:rPr>
        <w:t xml:space="preserve"> </w:t>
      </w:r>
      <w:r w:rsidRPr="00B6547E">
        <w:rPr>
          <w:rFonts w:ascii="Palatino Linotype" w:hAnsi="Palatino Linotype"/>
          <w:color w:val="000000" w:themeColor="text1"/>
        </w:rPr>
        <w:t xml:space="preserve">remitió diversos archivos electrónicos, consistentes en los </w:t>
      </w:r>
      <w:r w:rsidRPr="00B6547E">
        <w:rPr>
          <w:rFonts w:ascii="Palatino Linotype" w:hAnsi="Palatino Linotype"/>
          <w:b/>
          <w:color w:val="000000" w:themeColor="text1"/>
        </w:rPr>
        <w:t>registros de operativos respectivamente</w:t>
      </w:r>
      <w:r w:rsidRPr="00B6547E">
        <w:rPr>
          <w:rFonts w:ascii="Palatino Linotype" w:hAnsi="Palatino Linotype"/>
          <w:color w:val="000000" w:themeColor="text1"/>
        </w:rPr>
        <w:t>, en los cuales, se exponen los siguientes rubros:</w:t>
      </w:r>
      <w:r w:rsidRPr="00B6547E">
        <w:rPr>
          <w:rFonts w:ascii="Palatino Linotype" w:hAnsi="Palatino Linotype"/>
          <w:b/>
          <w:color w:val="000000" w:themeColor="text1"/>
        </w:rPr>
        <w:t xml:space="preserve"> </w:t>
      </w:r>
      <w:r w:rsidRPr="00B6547E">
        <w:rPr>
          <w:rFonts w:ascii="Palatino Linotype" w:hAnsi="Palatino Linotype"/>
          <w:b/>
        </w:rPr>
        <w:t>AÑO (2010-2022), NO. DE OPERATIVOS, UNIDADES RETENIDAS, AUTORIDADES INVOLUCRADAS, NO. OFICIOS y PERSONAL INSPECCIÓN PARTICIPANTES.</w:t>
      </w:r>
    </w:p>
    <w:p w14:paraId="167BC160" w14:textId="77777777" w:rsidR="005E5EAA" w:rsidRPr="00B6547E" w:rsidRDefault="005E5EAA" w:rsidP="005E5EAA">
      <w:pPr>
        <w:rPr>
          <w:rFonts w:ascii="Palatino Linotype" w:hAnsi="Palatino Linotype" w:cs="Arial"/>
          <w:color w:val="000000" w:themeColor="text1"/>
        </w:rPr>
      </w:pPr>
    </w:p>
    <w:p w14:paraId="24B647F5" w14:textId="066C765B" w:rsidR="005E5EAA" w:rsidRPr="00B6547E" w:rsidRDefault="0055782C" w:rsidP="005E5E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 xml:space="preserve">Posteriormente, el </w:t>
      </w:r>
      <w:r w:rsidR="005E5EAA" w:rsidRPr="00B6547E">
        <w:rPr>
          <w:rFonts w:ascii="Palatino Linotype" w:eastAsia="Calibri" w:hAnsi="Palatino Linotype" w:cs="Tahoma"/>
          <w:b/>
          <w:bCs/>
          <w:color w:val="000000"/>
          <w:lang w:val="es-ES" w:eastAsia="es-MX"/>
        </w:rPr>
        <w:t>RECURRENTE</w:t>
      </w:r>
      <w:r w:rsidR="005E5EAA" w:rsidRPr="00B6547E">
        <w:rPr>
          <w:rFonts w:ascii="Palatino Linotype" w:eastAsia="Calibri" w:hAnsi="Palatino Linotype" w:cs="Tahoma"/>
          <w:color w:val="000000"/>
          <w:lang w:val="es-ES" w:eastAsia="es-MX"/>
        </w:rPr>
        <w:t xml:space="preserve"> se inconformó a través del recurso de revisión, manifestando que,</w:t>
      </w:r>
      <w:r w:rsidR="005E5EAA" w:rsidRPr="00B6547E">
        <w:rPr>
          <w:rFonts w:ascii="Palatino Linotype" w:eastAsia="Calibri" w:hAnsi="Palatino Linotype" w:cs="Tahoma"/>
          <w:b/>
          <w:color w:val="000000"/>
          <w:lang w:val="es-ES" w:eastAsia="es-MX"/>
        </w:rPr>
        <w:t xml:space="preserve"> la información proporcionada no es clara, por lo que no se entiende.</w:t>
      </w:r>
    </w:p>
    <w:p w14:paraId="7FF351CD" w14:textId="77777777" w:rsidR="005E5EAA" w:rsidRPr="00B6547E" w:rsidRDefault="005E5EAA" w:rsidP="005E5EAA">
      <w:pPr>
        <w:pStyle w:val="Prrafodelista"/>
        <w:tabs>
          <w:tab w:val="left" w:pos="426"/>
        </w:tabs>
        <w:spacing w:line="360" w:lineRule="auto"/>
        <w:ind w:left="0" w:right="49"/>
        <w:jc w:val="both"/>
        <w:rPr>
          <w:rFonts w:ascii="Palatino Linotype" w:hAnsi="Palatino Linotype" w:cs="Arial"/>
          <w:color w:val="000000" w:themeColor="text1"/>
        </w:rPr>
      </w:pPr>
    </w:p>
    <w:p w14:paraId="18801079" w14:textId="06A57D87" w:rsidR="00923867" w:rsidRPr="00B6547E" w:rsidRDefault="005E5EAA" w:rsidP="0055782C">
      <w:pPr>
        <w:pStyle w:val="Prrafodelista"/>
        <w:numPr>
          <w:ilvl w:val="0"/>
          <w:numId w:val="1"/>
        </w:numPr>
        <w:tabs>
          <w:tab w:val="left" w:pos="426"/>
        </w:tabs>
        <w:spacing w:line="360" w:lineRule="auto"/>
        <w:ind w:right="49"/>
        <w:jc w:val="both"/>
        <w:rPr>
          <w:rFonts w:ascii="Palatino Linotype" w:hAnsi="Palatino Linotype" w:cs="Arial"/>
          <w:b/>
          <w:color w:val="000000" w:themeColor="text1"/>
          <w:u w:val="single"/>
        </w:rPr>
      </w:pPr>
      <w:r w:rsidRPr="00B6547E">
        <w:rPr>
          <w:rFonts w:ascii="Palatino Linotype" w:hAnsi="Palatino Linotype" w:cs="Arial"/>
          <w:color w:val="000000" w:themeColor="text1"/>
        </w:rPr>
        <w:t xml:space="preserve">En consecuencia, el </w:t>
      </w:r>
      <w:r w:rsidRPr="00B6547E">
        <w:rPr>
          <w:rFonts w:ascii="Palatino Linotype" w:hAnsi="Palatino Linotype" w:cs="Arial"/>
          <w:b/>
          <w:color w:val="000000" w:themeColor="text1"/>
        </w:rPr>
        <w:t>SUJETO OBLIGADO</w:t>
      </w:r>
      <w:r w:rsidRPr="00B6547E">
        <w:rPr>
          <w:rFonts w:ascii="Palatino Linotype" w:hAnsi="Palatino Linotype" w:cs="Arial"/>
          <w:color w:val="000000" w:themeColor="text1"/>
        </w:rPr>
        <w:t xml:space="preserve"> </w:t>
      </w:r>
      <w:r w:rsidR="0055782C" w:rsidRPr="00B6547E">
        <w:rPr>
          <w:rFonts w:ascii="Palatino Linotype" w:hAnsi="Palatino Linotype" w:cs="Arial"/>
          <w:color w:val="000000" w:themeColor="text1"/>
        </w:rPr>
        <w:t>por medio del informe justificado, señaló que,</w:t>
      </w:r>
      <w:r w:rsidR="0055782C" w:rsidRPr="00B6547E">
        <w:rPr>
          <w:rFonts w:ascii="Palatino Linotype" w:hAnsi="Palatino Linotype"/>
        </w:rPr>
        <w:t xml:space="preserve"> a través de la respuesta primigenia </w:t>
      </w:r>
      <w:r w:rsidRPr="00B6547E">
        <w:rPr>
          <w:rFonts w:ascii="Palatino Linotype" w:hAnsi="Palatino Linotype"/>
        </w:rPr>
        <w:t xml:space="preserve">puso a disposición del </w:t>
      </w:r>
      <w:r w:rsidRPr="00B6547E">
        <w:rPr>
          <w:rFonts w:ascii="Palatino Linotype" w:hAnsi="Palatino Linotype"/>
          <w:b/>
        </w:rPr>
        <w:t xml:space="preserve">RECURRENTE </w:t>
      </w:r>
      <w:r w:rsidRPr="00B6547E">
        <w:rPr>
          <w:rFonts w:ascii="Palatino Linotype" w:hAnsi="Palatino Linotype"/>
        </w:rPr>
        <w:t xml:space="preserve">las respuestas </w:t>
      </w:r>
      <w:r w:rsidR="0055782C" w:rsidRPr="00B6547E">
        <w:rPr>
          <w:rFonts w:ascii="Palatino Linotype" w:hAnsi="Palatino Linotype"/>
        </w:rPr>
        <w:t>emitidas</w:t>
      </w:r>
      <w:r w:rsidRPr="00B6547E">
        <w:rPr>
          <w:rFonts w:ascii="Palatino Linotype" w:hAnsi="Palatino Linotype"/>
        </w:rPr>
        <w:t xml:space="preserve"> por los Servidores Públicos Habilitados de las Direcciones Generales de Zona I, II, III y IV, no obstante, el Sistema de Acceso a </w:t>
      </w:r>
      <w:r w:rsidRPr="00B6547E">
        <w:rPr>
          <w:rFonts w:ascii="Palatino Linotype" w:hAnsi="Palatino Linotype"/>
        </w:rPr>
        <w:lastRenderedPageBreak/>
        <w:t xml:space="preserve">la Información Mexiquense (SAIMEX) de manera automática, al generar el acuse de respuesta, </w:t>
      </w:r>
      <w:r w:rsidRPr="00B6547E">
        <w:rPr>
          <w:rFonts w:ascii="Palatino Linotype" w:hAnsi="Palatino Linotype"/>
          <w:b/>
        </w:rPr>
        <w:t>unió todas las respuestas causando posibles confusiones al momento de su lectura</w:t>
      </w:r>
      <w:r w:rsidRPr="00B6547E">
        <w:rPr>
          <w:rFonts w:ascii="Palatino Linotype" w:hAnsi="Palatino Linotype"/>
        </w:rPr>
        <w:t xml:space="preserve">, por parte del Solicitante. Motivo por el cual, </w:t>
      </w:r>
      <w:r w:rsidRPr="00B6547E">
        <w:rPr>
          <w:rFonts w:ascii="Palatino Linotype" w:hAnsi="Palatino Linotype"/>
          <w:b/>
        </w:rPr>
        <w:t>los Servidores Públicos Habilitados de las Direcciones Generales hicieron entrega nuevamente de la información de manera accesible y desglosada por Dirección General de Zona, en el estado en el que se encuentra en sus archivos</w:t>
      </w:r>
      <w:r w:rsidRPr="00B6547E">
        <w:rPr>
          <w:rFonts w:ascii="Palatino Linotype" w:hAnsi="Palatino Linotype"/>
          <w:b/>
          <w:u w:val="single"/>
        </w:rPr>
        <w:t>, incluyendo los registros de operativos, inicialmente proporcionados, así como, los documentos donde se advierten las autoridades que participaron en las visitas de verificación e inspección, el registro de inspectores habilitados y el registro de oficios de autorización para realización de visitas de verificación e inspección.</w:t>
      </w:r>
    </w:p>
    <w:p w14:paraId="6129929F" w14:textId="5A0220E1" w:rsidR="003A6A97" w:rsidRPr="00B6547E" w:rsidRDefault="003A6A97" w:rsidP="003A6A9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 xml:space="preserve">Expuestas </w:t>
      </w:r>
      <w:r w:rsidRPr="00B6547E">
        <w:rPr>
          <w:rFonts w:ascii="Palatino Linotype" w:hAnsi="Palatino Linotype" w:cs="Arial"/>
        </w:rPr>
        <w:t xml:space="preserve">las posturas de las partes, </w:t>
      </w:r>
      <w:r w:rsidRPr="00B6547E">
        <w:rPr>
          <w:rFonts w:ascii="Palatino Linotype" w:hAnsi="Palatino Linotype"/>
          <w:color w:val="222222"/>
          <w:lang w:eastAsia="es-MX"/>
        </w:rPr>
        <w:t xml:space="preserve">se precisa que se obvia el análisis de la competencia por parte del </w:t>
      </w:r>
      <w:r w:rsidRPr="00B6547E">
        <w:rPr>
          <w:rFonts w:ascii="Palatino Linotype" w:hAnsi="Palatino Linotype"/>
          <w:b/>
          <w:bCs/>
          <w:color w:val="222222"/>
          <w:lang w:eastAsia="es-MX"/>
        </w:rPr>
        <w:t>SUJETO OBLIGADO</w:t>
      </w:r>
      <w:r w:rsidRPr="00B6547E">
        <w:rPr>
          <w:rFonts w:ascii="Palatino Linotype" w:hAnsi="Palatino Linotype"/>
          <w:color w:val="222222"/>
          <w:lang w:eastAsia="es-MX"/>
        </w:rPr>
        <w:t>, para generar, administrar o poseer la información solicitada, dado que éste ha asumido la misma</w:t>
      </w:r>
      <w:r w:rsidR="0055782C" w:rsidRPr="00B6547E">
        <w:rPr>
          <w:rFonts w:ascii="Palatino Linotype" w:hAnsi="Palatino Linotype"/>
          <w:color w:val="222222"/>
          <w:lang w:eastAsia="es-MX"/>
        </w:rPr>
        <w:t xml:space="preserve">, al hacer entrega de lo requerido, por medio, de los </w:t>
      </w:r>
      <w:r w:rsidR="0055782C" w:rsidRPr="00B6547E">
        <w:rPr>
          <w:rFonts w:ascii="Palatino Linotype" w:hAnsi="Palatino Linotype"/>
          <w:b/>
          <w:color w:val="000000" w:themeColor="text1"/>
        </w:rPr>
        <w:t>registros de operativos</w:t>
      </w:r>
    </w:p>
    <w:p w14:paraId="09751ACC" w14:textId="77777777" w:rsidR="003A6A97" w:rsidRPr="00B6547E" w:rsidRDefault="003A6A97" w:rsidP="003A6A97">
      <w:pPr>
        <w:pStyle w:val="Prrafodelista"/>
        <w:tabs>
          <w:tab w:val="left" w:pos="426"/>
        </w:tabs>
        <w:spacing w:line="360" w:lineRule="auto"/>
        <w:ind w:left="0" w:right="49"/>
        <w:jc w:val="both"/>
        <w:rPr>
          <w:rFonts w:ascii="Palatino Linotype" w:hAnsi="Palatino Linotype" w:cs="Arial"/>
          <w:color w:val="000000" w:themeColor="text1"/>
        </w:rPr>
      </w:pPr>
    </w:p>
    <w:p w14:paraId="36FDA0EF" w14:textId="1C9281CD" w:rsidR="003A6A97" w:rsidRPr="00B6547E" w:rsidRDefault="0055782C" w:rsidP="003A6A9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6547E">
        <w:rPr>
          <w:rFonts w:ascii="Palatino Linotype" w:hAnsi="Palatino Linotype" w:cs="Arial"/>
          <w:color w:val="000000" w:themeColor="text1"/>
        </w:rPr>
        <w:t>Así, se reitera que</w:t>
      </w:r>
      <w:r w:rsidR="003A6A97" w:rsidRPr="00B6547E">
        <w:rPr>
          <w:rFonts w:ascii="Palatino Linotype" w:hAnsi="Palatino Linotype" w:cs="Arial"/>
        </w:rPr>
        <w:t xml:space="preserve">, </w:t>
      </w:r>
      <w:r w:rsidR="003A6A97" w:rsidRPr="00B6547E">
        <w:rPr>
          <w:rFonts w:ascii="Palatino Linotype" w:hAnsi="Palatino Linotype"/>
          <w:color w:val="222222"/>
          <w:lang w:eastAsia="es-MX"/>
        </w:rPr>
        <w:t xml:space="preserve">el hecho de que </w:t>
      </w:r>
      <w:r w:rsidR="003A6A97" w:rsidRPr="00B6547E">
        <w:rPr>
          <w:rFonts w:ascii="Palatino Linotype" w:hAnsi="Palatino Linotype"/>
          <w:b/>
          <w:bCs/>
          <w:color w:val="222222"/>
          <w:lang w:eastAsia="es-MX"/>
        </w:rPr>
        <w:t>EL SUJETO OBLIGADO</w:t>
      </w:r>
      <w:r w:rsidR="003A6A97" w:rsidRPr="00B6547E">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B13C412" w14:textId="77777777" w:rsidR="003A6A97" w:rsidRPr="00B6547E" w:rsidRDefault="003A6A97" w:rsidP="003A6A97">
      <w:pPr>
        <w:jc w:val="both"/>
        <w:rPr>
          <w:rFonts w:ascii="Palatino Linotype" w:hAnsi="Palatino Linotype"/>
          <w:color w:val="222222"/>
          <w:lang w:eastAsia="es-MX"/>
        </w:rPr>
      </w:pPr>
    </w:p>
    <w:p w14:paraId="0055B8D1" w14:textId="77777777" w:rsidR="003A6A97" w:rsidRPr="00B6547E" w:rsidRDefault="003A6A97" w:rsidP="003A6A97">
      <w:pPr>
        <w:shd w:val="clear" w:color="auto" w:fill="FFFFFF"/>
        <w:ind w:left="851" w:right="902"/>
        <w:jc w:val="both"/>
        <w:rPr>
          <w:rFonts w:ascii="Palatino Linotype" w:hAnsi="Palatino Linotype"/>
          <w:i/>
          <w:iCs/>
          <w:color w:val="222222"/>
          <w:sz w:val="22"/>
          <w:szCs w:val="22"/>
          <w:lang w:eastAsia="es-MX"/>
        </w:rPr>
      </w:pPr>
      <w:r w:rsidRPr="00B6547E">
        <w:rPr>
          <w:rFonts w:ascii="Palatino Linotype" w:hAnsi="Palatino Linotype"/>
          <w:i/>
          <w:iCs/>
          <w:color w:val="222222"/>
          <w:sz w:val="22"/>
          <w:szCs w:val="22"/>
          <w:lang w:eastAsia="es-MX"/>
        </w:rPr>
        <w:t>“</w:t>
      </w:r>
      <w:r w:rsidRPr="00B6547E">
        <w:rPr>
          <w:rFonts w:ascii="Palatino Linotype" w:hAnsi="Palatino Linotype"/>
          <w:b/>
          <w:bCs/>
          <w:i/>
          <w:iCs/>
          <w:color w:val="222222"/>
          <w:sz w:val="22"/>
          <w:szCs w:val="22"/>
          <w:lang w:eastAsia="es-MX"/>
        </w:rPr>
        <w:t>Artículo 12.</w:t>
      </w:r>
      <w:r w:rsidRPr="00B6547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B8A614D" w14:textId="77777777" w:rsidR="0055782C" w:rsidRPr="00B6547E" w:rsidRDefault="0055782C" w:rsidP="003A6A97">
      <w:pPr>
        <w:shd w:val="clear" w:color="auto" w:fill="FFFFFF"/>
        <w:ind w:left="851" w:right="902"/>
        <w:jc w:val="both"/>
        <w:rPr>
          <w:rFonts w:ascii="Palatino Linotype" w:hAnsi="Palatino Linotype"/>
          <w:color w:val="222222"/>
          <w:lang w:eastAsia="es-MX"/>
        </w:rPr>
      </w:pPr>
    </w:p>
    <w:p w14:paraId="739FC7F8" w14:textId="77777777" w:rsidR="003A6A97" w:rsidRPr="00B6547E" w:rsidRDefault="003A6A97" w:rsidP="003A6A97">
      <w:pPr>
        <w:shd w:val="clear" w:color="auto" w:fill="FFFFFF"/>
        <w:ind w:left="851" w:right="902"/>
        <w:jc w:val="both"/>
        <w:rPr>
          <w:rFonts w:ascii="Palatino Linotype" w:hAnsi="Palatino Linotype"/>
          <w:i/>
          <w:iCs/>
          <w:color w:val="222222"/>
          <w:sz w:val="22"/>
          <w:szCs w:val="22"/>
          <w:lang w:eastAsia="es-MX"/>
        </w:rPr>
      </w:pPr>
      <w:r w:rsidRPr="00B6547E">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w:t>
      </w:r>
      <w:r w:rsidRPr="00B6547E">
        <w:rPr>
          <w:rFonts w:ascii="Palatino Linotype" w:hAnsi="Palatino Linotype"/>
          <w:i/>
          <w:iCs/>
          <w:color w:val="222222"/>
          <w:sz w:val="22"/>
          <w:szCs w:val="22"/>
          <w:lang w:eastAsia="es-MX"/>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53C76F14" w14:textId="77777777" w:rsidR="003A6A97" w:rsidRPr="00B6547E" w:rsidRDefault="003A6A97" w:rsidP="003A6A97">
      <w:pPr>
        <w:pStyle w:val="Prrafodelista"/>
        <w:tabs>
          <w:tab w:val="left" w:pos="426"/>
        </w:tabs>
        <w:spacing w:line="360" w:lineRule="auto"/>
        <w:ind w:left="0" w:right="51"/>
        <w:jc w:val="both"/>
        <w:rPr>
          <w:rFonts w:ascii="Palatino Linotype" w:hAnsi="Palatino Linotype"/>
          <w:color w:val="000000" w:themeColor="text1"/>
        </w:rPr>
      </w:pPr>
    </w:p>
    <w:p w14:paraId="24FD2F67" w14:textId="4A14CBA4" w:rsidR="003A6A97" w:rsidRPr="00B6547E" w:rsidRDefault="003A6A97" w:rsidP="003A6A9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6547E">
        <w:rPr>
          <w:rFonts w:ascii="Palatino Linotype" w:hAnsi="Palatino Linotype"/>
          <w:color w:val="000000" w:themeColor="text1"/>
        </w:rPr>
        <w:t xml:space="preserve"> No </w:t>
      </w:r>
      <w:proofErr w:type="gramStart"/>
      <w:r w:rsidRPr="00B6547E">
        <w:rPr>
          <w:rFonts w:ascii="Palatino Linotype" w:hAnsi="Palatino Linotype"/>
          <w:color w:val="000000" w:themeColor="text1"/>
        </w:rPr>
        <w:t>obstante</w:t>
      </w:r>
      <w:proofErr w:type="gramEnd"/>
      <w:r w:rsidRPr="00B6547E">
        <w:rPr>
          <w:rFonts w:ascii="Palatino Linotype" w:hAnsi="Palatino Linotype"/>
          <w:color w:val="000000" w:themeColor="text1"/>
        </w:rPr>
        <w:t xml:space="preserve"> a lo anterior, resulta </w:t>
      </w:r>
      <w:r w:rsidR="003E6145" w:rsidRPr="00B6547E">
        <w:rPr>
          <w:rFonts w:ascii="Palatino Linotype" w:hAnsi="Palatino Linotype"/>
          <w:color w:val="000000" w:themeColor="text1"/>
        </w:rPr>
        <w:t>conveniente</w:t>
      </w:r>
      <w:r w:rsidRPr="00B6547E">
        <w:rPr>
          <w:rFonts w:ascii="Palatino Linotype" w:hAnsi="Palatino Linotype"/>
          <w:color w:val="000000" w:themeColor="text1"/>
        </w:rPr>
        <w:t xml:space="preserve"> precisar que las respuestas fueron emitidas por los Servidores Públicos Habilitados de la Subsecretaría de Movilidad, así como, de las Direcciones Generales de Movilidad Zona I, II, III y IV, en este sentido, el Reglamento Interior de la Secretaria de Movilidad, en sus artículos 1, 2 y 3, refiere lo siguiente:</w:t>
      </w:r>
    </w:p>
    <w:p w14:paraId="201053CB" w14:textId="77777777" w:rsidR="003A6A97" w:rsidRPr="00B6547E" w:rsidRDefault="003A6A97" w:rsidP="003A6A97">
      <w:pPr>
        <w:pStyle w:val="Prrafodelista"/>
        <w:tabs>
          <w:tab w:val="left" w:pos="426"/>
        </w:tabs>
        <w:spacing w:line="360" w:lineRule="auto"/>
        <w:ind w:left="0" w:right="51"/>
        <w:jc w:val="both"/>
        <w:rPr>
          <w:rFonts w:ascii="Palatino Linotype" w:hAnsi="Palatino Linotype"/>
          <w:color w:val="000000" w:themeColor="text1"/>
        </w:rPr>
      </w:pPr>
    </w:p>
    <w:p w14:paraId="2D6B5044"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t>“</w:t>
      </w:r>
      <w:r w:rsidRPr="00B6547E">
        <w:rPr>
          <w:rFonts w:ascii="Palatino Linotype" w:hAnsi="Palatino Linotype"/>
          <w:b/>
          <w:bCs/>
          <w:i/>
          <w:iCs/>
          <w:sz w:val="22"/>
          <w:szCs w:val="22"/>
        </w:rPr>
        <w:t>Artículo 1.</w:t>
      </w:r>
      <w:r w:rsidRPr="00B6547E">
        <w:rPr>
          <w:rFonts w:ascii="Palatino Linotype" w:hAnsi="Palatino Linotype"/>
          <w:i/>
          <w:iCs/>
          <w:sz w:val="22"/>
          <w:szCs w:val="22"/>
        </w:rPr>
        <w:t xml:space="preserve"> El presente Reglamento tiene por objeto regular la organización y el funcionamiento de la Secretaría de Movilidad. </w:t>
      </w:r>
    </w:p>
    <w:p w14:paraId="08F2F90E"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p>
    <w:p w14:paraId="6C4931F9"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b/>
          <w:bCs/>
          <w:i/>
          <w:iCs/>
          <w:sz w:val="22"/>
          <w:szCs w:val="22"/>
        </w:rPr>
        <w:t>Artículo 2.</w:t>
      </w:r>
      <w:r w:rsidRPr="00B6547E">
        <w:rPr>
          <w:rFonts w:ascii="Palatino Linotype" w:hAnsi="Palatino Linotype"/>
          <w:i/>
          <w:iCs/>
          <w:sz w:val="22"/>
          <w:szCs w:val="22"/>
        </w:rPr>
        <w:t xml:space="preserve"> La Secretaría de Movilidad tiene a su cargo el despacho de los asuntos que le encomiendan la Ley Orgánica de la Administración Pública del Estado de México, la Ley de Movilidad del Estado de México, el Código Administrativo del Estado de México, el Reglamento del Transporte Público y Servicios Conexos del Estado de México, el Reglamento de Comunicaciones del Estado de México, y demás ordenamientos jurídicos aplicables. Cuando en este ordenamiento se haga referencia a la Secretaría, se entenderá a la Secretaría de Movilidad y Subsecretaría a la Subsecretaría de Movilidad. </w:t>
      </w:r>
    </w:p>
    <w:p w14:paraId="4F0F1DE2"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p>
    <w:p w14:paraId="11FA4DD5" w14:textId="77777777" w:rsidR="003A6A97" w:rsidRPr="00B6547E" w:rsidRDefault="003A6A97" w:rsidP="003A6A97">
      <w:pPr>
        <w:pStyle w:val="Prrafodelista"/>
        <w:tabs>
          <w:tab w:val="left" w:pos="426"/>
        </w:tabs>
        <w:ind w:left="567" w:right="567"/>
        <w:jc w:val="both"/>
        <w:rPr>
          <w:rFonts w:ascii="Palatino Linotype" w:hAnsi="Palatino Linotype"/>
          <w:b/>
          <w:bCs/>
          <w:i/>
          <w:iCs/>
          <w:color w:val="000000" w:themeColor="text1"/>
          <w:sz w:val="22"/>
          <w:szCs w:val="22"/>
        </w:rPr>
      </w:pPr>
      <w:r w:rsidRPr="00B6547E">
        <w:rPr>
          <w:rFonts w:ascii="Palatino Linotype" w:hAnsi="Palatino Linotype"/>
          <w:b/>
          <w:bCs/>
          <w:i/>
          <w:iCs/>
          <w:sz w:val="22"/>
          <w:szCs w:val="22"/>
        </w:rPr>
        <w:t>Artículo 3.</w:t>
      </w:r>
      <w:r w:rsidRPr="00B6547E">
        <w:rPr>
          <w:rFonts w:ascii="Palatino Linotype" w:hAnsi="Palatino Linotype"/>
          <w:i/>
          <w:iCs/>
          <w:sz w:val="22"/>
          <w:szCs w:val="22"/>
        </w:rPr>
        <w:t xml:space="preserve"> Al frente de </w:t>
      </w:r>
      <w:r w:rsidRPr="00B6547E">
        <w:rPr>
          <w:rFonts w:ascii="Palatino Linotype" w:hAnsi="Palatino Linotype"/>
          <w:b/>
          <w:bCs/>
          <w:i/>
          <w:iCs/>
          <w:color w:val="000000" w:themeColor="text1"/>
          <w:sz w:val="22"/>
          <w:szCs w:val="22"/>
        </w:rPr>
        <w:t xml:space="preserve">la Secretaría estará una persona titular quien, para el desahogo de los asuntos de su competencia, se auxiliará de las unidades administrativas siguientes: </w:t>
      </w:r>
    </w:p>
    <w:p w14:paraId="4A8898FA" w14:textId="77777777" w:rsidR="003A6A97" w:rsidRPr="00B6547E" w:rsidRDefault="003A6A97" w:rsidP="003A6A97">
      <w:pPr>
        <w:pStyle w:val="Prrafodelista"/>
        <w:tabs>
          <w:tab w:val="left" w:pos="426"/>
        </w:tabs>
        <w:ind w:left="567" w:right="567"/>
        <w:jc w:val="both"/>
        <w:rPr>
          <w:rFonts w:ascii="Palatino Linotype" w:hAnsi="Palatino Linotype"/>
          <w:b/>
          <w:bCs/>
          <w:i/>
          <w:iCs/>
          <w:color w:val="000000" w:themeColor="text1"/>
          <w:sz w:val="22"/>
          <w:szCs w:val="22"/>
        </w:rPr>
      </w:pPr>
    </w:p>
    <w:p w14:paraId="75619C4A" w14:textId="77777777" w:rsidR="003A6A97" w:rsidRPr="00B6547E" w:rsidRDefault="003A6A97" w:rsidP="003A6A97">
      <w:pPr>
        <w:pStyle w:val="Prrafodelista"/>
        <w:tabs>
          <w:tab w:val="left" w:pos="426"/>
        </w:tabs>
        <w:ind w:left="567" w:right="567"/>
        <w:jc w:val="both"/>
        <w:rPr>
          <w:rFonts w:ascii="Palatino Linotype" w:hAnsi="Palatino Linotype"/>
          <w:b/>
          <w:bCs/>
          <w:i/>
          <w:iCs/>
          <w:color w:val="000000" w:themeColor="text1"/>
          <w:sz w:val="22"/>
          <w:szCs w:val="22"/>
        </w:rPr>
      </w:pPr>
      <w:r w:rsidRPr="00B6547E">
        <w:rPr>
          <w:rFonts w:ascii="Palatino Linotype" w:hAnsi="Palatino Linotype"/>
          <w:b/>
          <w:bCs/>
          <w:i/>
          <w:iCs/>
          <w:color w:val="000000" w:themeColor="text1"/>
          <w:sz w:val="22"/>
          <w:szCs w:val="22"/>
        </w:rPr>
        <w:t xml:space="preserve">I. Subsecretaría de Movilidad: </w:t>
      </w:r>
    </w:p>
    <w:p w14:paraId="3CB5AB2F" w14:textId="77777777" w:rsidR="003A6A97" w:rsidRPr="00B6547E" w:rsidRDefault="003A6A97" w:rsidP="003A6A97">
      <w:pPr>
        <w:pStyle w:val="Prrafodelista"/>
        <w:tabs>
          <w:tab w:val="left" w:pos="426"/>
        </w:tabs>
        <w:ind w:left="567" w:right="567"/>
        <w:jc w:val="both"/>
        <w:rPr>
          <w:rFonts w:ascii="Palatino Linotype" w:hAnsi="Palatino Linotype"/>
          <w:b/>
          <w:bCs/>
          <w:i/>
          <w:iCs/>
          <w:color w:val="000000" w:themeColor="text1"/>
          <w:sz w:val="22"/>
          <w:szCs w:val="22"/>
        </w:rPr>
      </w:pPr>
    </w:p>
    <w:p w14:paraId="2074FDEC" w14:textId="77777777" w:rsidR="003A6A97" w:rsidRPr="00B6547E" w:rsidRDefault="003A6A97" w:rsidP="003A6A97">
      <w:pPr>
        <w:pStyle w:val="Prrafodelista"/>
        <w:tabs>
          <w:tab w:val="left" w:pos="426"/>
        </w:tabs>
        <w:ind w:left="567" w:right="567"/>
        <w:jc w:val="both"/>
        <w:rPr>
          <w:rFonts w:ascii="Palatino Linotype" w:hAnsi="Palatino Linotype"/>
          <w:b/>
          <w:bCs/>
          <w:i/>
          <w:iCs/>
          <w:color w:val="000000" w:themeColor="text1"/>
          <w:sz w:val="22"/>
          <w:szCs w:val="22"/>
        </w:rPr>
      </w:pPr>
      <w:r w:rsidRPr="00B6547E">
        <w:rPr>
          <w:rFonts w:ascii="Palatino Linotype" w:hAnsi="Palatino Linotype"/>
          <w:b/>
          <w:bCs/>
          <w:i/>
          <w:iCs/>
          <w:color w:val="000000" w:themeColor="text1"/>
          <w:sz w:val="22"/>
          <w:szCs w:val="22"/>
        </w:rPr>
        <w:t xml:space="preserve">a) Dirección General de Movilidad Zona I; </w:t>
      </w:r>
    </w:p>
    <w:p w14:paraId="433E0407" w14:textId="77777777" w:rsidR="003A6A97" w:rsidRPr="00B6547E" w:rsidRDefault="003A6A97" w:rsidP="003A6A97">
      <w:pPr>
        <w:pStyle w:val="Prrafodelista"/>
        <w:tabs>
          <w:tab w:val="left" w:pos="426"/>
        </w:tabs>
        <w:ind w:left="567" w:right="567"/>
        <w:jc w:val="both"/>
        <w:rPr>
          <w:rFonts w:ascii="Palatino Linotype" w:hAnsi="Palatino Linotype"/>
          <w:b/>
          <w:bCs/>
          <w:i/>
          <w:iCs/>
          <w:color w:val="000000" w:themeColor="text1"/>
          <w:sz w:val="22"/>
          <w:szCs w:val="22"/>
        </w:rPr>
      </w:pPr>
      <w:r w:rsidRPr="00B6547E">
        <w:rPr>
          <w:rFonts w:ascii="Palatino Linotype" w:hAnsi="Palatino Linotype"/>
          <w:b/>
          <w:bCs/>
          <w:i/>
          <w:iCs/>
          <w:color w:val="000000" w:themeColor="text1"/>
          <w:sz w:val="22"/>
          <w:szCs w:val="22"/>
        </w:rPr>
        <w:t xml:space="preserve">b) Dirección General de Movilidad Zona II; </w:t>
      </w:r>
    </w:p>
    <w:p w14:paraId="3D2D4A59" w14:textId="77777777" w:rsidR="003A6A97" w:rsidRPr="00B6547E" w:rsidRDefault="003A6A97" w:rsidP="003A6A97">
      <w:pPr>
        <w:pStyle w:val="Prrafodelista"/>
        <w:tabs>
          <w:tab w:val="left" w:pos="426"/>
        </w:tabs>
        <w:ind w:left="567" w:right="567"/>
        <w:jc w:val="both"/>
        <w:rPr>
          <w:rFonts w:ascii="Palatino Linotype" w:hAnsi="Palatino Linotype"/>
          <w:b/>
          <w:bCs/>
          <w:i/>
          <w:iCs/>
          <w:color w:val="000000" w:themeColor="text1"/>
          <w:sz w:val="22"/>
          <w:szCs w:val="22"/>
        </w:rPr>
      </w:pPr>
      <w:r w:rsidRPr="00B6547E">
        <w:rPr>
          <w:rFonts w:ascii="Palatino Linotype" w:hAnsi="Palatino Linotype"/>
          <w:b/>
          <w:bCs/>
          <w:i/>
          <w:iCs/>
          <w:color w:val="000000" w:themeColor="text1"/>
          <w:sz w:val="22"/>
          <w:szCs w:val="22"/>
        </w:rPr>
        <w:t xml:space="preserve">c) Dirección General de Movilidad Zona III; </w:t>
      </w:r>
    </w:p>
    <w:p w14:paraId="0D8A0EF4" w14:textId="77777777" w:rsidR="003A6A97" w:rsidRPr="00B6547E" w:rsidRDefault="003A6A97" w:rsidP="003A6A97">
      <w:pPr>
        <w:pStyle w:val="Prrafodelista"/>
        <w:tabs>
          <w:tab w:val="left" w:pos="426"/>
        </w:tabs>
        <w:ind w:left="567" w:right="567"/>
        <w:jc w:val="both"/>
        <w:rPr>
          <w:rFonts w:ascii="Palatino Linotype" w:hAnsi="Palatino Linotype"/>
          <w:b/>
          <w:bCs/>
          <w:i/>
          <w:iCs/>
          <w:color w:val="000000" w:themeColor="text1"/>
          <w:sz w:val="22"/>
          <w:szCs w:val="22"/>
        </w:rPr>
      </w:pPr>
      <w:r w:rsidRPr="00B6547E">
        <w:rPr>
          <w:rFonts w:ascii="Palatino Linotype" w:hAnsi="Palatino Linotype"/>
          <w:b/>
          <w:bCs/>
          <w:i/>
          <w:iCs/>
          <w:color w:val="000000" w:themeColor="text1"/>
          <w:sz w:val="22"/>
          <w:szCs w:val="22"/>
        </w:rPr>
        <w:t>d) Dirección General de Movilidad Zona IV;</w:t>
      </w:r>
    </w:p>
    <w:p w14:paraId="046C5939" w14:textId="77777777" w:rsidR="003A6A97" w:rsidRPr="00B6547E" w:rsidRDefault="003A6A97" w:rsidP="003A6A97">
      <w:pPr>
        <w:pStyle w:val="Prrafodelista"/>
        <w:tabs>
          <w:tab w:val="left" w:pos="426"/>
        </w:tabs>
        <w:ind w:left="567" w:right="567"/>
        <w:jc w:val="both"/>
        <w:rPr>
          <w:rFonts w:ascii="Palatino Linotype" w:hAnsi="Palatino Linotype"/>
          <w:i/>
          <w:iCs/>
          <w:color w:val="000000" w:themeColor="text1"/>
          <w:sz w:val="22"/>
          <w:szCs w:val="22"/>
        </w:rPr>
      </w:pPr>
      <w:r w:rsidRPr="00B6547E">
        <w:rPr>
          <w:rFonts w:ascii="Palatino Linotype" w:hAnsi="Palatino Linotype"/>
          <w:i/>
          <w:iCs/>
          <w:sz w:val="22"/>
          <w:szCs w:val="22"/>
        </w:rPr>
        <w:t>(…)”</w:t>
      </w:r>
    </w:p>
    <w:p w14:paraId="4BA7841F" w14:textId="77777777" w:rsidR="003A6A97" w:rsidRPr="00B6547E" w:rsidRDefault="003A6A97" w:rsidP="003A6A97">
      <w:pPr>
        <w:pStyle w:val="Prrafodelista"/>
        <w:tabs>
          <w:tab w:val="left" w:pos="426"/>
        </w:tabs>
        <w:spacing w:line="360" w:lineRule="auto"/>
        <w:ind w:left="0" w:right="51"/>
        <w:jc w:val="both"/>
        <w:rPr>
          <w:rFonts w:ascii="Palatino Linotype" w:hAnsi="Palatino Linotype"/>
          <w:color w:val="000000" w:themeColor="text1"/>
        </w:rPr>
      </w:pPr>
    </w:p>
    <w:p w14:paraId="74847DBD" w14:textId="24E5CBF8" w:rsidR="003A6A97" w:rsidRPr="00B6547E" w:rsidRDefault="003A6A97" w:rsidP="003A6A9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6547E">
        <w:rPr>
          <w:rFonts w:ascii="Palatino Linotype" w:hAnsi="Palatino Linotype"/>
          <w:color w:val="000000" w:themeColor="text1"/>
        </w:rPr>
        <w:lastRenderedPageBreak/>
        <w:t xml:space="preserve">Aunado a lo anterior, el artículo 8 del mismo </w:t>
      </w:r>
      <w:r w:rsidR="003E6145" w:rsidRPr="00B6547E">
        <w:rPr>
          <w:rFonts w:ascii="Palatino Linotype" w:hAnsi="Palatino Linotype"/>
          <w:color w:val="000000" w:themeColor="text1"/>
        </w:rPr>
        <w:t>ordenamiento</w:t>
      </w:r>
      <w:r w:rsidRPr="00B6547E">
        <w:rPr>
          <w:rFonts w:ascii="Palatino Linotype" w:hAnsi="Palatino Linotype"/>
          <w:color w:val="000000" w:themeColor="text1"/>
        </w:rPr>
        <w:t xml:space="preserve"> legal, refiere que la persona Titular de la Subsecretaría de Movilidad, </w:t>
      </w:r>
      <w:r w:rsidR="003E6145" w:rsidRPr="00B6547E">
        <w:rPr>
          <w:rFonts w:ascii="Palatino Linotype" w:hAnsi="Palatino Linotype"/>
          <w:color w:val="000000" w:themeColor="text1"/>
        </w:rPr>
        <w:t>tendrá</w:t>
      </w:r>
      <w:r w:rsidRPr="00B6547E">
        <w:rPr>
          <w:rFonts w:ascii="Palatino Linotype" w:hAnsi="Palatino Linotype"/>
          <w:color w:val="000000" w:themeColor="text1"/>
        </w:rPr>
        <w:t xml:space="preserve"> las </w:t>
      </w:r>
      <w:proofErr w:type="gramStart"/>
      <w:r w:rsidRPr="00B6547E">
        <w:rPr>
          <w:rFonts w:ascii="Palatino Linotype" w:hAnsi="Palatino Linotype"/>
          <w:color w:val="000000" w:themeColor="text1"/>
        </w:rPr>
        <w:t>siguiente atribuciones</w:t>
      </w:r>
      <w:proofErr w:type="gramEnd"/>
      <w:r w:rsidRPr="00B6547E">
        <w:rPr>
          <w:rFonts w:ascii="Palatino Linotype" w:hAnsi="Palatino Linotype"/>
          <w:color w:val="000000" w:themeColor="text1"/>
        </w:rPr>
        <w:t>:</w:t>
      </w:r>
    </w:p>
    <w:p w14:paraId="19D8ABC1" w14:textId="77777777" w:rsidR="003A6A97" w:rsidRPr="00B6547E" w:rsidRDefault="003A6A97" w:rsidP="003A6A97">
      <w:pPr>
        <w:pStyle w:val="Prrafodelista"/>
        <w:tabs>
          <w:tab w:val="left" w:pos="426"/>
        </w:tabs>
        <w:spacing w:line="360" w:lineRule="auto"/>
        <w:ind w:left="0" w:right="51"/>
        <w:jc w:val="both"/>
        <w:rPr>
          <w:rFonts w:ascii="Palatino Linotype" w:hAnsi="Palatino Linotype"/>
          <w:color w:val="000000" w:themeColor="text1"/>
        </w:rPr>
      </w:pPr>
    </w:p>
    <w:p w14:paraId="2841DAC4"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w:t>
      </w:r>
      <w:r w:rsidRPr="00B6547E">
        <w:rPr>
          <w:rFonts w:ascii="Palatino Linotype" w:hAnsi="Palatino Linotype"/>
          <w:b/>
          <w:bCs/>
          <w:i/>
          <w:iCs/>
          <w:sz w:val="22"/>
          <w:szCs w:val="22"/>
        </w:rPr>
        <w:t>Artículo 8.</w:t>
      </w:r>
      <w:r w:rsidRPr="00B6547E">
        <w:rPr>
          <w:rFonts w:ascii="Palatino Linotype" w:hAnsi="Palatino Linotype"/>
          <w:i/>
          <w:iCs/>
          <w:sz w:val="22"/>
          <w:szCs w:val="22"/>
        </w:rPr>
        <w:t xml:space="preserve"> La persona titular de la Subsecretaría de Movilidad tendrá las atribuciones siguientes: </w:t>
      </w:r>
    </w:p>
    <w:p w14:paraId="017247E8" w14:textId="77777777" w:rsidR="003A6A97" w:rsidRPr="00B6547E" w:rsidRDefault="003A6A97" w:rsidP="003A6A97">
      <w:pPr>
        <w:pStyle w:val="Prrafodelista"/>
        <w:tabs>
          <w:tab w:val="left" w:pos="426"/>
        </w:tabs>
        <w:ind w:left="567" w:right="567"/>
        <w:jc w:val="both"/>
        <w:rPr>
          <w:rFonts w:ascii="Palatino Linotype" w:hAnsi="Palatino Linotype"/>
          <w:i/>
          <w:iCs/>
          <w:color w:val="000000" w:themeColor="text1"/>
          <w:sz w:val="22"/>
          <w:szCs w:val="22"/>
        </w:rPr>
      </w:pPr>
      <w:r w:rsidRPr="00B6547E">
        <w:rPr>
          <w:rFonts w:ascii="Palatino Linotype" w:hAnsi="Palatino Linotype"/>
          <w:i/>
          <w:iCs/>
          <w:sz w:val="22"/>
          <w:szCs w:val="22"/>
        </w:rPr>
        <w:t>I. Planear, coordinar, controlar y evaluar las funciones encomendadas a las unidades administrativas bajo su adscripción, vigilando el cumplimiento de sus programas y objetivos;</w:t>
      </w:r>
    </w:p>
    <w:p w14:paraId="183D3353"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II. Validar y someter a la aprobación de la persona titular de la Secretaría los lineamientos, criterios y procedimientos de carácter técnico que rijan a las unidades administrativas bajo su adscripción; </w:t>
      </w:r>
    </w:p>
    <w:p w14:paraId="7EE6B8CA"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III. Acordar con la persona titular de la Secretaría el despacho de los asuntos a su cargo que requieran de su intervención; </w:t>
      </w:r>
    </w:p>
    <w:p w14:paraId="744C0737"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IV. Proponer a la persona titular de la Secretaría los proyectos de programas anuales de actividades y los anteproyectos de ingresos y de egresos que le correspondan; </w:t>
      </w:r>
    </w:p>
    <w:p w14:paraId="23BDCBE2"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V. Elaborar los dictámenes, estudios, opiniones, informes y demás documentos que le solicite la persona titular de la Secretaría y aquellos que le correspondan en razón de sus atribuciones; </w:t>
      </w:r>
    </w:p>
    <w:p w14:paraId="43435D2A"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VI. Suscribir los documentos relativos al ejercicio de sus atribuciones y aquellos que le sean señalados por delegación o los que le correspondan por suplencia; VII. Ejercer directamente, cuando las necesidades del servicio así lo requieran, las funciones asignadas a las unidades administrativas bajo su adscripción; </w:t>
      </w:r>
    </w:p>
    <w:p w14:paraId="0A59F9B7"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VIII. Someter a la consideración de la persona titular de la Secretaría el nombramiento, licencia, promoción y remoción de las personas titulares de las unidades administrativas bajo su adscripción; </w:t>
      </w:r>
    </w:p>
    <w:p w14:paraId="38CD92B6"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IX. Interpretar, para efectos administrativos, las disposiciones en materia de transporte público e informar lo conducente a las unidades administrativas bajo su adscripción; </w:t>
      </w:r>
    </w:p>
    <w:p w14:paraId="4182108E"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 Suscribir los documentos relacionados con el otorgamiento de concesiones, permisos, autorizaciones de bases, lanzaderas y derroteros, modificaciones de alargamientos y enlaces de los mismos, así como con las autorizaciones de </w:t>
      </w:r>
      <w:proofErr w:type="spellStart"/>
      <w:r w:rsidRPr="00B6547E">
        <w:rPr>
          <w:rFonts w:ascii="Palatino Linotype" w:hAnsi="Palatino Linotype"/>
          <w:i/>
          <w:iCs/>
          <w:sz w:val="22"/>
          <w:szCs w:val="22"/>
        </w:rPr>
        <w:t>emplacamiento</w:t>
      </w:r>
      <w:proofErr w:type="spellEnd"/>
      <w:r w:rsidRPr="00B6547E">
        <w:rPr>
          <w:rFonts w:ascii="Palatino Linotype" w:hAnsi="Palatino Linotype"/>
          <w:i/>
          <w:iCs/>
          <w:sz w:val="22"/>
          <w:szCs w:val="22"/>
        </w:rPr>
        <w:t xml:space="preserve">, previo acuerdo con la persona Titular de la Secretaría; </w:t>
      </w:r>
    </w:p>
    <w:p w14:paraId="35C1F985"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XI. Aplicar, en el ámbito de su competencia, las normas técnicas que expida la Secretaría; </w:t>
      </w:r>
    </w:p>
    <w:p w14:paraId="6D8E264D"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XII. Representar a la persona titular de la Secretaría y desempeñar las comisiones que este le encomiende e informarle respecto de su cumplimiento; </w:t>
      </w:r>
    </w:p>
    <w:p w14:paraId="016040A7"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XIII. Acordar con la persona titular de la Secretaría el otorgamiento de concesiones, permisos y autorizaciones para la prestación del servicio público de transporte en sus diversas modalidades o relacionadas con el y de las autorizaciones para la operación de los talleres de inspección y servicio; </w:t>
      </w:r>
    </w:p>
    <w:p w14:paraId="649CF0B3"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lastRenderedPageBreak/>
        <w:t xml:space="preserve">XIV. Validar y proponer a la persona titular de la Secretaría programas, proyectos, políticas y presupuestos para el desarrollo del transporte público en el Estado y vigilar su cumplimiento; </w:t>
      </w:r>
    </w:p>
    <w:p w14:paraId="73CAFF68"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XV. Coordinar las acciones de verificación e inspección en la prestación del servicio público de transporte de pasajeros, así como de las condiciones físicas de los equipos, instalaciones y servicios complementarios; </w:t>
      </w:r>
    </w:p>
    <w:p w14:paraId="4DB5322A"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XVI. Realizar el seguimiento a las acciones que en materia de transporte público se deriven de los acuerdos y convenios suscritos por el Gobierno del Estado de México con los gobiernos Federal, de la Ciudad de México, de otras entidades federativas y municipios; </w:t>
      </w:r>
    </w:p>
    <w:p w14:paraId="3B5258FD" w14:textId="77777777" w:rsidR="003A6A97" w:rsidRPr="00B6547E" w:rsidRDefault="003A6A97" w:rsidP="003A6A97">
      <w:pPr>
        <w:pStyle w:val="Prrafodelista"/>
        <w:tabs>
          <w:tab w:val="left" w:pos="426"/>
        </w:tabs>
        <w:ind w:left="567" w:right="567"/>
        <w:jc w:val="both"/>
        <w:rPr>
          <w:rFonts w:ascii="Palatino Linotype" w:hAnsi="Palatino Linotype"/>
          <w:i/>
          <w:iCs/>
          <w:color w:val="000000" w:themeColor="text1"/>
          <w:sz w:val="22"/>
          <w:szCs w:val="22"/>
        </w:rPr>
      </w:pPr>
      <w:r w:rsidRPr="00B6547E">
        <w:rPr>
          <w:rFonts w:ascii="Palatino Linotype" w:hAnsi="Palatino Linotype"/>
          <w:i/>
          <w:iCs/>
          <w:sz w:val="22"/>
          <w:szCs w:val="22"/>
        </w:rPr>
        <w:t>XVII. Determinar los casos en que el servicio público de transporte deba prestarse en carriles confinados, con base en los programas que determine la Secretaría;</w:t>
      </w:r>
    </w:p>
    <w:p w14:paraId="612CB2AE"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XVIII. Presentar querellas por el delito previsto en el artículo 148 del Código Penal del Estado de México; </w:t>
      </w:r>
    </w:p>
    <w:p w14:paraId="0ACFB613"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XIX. Atender con oportunidad los requerimientos y solicitudes que para el cumplimiento de sus atribuciones y funciones formule la Dirección General de Asuntos Jurídicos e Igualdad de Género en los términos y plazos que esta señale; XX. Informar a la Dirección General de Asuntos Jurídicos e Igualdad de Género sobre la presunta comisión de delitos de los que tenga conocimiento en el ejercicio de sus funciones, aportando los elementos que sustenten la denuncia o querella correspondiente; </w:t>
      </w:r>
    </w:p>
    <w:p w14:paraId="5D88A9DA"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XXI. Expedir constancias o certificar documentos que obren en los archivos de la unidad administrativa a su cargo, cuando se refieran a asuntos de su competencia; </w:t>
      </w:r>
    </w:p>
    <w:p w14:paraId="5EE8FDD0"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XXII. Dar contestación, en el ámbito de sus atribuciones, a las peticiones dirigidas a la persona titular de la Secretaría, cuando así le sea instruido; </w:t>
      </w:r>
    </w:p>
    <w:p w14:paraId="2B5E0ACD"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XXIII. Revocar los actos administrativos emitidos por una persona servidora pública subalterna, fundando y motivando las razones de tal determinación; </w:t>
      </w:r>
    </w:p>
    <w:p w14:paraId="51D12613"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XXIV. Determinar, en el ámbito de su competencia, la viabilidad para la contratación de servicios técnicos y profesionales en materia de transporte, de conformidad con las disposiciones jurídicas aplicables; </w:t>
      </w:r>
    </w:p>
    <w:p w14:paraId="5FAE8B4E"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XXV. Suscribir convenios y acuerdos con instituciones públicas, sociales y privadas para la atención de los asuntos en materia de transporte; </w:t>
      </w:r>
    </w:p>
    <w:p w14:paraId="46231876"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XXVI. Recibir, remitir y dar seguimiento en conjunto con las direcciones generales de movilidad que corresponda a las quejas, sugerencias y denuncias que sean presentadas en contra de concesionarios, permisionarios o autorizados, con motivo de la prestación de la movilidad en el Estado; </w:t>
      </w:r>
    </w:p>
    <w:p w14:paraId="4B6E3AA3"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XXVII. Cumplir en el ámbito de su competencia con las disposiciones en materia archivística y de administración de documentos, establecidas en la Ley de Archivos y Administración de Documentos del Estado de México y Municipios y en otras disposiciones jurídicas aplicables; </w:t>
      </w:r>
    </w:p>
    <w:p w14:paraId="5ECC5BE6"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lastRenderedPageBreak/>
        <w:t xml:space="preserve">XXVIII. Implementar en el ámbito de su competencia las medidas tendentes a institucionalizar la perspectiva de género, la igualdad sustantiva, la eliminación de toda forma de discriminación y el respeto a los derechos humanos, y </w:t>
      </w:r>
    </w:p>
    <w:p w14:paraId="60EE7AD7" w14:textId="77777777" w:rsidR="003A6A97" w:rsidRPr="00B6547E" w:rsidRDefault="003A6A97" w:rsidP="003A6A97">
      <w:pPr>
        <w:pStyle w:val="Prrafodelista"/>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XXIX. Las demás que le confieran otras disposiciones jurídicas aplicables y las que le encomiende la persona titular de la Secretaría.” </w:t>
      </w:r>
    </w:p>
    <w:p w14:paraId="37EB86B6" w14:textId="77777777" w:rsidR="003A6A97" w:rsidRPr="00B6547E" w:rsidRDefault="003A6A97" w:rsidP="003A6A97">
      <w:pPr>
        <w:pStyle w:val="Prrafodelista"/>
        <w:tabs>
          <w:tab w:val="left" w:pos="426"/>
        </w:tabs>
        <w:spacing w:line="360" w:lineRule="auto"/>
        <w:ind w:left="0" w:right="51"/>
        <w:jc w:val="both"/>
        <w:rPr>
          <w:rFonts w:ascii="Palatino Linotype" w:hAnsi="Palatino Linotype"/>
          <w:color w:val="000000" w:themeColor="text1"/>
        </w:rPr>
      </w:pPr>
    </w:p>
    <w:p w14:paraId="619BD094" w14:textId="792DE9A1" w:rsidR="003A6A97" w:rsidRPr="00B6547E" w:rsidRDefault="003A6A97" w:rsidP="003A6A9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6547E">
        <w:rPr>
          <w:rFonts w:ascii="Palatino Linotype" w:hAnsi="Palatino Linotype"/>
          <w:color w:val="000000" w:themeColor="text1"/>
        </w:rPr>
        <w:t xml:space="preserve">Asimismo, el artículo13 señalan las atribuciones </w:t>
      </w:r>
      <w:r w:rsidR="003E6145" w:rsidRPr="00B6547E">
        <w:rPr>
          <w:rFonts w:ascii="Palatino Linotype" w:hAnsi="Palatino Linotype"/>
          <w:color w:val="000000" w:themeColor="text1"/>
        </w:rPr>
        <w:t>específicas</w:t>
      </w:r>
      <w:r w:rsidRPr="00B6547E">
        <w:rPr>
          <w:rFonts w:ascii="Palatino Linotype" w:hAnsi="Palatino Linotype"/>
          <w:color w:val="000000" w:themeColor="text1"/>
        </w:rPr>
        <w:t xml:space="preserve"> de las personas Titulares de las Direcciones </w:t>
      </w:r>
      <w:r w:rsidRPr="00B6547E">
        <w:t>Generales, como se transcribe:</w:t>
      </w:r>
    </w:p>
    <w:p w14:paraId="319D9D27" w14:textId="77777777" w:rsidR="003A6A97" w:rsidRPr="00B6547E" w:rsidRDefault="003A6A97" w:rsidP="003A6A97">
      <w:pPr>
        <w:pStyle w:val="Prrafodelista"/>
        <w:tabs>
          <w:tab w:val="left" w:pos="426"/>
        </w:tabs>
        <w:spacing w:line="360" w:lineRule="auto"/>
        <w:ind w:left="0" w:right="51"/>
        <w:jc w:val="both"/>
        <w:rPr>
          <w:rFonts w:ascii="Palatino Linotype" w:hAnsi="Palatino Linotype"/>
          <w:color w:val="000000" w:themeColor="text1"/>
        </w:rPr>
      </w:pPr>
    </w:p>
    <w:p w14:paraId="06A29D6A" w14:textId="77777777" w:rsidR="003A6A97" w:rsidRPr="00B6547E" w:rsidRDefault="003A6A97" w:rsidP="003A6A97">
      <w:pPr>
        <w:tabs>
          <w:tab w:val="left" w:pos="426"/>
        </w:tabs>
        <w:ind w:left="567" w:right="567"/>
        <w:jc w:val="center"/>
        <w:rPr>
          <w:rFonts w:ascii="Palatino Linotype" w:hAnsi="Palatino Linotype"/>
          <w:b/>
          <w:bCs/>
          <w:i/>
          <w:iCs/>
          <w:sz w:val="22"/>
          <w:szCs w:val="22"/>
        </w:rPr>
      </w:pPr>
      <w:r w:rsidRPr="00B6547E">
        <w:rPr>
          <w:rFonts w:ascii="Palatino Linotype" w:hAnsi="Palatino Linotype"/>
          <w:b/>
          <w:bCs/>
          <w:i/>
          <w:iCs/>
          <w:sz w:val="22"/>
          <w:szCs w:val="22"/>
        </w:rPr>
        <w:t>“Sección Primera De la Subsecretaría de Movilidad</w:t>
      </w:r>
    </w:p>
    <w:p w14:paraId="277DA07C" w14:textId="77777777" w:rsidR="003A6A97" w:rsidRPr="00B6547E" w:rsidRDefault="003A6A97" w:rsidP="003A6A97">
      <w:pPr>
        <w:tabs>
          <w:tab w:val="left" w:pos="426"/>
        </w:tabs>
        <w:ind w:left="567" w:right="567"/>
        <w:jc w:val="both"/>
        <w:rPr>
          <w:rFonts w:ascii="Palatino Linotype" w:hAnsi="Palatino Linotype"/>
          <w:b/>
          <w:bCs/>
          <w:i/>
          <w:iCs/>
          <w:sz w:val="22"/>
          <w:szCs w:val="22"/>
        </w:rPr>
      </w:pPr>
    </w:p>
    <w:p w14:paraId="198278A3"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b/>
          <w:bCs/>
          <w:i/>
          <w:iCs/>
          <w:sz w:val="22"/>
          <w:szCs w:val="22"/>
        </w:rPr>
        <w:t>Artículo 11.</w:t>
      </w:r>
      <w:r w:rsidRPr="00B6547E">
        <w:rPr>
          <w:rFonts w:ascii="Palatino Linotype" w:hAnsi="Palatino Linotype"/>
          <w:i/>
          <w:iCs/>
          <w:sz w:val="22"/>
          <w:szCs w:val="22"/>
        </w:rPr>
        <w:t xml:space="preserve"> A la Subsecretaría le corresponde planear, coordinar, dirigir, controlar y evaluar la operatividad del servicio de transporte público y mixto en el Estado, con apego a las leyes, reglamentos y demás ordenamientos jurídicos aplicables. </w:t>
      </w:r>
    </w:p>
    <w:p w14:paraId="3D5AB28C" w14:textId="77777777" w:rsidR="003A6A97" w:rsidRPr="00B6547E" w:rsidRDefault="003A6A97" w:rsidP="003A6A97">
      <w:pPr>
        <w:tabs>
          <w:tab w:val="left" w:pos="426"/>
        </w:tabs>
        <w:ind w:left="567" w:right="567"/>
        <w:jc w:val="both"/>
        <w:rPr>
          <w:rFonts w:ascii="Palatino Linotype" w:hAnsi="Palatino Linotype"/>
          <w:i/>
          <w:iCs/>
          <w:sz w:val="22"/>
          <w:szCs w:val="22"/>
        </w:rPr>
      </w:pPr>
    </w:p>
    <w:p w14:paraId="5B807A93"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b/>
          <w:bCs/>
          <w:i/>
          <w:iCs/>
          <w:sz w:val="22"/>
          <w:szCs w:val="22"/>
        </w:rPr>
        <w:t>Artículo 12.</w:t>
      </w:r>
      <w:r w:rsidRPr="00B6547E">
        <w:rPr>
          <w:rFonts w:ascii="Palatino Linotype" w:hAnsi="Palatino Linotype"/>
          <w:i/>
          <w:iCs/>
          <w:sz w:val="22"/>
          <w:szCs w:val="22"/>
        </w:rPr>
        <w:t xml:space="preserve"> La Subsecretaría tendrá bajo su adscripción las siguientes unidades administrativas: </w:t>
      </w:r>
    </w:p>
    <w:p w14:paraId="6AEB51CF" w14:textId="77777777" w:rsidR="003A6A97" w:rsidRPr="00B6547E" w:rsidRDefault="003A6A97" w:rsidP="003A6A97">
      <w:pPr>
        <w:tabs>
          <w:tab w:val="left" w:pos="426"/>
        </w:tabs>
        <w:ind w:left="567" w:right="567"/>
        <w:jc w:val="both"/>
        <w:rPr>
          <w:rFonts w:ascii="Palatino Linotype" w:hAnsi="Palatino Linotype"/>
          <w:i/>
          <w:iCs/>
          <w:sz w:val="22"/>
          <w:szCs w:val="22"/>
        </w:rPr>
      </w:pPr>
    </w:p>
    <w:p w14:paraId="60AE6E6E"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I. Dirección General de Movilidad Zona I; </w:t>
      </w:r>
    </w:p>
    <w:p w14:paraId="1ECF5219" w14:textId="77777777" w:rsidR="003A6A97" w:rsidRPr="00B6547E" w:rsidRDefault="003A6A97" w:rsidP="003A6A97">
      <w:pPr>
        <w:tabs>
          <w:tab w:val="left" w:pos="426"/>
        </w:tabs>
        <w:ind w:left="567" w:right="567"/>
        <w:jc w:val="both"/>
        <w:rPr>
          <w:rFonts w:ascii="Palatino Linotype" w:hAnsi="Palatino Linotype"/>
          <w:i/>
          <w:iCs/>
          <w:color w:val="000000" w:themeColor="text1"/>
          <w:sz w:val="22"/>
          <w:szCs w:val="22"/>
        </w:rPr>
      </w:pPr>
      <w:r w:rsidRPr="00B6547E">
        <w:rPr>
          <w:rFonts w:ascii="Palatino Linotype" w:hAnsi="Palatino Linotype"/>
          <w:i/>
          <w:iCs/>
          <w:sz w:val="22"/>
          <w:szCs w:val="22"/>
        </w:rPr>
        <w:t>II. Dirección General de Movilidad Zona II;</w:t>
      </w:r>
    </w:p>
    <w:p w14:paraId="128D3E49" w14:textId="77777777" w:rsidR="003A6A97" w:rsidRPr="00B6547E" w:rsidRDefault="003A6A97" w:rsidP="00C823B5">
      <w:pPr>
        <w:pStyle w:val="Prrafodelista"/>
        <w:numPr>
          <w:ilvl w:val="3"/>
          <w:numId w:val="12"/>
        </w:numPr>
        <w:tabs>
          <w:tab w:val="left" w:pos="426"/>
        </w:tabs>
        <w:ind w:left="567" w:right="567" w:firstLine="0"/>
        <w:jc w:val="both"/>
        <w:rPr>
          <w:rFonts w:ascii="Palatino Linotype" w:hAnsi="Palatino Linotype"/>
          <w:i/>
          <w:iCs/>
          <w:sz w:val="22"/>
          <w:szCs w:val="22"/>
        </w:rPr>
      </w:pPr>
      <w:r w:rsidRPr="00B6547E">
        <w:rPr>
          <w:rFonts w:ascii="Palatino Linotype" w:hAnsi="Palatino Linotype"/>
          <w:i/>
          <w:iCs/>
          <w:sz w:val="22"/>
          <w:szCs w:val="22"/>
        </w:rPr>
        <w:t xml:space="preserve">Dirección General de Movilidad Zona III, y </w:t>
      </w:r>
    </w:p>
    <w:p w14:paraId="4F9B28A5" w14:textId="77777777" w:rsidR="003A6A97" w:rsidRPr="00B6547E" w:rsidRDefault="003A6A97" w:rsidP="00C823B5">
      <w:pPr>
        <w:pStyle w:val="Prrafodelista"/>
        <w:numPr>
          <w:ilvl w:val="3"/>
          <w:numId w:val="12"/>
        </w:numPr>
        <w:tabs>
          <w:tab w:val="left" w:pos="426"/>
        </w:tabs>
        <w:ind w:left="567" w:right="567" w:firstLine="0"/>
        <w:jc w:val="both"/>
        <w:rPr>
          <w:rFonts w:ascii="Palatino Linotype" w:hAnsi="Palatino Linotype"/>
          <w:i/>
          <w:iCs/>
          <w:color w:val="000000" w:themeColor="text1"/>
          <w:sz w:val="22"/>
          <w:szCs w:val="22"/>
        </w:rPr>
      </w:pPr>
      <w:r w:rsidRPr="00B6547E">
        <w:rPr>
          <w:rFonts w:ascii="Palatino Linotype" w:hAnsi="Palatino Linotype"/>
          <w:i/>
          <w:iCs/>
          <w:sz w:val="22"/>
          <w:szCs w:val="22"/>
        </w:rPr>
        <w:t>IV. Dirección General de Movilidad Zona IV.</w:t>
      </w:r>
    </w:p>
    <w:p w14:paraId="0E732FA4" w14:textId="77777777" w:rsidR="003A6A97" w:rsidRPr="00B6547E" w:rsidRDefault="003A6A97" w:rsidP="003A6A97">
      <w:pPr>
        <w:tabs>
          <w:tab w:val="left" w:pos="426"/>
        </w:tabs>
        <w:spacing w:line="360" w:lineRule="auto"/>
        <w:ind w:left="567" w:right="567"/>
        <w:jc w:val="both"/>
        <w:rPr>
          <w:rFonts w:ascii="Palatino Linotype" w:hAnsi="Palatino Linotype"/>
          <w:color w:val="000000" w:themeColor="text1"/>
        </w:rPr>
      </w:pPr>
    </w:p>
    <w:p w14:paraId="73F7570E" w14:textId="77777777" w:rsidR="003A6A97" w:rsidRPr="00B6547E" w:rsidRDefault="003A6A97" w:rsidP="003A6A97">
      <w:pPr>
        <w:tabs>
          <w:tab w:val="left" w:pos="426"/>
        </w:tabs>
        <w:ind w:left="567" w:right="567"/>
        <w:jc w:val="center"/>
        <w:rPr>
          <w:rFonts w:ascii="Palatino Linotype" w:hAnsi="Palatino Linotype"/>
          <w:b/>
          <w:bCs/>
          <w:i/>
          <w:iCs/>
          <w:sz w:val="22"/>
          <w:szCs w:val="22"/>
        </w:rPr>
      </w:pPr>
      <w:r w:rsidRPr="00B6547E">
        <w:rPr>
          <w:rFonts w:ascii="Palatino Linotype" w:hAnsi="Palatino Linotype"/>
          <w:b/>
          <w:bCs/>
          <w:i/>
          <w:iCs/>
          <w:sz w:val="22"/>
          <w:szCs w:val="22"/>
        </w:rPr>
        <w:t>Sección Segunda De las Direcciones Generales de Movilidad</w:t>
      </w:r>
    </w:p>
    <w:p w14:paraId="72D3A1EE" w14:textId="77777777" w:rsidR="003A6A97" w:rsidRPr="00B6547E" w:rsidRDefault="003A6A97" w:rsidP="003A6A97">
      <w:pPr>
        <w:tabs>
          <w:tab w:val="left" w:pos="426"/>
        </w:tabs>
        <w:ind w:left="567" w:right="567"/>
        <w:jc w:val="center"/>
        <w:rPr>
          <w:rFonts w:ascii="Palatino Linotype" w:hAnsi="Palatino Linotype"/>
          <w:b/>
          <w:bCs/>
          <w:i/>
          <w:iCs/>
          <w:sz w:val="22"/>
          <w:szCs w:val="22"/>
        </w:rPr>
      </w:pPr>
    </w:p>
    <w:p w14:paraId="3BF80C64"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b/>
          <w:bCs/>
          <w:i/>
          <w:iCs/>
          <w:sz w:val="22"/>
          <w:szCs w:val="22"/>
        </w:rPr>
        <w:t>Artículo 13</w:t>
      </w:r>
      <w:r w:rsidRPr="00B6547E">
        <w:rPr>
          <w:rFonts w:ascii="Palatino Linotype" w:hAnsi="Palatino Linotype"/>
          <w:i/>
          <w:iCs/>
          <w:sz w:val="22"/>
          <w:szCs w:val="22"/>
        </w:rPr>
        <w:t xml:space="preserve">. Corresponden a las direcciones generales de movilidad, en su respectiva circunscripción territorial, las atribuciones siguientes: </w:t>
      </w:r>
    </w:p>
    <w:p w14:paraId="36002595"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I. Proponer a la persona titular de la Subsecretaría estudios que garanticen el derecho a la movilidad en condiciones de accesibilidad, calidad y seguridad, en coordinación con autoridades federales, estatales y municipales; </w:t>
      </w:r>
    </w:p>
    <w:p w14:paraId="3EAE8305"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II. Implementar y/o fomentar programas de educación vial en los entornos escolares y áreas habitacionales que propicien una cultura de movilidad; </w:t>
      </w:r>
    </w:p>
    <w:p w14:paraId="47E53201"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III. Promover y organizar la capacitación, investigación y desarrollo tecnológico en materia de movilidad; </w:t>
      </w:r>
    </w:p>
    <w:p w14:paraId="3EBC2C60"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IV. Atender, previo acuerdo de la persona titular de la Subsecretaría, las solicitudes para los alargamientos, derroteros, enlace, enrolamiento, bases, paraderos, frecuencia, rutas y </w:t>
      </w:r>
      <w:r w:rsidRPr="00B6547E">
        <w:rPr>
          <w:rFonts w:ascii="Palatino Linotype" w:hAnsi="Palatino Linotype"/>
          <w:i/>
          <w:iCs/>
          <w:sz w:val="22"/>
          <w:szCs w:val="22"/>
        </w:rPr>
        <w:lastRenderedPageBreak/>
        <w:t xml:space="preserve">horarios para la operación de los servicios de transporte en la Entidad, de acuerdo con los estudios técnicos y con la necesidad pública existente, para proceder a resolverlas; </w:t>
      </w:r>
    </w:p>
    <w:p w14:paraId="53FF3AD0"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V. Planear, coordinar y dictaminar sobre la implementación de corredores de mediana capacidad, o de nuevos sistemas de transporte que optimicen la accesibilidad a una movilidad integral; </w:t>
      </w:r>
    </w:p>
    <w:p w14:paraId="01801289"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VI. Vigilar la adecuada implementación y permanencia de los elementos de identificación de los vehículos afectos a la prestación del servicio público de transporte; </w:t>
      </w:r>
    </w:p>
    <w:p w14:paraId="2953C47F"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VII. Autorizar y supervisar las visitas de verificación e inspección de vehículos relacionados con el transporte público y revisar que los concesionarios y permisionarios cumplan con el cobro de las tarifas autorizadas y la debida prestación del servicio; </w:t>
      </w:r>
    </w:p>
    <w:p w14:paraId="0DA614DB"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VIII. Intervenir en la solución de conflictos entre concesionarios y permisionarios con motivo de la prestación del servicio público de transporte; </w:t>
      </w:r>
    </w:p>
    <w:p w14:paraId="377AD6EF"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IX. Realizar visitas de inspección a cada una de las empresas prestadoras de servicio público registradas en la Secretaría, en cuanto a su padrón de choferes y parque vehicular con la finalidad de una óptima prestación del servicio; </w:t>
      </w:r>
    </w:p>
    <w:p w14:paraId="7E9467F3"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 Supervisar la efectiva aplicación de las sanciones a que se hagan acreedores quienes presten el servicio público de transporte, por las delegaciones regionales de Movilidad, de conformidad con las disposiciones de la materia; </w:t>
      </w:r>
    </w:p>
    <w:p w14:paraId="1E64C4A0" w14:textId="77777777" w:rsidR="003A6A97" w:rsidRPr="00B6547E" w:rsidRDefault="003A6A97" w:rsidP="003A6A97">
      <w:pPr>
        <w:tabs>
          <w:tab w:val="left" w:pos="426"/>
        </w:tabs>
        <w:ind w:left="567" w:right="567"/>
        <w:jc w:val="both"/>
        <w:rPr>
          <w:rFonts w:ascii="Palatino Linotype" w:hAnsi="Palatino Linotype"/>
          <w:i/>
          <w:iCs/>
          <w:color w:val="000000" w:themeColor="text1"/>
          <w:sz w:val="22"/>
          <w:szCs w:val="22"/>
        </w:rPr>
      </w:pPr>
      <w:r w:rsidRPr="00B6547E">
        <w:rPr>
          <w:rFonts w:ascii="Palatino Linotype" w:hAnsi="Palatino Linotype"/>
          <w:i/>
          <w:iCs/>
          <w:sz w:val="22"/>
          <w:szCs w:val="22"/>
        </w:rPr>
        <w:t>XI. Dictaminar respecto de la creación, modificación, enlace o cancelación de alargamientos, derroteros, enlaces, enrolamientos, bases, paraderos, frecuencias y horarios, previo acuerdo de la persona titular de la Subsecretaría;</w:t>
      </w:r>
    </w:p>
    <w:p w14:paraId="1AD7DE9B"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XII. Supervisar los actos relacionados con el otorgamiento de concesiones, permisos y autorizaciones en los que intervengan las delegaciones regionales de movilidad bajo su adscripción; </w:t>
      </w:r>
    </w:p>
    <w:p w14:paraId="6683A7CA"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XIII. Supervisar que las delegaciones regionales y subdelegaciones de movilidad bajo su adscripción cumplan con las funciones y actividades que les sean encomendadas; </w:t>
      </w:r>
    </w:p>
    <w:p w14:paraId="63C8D529"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XIV. Coordinar y supervisar la retención de unidades destinadas al servicio público de transporte, determinando y ejecutando, en los casos que así proceda, la aplicación de esta medida conforme a la normatividad aplicable; </w:t>
      </w:r>
    </w:p>
    <w:p w14:paraId="2AA66B80"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XV. Remitir a la Dirección General de Asuntos Jurídicos e Igualdad de Género los recursos administrativos de inconformidad interpuestos en contra de los actos y resoluciones que emitan las unidades administrativas a su cargo, para su tramitación y resolución; </w:t>
      </w:r>
    </w:p>
    <w:p w14:paraId="4D76CCAA"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XVI. Realizar acciones tendientes a incrementar y preservar la movilidad urbana, en coordinación con dependencias del Ejecutivo Estatal y con autoridades municipales; XVII. Coordinar con las autoridades federales, estatales y municipales, las actividades tendientes a resolver problemas en materia del transporte público, así como de movilidad integral, de conformidad con los convenios suscritos por la Secretaría; </w:t>
      </w:r>
    </w:p>
    <w:p w14:paraId="61967451"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lastRenderedPageBreak/>
        <w:t xml:space="preserve">XVIII. Supervisar que los concesionarios del servicio público de arrastre, salvamento, guarda, custodia y depósito de vehículos, así como los permisionarios del servicio público de arrastre y traslado cumplan con las obligaciones jurídicas que le sean aplicables; </w:t>
      </w:r>
    </w:p>
    <w:p w14:paraId="63F92A1B"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XIX. Determinar para cada delegación regional de movilidad a su cargo, en el mes de diciembre, el rol de turno de servicios aplicable para el ejercicio del año siguiente, al que estarán sujetos los concesionarios del servicio público de arrastre, salvamento, guarda, custodia y depósito de vehículos, vigilando su participación de manera equitativa, conforme a los títulos de concesión y al tipo de equipo que posean, así como ordenar su publicación en el Periódico Oficial “Gaceta del Gobierno”; </w:t>
      </w:r>
    </w:p>
    <w:p w14:paraId="68D1301D"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 Elaborar el acta circunstanciada en los casos de intervención de los servicios públicos de transporte concesionados; </w:t>
      </w:r>
    </w:p>
    <w:p w14:paraId="3C2FAE5D"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XXI. Presentar las querellas por el delito contemplado en el artículo 148 del Código Penal del Estado de México; </w:t>
      </w:r>
    </w:p>
    <w:p w14:paraId="0C40F9DC"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XXII. Someter a la consideración de la persona titular de la Subsecretaría la planeación, coordinación y dictaminación sobre la implementación de corredores de mediana capacidad, o de nuevos sistemas de movilidad que optimicen la accesibilidad a una movilidad integral; </w:t>
      </w:r>
    </w:p>
    <w:p w14:paraId="33BE18C2" w14:textId="77777777" w:rsidR="003A6A97" w:rsidRPr="00B6547E" w:rsidRDefault="003A6A97" w:rsidP="003A6A97">
      <w:pPr>
        <w:tabs>
          <w:tab w:val="left" w:pos="426"/>
        </w:tabs>
        <w:ind w:left="567" w:right="567"/>
        <w:jc w:val="both"/>
        <w:rPr>
          <w:rFonts w:ascii="Palatino Linotype" w:hAnsi="Palatino Linotype"/>
          <w:i/>
          <w:iCs/>
          <w:sz w:val="22"/>
          <w:szCs w:val="22"/>
        </w:rPr>
      </w:pPr>
      <w:r w:rsidRPr="00B6547E">
        <w:rPr>
          <w:rFonts w:ascii="Palatino Linotype" w:hAnsi="Palatino Linotype"/>
          <w:i/>
          <w:iCs/>
          <w:sz w:val="22"/>
          <w:szCs w:val="22"/>
        </w:rPr>
        <w:t xml:space="preserve">XXIII. Recibir, remitir y dar seguimiento en conjunto con las direcciones generales que corresponda, las quejas, sugerencias y denuncias que sean presentadas en contra de concesionarios, permisionarios o autorizados, con motivo de la prestación del servicio público de transporte de pasajeros en el Estado, y </w:t>
      </w:r>
    </w:p>
    <w:p w14:paraId="1EC887EC" w14:textId="77777777" w:rsidR="003A6A97" w:rsidRPr="00B6547E" w:rsidRDefault="003A6A97" w:rsidP="003A6A97">
      <w:pPr>
        <w:tabs>
          <w:tab w:val="left" w:pos="426"/>
        </w:tabs>
        <w:ind w:left="567" w:right="567"/>
        <w:jc w:val="both"/>
        <w:rPr>
          <w:rFonts w:ascii="Palatino Linotype" w:hAnsi="Palatino Linotype"/>
          <w:i/>
          <w:iCs/>
          <w:color w:val="000000" w:themeColor="text1"/>
          <w:sz w:val="22"/>
          <w:szCs w:val="22"/>
        </w:rPr>
      </w:pPr>
      <w:r w:rsidRPr="00B6547E">
        <w:rPr>
          <w:rFonts w:ascii="Palatino Linotype" w:hAnsi="Palatino Linotype"/>
          <w:i/>
          <w:iCs/>
          <w:sz w:val="22"/>
          <w:szCs w:val="22"/>
        </w:rPr>
        <w:t>XXIV. Las demás que les confieran otras disposiciones jurídicas aplicables y las que les encomienden las personas titulares de la Secretaría y/o de la Subsecretaría.”</w:t>
      </w:r>
    </w:p>
    <w:p w14:paraId="107AEEEF" w14:textId="05300C35" w:rsidR="00B6733D" w:rsidRPr="00B6547E" w:rsidRDefault="00B6733D" w:rsidP="00E618E5">
      <w:pPr>
        <w:pStyle w:val="Prrafodelista"/>
        <w:tabs>
          <w:tab w:val="left" w:pos="426"/>
        </w:tabs>
        <w:spacing w:line="360" w:lineRule="auto"/>
        <w:ind w:left="0" w:right="49"/>
        <w:jc w:val="both"/>
        <w:rPr>
          <w:rFonts w:ascii="Palatino Linotype" w:hAnsi="Palatino Linotype" w:cs="Arial"/>
          <w:color w:val="000000" w:themeColor="text1"/>
        </w:rPr>
      </w:pPr>
    </w:p>
    <w:p w14:paraId="6F6995AB" w14:textId="741D5782" w:rsidR="0055782C" w:rsidRPr="00B6547E" w:rsidRDefault="003A6A97" w:rsidP="0055782C">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 xml:space="preserve">Expuesto lo anterior, se advierte que en </w:t>
      </w:r>
      <w:r w:rsidRPr="00B6547E">
        <w:rPr>
          <w:rFonts w:ascii="Palatino Linotype" w:hAnsi="Palatino Linotype" w:cs="Arial"/>
          <w:b/>
          <w:color w:val="000000" w:themeColor="text1"/>
        </w:rPr>
        <w:t>SUJETO OBLIGADO</w:t>
      </w:r>
      <w:r w:rsidRPr="00B6547E">
        <w:rPr>
          <w:rFonts w:ascii="Palatino Linotype" w:hAnsi="Palatino Linotype" w:cs="Arial"/>
          <w:color w:val="000000" w:themeColor="text1"/>
        </w:rPr>
        <w:t xml:space="preserve"> en ningún momento negó la existencia de la información solicitada, por el contrario, hizo entrega de los documentos donde consta la misma, no obstante, como lo refirió </w:t>
      </w:r>
      <w:r w:rsidR="0055782C" w:rsidRPr="00B6547E">
        <w:rPr>
          <w:rFonts w:ascii="Palatino Linotype" w:hAnsi="Palatino Linotype" w:cs="Arial"/>
          <w:color w:val="000000" w:themeColor="text1"/>
        </w:rPr>
        <w:t xml:space="preserve">a través </w:t>
      </w:r>
      <w:r w:rsidRPr="00B6547E">
        <w:rPr>
          <w:rFonts w:ascii="Palatino Linotype" w:hAnsi="Palatino Linotype" w:cs="Arial"/>
          <w:color w:val="000000" w:themeColor="text1"/>
        </w:rPr>
        <w:t xml:space="preserve">del informe justificado, </w:t>
      </w:r>
      <w:r w:rsidR="00E17553" w:rsidRPr="00B6547E">
        <w:rPr>
          <w:rFonts w:ascii="Palatino Linotype" w:hAnsi="Palatino Linotype"/>
        </w:rPr>
        <w:t>el Sistema de Acceso a la Información Mexiquense (SAIMEX) de manera automática, al generar el acuse de respuesta, unió todas las respuestas causando posibles confus</w:t>
      </w:r>
      <w:r w:rsidR="0055782C" w:rsidRPr="00B6547E">
        <w:rPr>
          <w:rFonts w:ascii="Palatino Linotype" w:hAnsi="Palatino Linotype"/>
        </w:rPr>
        <w:t xml:space="preserve">iones al momento de su lectura. </w:t>
      </w:r>
      <w:r w:rsidR="00E17553" w:rsidRPr="00B6547E">
        <w:rPr>
          <w:rFonts w:ascii="Palatino Linotype" w:hAnsi="Palatino Linotype"/>
        </w:rPr>
        <w:t>Motivo por el cual, se hizo entrega de la in</w:t>
      </w:r>
      <w:r w:rsidR="0055782C" w:rsidRPr="00B6547E">
        <w:rPr>
          <w:rFonts w:ascii="Palatino Linotype" w:hAnsi="Palatino Linotype"/>
        </w:rPr>
        <w:t>formación de manera desglosada.</w:t>
      </w:r>
    </w:p>
    <w:p w14:paraId="1DBF898A" w14:textId="77777777" w:rsidR="00E17553" w:rsidRPr="00B6547E" w:rsidRDefault="00E17553" w:rsidP="00E17553">
      <w:pPr>
        <w:pStyle w:val="Prrafodelista"/>
        <w:tabs>
          <w:tab w:val="left" w:pos="426"/>
        </w:tabs>
        <w:spacing w:line="360" w:lineRule="auto"/>
        <w:ind w:left="0" w:right="49"/>
        <w:jc w:val="both"/>
        <w:rPr>
          <w:rFonts w:ascii="Palatino Linotype" w:hAnsi="Palatino Linotype" w:cs="Arial"/>
          <w:color w:val="000000" w:themeColor="text1"/>
        </w:rPr>
      </w:pPr>
    </w:p>
    <w:p w14:paraId="31BD867B" w14:textId="2F0B1F6F" w:rsidR="000B49CB" w:rsidRPr="00B6547E" w:rsidRDefault="003A6A97" w:rsidP="008137B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Así</w:t>
      </w:r>
      <w:r w:rsidR="000B49CB" w:rsidRPr="00B6547E">
        <w:rPr>
          <w:rFonts w:ascii="Palatino Linotype" w:hAnsi="Palatino Linotype" w:cs="Arial"/>
          <w:color w:val="000000" w:themeColor="text1"/>
        </w:rPr>
        <w:t xml:space="preserve">, </w:t>
      </w:r>
      <w:r w:rsidR="000B49CB" w:rsidRPr="00B6547E">
        <w:rPr>
          <w:rFonts w:ascii="Palatino Linotype" w:hAnsi="Palatino Linotype" w:cs="Arial"/>
          <w:color w:val="000000" w:themeColor="text1"/>
          <w:lang w:val="es-ES_tradnl"/>
        </w:rPr>
        <w:t xml:space="preserve">se presume que, </w:t>
      </w:r>
      <w:r w:rsidR="000B49CB" w:rsidRPr="00B6547E">
        <w:rPr>
          <w:rFonts w:ascii="Palatino Linotype" w:hAnsi="Palatino Linotype"/>
        </w:rPr>
        <w:t xml:space="preserve">al haber existido un pronunciamiento por parte del </w:t>
      </w:r>
      <w:r w:rsidR="000B49CB" w:rsidRPr="00B6547E">
        <w:rPr>
          <w:rFonts w:ascii="Palatino Linotype" w:hAnsi="Palatino Linotype"/>
          <w:b/>
          <w:bCs/>
        </w:rPr>
        <w:t>SUJETO OBLIGADO</w:t>
      </w:r>
      <w:r w:rsidR="00580B5B" w:rsidRPr="00B6547E">
        <w:rPr>
          <w:rFonts w:ascii="Palatino Linotype" w:hAnsi="Palatino Linotype"/>
          <w:b/>
          <w:bCs/>
        </w:rPr>
        <w:t xml:space="preserve"> </w:t>
      </w:r>
      <w:r w:rsidR="00580B5B" w:rsidRPr="00B6547E">
        <w:rPr>
          <w:rFonts w:ascii="Palatino Linotype" w:hAnsi="Palatino Linotype"/>
        </w:rPr>
        <w:t>a través del informe justificado</w:t>
      </w:r>
      <w:r w:rsidR="000B49CB" w:rsidRPr="00B6547E">
        <w:rPr>
          <w:rFonts w:ascii="Palatino Linotype" w:hAnsi="Palatino Linotype"/>
        </w:rPr>
        <w:t>, aún más de</w:t>
      </w:r>
      <w:r w:rsidRPr="00B6547E">
        <w:rPr>
          <w:rFonts w:ascii="Palatino Linotype" w:hAnsi="Palatino Linotype"/>
        </w:rPr>
        <w:t xml:space="preserve"> </w:t>
      </w:r>
      <w:r w:rsidR="00580B5B" w:rsidRPr="00B6547E">
        <w:rPr>
          <w:rFonts w:ascii="Palatino Linotype" w:hAnsi="Palatino Linotype"/>
        </w:rPr>
        <w:t>l</w:t>
      </w:r>
      <w:r w:rsidRPr="00B6547E">
        <w:rPr>
          <w:rFonts w:ascii="Palatino Linotype" w:hAnsi="Palatino Linotype"/>
        </w:rPr>
        <w:t>os</w:t>
      </w:r>
      <w:r w:rsidR="000B49CB" w:rsidRPr="00B6547E">
        <w:rPr>
          <w:rFonts w:ascii="Palatino Linotype" w:hAnsi="Palatino Linotype"/>
        </w:rPr>
        <w:t xml:space="preserve"> Servidor</w:t>
      </w:r>
      <w:r w:rsidR="00580B5B" w:rsidRPr="00B6547E">
        <w:rPr>
          <w:rFonts w:ascii="Palatino Linotype" w:hAnsi="Palatino Linotype"/>
        </w:rPr>
        <w:t xml:space="preserve"> </w:t>
      </w:r>
      <w:r w:rsidR="000B49CB" w:rsidRPr="00B6547E">
        <w:rPr>
          <w:rFonts w:ascii="Palatino Linotype" w:hAnsi="Palatino Linotype"/>
        </w:rPr>
        <w:lastRenderedPageBreak/>
        <w:t>Público</w:t>
      </w:r>
      <w:r w:rsidR="00580B5B" w:rsidRPr="00B6547E">
        <w:rPr>
          <w:rFonts w:ascii="Palatino Linotype" w:hAnsi="Palatino Linotype"/>
        </w:rPr>
        <w:t xml:space="preserve"> </w:t>
      </w:r>
      <w:r w:rsidR="000B49CB" w:rsidRPr="00B6547E">
        <w:rPr>
          <w:rFonts w:ascii="Palatino Linotype" w:hAnsi="Palatino Linotype"/>
        </w:rPr>
        <w:t>Habilitado</w:t>
      </w:r>
      <w:r w:rsidR="00580B5B" w:rsidRPr="00B6547E">
        <w:rPr>
          <w:rFonts w:ascii="Palatino Linotype" w:hAnsi="Palatino Linotype"/>
        </w:rPr>
        <w:t xml:space="preserve"> </w:t>
      </w:r>
      <w:r w:rsidR="000B49CB" w:rsidRPr="00B6547E">
        <w:rPr>
          <w:rFonts w:ascii="Palatino Linotype" w:hAnsi="Palatino Linotype"/>
        </w:rPr>
        <w:t>competente</w:t>
      </w:r>
      <w:r w:rsidRPr="00B6547E">
        <w:rPr>
          <w:rFonts w:ascii="Palatino Linotype" w:hAnsi="Palatino Linotype"/>
        </w:rPr>
        <w:t>s</w:t>
      </w:r>
      <w:r w:rsidR="000B49CB" w:rsidRPr="00B6547E">
        <w:rPr>
          <w:rFonts w:ascii="Palatino Linotype" w:hAnsi="Palatino Linotype"/>
        </w:rPr>
        <w:t xml:space="preserve"> a quien</w:t>
      </w:r>
      <w:r w:rsidRPr="00B6547E">
        <w:rPr>
          <w:rFonts w:ascii="Palatino Linotype" w:hAnsi="Palatino Linotype"/>
        </w:rPr>
        <w:t>es</w:t>
      </w:r>
      <w:r w:rsidR="008137BF" w:rsidRPr="00B6547E">
        <w:rPr>
          <w:rFonts w:ascii="Palatino Linotype" w:hAnsi="Palatino Linotype"/>
        </w:rPr>
        <w:t xml:space="preserve"> </w:t>
      </w:r>
      <w:r w:rsidR="000B49CB" w:rsidRPr="00B6547E">
        <w:rPr>
          <w:rFonts w:ascii="Palatino Linotype" w:hAnsi="Palatino Linotype"/>
        </w:rPr>
        <w:t>le</w:t>
      </w:r>
      <w:r w:rsidRPr="00B6547E">
        <w:rPr>
          <w:rFonts w:ascii="Palatino Linotype" w:hAnsi="Palatino Linotype"/>
        </w:rPr>
        <w:t>s</w:t>
      </w:r>
      <w:r w:rsidR="00580B5B" w:rsidRPr="00B6547E">
        <w:rPr>
          <w:rFonts w:ascii="Palatino Linotype" w:hAnsi="Palatino Linotype"/>
        </w:rPr>
        <w:t xml:space="preserve"> </w:t>
      </w:r>
      <w:r w:rsidR="000B49CB" w:rsidRPr="00B6547E">
        <w:rPr>
          <w:rFonts w:ascii="Palatino Linotype" w:hAnsi="Palatino Linotype"/>
        </w:rPr>
        <w:t xml:space="preserve">fue requerida la información por </w:t>
      </w:r>
      <w:r w:rsidR="005E3DC6" w:rsidRPr="00B6547E">
        <w:rPr>
          <w:rFonts w:ascii="Palatino Linotype" w:hAnsi="Palatino Linotype"/>
        </w:rPr>
        <w:t xml:space="preserve">el </w:t>
      </w:r>
      <w:r w:rsidR="000B49CB" w:rsidRPr="00B6547E">
        <w:rPr>
          <w:rFonts w:ascii="Palatino Linotype" w:hAnsi="Palatino Linotype"/>
        </w:rPr>
        <w:t>Titular de la Unidad de Transparencia</w:t>
      </w:r>
      <w:r w:rsidR="00710CE0" w:rsidRPr="00B6547E">
        <w:rPr>
          <w:rFonts w:ascii="Palatino Linotype" w:hAnsi="Palatino Linotype"/>
        </w:rPr>
        <w:t>,</w:t>
      </w:r>
      <w:r w:rsidR="00B6733D" w:rsidRPr="00B6547E">
        <w:rPr>
          <w:rFonts w:ascii="Palatino Linotype" w:hAnsi="Palatino Linotype"/>
        </w:rPr>
        <w:t xml:space="preserve"> </w:t>
      </w:r>
      <w:r w:rsidRPr="00B6547E">
        <w:rPr>
          <w:rFonts w:ascii="Palatino Linotype" w:hAnsi="Palatino Linotype"/>
        </w:rPr>
        <w:t xml:space="preserve">y proporcionar de manera clara lo solicitado </w:t>
      </w:r>
      <w:r w:rsidR="00580B5B" w:rsidRPr="00B6547E">
        <w:rPr>
          <w:rFonts w:ascii="Palatino Linotype" w:hAnsi="Palatino Linotype"/>
        </w:rPr>
        <w:t>por el Particular</w:t>
      </w:r>
      <w:r w:rsidR="005A466E" w:rsidRPr="00B6547E">
        <w:rPr>
          <w:rFonts w:ascii="Palatino Linotype" w:hAnsi="Palatino Linotype"/>
        </w:rPr>
        <w:t xml:space="preserve">, </w:t>
      </w:r>
      <w:r w:rsidR="000B49CB" w:rsidRPr="00B6547E">
        <w:rPr>
          <w:rFonts w:ascii="Palatino Linotype" w:hAnsi="Palatino Linotype" w:cs="Arial"/>
          <w:bCs/>
          <w:szCs w:val="22"/>
        </w:rPr>
        <w:t>este Instituto no está facultado para manifestarse sobre la veracida</w:t>
      </w:r>
      <w:r w:rsidR="009D29F1" w:rsidRPr="00B6547E">
        <w:rPr>
          <w:rFonts w:ascii="Palatino Linotype" w:hAnsi="Palatino Linotype" w:cs="Arial"/>
          <w:bCs/>
          <w:szCs w:val="22"/>
        </w:rPr>
        <w:t>d</w:t>
      </w:r>
      <w:r w:rsidR="000B49CB" w:rsidRPr="00B6547E">
        <w:rPr>
          <w:rFonts w:ascii="Palatino Linotype" w:hAnsi="Palatino Linotype" w:cs="Arial"/>
          <w:bCs/>
          <w:szCs w:val="22"/>
        </w:rPr>
        <w:t>, pues no existe precepto legal alguno en la Ley de la materia que lo faculte para que, vía recurso de revisión, pueda pronunciarse al respecto.</w:t>
      </w:r>
    </w:p>
    <w:p w14:paraId="1A8F6781" w14:textId="77777777" w:rsidR="005A466E" w:rsidRPr="00B6547E" w:rsidRDefault="005A466E" w:rsidP="005A466E">
      <w:pPr>
        <w:pStyle w:val="Prrafodelista"/>
        <w:tabs>
          <w:tab w:val="left" w:pos="426"/>
        </w:tabs>
        <w:spacing w:line="360" w:lineRule="auto"/>
        <w:ind w:left="0" w:right="49"/>
        <w:jc w:val="both"/>
        <w:rPr>
          <w:rFonts w:ascii="Palatino Linotype" w:hAnsi="Palatino Linotype" w:cs="Arial"/>
          <w:color w:val="000000" w:themeColor="text1"/>
        </w:rPr>
      </w:pPr>
    </w:p>
    <w:p w14:paraId="14B483AF" w14:textId="08CF3FF2" w:rsidR="000B49CB" w:rsidRPr="00B6547E"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547E">
        <w:rPr>
          <w:rFonts w:ascii="Palatino Linotype" w:hAnsi="Palatino Linotype" w:cs="Arial"/>
          <w:color w:val="000000" w:themeColor="text1"/>
        </w:rPr>
        <w:t xml:space="preserve">Sirve </w:t>
      </w:r>
      <w:r w:rsidRPr="00B6547E">
        <w:rPr>
          <w:rFonts w:ascii="Palatino Linotype" w:hAnsi="Palatino Linotype" w:cs="Arial"/>
          <w:bCs/>
          <w:szCs w:val="22"/>
        </w:rPr>
        <w:t>de apoyo a lo anterior, por analogía el criterio 31-10 emitido por el entonces Instituto Federal de Acceso a la Información ahora Instituto Nacional de Transparencia, Acceso a la Información y Protección de Datos Personales (INAI) que a la letra dice:</w:t>
      </w:r>
    </w:p>
    <w:p w14:paraId="11D4D78C" w14:textId="2D5DC4EA" w:rsidR="000B49CB" w:rsidRPr="00B6547E" w:rsidRDefault="000B49CB" w:rsidP="000B49CB">
      <w:pPr>
        <w:pStyle w:val="Prrafodelista"/>
        <w:tabs>
          <w:tab w:val="left" w:pos="426"/>
        </w:tabs>
        <w:spacing w:line="360" w:lineRule="auto"/>
        <w:ind w:left="0" w:right="49"/>
        <w:jc w:val="both"/>
        <w:rPr>
          <w:rFonts w:ascii="Palatino Linotype" w:hAnsi="Palatino Linotype" w:cs="Arial"/>
          <w:bCs/>
          <w:szCs w:val="22"/>
        </w:rPr>
      </w:pPr>
    </w:p>
    <w:p w14:paraId="3598DE52" w14:textId="0063A16D" w:rsidR="000B49CB" w:rsidRPr="00B6547E" w:rsidRDefault="000B49CB" w:rsidP="000B49CB">
      <w:pPr>
        <w:tabs>
          <w:tab w:val="left" w:pos="709"/>
        </w:tabs>
        <w:ind w:left="567" w:right="565"/>
        <w:jc w:val="both"/>
        <w:rPr>
          <w:rFonts w:ascii="Palatino Linotype" w:hAnsi="Palatino Linotype" w:cs="Arial"/>
          <w:b/>
          <w:bCs/>
          <w:i/>
          <w:sz w:val="22"/>
          <w:szCs w:val="22"/>
        </w:rPr>
      </w:pPr>
      <w:r w:rsidRPr="00B6547E">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B6547E">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6547E">
        <w:rPr>
          <w:rFonts w:ascii="Palatino Linotype" w:hAnsi="Palatino Linotype" w:cs="Arial"/>
          <w:b/>
          <w:bCs/>
          <w:i/>
          <w:sz w:val="22"/>
          <w:szCs w:val="22"/>
        </w:rPr>
        <w:t>”</w:t>
      </w:r>
    </w:p>
    <w:p w14:paraId="6C2C9B46" w14:textId="77777777" w:rsidR="000B49CB" w:rsidRPr="00B6547E" w:rsidRDefault="000B49CB" w:rsidP="00580B5B">
      <w:pPr>
        <w:spacing w:line="360" w:lineRule="auto"/>
        <w:rPr>
          <w:rFonts w:ascii="Palatino Linotype" w:hAnsi="Palatino Linotype" w:cs="Arial"/>
          <w:color w:val="000000" w:themeColor="text1"/>
          <w:szCs w:val="23"/>
        </w:rPr>
      </w:pPr>
    </w:p>
    <w:p w14:paraId="7E0DC695" w14:textId="77777777" w:rsidR="00A15243" w:rsidRPr="00B6547E" w:rsidRDefault="000D6E18" w:rsidP="00A15243">
      <w:pPr>
        <w:pStyle w:val="Prrafodelista"/>
        <w:numPr>
          <w:ilvl w:val="0"/>
          <w:numId w:val="1"/>
        </w:numPr>
        <w:tabs>
          <w:tab w:val="left" w:pos="426"/>
        </w:tabs>
        <w:spacing w:line="360" w:lineRule="auto"/>
        <w:ind w:right="49"/>
        <w:jc w:val="both"/>
        <w:rPr>
          <w:rFonts w:ascii="Palatino Linotype" w:hAnsi="Palatino Linotype" w:cs="Arial"/>
          <w:b/>
          <w:color w:val="000000" w:themeColor="text1"/>
          <w:u w:val="single"/>
        </w:rPr>
      </w:pPr>
      <w:r w:rsidRPr="00B6547E">
        <w:rPr>
          <w:rFonts w:ascii="Palatino Linotype" w:hAnsi="Palatino Linotype" w:cs="Arial"/>
          <w:color w:val="000000" w:themeColor="text1"/>
        </w:rPr>
        <w:t xml:space="preserve">Ahora bien, resulta necesario señalar que el </w:t>
      </w:r>
      <w:r w:rsidRPr="00B6547E">
        <w:rPr>
          <w:rFonts w:ascii="Palatino Linotype" w:hAnsi="Palatino Linotype" w:cs="Arial"/>
          <w:b/>
          <w:color w:val="000000" w:themeColor="text1"/>
        </w:rPr>
        <w:t>SUJETO OBLIGADO</w:t>
      </w:r>
      <w:r w:rsidRPr="00B6547E">
        <w:rPr>
          <w:rFonts w:ascii="Palatino Linotype" w:hAnsi="Palatino Linotype" w:cs="Arial"/>
          <w:color w:val="000000" w:themeColor="text1"/>
        </w:rPr>
        <w:t xml:space="preserve"> por medio del informe justificado</w:t>
      </w:r>
      <w:r w:rsidR="00A15243" w:rsidRPr="00B6547E">
        <w:rPr>
          <w:rFonts w:ascii="Palatino Linotype" w:hAnsi="Palatino Linotype" w:cs="Arial"/>
          <w:color w:val="000000" w:themeColor="text1"/>
        </w:rPr>
        <w:t xml:space="preserve">, proporcionó </w:t>
      </w:r>
      <w:r w:rsidRPr="00B6547E">
        <w:rPr>
          <w:rFonts w:ascii="Palatino Linotype" w:hAnsi="Palatino Linotype"/>
          <w:b/>
          <w:u w:val="single"/>
        </w:rPr>
        <w:t xml:space="preserve">el registro de oficios de autorización para realización de visitas de verificación e inspección, sin embargo, </w:t>
      </w:r>
      <w:r w:rsidR="00A15243" w:rsidRPr="00B6547E">
        <w:rPr>
          <w:rFonts w:ascii="Palatino Linotype" w:hAnsi="Palatino Linotype"/>
          <w:b/>
          <w:u w:val="single"/>
        </w:rPr>
        <w:t>los</w:t>
      </w:r>
      <w:r w:rsidRPr="00B6547E">
        <w:rPr>
          <w:rFonts w:ascii="Palatino Linotype" w:hAnsi="Palatino Linotype"/>
          <w:b/>
          <w:u w:val="single"/>
        </w:rPr>
        <w:t xml:space="preserve"> oficios no fueron remitidos.</w:t>
      </w:r>
    </w:p>
    <w:p w14:paraId="15502373" w14:textId="77777777" w:rsidR="00A15243" w:rsidRPr="00B6547E" w:rsidRDefault="00A15243" w:rsidP="00A15243">
      <w:pPr>
        <w:pStyle w:val="Prrafodelista"/>
        <w:tabs>
          <w:tab w:val="left" w:pos="426"/>
        </w:tabs>
        <w:spacing w:line="360" w:lineRule="auto"/>
        <w:ind w:left="0" w:right="49"/>
        <w:jc w:val="both"/>
        <w:rPr>
          <w:rFonts w:ascii="Palatino Linotype" w:hAnsi="Palatino Linotype" w:cs="Arial"/>
          <w:b/>
          <w:color w:val="000000" w:themeColor="text1"/>
          <w:u w:val="single"/>
        </w:rPr>
      </w:pPr>
    </w:p>
    <w:p w14:paraId="5B38E1DF" w14:textId="77777777" w:rsidR="00362DFF" w:rsidRPr="00B6547E" w:rsidRDefault="00A15243" w:rsidP="00A15243">
      <w:pPr>
        <w:pStyle w:val="Prrafodelista"/>
        <w:numPr>
          <w:ilvl w:val="0"/>
          <w:numId w:val="1"/>
        </w:numPr>
        <w:tabs>
          <w:tab w:val="left" w:pos="426"/>
        </w:tabs>
        <w:spacing w:line="360" w:lineRule="auto"/>
        <w:ind w:right="49"/>
        <w:jc w:val="both"/>
        <w:rPr>
          <w:rFonts w:ascii="Palatino Linotype" w:hAnsi="Palatino Linotype" w:cs="Arial"/>
          <w:b/>
          <w:color w:val="000000" w:themeColor="text1"/>
          <w:u w:val="single"/>
        </w:rPr>
      </w:pPr>
      <w:r w:rsidRPr="00B6547E">
        <w:rPr>
          <w:rFonts w:ascii="Palatino Linotype" w:hAnsi="Palatino Linotype" w:cs="Arial"/>
          <w:color w:val="000000" w:themeColor="text1"/>
        </w:rPr>
        <w:lastRenderedPageBreak/>
        <w:t>En este sentido</w:t>
      </w:r>
      <w:r w:rsidR="000D6E18" w:rsidRPr="00B6547E">
        <w:rPr>
          <w:rFonts w:ascii="Palatino Linotype" w:hAnsi="Palatino Linotype"/>
        </w:rPr>
        <w:t xml:space="preserve">, se advierte que el </w:t>
      </w:r>
      <w:r w:rsidR="000D6E18" w:rsidRPr="00B6547E">
        <w:rPr>
          <w:rFonts w:ascii="Palatino Linotype" w:hAnsi="Palatino Linotype"/>
          <w:b/>
        </w:rPr>
        <w:t>SUJETO OBLIGADO</w:t>
      </w:r>
      <w:r w:rsidR="000D6E18" w:rsidRPr="00B6547E">
        <w:rPr>
          <w:rFonts w:ascii="Palatino Linotype" w:hAnsi="Palatino Linotype"/>
        </w:rPr>
        <w:t xml:space="preserve"> no se pronunció al respecto, </w:t>
      </w:r>
      <w:r w:rsidRPr="00B6547E">
        <w:rPr>
          <w:rFonts w:ascii="Palatino Linotype" w:hAnsi="Palatino Linotype"/>
        </w:rPr>
        <w:t>dejando</w:t>
      </w:r>
      <w:r w:rsidR="000D6E18" w:rsidRPr="00B6547E">
        <w:rPr>
          <w:rFonts w:ascii="Palatino Linotype" w:hAnsi="Palatino Linotype"/>
        </w:rPr>
        <w:t xml:space="preserve"> en un estado de incertidumbre al </w:t>
      </w:r>
      <w:r w:rsidR="000D6E18" w:rsidRPr="00B6547E">
        <w:rPr>
          <w:rFonts w:ascii="Palatino Linotype" w:hAnsi="Palatino Linotype"/>
          <w:b/>
        </w:rPr>
        <w:t>RECURRENTE</w:t>
      </w:r>
      <w:r w:rsidR="000D6E18" w:rsidRPr="00B6547E">
        <w:rPr>
          <w:rFonts w:ascii="Palatino Linotype" w:hAnsi="Palatino Linotype"/>
        </w:rPr>
        <w:t xml:space="preserve">, </w:t>
      </w:r>
      <w:r w:rsidR="00362DFF" w:rsidRPr="00B6547E">
        <w:rPr>
          <w:rFonts w:ascii="Palatino Linotype" w:hAnsi="Palatino Linotype"/>
        </w:rPr>
        <w:t xml:space="preserve">al considerarse </w:t>
      </w:r>
      <w:r w:rsidRPr="00B6547E">
        <w:rPr>
          <w:rFonts w:ascii="Palatino Linotype" w:hAnsi="Palatino Linotype"/>
        </w:rPr>
        <w:t>el supuesto de que los</w:t>
      </w:r>
      <w:r w:rsidR="000D6E18" w:rsidRPr="00B6547E">
        <w:rPr>
          <w:rFonts w:ascii="Palatino Linotype" w:hAnsi="Palatino Linotype"/>
        </w:rPr>
        <w:t xml:space="preserve"> oficios</w:t>
      </w:r>
      <w:r w:rsidRPr="00B6547E">
        <w:rPr>
          <w:rFonts w:ascii="Palatino Linotype" w:hAnsi="Palatino Linotype"/>
        </w:rPr>
        <w:t xml:space="preserve"> </w:t>
      </w:r>
      <w:r w:rsidR="000D6E18" w:rsidRPr="00B6547E">
        <w:rPr>
          <w:rFonts w:ascii="Palatino Linotype" w:hAnsi="Palatino Linotype"/>
        </w:rPr>
        <w:t xml:space="preserve">no se hayan encontrado, </w:t>
      </w:r>
      <w:r w:rsidR="00362DFF" w:rsidRPr="00B6547E">
        <w:rPr>
          <w:rFonts w:ascii="Palatino Linotype" w:hAnsi="Palatino Linotype"/>
        </w:rPr>
        <w:t xml:space="preserve">motivo por el cual, </w:t>
      </w:r>
      <w:r w:rsidR="000D6E18" w:rsidRPr="00B6547E">
        <w:rPr>
          <w:rFonts w:ascii="Palatino Linotype" w:hAnsi="Palatino Linotype"/>
        </w:rPr>
        <w:t>se debió realizar el acuerdo de inexistencia</w:t>
      </w:r>
      <w:r w:rsidRPr="00B6547E">
        <w:rPr>
          <w:rFonts w:ascii="Palatino Linotype" w:hAnsi="Palatino Linotype"/>
        </w:rPr>
        <w:t xml:space="preserve"> correspondiente</w:t>
      </w:r>
      <w:r w:rsidR="000D6E18" w:rsidRPr="00B6547E">
        <w:rPr>
          <w:rFonts w:ascii="Palatino Linotype" w:hAnsi="Palatino Linotype"/>
        </w:rPr>
        <w:t xml:space="preserve">, o </w:t>
      </w:r>
      <w:r w:rsidR="00362DFF" w:rsidRPr="00B6547E">
        <w:rPr>
          <w:rFonts w:ascii="Palatino Linotype" w:hAnsi="Palatino Linotype"/>
        </w:rPr>
        <w:t>bien,</w:t>
      </w:r>
      <w:r w:rsidR="000D6E18" w:rsidRPr="00B6547E">
        <w:rPr>
          <w:rFonts w:ascii="Palatino Linotype" w:hAnsi="Palatino Linotype"/>
        </w:rPr>
        <w:t xml:space="preserve"> </w:t>
      </w:r>
      <w:r w:rsidR="00362DFF" w:rsidRPr="00B6547E">
        <w:rPr>
          <w:rFonts w:ascii="Palatino Linotype" w:hAnsi="Palatino Linotype"/>
        </w:rPr>
        <w:t xml:space="preserve">estos </w:t>
      </w:r>
      <w:r w:rsidR="000D6E18" w:rsidRPr="00B6547E">
        <w:rPr>
          <w:rFonts w:ascii="Palatino Linotype" w:hAnsi="Palatino Linotype"/>
        </w:rPr>
        <w:t>se reservar</w:t>
      </w:r>
      <w:r w:rsidR="00362DFF" w:rsidRPr="00B6547E">
        <w:rPr>
          <w:rFonts w:ascii="Palatino Linotype" w:hAnsi="Palatino Linotype"/>
        </w:rPr>
        <w:t xml:space="preserve">an </w:t>
      </w:r>
      <w:r w:rsidR="000D6E18" w:rsidRPr="00B6547E">
        <w:rPr>
          <w:rFonts w:ascii="Palatino Linotype" w:hAnsi="Palatino Linotype"/>
        </w:rPr>
        <w:t>por algún tema relacionado con las causales del artículo 140 de la Ley de Transparencia y Acceso a la Información Pública del Estado de México y Municipi</w:t>
      </w:r>
      <w:r w:rsidRPr="00B6547E">
        <w:rPr>
          <w:rFonts w:ascii="Palatino Linotype" w:hAnsi="Palatino Linotype"/>
        </w:rPr>
        <w:t>os</w:t>
      </w:r>
      <w:r w:rsidR="00362DFF" w:rsidRPr="00B6547E">
        <w:rPr>
          <w:rFonts w:ascii="Palatino Linotype" w:hAnsi="Palatino Linotype"/>
        </w:rPr>
        <w:t>.</w:t>
      </w:r>
    </w:p>
    <w:p w14:paraId="555E3F6D" w14:textId="77777777" w:rsidR="00362DFF" w:rsidRPr="00B6547E" w:rsidRDefault="00362DFF" w:rsidP="00892705">
      <w:pPr>
        <w:rPr>
          <w:rFonts w:ascii="Palatino Linotype" w:hAnsi="Palatino Linotype"/>
        </w:rPr>
      </w:pPr>
    </w:p>
    <w:p w14:paraId="25EAA9CD" w14:textId="3E902008" w:rsidR="00A15243" w:rsidRPr="00B6547E" w:rsidRDefault="00362DFF" w:rsidP="006B56DA">
      <w:pPr>
        <w:pStyle w:val="Prrafodelista"/>
        <w:numPr>
          <w:ilvl w:val="0"/>
          <w:numId w:val="1"/>
        </w:numPr>
        <w:tabs>
          <w:tab w:val="left" w:pos="426"/>
        </w:tabs>
        <w:spacing w:line="360" w:lineRule="auto"/>
        <w:ind w:right="49"/>
        <w:jc w:val="both"/>
        <w:rPr>
          <w:rFonts w:ascii="Palatino Linotype" w:hAnsi="Palatino Linotype" w:cs="Arial"/>
          <w:b/>
          <w:color w:val="000000" w:themeColor="text1"/>
          <w:u w:val="single"/>
        </w:rPr>
      </w:pPr>
      <w:r w:rsidRPr="00B6547E">
        <w:rPr>
          <w:rFonts w:ascii="Palatino Linotype" w:hAnsi="Palatino Linotype"/>
        </w:rPr>
        <w:t>En este sentido</w:t>
      </w:r>
      <w:r w:rsidR="006B56DA" w:rsidRPr="00B6547E">
        <w:rPr>
          <w:rFonts w:ascii="Palatino Linotype" w:hAnsi="Palatino Linotype"/>
        </w:rPr>
        <w:t xml:space="preserve">, </w:t>
      </w:r>
      <w:r w:rsidR="000D6E18" w:rsidRPr="00B6547E">
        <w:rPr>
          <w:rFonts w:ascii="Palatino Linotype" w:hAnsi="Palatino Linotype"/>
        </w:rPr>
        <w:t xml:space="preserve">el </w:t>
      </w:r>
      <w:r w:rsidR="00A15243" w:rsidRPr="00B6547E">
        <w:rPr>
          <w:rFonts w:ascii="Palatino Linotype" w:hAnsi="Palatino Linotype"/>
          <w:b/>
        </w:rPr>
        <w:t>SUJETO OBLIGADO</w:t>
      </w:r>
      <w:r w:rsidR="00A15243" w:rsidRPr="00B6547E">
        <w:rPr>
          <w:rFonts w:ascii="Palatino Linotype" w:hAnsi="Palatino Linotype"/>
        </w:rPr>
        <w:t xml:space="preserve"> </w:t>
      </w:r>
      <w:r w:rsidR="000D6E18" w:rsidRPr="00B6547E">
        <w:rPr>
          <w:rFonts w:ascii="Palatino Linotype" w:hAnsi="Palatino Linotype"/>
        </w:rPr>
        <w:t xml:space="preserve">debió informar las razones por las cuales </w:t>
      </w:r>
      <w:r w:rsidR="00A15243" w:rsidRPr="00B6547E">
        <w:rPr>
          <w:rFonts w:ascii="Palatino Linotype" w:hAnsi="Palatino Linotype"/>
        </w:rPr>
        <w:t>no fueron entregados</w:t>
      </w:r>
      <w:r w:rsidR="006B56DA" w:rsidRPr="00B6547E">
        <w:rPr>
          <w:rFonts w:ascii="Palatino Linotype" w:hAnsi="Palatino Linotype"/>
        </w:rPr>
        <w:t xml:space="preserve"> los oficios enlistados</w:t>
      </w:r>
      <w:r w:rsidR="00A15243" w:rsidRPr="00B6547E">
        <w:rPr>
          <w:rFonts w:ascii="Palatino Linotype" w:hAnsi="Palatino Linotype"/>
        </w:rPr>
        <w:t xml:space="preserve">, como fueron </w:t>
      </w:r>
      <w:r w:rsidR="006B56DA" w:rsidRPr="00B6547E">
        <w:rPr>
          <w:rFonts w:ascii="Palatino Linotype" w:hAnsi="Palatino Linotype"/>
        </w:rPr>
        <w:t>solicitados</w:t>
      </w:r>
      <w:r w:rsidR="00A15243" w:rsidRPr="00B6547E">
        <w:rPr>
          <w:rFonts w:ascii="Palatino Linotype" w:hAnsi="Palatino Linotype"/>
        </w:rPr>
        <w:t xml:space="preserve"> por el </w:t>
      </w:r>
      <w:r w:rsidR="00A15243" w:rsidRPr="00B6547E">
        <w:rPr>
          <w:rFonts w:ascii="Palatino Linotype" w:hAnsi="Palatino Linotype"/>
          <w:b/>
        </w:rPr>
        <w:t>RECURRENTE.</w:t>
      </w:r>
    </w:p>
    <w:p w14:paraId="0A3E0507" w14:textId="77777777" w:rsidR="00A15243" w:rsidRPr="00B6547E" w:rsidRDefault="00A15243" w:rsidP="006B56DA">
      <w:pPr>
        <w:spacing w:line="360" w:lineRule="auto"/>
        <w:rPr>
          <w:rFonts w:ascii="Palatino Linotype" w:hAnsi="Palatino Linotype"/>
        </w:rPr>
      </w:pPr>
    </w:p>
    <w:p w14:paraId="0A809354" w14:textId="66B15B98" w:rsidR="00892705" w:rsidRPr="00B6547E" w:rsidRDefault="00362DFF" w:rsidP="006B56DA">
      <w:pPr>
        <w:pStyle w:val="Prrafodelista"/>
        <w:numPr>
          <w:ilvl w:val="0"/>
          <w:numId w:val="1"/>
        </w:numPr>
        <w:tabs>
          <w:tab w:val="left" w:pos="426"/>
        </w:tabs>
        <w:spacing w:line="360" w:lineRule="auto"/>
        <w:ind w:right="49"/>
        <w:jc w:val="both"/>
        <w:rPr>
          <w:rFonts w:ascii="Palatino Linotype" w:hAnsi="Palatino Linotype" w:cs="Arial"/>
          <w:b/>
          <w:color w:val="000000" w:themeColor="text1"/>
          <w:u w:val="single"/>
        </w:rPr>
      </w:pPr>
      <w:r w:rsidRPr="00B6547E">
        <w:rPr>
          <w:rFonts w:ascii="Palatino Linotype" w:hAnsi="Palatino Linotype"/>
        </w:rPr>
        <w:t>Por lo tanto,</w:t>
      </w:r>
      <w:r w:rsidR="000D6E18" w:rsidRPr="00B6547E">
        <w:rPr>
          <w:rFonts w:ascii="Palatino Linotype" w:hAnsi="Palatino Linotype"/>
        </w:rPr>
        <w:t xml:space="preserve"> </w:t>
      </w:r>
      <w:r w:rsidRPr="00B6547E">
        <w:rPr>
          <w:rFonts w:ascii="Palatino Linotype" w:hAnsi="Palatino Linotype"/>
        </w:rPr>
        <w:t xml:space="preserve">previo a una nueva búsqueda exhaustiva y razonable, de ser procedente en versión pública, el </w:t>
      </w:r>
      <w:r w:rsidRPr="00B6547E">
        <w:rPr>
          <w:rFonts w:ascii="Palatino Linotype" w:hAnsi="Palatino Linotype"/>
          <w:b/>
        </w:rPr>
        <w:t>SUJETO OBLIGADO</w:t>
      </w:r>
      <w:r w:rsidRPr="00B6547E">
        <w:rPr>
          <w:rFonts w:ascii="Palatino Linotype" w:hAnsi="Palatino Linotype"/>
        </w:rPr>
        <w:t xml:space="preserve"> deberá hacer entregar de los oficios requeridos</w:t>
      </w:r>
      <w:bookmarkStart w:id="32" w:name="_Toc466371865"/>
      <w:bookmarkStart w:id="33" w:name="_Toc466377653"/>
      <w:bookmarkEnd w:id="17"/>
      <w:bookmarkEnd w:id="18"/>
      <w:bookmarkEnd w:id="19"/>
      <w:bookmarkEnd w:id="20"/>
      <w:bookmarkEnd w:id="21"/>
      <w:r w:rsidR="00792FE5" w:rsidRPr="00B6547E">
        <w:rPr>
          <w:rFonts w:ascii="Palatino Linotype" w:hAnsi="Palatino Linotype"/>
        </w:rPr>
        <w:t>.</w:t>
      </w:r>
    </w:p>
    <w:p w14:paraId="48FDFBB5" w14:textId="7F3B36AC" w:rsidR="00892705" w:rsidRPr="00B6547E" w:rsidRDefault="00892705" w:rsidP="00892705">
      <w:pPr>
        <w:pStyle w:val="Prrafodelista"/>
        <w:tabs>
          <w:tab w:val="left" w:pos="426"/>
        </w:tabs>
        <w:spacing w:line="360" w:lineRule="auto"/>
        <w:ind w:left="0" w:right="49"/>
        <w:jc w:val="both"/>
        <w:rPr>
          <w:rFonts w:ascii="Palatino Linotype" w:hAnsi="Palatino Linotype" w:cs="Arial"/>
        </w:rPr>
      </w:pPr>
    </w:p>
    <w:p w14:paraId="0EA16053" w14:textId="77777777" w:rsidR="00892705" w:rsidRPr="00B6547E" w:rsidRDefault="00892705" w:rsidP="00892705">
      <w:pPr>
        <w:keepNext/>
        <w:keepLines/>
        <w:spacing w:before="240" w:line="360" w:lineRule="auto"/>
        <w:outlineLvl w:val="0"/>
        <w:rPr>
          <w:rFonts w:ascii="Palatino Linotype" w:eastAsia="Calibri" w:hAnsi="Palatino Linotype"/>
          <w:b/>
          <w:lang w:eastAsia="en-US"/>
        </w:rPr>
      </w:pPr>
      <w:r w:rsidRPr="00B6547E">
        <w:rPr>
          <w:rFonts w:ascii="Palatino Linotype" w:eastAsia="Calibri" w:hAnsi="Palatino Linotype"/>
          <w:b/>
          <w:lang w:eastAsia="en-US"/>
        </w:rPr>
        <w:t>QUINTO. VERSIÓN PÚBLICA.</w:t>
      </w:r>
    </w:p>
    <w:p w14:paraId="2E96C6CD" w14:textId="2ED63283" w:rsidR="00892705" w:rsidRPr="00B6547E" w:rsidRDefault="00892705" w:rsidP="00892705">
      <w:pPr>
        <w:keepNext/>
        <w:keepLines/>
        <w:numPr>
          <w:ilvl w:val="0"/>
          <w:numId w:val="15"/>
        </w:numPr>
        <w:tabs>
          <w:tab w:val="num" w:pos="360"/>
        </w:tabs>
        <w:spacing w:line="360" w:lineRule="auto"/>
        <w:ind w:left="284" w:firstLine="0"/>
        <w:outlineLvl w:val="0"/>
        <w:rPr>
          <w:rFonts w:ascii="Palatino Linotype" w:eastAsia="MS Gothic" w:hAnsi="Palatino Linotype"/>
          <w:b/>
          <w:color w:val="000000"/>
          <w:lang w:eastAsia="en-US"/>
        </w:rPr>
      </w:pPr>
      <w:bookmarkStart w:id="34" w:name="_Toc48135362"/>
      <w:bookmarkStart w:id="35" w:name="_Toc82017070"/>
      <w:bookmarkStart w:id="36" w:name="_Toc82537188"/>
      <w:bookmarkStart w:id="37" w:name="_Toc83830735"/>
      <w:bookmarkStart w:id="38" w:name="_Toc85112355"/>
      <w:r w:rsidRPr="00B6547E">
        <w:rPr>
          <w:rFonts w:ascii="Palatino Linotype" w:eastAsia="MS Gothic" w:hAnsi="Palatino Linotype"/>
          <w:b/>
          <w:color w:val="000000"/>
          <w:lang w:eastAsia="es-ES_tradnl"/>
        </w:rPr>
        <w:t>Nociones generales.</w:t>
      </w:r>
      <w:bookmarkEnd w:id="34"/>
      <w:bookmarkEnd w:id="35"/>
      <w:bookmarkEnd w:id="36"/>
      <w:bookmarkEnd w:id="37"/>
      <w:bookmarkEnd w:id="38"/>
      <w:r w:rsidRPr="00B6547E">
        <w:rPr>
          <w:rFonts w:ascii="Palatino Linotype" w:eastAsia="MS Gothic" w:hAnsi="Palatino Linotype"/>
          <w:b/>
          <w:color w:val="000000"/>
          <w:lang w:eastAsia="es-ES_tradnl"/>
        </w:rPr>
        <w:t xml:space="preserve"> </w:t>
      </w:r>
    </w:p>
    <w:p w14:paraId="6955761F" w14:textId="77777777" w:rsidR="00892705" w:rsidRPr="00B6547E" w:rsidRDefault="00892705" w:rsidP="00892705">
      <w:pPr>
        <w:pStyle w:val="Prrafodelista"/>
        <w:tabs>
          <w:tab w:val="left" w:pos="426"/>
        </w:tabs>
        <w:spacing w:line="360" w:lineRule="auto"/>
        <w:ind w:left="0" w:right="49"/>
        <w:jc w:val="both"/>
        <w:rPr>
          <w:rFonts w:ascii="Palatino Linotype" w:hAnsi="Palatino Linotype" w:cs="Arial"/>
          <w:b/>
          <w:color w:val="000000" w:themeColor="text1"/>
          <w:u w:val="single"/>
        </w:rPr>
      </w:pPr>
    </w:p>
    <w:p w14:paraId="4AA232E6" w14:textId="77777777" w:rsidR="00892705" w:rsidRPr="00B6547E" w:rsidRDefault="00892705" w:rsidP="00892705">
      <w:pPr>
        <w:pStyle w:val="Prrafodelista"/>
        <w:numPr>
          <w:ilvl w:val="0"/>
          <w:numId w:val="1"/>
        </w:numPr>
        <w:tabs>
          <w:tab w:val="left" w:pos="426"/>
        </w:tabs>
        <w:spacing w:line="360" w:lineRule="auto"/>
        <w:ind w:right="49"/>
        <w:jc w:val="both"/>
        <w:rPr>
          <w:rFonts w:ascii="Palatino Linotype" w:hAnsi="Palatino Linotype" w:cs="Arial"/>
          <w:b/>
          <w:color w:val="000000" w:themeColor="text1"/>
          <w:u w:val="single"/>
        </w:rPr>
      </w:pPr>
      <w:r w:rsidRPr="00B6547E">
        <w:rPr>
          <w:rFonts w:ascii="Palatino Linotype" w:hAnsi="Palatino Linotype" w:cs="Arial"/>
        </w:rPr>
        <w:t xml:space="preserve">Debe </w:t>
      </w:r>
      <w:r w:rsidRPr="00B6547E">
        <w:rPr>
          <w:rFonts w:ascii="Palatino Linotype" w:eastAsia="MS Mincho" w:hAnsi="Palatino Linotype" w:cs="Arial"/>
          <w:color w:val="000000"/>
        </w:rPr>
        <w:t>destacarse que, debido a la naturaleza de la información solicitada</w:t>
      </w:r>
      <w:r w:rsidRPr="00B6547E">
        <w:rPr>
          <w:rFonts w:ascii="Palatino Linotype" w:eastAsia="MS Mincho" w:hAnsi="Palatino Linotype" w:cs="Arial"/>
          <w:b/>
          <w:color w:val="000000"/>
        </w:rPr>
        <w:t xml:space="preserve">, </w:t>
      </w:r>
      <w:r w:rsidRPr="00B6547E">
        <w:rPr>
          <w:rFonts w:ascii="Palatino Linotype" w:eastAsia="MS Mincho" w:hAnsi="Palatino Linotype" w:cs="Arial"/>
          <w:color w:val="000000"/>
        </w:rPr>
        <w:t xml:space="preserve">eventualmente pudiera obrar datos personales susceptibles de protegerse, el </w:t>
      </w:r>
      <w:r w:rsidRPr="00B6547E">
        <w:rPr>
          <w:rFonts w:ascii="Palatino Linotype" w:eastAsia="MS Mincho" w:hAnsi="Palatino Linotype" w:cs="Arial"/>
          <w:b/>
          <w:bCs/>
          <w:color w:val="000000"/>
        </w:rPr>
        <w:t xml:space="preserve">Sujeto Obligado </w:t>
      </w:r>
      <w:r w:rsidRPr="00B6547E">
        <w:rPr>
          <w:rFonts w:ascii="Palatino Linotype" w:eastAsia="MS Mincho" w:hAnsi="Palatino Linotype" w:cs="Arial"/>
          <w:color w:val="000000"/>
        </w:rPr>
        <w:t xml:space="preserve">deberá de hacer la adecuada versión pública, protegiendo los datos que no son susceptibles de ser proporcionados. </w:t>
      </w:r>
    </w:p>
    <w:p w14:paraId="2608F536" w14:textId="77777777" w:rsidR="00892705" w:rsidRPr="00B6547E" w:rsidRDefault="00892705" w:rsidP="00892705">
      <w:pPr>
        <w:pStyle w:val="Prrafodelista"/>
        <w:tabs>
          <w:tab w:val="left" w:pos="426"/>
        </w:tabs>
        <w:spacing w:line="360" w:lineRule="auto"/>
        <w:ind w:left="0" w:right="49"/>
        <w:jc w:val="both"/>
        <w:rPr>
          <w:rFonts w:ascii="Palatino Linotype" w:hAnsi="Palatino Linotype" w:cs="Arial"/>
          <w:b/>
          <w:color w:val="000000" w:themeColor="text1"/>
          <w:u w:val="single"/>
        </w:rPr>
      </w:pPr>
    </w:p>
    <w:p w14:paraId="7BCE0BEF" w14:textId="4B87710E" w:rsidR="00892705" w:rsidRPr="00B6547E" w:rsidRDefault="00892705" w:rsidP="00892705">
      <w:pPr>
        <w:pStyle w:val="Prrafodelista"/>
        <w:numPr>
          <w:ilvl w:val="0"/>
          <w:numId w:val="1"/>
        </w:numPr>
        <w:tabs>
          <w:tab w:val="left" w:pos="426"/>
        </w:tabs>
        <w:spacing w:line="360" w:lineRule="auto"/>
        <w:ind w:right="49"/>
        <w:jc w:val="both"/>
        <w:rPr>
          <w:rFonts w:ascii="Palatino Linotype" w:hAnsi="Palatino Linotype" w:cs="Arial"/>
          <w:b/>
          <w:color w:val="000000" w:themeColor="text1"/>
          <w:u w:val="single"/>
        </w:rPr>
      </w:pPr>
      <w:r w:rsidRPr="00B6547E">
        <w:rPr>
          <w:rFonts w:ascii="Palatino Linotype" w:eastAsia="MS Mincho" w:hAnsi="Palatino Linotype" w:cs="Arial"/>
          <w:color w:val="000000"/>
        </w:rPr>
        <w:lastRenderedPageBreak/>
        <w:t xml:space="preserve">No pasa desapercibido para este Órgano Garante que los </w:t>
      </w:r>
      <w:r w:rsidRPr="00B6547E">
        <w:rPr>
          <w:rFonts w:ascii="Palatino Linotype" w:eastAsia="MS Mincho" w:hAnsi="Palatino Linotype" w:cs="Arial"/>
          <w:bCs/>
          <w:color w:val="000000"/>
        </w:rPr>
        <w:t>Sujetos Obligados</w:t>
      </w:r>
      <w:r w:rsidRPr="00B6547E">
        <w:rPr>
          <w:rFonts w:ascii="Palatino Linotype" w:eastAsia="MS Mincho" w:hAnsi="Palatino Linotype" w:cs="Arial"/>
          <w:b/>
          <w:bCs/>
          <w:color w:val="000000"/>
        </w:rPr>
        <w:t xml:space="preserve"> </w:t>
      </w:r>
      <w:r w:rsidRPr="00B6547E">
        <w:rPr>
          <w:rFonts w:ascii="Palatino Linotype" w:eastAsia="MS Mincho"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AACCFE1" w14:textId="77777777" w:rsidR="00892705" w:rsidRPr="00B6547E" w:rsidRDefault="00892705" w:rsidP="00892705">
      <w:pPr>
        <w:spacing w:line="360" w:lineRule="auto"/>
        <w:ind w:right="49"/>
        <w:contextualSpacing/>
        <w:jc w:val="both"/>
        <w:rPr>
          <w:rFonts w:ascii="Palatino Linotype" w:eastAsia="MS Mincho" w:hAnsi="Palatino Linotype" w:cs="Arial"/>
          <w:color w:val="000000"/>
        </w:rPr>
      </w:pPr>
    </w:p>
    <w:tbl>
      <w:tblPr>
        <w:tblStyle w:val="Tablanormal13"/>
        <w:tblW w:w="0" w:type="auto"/>
        <w:tblLook w:val="04A0" w:firstRow="1" w:lastRow="0" w:firstColumn="1" w:lastColumn="0" w:noHBand="0" w:noVBand="1"/>
      </w:tblPr>
      <w:tblGrid>
        <w:gridCol w:w="1838"/>
        <w:gridCol w:w="6990"/>
      </w:tblGrid>
      <w:tr w:rsidR="00892705" w:rsidRPr="00B6547E" w14:paraId="3998CB87" w14:textId="77777777" w:rsidTr="00375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AFAE8C" w14:textId="77777777" w:rsidR="00892705" w:rsidRPr="00B6547E" w:rsidRDefault="00892705" w:rsidP="00375220">
            <w:pPr>
              <w:rPr>
                <w:rFonts w:ascii="Palatino Linotype" w:eastAsia="Cambria" w:hAnsi="Palatino Linotype"/>
                <w:bCs w:val="0"/>
              </w:rPr>
            </w:pPr>
            <w:r w:rsidRPr="00B6547E">
              <w:rPr>
                <w:rFonts w:ascii="Palatino Linotype" w:eastAsia="Cambria" w:hAnsi="Palatino Linotype"/>
                <w:bCs w:val="0"/>
              </w:rPr>
              <w:t>a) Requisitos previos.</w:t>
            </w:r>
          </w:p>
        </w:tc>
        <w:tc>
          <w:tcPr>
            <w:tcW w:w="6990" w:type="dxa"/>
            <w:hideMark/>
          </w:tcPr>
          <w:p w14:paraId="68C81975" w14:textId="77777777" w:rsidR="00892705" w:rsidRPr="00B6547E" w:rsidRDefault="00892705" w:rsidP="00375220">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rPr>
            </w:pPr>
            <w:r w:rsidRPr="00B6547E">
              <w:rPr>
                <w:rFonts w:ascii="Palatino Linotype" w:eastAsia="Cambria" w:hAnsi="Palatino Linotype" w:cs="Arial"/>
                <w:b w:val="0"/>
                <w:bCs w:val="0"/>
                <w:color w:val="000000"/>
              </w:rPr>
              <w:t xml:space="preserve">Los artículos 100 y 122 de la Ley Estatal y de la Ley General, respectivamente, señalan </w:t>
            </w:r>
            <w:proofErr w:type="gramStart"/>
            <w:r w:rsidRPr="00B6547E">
              <w:rPr>
                <w:rFonts w:ascii="Palatino Linotype" w:eastAsia="Cambria" w:hAnsi="Palatino Linotype" w:cs="Arial"/>
                <w:b w:val="0"/>
                <w:bCs w:val="0"/>
                <w:color w:val="000000"/>
              </w:rPr>
              <w:t>que</w:t>
            </w:r>
            <w:proofErr w:type="gramEnd"/>
            <w:r w:rsidRPr="00B6547E">
              <w:rPr>
                <w:rFonts w:ascii="Palatino Linotype" w:eastAsia="Cambria" w:hAnsi="Palatino Linotype" w:cs="Arial"/>
                <w:b w:val="0"/>
                <w:bCs w:val="0"/>
                <w:color w:val="000000"/>
              </w:rPr>
              <w:t xml:space="preserve"> si los Sujetos Obligados determinan que la información actualiza alguno de los supuestos de clasificación, es deber de los titulares de las áreas proponer su clasificación y no del Comité de Transparencia. </w:t>
            </w:r>
          </w:p>
          <w:p w14:paraId="5F858D38" w14:textId="77777777" w:rsidR="00892705" w:rsidRPr="00B6547E" w:rsidRDefault="00892705" w:rsidP="00375220">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rPr>
            </w:pPr>
            <w:r w:rsidRPr="00B6547E">
              <w:rPr>
                <w:rFonts w:ascii="Palatino Linotype" w:eastAsia="Cambria" w:hAnsi="Palatino Linotype" w:cs="Arial"/>
                <w:b w:val="0"/>
                <w:bCs w:val="0"/>
                <w:color w:val="000000"/>
              </w:rPr>
              <w:t>Al hacerlo tienen que precisar de qué información se trata, señalando el supuesto de clasificación (confidencialidad o reserva).</w:t>
            </w:r>
          </w:p>
          <w:p w14:paraId="218796E1" w14:textId="77777777" w:rsidR="00892705" w:rsidRPr="00B6547E" w:rsidRDefault="00892705" w:rsidP="00375220">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rPr>
            </w:pPr>
            <w:r w:rsidRPr="00B6547E">
              <w:rPr>
                <w:rFonts w:ascii="Palatino Linotype" w:eastAsia="Cambria" w:hAnsi="Palatino Linotype" w:cs="Arial"/>
                <w:b w:val="0"/>
                <w:bCs w:val="0"/>
                <w:color w:val="000000"/>
              </w:rPr>
              <w:t>Además, se debe señalar el procedimiento, de los tres que establecen los artículos 132 y 106 de la Ley Estatal y General, respectivamente.</w:t>
            </w:r>
          </w:p>
          <w:p w14:paraId="69B4010A" w14:textId="77777777" w:rsidR="00892705" w:rsidRPr="00B6547E" w:rsidRDefault="00892705" w:rsidP="00375220">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rPr>
            </w:pPr>
            <w:r w:rsidRPr="00B6547E">
              <w:rPr>
                <w:rFonts w:ascii="Palatino Linotype" w:eastAsia="Cambria" w:hAnsi="Palatino Linotype" w:cs="Arial"/>
                <w:b w:val="0"/>
                <w:bCs w:val="0"/>
                <w:color w:val="000000"/>
              </w:rPr>
              <w:t xml:space="preserve">El último de estos requisitos previos consiste en que no se pueden emitir acuerdos de carácter general ni particular, esto es, </w:t>
            </w:r>
            <w:r w:rsidRPr="00B6547E">
              <w:rPr>
                <w:rFonts w:ascii="Palatino Linotype" w:eastAsia="Cambria" w:hAnsi="Palatino Linotype" w:cs="Arial"/>
                <w:b w:val="0"/>
                <w:bCs w:val="0"/>
                <w:color w:val="000000"/>
                <w:u w:val="single"/>
              </w:rPr>
              <w:t>no se puede hacer un acuerdo para clasificar de manera general todos los documentos de un expediente o área, sin</w:t>
            </w:r>
            <w:r w:rsidRPr="00B6547E">
              <w:rPr>
                <w:rFonts w:ascii="Palatino Linotype" w:eastAsia="Cambria"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892705" w:rsidRPr="00B6547E" w14:paraId="0D3B2FBD" w14:textId="77777777" w:rsidTr="0037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5C4CD4A" w14:textId="77777777" w:rsidR="00892705" w:rsidRPr="00B6547E" w:rsidRDefault="00892705" w:rsidP="00375220">
            <w:pPr>
              <w:rPr>
                <w:rFonts w:ascii="Palatino Linotype" w:eastAsia="Cambria" w:hAnsi="Palatino Linotype"/>
                <w:bCs w:val="0"/>
              </w:rPr>
            </w:pPr>
            <w:r w:rsidRPr="00B6547E">
              <w:rPr>
                <w:rFonts w:ascii="Palatino Linotype" w:eastAsia="Cambria" w:hAnsi="Palatino Linotype"/>
                <w:bCs w:val="0"/>
              </w:rPr>
              <w:t>b) Supuestos de clasificación.</w:t>
            </w:r>
          </w:p>
        </w:tc>
        <w:tc>
          <w:tcPr>
            <w:tcW w:w="6990" w:type="dxa"/>
            <w:hideMark/>
          </w:tcPr>
          <w:p w14:paraId="5A046227" w14:textId="77777777" w:rsidR="00892705" w:rsidRPr="00B6547E"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rPr>
            </w:pPr>
            <w:r w:rsidRPr="00B6547E">
              <w:rPr>
                <w:rFonts w:ascii="Palatino Linotype" w:eastAsia="Cambria" w:hAnsi="Palatino Linotype" w:cs="Arial"/>
                <w:color w:val="000000"/>
              </w:rPr>
              <w:t>Las disposiciones constitucionales y legales en la materia establecen los dos supuestos generales para clasificar la información: por reserva y por confidencialidad.</w:t>
            </w:r>
          </w:p>
          <w:p w14:paraId="75365CF0" w14:textId="77777777" w:rsidR="00892705" w:rsidRPr="00B6547E"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rPr>
            </w:pPr>
            <w:r w:rsidRPr="00B6547E">
              <w:rPr>
                <w:rFonts w:ascii="Palatino Linotype" w:eastAsia="Cambria"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985D2C" w14:textId="77777777" w:rsidR="00892705" w:rsidRPr="00B6547E" w:rsidRDefault="00892705" w:rsidP="00375220">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rPr>
            </w:pPr>
            <w:r w:rsidRPr="00B6547E">
              <w:rPr>
                <w:rFonts w:ascii="Palatino Linotype" w:eastAsia="Cambria" w:hAnsi="Palatino Linotype" w:cs="Arial"/>
                <w:color w:val="000000"/>
              </w:rPr>
              <w:lastRenderedPageBreak/>
              <w:t xml:space="preserve">El </w:t>
            </w:r>
            <w:r w:rsidRPr="00B6547E">
              <w:rPr>
                <w:rFonts w:ascii="Palatino Linotype" w:eastAsia="Cambria" w:hAnsi="Palatino Linotype" w:cs="Arial"/>
                <w:b/>
                <w:color w:val="000000"/>
              </w:rPr>
              <w:t>Sujeto Obligado</w:t>
            </w:r>
            <w:r w:rsidRPr="00B6547E">
              <w:rPr>
                <w:rFonts w:ascii="Palatino Linotype" w:eastAsia="Cambria"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92705" w:rsidRPr="00B6547E" w14:paraId="4FAFB031" w14:textId="77777777" w:rsidTr="00375220">
        <w:tc>
          <w:tcPr>
            <w:cnfStyle w:val="001000000000" w:firstRow="0" w:lastRow="0" w:firstColumn="1" w:lastColumn="0" w:oddVBand="0" w:evenVBand="0" w:oddHBand="0" w:evenHBand="0" w:firstRowFirstColumn="0" w:firstRowLastColumn="0" w:lastRowFirstColumn="0" w:lastRowLastColumn="0"/>
            <w:tcW w:w="1838" w:type="dxa"/>
            <w:hideMark/>
          </w:tcPr>
          <w:p w14:paraId="32A31577" w14:textId="77777777" w:rsidR="00892705" w:rsidRPr="00B6547E" w:rsidRDefault="00892705" w:rsidP="00375220">
            <w:pPr>
              <w:rPr>
                <w:rFonts w:ascii="Palatino Linotype" w:eastAsia="Cambria" w:hAnsi="Palatino Linotype"/>
                <w:bCs w:val="0"/>
              </w:rPr>
            </w:pPr>
            <w:r w:rsidRPr="00B6547E">
              <w:rPr>
                <w:rFonts w:ascii="Palatino Linotype" w:eastAsia="Cambria" w:hAnsi="Palatino Linotype"/>
                <w:bCs w:val="0"/>
              </w:rPr>
              <w:lastRenderedPageBreak/>
              <w:t>c) Formalidades para emitir el acuerdo de clasificación.</w:t>
            </w:r>
          </w:p>
        </w:tc>
        <w:tc>
          <w:tcPr>
            <w:tcW w:w="6990" w:type="dxa"/>
            <w:hideMark/>
          </w:tcPr>
          <w:p w14:paraId="357B4BBA" w14:textId="77777777" w:rsidR="00892705" w:rsidRPr="00B6547E" w:rsidRDefault="00892705" w:rsidP="00375220">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rPr>
            </w:pPr>
            <w:r w:rsidRPr="00B6547E">
              <w:rPr>
                <w:rFonts w:ascii="Palatino Linotype" w:eastAsia="Cambria" w:hAnsi="Palatino Linotype" w:cs="Arial"/>
                <w:color w:val="000000"/>
              </w:rPr>
              <w:t xml:space="preserve">El Comité de Transparencia, según lo dispuesto en los artículos cuenta con las facultades para aprobar, modificar o revocar la clasificación de la información que haya propuesto. </w:t>
            </w:r>
          </w:p>
          <w:p w14:paraId="5614DBB6" w14:textId="77777777" w:rsidR="00892705" w:rsidRPr="00B6547E" w:rsidRDefault="00892705" w:rsidP="00375220">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rPr>
            </w:pPr>
            <w:r w:rsidRPr="00B6547E">
              <w:rPr>
                <w:rFonts w:ascii="Palatino Linotype" w:eastAsia="Cambria" w:hAnsi="Palatino Linotype" w:cs="Arial"/>
                <w:color w:val="000000"/>
              </w:rPr>
              <w:t xml:space="preserve">Es necesario que </w:t>
            </w:r>
            <w:r w:rsidRPr="00B6547E">
              <w:rPr>
                <w:rFonts w:ascii="Palatino Linotype" w:eastAsia="Cambria" w:hAnsi="Palatino Linotype" w:cs="Arial"/>
                <w:b/>
                <w:color w:val="000000"/>
                <w:u w:val="single"/>
              </w:rPr>
              <w:t>el acto reúna con los requisitos elementales</w:t>
            </w:r>
            <w:r w:rsidRPr="00B6547E">
              <w:rPr>
                <w:rFonts w:ascii="Palatino Linotype" w:eastAsia="Cambria" w:hAnsi="Palatino Linotype" w:cs="Arial"/>
                <w:color w:val="000000"/>
              </w:rPr>
              <w:t>, entre ellos, que la autoridad que va a emitir el acto de autoridad sea la legalmente facultada para ello.</w:t>
            </w:r>
          </w:p>
          <w:p w14:paraId="793DB758" w14:textId="77777777" w:rsidR="00892705" w:rsidRPr="00B6547E" w:rsidRDefault="00892705" w:rsidP="00375220">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rPr>
            </w:pPr>
            <w:r w:rsidRPr="00B6547E">
              <w:rPr>
                <w:rFonts w:ascii="Palatino Linotype" w:eastAsia="Cambria"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92705" w:rsidRPr="00B6547E" w14:paraId="78C352D1" w14:textId="77777777" w:rsidTr="00375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2072025" w14:textId="77777777" w:rsidR="00892705" w:rsidRPr="00B6547E" w:rsidRDefault="00892705" w:rsidP="00375220">
            <w:pPr>
              <w:rPr>
                <w:rFonts w:ascii="Palatino Linotype" w:eastAsia="Cambria" w:hAnsi="Palatino Linotype"/>
                <w:b w:val="0"/>
              </w:rPr>
            </w:pPr>
          </w:p>
          <w:p w14:paraId="0668E4D7" w14:textId="77777777" w:rsidR="00892705" w:rsidRPr="00B6547E" w:rsidRDefault="00892705" w:rsidP="00375220">
            <w:pPr>
              <w:jc w:val="both"/>
              <w:rPr>
                <w:rFonts w:ascii="Palatino Linotype" w:eastAsia="Cambria" w:hAnsi="Palatino Linotype"/>
                <w:bCs w:val="0"/>
              </w:rPr>
            </w:pPr>
            <w:r w:rsidRPr="00B6547E">
              <w:rPr>
                <w:rFonts w:ascii="Palatino Linotype" w:eastAsia="Cambria" w:hAnsi="Palatino Linotype" w:cs="Arial"/>
                <w:bCs w:val="0"/>
                <w:color w:val="000000"/>
              </w:rPr>
              <w:t xml:space="preserve">d) Requisitos de fondo del acuerdo de clasificación. </w:t>
            </w:r>
          </w:p>
        </w:tc>
        <w:tc>
          <w:tcPr>
            <w:tcW w:w="6990" w:type="dxa"/>
            <w:hideMark/>
          </w:tcPr>
          <w:p w14:paraId="011FC4D5" w14:textId="77777777" w:rsidR="00892705" w:rsidRPr="00B6547E"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rPr>
            </w:pPr>
            <w:r w:rsidRPr="00B6547E">
              <w:rPr>
                <w:rFonts w:ascii="Palatino Linotype" w:eastAsia="Cambria"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6547E">
              <w:rPr>
                <w:rFonts w:ascii="Palatino Linotype" w:eastAsia="Cambria" w:hAnsi="Palatino Linotype" w:cs="Arial"/>
                <w:b/>
                <w:color w:val="000000"/>
              </w:rPr>
              <w:t>Sujetos Obligados</w:t>
            </w:r>
            <w:r w:rsidRPr="00B6547E">
              <w:rPr>
                <w:rFonts w:ascii="Palatino Linotype" w:eastAsia="Cambria" w:hAnsi="Palatino Linotype" w:cs="Arial"/>
                <w:color w:val="000000"/>
              </w:rPr>
              <w:t xml:space="preserve">, por lo que deberán fundar y motivar debidamente la clasificación. </w:t>
            </w:r>
          </w:p>
          <w:p w14:paraId="3ACEBFC0" w14:textId="77777777" w:rsidR="00892705" w:rsidRPr="00B6547E"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rPr>
            </w:pPr>
            <w:r w:rsidRPr="00B6547E">
              <w:rPr>
                <w:rFonts w:ascii="Palatino Linotype" w:eastAsia="Cambria" w:hAnsi="Palatino Linotype" w:cs="Arial"/>
                <w:color w:val="000000"/>
              </w:rPr>
              <w:t xml:space="preserve">De lo anterior, se desprende </w:t>
            </w:r>
            <w:proofErr w:type="gramStart"/>
            <w:r w:rsidRPr="00B6547E">
              <w:rPr>
                <w:rFonts w:ascii="Palatino Linotype" w:eastAsia="Cambria" w:hAnsi="Palatino Linotype" w:cs="Arial"/>
                <w:color w:val="000000"/>
              </w:rPr>
              <w:t>que</w:t>
            </w:r>
            <w:proofErr w:type="gramEnd"/>
            <w:r w:rsidRPr="00B6547E">
              <w:rPr>
                <w:rFonts w:ascii="Palatino Linotype" w:eastAsia="Cambria" w:hAnsi="Palatino Linotype" w:cs="Arial"/>
                <w:color w:val="000000"/>
              </w:rPr>
              <w:t xml:space="preserve"> para una correcta </w:t>
            </w:r>
            <w:r w:rsidRPr="00B6547E">
              <w:rPr>
                <w:rFonts w:ascii="Palatino Linotype" w:eastAsia="Cambria" w:hAnsi="Palatino Linotype" w:cs="Arial"/>
                <w:b/>
                <w:color w:val="000000"/>
              </w:rPr>
              <w:t>clasificación total o parcial</w:t>
            </w:r>
            <w:r w:rsidRPr="00B6547E">
              <w:rPr>
                <w:rFonts w:ascii="Palatino Linotype" w:eastAsia="Cambria"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89EEE36" w14:textId="77777777" w:rsidR="00892705" w:rsidRPr="00B6547E"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rPr>
            </w:pPr>
            <w:r w:rsidRPr="00B6547E">
              <w:rPr>
                <w:rFonts w:ascii="Palatino Linotype" w:eastAsia="Cambria"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4255B2A" w14:textId="77777777" w:rsidR="00892705" w:rsidRPr="00B6547E"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rPr>
            </w:pPr>
            <w:r w:rsidRPr="00B6547E">
              <w:rPr>
                <w:rFonts w:ascii="Palatino Linotype" w:eastAsia="Cambria"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58275A62" w14:textId="77777777" w:rsidR="00892705" w:rsidRPr="00B6547E" w:rsidRDefault="00892705" w:rsidP="00375220">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rPr>
            </w:pPr>
            <w:r w:rsidRPr="00B6547E">
              <w:rPr>
                <w:rFonts w:ascii="Palatino Linotype" w:eastAsia="Cambria" w:hAnsi="Palatino Linotype" w:cs="Arial"/>
                <w:color w:val="000000"/>
              </w:rPr>
              <w:t xml:space="preserve">Ahora bien, </w:t>
            </w:r>
            <w:r w:rsidRPr="00B6547E">
              <w:rPr>
                <w:rFonts w:ascii="Palatino Linotype" w:eastAsia="Cambria" w:hAnsi="Palatino Linotype" w:cs="Arial"/>
                <w:b/>
                <w:color w:val="000000"/>
                <w:u w:val="single"/>
              </w:rPr>
              <w:t>para cada caso además de fundar y motivar</w:t>
            </w:r>
            <w:r w:rsidRPr="00B6547E">
              <w:rPr>
                <w:rFonts w:ascii="Palatino Linotype" w:eastAsia="Cambria" w:hAnsi="Palatino Linotype" w:cs="Arial"/>
                <w:color w:val="000000"/>
              </w:rPr>
              <w:t xml:space="preserve">, se debe identificar con claridad que datos contenidos en las documentales que son susceptibles de suprimirse, por ejemplo; </w:t>
            </w:r>
            <w:r w:rsidRPr="00B6547E">
              <w:rPr>
                <w:rFonts w:ascii="Palatino Linotype" w:eastAsia="Cambria"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92705" w:rsidRPr="00B6547E" w14:paraId="530F8DB9" w14:textId="77777777" w:rsidTr="00375220">
        <w:tc>
          <w:tcPr>
            <w:cnfStyle w:val="001000000000" w:firstRow="0" w:lastRow="0" w:firstColumn="1" w:lastColumn="0" w:oddVBand="0" w:evenVBand="0" w:oddHBand="0" w:evenHBand="0" w:firstRowFirstColumn="0" w:firstRowLastColumn="0" w:lastRowFirstColumn="0" w:lastRowLastColumn="0"/>
            <w:tcW w:w="1838" w:type="dxa"/>
          </w:tcPr>
          <w:p w14:paraId="784D075F" w14:textId="77777777" w:rsidR="00892705" w:rsidRPr="00B6547E" w:rsidRDefault="00892705" w:rsidP="00375220">
            <w:pPr>
              <w:ind w:right="49"/>
              <w:jc w:val="both"/>
              <w:rPr>
                <w:rFonts w:ascii="Palatino Linotype" w:eastAsia="Cambria" w:hAnsi="Palatino Linotype" w:cs="Arial"/>
                <w:bCs w:val="0"/>
              </w:rPr>
            </w:pPr>
            <w:r w:rsidRPr="00B6547E">
              <w:rPr>
                <w:rFonts w:ascii="Palatino Linotype" w:eastAsia="MS Gothic" w:hAnsi="Palatino Linotype"/>
                <w:b w:val="0"/>
              </w:rPr>
              <w:lastRenderedPageBreak/>
              <w:t>e</w:t>
            </w:r>
            <w:r w:rsidRPr="00B6547E">
              <w:rPr>
                <w:rFonts w:ascii="Palatino Linotype" w:eastAsia="MS Gothic" w:hAnsi="Palatino Linotype"/>
                <w:bCs w:val="0"/>
              </w:rPr>
              <w:t xml:space="preserve">) Condiciones especiales de la clasificación de la información como confidencial. </w:t>
            </w:r>
          </w:p>
        </w:tc>
        <w:tc>
          <w:tcPr>
            <w:tcW w:w="6990" w:type="dxa"/>
            <w:hideMark/>
          </w:tcPr>
          <w:p w14:paraId="3E20B3A2" w14:textId="77777777" w:rsidR="00892705" w:rsidRPr="00B6547E" w:rsidRDefault="00892705" w:rsidP="00375220">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rPr>
            </w:pPr>
            <w:r w:rsidRPr="00B6547E">
              <w:rPr>
                <w:rFonts w:ascii="Palatino Linotype" w:eastAsia="Cambria" w:hAnsi="Palatino Linotype" w:cs="Arial"/>
                <w:color w:val="000000"/>
              </w:rPr>
              <w:t xml:space="preserve">Los artículos 148 y 120 de la Ley Estatal y de la Ley General, respectivamente, establecen </w:t>
            </w:r>
            <w:proofErr w:type="gramStart"/>
            <w:r w:rsidRPr="00B6547E">
              <w:rPr>
                <w:rFonts w:ascii="Palatino Linotype" w:eastAsia="Cambria" w:hAnsi="Palatino Linotype" w:cs="Arial"/>
                <w:color w:val="000000"/>
              </w:rPr>
              <w:t>que</w:t>
            </w:r>
            <w:proofErr w:type="gramEnd"/>
            <w:r w:rsidRPr="00B6547E">
              <w:rPr>
                <w:rFonts w:ascii="Palatino Linotype" w:eastAsia="Cambria" w:hAnsi="Palatino Linotype" w:cs="Arial"/>
                <w:color w:val="000000"/>
              </w:rPr>
              <w:t xml:space="preserve"> aun tratándose de datos personales, se podrán proporcionar, incluso sin solicitar el consentimiento de su titular. </w:t>
            </w:r>
          </w:p>
          <w:p w14:paraId="07982BE4" w14:textId="77777777" w:rsidR="00892705" w:rsidRPr="00B6547E" w:rsidRDefault="00892705" w:rsidP="00375220">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rPr>
            </w:pPr>
            <w:r w:rsidRPr="00B6547E">
              <w:rPr>
                <w:rFonts w:ascii="Palatino Linotype" w:eastAsia="Cambria"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3D87BBA" w14:textId="77777777" w:rsidR="00892705" w:rsidRPr="00B6547E" w:rsidRDefault="00892705" w:rsidP="00375220">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rPr>
            </w:pPr>
            <w:r w:rsidRPr="00B6547E">
              <w:rPr>
                <w:rFonts w:ascii="Palatino Linotype" w:eastAsia="Cambria"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6BCD57D" w14:textId="77777777" w:rsidR="00892705" w:rsidRPr="00B6547E" w:rsidRDefault="00892705" w:rsidP="00892705">
      <w:pPr>
        <w:pStyle w:val="Prrafodelista"/>
        <w:tabs>
          <w:tab w:val="left" w:pos="426"/>
        </w:tabs>
        <w:spacing w:before="240" w:after="240" w:line="360" w:lineRule="auto"/>
        <w:ind w:left="0" w:right="51"/>
        <w:jc w:val="both"/>
        <w:rPr>
          <w:rFonts w:ascii="Palatino Linotype" w:hAnsi="Palatino Linotype"/>
          <w:color w:val="000000" w:themeColor="text1"/>
        </w:rPr>
      </w:pPr>
    </w:p>
    <w:p w14:paraId="1E74F4E3" w14:textId="442E404E" w:rsidR="00362DFF" w:rsidRPr="00B6547E" w:rsidRDefault="00892705" w:rsidP="00892705">
      <w:pPr>
        <w:pStyle w:val="Prrafodelista"/>
        <w:numPr>
          <w:ilvl w:val="0"/>
          <w:numId w:val="1"/>
        </w:numPr>
        <w:spacing w:line="360" w:lineRule="auto"/>
        <w:jc w:val="both"/>
        <w:rPr>
          <w:rFonts w:ascii="Palatino Linotype" w:hAnsi="Palatino Linotype" w:cs="Arial"/>
        </w:rPr>
      </w:pPr>
      <w:r w:rsidRPr="00B6547E">
        <w:rPr>
          <w:rFonts w:ascii="Palatino Linotype" w:hAnsi="Palatino Linotype" w:cs="Arial"/>
        </w:rPr>
        <w:t xml:space="preserve">Si </w:t>
      </w:r>
      <w:r w:rsidRPr="00B6547E">
        <w:rPr>
          <w:rFonts w:ascii="Palatino Linotype" w:eastAsia="MS Mincho" w:hAnsi="Palatino Linotype" w:cs="Arial"/>
          <w:lang w:eastAsia="en-US"/>
        </w:rPr>
        <w:t>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7E373D9" w14:textId="77777777" w:rsidR="00362DFF" w:rsidRPr="00B6547E" w:rsidRDefault="00362DFF" w:rsidP="00362DFF">
      <w:pPr>
        <w:pStyle w:val="Prrafodelista"/>
        <w:spacing w:line="360" w:lineRule="auto"/>
        <w:ind w:left="0"/>
        <w:jc w:val="both"/>
        <w:rPr>
          <w:rFonts w:ascii="Palatino Linotype" w:hAnsi="Palatino Linotype" w:cs="Arial"/>
        </w:rPr>
      </w:pPr>
    </w:p>
    <w:p w14:paraId="278A67F8" w14:textId="338B0ED5" w:rsidR="001C4F63" w:rsidRPr="00B6547E" w:rsidRDefault="001C4F63" w:rsidP="001C4F63">
      <w:pPr>
        <w:pStyle w:val="Prrafodelista"/>
        <w:numPr>
          <w:ilvl w:val="0"/>
          <w:numId w:val="1"/>
        </w:numPr>
        <w:spacing w:line="360" w:lineRule="auto"/>
        <w:jc w:val="both"/>
        <w:rPr>
          <w:rFonts w:ascii="Palatino Linotype" w:hAnsi="Palatino Linotype" w:cs="Arial"/>
        </w:rPr>
      </w:pPr>
      <w:r w:rsidRPr="00B6547E">
        <w:rPr>
          <w:rFonts w:ascii="Palatino Linotype" w:eastAsia="Times New Roman" w:hAnsi="Palatino Linotype" w:cs="Arial"/>
          <w:color w:val="222222"/>
          <w:lang w:eastAsia="es-MX"/>
        </w:rPr>
        <w:t xml:space="preserve">Por lo anteriormente expuesto y fundado, este </w:t>
      </w:r>
      <w:r w:rsidRPr="00B6547E">
        <w:rPr>
          <w:rFonts w:ascii="Palatino Linotype" w:eastAsia="Times New Roman" w:hAnsi="Palatino Linotype" w:cs="Arial"/>
          <w:b/>
          <w:bCs/>
          <w:color w:val="222222"/>
          <w:lang w:eastAsia="es-MX"/>
        </w:rPr>
        <w:t>ÓRGANO GARANTE</w:t>
      </w:r>
      <w:r w:rsidRPr="00B6547E">
        <w:rPr>
          <w:rFonts w:ascii="Palatino Linotype" w:eastAsia="Times New Roman" w:hAnsi="Palatino Linotype" w:cs="Arial"/>
          <w:color w:val="222222"/>
          <w:lang w:eastAsia="es-MX"/>
        </w:rPr>
        <w:t xml:space="preserve"> emite los siguientes:</w:t>
      </w:r>
    </w:p>
    <w:p w14:paraId="3D65B6D8" w14:textId="77777777" w:rsidR="00892705" w:rsidRPr="00B6547E" w:rsidRDefault="00892705" w:rsidP="00892705">
      <w:pPr>
        <w:pStyle w:val="Prrafodelista"/>
        <w:spacing w:line="360" w:lineRule="auto"/>
        <w:ind w:left="0"/>
        <w:jc w:val="both"/>
        <w:rPr>
          <w:rFonts w:ascii="Palatino Linotype" w:hAnsi="Palatino Linotype" w:cs="Arial"/>
        </w:rPr>
      </w:pPr>
    </w:p>
    <w:p w14:paraId="18C7D92B" w14:textId="31B1E5E2" w:rsidR="009959DB" w:rsidRPr="00B6547E"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B6547E">
        <w:rPr>
          <w:b/>
          <w:color w:val="000000" w:themeColor="text1"/>
          <w:szCs w:val="24"/>
        </w:rPr>
        <w:lastRenderedPageBreak/>
        <w:t>R E S O L U T I V O S</w:t>
      </w:r>
      <w:bookmarkEnd w:id="32"/>
      <w:bookmarkEnd w:id="33"/>
      <w:bookmarkEnd w:id="39"/>
      <w:bookmarkEnd w:id="40"/>
      <w:bookmarkEnd w:id="41"/>
    </w:p>
    <w:p w14:paraId="10CCD2C4" w14:textId="77777777" w:rsidR="00C17715" w:rsidRPr="00B6547E" w:rsidRDefault="00C17715" w:rsidP="00C17715">
      <w:pPr>
        <w:rPr>
          <w:lang w:eastAsia="en-US"/>
        </w:rPr>
      </w:pPr>
    </w:p>
    <w:p w14:paraId="6AD72882" w14:textId="350A29E4" w:rsidR="00892705" w:rsidRPr="00B6547E" w:rsidRDefault="00892705" w:rsidP="00892705">
      <w:pPr>
        <w:spacing w:before="240" w:after="240" w:line="360" w:lineRule="auto"/>
        <w:ind w:right="48"/>
        <w:jc w:val="both"/>
        <w:rPr>
          <w:rFonts w:ascii="Palatino Linotype" w:hAnsi="Palatino Linotype" w:cs="Arial"/>
          <w:bCs/>
        </w:rPr>
      </w:pPr>
      <w:r w:rsidRPr="00B6547E">
        <w:rPr>
          <w:rFonts w:ascii="Palatino Linotype" w:hAnsi="Palatino Linotype" w:cs="Arial"/>
          <w:b/>
        </w:rPr>
        <w:t xml:space="preserve">PRIMERO. </w:t>
      </w:r>
      <w:r w:rsidRPr="00B6547E">
        <w:rPr>
          <w:rFonts w:ascii="Palatino Linotype" w:hAnsi="Palatino Linotype" w:cs="Arial"/>
        </w:rPr>
        <w:t>Resultan fundadas las</w:t>
      </w:r>
      <w:r w:rsidRPr="00B6547E">
        <w:rPr>
          <w:rFonts w:ascii="Palatino Linotype" w:hAnsi="Palatino Linotype" w:cs="Arial"/>
          <w:b/>
        </w:rPr>
        <w:t xml:space="preserve"> </w:t>
      </w:r>
      <w:r w:rsidRPr="00B6547E">
        <w:rPr>
          <w:rFonts w:ascii="Palatino Linotype" w:hAnsi="Palatino Linotype" w:cs="Arial"/>
          <w:lang w:val="es-ES"/>
        </w:rPr>
        <w:t xml:space="preserve">razones o motivos de inconformidad hechos valer </w:t>
      </w:r>
      <w:r w:rsidRPr="00B6547E">
        <w:rPr>
          <w:rFonts w:ascii="Palatino Linotype" w:eastAsia="Calibri" w:hAnsi="Palatino Linotype" w:cs="Arial"/>
          <w:lang w:val="es-ES"/>
        </w:rPr>
        <w:t xml:space="preserve">en el recurso de revisión </w:t>
      </w:r>
      <w:r w:rsidRPr="00B6547E">
        <w:rPr>
          <w:rFonts w:ascii="Palatino Linotype" w:eastAsia="MS Mincho" w:hAnsi="Palatino Linotype" w:cstheme="majorBidi"/>
          <w:b/>
          <w:bCs/>
          <w:lang w:val="es-ES"/>
        </w:rPr>
        <w:t>05053/INFOEM/IP/RR/2022</w:t>
      </w:r>
      <w:r w:rsidRPr="00B6547E">
        <w:rPr>
          <w:rFonts w:ascii="Palatino Linotype" w:hAnsi="Palatino Linotype" w:cs="Arial"/>
          <w:b/>
          <w:bCs/>
        </w:rPr>
        <w:t xml:space="preserve">, </w:t>
      </w:r>
      <w:r w:rsidRPr="00B6547E">
        <w:rPr>
          <w:rFonts w:ascii="Palatino Linotype" w:hAnsi="Palatino Linotype" w:cs="Arial"/>
          <w:bCs/>
        </w:rPr>
        <w:t xml:space="preserve">en términos del </w:t>
      </w:r>
      <w:r w:rsidRPr="00B6547E">
        <w:rPr>
          <w:rFonts w:ascii="Palatino Linotype" w:hAnsi="Palatino Linotype" w:cs="Arial"/>
          <w:b/>
          <w:bCs/>
        </w:rPr>
        <w:t>Considerando</w:t>
      </w:r>
      <w:r w:rsidRPr="00B6547E">
        <w:rPr>
          <w:rFonts w:ascii="Palatino Linotype" w:hAnsi="Palatino Linotype" w:cs="Arial"/>
          <w:bCs/>
        </w:rPr>
        <w:t xml:space="preserve"> </w:t>
      </w:r>
      <w:r w:rsidRPr="00B6547E">
        <w:rPr>
          <w:rFonts w:ascii="Palatino Linotype" w:hAnsi="Palatino Linotype" w:cs="Arial"/>
          <w:b/>
          <w:bCs/>
        </w:rPr>
        <w:t xml:space="preserve">CUARTO y QUINTO </w:t>
      </w:r>
      <w:r w:rsidRPr="00B6547E">
        <w:rPr>
          <w:rFonts w:ascii="Palatino Linotype" w:hAnsi="Palatino Linotype" w:cs="Arial"/>
          <w:bCs/>
        </w:rPr>
        <w:t>de la presente resolución.</w:t>
      </w:r>
    </w:p>
    <w:p w14:paraId="5B39FDBC" w14:textId="77777777" w:rsidR="00892705" w:rsidRPr="00B6547E" w:rsidRDefault="00892705" w:rsidP="00892705">
      <w:pPr>
        <w:spacing w:before="240" w:after="240" w:line="360" w:lineRule="auto"/>
        <w:ind w:right="48"/>
        <w:jc w:val="both"/>
        <w:rPr>
          <w:rFonts w:ascii="Palatino Linotype" w:hAnsi="Palatino Linotype" w:cs="Arial"/>
          <w:bCs/>
          <w:sz w:val="2"/>
          <w:szCs w:val="2"/>
        </w:rPr>
      </w:pPr>
    </w:p>
    <w:p w14:paraId="4316E46C" w14:textId="1AC600E6" w:rsidR="00892705" w:rsidRPr="00B6547E" w:rsidRDefault="00892705" w:rsidP="00892705">
      <w:pPr>
        <w:spacing w:before="240" w:after="240" w:line="360" w:lineRule="auto"/>
        <w:ind w:right="48"/>
        <w:jc w:val="both"/>
        <w:rPr>
          <w:rFonts w:ascii="Palatino Linotype" w:hAnsi="Palatino Linotype"/>
          <w:color w:val="000000"/>
        </w:rPr>
      </w:pPr>
      <w:bookmarkStart w:id="42" w:name="_Toc477891768"/>
      <w:bookmarkStart w:id="43" w:name="_Toc477891858"/>
      <w:bookmarkStart w:id="44" w:name="_Toc481576259"/>
      <w:bookmarkStart w:id="45" w:name="_Toc492590391"/>
      <w:bookmarkStart w:id="46" w:name="_Toc462653937"/>
      <w:bookmarkStart w:id="47" w:name="_Toc453696502"/>
      <w:bookmarkStart w:id="48" w:name="_Toc454301155"/>
      <w:r w:rsidRPr="00B6547E">
        <w:rPr>
          <w:rFonts w:ascii="Palatino Linotype" w:hAnsi="Palatino Linotype"/>
          <w:b/>
        </w:rPr>
        <w:t>SEGUNDO.</w:t>
      </w:r>
      <w:r w:rsidRPr="00B6547E">
        <w:rPr>
          <w:rFonts w:ascii="Palatino Linotype" w:eastAsia="DengXian Light" w:hAnsi="Palatino Linotype"/>
          <w:color w:val="2F5496"/>
        </w:rPr>
        <w:t xml:space="preserve"> </w:t>
      </w:r>
      <w:bookmarkEnd w:id="42"/>
      <w:bookmarkEnd w:id="43"/>
      <w:bookmarkEnd w:id="44"/>
      <w:bookmarkEnd w:id="45"/>
      <w:bookmarkEnd w:id="46"/>
      <w:bookmarkEnd w:id="47"/>
      <w:bookmarkEnd w:id="48"/>
      <w:r w:rsidRPr="00B6547E">
        <w:rPr>
          <w:rFonts w:ascii="Palatino Linotype" w:eastAsia="Calibri" w:hAnsi="Palatino Linotype" w:cs="Arial"/>
          <w:lang w:val="es-ES"/>
        </w:rPr>
        <w:t>Se</w:t>
      </w:r>
      <w:r w:rsidRPr="00B6547E">
        <w:rPr>
          <w:rFonts w:ascii="Palatino Linotype" w:eastAsia="Calibri" w:hAnsi="Palatino Linotype" w:cs="Arial"/>
          <w:b/>
          <w:lang w:val="es-ES"/>
        </w:rPr>
        <w:t xml:space="preserve"> MODIFICA </w:t>
      </w:r>
      <w:r w:rsidRPr="00B6547E">
        <w:rPr>
          <w:rFonts w:ascii="Palatino Linotype" w:eastAsia="Calibri" w:hAnsi="Palatino Linotype" w:cs="Arial"/>
          <w:lang w:val="es-ES"/>
        </w:rPr>
        <w:t xml:space="preserve">la respuesta emitida por la </w:t>
      </w:r>
      <w:r w:rsidRPr="00B6547E">
        <w:rPr>
          <w:rFonts w:ascii="Palatino Linotype" w:eastAsia="Calibri" w:hAnsi="Palatino Linotype" w:cs="Tahoma"/>
          <w:b/>
          <w:bCs/>
          <w:lang w:eastAsia="en-US"/>
        </w:rPr>
        <w:t xml:space="preserve">Secretaría de Movilidad </w:t>
      </w:r>
      <w:r w:rsidRPr="00B6547E">
        <w:rPr>
          <w:rFonts w:ascii="Palatino Linotype" w:eastAsia="Calibri" w:hAnsi="Palatino Linotype" w:cs="Arial"/>
          <w:lang w:val="es-ES"/>
        </w:rPr>
        <w:t>y se</w:t>
      </w:r>
      <w:r w:rsidRPr="00B6547E">
        <w:rPr>
          <w:rFonts w:ascii="Palatino Linotype" w:eastAsia="Calibri" w:hAnsi="Palatino Linotype" w:cs="Arial"/>
          <w:b/>
          <w:lang w:val="es-ES"/>
        </w:rPr>
        <w:t xml:space="preserve"> ORDENA </w:t>
      </w:r>
      <w:r w:rsidRPr="00B6547E">
        <w:rPr>
          <w:rFonts w:ascii="Palatino Linotype" w:hAnsi="Palatino Linotype" w:cs="Arial"/>
          <w:lang w:val="es-ES"/>
        </w:rPr>
        <w:t xml:space="preserve">entregar vía Sistema de Accesos a la Información Mexiquense </w:t>
      </w:r>
      <w:r w:rsidRPr="00B6547E">
        <w:rPr>
          <w:rFonts w:ascii="Palatino Linotype" w:hAnsi="Palatino Linotype" w:cs="Arial"/>
          <w:b/>
          <w:bCs/>
          <w:lang w:val="es-ES"/>
        </w:rPr>
        <w:t>(SAIMEX)</w:t>
      </w:r>
      <w:r w:rsidRPr="00B6547E">
        <w:rPr>
          <w:rFonts w:ascii="Palatino Linotype" w:hAnsi="Palatino Linotype" w:cs="Arial"/>
          <w:lang w:val="es-ES"/>
        </w:rPr>
        <w:t>,</w:t>
      </w:r>
      <w:r w:rsidR="00375220" w:rsidRPr="00B6547E">
        <w:rPr>
          <w:rFonts w:ascii="Palatino Linotype" w:hAnsi="Palatino Linotype" w:cs="Arial"/>
          <w:lang w:val="es-ES"/>
        </w:rPr>
        <w:t xml:space="preserve"> previa búsqueda exhaustiva y razonable,</w:t>
      </w:r>
      <w:r w:rsidRPr="00B6547E">
        <w:rPr>
          <w:rFonts w:ascii="Palatino Linotype" w:hAnsi="Palatino Linotype" w:cs="Arial"/>
          <w:lang w:val="es-ES"/>
        </w:rPr>
        <w:t xml:space="preserve"> de ser procedente en versión pública, lo siguiente:</w:t>
      </w:r>
    </w:p>
    <w:p w14:paraId="725EBDA9" w14:textId="703F9FDC" w:rsidR="00892705" w:rsidRPr="00B6547E" w:rsidRDefault="00375220" w:rsidP="00375220">
      <w:pPr>
        <w:pStyle w:val="Prrafodelista"/>
        <w:numPr>
          <w:ilvl w:val="0"/>
          <w:numId w:val="16"/>
        </w:numPr>
        <w:spacing w:before="240" w:after="240" w:line="360" w:lineRule="auto"/>
        <w:ind w:left="567" w:right="539" w:hanging="141"/>
        <w:jc w:val="both"/>
        <w:rPr>
          <w:rFonts w:ascii="Palatino Linotype" w:hAnsi="Palatino Linotype"/>
          <w:b/>
          <w:bCs/>
          <w:color w:val="000000"/>
        </w:rPr>
      </w:pPr>
      <w:r w:rsidRPr="00B6547E">
        <w:rPr>
          <w:rFonts w:ascii="Palatino Linotype" w:hAnsi="Palatino Linotype"/>
          <w:b/>
          <w:bCs/>
          <w:color w:val="000000"/>
        </w:rPr>
        <w:t>Los</w:t>
      </w:r>
      <w:r w:rsidRPr="00B6547E">
        <w:rPr>
          <w:rFonts w:ascii="Palatino Linotype" w:hAnsi="Palatino Linotype"/>
          <w:b/>
        </w:rPr>
        <w:t xml:space="preserve"> oficios con los que se autorizó la realización de </w:t>
      </w:r>
      <w:r w:rsidR="00C3708F" w:rsidRPr="00B6547E">
        <w:rPr>
          <w:rFonts w:ascii="Palatino Linotype" w:hAnsi="Palatino Linotype"/>
          <w:b/>
        </w:rPr>
        <w:t xml:space="preserve">operativos al </w:t>
      </w:r>
      <w:r w:rsidRPr="00B6547E">
        <w:rPr>
          <w:rFonts w:ascii="Palatino Linotype" w:hAnsi="Palatino Linotype"/>
          <w:b/>
        </w:rPr>
        <w:t>transporte público, del uno de enero de dos mil diez al tres de febrero de dos mil veintidós.</w:t>
      </w:r>
    </w:p>
    <w:p w14:paraId="53E49C41" w14:textId="77777777" w:rsidR="00C3708F" w:rsidRPr="00B6547E" w:rsidRDefault="00C3708F" w:rsidP="00892705">
      <w:pPr>
        <w:tabs>
          <w:tab w:val="left" w:pos="8080"/>
        </w:tabs>
        <w:spacing w:before="240" w:after="240" w:line="360" w:lineRule="auto"/>
        <w:ind w:right="48"/>
        <w:contextualSpacing/>
        <w:jc w:val="both"/>
        <w:rPr>
          <w:rFonts w:ascii="Palatino Linotype" w:hAnsi="Palatino Linotype"/>
        </w:rPr>
      </w:pPr>
    </w:p>
    <w:p w14:paraId="379EE452" w14:textId="77777777" w:rsidR="00892705" w:rsidRPr="00B6547E" w:rsidRDefault="00892705" w:rsidP="00892705">
      <w:pPr>
        <w:tabs>
          <w:tab w:val="left" w:pos="8080"/>
        </w:tabs>
        <w:spacing w:before="240" w:after="240" w:line="360" w:lineRule="auto"/>
        <w:ind w:right="48"/>
        <w:contextualSpacing/>
        <w:jc w:val="both"/>
        <w:rPr>
          <w:rFonts w:ascii="Palatino Linotype" w:hAnsi="Palatino Linotype"/>
          <w:b/>
        </w:rPr>
      </w:pPr>
      <w:r w:rsidRPr="00B6547E">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B6547E">
        <w:rPr>
          <w:rFonts w:ascii="Palatino Linotype" w:hAnsi="Palatino Linotype"/>
          <w:b/>
        </w:rPr>
        <w:t xml:space="preserve"> RECURRENTE.</w:t>
      </w:r>
    </w:p>
    <w:p w14:paraId="044B41A8" w14:textId="77777777" w:rsidR="00C3708F" w:rsidRPr="00B6547E" w:rsidRDefault="00C3708F" w:rsidP="00892705">
      <w:pPr>
        <w:tabs>
          <w:tab w:val="left" w:pos="8080"/>
        </w:tabs>
        <w:spacing w:before="240" w:after="240" w:line="360" w:lineRule="auto"/>
        <w:ind w:right="48"/>
        <w:contextualSpacing/>
        <w:jc w:val="both"/>
        <w:rPr>
          <w:rFonts w:ascii="Palatino Linotype" w:hAnsi="Palatino Linotype"/>
          <w:b/>
        </w:rPr>
      </w:pPr>
    </w:p>
    <w:p w14:paraId="1D588F0F" w14:textId="77777777" w:rsidR="00792FE5" w:rsidRPr="00B6547E" w:rsidRDefault="00792FE5" w:rsidP="00792FE5">
      <w:pPr>
        <w:spacing w:line="360" w:lineRule="auto"/>
        <w:jc w:val="both"/>
        <w:rPr>
          <w:rFonts w:ascii="Palatino Linotype" w:eastAsia="Calibri" w:hAnsi="Palatino Linotype" w:cs="Arial"/>
          <w:color w:val="000000" w:themeColor="text1"/>
        </w:rPr>
      </w:pPr>
      <w:r w:rsidRPr="00B6547E">
        <w:rPr>
          <w:rFonts w:ascii="Palatino Linotype" w:eastAsia="Calibri" w:hAnsi="Palatino Linotype" w:cs="Arial"/>
          <w:color w:val="000000" w:themeColor="text1"/>
        </w:rPr>
        <w:lastRenderedPageBreak/>
        <w:t>Para el caso de que la información que se ordena entregar no haya sido generada, poseída o administrada por cancelación, bastará que, de forma clara y precisa, se haga del conocimiento del Particular.</w:t>
      </w:r>
    </w:p>
    <w:p w14:paraId="00AD75BF" w14:textId="77777777" w:rsidR="00C3708F" w:rsidRPr="00B6547E" w:rsidRDefault="00C3708F" w:rsidP="00892705">
      <w:pPr>
        <w:tabs>
          <w:tab w:val="left" w:pos="8080"/>
        </w:tabs>
        <w:spacing w:before="240" w:after="240" w:line="360" w:lineRule="auto"/>
        <w:ind w:right="48"/>
        <w:contextualSpacing/>
        <w:jc w:val="both"/>
        <w:rPr>
          <w:rFonts w:ascii="Palatino Linotype" w:hAnsi="Palatino Linotype"/>
        </w:rPr>
      </w:pPr>
    </w:p>
    <w:p w14:paraId="4431B14C" w14:textId="77777777" w:rsidR="00892705" w:rsidRPr="00B6547E" w:rsidRDefault="00892705" w:rsidP="00892705">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B6547E">
        <w:rPr>
          <w:rFonts w:ascii="Palatino Linotype" w:eastAsia="Palatino Linotype" w:hAnsi="Palatino Linotype" w:cs="Palatino Linotype"/>
          <w:b/>
        </w:rPr>
        <w:t xml:space="preserve">TERCERO. </w:t>
      </w:r>
      <w:r w:rsidRPr="00B6547E">
        <w:rPr>
          <w:rFonts w:ascii="Palatino Linotype" w:hAnsi="Palatino Linotype" w:cs="Arial"/>
          <w:b/>
          <w:color w:val="000000" w:themeColor="text1"/>
        </w:rPr>
        <w:t>Notifíquese</w:t>
      </w:r>
      <w:r w:rsidRPr="00B6547E">
        <w:rPr>
          <w:rFonts w:ascii="Palatino Linotype" w:hAnsi="Palatino Linotype" w:cs="Arial"/>
          <w:b/>
          <w:bCs/>
          <w:color w:val="000000" w:themeColor="text1"/>
        </w:rPr>
        <w:t xml:space="preserve"> </w:t>
      </w:r>
      <w:r w:rsidRPr="00B6547E">
        <w:rPr>
          <w:rFonts w:ascii="Palatino Linotype" w:hAnsi="Palatino Linotype" w:cs="AppleSystemUIFont"/>
        </w:rPr>
        <w:t xml:space="preserve">a presente resolución al Titular de la Unidad de Transparencia del </w:t>
      </w:r>
      <w:r w:rsidRPr="00B6547E">
        <w:rPr>
          <w:rFonts w:ascii="Palatino Linotype" w:hAnsi="Palatino Linotype" w:cs="AppleSystemUIFont"/>
          <w:b/>
          <w:bCs/>
        </w:rPr>
        <w:t>SUJETO OBLIGADO</w:t>
      </w:r>
      <w:r w:rsidRPr="00B6547E">
        <w:rPr>
          <w:rFonts w:ascii="Palatino Linotype" w:hAnsi="Palatino Linotype" w:cs="AppleSystemUIFont"/>
        </w:rPr>
        <w:t xml:space="preserve">, para que conforme al artículo 186 último párrafo, 189 segundo párrafo y 194 de la Ley de Transparencia y Acceso a la Información Pública del Estado de México y Municipios; dé cumplimiento a lo ordenado dentro del </w:t>
      </w:r>
      <w:r w:rsidRPr="00B6547E">
        <w:rPr>
          <w:rFonts w:ascii="Palatino Linotype" w:hAnsi="Palatino Linotype" w:cs="AppleSystemUIFont"/>
          <w:b/>
          <w:bCs/>
        </w:rPr>
        <w:t>plazo de diez días hábiles</w:t>
      </w:r>
      <w:r w:rsidRPr="00B6547E">
        <w:rPr>
          <w:rFonts w:ascii="Palatino Linotype" w:hAnsi="Palatino Linotype" w:cs="AppleSystemUIFont"/>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6B9AC8" w14:textId="77777777" w:rsidR="00892705" w:rsidRPr="00B6547E" w:rsidRDefault="00892705" w:rsidP="00892705">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581DD341" w14:textId="77777777" w:rsidR="00892705" w:rsidRPr="00B6547E" w:rsidRDefault="00892705" w:rsidP="00892705">
      <w:pPr>
        <w:shd w:val="clear" w:color="auto" w:fill="FFFFFF"/>
        <w:spacing w:before="240" w:after="240" w:line="360" w:lineRule="auto"/>
        <w:ind w:right="48"/>
        <w:jc w:val="both"/>
        <w:rPr>
          <w:rFonts w:ascii="Palatino Linotype" w:hAnsi="Palatino Linotype"/>
          <w:b/>
        </w:rPr>
      </w:pPr>
      <w:r w:rsidRPr="00B6547E">
        <w:rPr>
          <w:rFonts w:ascii="Palatino Linotype" w:hAnsi="Palatino Linotype" w:cs="Arial"/>
          <w:b/>
        </w:rPr>
        <w:t xml:space="preserve">CUARTO. </w:t>
      </w:r>
      <w:r w:rsidRPr="00B6547E">
        <w:rPr>
          <w:rFonts w:ascii="Palatino Linotype" w:hAnsi="Palatino Linotype"/>
          <w:b/>
          <w:bCs/>
          <w:lang w:val="es-ES"/>
        </w:rPr>
        <w:t>Notifíquese al RECURRENTE</w:t>
      </w:r>
      <w:r w:rsidRPr="00B6547E">
        <w:rPr>
          <w:rFonts w:ascii="Palatino Linotype" w:hAnsi="Palatino Linotype"/>
        </w:rPr>
        <w:t xml:space="preserve"> la presente resolución vía </w:t>
      </w:r>
      <w:r w:rsidRPr="00B6547E">
        <w:rPr>
          <w:rFonts w:ascii="Palatino Linotype" w:hAnsi="Palatino Linotype"/>
          <w:b/>
        </w:rPr>
        <w:t>SAIMEX.</w:t>
      </w:r>
    </w:p>
    <w:p w14:paraId="0B3E5456" w14:textId="77777777" w:rsidR="00892705" w:rsidRPr="00B6547E" w:rsidRDefault="00892705" w:rsidP="00892705">
      <w:pPr>
        <w:shd w:val="clear" w:color="auto" w:fill="FFFFFF"/>
        <w:spacing w:before="240" w:after="240" w:line="360" w:lineRule="auto"/>
        <w:ind w:right="48"/>
        <w:jc w:val="both"/>
        <w:rPr>
          <w:rFonts w:ascii="Palatino Linotype" w:hAnsi="Palatino Linotype"/>
          <w:b/>
          <w:sz w:val="2"/>
          <w:szCs w:val="2"/>
        </w:rPr>
      </w:pPr>
    </w:p>
    <w:p w14:paraId="7136140C" w14:textId="77777777" w:rsidR="00892705" w:rsidRPr="00B6547E" w:rsidRDefault="00892705" w:rsidP="00892705">
      <w:pPr>
        <w:spacing w:before="240" w:after="240" w:line="360" w:lineRule="auto"/>
        <w:ind w:right="48"/>
        <w:jc w:val="both"/>
        <w:rPr>
          <w:rFonts w:ascii="Palatino Linotype" w:eastAsia="MS Mincho" w:hAnsi="Palatino Linotype"/>
          <w:lang w:val="es-ES"/>
        </w:rPr>
      </w:pPr>
      <w:r w:rsidRPr="00B6547E">
        <w:rPr>
          <w:rFonts w:ascii="Palatino Linotype" w:eastAsia="MS Mincho" w:hAnsi="Palatino Linotype"/>
          <w:b/>
        </w:rPr>
        <w:t>QUINTO.</w:t>
      </w:r>
      <w:r w:rsidRPr="00B6547E">
        <w:rPr>
          <w:rFonts w:ascii="Palatino Linotype" w:eastAsia="MS Mincho" w:hAnsi="Palatino Linotype"/>
        </w:rPr>
        <w:t xml:space="preserve"> </w:t>
      </w:r>
      <w:r w:rsidRPr="00B6547E">
        <w:rPr>
          <w:rFonts w:ascii="Palatino Linotype" w:eastAsia="MS Mincho" w:hAnsi="Palatino Linotype"/>
          <w:lang w:val="es-ES"/>
        </w:rPr>
        <w:t xml:space="preserve">Se hace del conocimiento del </w:t>
      </w:r>
      <w:r w:rsidRPr="00B6547E">
        <w:rPr>
          <w:rFonts w:ascii="Palatino Linotype" w:hAnsi="Palatino Linotype"/>
          <w:b/>
        </w:rPr>
        <w:t>RECURRENTE</w:t>
      </w:r>
      <w:r w:rsidRPr="00B6547E">
        <w:rPr>
          <w:rFonts w:ascii="Palatino Linotype" w:hAnsi="Palatino Linotype"/>
        </w:rPr>
        <w:t xml:space="preserve"> </w:t>
      </w:r>
      <w:r w:rsidRPr="00B6547E">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6547E">
        <w:rPr>
          <w:rFonts w:ascii="Palatino Linotype" w:eastAsia="MS Mincho" w:hAnsi="Palatino Linotype"/>
          <w:bCs/>
          <w:lang w:val="es-ES"/>
        </w:rPr>
        <w:t>vía juicio de amparo</w:t>
      </w:r>
      <w:r w:rsidRPr="00B6547E">
        <w:rPr>
          <w:rFonts w:ascii="Palatino Linotype" w:eastAsia="MS Mincho" w:hAnsi="Palatino Linotype"/>
          <w:lang w:val="es-ES"/>
        </w:rPr>
        <w:t xml:space="preserve"> en los términos de las leyes aplicables.</w:t>
      </w:r>
    </w:p>
    <w:p w14:paraId="42AC0207" w14:textId="77777777" w:rsidR="00892705" w:rsidRPr="00B6547E" w:rsidRDefault="00892705" w:rsidP="00892705">
      <w:pPr>
        <w:spacing w:before="240" w:after="240" w:line="360" w:lineRule="auto"/>
        <w:ind w:right="48"/>
        <w:jc w:val="both"/>
        <w:rPr>
          <w:rFonts w:ascii="Palatino Linotype" w:eastAsia="MS Mincho" w:hAnsi="Palatino Linotype"/>
          <w:sz w:val="2"/>
          <w:szCs w:val="2"/>
          <w:lang w:val="es-ES"/>
        </w:rPr>
      </w:pPr>
    </w:p>
    <w:p w14:paraId="4482E975" w14:textId="5C5DAE4A" w:rsidR="00930741" w:rsidRPr="00B6547E" w:rsidRDefault="00892705" w:rsidP="00892705">
      <w:pPr>
        <w:spacing w:before="240" w:after="240" w:line="360" w:lineRule="auto"/>
        <w:ind w:right="48"/>
        <w:jc w:val="both"/>
        <w:rPr>
          <w:rFonts w:ascii="Palatino Linotype" w:eastAsia="Calibri" w:hAnsi="Palatino Linotype" w:cs="Arial"/>
          <w:bCs/>
        </w:rPr>
      </w:pPr>
      <w:r w:rsidRPr="00B6547E">
        <w:rPr>
          <w:rFonts w:ascii="Palatino Linotype" w:hAnsi="Palatino Linotype"/>
          <w:b/>
          <w:color w:val="000000"/>
          <w:shd w:val="clear" w:color="auto" w:fill="FFFFFF"/>
        </w:rPr>
        <w:lastRenderedPageBreak/>
        <w:t xml:space="preserve">SEXTO. </w:t>
      </w:r>
      <w:r w:rsidRPr="00B6547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7E11DC5" w14:textId="3F8832A0" w:rsidR="007415E9" w:rsidRDefault="007415E9" w:rsidP="007415E9">
      <w:pPr>
        <w:spacing w:before="240" w:after="240" w:line="360" w:lineRule="auto"/>
        <w:ind w:firstLine="1"/>
        <w:jc w:val="both"/>
        <w:rPr>
          <w:rFonts w:ascii="Palatino Linotype" w:hAnsi="Palatino Linotype"/>
        </w:rPr>
      </w:pPr>
      <w:r w:rsidRPr="00B6547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515C9" w:rsidRPr="00B6547E">
        <w:rPr>
          <w:rFonts w:ascii="Palatino Linotype" w:hAnsi="Palatino Linotype"/>
        </w:rPr>
        <w:t xml:space="preserve"> EMITIENDO VOTO</w:t>
      </w:r>
      <w:r w:rsidR="008150C7" w:rsidRPr="00B6547E">
        <w:rPr>
          <w:rFonts w:ascii="Palatino Linotype" w:hAnsi="Palatino Linotype"/>
        </w:rPr>
        <w:t xml:space="preserve"> PARTICULAR</w:t>
      </w:r>
      <w:r w:rsidRPr="00B6547E">
        <w:rPr>
          <w:rFonts w:ascii="Palatino Linotype" w:hAnsi="Palatino Linotype"/>
        </w:rPr>
        <w:t>; LUIS GUSTAVO PARRA NORIEGA Y GUADALUPE RAMÍREZ PEÑA</w:t>
      </w:r>
      <w:r w:rsidR="008150C7" w:rsidRPr="00B6547E">
        <w:rPr>
          <w:rFonts w:ascii="Palatino Linotype" w:hAnsi="Palatino Linotype"/>
        </w:rPr>
        <w:t xml:space="preserve"> EMITIENDO VOTO PARTICULAR;</w:t>
      </w:r>
      <w:r w:rsidRPr="00B6547E">
        <w:rPr>
          <w:rFonts w:ascii="Palatino Linotype" w:hAnsi="Palatino Linotype"/>
        </w:rPr>
        <w:t xml:space="preserve"> EN LA </w:t>
      </w:r>
      <w:r w:rsidR="00580B5B" w:rsidRPr="00B6547E">
        <w:rPr>
          <w:rFonts w:ascii="Palatino Linotype" w:hAnsi="Palatino Linotype"/>
        </w:rPr>
        <w:t xml:space="preserve">CUADRAGÉSIMA </w:t>
      </w:r>
      <w:r w:rsidR="008728F2" w:rsidRPr="00B6547E">
        <w:rPr>
          <w:rFonts w:ascii="Palatino Linotype" w:hAnsi="Palatino Linotype"/>
        </w:rPr>
        <w:t>QUINTA</w:t>
      </w:r>
      <w:r w:rsidRPr="00B6547E">
        <w:rPr>
          <w:rFonts w:ascii="Palatino Linotype" w:hAnsi="Palatino Linotype"/>
        </w:rPr>
        <w:t xml:space="preserve"> SESIÓN ORDINARIA CELEBRADA EL </w:t>
      </w:r>
      <w:r w:rsidR="00580B5B" w:rsidRPr="00B6547E">
        <w:rPr>
          <w:rFonts w:ascii="Palatino Linotype" w:hAnsi="Palatino Linotype"/>
        </w:rPr>
        <w:t xml:space="preserve">TRECE </w:t>
      </w:r>
      <w:r w:rsidR="008728F2" w:rsidRPr="00B6547E">
        <w:rPr>
          <w:rFonts w:ascii="Palatino Linotype" w:hAnsi="Palatino Linotype"/>
        </w:rPr>
        <w:t xml:space="preserve">(13) </w:t>
      </w:r>
      <w:r w:rsidR="00580B5B" w:rsidRPr="00B6547E">
        <w:rPr>
          <w:rFonts w:ascii="Palatino Linotype" w:hAnsi="Palatino Linotype"/>
        </w:rPr>
        <w:t>DE DICIEMBRE</w:t>
      </w:r>
      <w:r w:rsidRPr="00B6547E">
        <w:rPr>
          <w:rFonts w:ascii="Palatino Linotype" w:hAnsi="Palatino Linotype"/>
        </w:rPr>
        <w:t xml:space="preserve"> DE DOS MIL VEINTI</w:t>
      </w:r>
      <w:r w:rsidR="00741959" w:rsidRPr="00B6547E">
        <w:rPr>
          <w:rFonts w:ascii="Palatino Linotype" w:hAnsi="Palatino Linotype"/>
        </w:rPr>
        <w:t>TRÉS</w:t>
      </w:r>
      <w:r w:rsidRPr="00B6547E">
        <w:rPr>
          <w:rFonts w:ascii="Palatino Linotype" w:hAnsi="Palatino Linotype"/>
        </w:rPr>
        <w:t>,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9"/>
      <w:footerReference w:type="default" r:id="rId20"/>
      <w:headerReference w:type="first" r:id="rId21"/>
      <w:footerReference w:type="first" r:id="rId2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72FE" w14:textId="77777777" w:rsidR="0005149B" w:rsidRDefault="0005149B" w:rsidP="00587366">
      <w:r>
        <w:separator/>
      </w:r>
    </w:p>
  </w:endnote>
  <w:endnote w:type="continuationSeparator" w:id="0">
    <w:p w14:paraId="0B4B298E" w14:textId="77777777" w:rsidR="0005149B" w:rsidRDefault="0005149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FCCC7B6" w:rsidR="00375220" w:rsidRPr="00883450" w:rsidRDefault="0037522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D39B4">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D39B4">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47B193F0" w:rsidR="00375220" w:rsidRDefault="003752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07827FE1" w:rsidR="00375220" w:rsidRPr="00883450" w:rsidRDefault="0037522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B147B" w:rsidRPr="00CB147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B147B" w:rsidRPr="00CB147B">
      <w:rPr>
        <w:rFonts w:ascii="Palatino Linotype" w:hAnsi="Palatino Linotype"/>
        <w:noProof/>
        <w:sz w:val="22"/>
        <w:szCs w:val="22"/>
        <w:lang w:val="es-ES"/>
      </w:rPr>
      <w:t>1</w:t>
    </w:r>
    <w:r w:rsidRPr="00883450">
      <w:rPr>
        <w:rFonts w:ascii="Palatino Linotype" w:hAnsi="Palatino Linotype"/>
        <w:sz w:val="22"/>
        <w:szCs w:val="22"/>
      </w:rPr>
      <w:fldChar w:fldCharType="end"/>
    </w:r>
  </w:p>
  <w:p w14:paraId="5F5C4865" w14:textId="0A9A2B26" w:rsidR="00375220" w:rsidRPr="00883450" w:rsidRDefault="0037522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9BE6" w14:textId="77777777" w:rsidR="0005149B" w:rsidRDefault="0005149B" w:rsidP="00587366">
      <w:r>
        <w:separator/>
      </w:r>
    </w:p>
  </w:footnote>
  <w:footnote w:type="continuationSeparator" w:id="0">
    <w:p w14:paraId="2F09F765" w14:textId="77777777" w:rsidR="0005149B" w:rsidRDefault="0005149B" w:rsidP="00587366">
      <w:r>
        <w:continuationSeparator/>
      </w:r>
    </w:p>
  </w:footnote>
  <w:footnote w:id="1">
    <w:p w14:paraId="73B938C3" w14:textId="77777777" w:rsidR="00375220" w:rsidRPr="00C7183E" w:rsidRDefault="00375220" w:rsidP="00803A69">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23C377DE" w14:textId="77777777" w:rsidR="00375220" w:rsidRDefault="00375220" w:rsidP="00803A69">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1CDA5033" w14:textId="77777777" w:rsidR="00375220" w:rsidRDefault="00375220" w:rsidP="00803A69">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58F6AF17" w14:textId="77777777" w:rsidR="00375220" w:rsidRDefault="00375220" w:rsidP="00636E63">
      <w:pPr>
        <w:pStyle w:val="Textonotapie"/>
      </w:pPr>
      <w:r>
        <w:rPr>
          <w:rStyle w:val="Refdenotaalpie"/>
        </w:rPr>
        <w:footnoteRef/>
      </w:r>
      <w:r>
        <w:t xml:space="preserve"> Convención Americana sobre Derechos Humanos. Artículo 13.</w:t>
      </w:r>
    </w:p>
  </w:footnote>
  <w:footnote w:id="5">
    <w:p w14:paraId="0AA7E917" w14:textId="77777777" w:rsidR="00375220" w:rsidRDefault="00375220" w:rsidP="00636E63">
      <w:pPr>
        <w:pStyle w:val="Textonotapie"/>
      </w:pPr>
      <w:r>
        <w:rPr>
          <w:rStyle w:val="Refdenotaalpie"/>
        </w:rPr>
        <w:footnoteRef/>
      </w:r>
      <w:r>
        <w:t xml:space="preserve"> Constitución Política de los Estados Unidos Mexicanos. Artículo sexto, sección A, fracción I.</w:t>
      </w:r>
    </w:p>
  </w:footnote>
  <w:footnote w:id="6">
    <w:p w14:paraId="66A5C1C3" w14:textId="77777777" w:rsidR="00375220" w:rsidRDefault="00375220" w:rsidP="00636E6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00074EB4" w14:textId="77777777" w:rsidR="00375220" w:rsidRDefault="00375220" w:rsidP="00636E63">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75220" w:rsidRPr="00025127" w14:paraId="07F2896E" w14:textId="77777777" w:rsidTr="00FA0F09">
      <w:trPr>
        <w:trHeight w:val="138"/>
        <w:jc w:val="right"/>
      </w:trPr>
      <w:tc>
        <w:tcPr>
          <w:tcW w:w="3260" w:type="dxa"/>
          <w:vAlign w:val="center"/>
        </w:tcPr>
        <w:p w14:paraId="4A5B1974" w14:textId="44CA9AFE" w:rsidR="00375220" w:rsidRPr="00025127" w:rsidRDefault="0037522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B635211" w:rsidR="00375220" w:rsidRPr="00025127" w:rsidRDefault="00375220" w:rsidP="00755146">
          <w:pPr>
            <w:pStyle w:val="Encabezado"/>
            <w:jc w:val="both"/>
            <w:rPr>
              <w:rFonts w:ascii="Palatino Linotype" w:hAnsi="Palatino Linotype"/>
              <w:b/>
              <w:sz w:val="22"/>
              <w:szCs w:val="22"/>
            </w:rPr>
          </w:pPr>
          <w:r>
            <w:rPr>
              <w:rFonts w:ascii="Palatino Linotype" w:hAnsi="Palatino Linotype"/>
              <w:b/>
              <w:szCs w:val="22"/>
            </w:rPr>
            <w:t>05053</w:t>
          </w:r>
          <w:r w:rsidRPr="0055407C">
            <w:rPr>
              <w:rFonts w:ascii="Palatino Linotype" w:hAnsi="Palatino Linotype"/>
              <w:b/>
              <w:szCs w:val="22"/>
            </w:rPr>
            <w:t>/INFOEM/IP/RR/202</w:t>
          </w:r>
          <w:r>
            <w:rPr>
              <w:rFonts w:ascii="Palatino Linotype" w:hAnsi="Palatino Linotype"/>
              <w:b/>
              <w:szCs w:val="22"/>
            </w:rPr>
            <w:t>2</w:t>
          </w:r>
        </w:p>
      </w:tc>
    </w:tr>
    <w:tr w:rsidR="00375220" w:rsidRPr="00025127" w14:paraId="1B5D8690" w14:textId="77777777" w:rsidTr="00FA0F09">
      <w:trPr>
        <w:trHeight w:val="233"/>
        <w:jc w:val="right"/>
      </w:trPr>
      <w:tc>
        <w:tcPr>
          <w:tcW w:w="3260" w:type="dxa"/>
          <w:vAlign w:val="center"/>
        </w:tcPr>
        <w:p w14:paraId="3903F2C6" w14:textId="22D569F8" w:rsidR="00375220" w:rsidRPr="00025127" w:rsidRDefault="0037522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04688A2" w:rsidR="00375220" w:rsidRPr="00025127" w:rsidRDefault="00375220"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Secretar</w:t>
          </w:r>
          <w:r w:rsidR="00530D0C">
            <w:rPr>
              <w:rFonts w:ascii="Palatino Linotype" w:eastAsia="Calibri" w:hAnsi="Palatino Linotype" w:cs="Arial"/>
              <w:b/>
              <w:bCs/>
              <w:sz w:val="22"/>
              <w:lang w:val="es-ES"/>
            </w:rPr>
            <w:t>í</w:t>
          </w:r>
          <w:r>
            <w:rPr>
              <w:rFonts w:ascii="Palatino Linotype" w:eastAsia="Calibri" w:hAnsi="Palatino Linotype" w:cs="Arial"/>
              <w:b/>
              <w:bCs/>
              <w:sz w:val="22"/>
              <w:lang w:val="es-ES"/>
            </w:rPr>
            <w:t>a de Movilidad</w:t>
          </w:r>
        </w:p>
      </w:tc>
    </w:tr>
    <w:tr w:rsidR="00375220" w:rsidRPr="00025127" w14:paraId="095EB01B" w14:textId="77777777" w:rsidTr="00FA0F09">
      <w:trPr>
        <w:trHeight w:val="321"/>
        <w:jc w:val="right"/>
      </w:trPr>
      <w:tc>
        <w:tcPr>
          <w:tcW w:w="3260" w:type="dxa"/>
          <w:vAlign w:val="center"/>
        </w:tcPr>
        <w:p w14:paraId="6E000A51" w14:textId="05E1861A" w:rsidR="00375220" w:rsidRPr="00025127" w:rsidRDefault="0037522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75220" w:rsidRPr="00025127" w:rsidRDefault="0037522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375220" w:rsidRDefault="0037522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375220" w:rsidRDefault="0005149B" w:rsidP="00472C41">
    <w:pPr>
      <w:pStyle w:val="Encabezado"/>
      <w:tabs>
        <w:tab w:val="clear" w:pos="4252"/>
        <w:tab w:val="clear" w:pos="8504"/>
        <w:tab w:val="left" w:pos="3103"/>
      </w:tabs>
    </w:pPr>
    <w:r>
      <w:rPr>
        <w:noProof/>
      </w:rPr>
      <w:pict w14:anchorId="41826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37522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75220" w:rsidRPr="00025127" w14:paraId="0A3256F2" w14:textId="77777777" w:rsidTr="006E6B65">
      <w:trPr>
        <w:trHeight w:val="138"/>
        <w:jc w:val="right"/>
      </w:trPr>
      <w:tc>
        <w:tcPr>
          <w:tcW w:w="3261" w:type="dxa"/>
          <w:vAlign w:val="center"/>
        </w:tcPr>
        <w:p w14:paraId="3D80769D" w14:textId="316F11F8" w:rsidR="00375220" w:rsidRPr="00025127" w:rsidRDefault="0037522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F26E7C3" w:rsidR="00375220" w:rsidRPr="00025127" w:rsidRDefault="00375220" w:rsidP="000021A0">
          <w:pPr>
            <w:pStyle w:val="Encabezado"/>
            <w:rPr>
              <w:rFonts w:ascii="Palatino Linotype" w:hAnsi="Palatino Linotype"/>
              <w:b/>
              <w:sz w:val="22"/>
              <w:szCs w:val="22"/>
            </w:rPr>
          </w:pPr>
          <w:r>
            <w:rPr>
              <w:rFonts w:ascii="Palatino Linotype" w:hAnsi="Palatino Linotype"/>
              <w:b/>
              <w:szCs w:val="22"/>
            </w:rPr>
            <w:t>05053</w:t>
          </w:r>
          <w:r w:rsidRPr="0055407C">
            <w:rPr>
              <w:rFonts w:ascii="Palatino Linotype" w:hAnsi="Palatino Linotype"/>
              <w:b/>
              <w:szCs w:val="22"/>
            </w:rPr>
            <w:t>/INFOEM/IP/RR/202</w:t>
          </w:r>
          <w:r>
            <w:rPr>
              <w:rFonts w:ascii="Palatino Linotype" w:hAnsi="Palatino Linotype"/>
              <w:b/>
              <w:szCs w:val="22"/>
            </w:rPr>
            <w:t>2</w:t>
          </w:r>
        </w:p>
      </w:tc>
    </w:tr>
    <w:tr w:rsidR="00375220" w:rsidRPr="00025127" w14:paraId="128C8B3C" w14:textId="77777777" w:rsidTr="006E6B65">
      <w:trPr>
        <w:trHeight w:val="233"/>
        <w:jc w:val="right"/>
      </w:trPr>
      <w:tc>
        <w:tcPr>
          <w:tcW w:w="3261" w:type="dxa"/>
          <w:vAlign w:val="center"/>
        </w:tcPr>
        <w:p w14:paraId="483E3371" w14:textId="66B1BC74" w:rsidR="00375220" w:rsidRPr="00025127" w:rsidRDefault="0037522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EF456C8" w:rsidR="00375220" w:rsidRPr="0035066B" w:rsidRDefault="00594209" w:rsidP="00B87705">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375220" w:rsidRPr="00025127" w14:paraId="41BE0704" w14:textId="77777777" w:rsidTr="006E6B65">
      <w:trPr>
        <w:trHeight w:val="321"/>
        <w:jc w:val="right"/>
      </w:trPr>
      <w:tc>
        <w:tcPr>
          <w:tcW w:w="3261" w:type="dxa"/>
          <w:vAlign w:val="center"/>
        </w:tcPr>
        <w:p w14:paraId="34C64148" w14:textId="10C6C8A9" w:rsidR="00375220" w:rsidRPr="00025127" w:rsidRDefault="0037522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83BCCD4" w:rsidR="00375220" w:rsidRPr="00025127" w:rsidRDefault="00375220" w:rsidP="00743BB5">
          <w:pPr>
            <w:pStyle w:val="Encabezado"/>
            <w:jc w:val="both"/>
            <w:rPr>
              <w:rFonts w:ascii="Palatino Linotype" w:hAnsi="Palatino Linotype"/>
              <w:b/>
              <w:sz w:val="22"/>
              <w:szCs w:val="22"/>
            </w:rPr>
          </w:pPr>
          <w:r>
            <w:rPr>
              <w:rFonts w:ascii="Palatino Linotype" w:eastAsia="Calibri" w:hAnsi="Palatino Linotype" w:cs="Arial"/>
              <w:b/>
              <w:bCs/>
              <w:sz w:val="22"/>
              <w:lang w:val="es-ES"/>
            </w:rPr>
            <w:t>Secretar</w:t>
          </w:r>
          <w:r w:rsidR="00530D0C">
            <w:rPr>
              <w:rFonts w:ascii="Palatino Linotype" w:eastAsia="Calibri" w:hAnsi="Palatino Linotype" w:cs="Arial"/>
              <w:b/>
              <w:bCs/>
              <w:sz w:val="22"/>
              <w:lang w:val="es-ES"/>
            </w:rPr>
            <w:t>í</w:t>
          </w:r>
          <w:r>
            <w:rPr>
              <w:rFonts w:ascii="Palatino Linotype" w:eastAsia="Calibri" w:hAnsi="Palatino Linotype" w:cs="Arial"/>
              <w:b/>
              <w:bCs/>
              <w:sz w:val="22"/>
              <w:lang w:val="es-ES"/>
            </w:rPr>
            <w:t>a de Movilidad</w:t>
          </w:r>
        </w:p>
      </w:tc>
    </w:tr>
    <w:tr w:rsidR="00375220" w:rsidRPr="00025127" w14:paraId="0C8B6193" w14:textId="77777777" w:rsidTr="006E6B65">
      <w:trPr>
        <w:trHeight w:val="321"/>
        <w:jc w:val="right"/>
      </w:trPr>
      <w:tc>
        <w:tcPr>
          <w:tcW w:w="3261" w:type="dxa"/>
          <w:vAlign w:val="center"/>
        </w:tcPr>
        <w:p w14:paraId="321FFAFF" w14:textId="0E8C2CE7" w:rsidR="00375220" w:rsidRPr="00025127" w:rsidRDefault="0037522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375220" w:rsidRPr="00025127" w:rsidRDefault="0037522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375220" w:rsidRDefault="0037522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046725"/>
    <w:multiLevelType w:val="hybridMultilevel"/>
    <w:tmpl w:val="CEBC7D7C"/>
    <w:lvl w:ilvl="0" w:tplc="55D4FA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2242B"/>
    <w:multiLevelType w:val="hybridMultilevel"/>
    <w:tmpl w:val="81F639E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AF5E5232">
      <w:start w:val="1"/>
      <w:numFmt w:val="upperRoman"/>
      <w:lvlText w:val="%4."/>
      <w:lvlJc w:val="lef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4D68D4"/>
    <w:multiLevelType w:val="hybridMultilevel"/>
    <w:tmpl w:val="999692E2"/>
    <w:lvl w:ilvl="0" w:tplc="080A0003">
      <w:start w:val="1"/>
      <w:numFmt w:val="bullet"/>
      <w:lvlText w:val="o"/>
      <w:lvlJc w:val="left"/>
      <w:pPr>
        <w:ind w:left="1211" w:hanging="360"/>
      </w:pPr>
      <w:rPr>
        <w:rFonts w:ascii="Courier New" w:hAnsi="Courier New" w:cs="Courier New"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0BB2328"/>
    <w:multiLevelType w:val="hybridMultilevel"/>
    <w:tmpl w:val="C81C98F0"/>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875F49"/>
    <w:multiLevelType w:val="hybridMultilevel"/>
    <w:tmpl w:val="5CEC4A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A731AD"/>
    <w:multiLevelType w:val="hybridMultilevel"/>
    <w:tmpl w:val="E57078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2FA1558"/>
    <w:multiLevelType w:val="hybridMultilevel"/>
    <w:tmpl w:val="2D3A96A8"/>
    <w:lvl w:ilvl="0" w:tplc="080A0003">
      <w:start w:val="1"/>
      <w:numFmt w:val="bullet"/>
      <w:lvlText w:val="o"/>
      <w:lvlJc w:val="left"/>
      <w:pPr>
        <w:ind w:left="1069" w:hanging="360"/>
      </w:pPr>
      <w:rPr>
        <w:rFonts w:ascii="Courier New" w:hAnsi="Courier New" w:cs="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4585BD8"/>
    <w:multiLevelType w:val="hybridMultilevel"/>
    <w:tmpl w:val="7512ADE0"/>
    <w:lvl w:ilvl="0" w:tplc="080A0003">
      <w:start w:val="1"/>
      <w:numFmt w:val="bullet"/>
      <w:lvlText w:val="o"/>
      <w:lvlJc w:val="left"/>
      <w:pPr>
        <w:ind w:left="1211" w:hanging="360"/>
      </w:pPr>
      <w:rPr>
        <w:rFonts w:ascii="Courier New" w:hAnsi="Courier New" w:cs="Courier New"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76835851"/>
    <w:multiLevelType w:val="hybridMultilevel"/>
    <w:tmpl w:val="5D562742"/>
    <w:lvl w:ilvl="0" w:tplc="C568BD3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16cid:durableId="1604068374">
    <w:abstractNumId w:val="8"/>
  </w:num>
  <w:num w:numId="2" w16cid:durableId="1551958060">
    <w:abstractNumId w:val="0"/>
  </w:num>
  <w:num w:numId="3" w16cid:durableId="595556403">
    <w:abstractNumId w:val="15"/>
  </w:num>
  <w:num w:numId="4" w16cid:durableId="46345308">
    <w:abstractNumId w:val="5"/>
  </w:num>
  <w:num w:numId="5" w16cid:durableId="1809278327">
    <w:abstractNumId w:val="7"/>
  </w:num>
  <w:num w:numId="6" w16cid:durableId="590311878">
    <w:abstractNumId w:val="9"/>
  </w:num>
  <w:num w:numId="7" w16cid:durableId="622272579">
    <w:abstractNumId w:val="10"/>
  </w:num>
  <w:num w:numId="8" w16cid:durableId="1946957107">
    <w:abstractNumId w:val="11"/>
  </w:num>
  <w:num w:numId="9" w16cid:durableId="1312366595">
    <w:abstractNumId w:val="6"/>
  </w:num>
  <w:num w:numId="10" w16cid:durableId="1706829788">
    <w:abstractNumId w:val="13"/>
  </w:num>
  <w:num w:numId="11" w16cid:durableId="705374477">
    <w:abstractNumId w:val="4"/>
  </w:num>
  <w:num w:numId="12" w16cid:durableId="1273442850">
    <w:abstractNumId w:val="3"/>
  </w:num>
  <w:num w:numId="13" w16cid:durableId="245195247">
    <w:abstractNumId w:val="2"/>
  </w:num>
  <w:num w:numId="14" w16cid:durableId="1179614872">
    <w:abstractNumId w:val="12"/>
  </w:num>
  <w:num w:numId="15" w16cid:durableId="1880123111">
    <w:abstractNumId w:val="1"/>
  </w:num>
  <w:num w:numId="16" w16cid:durableId="70544723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44"/>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0D4"/>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149B"/>
    <w:rsid w:val="0005237C"/>
    <w:rsid w:val="00052A3C"/>
    <w:rsid w:val="000544CE"/>
    <w:rsid w:val="00054A03"/>
    <w:rsid w:val="00055860"/>
    <w:rsid w:val="00056A79"/>
    <w:rsid w:val="0005777B"/>
    <w:rsid w:val="00061087"/>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885"/>
    <w:rsid w:val="000929FF"/>
    <w:rsid w:val="00092A5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49CB"/>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5F1"/>
    <w:rsid w:val="000D0855"/>
    <w:rsid w:val="000D11CC"/>
    <w:rsid w:val="000D1E0F"/>
    <w:rsid w:val="000D2DC2"/>
    <w:rsid w:val="000D3275"/>
    <w:rsid w:val="000D513A"/>
    <w:rsid w:val="000D5A1D"/>
    <w:rsid w:val="000D62FF"/>
    <w:rsid w:val="000D69DF"/>
    <w:rsid w:val="000D6E18"/>
    <w:rsid w:val="000D7369"/>
    <w:rsid w:val="000D7394"/>
    <w:rsid w:val="000E07DC"/>
    <w:rsid w:val="000E1389"/>
    <w:rsid w:val="000E2665"/>
    <w:rsid w:val="000E2A46"/>
    <w:rsid w:val="000E2FDB"/>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178B4"/>
    <w:rsid w:val="0012006D"/>
    <w:rsid w:val="00121F4A"/>
    <w:rsid w:val="0012227C"/>
    <w:rsid w:val="00122E4B"/>
    <w:rsid w:val="0012380D"/>
    <w:rsid w:val="00123CC2"/>
    <w:rsid w:val="00124015"/>
    <w:rsid w:val="00124CF1"/>
    <w:rsid w:val="001250B4"/>
    <w:rsid w:val="001253D1"/>
    <w:rsid w:val="001277ED"/>
    <w:rsid w:val="00127E68"/>
    <w:rsid w:val="001318D2"/>
    <w:rsid w:val="001319A9"/>
    <w:rsid w:val="00132C06"/>
    <w:rsid w:val="00133B79"/>
    <w:rsid w:val="00133CE5"/>
    <w:rsid w:val="001344B1"/>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843"/>
    <w:rsid w:val="00176AD0"/>
    <w:rsid w:val="001775DF"/>
    <w:rsid w:val="00185460"/>
    <w:rsid w:val="001862A3"/>
    <w:rsid w:val="00186F78"/>
    <w:rsid w:val="00192E4B"/>
    <w:rsid w:val="00194D62"/>
    <w:rsid w:val="00196407"/>
    <w:rsid w:val="00197091"/>
    <w:rsid w:val="001972CC"/>
    <w:rsid w:val="001A032D"/>
    <w:rsid w:val="001A0C28"/>
    <w:rsid w:val="001A138D"/>
    <w:rsid w:val="001A2469"/>
    <w:rsid w:val="001A2857"/>
    <w:rsid w:val="001A2A89"/>
    <w:rsid w:val="001A2C62"/>
    <w:rsid w:val="001A3634"/>
    <w:rsid w:val="001A4261"/>
    <w:rsid w:val="001A4D5D"/>
    <w:rsid w:val="001A5150"/>
    <w:rsid w:val="001A58B9"/>
    <w:rsid w:val="001A61E1"/>
    <w:rsid w:val="001A6C1E"/>
    <w:rsid w:val="001A7A87"/>
    <w:rsid w:val="001B1DC7"/>
    <w:rsid w:val="001B30F9"/>
    <w:rsid w:val="001B32B2"/>
    <w:rsid w:val="001B3659"/>
    <w:rsid w:val="001B40F3"/>
    <w:rsid w:val="001B53A0"/>
    <w:rsid w:val="001B5A3E"/>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4A8F"/>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0940"/>
    <w:rsid w:val="001F2B8C"/>
    <w:rsid w:val="001F783F"/>
    <w:rsid w:val="001F7AFD"/>
    <w:rsid w:val="001F7DE2"/>
    <w:rsid w:val="002001BE"/>
    <w:rsid w:val="00200C0D"/>
    <w:rsid w:val="00202737"/>
    <w:rsid w:val="002031F3"/>
    <w:rsid w:val="002058A7"/>
    <w:rsid w:val="00205A1A"/>
    <w:rsid w:val="00207665"/>
    <w:rsid w:val="00207968"/>
    <w:rsid w:val="00211229"/>
    <w:rsid w:val="00211E8C"/>
    <w:rsid w:val="00212C9C"/>
    <w:rsid w:val="00212FCA"/>
    <w:rsid w:val="00213108"/>
    <w:rsid w:val="0021345D"/>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1D28"/>
    <w:rsid w:val="002426EA"/>
    <w:rsid w:val="00244476"/>
    <w:rsid w:val="002457CF"/>
    <w:rsid w:val="00250126"/>
    <w:rsid w:val="002507D8"/>
    <w:rsid w:val="00252A20"/>
    <w:rsid w:val="00252B41"/>
    <w:rsid w:val="00254353"/>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3E57"/>
    <w:rsid w:val="0027430D"/>
    <w:rsid w:val="002746D9"/>
    <w:rsid w:val="00274ED2"/>
    <w:rsid w:val="0027504E"/>
    <w:rsid w:val="00275260"/>
    <w:rsid w:val="00275630"/>
    <w:rsid w:val="002765F2"/>
    <w:rsid w:val="00277A35"/>
    <w:rsid w:val="00280994"/>
    <w:rsid w:val="00280E3F"/>
    <w:rsid w:val="00280F05"/>
    <w:rsid w:val="00281DE0"/>
    <w:rsid w:val="0028248C"/>
    <w:rsid w:val="00286DDB"/>
    <w:rsid w:val="002871EB"/>
    <w:rsid w:val="002913D0"/>
    <w:rsid w:val="0029216A"/>
    <w:rsid w:val="002948C4"/>
    <w:rsid w:val="00295100"/>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56C2"/>
    <w:rsid w:val="002B5733"/>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0F1"/>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454"/>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13A"/>
    <w:rsid w:val="003629EE"/>
    <w:rsid w:val="00362DFF"/>
    <w:rsid w:val="003643B3"/>
    <w:rsid w:val="00364564"/>
    <w:rsid w:val="00370102"/>
    <w:rsid w:val="003708DD"/>
    <w:rsid w:val="00370B8E"/>
    <w:rsid w:val="00370BB1"/>
    <w:rsid w:val="003718A1"/>
    <w:rsid w:val="003721B2"/>
    <w:rsid w:val="00372328"/>
    <w:rsid w:val="00372CDA"/>
    <w:rsid w:val="00374B45"/>
    <w:rsid w:val="00374CE8"/>
    <w:rsid w:val="00375220"/>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5839"/>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6A97"/>
    <w:rsid w:val="003A7221"/>
    <w:rsid w:val="003A730E"/>
    <w:rsid w:val="003B1CEE"/>
    <w:rsid w:val="003B1D5E"/>
    <w:rsid w:val="003B2199"/>
    <w:rsid w:val="003B2856"/>
    <w:rsid w:val="003B2A0D"/>
    <w:rsid w:val="003B2CD6"/>
    <w:rsid w:val="003B31FA"/>
    <w:rsid w:val="003B55AD"/>
    <w:rsid w:val="003B5FD2"/>
    <w:rsid w:val="003B7EC4"/>
    <w:rsid w:val="003C0243"/>
    <w:rsid w:val="003C183D"/>
    <w:rsid w:val="003C7282"/>
    <w:rsid w:val="003D00D5"/>
    <w:rsid w:val="003D0A29"/>
    <w:rsid w:val="003D0BC7"/>
    <w:rsid w:val="003D181D"/>
    <w:rsid w:val="003D20C4"/>
    <w:rsid w:val="003D4163"/>
    <w:rsid w:val="003D46D0"/>
    <w:rsid w:val="003D5661"/>
    <w:rsid w:val="003D6D4A"/>
    <w:rsid w:val="003D792A"/>
    <w:rsid w:val="003E2E98"/>
    <w:rsid w:val="003E4096"/>
    <w:rsid w:val="003E4701"/>
    <w:rsid w:val="003E6079"/>
    <w:rsid w:val="003E6128"/>
    <w:rsid w:val="003E6145"/>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625"/>
    <w:rsid w:val="003F7823"/>
    <w:rsid w:val="004002D0"/>
    <w:rsid w:val="00400E76"/>
    <w:rsid w:val="0040137F"/>
    <w:rsid w:val="00402179"/>
    <w:rsid w:val="00402577"/>
    <w:rsid w:val="0040278D"/>
    <w:rsid w:val="00403249"/>
    <w:rsid w:val="004078C8"/>
    <w:rsid w:val="004102DE"/>
    <w:rsid w:val="00412538"/>
    <w:rsid w:val="00412696"/>
    <w:rsid w:val="00412E24"/>
    <w:rsid w:val="004130AB"/>
    <w:rsid w:val="00413D35"/>
    <w:rsid w:val="004147B1"/>
    <w:rsid w:val="00416727"/>
    <w:rsid w:val="0042068A"/>
    <w:rsid w:val="0042267F"/>
    <w:rsid w:val="0042398D"/>
    <w:rsid w:val="0042437A"/>
    <w:rsid w:val="00424992"/>
    <w:rsid w:val="00424E72"/>
    <w:rsid w:val="00425F0D"/>
    <w:rsid w:val="00426D7C"/>
    <w:rsid w:val="00427621"/>
    <w:rsid w:val="004300ED"/>
    <w:rsid w:val="00430796"/>
    <w:rsid w:val="00431687"/>
    <w:rsid w:val="00432B72"/>
    <w:rsid w:val="00433016"/>
    <w:rsid w:val="004333EB"/>
    <w:rsid w:val="004342F1"/>
    <w:rsid w:val="004349C0"/>
    <w:rsid w:val="004364E5"/>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616"/>
    <w:rsid w:val="00476730"/>
    <w:rsid w:val="004769A5"/>
    <w:rsid w:val="004773A3"/>
    <w:rsid w:val="004773E6"/>
    <w:rsid w:val="00477710"/>
    <w:rsid w:val="00481A7B"/>
    <w:rsid w:val="0048386B"/>
    <w:rsid w:val="00483C14"/>
    <w:rsid w:val="004852B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0B5"/>
    <w:rsid w:val="004A115C"/>
    <w:rsid w:val="004A14BE"/>
    <w:rsid w:val="004A2BF5"/>
    <w:rsid w:val="004A305D"/>
    <w:rsid w:val="004A3085"/>
    <w:rsid w:val="004A3C58"/>
    <w:rsid w:val="004A3E5A"/>
    <w:rsid w:val="004A4178"/>
    <w:rsid w:val="004A4BD5"/>
    <w:rsid w:val="004A4CFD"/>
    <w:rsid w:val="004A6144"/>
    <w:rsid w:val="004A677C"/>
    <w:rsid w:val="004A6C04"/>
    <w:rsid w:val="004B05A5"/>
    <w:rsid w:val="004B0EB6"/>
    <w:rsid w:val="004B176B"/>
    <w:rsid w:val="004B2723"/>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58C1"/>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453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0D0C"/>
    <w:rsid w:val="00531594"/>
    <w:rsid w:val="00532EAF"/>
    <w:rsid w:val="00534A71"/>
    <w:rsid w:val="005357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5782C"/>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0B5B"/>
    <w:rsid w:val="00581C0F"/>
    <w:rsid w:val="00582919"/>
    <w:rsid w:val="005849B2"/>
    <w:rsid w:val="00585172"/>
    <w:rsid w:val="00587366"/>
    <w:rsid w:val="0058757A"/>
    <w:rsid w:val="00587CE5"/>
    <w:rsid w:val="00590037"/>
    <w:rsid w:val="00590892"/>
    <w:rsid w:val="00590EF2"/>
    <w:rsid w:val="00593476"/>
    <w:rsid w:val="005937BC"/>
    <w:rsid w:val="00594209"/>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466E"/>
    <w:rsid w:val="005A60E1"/>
    <w:rsid w:val="005A6788"/>
    <w:rsid w:val="005A786F"/>
    <w:rsid w:val="005B0765"/>
    <w:rsid w:val="005B13E4"/>
    <w:rsid w:val="005B169C"/>
    <w:rsid w:val="005B2DD1"/>
    <w:rsid w:val="005B3A49"/>
    <w:rsid w:val="005B42D8"/>
    <w:rsid w:val="005B6ADF"/>
    <w:rsid w:val="005B6B19"/>
    <w:rsid w:val="005B773D"/>
    <w:rsid w:val="005B7C5D"/>
    <w:rsid w:val="005C02B5"/>
    <w:rsid w:val="005C0821"/>
    <w:rsid w:val="005C1A74"/>
    <w:rsid w:val="005C2B1C"/>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8E"/>
    <w:rsid w:val="005E34D4"/>
    <w:rsid w:val="005E3716"/>
    <w:rsid w:val="005E3AE2"/>
    <w:rsid w:val="005E3DC6"/>
    <w:rsid w:val="005E3FDE"/>
    <w:rsid w:val="005E55F2"/>
    <w:rsid w:val="005E5EAA"/>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5F7D49"/>
    <w:rsid w:val="00600636"/>
    <w:rsid w:val="006010DA"/>
    <w:rsid w:val="00601371"/>
    <w:rsid w:val="006017AB"/>
    <w:rsid w:val="00604AC3"/>
    <w:rsid w:val="00605865"/>
    <w:rsid w:val="006079AA"/>
    <w:rsid w:val="00607B9A"/>
    <w:rsid w:val="00611613"/>
    <w:rsid w:val="00611DC1"/>
    <w:rsid w:val="006124AE"/>
    <w:rsid w:val="00613655"/>
    <w:rsid w:val="00614063"/>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6E63"/>
    <w:rsid w:val="0063717E"/>
    <w:rsid w:val="00637475"/>
    <w:rsid w:val="0064393B"/>
    <w:rsid w:val="006439A1"/>
    <w:rsid w:val="00644375"/>
    <w:rsid w:val="00644A5C"/>
    <w:rsid w:val="0064565D"/>
    <w:rsid w:val="00646A08"/>
    <w:rsid w:val="006471FD"/>
    <w:rsid w:val="0064767C"/>
    <w:rsid w:val="006477E7"/>
    <w:rsid w:val="00650392"/>
    <w:rsid w:val="0065061D"/>
    <w:rsid w:val="006515C9"/>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5D5C"/>
    <w:rsid w:val="00666F5B"/>
    <w:rsid w:val="006674A0"/>
    <w:rsid w:val="0067089F"/>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0AB"/>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32AC"/>
    <w:rsid w:val="006B56DA"/>
    <w:rsid w:val="006B65D4"/>
    <w:rsid w:val="006B7A58"/>
    <w:rsid w:val="006C09F3"/>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58C"/>
    <w:rsid w:val="007076C5"/>
    <w:rsid w:val="00710012"/>
    <w:rsid w:val="00710CE0"/>
    <w:rsid w:val="007127BB"/>
    <w:rsid w:val="007136BC"/>
    <w:rsid w:val="00714576"/>
    <w:rsid w:val="00714FEC"/>
    <w:rsid w:val="00715A04"/>
    <w:rsid w:val="00715B7D"/>
    <w:rsid w:val="00715E8F"/>
    <w:rsid w:val="007209EF"/>
    <w:rsid w:val="00721335"/>
    <w:rsid w:val="00721924"/>
    <w:rsid w:val="00721F66"/>
    <w:rsid w:val="00722B93"/>
    <w:rsid w:val="0072445A"/>
    <w:rsid w:val="00725CA2"/>
    <w:rsid w:val="00731118"/>
    <w:rsid w:val="00731F1F"/>
    <w:rsid w:val="0073324B"/>
    <w:rsid w:val="007337E6"/>
    <w:rsid w:val="00735A75"/>
    <w:rsid w:val="007363AE"/>
    <w:rsid w:val="007365AD"/>
    <w:rsid w:val="00736F44"/>
    <w:rsid w:val="00740BA4"/>
    <w:rsid w:val="007415E9"/>
    <w:rsid w:val="00741959"/>
    <w:rsid w:val="00742486"/>
    <w:rsid w:val="00743BB5"/>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572"/>
    <w:rsid w:val="007736E4"/>
    <w:rsid w:val="00774A5F"/>
    <w:rsid w:val="00774AB3"/>
    <w:rsid w:val="00774DFD"/>
    <w:rsid w:val="007753FA"/>
    <w:rsid w:val="0077544D"/>
    <w:rsid w:val="00775598"/>
    <w:rsid w:val="007758D3"/>
    <w:rsid w:val="00775D67"/>
    <w:rsid w:val="00776C78"/>
    <w:rsid w:val="00777498"/>
    <w:rsid w:val="0078079A"/>
    <w:rsid w:val="007820F2"/>
    <w:rsid w:val="0078246C"/>
    <w:rsid w:val="0078249C"/>
    <w:rsid w:val="00782942"/>
    <w:rsid w:val="00784AA0"/>
    <w:rsid w:val="00784F3D"/>
    <w:rsid w:val="00785321"/>
    <w:rsid w:val="00785E63"/>
    <w:rsid w:val="007860B9"/>
    <w:rsid w:val="00786DD5"/>
    <w:rsid w:val="00787184"/>
    <w:rsid w:val="0079129A"/>
    <w:rsid w:val="007914E4"/>
    <w:rsid w:val="00791C43"/>
    <w:rsid w:val="00791E58"/>
    <w:rsid w:val="00792FE5"/>
    <w:rsid w:val="00793B7B"/>
    <w:rsid w:val="00794C2B"/>
    <w:rsid w:val="00797D59"/>
    <w:rsid w:val="007A0692"/>
    <w:rsid w:val="007A078A"/>
    <w:rsid w:val="007A082B"/>
    <w:rsid w:val="007A0A0E"/>
    <w:rsid w:val="007A1303"/>
    <w:rsid w:val="007A1A1A"/>
    <w:rsid w:val="007A2C90"/>
    <w:rsid w:val="007A39AC"/>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2C83"/>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1A88"/>
    <w:rsid w:val="007E5125"/>
    <w:rsid w:val="007E5DB4"/>
    <w:rsid w:val="007E6334"/>
    <w:rsid w:val="007E64B6"/>
    <w:rsid w:val="007E72DF"/>
    <w:rsid w:val="007F05B5"/>
    <w:rsid w:val="007F0617"/>
    <w:rsid w:val="007F1558"/>
    <w:rsid w:val="007F1B5D"/>
    <w:rsid w:val="007F1BCA"/>
    <w:rsid w:val="007F3080"/>
    <w:rsid w:val="007F313E"/>
    <w:rsid w:val="007F372C"/>
    <w:rsid w:val="007F3993"/>
    <w:rsid w:val="007F3A5A"/>
    <w:rsid w:val="007F3C0D"/>
    <w:rsid w:val="007F5AD6"/>
    <w:rsid w:val="007F6F57"/>
    <w:rsid w:val="007F729E"/>
    <w:rsid w:val="007F768E"/>
    <w:rsid w:val="00800E69"/>
    <w:rsid w:val="00800EFF"/>
    <w:rsid w:val="00801202"/>
    <w:rsid w:val="008028B1"/>
    <w:rsid w:val="00802BFE"/>
    <w:rsid w:val="00803827"/>
    <w:rsid w:val="0080391F"/>
    <w:rsid w:val="008039C2"/>
    <w:rsid w:val="00803A69"/>
    <w:rsid w:val="008046E4"/>
    <w:rsid w:val="00804787"/>
    <w:rsid w:val="00804992"/>
    <w:rsid w:val="00804C3D"/>
    <w:rsid w:val="008055FF"/>
    <w:rsid w:val="00806782"/>
    <w:rsid w:val="00810302"/>
    <w:rsid w:val="00810806"/>
    <w:rsid w:val="0081094B"/>
    <w:rsid w:val="00810F94"/>
    <w:rsid w:val="008118AF"/>
    <w:rsid w:val="008137BF"/>
    <w:rsid w:val="00814A17"/>
    <w:rsid w:val="008150C7"/>
    <w:rsid w:val="008167F5"/>
    <w:rsid w:val="00816F51"/>
    <w:rsid w:val="00817944"/>
    <w:rsid w:val="0081794B"/>
    <w:rsid w:val="00817D8E"/>
    <w:rsid w:val="008200A3"/>
    <w:rsid w:val="00820AAB"/>
    <w:rsid w:val="00820BF2"/>
    <w:rsid w:val="00824C4E"/>
    <w:rsid w:val="00826125"/>
    <w:rsid w:val="00826F38"/>
    <w:rsid w:val="00827CD0"/>
    <w:rsid w:val="00830D70"/>
    <w:rsid w:val="00831969"/>
    <w:rsid w:val="00833E4C"/>
    <w:rsid w:val="00834316"/>
    <w:rsid w:val="00834CD3"/>
    <w:rsid w:val="00836224"/>
    <w:rsid w:val="00836FF4"/>
    <w:rsid w:val="008374E9"/>
    <w:rsid w:val="008376CD"/>
    <w:rsid w:val="00837B7C"/>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8F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705"/>
    <w:rsid w:val="00892AB9"/>
    <w:rsid w:val="00893857"/>
    <w:rsid w:val="00893F73"/>
    <w:rsid w:val="0089412A"/>
    <w:rsid w:val="00894767"/>
    <w:rsid w:val="00895335"/>
    <w:rsid w:val="00895536"/>
    <w:rsid w:val="0089651A"/>
    <w:rsid w:val="008965EF"/>
    <w:rsid w:val="0089660B"/>
    <w:rsid w:val="00896AD4"/>
    <w:rsid w:val="008970A3"/>
    <w:rsid w:val="00897752"/>
    <w:rsid w:val="008A024F"/>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1B9"/>
    <w:rsid w:val="008C75C8"/>
    <w:rsid w:val="008D02A3"/>
    <w:rsid w:val="008D22D8"/>
    <w:rsid w:val="008D259C"/>
    <w:rsid w:val="008D2BCD"/>
    <w:rsid w:val="008D406E"/>
    <w:rsid w:val="008D4E99"/>
    <w:rsid w:val="008D5066"/>
    <w:rsid w:val="008D5A97"/>
    <w:rsid w:val="008D6697"/>
    <w:rsid w:val="008D6CF4"/>
    <w:rsid w:val="008D728C"/>
    <w:rsid w:val="008E0305"/>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0FE3"/>
    <w:rsid w:val="0090174A"/>
    <w:rsid w:val="00901BB1"/>
    <w:rsid w:val="00902E52"/>
    <w:rsid w:val="009031DD"/>
    <w:rsid w:val="009036B3"/>
    <w:rsid w:val="0090620F"/>
    <w:rsid w:val="00906D07"/>
    <w:rsid w:val="009071FE"/>
    <w:rsid w:val="009076FC"/>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3867"/>
    <w:rsid w:val="00923949"/>
    <w:rsid w:val="00925C68"/>
    <w:rsid w:val="00927DE1"/>
    <w:rsid w:val="00930741"/>
    <w:rsid w:val="009315B0"/>
    <w:rsid w:val="009316E9"/>
    <w:rsid w:val="00931C93"/>
    <w:rsid w:val="00931EE2"/>
    <w:rsid w:val="00931FD8"/>
    <w:rsid w:val="0093282F"/>
    <w:rsid w:val="0093416D"/>
    <w:rsid w:val="0093652D"/>
    <w:rsid w:val="00937309"/>
    <w:rsid w:val="00937D34"/>
    <w:rsid w:val="00937D66"/>
    <w:rsid w:val="0094065A"/>
    <w:rsid w:val="00940FE2"/>
    <w:rsid w:val="00943E62"/>
    <w:rsid w:val="009450F4"/>
    <w:rsid w:val="00945A61"/>
    <w:rsid w:val="00950154"/>
    <w:rsid w:val="00950C6E"/>
    <w:rsid w:val="00951ECA"/>
    <w:rsid w:val="00953054"/>
    <w:rsid w:val="009531D6"/>
    <w:rsid w:val="00953610"/>
    <w:rsid w:val="0095382C"/>
    <w:rsid w:val="00953B03"/>
    <w:rsid w:val="009548C1"/>
    <w:rsid w:val="00956219"/>
    <w:rsid w:val="0095630E"/>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042"/>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7A0"/>
    <w:rsid w:val="009B0F5C"/>
    <w:rsid w:val="009B11D6"/>
    <w:rsid w:val="009B1D13"/>
    <w:rsid w:val="009B210E"/>
    <w:rsid w:val="009B226D"/>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01E"/>
    <w:rsid w:val="009D1378"/>
    <w:rsid w:val="009D1780"/>
    <w:rsid w:val="009D2384"/>
    <w:rsid w:val="009D29F1"/>
    <w:rsid w:val="009D3240"/>
    <w:rsid w:val="009D39B4"/>
    <w:rsid w:val="009D3A6E"/>
    <w:rsid w:val="009D6087"/>
    <w:rsid w:val="009D61D9"/>
    <w:rsid w:val="009D624D"/>
    <w:rsid w:val="009D6AD5"/>
    <w:rsid w:val="009E0AB4"/>
    <w:rsid w:val="009E10C7"/>
    <w:rsid w:val="009E1219"/>
    <w:rsid w:val="009E3466"/>
    <w:rsid w:val="009E360A"/>
    <w:rsid w:val="009E38A4"/>
    <w:rsid w:val="009E3D82"/>
    <w:rsid w:val="009E4942"/>
    <w:rsid w:val="009E55A7"/>
    <w:rsid w:val="009E6A7E"/>
    <w:rsid w:val="009E6E48"/>
    <w:rsid w:val="009F04AA"/>
    <w:rsid w:val="009F0B67"/>
    <w:rsid w:val="009F1566"/>
    <w:rsid w:val="009F1AEB"/>
    <w:rsid w:val="009F1E4B"/>
    <w:rsid w:val="009F21D6"/>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243"/>
    <w:rsid w:val="00A15C42"/>
    <w:rsid w:val="00A16DF1"/>
    <w:rsid w:val="00A17302"/>
    <w:rsid w:val="00A17A17"/>
    <w:rsid w:val="00A17EAA"/>
    <w:rsid w:val="00A2073A"/>
    <w:rsid w:val="00A20B1F"/>
    <w:rsid w:val="00A20E85"/>
    <w:rsid w:val="00A21050"/>
    <w:rsid w:val="00A22536"/>
    <w:rsid w:val="00A235D0"/>
    <w:rsid w:val="00A23FCC"/>
    <w:rsid w:val="00A24131"/>
    <w:rsid w:val="00A27A7F"/>
    <w:rsid w:val="00A31849"/>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2EDE"/>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2125"/>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17F3"/>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0B9"/>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6BF"/>
    <w:rsid w:val="00AE7F20"/>
    <w:rsid w:val="00AF0E7C"/>
    <w:rsid w:val="00AF1F04"/>
    <w:rsid w:val="00AF246D"/>
    <w:rsid w:val="00AF2612"/>
    <w:rsid w:val="00AF3B55"/>
    <w:rsid w:val="00AF3D59"/>
    <w:rsid w:val="00AF50BF"/>
    <w:rsid w:val="00AF5C7E"/>
    <w:rsid w:val="00AF6794"/>
    <w:rsid w:val="00AF6795"/>
    <w:rsid w:val="00AF6DAF"/>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3AB"/>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547E"/>
    <w:rsid w:val="00B66585"/>
    <w:rsid w:val="00B667C6"/>
    <w:rsid w:val="00B66BC8"/>
    <w:rsid w:val="00B6733D"/>
    <w:rsid w:val="00B67B71"/>
    <w:rsid w:val="00B71F08"/>
    <w:rsid w:val="00B73838"/>
    <w:rsid w:val="00B7421A"/>
    <w:rsid w:val="00B74366"/>
    <w:rsid w:val="00B75CBE"/>
    <w:rsid w:val="00B75F20"/>
    <w:rsid w:val="00B762FD"/>
    <w:rsid w:val="00B76336"/>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6E5E"/>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4E"/>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13C"/>
    <w:rsid w:val="00BE068C"/>
    <w:rsid w:val="00BE0C95"/>
    <w:rsid w:val="00BE1433"/>
    <w:rsid w:val="00BE23ED"/>
    <w:rsid w:val="00BE31BD"/>
    <w:rsid w:val="00BE38FF"/>
    <w:rsid w:val="00BE462E"/>
    <w:rsid w:val="00BE528B"/>
    <w:rsid w:val="00BE545A"/>
    <w:rsid w:val="00BE57A2"/>
    <w:rsid w:val="00BE5E11"/>
    <w:rsid w:val="00BE6C95"/>
    <w:rsid w:val="00BE6EDF"/>
    <w:rsid w:val="00BE74FA"/>
    <w:rsid w:val="00BF0A54"/>
    <w:rsid w:val="00BF0F1C"/>
    <w:rsid w:val="00BF1278"/>
    <w:rsid w:val="00BF1531"/>
    <w:rsid w:val="00BF1B7F"/>
    <w:rsid w:val="00BF2346"/>
    <w:rsid w:val="00BF3B85"/>
    <w:rsid w:val="00BF46DB"/>
    <w:rsid w:val="00BF485E"/>
    <w:rsid w:val="00BF4C1F"/>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3F3"/>
    <w:rsid w:val="00C14CDF"/>
    <w:rsid w:val="00C150E0"/>
    <w:rsid w:val="00C150F6"/>
    <w:rsid w:val="00C15F97"/>
    <w:rsid w:val="00C160D4"/>
    <w:rsid w:val="00C16762"/>
    <w:rsid w:val="00C17548"/>
    <w:rsid w:val="00C17637"/>
    <w:rsid w:val="00C17715"/>
    <w:rsid w:val="00C179FC"/>
    <w:rsid w:val="00C20042"/>
    <w:rsid w:val="00C203F6"/>
    <w:rsid w:val="00C205D6"/>
    <w:rsid w:val="00C20EB1"/>
    <w:rsid w:val="00C2139F"/>
    <w:rsid w:val="00C24101"/>
    <w:rsid w:val="00C24FF3"/>
    <w:rsid w:val="00C2575E"/>
    <w:rsid w:val="00C26121"/>
    <w:rsid w:val="00C2692D"/>
    <w:rsid w:val="00C270F1"/>
    <w:rsid w:val="00C274FD"/>
    <w:rsid w:val="00C275CF"/>
    <w:rsid w:val="00C27ABF"/>
    <w:rsid w:val="00C30330"/>
    <w:rsid w:val="00C3086E"/>
    <w:rsid w:val="00C315FB"/>
    <w:rsid w:val="00C31713"/>
    <w:rsid w:val="00C317BD"/>
    <w:rsid w:val="00C33279"/>
    <w:rsid w:val="00C34B8F"/>
    <w:rsid w:val="00C35332"/>
    <w:rsid w:val="00C35726"/>
    <w:rsid w:val="00C3708F"/>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23B5"/>
    <w:rsid w:val="00C828E8"/>
    <w:rsid w:val="00C83579"/>
    <w:rsid w:val="00C83EA7"/>
    <w:rsid w:val="00C84559"/>
    <w:rsid w:val="00C84E31"/>
    <w:rsid w:val="00C862C4"/>
    <w:rsid w:val="00C86337"/>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147B"/>
    <w:rsid w:val="00CB2089"/>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03D"/>
    <w:rsid w:val="00CD6866"/>
    <w:rsid w:val="00CD76D4"/>
    <w:rsid w:val="00CD7893"/>
    <w:rsid w:val="00CD7911"/>
    <w:rsid w:val="00CE035D"/>
    <w:rsid w:val="00CE03CC"/>
    <w:rsid w:val="00CE2885"/>
    <w:rsid w:val="00CE3655"/>
    <w:rsid w:val="00CE3889"/>
    <w:rsid w:val="00CE5CE9"/>
    <w:rsid w:val="00CE7D15"/>
    <w:rsid w:val="00CE7E6A"/>
    <w:rsid w:val="00CF030B"/>
    <w:rsid w:val="00CF1E4C"/>
    <w:rsid w:val="00CF23A2"/>
    <w:rsid w:val="00CF4218"/>
    <w:rsid w:val="00CF4D2B"/>
    <w:rsid w:val="00CF5D77"/>
    <w:rsid w:val="00CF6EB2"/>
    <w:rsid w:val="00D00269"/>
    <w:rsid w:val="00D007D1"/>
    <w:rsid w:val="00D02F72"/>
    <w:rsid w:val="00D0377B"/>
    <w:rsid w:val="00D04702"/>
    <w:rsid w:val="00D0493C"/>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746"/>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C67"/>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6738"/>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17553"/>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8E5"/>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790"/>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2F3"/>
    <w:rsid w:val="00F07353"/>
    <w:rsid w:val="00F07C50"/>
    <w:rsid w:val="00F104AB"/>
    <w:rsid w:val="00F10D6B"/>
    <w:rsid w:val="00F12C08"/>
    <w:rsid w:val="00F12CDC"/>
    <w:rsid w:val="00F13E45"/>
    <w:rsid w:val="00F147C6"/>
    <w:rsid w:val="00F15830"/>
    <w:rsid w:val="00F178AD"/>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13F6"/>
    <w:rsid w:val="00F42168"/>
    <w:rsid w:val="00F425B3"/>
    <w:rsid w:val="00F448C5"/>
    <w:rsid w:val="00F44C78"/>
    <w:rsid w:val="00F44F38"/>
    <w:rsid w:val="00F452C0"/>
    <w:rsid w:val="00F459E6"/>
    <w:rsid w:val="00F465D8"/>
    <w:rsid w:val="00F52739"/>
    <w:rsid w:val="00F5282B"/>
    <w:rsid w:val="00F5299E"/>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6EAA"/>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C35"/>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30"/>
    <w:rsid w:val="00FF3373"/>
    <w:rsid w:val="00FF3B7B"/>
    <w:rsid w:val="00FF3F58"/>
    <w:rsid w:val="00FF3FF6"/>
    <w:rsid w:val="00FF7333"/>
    <w:rsid w:val="00FF7602"/>
    <w:rsid w:val="00FF7A5B"/>
    <w:rsid w:val="00FF7CD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qFormat/>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2"/>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numbering" w:customStyle="1" w:styleId="Estiloimportado2">
    <w:name w:val="Estilo importado 2"/>
    <w:qFormat/>
    <w:rsid w:val="00F76EAA"/>
    <w:pPr>
      <w:numPr>
        <w:numId w:val="5"/>
      </w:numPr>
    </w:pPr>
  </w:style>
  <w:style w:type="table" w:customStyle="1" w:styleId="Tablanormal13">
    <w:name w:val="Tabla normal 13"/>
    <w:basedOn w:val="Tablanormal"/>
    <w:next w:val="Tablanormal1"/>
    <w:uiPriority w:val="41"/>
    <w:rsid w:val="00892705"/>
    <w:rPr>
      <w:rFonts w:eastAsiaTheme="minorHAns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6147364">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439491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53029149">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1655461">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3444089">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1109179">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004802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647447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87784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57811.page" TargetMode="External"/><Relationship Id="rId13" Type="http://schemas.openxmlformats.org/officeDocument/2006/relationships/hyperlink" Target="https://saimex.org.mx/saimex/solicitud/downloadAttach/1359535.page" TargetMode="External"/><Relationship Id="rId18" Type="http://schemas.openxmlformats.org/officeDocument/2006/relationships/hyperlink" Target="https://saimex.org.mx/saimex/solicitud/downloadAttach/1400130.pag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aimex.org.mx/saimex/solicitud/downloadAttach/1359534.page" TargetMode="External"/><Relationship Id="rId17" Type="http://schemas.openxmlformats.org/officeDocument/2006/relationships/hyperlink" Target="https://saimex.org.mx/saimex/solicitud/downloadAttach/1400129.page" TargetMode="External"/><Relationship Id="rId2" Type="http://schemas.openxmlformats.org/officeDocument/2006/relationships/numbering" Target="numbering.xml"/><Relationship Id="rId16" Type="http://schemas.openxmlformats.org/officeDocument/2006/relationships/hyperlink" Target="https://saimex.org.mx/saimex/solicitud/downloadAttach/1359597.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59533.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359596.page" TargetMode="External"/><Relationship Id="rId23" Type="http://schemas.openxmlformats.org/officeDocument/2006/relationships/fontTable" Target="fontTable.xml"/><Relationship Id="rId10" Type="http://schemas.openxmlformats.org/officeDocument/2006/relationships/hyperlink" Target="https://saimex.org.mx/saimex/solicitud/downloadAttach/1359532.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357983.page" TargetMode="External"/><Relationship Id="rId14" Type="http://schemas.openxmlformats.org/officeDocument/2006/relationships/hyperlink" Target="https://saimex.org.mx/saimex/solicitud/downloadAttach/1359595.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3F0EA-0A95-43E3-A982-5085224C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39</Pages>
  <Words>11143</Words>
  <Characters>61292</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11</cp:revision>
  <cp:lastPrinted>2019-12-11T01:19:00Z</cp:lastPrinted>
  <dcterms:created xsi:type="dcterms:W3CDTF">2023-12-12T01:18:00Z</dcterms:created>
  <dcterms:modified xsi:type="dcterms:W3CDTF">2024-01-12T20:34:00Z</dcterms:modified>
</cp:coreProperties>
</file>