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A14A4" w14:textId="77777777" w:rsidR="00355227" w:rsidRPr="003E521A" w:rsidRDefault="001F7EA1">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3E521A">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w:t>
      </w:r>
      <w:r w:rsidR="003E521A" w:rsidRPr="003E521A">
        <w:rPr>
          <w:rFonts w:ascii="Palatino Linotype" w:eastAsia="Palatino Linotype" w:hAnsi="Palatino Linotype" w:cs="Palatino Linotype"/>
        </w:rPr>
        <w:t>ado de México; a doce</w:t>
      </w:r>
      <w:r w:rsidR="00E53D7F" w:rsidRPr="003E521A">
        <w:rPr>
          <w:rFonts w:ascii="Palatino Linotype" w:eastAsia="Palatino Linotype" w:hAnsi="Palatino Linotype" w:cs="Palatino Linotype"/>
        </w:rPr>
        <w:t xml:space="preserve"> de doce</w:t>
      </w:r>
      <w:r w:rsidRPr="003E521A">
        <w:rPr>
          <w:rFonts w:ascii="Palatino Linotype" w:eastAsia="Palatino Linotype" w:hAnsi="Palatino Linotype" w:cs="Palatino Linotype"/>
        </w:rPr>
        <w:t xml:space="preserve"> </w:t>
      </w:r>
      <w:r w:rsidR="00E53D7F" w:rsidRPr="003E521A">
        <w:rPr>
          <w:rFonts w:ascii="Palatino Linotype" w:eastAsia="Palatino Linotype" w:hAnsi="Palatino Linotype" w:cs="Palatino Linotype"/>
        </w:rPr>
        <w:t xml:space="preserve">de octubre </w:t>
      </w:r>
      <w:r w:rsidRPr="003E521A">
        <w:rPr>
          <w:rFonts w:ascii="Palatino Linotype" w:eastAsia="Palatino Linotype" w:hAnsi="Palatino Linotype" w:cs="Palatino Linotype"/>
        </w:rPr>
        <w:t xml:space="preserve">de dos mil veintitrés. </w:t>
      </w:r>
    </w:p>
    <w:p w14:paraId="1B66BFA8" w14:textId="7C066620"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VISTO</w:t>
      </w:r>
      <w:r w:rsidRPr="003E521A">
        <w:rPr>
          <w:rFonts w:ascii="Palatino Linotype" w:eastAsia="Palatino Linotype" w:hAnsi="Palatino Linotype" w:cs="Palatino Linotype"/>
        </w:rPr>
        <w:t xml:space="preserve"> el expediente formado con motivo del recurso de revisión </w:t>
      </w:r>
      <w:r w:rsidRPr="003E521A">
        <w:rPr>
          <w:rFonts w:ascii="Palatino Linotype" w:eastAsia="Palatino Linotype" w:hAnsi="Palatino Linotype" w:cs="Palatino Linotype"/>
          <w:b/>
        </w:rPr>
        <w:t>00364/INFOEM/IP/RR/2023</w:t>
      </w:r>
      <w:r w:rsidRPr="003E521A">
        <w:rPr>
          <w:rFonts w:ascii="Palatino Linotype" w:eastAsia="Palatino Linotype" w:hAnsi="Palatino Linotype" w:cs="Palatino Linotype"/>
        </w:rPr>
        <w:t xml:space="preserve">, interpuesto por </w:t>
      </w:r>
      <w:r w:rsidR="000D4FD9">
        <w:rPr>
          <w:rFonts w:ascii="Palatino Linotype" w:eastAsia="Palatino Linotype" w:hAnsi="Palatino Linotype" w:cs="Palatino Linotype"/>
          <w:b/>
        </w:rPr>
        <w:t>XXXXX XXXX XXXXXX</w:t>
      </w:r>
      <w:r w:rsidRPr="003E521A">
        <w:rPr>
          <w:rFonts w:ascii="Palatino Linotype" w:eastAsia="Palatino Linotype" w:hAnsi="Palatino Linotype" w:cs="Palatino Linotype"/>
        </w:rPr>
        <w:t xml:space="preserve"> quien en lo sucesivo</w:t>
      </w:r>
      <w:r w:rsidRPr="003E521A">
        <w:rPr>
          <w:rFonts w:ascii="Palatino Linotype" w:eastAsia="Palatino Linotype" w:hAnsi="Palatino Linotype" w:cs="Palatino Linotype"/>
          <w:b/>
        </w:rPr>
        <w:t xml:space="preserve"> </w:t>
      </w:r>
      <w:r w:rsidRPr="003E521A">
        <w:rPr>
          <w:rFonts w:ascii="Palatino Linotype" w:eastAsia="Palatino Linotype" w:hAnsi="Palatino Linotype" w:cs="Palatino Linotype"/>
        </w:rPr>
        <w:t xml:space="preserve">será identificado en su calidad de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en contra de la respuesta del </w:t>
      </w:r>
      <w:r w:rsidRPr="003E521A">
        <w:rPr>
          <w:rFonts w:ascii="Palatino Linotype" w:eastAsia="Palatino Linotype" w:hAnsi="Palatino Linotype" w:cs="Palatino Linotype"/>
          <w:b/>
        </w:rPr>
        <w:t xml:space="preserve">Ayuntamiento de Cuautitlán Izcalli, </w:t>
      </w:r>
      <w:r w:rsidRPr="003E521A">
        <w:rPr>
          <w:rFonts w:ascii="Palatino Linotype" w:eastAsia="Palatino Linotype" w:hAnsi="Palatino Linotype" w:cs="Palatino Linotype"/>
        </w:rPr>
        <w:t xml:space="preserve">en lo sucesivo el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 xml:space="preserve">se procede a dictar la presente resolución con base en los siguientes: </w:t>
      </w:r>
    </w:p>
    <w:p w14:paraId="4FD34EF8" w14:textId="77777777" w:rsidR="00355227" w:rsidRPr="003E521A" w:rsidRDefault="001F7EA1">
      <w:pPr>
        <w:spacing w:before="240" w:after="240" w:line="360" w:lineRule="auto"/>
        <w:jc w:val="center"/>
        <w:rPr>
          <w:rFonts w:ascii="Palatino Linotype" w:eastAsia="Palatino Linotype" w:hAnsi="Palatino Linotype" w:cs="Palatino Linotype"/>
          <w:b/>
          <w:sz w:val="28"/>
          <w:szCs w:val="28"/>
        </w:rPr>
      </w:pPr>
      <w:bookmarkStart w:id="1" w:name="_heading=h.3znysh7" w:colFirst="0" w:colLast="0"/>
      <w:bookmarkEnd w:id="1"/>
      <w:r w:rsidRPr="003E521A">
        <w:rPr>
          <w:rFonts w:ascii="Palatino Linotype" w:eastAsia="Palatino Linotype" w:hAnsi="Palatino Linotype" w:cs="Palatino Linotype"/>
          <w:b/>
        </w:rPr>
        <w:t>I. A N T E C E D E N T E S</w:t>
      </w:r>
    </w:p>
    <w:p w14:paraId="7889701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1. Solicitud de acceso a la información.</w:t>
      </w:r>
      <w:r w:rsidRPr="003E521A">
        <w:rPr>
          <w:rFonts w:ascii="Palatino Linotype" w:eastAsia="Palatino Linotype" w:hAnsi="Palatino Linotype" w:cs="Palatino Linotype"/>
        </w:rPr>
        <w:t xml:space="preserve"> El </w:t>
      </w:r>
      <w:r w:rsidRPr="003E521A">
        <w:rPr>
          <w:rFonts w:ascii="Palatino Linotype" w:eastAsia="Palatino Linotype" w:hAnsi="Palatino Linotype" w:cs="Palatino Linotype"/>
          <w:b/>
        </w:rPr>
        <w:t>siete de diciembre de dos mil veintidós,</w:t>
      </w:r>
      <w:r w:rsidRPr="003E521A">
        <w:rPr>
          <w:rFonts w:ascii="Palatino Linotype" w:eastAsia="Palatino Linotype" w:hAnsi="Palatino Linotype" w:cs="Palatino Linotype"/>
        </w:rPr>
        <w:t xml:space="preserve"> el </w:t>
      </w:r>
      <w:r w:rsidRPr="003E521A">
        <w:rPr>
          <w:rFonts w:ascii="Palatino Linotype" w:eastAsia="Palatino Linotype" w:hAnsi="Palatino Linotype" w:cs="Palatino Linotype"/>
          <w:b/>
        </w:rPr>
        <w:t xml:space="preserve">Recurrente </w:t>
      </w:r>
      <w:r w:rsidRPr="003E521A">
        <w:rPr>
          <w:rFonts w:ascii="Palatino Linotype" w:eastAsia="Palatino Linotype" w:hAnsi="Palatino Linotype" w:cs="Palatino Linotype"/>
        </w:rPr>
        <w:t>presentó a través del Sistema de Acceso a la Información Mexiquense (</w:t>
      </w:r>
      <w:r w:rsidRPr="003E521A">
        <w:rPr>
          <w:rFonts w:ascii="Palatino Linotype" w:eastAsia="Palatino Linotype" w:hAnsi="Palatino Linotype" w:cs="Palatino Linotype"/>
          <w:b/>
        </w:rPr>
        <w:t>SAIMEX),</w:t>
      </w:r>
      <w:r w:rsidRPr="003E521A">
        <w:rPr>
          <w:rFonts w:ascii="Palatino Linotype" w:eastAsia="Palatino Linotype" w:hAnsi="Palatino Linotype" w:cs="Palatino Linotype"/>
        </w:rPr>
        <w:t xml:space="preserve"> la solicitud de acceso a la información pública registrada con el número </w:t>
      </w:r>
      <w:r w:rsidRPr="003E521A">
        <w:rPr>
          <w:rFonts w:ascii="Palatino Linotype" w:eastAsia="Palatino Linotype" w:hAnsi="Palatino Linotype" w:cs="Palatino Linotype"/>
          <w:b/>
        </w:rPr>
        <w:t xml:space="preserve">01112/CUAUTIZC/IP/2022, </w:t>
      </w:r>
      <w:r w:rsidRPr="003E521A">
        <w:rPr>
          <w:rFonts w:ascii="Palatino Linotype" w:eastAsia="Palatino Linotype" w:hAnsi="Palatino Linotype" w:cs="Palatino Linotype"/>
        </w:rPr>
        <w:t xml:space="preserve">mediante la cual requirió la información siguiente: </w:t>
      </w:r>
    </w:p>
    <w:p w14:paraId="4B9ED137" w14:textId="77777777" w:rsidR="00355227" w:rsidRPr="003E521A" w:rsidRDefault="001F7EA1">
      <w:pPr>
        <w:spacing w:before="240" w:after="240"/>
        <w:ind w:left="851" w:right="616"/>
        <w:jc w:val="both"/>
        <w:rPr>
          <w:rFonts w:ascii="Palatino Linotype" w:eastAsia="Palatino Linotype" w:hAnsi="Palatino Linotype" w:cs="Palatino Linotype"/>
          <w:i/>
          <w:sz w:val="22"/>
          <w:szCs w:val="22"/>
        </w:rPr>
      </w:pPr>
      <w:bookmarkStart w:id="2" w:name="_heading=h.gjdgxs" w:colFirst="0" w:colLast="0"/>
      <w:bookmarkEnd w:id="2"/>
      <w:r w:rsidRPr="003E521A">
        <w:rPr>
          <w:rFonts w:ascii="Palatino Linotype" w:eastAsia="Palatino Linotype" w:hAnsi="Palatino Linotype" w:cs="Palatino Linotype"/>
          <w:i/>
          <w:sz w:val="22"/>
          <w:szCs w:val="22"/>
        </w:rPr>
        <w:t>“PLAN PARCIAL DE INTEGRACIÓN TERRITORIAL SANTA BARBARA NORTE DEL MUNICIPIO DE CUAUTITLÁN IZCALLI, ESTADO DE MÉXICO Y LA MODIFICACIÓN DEL PLAN MUNICIPAL DE DESARROLLO URBANO DE CUAUTITLÁN IZCALLI, ESTADO DE MÉXICO, RESULTANTE, APROBADO DURANTE EL DESAHOGO DEL PUNTO 5 DE LA CENTÉSIMA SEPTUAGÉSIMA SESIÓN DEL AYUNTAMIENTO, DE CARACTER EXTRAORDINARIA, DE TIPO PÚBLICA DEL DIECIOCHO DE DICIEMBRE DEL AÑO DOS MIL QUINCE. PUNTO DE ACUERDO, DICTAMEN DE LAS COMISIONES EDILICIAS UNIDAS DE HACIENDA, DE OBRA PÚBLICA Y DESARROLLO URBANO Y DE LÍMITES TERRITORIALES Y DOCUMENTOS DEL APÉNDICE Y ACTA DE LA REFERIDA SESIÓN</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26CD0C50"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lastRenderedPageBreak/>
        <w:t>Modalidad de Entrega: En</w:t>
      </w:r>
      <w:r w:rsidRPr="003E521A">
        <w:rPr>
          <w:rFonts w:ascii="Palatino Linotype" w:eastAsia="Palatino Linotype" w:hAnsi="Palatino Linotype" w:cs="Palatino Linotype"/>
        </w:rPr>
        <w:t xml:space="preserve"> Copias Certificadas (con costo)</w:t>
      </w:r>
    </w:p>
    <w:p w14:paraId="235E3108" w14:textId="77777777" w:rsidR="00355227" w:rsidRPr="003E521A" w:rsidRDefault="001F7EA1">
      <w:pPr>
        <w:spacing w:after="240" w:line="360" w:lineRule="auto"/>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rPr>
        <w:t xml:space="preserve">2. Respuesta. </w:t>
      </w:r>
      <w:r w:rsidRPr="003E521A">
        <w:rPr>
          <w:rFonts w:ascii="Palatino Linotype" w:eastAsia="Palatino Linotype" w:hAnsi="Palatino Linotype" w:cs="Palatino Linotype"/>
        </w:rPr>
        <w:t xml:space="preserve">El </w:t>
      </w:r>
      <w:r w:rsidRPr="003E521A">
        <w:rPr>
          <w:rFonts w:ascii="Palatino Linotype" w:eastAsia="Palatino Linotype" w:hAnsi="Palatino Linotype" w:cs="Palatino Linotype"/>
          <w:b/>
        </w:rPr>
        <w:t>doce de enero de dos mil veintitrés</w:t>
      </w:r>
      <w:r w:rsidRPr="003E521A">
        <w:rPr>
          <w:rFonts w:ascii="Palatino Linotype" w:eastAsia="Palatino Linotype" w:hAnsi="Palatino Linotype" w:cs="Palatino Linotype"/>
        </w:rPr>
        <w:t xml:space="preserve">, el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6F8BBCD2" w14:textId="77777777" w:rsidR="00355227" w:rsidRPr="003E521A" w:rsidRDefault="001F7EA1">
      <w:pPr>
        <w:spacing w:before="240" w:after="240"/>
        <w:ind w:left="567" w:right="902"/>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LOS OFICIOS DE RESPUESTA QUE A SU SOLICITUD LE ENTREGAN LAS SIGUIENTES UNIDADES ADMINISTRATIVAS QUE INTEGRAN ESTE SUJETO OBLIGADO: (1) SECRETARÍA DEL AYUNTAMIENTO Y (2) DIRECCIÓN DE DESARROLLO URBANO: 1.- “Por instrucciones del C. Miguel Ángel Gutiérrez </w:t>
      </w:r>
      <w:proofErr w:type="spellStart"/>
      <w:r w:rsidRPr="003E521A">
        <w:rPr>
          <w:rFonts w:ascii="Palatino Linotype" w:eastAsia="Palatino Linotype" w:hAnsi="Palatino Linotype" w:cs="Palatino Linotype"/>
          <w:i/>
          <w:sz w:val="22"/>
          <w:szCs w:val="22"/>
        </w:rPr>
        <w:t>Pilloni</w:t>
      </w:r>
      <w:proofErr w:type="spellEnd"/>
      <w:r w:rsidRPr="003E521A">
        <w:rPr>
          <w:rFonts w:ascii="Palatino Linotype" w:eastAsia="Palatino Linotype" w:hAnsi="Palatino Linotype" w:cs="Palatino Linotype"/>
          <w:i/>
          <w:sz w:val="22"/>
          <w:szCs w:val="22"/>
        </w:rPr>
        <w:t xml:space="preserve">, Secretario del Ayuntamiento y en atención a la solicitud de información, recibida por la Coordinación de Transparencia, mediante el Sistema de Acceso a la Información Mexiquense (SAIMEX), bajo el folio 01112/CUAUTIZC/IP/2022, que a la letra señala: “PLAN PARCIAL DE INTEGRACIÓN TERRITORIAL SANTA BARBARA NORTE DEL MUNICIPIO DE CUAUTITLÁN IZCALLI, ESTADO DE MÉXICO Y LA MODIFICACIÓN DEL PLAN MUNICIPAL DE DESARROLLO URBANO DE CUAUTITLÁN IZCALLI, ESTADO DE MÉXICO, RESULTANTE, APROBADO DURANTE EL DESAHOGO DEL PUNTO 5 DE LA CENTÉSIMA SÉPTUAGÉSIMA SESIÓN DEL AYUNTAMIENTO, DE CARÁCTER EXTRAORDINARIA, DE TIPO PÚBLICA DEL DIECIOCHO DE DICIEMBRE DEL AÑO DOS MIL QUINCE. PUNTO DE ACUERDO, DICTÁMEN DE LAS COMISIONES EDILICIAS UNIDAS DE HACIENDA, DE OBRA PÚBLICA Y DESARROLLO URBANO Y DE LÍMITES TERRITORIALES Y DOCUMENTOS DEL APÉNDICE Y ACTA DE LA REFERIDA SESIÓN” (sic). En relación a la expedición de copias certificadas hago de su conocimiento que el artículo 148 fracción II del Código Financiero del estado de México y Municipios señala: Artículo 148.- Por la expedición de documentos solicitados en el ejercicio del derecho a la información pública, se pagarán los derechos conforme a lo siguiente: II. Por la expedición de copias certificadas: CONCEPTO </w:t>
      </w:r>
      <w:r w:rsidRPr="003E521A">
        <w:rPr>
          <w:rFonts w:ascii="Palatino Linotype" w:eastAsia="Palatino Linotype" w:hAnsi="Palatino Linotype" w:cs="Palatino Linotype"/>
          <w:i/>
          <w:sz w:val="22"/>
          <w:szCs w:val="22"/>
        </w:rPr>
        <w:lastRenderedPageBreak/>
        <w:t xml:space="preserve">NÚMERO DE VECES EL VALOR DIARIO DE LA UNIDAD DE MEDIDA ACTUALIZACIÓN VIGENTE. A). Por la primera hoja. 0.850 B). Por cada hoja subsecuente. 0.417. En ese sentido previo pago que realice por los documentos, por la cantidad de $3,052.20 (tres mil cincuenta y dos pesos 20/100 M.N.), resultado de aplicar lo establecido en el artículo 148 fracción II, del Código Financiero del estado de México y Municipios, a los dos documentos que contienen: 62 fojas del acta de la Centésima Septuagésima Sesión del Ayuntamiento, de Carácter Extraordinaria, de Tipo Pública del dieciocho de diciembre del año dos mil quince y 12 fojas del documento del apéndice en donde se encuentra el dictamen de las comisiones unidas, en las cajas de la Tesorería Municipal situadas en Av. La Súper, Centro Urbano, Cuautitlán Izcalli, en un horario de 9 a 15 horas, de lunes a viernes. Hecho lo anterior, para su entrega de las copias certificadas deberá acudir con la Lic. Ma. Elena Mateos Zamora, Servidor Público Habilitado de la Secretaría del Ayuntamiento, con el recibo expedido por la Tesorería Municipal a las oficinas de Secretaría del Ayuntamiento ubicadas en el 4to piso del Palacio Municipal en Av. Primero de Mayo, número 100, Centro Urbano, C.P. 54700, Cuautitlán Izcalli, Estado de México, conforme a lo establecido en el artículo 166 párrafos segundo y tercero de la Ley de Transparencia y Acceso a la Información Pública del estado de México y Municipios, la información solicitada estará disponible durante un plazo de sesenta días hábiles, contando a partir de que el solicitante el pago respectivo, el cual deberá de efectuarse en un término no mayor a treinta días hábiles, a partir de la notificación de la respuesta, por lo que transcurridos dichos plazos, y de no acudir por la información requerida, esta será destruida.” SIC 2.- “En términos de lo dispuesto por los artículos 6 Base A, 16 segundo párrafo y 116 fracción VIII de la Constitución Política de los Estados Unidos Mexicanos; 5 de la Constitución Política del Estado Libre y Soberano de México; 1, 2 fracciones I, II y III, 12, 13, 14 y 25 de la Ley General de Transparencia y Acceso a la Información Pública; 1, 2 fracciones IV y V y 4 fracción XI de la Ley General de Protección de Datos Personales en Posesión de Sujetos Obligados; 1, 4, 6, 7, 8, 10, 11, 12, 23 fracción IV, 25, 59 fracciones I, II y III y 86 de la Ley de Transparencia y Acceso a la Información Pública del Estado de México y Municipios; 1, 2 fracciones II y IV, 3 fracción IV y 4 fracción XI de la Ley de Protección de Datos Personales en Posesión de Sujetos Obligados del Estado de México y Municipios; 86 y 96 </w:t>
      </w:r>
      <w:proofErr w:type="spellStart"/>
      <w:r w:rsidRPr="003E521A">
        <w:rPr>
          <w:rFonts w:ascii="Palatino Linotype" w:eastAsia="Palatino Linotype" w:hAnsi="Palatino Linotype" w:cs="Palatino Linotype"/>
          <w:i/>
          <w:sz w:val="22"/>
          <w:szCs w:val="22"/>
        </w:rPr>
        <w:t>Sexies</w:t>
      </w:r>
      <w:proofErr w:type="spellEnd"/>
      <w:r w:rsidRPr="003E521A">
        <w:rPr>
          <w:rFonts w:ascii="Palatino Linotype" w:eastAsia="Palatino Linotype" w:hAnsi="Palatino Linotype" w:cs="Palatino Linotype"/>
          <w:i/>
          <w:sz w:val="22"/>
          <w:szCs w:val="22"/>
        </w:rPr>
        <w:t xml:space="preserve"> fracciones III, VI y VII de la Ley Orgánica Municipal del Estado de México; 1.5 fracción VIII y 1.41 del Código Administrativo del Estado de México; 4, 16 fracción IV, 38, 113, 114 y 115 del Bando Municipal vigente, me permito referirme a la Solicitud de Información bajo el número de folio 01112/CUAUTIZC/IP/2022 ingresada a través del Sistema de Acceso a la Información Mexiquense (SAIMEX), donde se solicita lo siguiente: “ … PLAN PARCIAL DE INTEGRACIÓN TERRITORIAL SANTA BARBARA </w:t>
      </w:r>
      <w:r w:rsidRPr="003E521A">
        <w:rPr>
          <w:rFonts w:ascii="Palatino Linotype" w:eastAsia="Palatino Linotype" w:hAnsi="Palatino Linotype" w:cs="Palatino Linotype"/>
          <w:i/>
          <w:sz w:val="22"/>
          <w:szCs w:val="22"/>
        </w:rPr>
        <w:lastRenderedPageBreak/>
        <w:t xml:space="preserve">NORTE DEL MUNICIPIO DE CUAUTITLÁN IZCALLI, ESTADO DE MÉXICO Y LA MODIFICACIÓN DEL PLAN MUNICIPAL DE DESARROLLO URBANO DE CUAUTITLÁN IZCALLI, ESTADO DE MÉXICO, RESULTANTE, APROBADO DURANTE EL DESAHOGO DEL PUNTO 5 DE LA CENTÉSIMA SEPTUAGÉSIMA SESIÓN DEL AYUNTAMIENTO, DE CARACTER EXTRAORDINARIA, DE TIPO PÚBLICA DEL DIECIOCHO DE DICIEMBRE DEL AÑO DOS MIL QUINCE. PUNTO DE ACUERDO, DICTAMEN DE LAS COMISIONES EDILICIAS UNIDAS DE HACIENDA, DE OBRA PÚBLICA Y DESARROLLO URBANO Y DE LÍMITES TERRITORIALES Y DOCUMENTOS DEL APÉNDICE Y ACTA DE LA REFERIDA SESIÓN ... ”(sic); al respecto se le informa lo siguiente: ------------------------------------------------------------------------------------------------------------------------------------------------------------------------------------------ Visto lo solicitado, se hace de su conocimiento que no existe un Plan Parcial de Integración Territorial Santa Bárbara Norte del Municipio de Cuautitlán Izcalli, Estado de México, como lo menciona en su petición; motivo por el cual este sujeto obligado niega su existencia acogiéndose a lo señalado en el Criterio 07/17 del Instituto Nacional de Transparencia, Acceso a La Información y Protección de Datos Personales (INAI), que establece lo siguiente: “… Que en los 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normatividad aplicable a la materia de la solicitud; y además no se tengan elementos de convicción que permitan suponer que ésta debe obrar en sus archivos, no será necesario que el Comité de Transparencia emita una resolución que confirme la inexistencia de la información (…)”. Resoluciones: • RRA 2959/16. Secretaría de Gobernación. 23 de noviembre de 2016. Por unanimidad. Comisionado Ponente </w:t>
      </w:r>
      <w:proofErr w:type="spellStart"/>
      <w:r w:rsidRPr="003E521A">
        <w:rPr>
          <w:rFonts w:ascii="Palatino Linotype" w:eastAsia="Palatino Linotype" w:hAnsi="Palatino Linotype" w:cs="Palatino Linotype"/>
          <w:i/>
          <w:sz w:val="22"/>
          <w:szCs w:val="22"/>
        </w:rPr>
        <w:t>Rosendoevgueni</w:t>
      </w:r>
      <w:proofErr w:type="spellEnd"/>
      <w:r w:rsidRPr="003E521A">
        <w:rPr>
          <w:rFonts w:ascii="Palatino Linotype" w:eastAsia="Palatino Linotype" w:hAnsi="Palatino Linotype" w:cs="Palatino Linotype"/>
          <w:i/>
          <w:sz w:val="22"/>
          <w:szCs w:val="22"/>
        </w:rPr>
        <w:t xml:space="preserve"> Monterrey </w:t>
      </w:r>
      <w:proofErr w:type="spellStart"/>
      <w:r w:rsidRPr="003E521A">
        <w:rPr>
          <w:rFonts w:ascii="Palatino Linotype" w:eastAsia="Palatino Linotype" w:hAnsi="Palatino Linotype" w:cs="Palatino Linotype"/>
          <w:i/>
          <w:sz w:val="22"/>
          <w:szCs w:val="22"/>
        </w:rPr>
        <w:t>Chepov</w:t>
      </w:r>
      <w:proofErr w:type="spellEnd"/>
      <w:r w:rsidRPr="003E521A">
        <w:rPr>
          <w:rFonts w:ascii="Palatino Linotype" w:eastAsia="Palatino Linotype" w:hAnsi="Palatino Linotype" w:cs="Palatino Linotype"/>
          <w:i/>
          <w:sz w:val="22"/>
          <w:szCs w:val="22"/>
        </w:rPr>
        <w:t xml:space="preserve">. • RRA 3186/16. Petróleos Mexicanos. 13 de diciembre de 2016. Por unanimidad. Comisionado Ponente Francisco Javier Acuña Llamas. RRA 4216/16. Cámara de Diputados. 05 de enero de 2017. Por unanimidad. Comisionado Ponente Areli Cano Guadiana. Por lo que hace a su solicitud de copias certificadas de la modificación del Plan Municipal de Desarrollo Urbano de Cuautitlán Izcalli, Estado de México, aprobado durante el desahogo del Punto 5 de la Centésima </w:t>
      </w:r>
      <w:r w:rsidRPr="003E521A">
        <w:rPr>
          <w:rFonts w:ascii="Palatino Linotype" w:eastAsia="Palatino Linotype" w:hAnsi="Palatino Linotype" w:cs="Palatino Linotype"/>
          <w:i/>
          <w:sz w:val="22"/>
          <w:szCs w:val="22"/>
        </w:rPr>
        <w:lastRenderedPageBreak/>
        <w:t xml:space="preserve">Septuagésima Sesión del Ayuntamiento, de Carácter Extraordinaria de Tipo Pública de fecha dieciocho de diciembre del año dos mil quince, se le informa que dicha solicitud será atendida por la </w:t>
      </w:r>
      <w:proofErr w:type="gramStart"/>
      <w:r w:rsidRPr="003E521A">
        <w:rPr>
          <w:rFonts w:ascii="Palatino Linotype" w:eastAsia="Palatino Linotype" w:hAnsi="Palatino Linotype" w:cs="Palatino Linotype"/>
          <w:i/>
          <w:sz w:val="22"/>
          <w:szCs w:val="22"/>
        </w:rPr>
        <w:t>Secretario</w:t>
      </w:r>
      <w:proofErr w:type="gramEnd"/>
      <w:r w:rsidRPr="003E521A">
        <w:rPr>
          <w:rFonts w:ascii="Palatino Linotype" w:eastAsia="Palatino Linotype" w:hAnsi="Palatino Linotype" w:cs="Palatino Linotype"/>
          <w:i/>
          <w:sz w:val="22"/>
          <w:szCs w:val="22"/>
        </w:rPr>
        <w:t xml:space="preserve"> del este H. Ayuntamiento por ser facultad para la expedición de copias certificadas. Sin otro particular, quedo de Usted para cualquier duda o aclaración.”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 </w:t>
      </w:r>
    </w:p>
    <w:p w14:paraId="5ED7B7FA" w14:textId="77777777" w:rsidR="00355227" w:rsidRPr="003E521A" w:rsidRDefault="001F7EA1">
      <w:pPr>
        <w:spacing w:before="240" w:after="240"/>
        <w:ind w:left="567" w:right="902"/>
        <w:jc w:val="both"/>
        <w:rPr>
          <w:rFonts w:ascii="Palatino Linotype" w:eastAsia="Palatino Linotype" w:hAnsi="Palatino Linotype" w:cs="Palatino Linotype"/>
          <w:b/>
          <w:sz w:val="22"/>
          <w:szCs w:val="22"/>
        </w:rPr>
      </w:pPr>
      <w:r w:rsidRPr="003E521A">
        <w:rPr>
          <w:rFonts w:ascii="Palatino Linotype" w:eastAsia="Palatino Linotype" w:hAnsi="Palatino Linotype" w:cs="Palatino Linotype"/>
          <w:b/>
          <w:sz w:val="22"/>
          <w:szCs w:val="22"/>
        </w:rPr>
        <w:t xml:space="preserve">Archivo adjunto: </w:t>
      </w:r>
    </w:p>
    <w:p w14:paraId="14B9DD0C" w14:textId="77777777" w:rsidR="00355227" w:rsidRPr="003E521A" w:rsidRDefault="001F7EA1">
      <w:pPr>
        <w:spacing w:before="240" w:after="240" w:line="360" w:lineRule="auto"/>
        <w:ind w:left="567" w:right="902"/>
        <w:jc w:val="both"/>
        <w:rPr>
          <w:rFonts w:ascii="Palatino Linotype" w:eastAsia="Palatino Linotype" w:hAnsi="Palatino Linotype" w:cs="Palatino Linotype"/>
        </w:rPr>
      </w:pPr>
      <w:r w:rsidRPr="003E521A">
        <w:rPr>
          <w:rFonts w:ascii="Palatino Linotype" w:eastAsia="Palatino Linotype" w:hAnsi="Palatino Linotype" w:cs="Palatino Linotype"/>
          <w:b/>
          <w:i/>
          <w:sz w:val="22"/>
          <w:szCs w:val="22"/>
        </w:rPr>
        <w:t>“</w:t>
      </w:r>
      <w:r w:rsidRPr="003E521A">
        <w:rPr>
          <w:rFonts w:ascii="Palatino Linotype" w:eastAsia="Palatino Linotype" w:hAnsi="Palatino Linotype" w:cs="Palatino Linotype"/>
          <w:b/>
          <w:i/>
          <w:u w:val="single"/>
        </w:rPr>
        <w:t>Solicitud 01112.pdf</w:t>
      </w:r>
      <w:r w:rsidRPr="003E521A">
        <w:rPr>
          <w:rFonts w:ascii="Palatino Linotype" w:eastAsia="Palatino Linotype" w:hAnsi="Palatino Linotype" w:cs="Palatino Linotype"/>
          <w:b/>
          <w:i/>
          <w:sz w:val="22"/>
          <w:szCs w:val="22"/>
        </w:rPr>
        <w:t xml:space="preserve">”: </w:t>
      </w:r>
      <w:r w:rsidRPr="003E521A">
        <w:rPr>
          <w:rFonts w:ascii="Palatino Linotype" w:eastAsia="Palatino Linotype" w:hAnsi="Palatino Linotype" w:cs="Palatino Linotype"/>
          <w:b/>
          <w:sz w:val="22"/>
          <w:szCs w:val="22"/>
        </w:rPr>
        <w:t xml:space="preserve">Documental </w:t>
      </w:r>
      <w:r w:rsidRPr="003E521A">
        <w:rPr>
          <w:rFonts w:ascii="Palatino Linotype" w:eastAsia="Palatino Linotype" w:hAnsi="Palatino Linotype" w:cs="Palatino Linotype"/>
          <w:sz w:val="22"/>
          <w:szCs w:val="22"/>
        </w:rPr>
        <w:t xml:space="preserve">consistente en dos hojas, suscrita por la </w:t>
      </w:r>
      <w:proofErr w:type="gramStart"/>
      <w:r w:rsidRPr="003E521A">
        <w:rPr>
          <w:rFonts w:ascii="Palatino Linotype" w:eastAsia="Palatino Linotype" w:hAnsi="Palatino Linotype" w:cs="Palatino Linotype"/>
          <w:sz w:val="22"/>
          <w:szCs w:val="22"/>
        </w:rPr>
        <w:t>Jefa</w:t>
      </w:r>
      <w:proofErr w:type="gramEnd"/>
      <w:r w:rsidRPr="003E521A">
        <w:rPr>
          <w:rFonts w:ascii="Palatino Linotype" w:eastAsia="Palatino Linotype" w:hAnsi="Palatino Linotype" w:cs="Palatino Linotype"/>
          <w:sz w:val="22"/>
          <w:szCs w:val="22"/>
        </w:rPr>
        <w:t xml:space="preserve"> de Certificaciones y Constancias, en la que se incluye el oficio 2744 por medio del cual se le indica al particular el procedimiento a pagar con motivo de la expedición de las copias certificadas solicitadas. </w:t>
      </w:r>
    </w:p>
    <w:p w14:paraId="3961C610" w14:textId="77777777" w:rsidR="00355227" w:rsidRPr="003E521A" w:rsidRDefault="001F7EA1">
      <w:pPr>
        <w:spacing w:before="240" w:after="240"/>
        <w:ind w:left="567" w:right="902"/>
        <w:jc w:val="both"/>
        <w:rPr>
          <w:rFonts w:ascii="Palatino Linotype" w:eastAsia="Palatino Linotype" w:hAnsi="Palatino Linotype" w:cs="Palatino Linotype"/>
          <w:b/>
          <w:sz w:val="22"/>
          <w:szCs w:val="22"/>
        </w:rPr>
      </w:pPr>
      <w:r w:rsidRPr="003E521A">
        <w:rPr>
          <w:rFonts w:ascii="Palatino Linotype" w:eastAsia="Palatino Linotype" w:hAnsi="Palatino Linotype" w:cs="Palatino Linotype"/>
          <w:b/>
          <w:sz w:val="22"/>
          <w:szCs w:val="22"/>
        </w:rPr>
        <w:t xml:space="preserve">Archivo adjunto: </w:t>
      </w:r>
    </w:p>
    <w:p w14:paraId="76F83032" w14:textId="77777777" w:rsidR="00355227" w:rsidRPr="003E521A" w:rsidRDefault="001F7EA1">
      <w:pPr>
        <w:spacing w:before="240" w:after="240" w:line="360" w:lineRule="auto"/>
        <w:ind w:left="567" w:right="902"/>
        <w:jc w:val="both"/>
        <w:rPr>
          <w:rFonts w:ascii="Palatino Linotype" w:eastAsia="Palatino Linotype" w:hAnsi="Palatino Linotype" w:cs="Palatino Linotype"/>
        </w:rPr>
      </w:pPr>
      <w:r w:rsidRPr="003E521A">
        <w:rPr>
          <w:rFonts w:ascii="Palatino Linotype" w:eastAsia="Palatino Linotype" w:hAnsi="Palatino Linotype" w:cs="Palatino Linotype"/>
          <w:b/>
          <w:i/>
          <w:sz w:val="22"/>
          <w:szCs w:val="22"/>
        </w:rPr>
        <w:t>“</w:t>
      </w:r>
      <w:r w:rsidRPr="003E521A">
        <w:rPr>
          <w:rFonts w:ascii="Palatino Linotype" w:eastAsia="Palatino Linotype" w:hAnsi="Palatino Linotype" w:cs="Palatino Linotype"/>
          <w:b/>
          <w:i/>
          <w:u w:val="single"/>
        </w:rPr>
        <w:t xml:space="preserve">Sol. de </w:t>
      </w:r>
      <w:proofErr w:type="spellStart"/>
      <w:r w:rsidRPr="003E521A">
        <w:rPr>
          <w:rFonts w:ascii="Palatino Linotype" w:eastAsia="Palatino Linotype" w:hAnsi="Palatino Linotype" w:cs="Palatino Linotype"/>
          <w:b/>
          <w:i/>
          <w:u w:val="single"/>
        </w:rPr>
        <w:t>Inf</w:t>
      </w:r>
      <w:proofErr w:type="spellEnd"/>
      <w:r w:rsidRPr="003E521A">
        <w:rPr>
          <w:rFonts w:ascii="Palatino Linotype" w:eastAsia="Palatino Linotype" w:hAnsi="Palatino Linotype" w:cs="Palatino Linotype"/>
          <w:b/>
          <w:i/>
          <w:u w:val="single"/>
        </w:rPr>
        <w:t>. 01112-22 Plan Santa Bárbara.pdf</w:t>
      </w:r>
      <w:r w:rsidRPr="003E521A">
        <w:rPr>
          <w:rFonts w:ascii="Palatino Linotype" w:eastAsia="Palatino Linotype" w:hAnsi="Palatino Linotype" w:cs="Palatino Linotype"/>
          <w:b/>
          <w:i/>
          <w:sz w:val="22"/>
          <w:szCs w:val="22"/>
        </w:rPr>
        <w:t xml:space="preserve">”: </w:t>
      </w:r>
      <w:r w:rsidRPr="003E521A">
        <w:rPr>
          <w:rFonts w:ascii="Palatino Linotype" w:eastAsia="Palatino Linotype" w:hAnsi="Palatino Linotype" w:cs="Palatino Linotype"/>
          <w:sz w:val="22"/>
          <w:szCs w:val="22"/>
        </w:rPr>
        <w:t xml:space="preserve">contiene en dos hojas el oficio número 21 emitido por parte de la Titular de la Dirección de Desarrollo Urbano por vía del cual señala que por cuanto hace a la solicitud de copias certificadas de la modificación del Plan Municipal de Desarrollo Urbano de Cuautitlán </w:t>
      </w:r>
      <w:proofErr w:type="spellStart"/>
      <w:r w:rsidRPr="003E521A">
        <w:rPr>
          <w:rFonts w:ascii="Palatino Linotype" w:eastAsia="Palatino Linotype" w:hAnsi="Palatino Linotype" w:cs="Palatino Linotype"/>
          <w:sz w:val="22"/>
          <w:szCs w:val="22"/>
        </w:rPr>
        <w:t>Izaclli</w:t>
      </w:r>
      <w:proofErr w:type="spellEnd"/>
      <w:r w:rsidRPr="003E521A">
        <w:rPr>
          <w:rFonts w:ascii="Palatino Linotype" w:eastAsia="Palatino Linotype" w:hAnsi="Palatino Linotype" w:cs="Palatino Linotype"/>
          <w:sz w:val="22"/>
          <w:szCs w:val="22"/>
        </w:rPr>
        <w:t xml:space="preserve">, Estado de México, aprobado durante el desahogo del tipo pública de fecha dieciocho  de diciembre de dos mil quince, informa que dicho requerimiento será atendida por la Secretaría del Ayuntamiento por ser facultad para expedir copias certificadas. </w:t>
      </w:r>
    </w:p>
    <w:p w14:paraId="2A5DECF2" w14:textId="77777777" w:rsidR="00355227" w:rsidRPr="003E521A" w:rsidRDefault="00355227">
      <w:pPr>
        <w:spacing w:before="240" w:after="240" w:line="360" w:lineRule="auto"/>
        <w:ind w:left="567" w:right="902"/>
        <w:jc w:val="both"/>
        <w:rPr>
          <w:rFonts w:ascii="Palatino Linotype" w:eastAsia="Palatino Linotype" w:hAnsi="Palatino Linotype" w:cs="Palatino Linotype"/>
          <w:b/>
        </w:rPr>
      </w:pPr>
    </w:p>
    <w:p w14:paraId="7057C046" w14:textId="77777777" w:rsidR="00355227" w:rsidRPr="003E521A" w:rsidRDefault="001F7EA1">
      <w:pPr>
        <w:spacing w:before="240" w:after="240" w:line="360" w:lineRule="auto"/>
        <w:ind w:right="49"/>
        <w:jc w:val="both"/>
        <w:rPr>
          <w:rFonts w:ascii="Palatino Linotype" w:eastAsia="Palatino Linotype" w:hAnsi="Palatino Linotype" w:cs="Palatino Linotype"/>
          <w:b/>
          <w:i/>
        </w:rPr>
      </w:pPr>
      <w:r w:rsidRPr="003E521A">
        <w:rPr>
          <w:rFonts w:ascii="Palatino Linotype" w:eastAsia="Palatino Linotype" w:hAnsi="Palatino Linotype" w:cs="Palatino Linotype"/>
          <w:b/>
        </w:rPr>
        <w:lastRenderedPageBreak/>
        <w:t xml:space="preserve">3. Interposición del recurso de revisión.  </w:t>
      </w:r>
      <w:r w:rsidRPr="003E521A">
        <w:rPr>
          <w:rFonts w:ascii="Palatino Linotype" w:eastAsia="Palatino Linotype" w:hAnsi="Palatino Linotype" w:cs="Palatino Linotype"/>
        </w:rPr>
        <w:t xml:space="preserve">El </w:t>
      </w:r>
      <w:r w:rsidRPr="003E521A">
        <w:rPr>
          <w:rFonts w:ascii="Palatino Linotype" w:eastAsia="Palatino Linotype" w:hAnsi="Palatino Linotype" w:cs="Palatino Linotype"/>
          <w:b/>
        </w:rPr>
        <w:t xml:space="preserve">veinte de enero de dos mil veintitrés </w:t>
      </w:r>
      <w:r w:rsidRPr="003E521A">
        <w:rPr>
          <w:rFonts w:ascii="Palatino Linotype" w:eastAsia="Palatino Linotype" w:hAnsi="Palatino Linotype" w:cs="Palatino Linotype"/>
        </w:rPr>
        <w:t xml:space="preserve">el </w:t>
      </w:r>
      <w:r w:rsidRPr="003E521A">
        <w:rPr>
          <w:rFonts w:ascii="Palatino Linotype" w:eastAsia="Palatino Linotype" w:hAnsi="Palatino Linotype" w:cs="Palatino Linotype"/>
          <w:b/>
        </w:rPr>
        <w:t xml:space="preserve">Recurrente </w:t>
      </w:r>
      <w:r w:rsidRPr="003E521A">
        <w:rPr>
          <w:rFonts w:ascii="Palatino Linotype" w:eastAsia="Palatino Linotype" w:hAnsi="Palatino Linotype" w:cs="Palatino Linotype"/>
        </w:rPr>
        <w:t>inconforme con la respuesta, interpuso el recurso de revisión en el que expresó lo siguiente:</w:t>
      </w:r>
    </w:p>
    <w:p w14:paraId="71783EC1" w14:textId="77777777" w:rsidR="00355227" w:rsidRPr="003E521A" w:rsidRDefault="001F7EA1">
      <w:pPr>
        <w:spacing w:before="240" w:after="240" w:line="360" w:lineRule="auto"/>
        <w:ind w:right="49"/>
        <w:jc w:val="both"/>
        <w:rPr>
          <w:rFonts w:ascii="Palatino Linotype" w:eastAsia="Palatino Linotype" w:hAnsi="Palatino Linotype" w:cs="Palatino Linotype"/>
          <w:i/>
          <w:sz w:val="2"/>
          <w:szCs w:val="2"/>
        </w:rPr>
      </w:pPr>
      <w:r w:rsidRPr="003E521A">
        <w:rPr>
          <w:rFonts w:ascii="Palatino Linotype" w:eastAsia="Palatino Linotype" w:hAnsi="Palatino Linotype" w:cs="Palatino Linotype"/>
          <w:b/>
        </w:rPr>
        <w:t xml:space="preserve">Acto impugnado: </w:t>
      </w:r>
    </w:p>
    <w:p w14:paraId="2D0C5FBC" w14:textId="77777777" w:rsidR="00355227" w:rsidRPr="003E521A" w:rsidRDefault="001F7EA1">
      <w:pPr>
        <w:spacing w:before="240" w:after="240" w:line="276" w:lineRule="auto"/>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“ACUERDO DE FECHA DOCE DE ENERO DEL AÑO DOS MIL VEINTITRES “(Sic)</w:t>
      </w:r>
    </w:p>
    <w:p w14:paraId="4EC17F3F" w14:textId="77777777" w:rsidR="00355227" w:rsidRPr="003E521A" w:rsidRDefault="001F7EA1">
      <w:pPr>
        <w:spacing w:before="240" w:after="240" w:line="360" w:lineRule="auto"/>
        <w:ind w:right="616"/>
        <w:jc w:val="both"/>
        <w:rPr>
          <w:rFonts w:ascii="Palatino Linotype" w:eastAsia="Palatino Linotype" w:hAnsi="Palatino Linotype" w:cs="Palatino Linotype"/>
          <w:b/>
          <w:sz w:val="22"/>
          <w:szCs w:val="22"/>
        </w:rPr>
      </w:pPr>
      <w:r w:rsidRPr="003E521A">
        <w:rPr>
          <w:rFonts w:ascii="Palatino Linotype" w:eastAsia="Palatino Linotype" w:hAnsi="Palatino Linotype" w:cs="Palatino Linotype"/>
          <w:b/>
        </w:rPr>
        <w:t>Razones o motivos de inconformidad</w:t>
      </w:r>
      <w:r w:rsidRPr="003E521A">
        <w:rPr>
          <w:rFonts w:ascii="Palatino Linotype" w:eastAsia="Palatino Linotype" w:hAnsi="Palatino Linotype" w:cs="Palatino Linotype"/>
          <w:b/>
          <w:sz w:val="22"/>
          <w:szCs w:val="22"/>
        </w:rPr>
        <w:t xml:space="preserve">: </w:t>
      </w:r>
    </w:p>
    <w:p w14:paraId="703B6675" w14:textId="77777777" w:rsidR="00355227" w:rsidRPr="003E521A" w:rsidRDefault="001F7EA1">
      <w:pPr>
        <w:spacing w:before="240" w:after="240" w:line="276" w:lineRule="auto"/>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“EL ACUERDO SEÑALA QUE NO EXISTE LA INFORMACIÓN SOLICITADA CONSISTENTE EN EL PLAN PARCIAL DE INTEGRACIÓN TERRITORIAL SANTA BARBARA NORTE DEL MUNICIPIO DE CUAUTITLÁN IZCALLI, ESTADO DE MÉXICO Y LA MODIFICACIÓN DEL PLAN MUNICIPAL DE DESARROLLO URBANO DE CUAUTITLÁN IZCALLI, ESTADO DE MÉXICO, RESULTANTE, APROBADO DURANTE EL DESAHOGO DEL PUNTO 5 DE LA CENTÉSIMA SÉPTUAGÉSIMA SESIÓN DEL AYUNTAMIENTO, DE CARÁCTER EXTRAORDINARIA, DE TIPO PÚBLICA DEL DIECIOCHO DE DICIEMBRE DEL AÑO DOS MIL QUINCE, SIN EMBARGO EN EL PUNTO DE ACUERDO, ASÍ COMO EN EL DICTAMEN DE LAS COMISIONES EDILICIAS UNIDAS DE HACIENDA, DE OBRA PÚBLICA Y DESARROLLO URBANO Y DE LÍMITES TERRITORIALES Y DOCUMENTOS DEL APÉNDICE Y ACTA DE LA REFERIDA SESIÓN, ESPECÍFICAMENTE A FOJA 26 SEÑALA TEXTUALMENTE LO SIGUIENTE: "ES DE HACER MENCIÓN QUE EL PLAN PARCIAL DE INTEGRACIÓN TERRITORIAL DE SANTA BÁRBARA NORTE, DEL MUNICIPIO DE CUAUTITLÁN IZCALLI, ESTADO DE MÉXICO, SE ADJUNTA AL PRESENTE, PARA QUE CONSTE COMO PARTE INTEGRAL DEL PRESENTE ACUERDO, TENIÉNDOSE COMO SI A LA LETRA CONSTARA."; CONSECUENTEMENTE LA INFORMACIÓN SI EXISTE, CONTRARIO A LO SEÑALADO POR LA AUTORIDAD. ADEMAS EN LA GACETA MUNICIPAL NUMERO 171, DEL AÑO 2015 DE FECHA 15 </w:t>
      </w:r>
      <w:r w:rsidRPr="003E521A">
        <w:rPr>
          <w:rFonts w:ascii="Palatino Linotype" w:eastAsia="Palatino Linotype" w:hAnsi="Palatino Linotype" w:cs="Palatino Linotype"/>
          <w:i/>
          <w:sz w:val="22"/>
          <w:szCs w:val="22"/>
        </w:rPr>
        <w:lastRenderedPageBreak/>
        <w:t>DE DICIEMBRE DEL 2015, A FOJA 21, SÉPTIMO PÁRRAFO, CONSTA EL MISMO PÁRRAFO QUE SE HA CITADO DE FORMA TEXTUAL EN LÍNEAS ANTERIORES, EN TAL VIRTUD LA INFORMACIÓN SI EXISTE, SOLICITANDO SE DÉ VISTA A LA CONTRALORÍA MUNICIPAL EN VIRTUD DE QUE LOS SERVIDORES PÚBLICOS QUE TIENE BAJO SU CUSTODIA LA INFORMACIÓN SE NIEGAN A ENTREGARLA</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 xml:space="preserve"> Sic)</w:t>
      </w:r>
    </w:p>
    <w:p w14:paraId="31D676CA" w14:textId="77777777" w:rsidR="00355227" w:rsidRPr="003E521A" w:rsidRDefault="001F7EA1">
      <w:pPr>
        <w:spacing w:before="240" w:after="240" w:line="360" w:lineRule="auto"/>
        <w:ind w:right="616"/>
        <w:jc w:val="both"/>
        <w:rPr>
          <w:rFonts w:ascii="Palatino Linotype" w:eastAsia="Palatino Linotype" w:hAnsi="Palatino Linotype" w:cs="Palatino Linotype"/>
          <w:sz w:val="22"/>
          <w:szCs w:val="22"/>
        </w:rPr>
      </w:pPr>
      <w:r w:rsidRPr="003E521A">
        <w:rPr>
          <w:rFonts w:ascii="Palatino Linotype" w:eastAsia="Palatino Linotype" w:hAnsi="Palatino Linotype" w:cs="Palatino Linotype"/>
          <w:b/>
          <w:i/>
          <w:sz w:val="22"/>
          <w:szCs w:val="22"/>
        </w:rPr>
        <w:t xml:space="preserve">Anexo. “PUNTO DE ACUERDO SANTA BARBARA.jpg” </w:t>
      </w:r>
      <w:r w:rsidRPr="003E521A">
        <w:rPr>
          <w:rFonts w:ascii="Palatino Linotype" w:eastAsia="Palatino Linotype" w:hAnsi="Palatino Linotype" w:cs="Palatino Linotype"/>
          <w:sz w:val="22"/>
          <w:szCs w:val="22"/>
        </w:rPr>
        <w:t>consistente en una sola imagen donde se precisa el siguiente extracto del acta de cabildo:</w:t>
      </w:r>
    </w:p>
    <w:p w14:paraId="0B97E699" w14:textId="77777777" w:rsidR="00355227" w:rsidRPr="003E521A" w:rsidRDefault="001F7EA1">
      <w:pPr>
        <w:spacing w:before="240" w:after="240" w:line="276" w:lineRule="auto"/>
        <w:ind w:right="616"/>
        <w:jc w:val="center"/>
        <w:rPr>
          <w:rFonts w:ascii="Palatino Linotype" w:eastAsia="Palatino Linotype" w:hAnsi="Palatino Linotype" w:cs="Palatino Linotype"/>
          <w:sz w:val="22"/>
          <w:szCs w:val="22"/>
        </w:rPr>
      </w:pPr>
      <w:r w:rsidRPr="003E521A">
        <w:rPr>
          <w:noProof/>
          <w:lang w:val="es-MX"/>
        </w:rPr>
        <w:drawing>
          <wp:inline distT="0" distB="0" distL="0" distR="0" wp14:anchorId="041CD0C7" wp14:editId="6082164B">
            <wp:extent cx="5101807" cy="5150992"/>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34003" t="9072" r="39210" b="20637"/>
                    <a:stretch>
                      <a:fillRect/>
                    </a:stretch>
                  </pic:blipFill>
                  <pic:spPr>
                    <a:xfrm>
                      <a:off x="0" y="0"/>
                      <a:ext cx="5101807" cy="5150992"/>
                    </a:xfrm>
                    <a:prstGeom prst="rect">
                      <a:avLst/>
                    </a:prstGeom>
                    <a:ln/>
                  </pic:spPr>
                </pic:pic>
              </a:graphicData>
            </a:graphic>
          </wp:inline>
        </w:drawing>
      </w:r>
    </w:p>
    <w:p w14:paraId="5D762C6F" w14:textId="77777777" w:rsidR="00355227" w:rsidRPr="003E521A" w:rsidRDefault="001F7EA1">
      <w:pPr>
        <w:spacing w:before="240" w:after="240" w:line="276" w:lineRule="auto"/>
        <w:ind w:right="616"/>
        <w:jc w:val="both"/>
        <w:rPr>
          <w:rFonts w:ascii="Palatino Linotype" w:eastAsia="Palatino Linotype" w:hAnsi="Palatino Linotype" w:cs="Palatino Linotype"/>
          <w:sz w:val="22"/>
          <w:szCs w:val="22"/>
        </w:rPr>
      </w:pPr>
      <w:r w:rsidRPr="003E521A">
        <w:rPr>
          <w:rFonts w:ascii="Palatino Linotype" w:eastAsia="Palatino Linotype" w:hAnsi="Palatino Linotype" w:cs="Palatino Linotype"/>
          <w:sz w:val="22"/>
          <w:szCs w:val="22"/>
        </w:rPr>
        <w:lastRenderedPageBreak/>
        <w:t xml:space="preserve"> </w:t>
      </w:r>
    </w:p>
    <w:p w14:paraId="199388A6"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4. Turno.</w:t>
      </w:r>
      <w:r w:rsidRPr="003E521A">
        <w:rPr>
          <w:rFonts w:ascii="Palatino Linotype" w:eastAsia="Palatino Linotype" w:hAnsi="Palatino Linotype" w:cs="Palatino Linotype"/>
          <w:b/>
          <w:sz w:val="28"/>
          <w:szCs w:val="28"/>
        </w:rPr>
        <w:t xml:space="preserve"> </w:t>
      </w:r>
      <w:r w:rsidRPr="003E521A">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E521A">
        <w:rPr>
          <w:rFonts w:ascii="Palatino Linotype" w:eastAsia="Palatino Linotype" w:hAnsi="Palatino Linotype" w:cs="Palatino Linotype"/>
          <w:b/>
        </w:rPr>
        <w:t xml:space="preserve">Guadalupe Ramírez Peña, </w:t>
      </w:r>
      <w:r w:rsidRPr="003E521A">
        <w:rPr>
          <w:rFonts w:ascii="Palatino Linotype" w:eastAsia="Palatino Linotype" w:hAnsi="Palatino Linotype" w:cs="Palatino Linotype"/>
        </w:rPr>
        <w:t xml:space="preserve">a efecto de que analizara sobre su admisión o su </w:t>
      </w:r>
      <w:proofErr w:type="spellStart"/>
      <w:r w:rsidRPr="003E521A">
        <w:rPr>
          <w:rFonts w:ascii="Palatino Linotype" w:eastAsia="Palatino Linotype" w:hAnsi="Palatino Linotype" w:cs="Palatino Linotype"/>
        </w:rPr>
        <w:t>desechamiento</w:t>
      </w:r>
      <w:proofErr w:type="spellEnd"/>
      <w:r w:rsidRPr="003E521A">
        <w:rPr>
          <w:rFonts w:ascii="Palatino Linotype" w:eastAsia="Palatino Linotype" w:hAnsi="Palatino Linotype" w:cs="Palatino Linotype"/>
        </w:rPr>
        <w:t>.</w:t>
      </w:r>
    </w:p>
    <w:p w14:paraId="4BEE187A"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5.</w:t>
      </w:r>
      <w:r w:rsidRPr="003E521A">
        <w:rPr>
          <w:rFonts w:ascii="Palatino Linotype" w:eastAsia="Palatino Linotype" w:hAnsi="Palatino Linotype" w:cs="Palatino Linotype"/>
          <w:b/>
          <w:i/>
        </w:rPr>
        <w:t xml:space="preserve"> </w:t>
      </w:r>
      <w:r w:rsidRPr="003E521A">
        <w:rPr>
          <w:rFonts w:ascii="Palatino Linotype" w:eastAsia="Palatino Linotype" w:hAnsi="Palatino Linotype" w:cs="Palatino Linotype"/>
          <w:b/>
        </w:rPr>
        <w:t>Admisión del Recurso de revisión.</w:t>
      </w:r>
      <w:r w:rsidRPr="003E521A">
        <w:rPr>
          <w:rFonts w:ascii="Palatino Linotype" w:eastAsia="Palatino Linotype" w:hAnsi="Palatino Linotype" w:cs="Palatino Linotype"/>
          <w:sz w:val="28"/>
          <w:szCs w:val="28"/>
        </w:rPr>
        <w:t xml:space="preserve"> El</w:t>
      </w:r>
      <w:r w:rsidRPr="003E521A">
        <w:rPr>
          <w:rFonts w:ascii="Palatino Linotype" w:eastAsia="Palatino Linotype" w:hAnsi="Palatino Linotype" w:cs="Palatino Linotype"/>
          <w:b/>
        </w:rPr>
        <w:t xml:space="preserve"> veinticinco de enero de dos mil veintitrés, </w:t>
      </w:r>
      <w:r w:rsidRPr="003E521A">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presentara su informe justificado.</w:t>
      </w:r>
    </w:p>
    <w:p w14:paraId="082DE7CD" w14:textId="77777777" w:rsidR="00355227" w:rsidRPr="003E521A" w:rsidRDefault="001F7EA1">
      <w:pPr>
        <w:widowControl w:val="0"/>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6. Manifestaciones</w:t>
      </w:r>
      <w:r w:rsidRPr="003E521A">
        <w:rPr>
          <w:rFonts w:ascii="Palatino Linotype" w:eastAsia="Palatino Linotype" w:hAnsi="Palatino Linotype" w:cs="Palatino Linotype"/>
        </w:rPr>
        <w:t>.</w:t>
      </w:r>
      <w:r w:rsidRPr="003E521A">
        <w:rPr>
          <w:rFonts w:ascii="Palatino Linotype" w:eastAsia="Palatino Linotype" w:hAnsi="Palatino Linotype" w:cs="Palatino Linotype"/>
          <w:i/>
        </w:rPr>
        <w:t xml:space="preserve"> </w:t>
      </w:r>
      <w:r w:rsidRPr="003E521A">
        <w:rPr>
          <w:rFonts w:ascii="Palatino Linotype" w:eastAsia="Palatino Linotype" w:hAnsi="Palatino Linotype" w:cs="Palatino Linotype"/>
        </w:rPr>
        <w:t>El dos</w:t>
      </w:r>
      <w:r w:rsidRPr="003E521A">
        <w:rPr>
          <w:rFonts w:ascii="Palatino Linotype" w:eastAsia="Palatino Linotype" w:hAnsi="Palatino Linotype" w:cs="Palatino Linotype"/>
          <w:b/>
        </w:rPr>
        <w:t xml:space="preserve"> de febrero de dos mil veintitrés</w:t>
      </w:r>
      <w:r w:rsidRPr="003E521A">
        <w:rPr>
          <w:rFonts w:ascii="Palatino Linotype" w:eastAsia="Palatino Linotype" w:hAnsi="Palatino Linotype" w:cs="Palatino Linotype"/>
        </w:rPr>
        <w:t xml:space="preserve"> el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remitió en informe justificado el archivo electrónico identificado como “</w:t>
      </w:r>
      <w:r w:rsidRPr="003E521A">
        <w:rPr>
          <w:rFonts w:ascii="Palatino Linotype" w:eastAsia="Palatino Linotype" w:hAnsi="Palatino Linotype" w:cs="Palatino Linotype"/>
          <w:b/>
          <w:i/>
        </w:rPr>
        <w:t xml:space="preserve">INFORME JUSTIFICADO - RR </w:t>
      </w:r>
      <w:proofErr w:type="gramStart"/>
      <w:r w:rsidRPr="003E521A">
        <w:rPr>
          <w:rFonts w:ascii="Palatino Linotype" w:eastAsia="Palatino Linotype" w:hAnsi="Palatino Linotype" w:cs="Palatino Linotype"/>
          <w:b/>
          <w:i/>
        </w:rPr>
        <w:t xml:space="preserve">00364.pdf”  </w:t>
      </w:r>
      <w:r w:rsidRPr="003E521A">
        <w:rPr>
          <w:rFonts w:ascii="Palatino Linotype" w:eastAsia="Palatino Linotype" w:hAnsi="Palatino Linotype" w:cs="Palatino Linotype"/>
        </w:rPr>
        <w:t>documental</w:t>
      </w:r>
      <w:proofErr w:type="gramEnd"/>
      <w:r w:rsidRPr="003E521A">
        <w:rPr>
          <w:rFonts w:ascii="Palatino Linotype" w:eastAsia="Palatino Linotype" w:hAnsi="Palatino Linotype" w:cs="Palatino Linotype"/>
        </w:rPr>
        <w:t xml:space="preserve"> en archivo electrónico en el que se incluyen los documentos siguientes: </w:t>
      </w:r>
    </w:p>
    <w:p w14:paraId="64225107" w14:textId="77777777" w:rsidR="00355227" w:rsidRPr="003E521A" w:rsidRDefault="001F7EA1">
      <w:pPr>
        <w:widowControl w:val="0"/>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 Oficio número PM/CUT/068/2023 de fecha 26 de enero de la presente anualidad, suscrito por la Coordinación de </w:t>
      </w:r>
      <w:proofErr w:type="gramStart"/>
      <w:r w:rsidRPr="003E521A">
        <w:rPr>
          <w:rFonts w:ascii="Palatino Linotype" w:eastAsia="Palatino Linotype" w:hAnsi="Palatino Linotype" w:cs="Palatino Linotype"/>
        </w:rPr>
        <w:t>Transparencia  por</w:t>
      </w:r>
      <w:proofErr w:type="gramEnd"/>
      <w:r w:rsidRPr="003E521A">
        <w:rPr>
          <w:rFonts w:ascii="Palatino Linotype" w:eastAsia="Palatino Linotype" w:hAnsi="Palatino Linotype" w:cs="Palatino Linotype"/>
        </w:rPr>
        <w:t xml:space="preserve"> vía del cual  se solicita al Servidor Púbico Habilitado remita sus manifestaciones con motivo  de la admisión del recurso de revisión que ahora se resuelve;</w:t>
      </w:r>
    </w:p>
    <w:p w14:paraId="138B642B" w14:textId="77777777" w:rsidR="00355227" w:rsidRPr="003E521A" w:rsidRDefault="001F7EA1">
      <w:pPr>
        <w:widowControl w:val="0"/>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b) Oficio SA/0205/2022 de fecha 30 de enero de la presente anualidad suscrito por  la </w:t>
      </w:r>
      <w:r w:rsidRPr="003E521A">
        <w:rPr>
          <w:rFonts w:ascii="Palatino Linotype" w:eastAsia="Palatino Linotype" w:hAnsi="Palatino Linotype" w:cs="Palatino Linotype"/>
        </w:rPr>
        <w:lastRenderedPageBreak/>
        <w:t xml:space="preserve">Secretaría del Ayuntamiento se hace del conocimiento que se realizó una búsqueda  en los libros de Actas del Ayuntamiento, así como en los apéndices que se encuentran bajo resguardo de la Coordinación de Archivo Municipal el: ”ACTA DE LA CENTÉSIMA SEPTUAGÉSIMA SESIÓN DEL AYUNTAMIENTO, DE TIPO PUBLICA,  DE CARÁCTER EXTRAORDINARIA DEL 18 DE DICIEMBRE DE 2018, así como de los documentos del apéndice”,  que una vez localizada dicha acta  y Documentos del Apéndice en virtud de que la solicitud fue requerida por la modalidad de “Copias Certificadas” se indicó el costo que tendría la documentación solicitada; asimismo, el peticionario tuvo a bien realizar el pago de las mismas, y recibió en fecha 20 de enero del año en curso ambos documentos en copias certificada, tal y como se aprecia en las imágenes siguientes: </w:t>
      </w:r>
    </w:p>
    <w:p w14:paraId="658E8B4D" w14:textId="77777777" w:rsidR="00355227" w:rsidRPr="003E521A" w:rsidRDefault="001F7EA1">
      <w:pPr>
        <w:widowControl w:val="0"/>
        <w:spacing w:before="240" w:after="240" w:line="360" w:lineRule="auto"/>
        <w:jc w:val="center"/>
        <w:rPr>
          <w:rFonts w:ascii="Palatino Linotype" w:eastAsia="Palatino Linotype" w:hAnsi="Palatino Linotype" w:cs="Palatino Linotype"/>
          <w:b/>
          <w:i/>
        </w:rPr>
      </w:pPr>
      <w:r w:rsidRPr="003E521A">
        <w:rPr>
          <w:noProof/>
          <w:lang w:val="es-MX"/>
        </w:rPr>
        <w:drawing>
          <wp:inline distT="0" distB="0" distL="0" distR="0" wp14:anchorId="799E1754" wp14:editId="40F1FAC9">
            <wp:extent cx="4658474" cy="3236718"/>
            <wp:effectExtent l="0" t="0" r="0" b="0"/>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47604" t="44341" r="33405" b="12572"/>
                    <a:stretch>
                      <a:fillRect/>
                    </a:stretch>
                  </pic:blipFill>
                  <pic:spPr>
                    <a:xfrm>
                      <a:off x="0" y="0"/>
                      <a:ext cx="4658474" cy="3236718"/>
                    </a:xfrm>
                    <a:prstGeom prst="rect">
                      <a:avLst/>
                    </a:prstGeom>
                    <a:ln/>
                  </pic:spPr>
                </pic:pic>
              </a:graphicData>
            </a:graphic>
          </wp:inline>
        </w:drawing>
      </w:r>
    </w:p>
    <w:p w14:paraId="28830654" w14:textId="77777777" w:rsidR="00355227" w:rsidRPr="003E521A" w:rsidRDefault="001F7EA1">
      <w:pPr>
        <w:widowControl w:val="0"/>
        <w:spacing w:before="240" w:after="240" w:line="360" w:lineRule="auto"/>
        <w:jc w:val="center"/>
        <w:rPr>
          <w:rFonts w:ascii="Palatino Linotype" w:eastAsia="Palatino Linotype" w:hAnsi="Palatino Linotype" w:cs="Palatino Linotype"/>
        </w:rPr>
      </w:pPr>
      <w:r w:rsidRPr="003E521A">
        <w:rPr>
          <w:noProof/>
          <w:lang w:val="es-MX"/>
        </w:rPr>
        <w:lastRenderedPageBreak/>
        <w:drawing>
          <wp:inline distT="0" distB="0" distL="0" distR="0" wp14:anchorId="1E2EC1DF" wp14:editId="02D03B1E">
            <wp:extent cx="4358704" cy="3641398"/>
            <wp:effectExtent l="0" t="0" r="0" b="0"/>
            <wp:docPr id="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48178" t="60203" r="33824" b="4981"/>
                    <a:stretch>
                      <a:fillRect/>
                    </a:stretch>
                  </pic:blipFill>
                  <pic:spPr>
                    <a:xfrm>
                      <a:off x="0" y="0"/>
                      <a:ext cx="4358704" cy="3641398"/>
                    </a:xfrm>
                    <a:prstGeom prst="rect">
                      <a:avLst/>
                    </a:prstGeom>
                    <a:ln/>
                  </pic:spPr>
                </pic:pic>
              </a:graphicData>
            </a:graphic>
          </wp:inline>
        </w:drawing>
      </w:r>
    </w:p>
    <w:p w14:paraId="459699EF" w14:textId="77777777" w:rsidR="00355227" w:rsidRPr="003E521A" w:rsidRDefault="001F7EA1">
      <w:pPr>
        <w:widowControl w:val="0"/>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lo tocante a la parte recurrente, en esta etapa procesal se advierte que no emitió </w:t>
      </w:r>
      <w:proofErr w:type="gramStart"/>
      <w:r w:rsidRPr="003E521A">
        <w:rPr>
          <w:rFonts w:ascii="Palatino Linotype" w:eastAsia="Palatino Linotype" w:hAnsi="Palatino Linotype" w:cs="Palatino Linotype"/>
        </w:rPr>
        <w:t>pronunciamiento  alguno</w:t>
      </w:r>
      <w:proofErr w:type="gramEnd"/>
      <w:r w:rsidRPr="003E521A">
        <w:rPr>
          <w:rFonts w:ascii="Palatino Linotype" w:eastAsia="Palatino Linotype" w:hAnsi="Palatino Linotype" w:cs="Palatino Linotype"/>
        </w:rPr>
        <w:t xml:space="preserve"> tendiente a contravenir  la información que le fue puesta  la vista por parte de este Organismo Garate. </w:t>
      </w:r>
    </w:p>
    <w:p w14:paraId="3D9C425C" w14:textId="77777777" w:rsidR="00355227" w:rsidRPr="003E521A" w:rsidRDefault="001F7EA1">
      <w:pPr>
        <w:widowControl w:val="0"/>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7.</w:t>
      </w:r>
      <w:r w:rsidRPr="003E521A">
        <w:rPr>
          <w:rFonts w:ascii="Palatino Linotype" w:eastAsia="Palatino Linotype" w:hAnsi="Palatino Linotype" w:cs="Palatino Linotype"/>
        </w:rPr>
        <w:t xml:space="preserve"> </w:t>
      </w:r>
      <w:r w:rsidRPr="003E521A">
        <w:rPr>
          <w:rFonts w:ascii="Palatino Linotype" w:eastAsia="Palatino Linotype" w:hAnsi="Palatino Linotype" w:cs="Palatino Linotype"/>
          <w:b/>
        </w:rPr>
        <w:t xml:space="preserve">Ampliación del plazo para emitir resolución. </w:t>
      </w:r>
      <w:r w:rsidRPr="003E521A">
        <w:rPr>
          <w:rFonts w:ascii="Palatino Linotype" w:eastAsia="Palatino Linotype" w:hAnsi="Palatino Linotype" w:cs="Palatino Linotype"/>
        </w:rPr>
        <w:t xml:space="preserve">El </w:t>
      </w:r>
      <w:r w:rsidRPr="003E521A">
        <w:rPr>
          <w:rFonts w:ascii="Palatino Linotype" w:eastAsia="Palatino Linotype" w:hAnsi="Palatino Linotype" w:cs="Palatino Linotype"/>
          <w:b/>
        </w:rPr>
        <w:t>veinticinco de septiembre de dos mil veintitrés</w:t>
      </w:r>
      <w:r w:rsidRPr="003E521A">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2EAAA9C6"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w:t>
      </w:r>
      <w:r w:rsidRPr="003E521A">
        <w:rPr>
          <w:rFonts w:ascii="Palatino Linotype" w:eastAsia="Palatino Linotype" w:hAnsi="Palatino Linotype" w:cs="Palatino Linotype"/>
        </w:rPr>
        <w:lastRenderedPageBreak/>
        <w:t>con los recibidos el año dos mil veintiuno, se incrementó aproximadamente un 300%, circunstancia atípica que ha rebasado las capacidades técnicas y humanas del personal encargado de la proyección de las resoluciones a dichos medios de impugnación.</w:t>
      </w:r>
    </w:p>
    <w:p w14:paraId="643FEF6A"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3D09139"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35FF7C5"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B12605" w14:textId="77777777" w:rsidR="00355227" w:rsidRPr="003E521A" w:rsidRDefault="001F7EA1">
      <w:pPr>
        <w:spacing w:before="240" w:after="240" w:line="360" w:lineRule="auto"/>
        <w:jc w:val="both"/>
        <w:rPr>
          <w:rFonts w:ascii="Palatino Linotype" w:eastAsia="Palatino Linotype" w:hAnsi="Palatino Linotype" w:cs="Palatino Linotype"/>
          <w:strike/>
        </w:rPr>
      </w:pPr>
      <w:r w:rsidRPr="003E521A">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E0C658E" w14:textId="77777777" w:rsidR="00355227" w:rsidRPr="003E521A" w:rsidRDefault="001F7EA1">
      <w:pPr>
        <w:numPr>
          <w:ilvl w:val="0"/>
          <w:numId w:val="5"/>
        </w:num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3CA0ED53" w14:textId="77777777" w:rsidR="00355227" w:rsidRPr="003E521A" w:rsidRDefault="001F7EA1">
      <w:pPr>
        <w:numPr>
          <w:ilvl w:val="0"/>
          <w:numId w:val="5"/>
        </w:num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Actividad Procesal del interesado. Acciones u omisiones del interesado.</w:t>
      </w:r>
    </w:p>
    <w:p w14:paraId="04BD62FF" w14:textId="77777777" w:rsidR="00355227" w:rsidRPr="003E521A" w:rsidRDefault="001F7EA1">
      <w:pPr>
        <w:numPr>
          <w:ilvl w:val="0"/>
          <w:numId w:val="5"/>
        </w:num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Conducta de la Autoridad: Las Acciones u omisiones realizadas en el procedimiento. Así como si la autoridad actuó con la debida diligencia.</w:t>
      </w:r>
    </w:p>
    <w:p w14:paraId="708B7BF1" w14:textId="77777777" w:rsidR="00355227" w:rsidRPr="003E521A" w:rsidRDefault="001F7EA1">
      <w:pPr>
        <w:spacing w:before="240" w:after="240" w:line="360" w:lineRule="auto"/>
        <w:ind w:left="567"/>
        <w:jc w:val="both"/>
        <w:rPr>
          <w:rFonts w:ascii="Palatino Linotype" w:eastAsia="Palatino Linotype" w:hAnsi="Palatino Linotype" w:cs="Palatino Linotype"/>
        </w:rPr>
      </w:pPr>
      <w:r w:rsidRPr="003E521A">
        <w:rPr>
          <w:rFonts w:ascii="Palatino Linotype" w:eastAsia="Palatino Linotype" w:hAnsi="Palatino Linotype" w:cs="Palatino Linotype"/>
        </w:rPr>
        <w:t>d) La afectación generada en la situación jurídica de la persona involucrada en el proceso: Violación a sus derechos humanos.</w:t>
      </w:r>
    </w:p>
    <w:p w14:paraId="321ECC4E"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2909AA2" w14:textId="77777777" w:rsidR="00355227" w:rsidRPr="003E521A" w:rsidRDefault="001F7EA1">
      <w:pPr>
        <w:spacing w:before="240" w:after="240" w:line="360" w:lineRule="auto"/>
        <w:jc w:val="both"/>
        <w:rPr>
          <w:rFonts w:ascii="Palatino Linotype" w:eastAsia="Palatino Linotype" w:hAnsi="Palatino Linotype" w:cs="Palatino Linotype"/>
          <w:b/>
        </w:rPr>
      </w:pPr>
      <w:r w:rsidRPr="003E521A">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E521A">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E521A">
        <w:rPr>
          <w:rFonts w:ascii="Palatino Linotype" w:eastAsia="Palatino Linotype" w:hAnsi="Palatino Linotype" w:cs="Palatino Linotype"/>
        </w:rPr>
        <w:t>, visible en la Gaceta del Seminario Judicial de la Federación con el registro digital 205635.</w:t>
      </w:r>
    </w:p>
    <w:p w14:paraId="608931EF"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A4D8C0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C026340"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 </w:t>
      </w:r>
      <w:r w:rsidRPr="003E521A">
        <w:rPr>
          <w:rFonts w:ascii="Palatino Linotype" w:eastAsia="Palatino Linotype" w:hAnsi="Palatino Linotype" w:cs="Palatino Linotype"/>
          <w:i/>
        </w:rPr>
        <w:t>“PLAZO RAZONABLE PARA RESOLVER. DIMENSIÓN Y EFECTOS DE ESTE CONCEPTO CUANDO SE ADUCE EXCESIVA CARGA DE TRABAJO.”</w:t>
      </w:r>
      <w:r w:rsidRPr="003E521A">
        <w:rPr>
          <w:rFonts w:ascii="Palatino Linotype" w:eastAsia="Palatino Linotype" w:hAnsi="Palatino Linotype" w:cs="Palatino Linotype"/>
        </w:rPr>
        <w:t xml:space="preserve"> consultable en el Seminario Judicial de la Federación y su gaceta, con el registro digital 2002351.</w:t>
      </w:r>
    </w:p>
    <w:p w14:paraId="62A6859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i/>
        </w:rPr>
        <w:t>“PLAZO RAZONABLE PARA RESOLVER. CONCEPTO Y ELEMENTOS QUE LO INTEGRAN A LA LUZ DEL DERECHO INTERNACIONAL DE LOS DERECHOS HUMANOS.”</w:t>
      </w:r>
      <w:r w:rsidRPr="003E521A">
        <w:rPr>
          <w:rFonts w:ascii="Palatino Linotype" w:eastAsia="Palatino Linotype" w:hAnsi="Palatino Linotype" w:cs="Palatino Linotype"/>
        </w:rPr>
        <w:t>, visible en el Seminario Judicial de la Federación y su gaceta, con el registro digital 2002350.</w:t>
      </w:r>
    </w:p>
    <w:p w14:paraId="29609913"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79DD3ADA"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 xml:space="preserve">8. Cierre de instrucción. </w:t>
      </w:r>
      <w:r w:rsidRPr="003E521A">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3E521A">
        <w:rPr>
          <w:rFonts w:ascii="Palatino Linotype" w:eastAsia="Palatino Linotype" w:hAnsi="Palatino Linotype" w:cs="Palatino Linotype"/>
          <w:b/>
        </w:rPr>
        <w:t>tres de octubre de dos mil veintitrés</w:t>
      </w:r>
      <w:r w:rsidRPr="003E521A">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727ABF1" w14:textId="77777777" w:rsidR="00355227" w:rsidRPr="003E521A" w:rsidRDefault="001F7EA1">
      <w:pPr>
        <w:widowControl w:val="0"/>
        <w:spacing w:before="240" w:after="240" w:line="360" w:lineRule="auto"/>
        <w:jc w:val="both"/>
        <w:rPr>
          <w:rFonts w:ascii="Palatino Linotype" w:eastAsia="Palatino Linotype" w:hAnsi="Palatino Linotype" w:cs="Palatino Linotype"/>
          <w:b/>
        </w:rPr>
      </w:pPr>
      <w:r w:rsidRPr="003E521A">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3E521A">
        <w:rPr>
          <w:rFonts w:ascii="Palatino Linotype" w:eastAsia="Palatino Linotype" w:hAnsi="Palatino Linotype" w:cs="Palatino Linotype"/>
          <w:b/>
        </w:rPr>
        <w:t xml:space="preserve"> </w:t>
      </w:r>
    </w:p>
    <w:p w14:paraId="07FC0203" w14:textId="77777777" w:rsidR="00355227" w:rsidRPr="003E521A" w:rsidRDefault="001F7EA1">
      <w:pPr>
        <w:widowControl w:val="0"/>
        <w:spacing w:before="240" w:after="240" w:line="360" w:lineRule="auto"/>
        <w:jc w:val="center"/>
        <w:rPr>
          <w:rFonts w:ascii="Palatino Linotype" w:eastAsia="Palatino Linotype" w:hAnsi="Palatino Linotype" w:cs="Palatino Linotype"/>
          <w:b/>
        </w:rPr>
      </w:pPr>
      <w:r w:rsidRPr="003E521A">
        <w:rPr>
          <w:rFonts w:ascii="Palatino Linotype" w:eastAsia="Palatino Linotype" w:hAnsi="Palatino Linotype" w:cs="Palatino Linotype"/>
          <w:b/>
        </w:rPr>
        <w:t>II. C O N S I D E R A N D O S</w:t>
      </w:r>
    </w:p>
    <w:p w14:paraId="69E5EF2D"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Primero. Competencia.</w:t>
      </w:r>
      <w:r w:rsidRPr="003E521A">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w:t>
      </w:r>
      <w:r w:rsidRPr="003E521A">
        <w:rPr>
          <w:rFonts w:ascii="Palatino Linotype" w:eastAsia="Palatino Linotype" w:hAnsi="Palatino Linotype" w:cs="Palatino Linotype"/>
        </w:rPr>
        <w:lastRenderedPageBreak/>
        <w:t>del Reglamento Interior del Instituto de Transparencia, Acceso a la Información Pública y Protección de Datos Personales del Estado de México y Municipios.</w:t>
      </w:r>
    </w:p>
    <w:p w14:paraId="35157321" w14:textId="77777777" w:rsidR="00355227" w:rsidRPr="003E521A" w:rsidRDefault="001F7EA1">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3E521A">
        <w:rPr>
          <w:rFonts w:ascii="Palatino Linotype" w:eastAsia="Palatino Linotype" w:hAnsi="Palatino Linotype" w:cs="Palatino Linotype"/>
          <w:b/>
        </w:rPr>
        <w:t>Segundo. Oportunidad y Procedibilidad del Recurso de Revisión</w:t>
      </w:r>
      <w:r w:rsidRPr="003E521A">
        <w:rPr>
          <w:rFonts w:ascii="Palatino Linotype" w:eastAsia="Palatino Linotype" w:hAnsi="Palatino Linotype" w:cs="Palatino Linotype"/>
        </w:rPr>
        <w:t>. 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2EE9467" w14:textId="77777777" w:rsidR="00355227" w:rsidRPr="003E521A" w:rsidRDefault="001F7EA1">
      <w:pPr>
        <w:spacing w:before="240" w:after="240"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respondió a la solicitud de información el </w:t>
      </w:r>
      <w:r w:rsidRPr="003E521A">
        <w:rPr>
          <w:rFonts w:ascii="Palatino Linotype" w:eastAsia="Palatino Linotype" w:hAnsi="Palatino Linotype" w:cs="Palatino Linotype"/>
          <w:b/>
        </w:rPr>
        <w:t xml:space="preserve">doce de enero de dos mil veintitrés, </w:t>
      </w:r>
      <w:r w:rsidRPr="003E521A">
        <w:rPr>
          <w:rFonts w:ascii="Palatino Linotype" w:eastAsia="Palatino Linotype" w:hAnsi="Palatino Linotype" w:cs="Palatino Linotype"/>
        </w:rPr>
        <w:t xml:space="preserve">mientras que el recurso de revisión se interpuso el </w:t>
      </w:r>
      <w:r w:rsidRPr="003E521A">
        <w:rPr>
          <w:rFonts w:ascii="Palatino Linotype" w:eastAsia="Palatino Linotype" w:hAnsi="Palatino Linotype" w:cs="Palatino Linotype"/>
          <w:b/>
        </w:rPr>
        <w:t>veinte de enero de la misma anualidad</w:t>
      </w:r>
      <w:r w:rsidRPr="003E521A">
        <w:rPr>
          <w:rFonts w:ascii="Palatino Linotype" w:eastAsia="Palatino Linotype" w:hAnsi="Palatino Linotype" w:cs="Palatino Linotype"/>
        </w:rPr>
        <w:t>, esto es, sexto día hábil posterior en que tuvo conocimiento de la respuesta impugnada.</w:t>
      </w:r>
    </w:p>
    <w:p w14:paraId="65BFFDF8"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este sentido, al considerar la fecha en que se formuló la solicitud y la fecha en que respondió a esta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117F0909" w14:textId="77777777" w:rsidR="00355227" w:rsidRPr="003E521A" w:rsidRDefault="001F7EA1">
      <w:pPr>
        <w:spacing w:before="240" w:after="240" w:line="360" w:lineRule="auto"/>
        <w:jc w:val="both"/>
        <w:rPr>
          <w:rFonts w:ascii="Palatino Linotype" w:eastAsia="Palatino Linotype" w:hAnsi="Palatino Linotype" w:cs="Palatino Linotype"/>
          <w:b/>
        </w:rPr>
      </w:pPr>
      <w:r w:rsidRPr="003E521A">
        <w:rPr>
          <w:rFonts w:ascii="Palatino Linotype" w:eastAsia="Palatino Linotype" w:hAnsi="Palatino Linotype" w:cs="Palatino Linotype"/>
        </w:rPr>
        <w:lastRenderedPageBreak/>
        <w:t>Asimismo, se acreditan los elementos formales exigidos por el artículo 180 de la Ley de Transparencia y Acceso a la Información Pública del Estado de México y Municipios, en atención a que fueron presentados mediante el formato visible en el</w:t>
      </w:r>
      <w:r w:rsidRPr="003E521A">
        <w:rPr>
          <w:rFonts w:ascii="Palatino Linotype" w:eastAsia="Palatino Linotype" w:hAnsi="Palatino Linotype" w:cs="Palatino Linotype"/>
          <w:b/>
        </w:rPr>
        <w:t xml:space="preserve"> SAIMEX. </w:t>
      </w:r>
    </w:p>
    <w:p w14:paraId="518A4E00"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Finalmente, se advierte que resulta procedente la interposición del recurso, según lo manifestado por el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en sus motivos de inconformidad, de acuerdo al artículo 179, fracciones I y III del ordenamiento legal citado, que a la letra dice: </w:t>
      </w:r>
    </w:p>
    <w:p w14:paraId="41DF2486" w14:textId="77777777" w:rsidR="00355227" w:rsidRPr="003E521A" w:rsidRDefault="001F7EA1">
      <w:pPr>
        <w:tabs>
          <w:tab w:val="left" w:pos="7088"/>
        </w:tabs>
        <w:spacing w:before="120" w:after="120"/>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179.</w:t>
      </w:r>
      <w:r w:rsidRPr="003E521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89104F" w14:textId="77777777" w:rsidR="00355227" w:rsidRPr="003E521A" w:rsidRDefault="001F7EA1">
      <w:pPr>
        <w:tabs>
          <w:tab w:val="left" w:pos="7088"/>
        </w:tabs>
        <w:spacing w:before="120" w:after="120"/>
        <w:ind w:left="993"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I. </w:t>
      </w:r>
      <w:r w:rsidRPr="003E521A">
        <w:rPr>
          <w:rFonts w:ascii="Palatino Linotype" w:eastAsia="Palatino Linotype" w:hAnsi="Palatino Linotype" w:cs="Palatino Linotype"/>
          <w:i/>
          <w:sz w:val="22"/>
          <w:szCs w:val="22"/>
        </w:rPr>
        <w:t>La negativa a la información solicitada;</w:t>
      </w:r>
    </w:p>
    <w:p w14:paraId="2D436232" w14:textId="77777777" w:rsidR="00355227" w:rsidRPr="003E521A" w:rsidRDefault="001F7EA1">
      <w:pPr>
        <w:tabs>
          <w:tab w:val="left" w:pos="7088"/>
        </w:tabs>
        <w:spacing w:before="120" w:after="120"/>
        <w:ind w:left="993" w:right="616"/>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b/>
          <w:i/>
          <w:sz w:val="22"/>
          <w:szCs w:val="22"/>
        </w:rPr>
        <w:t>…</w:t>
      </w:r>
    </w:p>
    <w:p w14:paraId="0D1AD42F" w14:textId="77777777" w:rsidR="00355227" w:rsidRPr="003E521A" w:rsidRDefault="001F7EA1">
      <w:pPr>
        <w:tabs>
          <w:tab w:val="left" w:pos="7088"/>
        </w:tabs>
        <w:spacing w:before="120" w:after="120"/>
        <w:ind w:left="993"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III. </w:t>
      </w:r>
      <w:r w:rsidRPr="003E521A">
        <w:rPr>
          <w:rFonts w:ascii="Palatino Linotype" w:eastAsia="Palatino Linotype" w:hAnsi="Palatino Linotype" w:cs="Palatino Linotype"/>
          <w:i/>
          <w:sz w:val="22"/>
          <w:szCs w:val="22"/>
        </w:rPr>
        <w:t>La declaración de inexistencia de la información;</w:t>
      </w:r>
    </w:p>
    <w:p w14:paraId="594AD581" w14:textId="77777777" w:rsidR="00355227" w:rsidRPr="003E521A" w:rsidRDefault="001F7EA1">
      <w:pPr>
        <w:tabs>
          <w:tab w:val="left" w:pos="7088"/>
        </w:tabs>
        <w:spacing w:before="120" w:after="120"/>
        <w:ind w:left="993"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w:t>
      </w:r>
      <w:r w:rsidRPr="003E521A">
        <w:rPr>
          <w:rFonts w:ascii="Palatino Linotype" w:eastAsia="Palatino Linotype" w:hAnsi="Palatino Linotype" w:cs="Palatino Linotype"/>
          <w:i/>
          <w:sz w:val="22"/>
          <w:szCs w:val="22"/>
        </w:rPr>
        <w:t>”</w:t>
      </w:r>
    </w:p>
    <w:p w14:paraId="26EDAC2D"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 xml:space="preserve">Tercero. Materia de la revisión. </w:t>
      </w:r>
      <w:r w:rsidRPr="003E521A">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3E521A">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E521A">
        <w:rPr>
          <w:rFonts w:ascii="Palatino Linotype" w:eastAsia="Palatino Linotype" w:hAnsi="Palatino Linotype" w:cs="Palatino Linotype"/>
        </w:rPr>
        <w:t xml:space="preserve">del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o en su defecto, en caso de ser procedente, ordenar la entrega de información.</w:t>
      </w:r>
    </w:p>
    <w:p w14:paraId="06F30CE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 xml:space="preserve">Cuarto. Estudio del asunto. </w:t>
      </w:r>
      <w:r w:rsidRPr="003E521A">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sidRPr="003E521A">
        <w:rPr>
          <w:rFonts w:ascii="Palatino Linotype" w:eastAsia="Palatino Linotype" w:hAnsi="Palatino Linotype" w:cs="Palatino Linotype"/>
        </w:rPr>
        <w:lastRenderedPageBreak/>
        <w:t>párrafos primero, segundo y tercero y 6 apartado A fracciones I, II, III, IV, V, VI y VII que a la letra señalan:</w:t>
      </w:r>
    </w:p>
    <w:p w14:paraId="354373A8" w14:textId="77777777" w:rsidR="00355227" w:rsidRPr="003E521A" w:rsidRDefault="001F7EA1">
      <w:pPr>
        <w:tabs>
          <w:tab w:val="left" w:pos="709"/>
        </w:tabs>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E521A">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7B8B72A" w14:textId="77777777" w:rsidR="00355227" w:rsidRPr="003E521A" w:rsidRDefault="001F7EA1">
      <w:pPr>
        <w:tabs>
          <w:tab w:val="left" w:pos="709"/>
        </w:tabs>
        <w:ind w:left="851" w:right="616"/>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457BCE0" w14:textId="77777777" w:rsidR="00355227" w:rsidRPr="003E521A" w:rsidRDefault="001F7EA1">
      <w:pPr>
        <w:tabs>
          <w:tab w:val="left" w:pos="709"/>
        </w:tabs>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E521A">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4F57F2B" w14:textId="77777777" w:rsidR="00355227" w:rsidRPr="003E521A" w:rsidRDefault="001F7EA1">
      <w:pPr>
        <w:tabs>
          <w:tab w:val="left" w:pos="709"/>
        </w:tabs>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491C6B63"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“Artículo 6o.</w:t>
      </w:r>
    </w:p>
    <w:p w14:paraId="62509BD7"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49777001"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A. Para el ejercicio del derecho de acceso a la información, la Federación y </w:t>
      </w:r>
      <w:r w:rsidRPr="003E521A">
        <w:rPr>
          <w:rFonts w:ascii="Palatino Linotype" w:eastAsia="Palatino Linotype" w:hAnsi="Palatino Linotype" w:cs="Palatino Linotype"/>
          <w:b/>
          <w:i/>
          <w:sz w:val="22"/>
          <w:szCs w:val="22"/>
          <w:u w:val="single"/>
        </w:rPr>
        <w:t>las entidades federativas</w:t>
      </w:r>
      <w:r w:rsidRPr="003E521A">
        <w:rPr>
          <w:rFonts w:ascii="Palatino Linotype" w:eastAsia="Palatino Linotype" w:hAnsi="Palatino Linotype" w:cs="Palatino Linotype"/>
          <w:b/>
          <w:i/>
          <w:sz w:val="22"/>
          <w:szCs w:val="22"/>
        </w:rPr>
        <w:t>,</w:t>
      </w:r>
      <w:r w:rsidRPr="003E521A">
        <w:rPr>
          <w:rFonts w:ascii="Palatino Linotype" w:eastAsia="Palatino Linotype" w:hAnsi="Palatino Linotype" w:cs="Palatino Linotype"/>
          <w:i/>
          <w:sz w:val="22"/>
          <w:szCs w:val="22"/>
        </w:rPr>
        <w:t xml:space="preserve"> en el ámbito de sus respectivas competencias, se regirán por los siguientes principios y bases:</w:t>
      </w:r>
    </w:p>
    <w:p w14:paraId="0610BB98"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4AF978E8"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I. </w:t>
      </w:r>
      <w:r w:rsidRPr="003E521A">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E521A">
        <w:rPr>
          <w:rFonts w:ascii="Palatino Linotype" w:eastAsia="Palatino Linotype" w:hAnsi="Palatino Linotype" w:cs="Palatino Linotype"/>
          <w:i/>
          <w:sz w:val="22"/>
          <w:szCs w:val="22"/>
        </w:rPr>
        <w:t xml:space="preserve"> Ejecutivo, Legislativo </w:t>
      </w:r>
      <w:r w:rsidRPr="003E521A">
        <w:rPr>
          <w:rFonts w:ascii="Palatino Linotype" w:eastAsia="Palatino Linotype" w:hAnsi="Palatino Linotype" w:cs="Palatino Linotype"/>
          <w:b/>
          <w:i/>
          <w:sz w:val="22"/>
          <w:szCs w:val="22"/>
          <w:u w:val="single"/>
        </w:rPr>
        <w:t>y Judicial</w:t>
      </w:r>
      <w:r w:rsidRPr="003E521A">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E521A">
        <w:rPr>
          <w:rFonts w:ascii="Palatino Linotype" w:eastAsia="Palatino Linotype" w:hAnsi="Palatino Linotype" w:cs="Palatino Linotype"/>
          <w:b/>
          <w:i/>
          <w:sz w:val="22"/>
          <w:szCs w:val="22"/>
        </w:rPr>
        <w:t>es pública y sólo podrá ser reservada temporalmente por razones de interés público y seguridad nacional,</w:t>
      </w:r>
      <w:r w:rsidRPr="003E521A">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A02915"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1E54EB70" w14:textId="77777777" w:rsidR="00355227" w:rsidRPr="003E521A" w:rsidRDefault="001F7EA1">
      <w:pPr>
        <w:ind w:left="851" w:right="616"/>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b/>
          <w:i/>
          <w:sz w:val="22"/>
          <w:szCs w:val="22"/>
        </w:rPr>
        <w:lastRenderedPageBreak/>
        <w:t>II. La información que se refiere a la vida privada y los datos personales será protegida en los términos y con las excepciones que fijen las leyes.</w:t>
      </w:r>
    </w:p>
    <w:p w14:paraId="3AD8F53D"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3044FEED"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III. </w:t>
      </w:r>
      <w:r w:rsidRPr="003E521A">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E521A">
        <w:rPr>
          <w:rFonts w:ascii="Palatino Linotype" w:eastAsia="Palatino Linotype" w:hAnsi="Palatino Linotype" w:cs="Palatino Linotype"/>
          <w:i/>
          <w:sz w:val="22"/>
          <w:szCs w:val="22"/>
        </w:rPr>
        <w:t xml:space="preserve"> a sus datos personales o a la rectificación de éstos.</w:t>
      </w:r>
    </w:p>
    <w:p w14:paraId="61F494CD"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7EFD59FB"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IV. </w:t>
      </w:r>
      <w:r w:rsidRPr="003E521A">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871E665" w14:textId="77777777" w:rsidR="00355227" w:rsidRPr="003E521A" w:rsidRDefault="00355227">
      <w:pPr>
        <w:ind w:left="851" w:right="616"/>
        <w:jc w:val="both"/>
        <w:rPr>
          <w:rFonts w:ascii="Palatino Linotype" w:eastAsia="Palatino Linotype" w:hAnsi="Palatino Linotype" w:cs="Palatino Linotype"/>
          <w:i/>
          <w:sz w:val="22"/>
          <w:szCs w:val="22"/>
        </w:rPr>
      </w:pPr>
    </w:p>
    <w:p w14:paraId="24A0A668"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V. </w:t>
      </w:r>
      <w:r w:rsidRPr="003E521A">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21CA4F8"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5FF198FB"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VI. </w:t>
      </w:r>
      <w:r w:rsidRPr="003E521A">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286BBAF"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w:t>
      </w:r>
    </w:p>
    <w:p w14:paraId="15DB1500"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VII. </w:t>
      </w:r>
      <w:r w:rsidRPr="003E521A">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10C14E1C" w14:textId="77777777" w:rsidR="00355227" w:rsidRPr="003E521A" w:rsidRDefault="00355227">
      <w:pPr>
        <w:ind w:right="616"/>
        <w:jc w:val="both"/>
        <w:rPr>
          <w:rFonts w:ascii="Palatino Linotype" w:eastAsia="Palatino Linotype" w:hAnsi="Palatino Linotype" w:cs="Palatino Linotype"/>
          <w:i/>
          <w:sz w:val="22"/>
          <w:szCs w:val="22"/>
        </w:rPr>
      </w:pPr>
    </w:p>
    <w:p w14:paraId="62DE48FC" w14:textId="77777777" w:rsidR="00355227" w:rsidRPr="003E521A" w:rsidRDefault="001F7EA1">
      <w:pPr>
        <w:tabs>
          <w:tab w:val="left" w:pos="709"/>
        </w:tabs>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4A2C9F6" w14:textId="77777777" w:rsidR="00355227" w:rsidRPr="003E521A" w:rsidRDefault="001F7EA1">
      <w:pPr>
        <w:spacing w:before="12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 xml:space="preserve">En primer lugar, es conveniente analizar si la respuesta del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2A90BF" w14:textId="77777777" w:rsidR="00355227" w:rsidRPr="003E521A" w:rsidRDefault="001F7EA1">
      <w:pPr>
        <w:spacing w:before="240"/>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4.</w:t>
      </w:r>
      <w:r w:rsidRPr="003E521A">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FFFD9F0"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E521A">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588B0E"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20DB5AC6" w14:textId="77777777" w:rsidR="00355227" w:rsidRPr="003E521A" w:rsidRDefault="00355227">
      <w:pPr>
        <w:ind w:left="851" w:right="760"/>
        <w:jc w:val="both"/>
        <w:rPr>
          <w:rFonts w:ascii="Palatino Linotype" w:eastAsia="Palatino Linotype" w:hAnsi="Palatino Linotype" w:cs="Palatino Linotype"/>
          <w:i/>
        </w:rPr>
      </w:pPr>
    </w:p>
    <w:p w14:paraId="1A362AB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w:t>
      </w:r>
      <w:r w:rsidRPr="003E521A">
        <w:rPr>
          <w:rFonts w:ascii="Palatino Linotype" w:eastAsia="Palatino Linotype" w:hAnsi="Palatino Linotype" w:cs="Palatino Linotype"/>
        </w:rPr>
        <w:lastRenderedPageBreak/>
        <w:t>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B1228BE"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12.-</w:t>
      </w:r>
      <w:r w:rsidRPr="003E521A">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2B1CE92"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E521A">
        <w:rPr>
          <w:rFonts w:ascii="Palatino Linotype" w:eastAsia="Palatino Linotype" w:hAnsi="Palatino Linotype" w:cs="Palatino Linotype"/>
          <w:i/>
          <w:sz w:val="22"/>
          <w:szCs w:val="22"/>
        </w:rPr>
        <w:t xml:space="preserve">. </w:t>
      </w:r>
      <w:r w:rsidRPr="003E521A">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2A4EB72B" w14:textId="77777777" w:rsidR="00355227" w:rsidRPr="003E521A" w:rsidRDefault="00355227">
      <w:pPr>
        <w:spacing w:line="360" w:lineRule="auto"/>
        <w:ind w:right="-93"/>
        <w:jc w:val="both"/>
        <w:rPr>
          <w:rFonts w:ascii="Palatino Linotype" w:eastAsia="Palatino Linotype" w:hAnsi="Palatino Linotype" w:cs="Palatino Linotype"/>
        </w:rPr>
      </w:pPr>
    </w:p>
    <w:p w14:paraId="28D5B77A"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29EC8868" w14:textId="77777777" w:rsidR="00355227" w:rsidRPr="003E521A" w:rsidRDefault="00355227">
      <w:pPr>
        <w:spacing w:line="360" w:lineRule="auto"/>
        <w:jc w:val="both"/>
        <w:rPr>
          <w:rFonts w:ascii="Palatino Linotype" w:eastAsia="Palatino Linotype" w:hAnsi="Palatino Linotype" w:cs="Palatino Linotype"/>
        </w:rPr>
      </w:pPr>
    </w:p>
    <w:p w14:paraId="7239C363" w14:textId="77777777" w:rsidR="00355227" w:rsidRPr="003E521A" w:rsidRDefault="001F7EA1">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w:t>
      </w:r>
      <w:r w:rsidRPr="003E521A">
        <w:rPr>
          <w:rFonts w:ascii="Palatino Linotype" w:eastAsia="Palatino Linotype" w:hAnsi="Palatino Linotype" w:cs="Palatino Linotype"/>
        </w:rPr>
        <w:lastRenderedPageBreak/>
        <w:t>en la Ley de Transparencia y Acceso a la Información Pública del Estado de México y Municipios.</w:t>
      </w:r>
    </w:p>
    <w:p w14:paraId="2D09A35A" w14:textId="77777777" w:rsidR="00355227" w:rsidRPr="003E521A" w:rsidRDefault="00355227">
      <w:pPr>
        <w:spacing w:line="360" w:lineRule="auto"/>
        <w:ind w:right="49"/>
        <w:jc w:val="both"/>
        <w:rPr>
          <w:rFonts w:ascii="Palatino Linotype" w:eastAsia="Palatino Linotype" w:hAnsi="Palatino Linotype" w:cs="Palatino Linotype"/>
        </w:rPr>
      </w:pPr>
    </w:p>
    <w:p w14:paraId="65CC8D3C"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otra parte, conviene mencionar que la Ley de Transparencia vigente en el Estado de México refiere: </w:t>
      </w:r>
    </w:p>
    <w:p w14:paraId="735312F5" w14:textId="77777777" w:rsidR="00355227" w:rsidRPr="003E521A" w:rsidRDefault="00355227">
      <w:pPr>
        <w:spacing w:line="360" w:lineRule="auto"/>
        <w:jc w:val="both"/>
        <w:rPr>
          <w:rFonts w:ascii="Palatino Linotype" w:eastAsia="Palatino Linotype" w:hAnsi="Palatino Linotype" w:cs="Palatino Linotype"/>
        </w:rPr>
      </w:pPr>
    </w:p>
    <w:p w14:paraId="550B2AE0"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Artículo 18.</w:t>
      </w:r>
      <w:r w:rsidRPr="003E521A">
        <w:rPr>
          <w:rFonts w:ascii="Palatino Linotype" w:eastAsia="Palatino Linotype" w:hAnsi="Palatino Linotype" w:cs="Palatino Linotype"/>
          <w:i/>
          <w:sz w:val="22"/>
          <w:szCs w:val="22"/>
        </w:rPr>
        <w:t xml:space="preserve"> </w:t>
      </w:r>
      <w:r w:rsidRPr="003E521A">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3E521A">
        <w:rPr>
          <w:rFonts w:ascii="Palatino Linotype" w:eastAsia="Palatino Linotype" w:hAnsi="Palatino Linotype" w:cs="Palatino Linotype"/>
          <w:i/>
          <w:sz w:val="22"/>
          <w:szCs w:val="22"/>
        </w:rPr>
        <w:t xml:space="preserve"> y reutilización de la información que generen.</w:t>
      </w:r>
    </w:p>
    <w:p w14:paraId="2878C68B" w14:textId="77777777" w:rsidR="00355227" w:rsidRPr="003E521A" w:rsidRDefault="00355227">
      <w:pPr>
        <w:ind w:left="851" w:right="616"/>
        <w:jc w:val="both"/>
        <w:rPr>
          <w:rFonts w:ascii="Palatino Linotype" w:eastAsia="Palatino Linotype" w:hAnsi="Palatino Linotype" w:cs="Palatino Linotype"/>
          <w:b/>
          <w:i/>
          <w:sz w:val="22"/>
          <w:szCs w:val="22"/>
        </w:rPr>
      </w:pPr>
    </w:p>
    <w:p w14:paraId="3C657CF1"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Artículo 19. </w:t>
      </w:r>
      <w:r w:rsidRPr="003E521A">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3E521A">
        <w:rPr>
          <w:rFonts w:ascii="Palatino Linotype" w:eastAsia="Palatino Linotype" w:hAnsi="Palatino Linotype" w:cs="Palatino Linotype"/>
          <w:i/>
          <w:sz w:val="22"/>
          <w:szCs w:val="22"/>
        </w:rPr>
        <w:t>.</w:t>
      </w:r>
    </w:p>
    <w:p w14:paraId="1C76F71B" w14:textId="77777777" w:rsidR="00355227" w:rsidRPr="003E521A" w:rsidRDefault="00355227">
      <w:pPr>
        <w:ind w:left="851" w:right="616"/>
        <w:jc w:val="both"/>
        <w:rPr>
          <w:rFonts w:ascii="Palatino Linotype" w:eastAsia="Palatino Linotype" w:hAnsi="Palatino Linotype" w:cs="Palatino Linotype"/>
          <w:i/>
          <w:sz w:val="22"/>
          <w:szCs w:val="22"/>
        </w:rPr>
      </w:pPr>
    </w:p>
    <w:p w14:paraId="1AF27A36"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3473452" w14:textId="77777777" w:rsidR="00355227" w:rsidRPr="003E521A" w:rsidRDefault="00355227">
      <w:pPr>
        <w:ind w:left="851" w:right="616"/>
        <w:jc w:val="both"/>
        <w:rPr>
          <w:rFonts w:ascii="Palatino Linotype" w:eastAsia="Palatino Linotype" w:hAnsi="Palatino Linotype" w:cs="Palatino Linotype"/>
          <w:i/>
          <w:sz w:val="22"/>
          <w:szCs w:val="22"/>
        </w:rPr>
      </w:pPr>
    </w:p>
    <w:p w14:paraId="3DAF0B4D"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F5156D2" w14:textId="77777777" w:rsidR="00355227" w:rsidRPr="003E521A" w:rsidRDefault="00355227">
      <w:pPr>
        <w:ind w:left="851" w:right="851"/>
        <w:jc w:val="both"/>
        <w:rPr>
          <w:rFonts w:ascii="Palatino Linotype" w:eastAsia="Palatino Linotype" w:hAnsi="Palatino Linotype" w:cs="Palatino Linotype"/>
          <w:i/>
          <w:sz w:val="22"/>
          <w:szCs w:val="22"/>
        </w:rPr>
      </w:pPr>
    </w:p>
    <w:p w14:paraId="6E7CABED" w14:textId="77777777" w:rsidR="00355227" w:rsidRPr="003E521A" w:rsidRDefault="001F7EA1">
      <w:pPr>
        <w:ind w:left="851" w:right="851"/>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Énfasis añadido.</w:t>
      </w:r>
    </w:p>
    <w:p w14:paraId="3FDC83D5" w14:textId="77777777" w:rsidR="00355227" w:rsidRPr="003E521A" w:rsidRDefault="00355227">
      <w:pPr>
        <w:spacing w:line="360" w:lineRule="auto"/>
        <w:jc w:val="both"/>
        <w:rPr>
          <w:rFonts w:ascii="Palatino Linotype" w:eastAsia="Palatino Linotype" w:hAnsi="Palatino Linotype" w:cs="Palatino Linotype"/>
        </w:rPr>
      </w:pPr>
    </w:p>
    <w:p w14:paraId="09BA490A"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w:t>
      </w:r>
      <w:r w:rsidRPr="003E521A">
        <w:rPr>
          <w:rFonts w:ascii="Palatino Linotype" w:eastAsia="Palatino Linotype" w:hAnsi="Palatino Linotype" w:cs="Palatino Linotype"/>
        </w:rPr>
        <w:lastRenderedPageBreak/>
        <w:t>transparencia y la versión pública que emita cada SUJETO OBLIGADO; como así se establece en la Ley de Transparencia y Acceso a la Información Pública del Estado de México y Municipios.</w:t>
      </w:r>
    </w:p>
    <w:p w14:paraId="4A90C31F" w14:textId="77777777" w:rsidR="00355227" w:rsidRPr="003E521A" w:rsidRDefault="00355227">
      <w:pPr>
        <w:spacing w:line="360" w:lineRule="auto"/>
        <w:jc w:val="both"/>
        <w:rPr>
          <w:rFonts w:ascii="Palatino Linotype" w:eastAsia="Palatino Linotype" w:hAnsi="Palatino Linotype" w:cs="Palatino Linotype"/>
        </w:rPr>
      </w:pPr>
    </w:p>
    <w:p w14:paraId="2E9A68D6"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4B494C8" w14:textId="77777777" w:rsidR="00355227" w:rsidRPr="003E521A" w:rsidRDefault="00355227">
      <w:pPr>
        <w:ind w:left="851" w:right="899"/>
        <w:jc w:val="both"/>
        <w:rPr>
          <w:rFonts w:ascii="Palatino Linotype" w:eastAsia="Palatino Linotype" w:hAnsi="Palatino Linotype" w:cs="Palatino Linotype"/>
          <w:i/>
          <w:sz w:val="22"/>
          <w:szCs w:val="22"/>
        </w:rPr>
      </w:pPr>
    </w:p>
    <w:p w14:paraId="4EBCC1F4" w14:textId="77777777" w:rsidR="00355227" w:rsidRPr="003E521A" w:rsidRDefault="001F7EA1">
      <w:pPr>
        <w:ind w:left="851" w:right="899"/>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 xml:space="preserve">Artículo 3. </w:t>
      </w:r>
      <w:r w:rsidRPr="003E521A">
        <w:rPr>
          <w:rFonts w:ascii="Palatino Linotype" w:eastAsia="Palatino Linotype" w:hAnsi="Palatino Linotype" w:cs="Palatino Linotype"/>
          <w:i/>
          <w:sz w:val="22"/>
          <w:szCs w:val="22"/>
        </w:rPr>
        <w:t>Para los efectos de la presente Ley se entenderá por:</w:t>
      </w:r>
    </w:p>
    <w:p w14:paraId="3A698CE0" w14:textId="77777777" w:rsidR="00355227" w:rsidRPr="003E521A" w:rsidRDefault="001F7EA1">
      <w:pPr>
        <w:ind w:left="851" w:right="899"/>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7E4E420A"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XI. Documento:</w:t>
      </w:r>
      <w:r w:rsidRPr="003E521A">
        <w:rPr>
          <w:rFonts w:ascii="Palatino Linotype" w:eastAsia="Palatino Linotype" w:hAnsi="Palatino Linotype" w:cs="Palatino Linotype"/>
          <w:i/>
          <w:sz w:val="22"/>
          <w:szCs w:val="22"/>
        </w:rPr>
        <w:t xml:space="preserve"> Los expedientes, reportes, estudios, actas</w:t>
      </w:r>
      <w:r w:rsidRPr="003E521A">
        <w:rPr>
          <w:rFonts w:ascii="Palatino Linotype" w:eastAsia="Palatino Linotype" w:hAnsi="Palatino Linotype" w:cs="Palatino Linotype"/>
          <w:b/>
          <w:i/>
          <w:sz w:val="22"/>
          <w:szCs w:val="22"/>
        </w:rPr>
        <w:t>,</w:t>
      </w:r>
      <w:r w:rsidRPr="003E521A">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w:t>
      </w:r>
      <w:r w:rsidRPr="003E521A">
        <w:rPr>
          <w:rFonts w:ascii="Palatino Linotype" w:eastAsia="Palatino Linotype" w:hAnsi="Palatino Linotype" w:cs="Palatino Linotype"/>
          <w:b/>
          <w:i/>
          <w:sz w:val="22"/>
          <w:szCs w:val="22"/>
          <w:u w:val="single"/>
        </w:rPr>
        <w:t>registro que documente el ejercicio de las facultades, funciones y competencias de los sujetos obligados</w:t>
      </w:r>
      <w:r w:rsidRPr="003E521A">
        <w:rPr>
          <w:rFonts w:ascii="Palatino Linotype" w:eastAsia="Palatino Linotype" w:hAnsi="Palatino Linotype" w:cs="Palatino Linotype"/>
          <w:i/>
          <w:sz w:val="22"/>
          <w:szCs w:val="22"/>
        </w:rPr>
        <w:t xml:space="preserve">, sus servidores públicos e integrantes, sin importar su fuente o fecha de elaboración. Los documentos podrán estar en cualquier medio, sea escrito, impreso, sonoro, visual, </w:t>
      </w:r>
      <w:r w:rsidRPr="003E521A">
        <w:rPr>
          <w:rFonts w:ascii="Palatino Linotype" w:eastAsia="Palatino Linotype" w:hAnsi="Palatino Linotype" w:cs="Palatino Linotype"/>
          <w:b/>
          <w:i/>
          <w:sz w:val="22"/>
          <w:szCs w:val="22"/>
          <w:u w:val="single"/>
        </w:rPr>
        <w:t>electrónico, informático</w:t>
      </w:r>
      <w:r w:rsidRPr="003E521A">
        <w:rPr>
          <w:rFonts w:ascii="Palatino Linotype" w:eastAsia="Palatino Linotype" w:hAnsi="Palatino Linotype" w:cs="Palatino Linotype"/>
          <w:i/>
          <w:sz w:val="22"/>
          <w:szCs w:val="22"/>
        </w:rPr>
        <w:t xml:space="preserve"> u holográfico…” (Sic)</w:t>
      </w:r>
    </w:p>
    <w:p w14:paraId="1B488394" w14:textId="77777777" w:rsidR="00355227" w:rsidRPr="003E521A" w:rsidRDefault="00355227">
      <w:pPr>
        <w:ind w:left="851" w:right="899"/>
        <w:jc w:val="both"/>
        <w:rPr>
          <w:rFonts w:ascii="Palatino Linotype" w:eastAsia="Palatino Linotype" w:hAnsi="Palatino Linotype" w:cs="Palatino Linotype"/>
          <w:sz w:val="22"/>
          <w:szCs w:val="22"/>
        </w:rPr>
      </w:pPr>
    </w:p>
    <w:p w14:paraId="47EC87AD"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3E521A">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581DD98E" w14:textId="77777777" w:rsidR="00355227" w:rsidRPr="003E521A" w:rsidRDefault="00355227">
      <w:pPr>
        <w:ind w:left="851" w:right="899"/>
        <w:jc w:val="both"/>
        <w:rPr>
          <w:rFonts w:ascii="Palatino Linotype" w:eastAsia="Palatino Linotype" w:hAnsi="Palatino Linotype" w:cs="Palatino Linotype"/>
        </w:rPr>
      </w:pPr>
    </w:p>
    <w:p w14:paraId="0C2FF109" w14:textId="77777777" w:rsidR="00355227" w:rsidRPr="003E521A" w:rsidRDefault="001F7EA1">
      <w:pPr>
        <w:ind w:left="851" w:right="616"/>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b/>
          <w:sz w:val="22"/>
          <w:szCs w:val="22"/>
        </w:rPr>
        <w:t>“</w:t>
      </w:r>
      <w:r w:rsidRPr="003E521A">
        <w:rPr>
          <w:rFonts w:ascii="Palatino Linotype" w:eastAsia="Palatino Linotype" w:hAnsi="Palatino Linotype" w:cs="Palatino Linotype"/>
          <w:b/>
          <w:i/>
          <w:sz w:val="22"/>
          <w:szCs w:val="22"/>
        </w:rPr>
        <w:t>CRITERIO 0002-11</w:t>
      </w:r>
    </w:p>
    <w:p w14:paraId="263E8E95"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E521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F0B954"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En </w:t>
      </w:r>
      <w:proofErr w:type="gramStart"/>
      <w:r w:rsidRPr="003E521A">
        <w:rPr>
          <w:rFonts w:ascii="Palatino Linotype" w:eastAsia="Palatino Linotype" w:hAnsi="Palatino Linotype" w:cs="Palatino Linotype"/>
          <w:i/>
          <w:sz w:val="22"/>
          <w:szCs w:val="22"/>
        </w:rPr>
        <w:t>consecuencia</w:t>
      </w:r>
      <w:proofErr w:type="gramEnd"/>
      <w:r w:rsidRPr="003E521A">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602A521"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1) Que se trate de información registrada en cualquier soporte documental, </w:t>
      </w:r>
      <w:proofErr w:type="gramStart"/>
      <w:r w:rsidRPr="003E521A">
        <w:rPr>
          <w:rFonts w:ascii="Palatino Linotype" w:eastAsia="Palatino Linotype" w:hAnsi="Palatino Linotype" w:cs="Palatino Linotype"/>
          <w:i/>
          <w:sz w:val="22"/>
          <w:szCs w:val="22"/>
        </w:rPr>
        <w:t>que</w:t>
      </w:r>
      <w:proofErr w:type="gramEnd"/>
      <w:r w:rsidRPr="003E521A">
        <w:rPr>
          <w:rFonts w:ascii="Palatino Linotype" w:eastAsia="Palatino Linotype" w:hAnsi="Palatino Linotype" w:cs="Palatino Linotype"/>
          <w:i/>
          <w:sz w:val="22"/>
          <w:szCs w:val="22"/>
        </w:rPr>
        <w:t xml:space="preserve"> en ejercicio de las atribuciones conferidas, sea generada por los Sujetos Obligados;</w:t>
      </w:r>
    </w:p>
    <w:p w14:paraId="3E85C61E"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2) Que se trate de información registrada en cualquier soporte documental, </w:t>
      </w:r>
      <w:proofErr w:type="gramStart"/>
      <w:r w:rsidRPr="003E521A">
        <w:rPr>
          <w:rFonts w:ascii="Palatino Linotype" w:eastAsia="Palatino Linotype" w:hAnsi="Palatino Linotype" w:cs="Palatino Linotype"/>
          <w:i/>
          <w:sz w:val="22"/>
          <w:szCs w:val="22"/>
        </w:rPr>
        <w:t>que</w:t>
      </w:r>
      <w:proofErr w:type="gramEnd"/>
      <w:r w:rsidRPr="003E521A">
        <w:rPr>
          <w:rFonts w:ascii="Palatino Linotype" w:eastAsia="Palatino Linotype" w:hAnsi="Palatino Linotype" w:cs="Palatino Linotype"/>
          <w:i/>
          <w:sz w:val="22"/>
          <w:szCs w:val="22"/>
        </w:rPr>
        <w:t xml:space="preserve"> en ejercicio de las atribuciones conferidas, sea administrada por los Sujetos Obligados, y</w:t>
      </w:r>
    </w:p>
    <w:p w14:paraId="2D0E52A7" w14:textId="77777777" w:rsidR="00355227" w:rsidRPr="003E521A" w:rsidRDefault="001F7EA1">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3) Que se trate de información registrada en cualquier soporte documental, </w:t>
      </w:r>
      <w:proofErr w:type="gramStart"/>
      <w:r w:rsidRPr="003E521A">
        <w:rPr>
          <w:rFonts w:ascii="Palatino Linotype" w:eastAsia="Palatino Linotype" w:hAnsi="Palatino Linotype" w:cs="Palatino Linotype"/>
          <w:i/>
          <w:sz w:val="22"/>
          <w:szCs w:val="22"/>
        </w:rPr>
        <w:t>que</w:t>
      </w:r>
      <w:proofErr w:type="gramEnd"/>
      <w:r w:rsidRPr="003E521A">
        <w:rPr>
          <w:rFonts w:ascii="Palatino Linotype" w:eastAsia="Palatino Linotype" w:hAnsi="Palatino Linotype" w:cs="Palatino Linotype"/>
          <w:i/>
          <w:sz w:val="22"/>
          <w:szCs w:val="22"/>
        </w:rPr>
        <w:t xml:space="preserve"> en ejercicio de las atribuciones conferidas, se encuentre en posesión de los Sujetos Obligados.” </w:t>
      </w:r>
    </w:p>
    <w:p w14:paraId="19859DC6" w14:textId="77777777" w:rsidR="00355227" w:rsidRPr="003E521A" w:rsidRDefault="001F7EA1">
      <w:pPr>
        <w:spacing w:before="280" w:after="28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De ahí que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E521A">
        <w:rPr>
          <w:rFonts w:ascii="Palatino Linotype" w:eastAsia="Palatino Linotype" w:hAnsi="Palatino Linotype" w:cs="Palatino Linotype"/>
          <w:vertAlign w:val="superscript"/>
        </w:rPr>
        <w:footnoteReference w:id="1"/>
      </w:r>
      <w:r w:rsidRPr="003E521A">
        <w:rPr>
          <w:rFonts w:ascii="Palatino Linotype" w:eastAsia="Palatino Linotype" w:hAnsi="Palatino Linotype" w:cs="Palatino Linotype"/>
        </w:rPr>
        <w:t xml:space="preserve">, así como de interés público, es decir, aquella que </w:t>
      </w:r>
      <w:r w:rsidRPr="003E521A">
        <w:rPr>
          <w:rFonts w:ascii="Palatino Linotype" w:eastAsia="Palatino Linotype" w:hAnsi="Palatino Linotype" w:cs="Palatino Linotype"/>
        </w:rPr>
        <w:lastRenderedPageBreak/>
        <w:t>resulta relevante o beneficiosa para la sociedad y no simplemente de interés individual, y cuya divulgación resulta útil para que el público comprenda las actividades que llevan a cabo los Sujetos Obligados</w:t>
      </w:r>
      <w:r w:rsidRPr="003E521A">
        <w:rPr>
          <w:rFonts w:ascii="Palatino Linotype" w:eastAsia="Palatino Linotype" w:hAnsi="Palatino Linotype" w:cs="Palatino Linotype"/>
          <w:vertAlign w:val="superscript"/>
        </w:rPr>
        <w:footnoteReference w:id="2"/>
      </w:r>
      <w:r w:rsidRPr="003E521A">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360264E2"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Acotado lo anterior, es conveniente reiterar que la parte </w:t>
      </w:r>
      <w:r w:rsidRPr="003E521A">
        <w:rPr>
          <w:rFonts w:ascii="Palatino Linotype" w:eastAsia="Palatino Linotype" w:hAnsi="Palatino Linotype" w:cs="Palatino Linotype"/>
          <w:b/>
        </w:rPr>
        <w:t xml:space="preserve">Recurrente </w:t>
      </w:r>
      <w:r w:rsidRPr="003E521A">
        <w:rPr>
          <w:rFonts w:ascii="Palatino Linotype" w:eastAsia="Palatino Linotype" w:hAnsi="Palatino Linotype" w:cs="Palatino Linotype"/>
        </w:rPr>
        <w:t xml:space="preserve">solicitó al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 xml:space="preserve">la siguiente información: </w:t>
      </w:r>
    </w:p>
    <w:p w14:paraId="14E51589" w14:textId="77777777" w:rsidR="00355227" w:rsidRPr="003E521A" w:rsidRDefault="001F7EA1">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Plan parcial de integración territorial Santa Bárbara Norte del Municipio de Cuautitlán Izcalli, Estado de México;</w:t>
      </w:r>
    </w:p>
    <w:p w14:paraId="3377DDAC" w14:textId="77777777" w:rsidR="00355227" w:rsidRPr="003E521A" w:rsidRDefault="001F7EA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Modificación del Plan Municipal de Desarrollo Urbano de Cuautitlán Izcalli, Estado de México, resultante, aprobado durante el desahogo del punto 5 de la centésima septuagésima sesión del ayuntamiento, de carácter extraordinaria, de tipo pública del dieciocho de diciembre del año dos mil quince. punto de acuerdo, dictamen de las comisiones edilicias unidas de hacienda, de obra pública y desarrollo urbano y de límites territoriales;</w:t>
      </w:r>
    </w:p>
    <w:p w14:paraId="187FCC1B" w14:textId="77777777" w:rsidR="00355227" w:rsidRPr="003E521A" w:rsidRDefault="001F7EA1">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Documentos del apéndice; y, </w:t>
      </w:r>
    </w:p>
    <w:p w14:paraId="79C5D942" w14:textId="77777777" w:rsidR="00355227" w:rsidRPr="003E521A" w:rsidRDefault="001F7EA1">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Acta de la Centésima Septuagésima Sesión Extraordinaria del dieciocho de diciembre de dos mil quince. </w:t>
      </w:r>
    </w:p>
    <w:p w14:paraId="362CB4AF"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su respuesta, el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 xml:space="preserve">a través de la Secretaría del Ayuntamiento manifestó que en relación a la expedición de copias certificadas, en términos el </w:t>
      </w:r>
      <w:r w:rsidRPr="003E521A">
        <w:rPr>
          <w:rFonts w:ascii="Palatino Linotype" w:eastAsia="Palatino Linotype" w:hAnsi="Palatino Linotype" w:cs="Palatino Linotype"/>
        </w:rPr>
        <w:lastRenderedPageBreak/>
        <w:t xml:space="preserve">artículo 148, fracción II del Código Financiero del Estado de México y Municipios, previó al pago de derechos correspondientes entregaría 62 fojas del </w:t>
      </w:r>
      <w:r w:rsidRPr="003E521A">
        <w:rPr>
          <w:rFonts w:ascii="Palatino Linotype" w:eastAsia="Palatino Linotype" w:hAnsi="Palatino Linotype" w:cs="Palatino Linotype"/>
          <w:u w:val="single"/>
        </w:rPr>
        <w:t>acta de la Centésima Septuagésima Sesión del Ayuntamiento, de Carácter Extraordinaria</w:t>
      </w:r>
      <w:r w:rsidRPr="003E521A">
        <w:rPr>
          <w:rFonts w:ascii="Palatino Linotype" w:eastAsia="Palatino Linotype" w:hAnsi="Palatino Linotype" w:cs="Palatino Linotype"/>
        </w:rPr>
        <w:t xml:space="preserve">, de Tipo Pública del dieciocho de diciembre del año dos mil quince y 12 fojas del documento del </w:t>
      </w:r>
      <w:r w:rsidRPr="003E521A">
        <w:rPr>
          <w:rFonts w:ascii="Palatino Linotype" w:eastAsia="Palatino Linotype" w:hAnsi="Palatino Linotype" w:cs="Palatino Linotype"/>
          <w:u w:val="single"/>
        </w:rPr>
        <w:t>apéndice en donde se encuentra el dictamen de las comisiones unidas</w:t>
      </w:r>
      <w:r w:rsidRPr="003E521A">
        <w:rPr>
          <w:rFonts w:ascii="Palatino Linotype" w:eastAsia="Palatino Linotype" w:hAnsi="Palatino Linotype" w:cs="Palatino Linotype"/>
        </w:rPr>
        <w:t xml:space="preserve">. </w:t>
      </w:r>
    </w:p>
    <w:p w14:paraId="6C1C7337"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otro lado, la </w:t>
      </w:r>
      <w:proofErr w:type="gramStart"/>
      <w:r w:rsidRPr="003E521A">
        <w:rPr>
          <w:rFonts w:ascii="Palatino Linotype" w:eastAsia="Palatino Linotype" w:hAnsi="Palatino Linotype" w:cs="Palatino Linotype"/>
        </w:rPr>
        <w:t>Directora</w:t>
      </w:r>
      <w:proofErr w:type="gramEnd"/>
      <w:r w:rsidRPr="003E521A">
        <w:rPr>
          <w:rFonts w:ascii="Palatino Linotype" w:eastAsia="Palatino Linotype" w:hAnsi="Palatino Linotype" w:cs="Palatino Linotype"/>
        </w:rPr>
        <w:t xml:space="preserve"> de Desarrollo Urbano manifestó que no existe un Plan de Integración Territorial Santa Barbará Norte del Municipio de Cuautitlán Izcalli; motivo por el cual niega su existencia. </w:t>
      </w:r>
    </w:p>
    <w:p w14:paraId="1A7CF66D"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Conocida la respuesta por la parte </w:t>
      </w:r>
      <w:r w:rsidRPr="003E521A">
        <w:rPr>
          <w:rFonts w:ascii="Palatino Linotype" w:eastAsia="Palatino Linotype" w:hAnsi="Palatino Linotype" w:cs="Palatino Linotype"/>
          <w:b/>
        </w:rPr>
        <w:t xml:space="preserve">Recurrente </w:t>
      </w:r>
      <w:r w:rsidRPr="003E521A">
        <w:rPr>
          <w:rFonts w:ascii="Palatino Linotype" w:eastAsia="Palatino Linotype" w:hAnsi="Palatino Linotype" w:cs="Palatino Linotype"/>
        </w:rPr>
        <w:t>manifestó su inconformidad en relación a la inexistencia del Plan parcial para la Integración Territorial de Santa Bárbara del Municipio de Cuautitlán Izcalli y la modificación al mismo plan, resultante del punto de acuerdo; así como, del dictamen de las comisiones edilicias unidas.</w:t>
      </w:r>
    </w:p>
    <w:p w14:paraId="4706675F"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Ahora bien, por orden y método jurídico es de señalar que respecto a los  incisos c) y d) en los que el particular desea le sean entregadas las documentales que den cuenta de los documentos del apéndice del punto 5 de la centésima septuagésima sesión del ayuntamiento, de carácter extraordinaria, de tipo pública del dieciocho de diciembre del año dos mil quince, así como la misma acta, </w:t>
      </w:r>
      <w:r w:rsidRPr="003E521A">
        <w:rPr>
          <w:rFonts w:ascii="Palatino Linotype" w:eastAsia="Palatino Linotype" w:hAnsi="Palatino Linotype" w:cs="Palatino Linotype"/>
          <w:sz w:val="16"/>
          <w:szCs w:val="16"/>
        </w:rPr>
        <w:t xml:space="preserve"> </w:t>
      </w:r>
      <w:r w:rsidRPr="003E521A">
        <w:rPr>
          <w:rFonts w:ascii="Palatino Linotype" w:eastAsia="Palatino Linotype" w:hAnsi="Palatino Linotype" w:cs="Palatino Linotype"/>
        </w:rPr>
        <w:t xml:space="preserve">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a través de los servidores públicos de Secretaría del Ayuntamiento puso a disposición  de la parte </w:t>
      </w:r>
      <w:r w:rsidRPr="003E521A">
        <w:rPr>
          <w:rFonts w:ascii="Palatino Linotype" w:eastAsia="Palatino Linotype" w:hAnsi="Palatino Linotype" w:cs="Palatino Linotype"/>
          <w:b/>
        </w:rPr>
        <w:t xml:space="preserve">Recurrente </w:t>
      </w:r>
      <w:r w:rsidRPr="003E521A">
        <w:rPr>
          <w:rFonts w:ascii="Palatino Linotype" w:eastAsia="Palatino Linotype" w:hAnsi="Palatino Linotype" w:cs="Palatino Linotype"/>
        </w:rPr>
        <w:t xml:space="preserve">en copias certificadas 62 fojas del acta de la Centésima Septuagésima Sesión del Ayuntamiento, de carácter Extraordinaria, de tipo pública </w:t>
      </w:r>
      <w:r w:rsidRPr="003E521A">
        <w:rPr>
          <w:rFonts w:ascii="Palatino Linotype" w:eastAsia="Palatino Linotype" w:hAnsi="Palatino Linotype" w:cs="Palatino Linotype"/>
        </w:rPr>
        <w:lastRenderedPageBreak/>
        <w:t xml:space="preserve">del dieciocho de diciembre del año dos mil quince y 12 fojas del documento del apéndice en donde se encuentra el dictamen de las comisiones unidas, a tales efectos se le señala que deberá de pagar la cantidad de $3,052.20 (tres mil cincuenta y dos pesos 20/100 M.N.), resultado de aplicar lo establecido en el artículo 148 fracción II, del Código Financiero del estado de México y Municipios. </w:t>
      </w:r>
    </w:p>
    <w:p w14:paraId="5BB8950E"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533B295B"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este orden de ideas, una vez interpuesto el recurso de revisión, a  través del informe justificado el </w:t>
      </w:r>
      <w:r w:rsidRPr="003E521A">
        <w:rPr>
          <w:rFonts w:ascii="Palatino Linotype" w:eastAsia="Palatino Linotype" w:hAnsi="Palatino Linotype" w:cs="Palatino Linotype"/>
          <w:b/>
        </w:rPr>
        <w:t xml:space="preserve">Sujeto Obligado </w:t>
      </w:r>
      <w:r w:rsidRPr="003E521A">
        <w:rPr>
          <w:rFonts w:ascii="Palatino Linotype" w:eastAsia="Palatino Linotype" w:hAnsi="Palatino Linotype" w:cs="Palatino Linotype"/>
        </w:rPr>
        <w:t>informó que el particular acudió a realizar el pago y le fueron entregadas en copias certificadas la documentales señaladas,   es dable precisar que este Organismo Garante no se encuentra facultado para dudar de su veracidad ni de la información que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1FAE57C9" w14:textId="77777777" w:rsidR="00355227" w:rsidRPr="003E521A" w:rsidRDefault="00355227">
      <w:pPr>
        <w:spacing w:line="360" w:lineRule="auto"/>
        <w:ind w:right="-28"/>
        <w:jc w:val="both"/>
        <w:rPr>
          <w:rFonts w:ascii="Palatino Linotype" w:eastAsia="Palatino Linotype" w:hAnsi="Palatino Linotype" w:cs="Palatino Linotype"/>
          <w:sz w:val="22"/>
          <w:szCs w:val="22"/>
        </w:rPr>
      </w:pPr>
    </w:p>
    <w:p w14:paraId="7E6A77AF" w14:textId="77777777" w:rsidR="00355227" w:rsidRPr="003E521A" w:rsidRDefault="001F7EA1">
      <w:pPr>
        <w:spacing w:line="360" w:lineRule="auto"/>
        <w:ind w:right="-28"/>
        <w:jc w:val="both"/>
        <w:rPr>
          <w:rFonts w:ascii="Palatino Linotype" w:eastAsia="Palatino Linotype" w:hAnsi="Palatino Linotype" w:cs="Palatino Linotype"/>
        </w:rPr>
      </w:pPr>
      <w:r w:rsidRPr="003E521A">
        <w:rPr>
          <w:rFonts w:ascii="Palatino Linotype" w:eastAsia="Palatino Linotype" w:hAnsi="Palatino Linotype" w:cs="Palatino Linotype"/>
        </w:rPr>
        <w:t>Sirviendo de apoyo a lo anterior por analogía, el criterio 31-10 emitido por el ahora Instituto Nacional de Transparencia, Acceso a la Información y Protección de Datos Personales, que a la letra dice:</w:t>
      </w:r>
    </w:p>
    <w:p w14:paraId="557E6138" w14:textId="77777777" w:rsidR="00355227" w:rsidRPr="003E521A" w:rsidRDefault="00355227">
      <w:pPr>
        <w:spacing w:line="360" w:lineRule="auto"/>
        <w:ind w:right="-28"/>
        <w:jc w:val="both"/>
        <w:rPr>
          <w:rFonts w:ascii="Palatino Linotype" w:eastAsia="Palatino Linotype" w:hAnsi="Palatino Linotype" w:cs="Palatino Linotype"/>
        </w:rPr>
      </w:pPr>
    </w:p>
    <w:p w14:paraId="6C6489DE" w14:textId="77777777" w:rsidR="00355227" w:rsidRPr="003E521A" w:rsidRDefault="001F7EA1">
      <w:pPr>
        <w:ind w:left="708" w:right="-2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w:t>
      </w:r>
      <w:r w:rsidRPr="003E521A">
        <w:rPr>
          <w:rFonts w:ascii="Palatino Linotype" w:eastAsia="Palatino Linotype" w:hAnsi="Palatino Linotype" w:cs="Palatino Linotype"/>
          <w:i/>
        </w:rPr>
        <w:lastRenderedPageBreak/>
        <w:t>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3E521A">
        <w:rPr>
          <w:rFonts w:ascii="Palatino Linotype" w:eastAsia="Palatino Linotype" w:hAnsi="Palatino Linotype" w:cs="Palatino Linotype"/>
          <w:i/>
        </w:rPr>
        <w:t>.”(</w:t>
      </w:r>
      <w:proofErr w:type="gramEnd"/>
      <w:r w:rsidRPr="003E521A">
        <w:rPr>
          <w:rFonts w:ascii="Palatino Linotype" w:eastAsia="Palatino Linotype" w:hAnsi="Palatino Linotype" w:cs="Palatino Linotype"/>
          <w:i/>
        </w:rPr>
        <w:t>Sic)</w:t>
      </w:r>
    </w:p>
    <w:p w14:paraId="6809F265" w14:textId="77777777" w:rsidR="00355227" w:rsidRPr="003E521A" w:rsidRDefault="00355227">
      <w:pPr>
        <w:spacing w:line="360" w:lineRule="auto"/>
        <w:ind w:right="-28"/>
        <w:jc w:val="both"/>
        <w:rPr>
          <w:rFonts w:ascii="Palatino Linotype" w:eastAsia="Palatino Linotype" w:hAnsi="Palatino Linotype" w:cs="Palatino Linotype"/>
          <w:sz w:val="22"/>
          <w:szCs w:val="22"/>
        </w:rPr>
      </w:pPr>
    </w:p>
    <w:p w14:paraId="60A50A7F"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otra parte, de la  lectura a las líneas esgrimidas como motivos de inconformidad planteadas en su recurso de revisión por  el particular, esta Autoridad no advierte argumento tendiente a contravenir la información solicitada en los incisos que se analizan; es decir, el particular no impugnó la información remitida como respuesta, puesto que, únicamente manifestó que,  el acuerdo de respuesta señala que no existe la información solicitada consistente en el plan parcial de integración territorial Santa Bárbara norte del municipio de Cuautitlán Izcalli, Estado de México y la modificación del plan municipal de Desarrollo Urbano de Cuautitlán Izcalli, estado de México; por ello, la respuesta, relativa a los rubros no combatidos queda intocada, ya que se advierte que se da por satisfecho el requerimiento de información, quedando firme ante la falta de impugnación en específico, pues se entiende que </w:t>
      </w:r>
      <w:r w:rsidRPr="003E521A">
        <w:rPr>
          <w:rFonts w:ascii="Palatino Linotype" w:eastAsia="Palatino Linotype" w:hAnsi="Palatino Linotype" w:cs="Palatino Linotype"/>
          <w:b/>
        </w:rPr>
        <w:t>el Recurrente</w:t>
      </w:r>
      <w:r w:rsidRPr="003E521A">
        <w:rPr>
          <w:rFonts w:ascii="Palatino Linotype" w:eastAsia="Palatino Linotype" w:hAnsi="Palatino Linotype" w:cs="Palatino Linotype"/>
        </w:rPr>
        <w:t xml:space="preserve"> ésta conforme con la información al no contravenir la misma.</w:t>
      </w:r>
    </w:p>
    <w:p w14:paraId="36908301" w14:textId="77777777" w:rsidR="00355227" w:rsidRPr="003E521A" w:rsidRDefault="001F7EA1">
      <w:pPr>
        <w:spacing w:before="280" w:after="280"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Sirve de sustento por analogía la tesis jurisprudencial número VI.3o.C. J/60, publicada en el Semanario Judicial de la Federación y su Gaceta bajo el número de registro 176,608 que a la letra dice:</w:t>
      </w:r>
    </w:p>
    <w:p w14:paraId="60FE812C" w14:textId="77777777" w:rsidR="00355227" w:rsidRPr="003E521A" w:rsidRDefault="001F7EA1">
      <w:pPr>
        <w:shd w:val="clear" w:color="auto" w:fill="FFFFFF"/>
        <w:ind w:left="851" w:right="902"/>
        <w:jc w:val="both"/>
        <w:rPr>
          <w:rFonts w:ascii="Arial" w:eastAsia="Arial" w:hAnsi="Arial" w:cs="Arial"/>
          <w:sz w:val="18"/>
          <w:szCs w:val="18"/>
        </w:rPr>
      </w:pPr>
      <w:r w:rsidRPr="003E521A">
        <w:rPr>
          <w:rFonts w:ascii="Palatino Linotype" w:eastAsia="Palatino Linotype" w:hAnsi="Palatino Linotype" w:cs="Palatino Linotype"/>
          <w:b/>
          <w:i/>
          <w:sz w:val="22"/>
          <w:szCs w:val="22"/>
        </w:rPr>
        <w:t xml:space="preserve">“ACTOS CONSENTIDOS. SON LOS QUE NO SE IMPUGNAN MEDIANTE EL RECURSO IDÓNEO. </w:t>
      </w:r>
      <w:r w:rsidRPr="003E521A">
        <w:rPr>
          <w:rFonts w:ascii="Palatino Linotype" w:eastAsia="Palatino Linotype" w:hAnsi="Palatino Linotype" w:cs="Palatino Linotype"/>
          <w:i/>
          <w:sz w:val="22"/>
          <w:szCs w:val="22"/>
        </w:rPr>
        <w:t xml:space="preserve">Debe reputarse como consentido el acto </w:t>
      </w:r>
      <w:r w:rsidRPr="003E521A">
        <w:rPr>
          <w:rFonts w:ascii="Palatino Linotype" w:eastAsia="Palatino Linotype" w:hAnsi="Palatino Linotype" w:cs="Palatino Linotype"/>
          <w:i/>
          <w:sz w:val="22"/>
          <w:szCs w:val="22"/>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EAE5D96" w14:textId="77777777" w:rsidR="00355227" w:rsidRPr="003E521A" w:rsidRDefault="001F7EA1">
      <w:pPr>
        <w:shd w:val="clear" w:color="auto" w:fill="FFFFFF"/>
        <w:spacing w:before="280" w:after="280"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Lo anterior es así, debido a que, cuando </w:t>
      </w:r>
      <w:r w:rsidRPr="003E521A">
        <w:rPr>
          <w:rFonts w:ascii="Palatino Linotype" w:eastAsia="Palatino Linotype" w:hAnsi="Palatino Linotype" w:cs="Palatino Linotype"/>
          <w:b/>
        </w:rPr>
        <w:t xml:space="preserve">el Recurrente </w:t>
      </w:r>
      <w:r w:rsidRPr="003E521A">
        <w:rPr>
          <w:rFonts w:ascii="Palatino Linotype" w:eastAsia="Palatino Linotype" w:hAnsi="Palatino Linotype" w:cs="Palatino Linotype"/>
        </w:rPr>
        <w:t xml:space="preserve">impugnó la respuesta del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no expresó razón o motivo de inconformidad en contra de todos los rubros solicitados; por lo que, dichos rubros deben declararse atendidos, pues se entiende que </w:t>
      </w:r>
      <w:r w:rsidRPr="003E521A">
        <w:rPr>
          <w:rFonts w:ascii="Palatino Linotype" w:eastAsia="Palatino Linotype" w:hAnsi="Palatino Linotype" w:cs="Palatino Linotype"/>
          <w:b/>
        </w:rPr>
        <w:t xml:space="preserve">el Recurrente </w:t>
      </w:r>
      <w:r w:rsidRPr="003E521A">
        <w:rPr>
          <w:rFonts w:ascii="Palatino Linotype" w:eastAsia="Palatino Linotype" w:hAnsi="Palatino Linotype" w:cs="Palatino Linotype"/>
        </w:rPr>
        <w:t>está conforme con la información al no contravenir la misma.</w:t>
      </w:r>
    </w:p>
    <w:p w14:paraId="22490CD9" w14:textId="77777777" w:rsidR="00355227" w:rsidRPr="003E521A" w:rsidRDefault="001F7EA1">
      <w:pPr>
        <w:shd w:val="clear" w:color="auto" w:fill="FFFFFF"/>
        <w:spacing w:line="360" w:lineRule="auto"/>
        <w:ind w:right="49"/>
        <w:jc w:val="both"/>
        <w:rPr>
          <w:rFonts w:ascii="Arial" w:eastAsia="Arial" w:hAnsi="Arial" w:cs="Arial"/>
        </w:rPr>
      </w:pPr>
      <w:r w:rsidRPr="003E521A">
        <w:rPr>
          <w:rFonts w:ascii="Palatino Linotype" w:eastAsia="Palatino Linotype" w:hAnsi="Palatino Linotype" w:cs="Palatino Linotype"/>
        </w:rPr>
        <w:t xml:space="preserve">Consecuentemente, la parte de la respuesta que no fue impugnada debe declararse consentida por </w:t>
      </w:r>
      <w:r w:rsidRPr="003E521A">
        <w:rPr>
          <w:rFonts w:ascii="Palatino Linotype" w:eastAsia="Palatino Linotype" w:hAnsi="Palatino Linotype" w:cs="Palatino Linotype"/>
          <w:b/>
        </w:rPr>
        <w:t>el Recurrente</w:t>
      </w:r>
      <w:r w:rsidRPr="003E521A">
        <w:rPr>
          <w:rFonts w:ascii="Palatino Linotype" w:eastAsia="Palatino Linotype" w:hAnsi="Palatino Linotype" w:cs="Palatino Linotype"/>
        </w:rPr>
        <w:t>, toda vez que no realizó manifestaciones de inconformidad; por lo que, no pueden producirse efectos jurídicos tendentes a revocar, confirmar o modificar el acto reclamado, ya que se infiere su consentimiento ante la falta de impugnación eficaz.</w:t>
      </w:r>
    </w:p>
    <w:p w14:paraId="677EB400" w14:textId="77777777" w:rsidR="00355227" w:rsidRPr="003E521A" w:rsidRDefault="001F7EA1">
      <w:pPr>
        <w:shd w:val="clear" w:color="auto" w:fill="FFFFFF"/>
        <w:spacing w:before="280" w:after="280" w:line="360" w:lineRule="auto"/>
        <w:ind w:right="49"/>
        <w:jc w:val="both"/>
        <w:rPr>
          <w:rFonts w:ascii="Arial" w:eastAsia="Arial" w:hAnsi="Arial" w:cs="Arial"/>
        </w:rPr>
      </w:pPr>
      <w:r w:rsidRPr="003E521A">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02CC55AC" w14:textId="77777777" w:rsidR="00355227" w:rsidRPr="003E521A" w:rsidRDefault="001F7EA1">
      <w:pPr>
        <w:shd w:val="clear" w:color="auto" w:fill="FFFFFF"/>
        <w:ind w:left="709" w:right="76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“REVISIÓN EN AMPARO. LOS RESOLUTIVOS NO COMBATIDOS DEBEN DECLARARSE FIRMES. </w:t>
      </w:r>
      <w:r w:rsidRPr="003E521A">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3FF49A6" w14:textId="77777777" w:rsidR="00355227" w:rsidRPr="003E521A" w:rsidRDefault="001F7EA1">
      <w:pPr>
        <w:spacing w:before="280" w:after="28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Una vez apuntado lo anterior, por cuanto hace  a los incisos a) y b) en los que el particular desea conocer: a) Plan parcial de integración territorial Santa Bárbara Norte del Municipio de Cuautitlán Izcalli, Estado de México; y,  b ) Modificación del Plan Municipal de Desarrollo Urbano de Cuautitlán Izcalli, Estado de México, resultante, aprobado durante el desahogo del punto 5 de la centésima septuagésima sesión del ayuntamiento, de carácter extraordinaria, de tipo pública del dieciocho de diciembre del año dos mil quince.</w:t>
      </w:r>
    </w:p>
    <w:p w14:paraId="23B95EEB"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La materia de la solicitud de </w:t>
      </w:r>
      <w:proofErr w:type="gramStart"/>
      <w:r w:rsidRPr="003E521A">
        <w:rPr>
          <w:rFonts w:ascii="Palatino Linotype" w:eastAsia="Palatino Linotype" w:hAnsi="Palatino Linotype" w:cs="Palatino Linotype"/>
        </w:rPr>
        <w:t>información  tiene</w:t>
      </w:r>
      <w:proofErr w:type="gramEnd"/>
      <w:r w:rsidRPr="003E521A">
        <w:rPr>
          <w:rFonts w:ascii="Palatino Linotype" w:eastAsia="Palatino Linotype" w:hAnsi="Palatino Linotype" w:cs="Palatino Linotype"/>
        </w:rPr>
        <w:t xml:space="preserve"> su  origen en el ámbito federal, a través de la Constitución Política de los Estados Unidos Mexicanos, en cuyo Título Quinto, artículo 115, fracción V; faculta al Municipio en los términos de las leyes Federales y Estatales relativas a: formular, aprobar y administrar la zonificación del plan de desarrollo urbano municipal y mecanismos que de él se deriven (planes parciales).</w:t>
      </w:r>
    </w:p>
    <w:p w14:paraId="197B2049"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23924BDD"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su parte, la Ley General de Asentamientos Humanos, en su Capítulo II "Congruencia y Coordinación de Autoridades", artículo 6 establece que las atribuciones que tengan en materia de ordenamiento territorial de los asentamientos humanos y de desarrollo urbano de los centros de población, deberán ser ejercidas de manera concurrente por, la federación, las entidades federativas y los municipios, cada uno en el ámbito de su competencia. </w:t>
      </w:r>
    </w:p>
    <w:p w14:paraId="3E7531BB" w14:textId="77777777" w:rsidR="00355227" w:rsidRPr="003E521A" w:rsidRDefault="00355227">
      <w:pPr>
        <w:shd w:val="clear" w:color="auto" w:fill="FFFFFF"/>
        <w:spacing w:line="360" w:lineRule="auto"/>
        <w:jc w:val="both"/>
      </w:pPr>
    </w:p>
    <w:p w14:paraId="3101A19C"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Específicamente, en su artículo 9 de la citada ley se establecen las atribuciones de los municipios, entre las que se encuentran: Formular, aprobar y administrar los planes </w:t>
      </w:r>
      <w:r w:rsidRPr="003E521A">
        <w:rPr>
          <w:rFonts w:ascii="Palatino Linotype" w:eastAsia="Palatino Linotype" w:hAnsi="Palatino Linotype" w:cs="Palatino Linotype"/>
        </w:rPr>
        <w:lastRenderedPageBreak/>
        <w:t>o programas municipales de desarrollo urbano, de centros de población y los demás que de éstos deriven, así como evaluar y vigilar su cumplimiento, de conformidad con la legislación local; administrar la zonificación prevista en los planes o programas municipales de desarrollo urbano, de centros de población y los demás que de éstos deriven; prestar los servicios públicos municipales, atendiendo a lo previsto en la Constitución Política de los Estados Unidos Mexicanos; participar en la creación y administración de reservas territoriales para el desarrollo urbano, la vivienda y la preservación ecológica, de conformidad con las disposiciones jurídicas aplicables.</w:t>
      </w:r>
    </w:p>
    <w:p w14:paraId="26A1ACDF"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2371C0A1"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Es oportuno señalar que la Constitución Política del Estado Libre y Soberano de México prevé que el desarrollo de la entidad se sustenta en el Sistema Estatal de Planeación Democrática, el cual se integra por los planes y programas que formulen las autoridades estatales y municipales y considerará en su proceso (a) el planteamiento de la problemática con base en la realidad objetiva, (b) los indicadores de desarrollo social y humano, (c) la proyección genérica de los objetivos para la estructuración de planes, programas y acciones que regirán el ejercicio de sus funciones públicas, su control y evaluación.</w:t>
      </w:r>
    </w:p>
    <w:p w14:paraId="5DF79D41"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7F58AC5D"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Correlativo a ello, la Ley de Planeación del Estado de México y Municipios prevé en su artículo 14 que el Sistema de Planeación Democrática para el Desarrollo del Estado de México se conforma, entre otros rubros, por los planes de desarrollo municipales, se </w:t>
      </w:r>
      <w:proofErr w:type="gramStart"/>
      <w:r w:rsidRPr="003E521A">
        <w:rPr>
          <w:rFonts w:ascii="Palatino Linotype" w:eastAsia="Palatino Linotype" w:hAnsi="Palatino Linotype" w:cs="Palatino Linotype"/>
        </w:rPr>
        <w:t>establece  un</w:t>
      </w:r>
      <w:proofErr w:type="gramEnd"/>
      <w:r w:rsidRPr="003E521A">
        <w:rPr>
          <w:rFonts w:ascii="Palatino Linotype" w:eastAsia="Palatino Linotype" w:hAnsi="Palatino Linotype" w:cs="Palatino Linotype"/>
        </w:rPr>
        <w:t xml:space="preserve"> sistema de planeación y participación democrática para </w:t>
      </w:r>
      <w:r w:rsidRPr="003E521A">
        <w:rPr>
          <w:rFonts w:ascii="Palatino Linotype" w:eastAsia="Palatino Linotype" w:hAnsi="Palatino Linotype" w:cs="Palatino Linotype"/>
        </w:rPr>
        <w:lastRenderedPageBreak/>
        <w:t>el desarrollo del Estado de México y Municipios, para la elaboración, ejecución y evaluación de los Planes de Desarrollo Municipal del Estado de México.</w:t>
      </w:r>
    </w:p>
    <w:p w14:paraId="07D95F41"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3927F0A5"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Es así que los artículos 19, fracción I de la citada Ley de Planeación señala dentro de las atribuciones de los Ayuntamientos en materia de planeación democrática para el desarrollo elaborar, aprobar, ejecutar, dar seguimiento, evaluar y el control del Plan de Desarrollo Municipal y sus programas, precepto que </w:t>
      </w:r>
      <w:proofErr w:type="gramStart"/>
      <w:r w:rsidRPr="003E521A">
        <w:rPr>
          <w:rFonts w:ascii="Palatino Linotype" w:eastAsia="Palatino Linotype" w:hAnsi="Palatino Linotype" w:cs="Palatino Linotype"/>
        </w:rPr>
        <w:t>es  del</w:t>
      </w:r>
      <w:proofErr w:type="gramEnd"/>
      <w:r w:rsidRPr="003E521A">
        <w:rPr>
          <w:rFonts w:ascii="Palatino Linotype" w:eastAsia="Palatino Linotype" w:hAnsi="Palatino Linotype" w:cs="Palatino Linotype"/>
        </w:rPr>
        <w:t xml:space="preserve"> tenor literal siguiente:</w:t>
      </w:r>
    </w:p>
    <w:p w14:paraId="4C47ADFA"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19.- Compete a los ayuntamientos, en materia de planeación democrática para el desarrollo: </w:t>
      </w:r>
    </w:p>
    <w:p w14:paraId="74EA26F6"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 Elaborar, aprobar, ejecutar, dar seguimiento, evaluar y el control del Plan de Desarrollo Municipal y sus programas;</w:t>
      </w:r>
    </w:p>
    <w:p w14:paraId="55E58EB9"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…(Sic)</w:t>
      </w:r>
    </w:p>
    <w:p w14:paraId="62A123A6"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5AE18C57"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En sus artículos 13 y 14  de la citada ley de planeación  se advierte que este sistema comprende como instrumentos el proceso de planeación estratégica, los planes, programas y las políticas de planeación que autoricen el Gobierno del Estado y los Ayuntamientos, siendo en el caso de estos últimos, los Planes de Desarrollo Municipal, los cuales contienen los lineamientos básicos a seguir durante la gestión local, incluyendo los aspectos relacionados con el Desarrollo Urbano y la Planeación Territorial, aunque de manera muy superficial, al no ser este su principal objetivo, es por esto que en el Libro Quinto del Código Administrativo del Estado de México, el artículo 5.17, Fracción V, del "Sistema Estatal de Planes de Desarrollo Urbano", establece la modalidad de "Planes Parciales".</w:t>
      </w:r>
    </w:p>
    <w:p w14:paraId="19D1DB2C"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22D1DA3D"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5.17. La planeación y regulación del ordenamiento territorial de los asentamientos humanos y el desarrollo urbano de los centros de población se llevará a cabo a través del </w:t>
      </w:r>
      <w:r w:rsidRPr="003E521A">
        <w:rPr>
          <w:rFonts w:ascii="Palatino Linotype" w:eastAsia="Palatino Linotype" w:hAnsi="Palatino Linotype" w:cs="Palatino Linotype"/>
          <w:i/>
          <w:sz w:val="22"/>
          <w:szCs w:val="22"/>
        </w:rPr>
        <w:lastRenderedPageBreak/>
        <w:t>Sistema Estatal de Planes de Desarrollo Urbano, acorde con lo establecido en la estrategia nacional de ordenamiento territorial, el cual se integra por</w:t>
      </w:r>
    </w:p>
    <w:p w14:paraId="67AE12ED"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1C18F3DA"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III. Los planes municipales de desarrollo urbano, que tendrán por objeto establecer las políticas, estrategias y objetivos para el desarrollo urbano de los centros de población en el territorio municipal, mediante la determinación de la zonificación, los destinos y las normas de uso y aprovechamiento del suelo, así como las acciones de conservación, mejoramiento y crecimiento en los centros de población, de conformidad con las características metropolitanas, urbanas y rurales previstas por el Plan Estatal de Desarrollo Urbano.</w:t>
      </w:r>
    </w:p>
    <w:p w14:paraId="044FBF4D"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026A9CEE"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 IV. </w:t>
      </w:r>
      <w:r w:rsidRPr="003E521A">
        <w:rPr>
          <w:rFonts w:ascii="Palatino Linotype" w:eastAsia="Palatino Linotype" w:hAnsi="Palatino Linotype" w:cs="Palatino Linotype"/>
          <w:b/>
          <w:i/>
          <w:sz w:val="22"/>
          <w:szCs w:val="22"/>
          <w:u w:val="single"/>
        </w:rPr>
        <w:t>Los planes parciales de desarrollo urbano, que pueden derivar</w:t>
      </w:r>
      <w:r w:rsidRPr="003E521A">
        <w:rPr>
          <w:rFonts w:ascii="Palatino Linotype" w:eastAsia="Palatino Linotype" w:hAnsi="Palatino Linotype" w:cs="Palatino Linotype"/>
          <w:i/>
          <w:sz w:val="22"/>
          <w:szCs w:val="22"/>
        </w:rPr>
        <w:t xml:space="preserve"> de: </w:t>
      </w:r>
    </w:p>
    <w:p w14:paraId="4F131387"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29E0FD4F"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b) </w:t>
      </w:r>
      <w:r w:rsidRPr="003E521A">
        <w:rPr>
          <w:rFonts w:ascii="Palatino Linotype" w:eastAsia="Palatino Linotype" w:hAnsi="Palatino Linotype" w:cs="Palatino Linotype"/>
          <w:b/>
          <w:i/>
          <w:sz w:val="22"/>
          <w:szCs w:val="22"/>
          <w:u w:val="single"/>
        </w:rPr>
        <w:t>De los planes municipales, en cuyo caso tendrán por objeto especificar en una zona determinada del municipio o centro de població</w:t>
      </w:r>
      <w:r w:rsidRPr="003E521A">
        <w:rPr>
          <w:rFonts w:ascii="Palatino Linotype" w:eastAsia="Palatino Linotype" w:hAnsi="Palatino Linotype" w:cs="Palatino Linotype"/>
          <w:i/>
          <w:sz w:val="22"/>
          <w:szCs w:val="22"/>
        </w:rPr>
        <w:t>n, los aspectos a que se refiere la fracción III de este artículo. Los planes tendrán la estructura, contenido específico, terminología y demás elementos técnicos que establezca la reglamentación de este Libro</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37629352"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5BBA7F8A"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 Del mismo modo, en los artículos 5.7 y 5.10, se establece la competencia de las autoridades estatales y municipales, cuyo sistema de planes de desarrollo. En este contexto, los planes parciales deben estar en concordancia con el Plan Estatal de Desarrollo Urbano y el Plan Regional de Desarrollo Urbano de acuerdo con lo que se establece en el artículo 5.18; por último, en el artículo 5.20, de ese mismo ordenamiento legal, determina, las normas para la elaboración, modificación, aprobación e inscripción de los Planes.</w:t>
      </w:r>
    </w:p>
    <w:p w14:paraId="1CBBA74E" w14:textId="77777777" w:rsidR="00355227" w:rsidRPr="003E521A" w:rsidRDefault="001F7EA1">
      <w:pPr>
        <w:shd w:val="clear" w:color="auto" w:fill="FFFFFF"/>
        <w:ind w:left="720"/>
        <w:jc w:val="both"/>
        <w:rPr>
          <w:rFonts w:ascii="Palatino Linotype" w:eastAsia="Palatino Linotype" w:hAnsi="Palatino Linotype" w:cs="Palatino Linotype"/>
        </w:rPr>
      </w:pPr>
      <w:r w:rsidRPr="003E521A">
        <w:rPr>
          <w:rFonts w:ascii="Palatino Linotype" w:eastAsia="Palatino Linotype" w:hAnsi="Palatino Linotype" w:cs="Palatino Linotype"/>
          <w:i/>
          <w:sz w:val="22"/>
          <w:szCs w:val="22"/>
        </w:rPr>
        <w:t>Artículo 5.7. Son autoridades para la aplicación de este Libro el Gobernador del Estado, la Secretaría de Desarrollo Urbano y Obra, la Secretaría de Movilidad y los municipios</w:t>
      </w:r>
      <w:r w:rsidRPr="003E521A">
        <w:t>.</w:t>
      </w:r>
    </w:p>
    <w:p w14:paraId="660E0A77"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43B45ABC"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“Artículo 5.10. Los municipios tendrán las atribuciones siguientes:</w:t>
      </w:r>
    </w:p>
    <w:p w14:paraId="7909C086"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 Formular, aprobar, ejecutar, evaluar, modificar y actualizar los planes municipales de desarrollo urbano y los parciales que de ellos deriven.</w:t>
      </w:r>
    </w:p>
    <w:p w14:paraId="062BD9E8"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 Participar en la elaboración o modificación del respectivo plan regional de desarrollo urbano o de los parciales que de éste deriven, cuando incluya parte o la totalidad de su territorio;</w:t>
      </w:r>
    </w:p>
    <w:p w14:paraId="5B534B42"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lastRenderedPageBreak/>
        <w:t>…(Sic)</w:t>
      </w:r>
    </w:p>
    <w:p w14:paraId="257B02BD"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7B24C561" w14:textId="77777777" w:rsidR="00355227" w:rsidRPr="003E521A" w:rsidRDefault="001F7EA1">
      <w:pPr>
        <w:shd w:val="clear" w:color="auto" w:fill="FFFFFF"/>
        <w:ind w:left="720"/>
        <w:jc w:val="both"/>
        <w:rPr>
          <w:rFonts w:ascii="Palatino Linotype" w:eastAsia="Palatino Linotype" w:hAnsi="Palatino Linotype" w:cs="Palatino Linotype"/>
          <w:i/>
          <w:sz w:val="20"/>
          <w:szCs w:val="20"/>
        </w:rPr>
      </w:pPr>
      <w:r w:rsidRPr="003E521A">
        <w:rPr>
          <w:rFonts w:ascii="Palatino Linotype" w:eastAsia="Palatino Linotype" w:hAnsi="Palatino Linotype" w:cs="Palatino Linotype"/>
          <w:i/>
          <w:sz w:val="22"/>
          <w:szCs w:val="22"/>
        </w:rPr>
        <w:t>“</w:t>
      </w:r>
    </w:p>
    <w:p w14:paraId="4CB50755" w14:textId="77777777" w:rsidR="00355227" w:rsidRPr="003E521A" w:rsidRDefault="00355227">
      <w:pPr>
        <w:shd w:val="clear" w:color="auto" w:fill="FFFFFF"/>
        <w:jc w:val="both"/>
        <w:rPr>
          <w:rFonts w:ascii="Palatino Linotype" w:eastAsia="Palatino Linotype" w:hAnsi="Palatino Linotype" w:cs="Palatino Linotype"/>
          <w:i/>
          <w:sz w:val="22"/>
          <w:szCs w:val="22"/>
        </w:rPr>
      </w:pPr>
    </w:p>
    <w:p w14:paraId="57E733B3"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5.18. </w:t>
      </w:r>
      <w:r w:rsidRPr="003E521A">
        <w:rPr>
          <w:rFonts w:ascii="Palatino Linotype" w:eastAsia="Palatino Linotype" w:hAnsi="Palatino Linotype" w:cs="Palatino Linotype"/>
          <w:b/>
          <w:i/>
          <w:sz w:val="22"/>
          <w:szCs w:val="22"/>
        </w:rPr>
        <w:t>Los planes regionales, municipales y parciales deberán ser congruentes con las políticas, estrategias y objetivos previstos en el Plan Estatal de Desarrollo Urbano</w:t>
      </w:r>
      <w:r w:rsidRPr="003E521A">
        <w:rPr>
          <w:rFonts w:ascii="Palatino Linotype" w:eastAsia="Palatino Linotype" w:hAnsi="Palatino Linotype" w:cs="Palatino Linotype"/>
          <w:i/>
          <w:sz w:val="22"/>
          <w:szCs w:val="22"/>
        </w:rPr>
        <w:t xml:space="preserve">, </w:t>
      </w:r>
      <w:r w:rsidRPr="003E521A">
        <w:rPr>
          <w:rFonts w:ascii="Palatino Linotype" w:eastAsia="Palatino Linotype" w:hAnsi="Palatino Linotype" w:cs="Palatino Linotype"/>
          <w:b/>
          <w:i/>
          <w:sz w:val="22"/>
          <w:szCs w:val="22"/>
          <w:u w:val="single"/>
        </w:rPr>
        <w:t>el cual deberá de ser congruente con el Programa Nacional de Vivienda y el Programa Nacional de Infraestructura. Los planes municipales y los parciales que deriven de éstos, que se encuentren en zonas metropolitanas</w:t>
      </w:r>
      <w:r w:rsidRPr="003E521A">
        <w:rPr>
          <w:rFonts w:ascii="Palatino Linotype" w:eastAsia="Palatino Linotype" w:hAnsi="Palatino Linotype" w:cs="Palatino Linotype"/>
          <w:i/>
          <w:sz w:val="22"/>
          <w:szCs w:val="22"/>
        </w:rPr>
        <w:t xml:space="preserve"> o de conurbación, deberán ser congruentes, además, con los planes regionales y los parciales de competencia estatal que incidan en la zona y, en lo conducente, con los planes y programas de ordenación de dichas zonas metropolitanas y de conurbación, conforme a las declaratorias de zonas metropolitanas decretadas por la Legislatura del Estado.</w:t>
      </w:r>
    </w:p>
    <w:p w14:paraId="5BB7427A"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207E241B"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5.20.- </w:t>
      </w:r>
      <w:r w:rsidRPr="003E521A">
        <w:rPr>
          <w:rFonts w:ascii="Palatino Linotype" w:eastAsia="Palatino Linotype" w:hAnsi="Palatino Linotype" w:cs="Palatino Linotype"/>
          <w:b/>
          <w:i/>
          <w:sz w:val="22"/>
          <w:szCs w:val="22"/>
          <w:u w:val="single"/>
        </w:rPr>
        <w:t>La elaboración, aprobación, publicación y registro de los planes de desarrollo urbano o de sus modificaciones, se sujetarán a las reglas siguientes</w:t>
      </w:r>
      <w:r w:rsidRPr="003E521A">
        <w:rPr>
          <w:rFonts w:ascii="Palatino Linotype" w:eastAsia="Palatino Linotype" w:hAnsi="Palatino Linotype" w:cs="Palatino Linotype"/>
          <w:i/>
          <w:sz w:val="22"/>
          <w:szCs w:val="22"/>
        </w:rPr>
        <w:t>:</w:t>
      </w:r>
    </w:p>
    <w:p w14:paraId="223BD4DC"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6C61C679" w14:textId="77777777" w:rsidR="00355227" w:rsidRPr="003E521A" w:rsidRDefault="001F7EA1">
      <w:pPr>
        <w:shd w:val="clear" w:color="auto" w:fill="FFFFFF"/>
        <w:ind w:left="720"/>
        <w:jc w:val="both"/>
        <w:rPr>
          <w:rFonts w:ascii="Palatino Linotype" w:eastAsia="Palatino Linotype" w:hAnsi="Palatino Linotype" w:cs="Palatino Linotype"/>
          <w:i/>
          <w:sz w:val="20"/>
          <w:szCs w:val="20"/>
        </w:rPr>
      </w:pPr>
      <w:r w:rsidRPr="003E521A">
        <w:rPr>
          <w:rFonts w:ascii="Palatino Linotype" w:eastAsia="Palatino Linotype" w:hAnsi="Palatino Linotype" w:cs="Palatino Linotype"/>
          <w:i/>
          <w:sz w:val="22"/>
          <w:szCs w:val="22"/>
        </w:rPr>
        <w:t xml:space="preserve">I. </w:t>
      </w:r>
      <w:r w:rsidRPr="003E521A">
        <w:rPr>
          <w:rFonts w:ascii="Palatino Linotype" w:eastAsia="Palatino Linotype" w:hAnsi="Palatino Linotype" w:cs="Palatino Linotype"/>
          <w:b/>
          <w:i/>
          <w:sz w:val="22"/>
          <w:szCs w:val="22"/>
          <w:u w:val="single"/>
        </w:rPr>
        <w:t>La Secretaría o el municipio que corresponda</w:t>
      </w:r>
      <w:r w:rsidRPr="003E521A">
        <w:rPr>
          <w:rFonts w:ascii="Palatino Linotype" w:eastAsia="Palatino Linotype" w:hAnsi="Palatino Linotype" w:cs="Palatino Linotype"/>
          <w:i/>
          <w:sz w:val="22"/>
          <w:szCs w:val="22"/>
        </w:rPr>
        <w:t>, elaborará el proyecto de plan o de sus modificaciones y lo someterá a consulta pública, conforme a lo siguiente:</w:t>
      </w:r>
    </w:p>
    <w:p w14:paraId="7E0805E4" w14:textId="77777777" w:rsidR="00355227" w:rsidRPr="003E521A" w:rsidRDefault="00355227">
      <w:pPr>
        <w:shd w:val="clear" w:color="auto" w:fill="FFFFFF"/>
        <w:ind w:left="720"/>
        <w:jc w:val="both"/>
        <w:rPr>
          <w:rFonts w:ascii="Palatino Linotype" w:eastAsia="Palatino Linotype" w:hAnsi="Palatino Linotype" w:cs="Palatino Linotype"/>
          <w:i/>
          <w:sz w:val="20"/>
          <w:szCs w:val="20"/>
        </w:rPr>
      </w:pPr>
    </w:p>
    <w:p w14:paraId="14D6F870"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 Publicará aviso del inicio de consulta pública. Para el caso de planes de competencia estatal, en el Periódico Oficial “Gaceta del Gobierno”, en un periódico de circulación estatal y en la página electrónica de la Secretaría; </w:t>
      </w:r>
    </w:p>
    <w:p w14:paraId="160596DD"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b) El aviso a que se refiere el inciso anterior, señalará los lugares, fechas y portales informativos en los cuales el proyecto del plan estará a disposición del público para su consulta, así como calendario de audiencias públicas en las que los interesados deberán presentar por escrito en formato físico o electrónico sus planteamientos respecto a dicho proyecto.</w:t>
      </w:r>
    </w:p>
    <w:p w14:paraId="6F795C45"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 c) El plazo para la consulta pública no deberá ser menor a un mes; </w:t>
      </w:r>
    </w:p>
    <w:p w14:paraId="1DD5C7EB"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d) Dicho aviso establecerá el calendario y las formalidades a las que se sujetarán las audiencias públicas que deberán ser al menos dos, así como los demás aspectos que se establezcan en la reglamentación del presente Libro. </w:t>
      </w:r>
    </w:p>
    <w:p w14:paraId="2D6337CC" w14:textId="77777777" w:rsidR="00355227" w:rsidRPr="003E521A" w:rsidRDefault="001F7EA1">
      <w:pPr>
        <w:shd w:val="clear" w:color="auto" w:fill="FFFFFF"/>
        <w:ind w:left="720"/>
        <w:jc w:val="both"/>
        <w:rPr>
          <w:rFonts w:ascii="Palatino Linotype" w:eastAsia="Palatino Linotype" w:hAnsi="Palatino Linotype" w:cs="Palatino Linotype"/>
          <w:i/>
          <w:sz w:val="20"/>
          <w:szCs w:val="20"/>
        </w:rPr>
      </w:pPr>
      <w:r w:rsidRPr="003E521A">
        <w:rPr>
          <w:rFonts w:ascii="Palatino Linotype" w:eastAsia="Palatino Linotype" w:hAnsi="Palatino Linotype" w:cs="Palatino Linotype"/>
          <w:i/>
          <w:sz w:val="22"/>
          <w:szCs w:val="22"/>
        </w:rPr>
        <w:t>e) La Secretaría o el municipio, según corresponda, analizará las opiniones recibidas durante la consulta e integrará las procedentes al proyecto definitivo del plan. Las improcedentes deberán fundamentarse y estarán a consulta pública en las oficinas y sitios web de la autoridad estatal o municipal correspondiente, durante el periodo de consulta y hasta antes de la aprobación del plan</w:t>
      </w:r>
    </w:p>
    <w:p w14:paraId="52605424" w14:textId="77777777" w:rsidR="00355227" w:rsidRPr="003E521A" w:rsidRDefault="00355227">
      <w:pPr>
        <w:shd w:val="clear" w:color="auto" w:fill="FFFFFF"/>
        <w:ind w:left="720"/>
        <w:jc w:val="both"/>
        <w:rPr>
          <w:rFonts w:ascii="Palatino Linotype" w:eastAsia="Palatino Linotype" w:hAnsi="Palatino Linotype" w:cs="Palatino Linotype"/>
          <w:i/>
          <w:sz w:val="20"/>
          <w:szCs w:val="20"/>
        </w:rPr>
      </w:pPr>
    </w:p>
    <w:p w14:paraId="5488CA69"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lastRenderedPageBreak/>
        <w:t>II. En el caso de planes que deban ser aprobados por el Ayuntamiento, éste recabará de la Secretaría, el dictamen de congruencia correspondiente quien tendrá un plazo máximo de treinta días hábiles para dar respuesta, contados a partir de que sea presentada la solicitud; en caso de no ser favorable, se deberán justificar de manera clara y expresa las recomendaciones pertinentes para que el Ayuntamiento efectúe las modificaciones correspondientes.</w:t>
      </w:r>
    </w:p>
    <w:p w14:paraId="1EC9F61D"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44F37374"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III. </w:t>
      </w:r>
      <w:r w:rsidRPr="003E521A">
        <w:rPr>
          <w:rFonts w:ascii="Palatino Linotype" w:eastAsia="Palatino Linotype" w:hAnsi="Palatino Linotype" w:cs="Palatino Linotype"/>
          <w:b/>
          <w:i/>
          <w:sz w:val="22"/>
          <w:szCs w:val="22"/>
          <w:u w:val="single"/>
        </w:rPr>
        <w:t>Cumplidas las formalidades anteriores, el plan será aprobado mediante acuerdo expedido por el Gobernador o por el Ayuntamiento, según corresponda. Los planes y sus respectivos acuerdos de aprobación, deberán ser publicados en el Periódico Oficial “Gaceta del Gobierno</w:t>
      </w:r>
      <w:r w:rsidRPr="003E521A">
        <w:rPr>
          <w:rFonts w:ascii="Palatino Linotype" w:eastAsia="Palatino Linotype" w:hAnsi="Palatino Linotype" w:cs="Palatino Linotype"/>
          <w:i/>
          <w:sz w:val="22"/>
          <w:szCs w:val="22"/>
        </w:rPr>
        <w:t xml:space="preserve">” a través de la Secretaría, a partir de lo cual surtirán sus efectos jurídicos, sin perjuicio de que los planes de competencia municipal sean publicados en el Periódico Oficial del municipio respectivo. </w:t>
      </w:r>
    </w:p>
    <w:p w14:paraId="4AA0F677"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1C1C1E75" w14:textId="77777777" w:rsidR="00355227" w:rsidRPr="003E521A" w:rsidRDefault="001F7EA1">
      <w:pPr>
        <w:shd w:val="clear" w:color="auto" w:fill="FFFFFF"/>
        <w:ind w:left="720"/>
        <w:jc w:val="both"/>
        <w:rPr>
          <w:rFonts w:ascii="Palatino Linotype" w:eastAsia="Palatino Linotype" w:hAnsi="Palatino Linotype" w:cs="Palatino Linotype"/>
          <w:i/>
          <w:sz w:val="20"/>
          <w:szCs w:val="20"/>
        </w:rPr>
      </w:pPr>
      <w:r w:rsidRPr="003E521A">
        <w:rPr>
          <w:rFonts w:ascii="Palatino Linotype" w:eastAsia="Palatino Linotype" w:hAnsi="Palatino Linotype" w:cs="Palatino Linotype"/>
          <w:i/>
          <w:sz w:val="22"/>
          <w:szCs w:val="22"/>
        </w:rPr>
        <w:t>Asimismo, se inscribirán en el Instituto de la Función Registral del Estado de México</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7DC91F34" w14:textId="77777777" w:rsidR="00355227" w:rsidRPr="003E521A" w:rsidRDefault="00355227">
      <w:pPr>
        <w:shd w:val="clear" w:color="auto" w:fill="FFFFFF"/>
        <w:jc w:val="both"/>
        <w:rPr>
          <w:rFonts w:ascii="Palatino Linotype" w:eastAsia="Palatino Linotype" w:hAnsi="Palatino Linotype" w:cs="Palatino Linotype"/>
          <w:i/>
          <w:sz w:val="22"/>
          <w:szCs w:val="22"/>
        </w:rPr>
      </w:pPr>
    </w:p>
    <w:p w14:paraId="27BF10A4"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Artículo 5.21.- Los planes de desarrollo urbano:</w:t>
      </w:r>
    </w:p>
    <w:p w14:paraId="67EE3C11"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 Serán de cumplimiento obligatorio para las autoridades y los particulares; </w:t>
      </w:r>
    </w:p>
    <w:p w14:paraId="398345DF"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II. Deberán ser observados en la formulación y ejecución de programas de obra pública, así como de dotación, administración y funcionamiento de servicios públicos; y </w:t>
      </w:r>
    </w:p>
    <w:p w14:paraId="7C1C52DA"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III. </w:t>
      </w:r>
      <w:r w:rsidRPr="003E521A">
        <w:rPr>
          <w:rFonts w:ascii="Palatino Linotype" w:eastAsia="Palatino Linotype" w:hAnsi="Palatino Linotype" w:cs="Palatino Linotype"/>
          <w:b/>
          <w:i/>
          <w:sz w:val="22"/>
          <w:szCs w:val="22"/>
        </w:rPr>
        <w:t>Solamente podrán modificarse, en relación a la estructura urbana prevista, siguiendo las formalidades</w:t>
      </w:r>
      <w:r w:rsidRPr="003E521A">
        <w:rPr>
          <w:rFonts w:ascii="Palatino Linotype" w:eastAsia="Palatino Linotype" w:hAnsi="Palatino Linotype" w:cs="Palatino Linotype"/>
          <w:i/>
          <w:sz w:val="22"/>
          <w:szCs w:val="22"/>
        </w:rPr>
        <w:t xml:space="preserve"> a que se refiere el artículo anterior y siempre que estén sustentados en una evaluación del plan que se modifica</w:t>
      </w:r>
    </w:p>
    <w:p w14:paraId="65A3630A"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481B5B90"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este mismo contexto, en el Reglamento del Libro quinto del Código Administrativo del Estado de México, artículos 2, 28 y  29, fracción I, se establece la modalidad de Plan Parcial de Incorporación Territorial, mismos que deberán ser congruentes con el respectivo plan municipal de desarrollo urbano, se podrán derivar del Plan Estatal de los Planes Regionales o de los Planes de competencia municipal y serán expedidos para integrar a los centros de población nuevas áreas de crecimiento, tal y como se precisa a la literalidad: </w:t>
      </w:r>
    </w:p>
    <w:p w14:paraId="5C94707D"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45AC48B2"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lastRenderedPageBreak/>
        <w:t>“Artículo 2. Además de las definiciones contenidas en el Libro Quinto del Código Administrativo del Estado de México, para los efectos de este Reglamento se entenderá por</w:t>
      </w:r>
    </w:p>
    <w:p w14:paraId="7D6DB3F8"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749E3317"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XIII. </w:t>
      </w:r>
      <w:r w:rsidRPr="003E521A">
        <w:rPr>
          <w:rFonts w:ascii="Palatino Linotype" w:eastAsia="Palatino Linotype" w:hAnsi="Palatino Linotype" w:cs="Palatino Linotype"/>
          <w:b/>
          <w:i/>
          <w:sz w:val="22"/>
          <w:szCs w:val="22"/>
        </w:rPr>
        <w:t>Planes Parciales de Incorporación Territorial</w:t>
      </w:r>
      <w:r w:rsidRPr="003E521A">
        <w:rPr>
          <w:rFonts w:ascii="Palatino Linotype" w:eastAsia="Palatino Linotype" w:hAnsi="Palatino Linotype" w:cs="Palatino Linotype"/>
          <w:i/>
          <w:sz w:val="22"/>
          <w:szCs w:val="22"/>
        </w:rPr>
        <w:t>: A los Planes de competencia municipal que se expedirán para integrar zonas predominantemente para actividades productivas y cuando cualquier otro propósito análogo de interés público lo hiciere necesario;</w:t>
      </w:r>
    </w:p>
    <w:p w14:paraId="741AFF40"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4ABF2ADE"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22DC60CA"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28. Los planes de desarrollo urbano de competencia municipal serán los siguientes: I. Plan municipal de desarrollo urbano; </w:t>
      </w:r>
    </w:p>
    <w:p w14:paraId="7B79EC90"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 Planes parciales de desarrollo urbano:</w:t>
      </w:r>
    </w:p>
    <w:p w14:paraId="0F753F96"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 De Zonas Urbanas Consolidadas, y </w:t>
      </w:r>
    </w:p>
    <w:p w14:paraId="201506EE"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B) </w:t>
      </w:r>
      <w:r w:rsidRPr="003E521A">
        <w:rPr>
          <w:rFonts w:ascii="Palatino Linotype" w:eastAsia="Palatino Linotype" w:hAnsi="Palatino Linotype" w:cs="Palatino Linotype"/>
          <w:b/>
          <w:i/>
          <w:sz w:val="22"/>
          <w:szCs w:val="22"/>
          <w:u w:val="single"/>
        </w:rPr>
        <w:t>De incorporación territorial.</w:t>
      </w:r>
    </w:p>
    <w:p w14:paraId="61B79D18" w14:textId="77777777" w:rsidR="00355227" w:rsidRPr="003E521A" w:rsidRDefault="00355227">
      <w:pPr>
        <w:shd w:val="clear" w:color="auto" w:fill="FFFFFF"/>
        <w:ind w:left="720"/>
        <w:jc w:val="both"/>
        <w:rPr>
          <w:rFonts w:ascii="Palatino Linotype" w:eastAsia="Palatino Linotype" w:hAnsi="Palatino Linotype" w:cs="Palatino Linotype"/>
          <w:i/>
          <w:sz w:val="22"/>
          <w:szCs w:val="22"/>
        </w:rPr>
      </w:pPr>
    </w:p>
    <w:p w14:paraId="5C128A3E"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Artículo 29. Los planes de desarrollo urbano de competencia municipal deberán tener las características siguientes: </w:t>
      </w:r>
    </w:p>
    <w:p w14:paraId="4E4E5546"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 Ser congruentes con el Plan Estatal de Desarrollo Urbano, con el plan regional de desarrollo urbano correspondiente y tratándose de los parciales, con el respectivo plan municipal de desarrollo urbano;”</w:t>
      </w:r>
    </w:p>
    <w:p w14:paraId="2E2A35B9" w14:textId="77777777" w:rsidR="00355227" w:rsidRPr="003E521A" w:rsidRDefault="001F7EA1">
      <w:pPr>
        <w:shd w:val="clear" w:color="auto" w:fill="FFFFFF"/>
        <w:ind w:left="720"/>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…(Sic)</w:t>
      </w:r>
    </w:p>
    <w:p w14:paraId="245BC523" w14:textId="77777777" w:rsidR="00355227" w:rsidRPr="003E521A" w:rsidRDefault="00355227">
      <w:pPr>
        <w:shd w:val="clear" w:color="auto" w:fill="FFFFFF"/>
        <w:spacing w:line="360" w:lineRule="auto"/>
        <w:jc w:val="both"/>
        <w:rPr>
          <w:rFonts w:ascii="Palatino Linotype" w:eastAsia="Palatino Linotype" w:hAnsi="Palatino Linotype" w:cs="Palatino Linotype"/>
        </w:rPr>
      </w:pPr>
    </w:p>
    <w:p w14:paraId="6FA69BC4"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Una vez agotado lo anterior,  se tiene que los </w:t>
      </w:r>
      <w:r w:rsidRPr="003E521A">
        <w:rPr>
          <w:rFonts w:ascii="Palatino Linotype" w:eastAsia="Palatino Linotype" w:hAnsi="Palatino Linotype" w:cs="Palatino Linotype"/>
          <w:b/>
          <w:i/>
        </w:rPr>
        <w:t>Planes Parciales de Incorporación Territorial</w:t>
      </w:r>
      <w:r w:rsidRPr="003E521A">
        <w:rPr>
          <w:rFonts w:ascii="Palatino Linotype" w:eastAsia="Palatino Linotype" w:hAnsi="Palatino Linotype" w:cs="Palatino Linotype"/>
          <w:i/>
        </w:rPr>
        <w:t xml:space="preserve">, </w:t>
      </w:r>
      <w:r w:rsidRPr="003E521A">
        <w:rPr>
          <w:rFonts w:ascii="Palatino Linotype" w:eastAsia="Palatino Linotype" w:hAnsi="Palatino Linotype" w:cs="Palatino Linotype"/>
        </w:rPr>
        <w:t>son los Planes de competencia municipal que se expedirán para integrar zonas predominantemente para actividades productivas,</w:t>
      </w:r>
      <w:r w:rsidRPr="003E521A">
        <w:rPr>
          <w:rFonts w:ascii="Palatino Linotype" w:eastAsia="Palatino Linotype" w:hAnsi="Palatino Linotype" w:cs="Palatino Linotype"/>
          <w:i/>
        </w:rPr>
        <w:t xml:space="preserve">  </w:t>
      </w:r>
      <w:r w:rsidRPr="003E521A">
        <w:rPr>
          <w:rFonts w:ascii="Palatino Linotype" w:eastAsia="Palatino Linotype" w:hAnsi="Palatino Linotype" w:cs="Palatino Linotype"/>
        </w:rPr>
        <w:t xml:space="preserve"> en este sentido es de recordar que el particular de la solicitud de información requirió del SUJETO OBLIGADO el Plan parcial de integración territorial Santa Bárbara Norte del Municipio de Cuautitlán Izcalli, Estado de México, situación que en respuesta se  le  refirió que no existía.</w:t>
      </w:r>
    </w:p>
    <w:p w14:paraId="65B2960D" w14:textId="77777777" w:rsidR="00355227" w:rsidRPr="003E521A" w:rsidRDefault="001F7EA1">
      <w:pPr>
        <w:spacing w:before="280" w:after="28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Ahora bien, de la revisión a las documentales que integran el expediente sobre del que  esta Autoridad actúa, se advierte que mediante informe justificado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a través de la Dirección de Desarrollo Urbano refirió que no cuenta con el </w:t>
      </w:r>
      <w:r w:rsidRPr="003E521A">
        <w:rPr>
          <w:rFonts w:ascii="Palatino Linotype" w:eastAsia="Palatino Linotype" w:hAnsi="Palatino Linotype" w:cs="Palatino Linotype"/>
        </w:rPr>
        <w:lastRenderedPageBreak/>
        <w:t xml:space="preserve">referido Plan Parcial de Integración Territorial </w:t>
      </w:r>
      <w:r w:rsidRPr="003E521A">
        <w:rPr>
          <w:rFonts w:ascii="Palatino Linotype" w:eastAsia="Palatino Linotype" w:hAnsi="Palatino Linotype" w:cs="Palatino Linotype"/>
          <w:i/>
        </w:rPr>
        <w:t xml:space="preserve">Santa Bárbara Norte,  del Municipio de Cuautitlán Izcalli </w:t>
      </w:r>
      <w:r w:rsidRPr="003E521A">
        <w:rPr>
          <w:rFonts w:ascii="Palatino Linotype" w:eastAsia="Palatino Linotype" w:hAnsi="Palatino Linotype" w:cs="Palatino Linotype"/>
        </w:rPr>
        <w:t xml:space="preserve"> en virtud de que, si bien fue sometido a consideración de cabildo en la centésima septuagésima sesión del ayuntamiento, de carácter extraordinaria, de tipo pública del dieciocho de diciembre del año dos mil quince, el citado plan no cumplió con lo señalado en  la fracción VIII del artículo 33 del Reglamento del Libro Quinto del Código Administrativo del Estado de México, motivo por el cual no se encuentra publicado en el Periódico Oficial “Gaceta del Gobierno” ni inscrito en el Instituto de la Función Registral  del Estado de México; por lo tanto, no es parte del Sistema Estatal de Planes de Desarrollo Urbano. </w:t>
      </w:r>
    </w:p>
    <w:p w14:paraId="0F3367A3"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En este sentido, tal y como quedó asentado en párrafos anteriores  en el Reglamento del Libro quinto del Código Administrativo del Estado de México, se establece la modalidad de Plan Parcial de Incorporación Territorial, mismos que deberán ser congruentes con el respectivo plan municipal de desarrollo urbano, serán expedidos para integrar a los centros de población nuevas áreas de crecimiento; a  tales efectos, en el artículo 33, fracción VIII de la citada normatividad se señala que el procedimiento de aprobación o modificación del Plan Estatal de Desarrollo Urbano, de los planes regionales de desarrollo urbano, así como de los planes parciales que se deriven de ellos, se sujetará entre otros requisitos a:</w:t>
      </w:r>
      <w:r w:rsidRPr="003E521A">
        <w:t xml:space="preserve"> </w:t>
      </w:r>
    </w:p>
    <w:p w14:paraId="421B95CE" w14:textId="77777777" w:rsidR="00355227" w:rsidRPr="003E521A" w:rsidRDefault="00355227">
      <w:pPr>
        <w:shd w:val="clear" w:color="auto" w:fill="FFFFFF"/>
        <w:jc w:val="both"/>
        <w:rPr>
          <w:rFonts w:ascii="Palatino Linotype" w:eastAsia="Palatino Linotype" w:hAnsi="Palatino Linotype" w:cs="Palatino Linotype"/>
          <w:i/>
          <w:sz w:val="22"/>
          <w:szCs w:val="22"/>
        </w:rPr>
      </w:pPr>
    </w:p>
    <w:p w14:paraId="374EE584" w14:textId="77777777" w:rsidR="00355227" w:rsidRPr="003E521A" w:rsidRDefault="001F7EA1">
      <w:pPr>
        <w:pBdr>
          <w:top w:val="nil"/>
          <w:left w:val="nil"/>
          <w:bottom w:val="nil"/>
          <w:right w:val="nil"/>
          <w:between w:val="nil"/>
        </w:pBdr>
        <w:shd w:val="clear" w:color="auto" w:fill="FFFFFF"/>
        <w:spacing w:line="276" w:lineRule="auto"/>
        <w:ind w:left="720"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 xml:space="preserve">“Artículo 33. </w:t>
      </w:r>
      <w:r w:rsidRPr="003E521A">
        <w:rPr>
          <w:rFonts w:ascii="Palatino Linotype" w:eastAsia="Palatino Linotype" w:hAnsi="Palatino Linotype" w:cs="Palatino Linotype"/>
          <w:i/>
          <w:sz w:val="22"/>
          <w:szCs w:val="22"/>
        </w:rPr>
        <w:t>El procedimiento de aprobación y modificación de los planes municipales de desarrollo urbano y de los planes parciales que deriven de ellos, se sujetará a lo siguiente:</w:t>
      </w:r>
    </w:p>
    <w:p w14:paraId="68C7BF15" w14:textId="77777777" w:rsidR="00355227" w:rsidRPr="003E521A" w:rsidRDefault="001F7EA1">
      <w:pPr>
        <w:pBdr>
          <w:top w:val="nil"/>
          <w:left w:val="nil"/>
          <w:bottom w:val="nil"/>
          <w:right w:val="nil"/>
          <w:between w:val="nil"/>
        </w:pBdr>
        <w:shd w:val="clear" w:color="auto" w:fill="FFFFFF"/>
        <w:spacing w:line="276" w:lineRule="auto"/>
        <w:ind w:left="720"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w:t>
      </w:r>
    </w:p>
    <w:p w14:paraId="51FA896E" w14:textId="77777777" w:rsidR="00355227" w:rsidRPr="003E521A" w:rsidRDefault="001F7EA1">
      <w:pPr>
        <w:pBdr>
          <w:top w:val="nil"/>
          <w:left w:val="nil"/>
          <w:bottom w:val="nil"/>
          <w:right w:val="nil"/>
          <w:between w:val="nil"/>
        </w:pBdr>
        <w:shd w:val="clear" w:color="auto" w:fill="FFFFFF"/>
        <w:spacing w:line="276" w:lineRule="auto"/>
        <w:ind w:left="720"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VIII. Una vez aprobado el plan o su modificación, la autoridad municipal, dentro de los diez días siguientes, lo remitirá con todos sus antecedentes y anexos gráficos a la Secretaría en documento electrónico y en dos versiones físicas, anexando copia </w:t>
      </w:r>
      <w:r w:rsidRPr="003E521A">
        <w:rPr>
          <w:rFonts w:ascii="Palatino Linotype" w:eastAsia="Palatino Linotype" w:hAnsi="Palatino Linotype" w:cs="Palatino Linotype"/>
          <w:i/>
          <w:sz w:val="22"/>
          <w:szCs w:val="22"/>
        </w:rPr>
        <w:lastRenderedPageBreak/>
        <w:t xml:space="preserve">certificada del acta de sesión de Cabildo en el que conste su aprobación; lo anterior, para el trámite de su publicación en el Periódico Oficial “Gaceta del Gobierno” y su posterior inscripción en el Instituto de la Función Registral del Estado de México, así como la correspondiente remisión al Sistema Estatal. Los documentos físicos o impresos y copia del acta de sesión de Cabildo, deberán estar certificados por el </w:t>
      </w:r>
      <w:proofErr w:type="gramStart"/>
      <w:r w:rsidRPr="003E521A">
        <w:rPr>
          <w:rFonts w:ascii="Palatino Linotype" w:eastAsia="Palatino Linotype" w:hAnsi="Palatino Linotype" w:cs="Palatino Linotype"/>
          <w:i/>
          <w:sz w:val="22"/>
          <w:szCs w:val="22"/>
        </w:rPr>
        <w:t>Secretario</w:t>
      </w:r>
      <w:proofErr w:type="gramEnd"/>
      <w:r w:rsidRPr="003E521A">
        <w:rPr>
          <w:rFonts w:ascii="Palatino Linotype" w:eastAsia="Palatino Linotype" w:hAnsi="Palatino Linotype" w:cs="Palatino Linotype"/>
          <w:i/>
          <w:sz w:val="22"/>
          <w:szCs w:val="22"/>
        </w:rPr>
        <w:t xml:space="preserve"> del Ayuntamiento y los electrónicos contendrán su firma electrónica avanzada o sello electrónico, además del respectivo oficio con el cual sean remitidos a la Secretaría, y</w:t>
      </w:r>
    </w:p>
    <w:p w14:paraId="13772405" w14:textId="77777777" w:rsidR="00355227" w:rsidRPr="003E521A" w:rsidRDefault="001F7EA1">
      <w:pPr>
        <w:pBdr>
          <w:top w:val="nil"/>
          <w:left w:val="nil"/>
          <w:bottom w:val="nil"/>
          <w:right w:val="nil"/>
          <w:between w:val="nil"/>
        </w:pBdr>
        <w:shd w:val="clear" w:color="auto" w:fill="FFFFFF"/>
        <w:spacing w:line="276" w:lineRule="auto"/>
        <w:ind w:left="720" w:right="616"/>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i/>
          <w:sz w:val="22"/>
          <w:szCs w:val="22"/>
        </w:rPr>
        <w:t>…</w:t>
      </w:r>
    </w:p>
    <w:p w14:paraId="5CAD8C3C" w14:textId="77777777" w:rsidR="00355227" w:rsidRPr="003E521A" w:rsidRDefault="00355227">
      <w:pPr>
        <w:shd w:val="clear" w:color="auto" w:fill="FFFFFF"/>
        <w:spacing w:line="360" w:lineRule="auto"/>
        <w:ind w:right="616"/>
        <w:jc w:val="both"/>
        <w:rPr>
          <w:rFonts w:ascii="Palatino Linotype" w:eastAsia="Palatino Linotype" w:hAnsi="Palatino Linotype" w:cs="Palatino Linotype"/>
        </w:rPr>
      </w:pPr>
    </w:p>
    <w:p w14:paraId="08E9D163" w14:textId="77777777" w:rsidR="00355227" w:rsidRPr="003E521A" w:rsidRDefault="001F7EA1">
      <w:pPr>
        <w:shd w:val="clear" w:color="auto" w:fill="FFFFFF"/>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este sentido, tal y como lo señala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el Plan Parcial de Integración Territorial </w:t>
      </w:r>
      <w:r w:rsidRPr="003E521A">
        <w:rPr>
          <w:rFonts w:ascii="Palatino Linotype" w:eastAsia="Palatino Linotype" w:hAnsi="Palatino Linotype" w:cs="Palatino Linotype"/>
          <w:i/>
        </w:rPr>
        <w:t xml:space="preserve">Santa Bárbara Norte,  del Municipio de Cuautitlán Izcalli, </w:t>
      </w:r>
      <w:r w:rsidRPr="003E521A">
        <w:rPr>
          <w:rFonts w:ascii="Palatino Linotype" w:eastAsia="Palatino Linotype" w:hAnsi="Palatino Linotype" w:cs="Palatino Linotype"/>
        </w:rPr>
        <w:t>si bien fue sometido a consideración del cabildo dicho procedimiento no se perfeccionó en virtud de que no cumplió con lo que dicta la fracción VIII del artículo 33  del Reglamento del Libro quinto del Código Administrativo del Estado de México; esto es, el Ayuntamiento de Cuautitlán Izcalli no lo remitió incluyendo antecedentes y anexos gráficos dentro del término previsto a la Secretaría de Desarrollo Urbano y Obra, para el trámite de su publicación en el Periódico Oficial “Gaceta del Gobierno” y su posterior inscripción en el Instituto de la Función Registral del Estado de México.</w:t>
      </w:r>
    </w:p>
    <w:p w14:paraId="0D12728C" w14:textId="77777777" w:rsidR="00355227" w:rsidRPr="003E521A" w:rsidRDefault="00355227">
      <w:pPr>
        <w:spacing w:line="360" w:lineRule="auto"/>
        <w:jc w:val="both"/>
        <w:rPr>
          <w:rFonts w:ascii="Palatino Linotype" w:eastAsia="Palatino Linotype" w:hAnsi="Palatino Linotype" w:cs="Palatino Linotype"/>
          <w:b/>
        </w:rPr>
      </w:pPr>
    </w:p>
    <w:p w14:paraId="17C12573" w14:textId="77777777" w:rsidR="00355227" w:rsidRPr="003E521A" w:rsidRDefault="001F7EA1">
      <w:pPr>
        <w:spacing w:line="360" w:lineRule="auto"/>
        <w:jc w:val="both"/>
        <w:rPr>
          <w:rFonts w:ascii="Palatino Linotype" w:eastAsia="Palatino Linotype" w:hAnsi="Palatino Linotype" w:cs="Palatino Linotype"/>
          <w:b/>
        </w:rPr>
      </w:pPr>
      <w:r w:rsidRPr="003E521A">
        <w:rPr>
          <w:rFonts w:ascii="Palatino Linotype" w:eastAsia="Palatino Linotype" w:hAnsi="Palatino Linotype" w:cs="Palatino Linotype"/>
          <w:b/>
        </w:rPr>
        <w:t xml:space="preserve">Ahora bien, sin menoscabo de lo anterior de donde se advierte  que el citado plan no cumplió con las formalidades previstas en la legislación para ser perfeccionado; es decir, para ser publicado en el periódico oficial del Estado de México “Gaceta del Gobierno” y ser inscrito en el </w:t>
      </w:r>
      <w:r w:rsidRPr="003E521A">
        <w:rPr>
          <w:rFonts w:ascii="Palatino Linotype" w:eastAsia="Palatino Linotype" w:hAnsi="Palatino Linotype" w:cs="Palatino Linotype"/>
          <w:b/>
          <w:u w:val="single"/>
        </w:rPr>
        <w:t>Instituto de la Función Registral del Estado de México</w:t>
      </w:r>
      <w:r w:rsidRPr="003E521A">
        <w:rPr>
          <w:rFonts w:ascii="Palatino Linotype" w:eastAsia="Palatino Linotype" w:hAnsi="Palatino Linotype" w:cs="Palatino Linotype"/>
          <w:b/>
        </w:rPr>
        <w:t xml:space="preserve">, el SUJETO OBLIGADO  soslayo el principio de máxima publicidad  en virtud de que el ciudadano hace referencia  al documento al que se </w:t>
      </w:r>
      <w:r w:rsidRPr="003E521A">
        <w:rPr>
          <w:rFonts w:ascii="Palatino Linotype" w:eastAsia="Palatino Linotype" w:hAnsi="Palatino Linotype" w:cs="Palatino Linotype"/>
          <w:b/>
        </w:rPr>
        <w:lastRenderedPageBreak/>
        <w:t xml:space="preserve">hace referencia en el punto como anexo en el punto número 5 del acta de cabildo </w:t>
      </w:r>
      <w:r w:rsidRPr="003E521A">
        <w:rPr>
          <w:rFonts w:ascii="Palatino Linotype" w:eastAsia="Palatino Linotype" w:hAnsi="Palatino Linotype" w:cs="Palatino Linotype"/>
        </w:rPr>
        <w:t xml:space="preserve">en la centésima septuagésima sesión del ayuntamiento, de carácter extraordinaria, de tipo pública del dieciocho de diciembre del año dos mil quince. </w:t>
      </w:r>
    </w:p>
    <w:p w14:paraId="67C67648" w14:textId="77777777" w:rsidR="00355227" w:rsidRPr="003E521A" w:rsidRDefault="00355227">
      <w:pPr>
        <w:spacing w:line="360" w:lineRule="auto"/>
        <w:jc w:val="both"/>
        <w:rPr>
          <w:rFonts w:ascii="Palatino Linotype" w:eastAsia="Palatino Linotype" w:hAnsi="Palatino Linotype" w:cs="Palatino Linotype"/>
          <w:b/>
        </w:rPr>
      </w:pPr>
    </w:p>
    <w:p w14:paraId="43B48943" w14:textId="77777777" w:rsidR="00355227" w:rsidRPr="003E521A" w:rsidRDefault="001F7EA1">
      <w:pPr>
        <w:spacing w:line="360" w:lineRule="auto"/>
        <w:jc w:val="center"/>
        <w:rPr>
          <w:rFonts w:ascii="Palatino Linotype" w:eastAsia="Palatino Linotype" w:hAnsi="Palatino Linotype" w:cs="Palatino Linotype"/>
          <w:b/>
        </w:rPr>
      </w:pPr>
      <w:r w:rsidRPr="003E521A">
        <w:rPr>
          <w:noProof/>
          <w:lang w:val="es-MX"/>
        </w:rPr>
        <w:drawing>
          <wp:inline distT="0" distB="0" distL="0" distR="0" wp14:anchorId="09789CBB" wp14:editId="73217991">
            <wp:extent cx="4618467" cy="4162132"/>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7921" t="22201" r="29565" b="9684"/>
                    <a:stretch>
                      <a:fillRect/>
                    </a:stretch>
                  </pic:blipFill>
                  <pic:spPr>
                    <a:xfrm>
                      <a:off x="0" y="0"/>
                      <a:ext cx="4618467" cy="4162132"/>
                    </a:xfrm>
                    <a:prstGeom prst="rect">
                      <a:avLst/>
                    </a:prstGeom>
                    <a:ln/>
                  </pic:spPr>
                </pic:pic>
              </a:graphicData>
            </a:graphic>
          </wp:inline>
        </w:drawing>
      </w:r>
      <w:r w:rsidRPr="003E521A">
        <w:rPr>
          <w:noProof/>
          <w:lang w:val="es-MX"/>
        </w:rPr>
        <mc:AlternateContent>
          <mc:Choice Requires="wps">
            <w:drawing>
              <wp:anchor distT="0" distB="0" distL="114300" distR="114300" simplePos="0" relativeHeight="251658240" behindDoc="0" locked="0" layoutInCell="1" hidden="0" allowOverlap="1" wp14:anchorId="66419305" wp14:editId="7CB21256">
                <wp:simplePos x="0" y="0"/>
                <wp:positionH relativeFrom="column">
                  <wp:posOffset>927100</wp:posOffset>
                </wp:positionH>
                <wp:positionV relativeFrom="paragraph">
                  <wp:posOffset>1866900</wp:posOffset>
                </wp:positionV>
                <wp:extent cx="3787677" cy="803255"/>
                <wp:effectExtent l="0" t="0" r="0" b="0"/>
                <wp:wrapNone/>
                <wp:docPr id="32" name="Rectángulo 32"/>
                <wp:cNvGraphicFramePr/>
                <a:graphic xmlns:a="http://schemas.openxmlformats.org/drawingml/2006/main">
                  <a:graphicData uri="http://schemas.microsoft.com/office/word/2010/wordprocessingShape">
                    <wps:wsp>
                      <wps:cNvSpPr/>
                      <wps:spPr>
                        <a:xfrm>
                          <a:off x="3480737" y="3406948"/>
                          <a:ext cx="3730527" cy="746105"/>
                        </a:xfrm>
                        <a:prstGeom prst="rect">
                          <a:avLst/>
                        </a:prstGeom>
                        <a:noFill/>
                        <a:ln w="57150" cap="flat" cmpd="sng">
                          <a:solidFill>
                            <a:schemeClr val="accent2"/>
                          </a:solidFill>
                          <a:prstDash val="solid"/>
                          <a:round/>
                          <a:headEnd type="none" w="sm" len="sm"/>
                          <a:tailEnd type="none" w="sm" len="sm"/>
                        </a:ln>
                      </wps:spPr>
                      <wps:txbx>
                        <w:txbxContent>
                          <w:p w14:paraId="72206FE2" w14:textId="77777777" w:rsidR="00355227" w:rsidRDefault="00355227">
                            <w:pPr>
                              <w:textDirection w:val="btLr"/>
                            </w:pPr>
                          </w:p>
                        </w:txbxContent>
                      </wps:txbx>
                      <wps:bodyPr spcFirstLastPara="1" wrap="square" lIns="91425" tIns="91425" rIns="91425" bIns="91425" anchor="ctr" anchorCtr="0">
                        <a:noAutofit/>
                      </wps:bodyPr>
                    </wps:wsp>
                  </a:graphicData>
                </a:graphic>
              </wp:anchor>
            </w:drawing>
          </mc:Choice>
          <mc:Fallback>
            <w:pict>
              <v:rect id="Rectángulo 32" o:spid="_x0000_s1026" style="position:absolute;left:0;text-align:left;margin-left:73pt;margin-top:147pt;width:298.25pt;height:6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6TLQIAAEUEAAAOAAAAZHJzL2Uyb0RvYy54bWysU9uO0zAQfUfiHyy/0yS9b9R0hbYUIa3Y&#10;ioUPmDpOY8k3bLdJP4dv4ccYO2Vb4AEJ8eLM2CczZ87MrO57JcmJOy+Mrmgxyinhmpla6ENFv3ze&#10;vllS4gPoGqTRvKJn7un9+vWrVWdLPjatkTV3BINoX3a2om0Itswyz1quwI+M5RofG+MUBHTdIasd&#10;dBhdyWyc5/OsM662zjDuPd5uhke6TvGbhrPw1DSeByIritxCOl069/HM1isoDw5sK9iFBvwDCwVC&#10;Y9KXUBsIQI5O/BFKCeaMN00YMaMy0zSC8VQDVlPkv1Xz3ILlqRYUx9sXmfz/C8s+nnaOiLqikzEl&#10;GhT26BOq9v2bPhylIXiLEnXWl4h8tjt38Tyasd6+cSp+sRLSY5DpMl9MFpSco53P76bLQWLeB8Ii&#10;YDHJZ2MEMEQspvMin0VAdo1knQ/vuVEkGhV1SCYpC6dHHwboT0hMrM1WSIn3UEpNuorOFsUMO80A&#10;p6mRENBUFuvz+pDieCNFHf+Jv6Q54w/SkRPghABjXIdUMjL6BRlzbsC3AzA9DZU5c9R1yt9yqN/p&#10;moSzRRU1zjuNhLyiRHLcDjQSLoCQf8chAalRmaj9oHa0Qr/vMUg096Y+Y++8ZVuB5B7Bhx04nN4C&#10;0+JEY8KvR3BIQn7QODJ3xXQ8wxW4ddyts791QLPW4KKw4CgZnIeQFmdQ/e0xmEakhlzJXOjirKaW&#10;XvYqLsOtn1DX7V//AAAA//8DAFBLAwQUAAYACAAAACEAbuG4ReEAAAALAQAADwAAAGRycy9kb3du&#10;cmV2LnhtbEyPzU7DMBCE70h9B2srcaMOUdJCGqdCFUgIxF/g0psbL0lKvI5ipw1vz3KC2452NPNN&#10;vplsJ444+NaRgstFBAKpcqalWsHH+93FFQgfNBndOUIF3+hhU8zOcp0Zd6I3PJahFhxCPtMKmhD6&#10;TEpfNWi1X7geiX+fbrA6sBxqaQZ94nDbyTiKltLqlrih0T1uG6y+ytEqSF4e78fD0+E13dnS3G7D&#10;s1s9oFLn8+lmDSLgFP7M8IvP6FAw096NZLzoWCdL3hIUxNcJH+xYJXEKYs/xcZSCLHL5f0PxAwAA&#10;//8DAFBLAQItABQABgAIAAAAIQC2gziS/gAAAOEBAAATAAAAAAAAAAAAAAAAAAAAAABbQ29udGVu&#10;dF9UeXBlc10ueG1sUEsBAi0AFAAGAAgAAAAhADj9If/WAAAAlAEAAAsAAAAAAAAAAAAAAAAALwEA&#10;AF9yZWxzLy5yZWxzUEsBAi0AFAAGAAgAAAAhAKGGLpMtAgAARQQAAA4AAAAAAAAAAAAAAAAALgIA&#10;AGRycy9lMm9Eb2MueG1sUEsBAi0AFAAGAAgAAAAhAG7huEXhAAAACwEAAA8AAAAAAAAAAAAAAAAA&#10;hwQAAGRycy9kb3ducmV2LnhtbFBLBQYAAAAABAAEAPMAAACVBQAAAAA=&#10;" filled="f" strokecolor="#c0504d [3205]" strokeweight="4.5pt">
                <v:stroke startarrowwidth="narrow" startarrowlength="short" endarrowwidth="narrow" endarrowlength="short" joinstyle="round"/>
                <v:textbox inset="2.53958mm,2.53958mm,2.53958mm,2.53958mm">
                  <w:txbxContent>
                    <w:p w:rsidR="00355227" w:rsidRDefault="00355227">
                      <w:pPr>
                        <w:textDirection w:val="btLr"/>
                      </w:pPr>
                    </w:p>
                  </w:txbxContent>
                </v:textbox>
              </v:rect>
            </w:pict>
          </mc:Fallback>
        </mc:AlternateContent>
      </w:r>
    </w:p>
    <w:p w14:paraId="0002B8C5" w14:textId="77777777" w:rsidR="00355227" w:rsidRPr="003E521A" w:rsidRDefault="00355227">
      <w:pPr>
        <w:spacing w:line="360" w:lineRule="auto"/>
        <w:jc w:val="both"/>
        <w:rPr>
          <w:rFonts w:ascii="Palatino Linotype" w:eastAsia="Palatino Linotype" w:hAnsi="Palatino Linotype" w:cs="Palatino Linotype"/>
          <w:b/>
        </w:rPr>
      </w:pPr>
    </w:p>
    <w:p w14:paraId="0377007D"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 xml:space="preserve">En consecuencia, el SUJETO OBLIGADO debió de entregar al particular el documento a que se hacía referencia como anexo en la citada acta, razón por la cual esta Autoridad encuentra elementos suficientes a fin de  restaurar el derecho del particular, modificar la respuesta inicial y ordenar la entrega del </w:t>
      </w:r>
      <w:r w:rsidRPr="003E521A">
        <w:rPr>
          <w:rFonts w:ascii="Palatino Linotype" w:eastAsia="Palatino Linotype" w:hAnsi="Palatino Linotype" w:cs="Palatino Linotype"/>
        </w:rPr>
        <w:t xml:space="preserve">Plan Parcial de Integración Territorial </w:t>
      </w:r>
      <w:r w:rsidRPr="003E521A">
        <w:rPr>
          <w:rFonts w:ascii="Palatino Linotype" w:eastAsia="Palatino Linotype" w:hAnsi="Palatino Linotype" w:cs="Palatino Linotype"/>
          <w:i/>
        </w:rPr>
        <w:t xml:space="preserve">Santa Bárbara Norte,  del Municipio de Cuautitlán Izcalli, </w:t>
      </w:r>
      <w:r w:rsidRPr="003E521A">
        <w:rPr>
          <w:rFonts w:ascii="Palatino Linotype" w:eastAsia="Palatino Linotype" w:hAnsi="Palatino Linotype" w:cs="Palatino Linotype"/>
        </w:rPr>
        <w:t xml:space="preserve"> </w:t>
      </w:r>
      <w:r w:rsidRPr="003E521A">
        <w:rPr>
          <w:rFonts w:ascii="Palatino Linotype" w:eastAsia="Palatino Linotype" w:hAnsi="Palatino Linotype" w:cs="Palatino Linotype"/>
        </w:rPr>
        <w:lastRenderedPageBreak/>
        <w:t xml:space="preserve">citado como anexo en el acta de cabildo en la centésima septuagésima sesión del ayuntamiento, de carácter extraordinaria, de tipo pública del dieciocho de diciembre del año dos mil quince. </w:t>
      </w:r>
    </w:p>
    <w:p w14:paraId="075A6141" w14:textId="77777777" w:rsidR="00355227" w:rsidRPr="003E521A" w:rsidRDefault="00355227">
      <w:pPr>
        <w:spacing w:line="360" w:lineRule="auto"/>
        <w:jc w:val="both"/>
        <w:rPr>
          <w:rFonts w:ascii="Palatino Linotype" w:eastAsia="Palatino Linotype" w:hAnsi="Palatino Linotype" w:cs="Palatino Linotype"/>
        </w:rPr>
      </w:pPr>
    </w:p>
    <w:p w14:paraId="3151B182"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 efecto de robustecer lo anterior, cabe citar por analogía el criterio orientador 17/17 emitido por el Instituto Nacional de Transparencia, Acceso a la Información y Protección de Datos Personales. </w:t>
      </w:r>
    </w:p>
    <w:p w14:paraId="2613A021" w14:textId="77777777" w:rsidR="00355227" w:rsidRPr="003E521A" w:rsidRDefault="00355227">
      <w:pPr>
        <w:spacing w:line="360" w:lineRule="auto"/>
        <w:jc w:val="both"/>
        <w:rPr>
          <w:rFonts w:ascii="Palatino Linotype" w:eastAsia="Palatino Linotype" w:hAnsi="Palatino Linotype" w:cs="Palatino Linotype"/>
        </w:rPr>
      </w:pPr>
    </w:p>
    <w:p w14:paraId="59F2D72F" w14:textId="77777777" w:rsidR="00355227" w:rsidRPr="003E521A" w:rsidRDefault="001F7EA1">
      <w:pPr>
        <w:spacing w:line="276" w:lineRule="auto"/>
        <w:ind w:left="851" w:right="75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u w:val="single"/>
        </w:rPr>
        <w:t>Anexos de los documentos solicitados</w:t>
      </w:r>
      <w:r w:rsidRPr="003E521A">
        <w:rPr>
          <w:rFonts w:ascii="Palatino Linotype" w:eastAsia="Palatino Linotype" w:hAnsi="Palatino Linotype" w:cs="Palatino Linotype"/>
          <w:i/>
          <w:sz w:val="22"/>
          <w:szCs w:val="22"/>
        </w:rPr>
        <w:t xml:space="preserve">. Los anexos de un documento se consideran parte integral del mismo. Por lo anterior, ante solicitudes de </w:t>
      </w:r>
      <w:r w:rsidRPr="003E521A">
        <w:rPr>
          <w:rFonts w:ascii="Palatino Linotype" w:eastAsia="Palatino Linotype" w:hAnsi="Palatino Linotype" w:cs="Palatino Linotype"/>
          <w:b/>
          <w:i/>
          <w:sz w:val="22"/>
          <w:szCs w:val="22"/>
          <w:u w:val="single"/>
        </w:rPr>
        <w:t>información relacionadas con documentos que incluyen anexos, los sujetos obligados deberán entregarlos,</w:t>
      </w:r>
      <w:r w:rsidRPr="003E521A">
        <w:rPr>
          <w:rFonts w:ascii="Palatino Linotype" w:eastAsia="Palatino Linotype" w:hAnsi="Palatino Linotype" w:cs="Palatino Linotype"/>
          <w:i/>
          <w:sz w:val="22"/>
          <w:szCs w:val="22"/>
        </w:rPr>
        <w:t xml:space="preserve"> con excepción de aquellos casos en que el solicitante manifieste expresamente su interés de acceder únicamente al documento principal. </w:t>
      </w:r>
    </w:p>
    <w:p w14:paraId="54360951" w14:textId="77777777" w:rsidR="00355227" w:rsidRPr="003E521A" w:rsidRDefault="00355227">
      <w:pPr>
        <w:spacing w:line="276" w:lineRule="auto"/>
        <w:ind w:left="851" w:right="758"/>
        <w:jc w:val="both"/>
        <w:rPr>
          <w:rFonts w:ascii="Palatino Linotype" w:eastAsia="Palatino Linotype" w:hAnsi="Palatino Linotype" w:cs="Palatino Linotype"/>
          <w:i/>
          <w:sz w:val="22"/>
          <w:szCs w:val="22"/>
        </w:rPr>
      </w:pPr>
    </w:p>
    <w:p w14:paraId="3810457D" w14:textId="77777777" w:rsidR="00355227" w:rsidRPr="003E521A" w:rsidRDefault="001F7EA1">
      <w:pPr>
        <w:spacing w:line="276" w:lineRule="auto"/>
        <w:ind w:left="851" w:right="75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Resoluciones: </w:t>
      </w:r>
      <w:r w:rsidRPr="003E521A">
        <w:rPr>
          <w:rFonts w:ascii="Symbol" w:eastAsia="Symbol" w:hAnsi="Symbol" w:cs="Symbol"/>
          <w:i/>
          <w:sz w:val="22"/>
          <w:szCs w:val="22"/>
        </w:rPr>
        <w:t>∙</w:t>
      </w:r>
      <w:r w:rsidRPr="003E521A">
        <w:rPr>
          <w:rFonts w:ascii="Palatino Linotype" w:eastAsia="Palatino Linotype" w:hAnsi="Palatino Linotype" w:cs="Palatino Linotype"/>
          <w:i/>
          <w:sz w:val="22"/>
          <w:szCs w:val="22"/>
        </w:rPr>
        <w:t xml:space="preserve"> RRA 0483/17. Universidad Nacional Autónoma de México. 22 de febrero de 2017. Por unanimidad. Comisionado Ponente Joel Salas Suárez. </w:t>
      </w:r>
      <w:r w:rsidRPr="003E521A">
        <w:rPr>
          <w:rFonts w:ascii="Symbol" w:eastAsia="Symbol" w:hAnsi="Symbol" w:cs="Symbol"/>
          <w:i/>
          <w:sz w:val="22"/>
          <w:szCs w:val="22"/>
        </w:rPr>
        <w:t>∙</w:t>
      </w:r>
      <w:r w:rsidRPr="003E521A">
        <w:rPr>
          <w:rFonts w:ascii="Palatino Linotype" w:eastAsia="Palatino Linotype" w:hAnsi="Palatino Linotype" w:cs="Palatino Linotype"/>
          <w:i/>
          <w:sz w:val="22"/>
          <w:szCs w:val="22"/>
        </w:rPr>
        <w:t xml:space="preserve"> RRA 4503/16. Secretaría de Hacienda y Crédito Público. 01 de marzo de 2017. Por unanimidad. Comisionada Ponente Areli Cano Guadiana. </w:t>
      </w:r>
      <w:r w:rsidRPr="003E521A">
        <w:rPr>
          <w:rFonts w:ascii="Symbol" w:eastAsia="Symbol" w:hAnsi="Symbol" w:cs="Symbol"/>
          <w:i/>
          <w:sz w:val="22"/>
          <w:szCs w:val="22"/>
        </w:rPr>
        <w:t>∙</w:t>
      </w:r>
      <w:r w:rsidRPr="003E521A">
        <w:rPr>
          <w:rFonts w:ascii="Palatino Linotype" w:eastAsia="Palatino Linotype" w:hAnsi="Palatino Linotype" w:cs="Palatino Linotype"/>
          <w:i/>
          <w:sz w:val="22"/>
          <w:szCs w:val="22"/>
        </w:rPr>
        <w:t xml:space="preserve"> RRA 1639/17. Instituto Mexicano del Seguro Social. 19 de abril de 2017. Por unanimidad. Comisionado Ponente Francisco Javier Acuña Llamas</w:t>
      </w:r>
    </w:p>
    <w:p w14:paraId="634696D0" w14:textId="77777777" w:rsidR="00355227" w:rsidRPr="003E521A" w:rsidRDefault="00355227">
      <w:pPr>
        <w:spacing w:line="360" w:lineRule="auto"/>
        <w:jc w:val="both"/>
      </w:pPr>
    </w:p>
    <w:p w14:paraId="26149191"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lo anterior, el Pleno de este Instituto determina dable ordenar la entrega </w:t>
      </w:r>
      <w:proofErr w:type="gramStart"/>
      <w:r w:rsidRPr="003E521A">
        <w:rPr>
          <w:rFonts w:ascii="Palatino Linotype" w:eastAsia="Palatino Linotype" w:hAnsi="Palatino Linotype" w:cs="Palatino Linotype"/>
        </w:rPr>
        <w:t>del  Plan</w:t>
      </w:r>
      <w:proofErr w:type="gramEnd"/>
      <w:r w:rsidRPr="003E521A">
        <w:rPr>
          <w:rFonts w:ascii="Palatino Linotype" w:eastAsia="Palatino Linotype" w:hAnsi="Palatino Linotype" w:cs="Palatino Linotype"/>
        </w:rPr>
        <w:t xml:space="preserve"> Parcial de Integración Territorial Santa Bárbara Norte,  del Municipio de Cuautitlán Izcalli,  citado como anexo en el acta de cabildo en la centésima septuagésima sesión extraordinaria del dieciocho de diciembre del año dos mil quince.</w:t>
      </w:r>
    </w:p>
    <w:p w14:paraId="7E211FA5" w14:textId="77777777" w:rsidR="00355227" w:rsidRPr="003E521A" w:rsidRDefault="00355227">
      <w:pPr>
        <w:spacing w:line="360" w:lineRule="auto"/>
        <w:jc w:val="both"/>
        <w:rPr>
          <w:rFonts w:ascii="Palatino Linotype" w:eastAsia="Palatino Linotype" w:hAnsi="Palatino Linotype" w:cs="Palatino Linotype"/>
        </w:rPr>
      </w:pPr>
    </w:p>
    <w:p w14:paraId="57C7F114"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lastRenderedPageBreak/>
        <w:t xml:space="preserve">Ahora </w:t>
      </w:r>
      <w:proofErr w:type="gramStart"/>
      <w:r w:rsidRPr="003E521A">
        <w:rPr>
          <w:rFonts w:ascii="Palatino Linotype" w:eastAsia="Palatino Linotype" w:hAnsi="Palatino Linotype" w:cs="Palatino Linotype"/>
          <w:b/>
        </w:rPr>
        <w:t xml:space="preserve">bien,  </w:t>
      </w:r>
      <w:r w:rsidRPr="003E521A">
        <w:rPr>
          <w:rFonts w:ascii="Palatino Linotype" w:eastAsia="Palatino Linotype" w:hAnsi="Palatino Linotype" w:cs="Palatino Linotype"/>
        </w:rPr>
        <w:t>en</w:t>
      </w:r>
      <w:proofErr w:type="gramEnd"/>
      <w:r w:rsidRPr="003E521A">
        <w:rPr>
          <w:rFonts w:ascii="Palatino Linotype" w:eastAsia="Palatino Linotype" w:hAnsi="Palatino Linotype" w:cs="Palatino Linotype"/>
        </w:rPr>
        <w:t xml:space="preserve"> lo tocante a  los documentos donde conste la</w:t>
      </w:r>
      <w:r w:rsidRPr="003E521A">
        <w:rPr>
          <w:rFonts w:ascii="Palatino Linotype" w:eastAsia="Palatino Linotype" w:hAnsi="Palatino Linotype" w:cs="Palatino Linotype"/>
          <w:b/>
        </w:rPr>
        <w:t xml:space="preserve"> </w:t>
      </w:r>
      <w:r w:rsidRPr="003E521A">
        <w:rPr>
          <w:rFonts w:ascii="Palatino Linotype" w:eastAsia="Palatino Linotype" w:hAnsi="Palatino Linotype" w:cs="Palatino Linotype"/>
        </w:rPr>
        <w:t xml:space="preserve">modificación del Plan Municipal de Desarrollo Urbano de Cuautitlán Izcalli, Estado de México, resultante, aprobado durante el desahogo del punto 5 de la centésima septuagésima sesión del ayuntamiento, de carácter extraordinaria, de tipo pública del dieciocho de diciembre del año dos mil quince, a señalar  que el artículo 33, fracción IX del Reglamento del Libro Quinto del Código Administrativo del Estado de México  dispone: </w:t>
      </w:r>
    </w:p>
    <w:p w14:paraId="2C787B16" w14:textId="77777777" w:rsidR="00355227" w:rsidRPr="003E521A" w:rsidRDefault="00355227">
      <w:pPr>
        <w:spacing w:line="360" w:lineRule="auto"/>
        <w:jc w:val="both"/>
        <w:rPr>
          <w:rFonts w:ascii="Palatino Linotype" w:eastAsia="Palatino Linotype" w:hAnsi="Palatino Linotype" w:cs="Palatino Linotype"/>
        </w:rPr>
      </w:pPr>
    </w:p>
    <w:p w14:paraId="2516C745"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“Artículo 33.</w:t>
      </w:r>
      <w:r w:rsidRPr="003E521A">
        <w:rPr>
          <w:rFonts w:ascii="Palatino Linotype" w:eastAsia="Palatino Linotype" w:hAnsi="Palatino Linotype" w:cs="Palatino Linotype"/>
          <w:i/>
          <w:sz w:val="22"/>
          <w:szCs w:val="22"/>
        </w:rPr>
        <w:t xml:space="preserve"> El procedimiento de aprobación y </w:t>
      </w:r>
      <w:r w:rsidRPr="003E521A">
        <w:rPr>
          <w:rFonts w:ascii="Palatino Linotype" w:eastAsia="Palatino Linotype" w:hAnsi="Palatino Linotype" w:cs="Palatino Linotype"/>
          <w:b/>
          <w:i/>
          <w:sz w:val="22"/>
          <w:szCs w:val="22"/>
          <w:u w:val="single"/>
        </w:rPr>
        <w:t>modificación de los planes municipales de desarrollo urbano</w:t>
      </w:r>
      <w:r w:rsidRPr="003E521A">
        <w:rPr>
          <w:rFonts w:ascii="Palatino Linotype" w:eastAsia="Palatino Linotype" w:hAnsi="Palatino Linotype" w:cs="Palatino Linotype"/>
          <w:i/>
          <w:sz w:val="22"/>
          <w:szCs w:val="22"/>
        </w:rPr>
        <w:t xml:space="preserve"> y de los planes parciales que deriven de ellos, se sujetará a lo siguiente:</w:t>
      </w:r>
    </w:p>
    <w:p w14:paraId="75E77875"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p>
    <w:p w14:paraId="4C050AE7"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IX. Los planes de desarrollo urbano de competencia municipal </w:t>
      </w:r>
      <w:r w:rsidRPr="003E521A">
        <w:rPr>
          <w:rFonts w:ascii="Palatino Linotype" w:eastAsia="Palatino Linotype" w:hAnsi="Palatino Linotype" w:cs="Palatino Linotype"/>
          <w:b/>
          <w:i/>
          <w:sz w:val="22"/>
          <w:szCs w:val="22"/>
          <w:u w:val="single"/>
        </w:rPr>
        <w:t>que hayan sido publicados</w:t>
      </w:r>
      <w:r w:rsidRPr="003E521A">
        <w:rPr>
          <w:rFonts w:ascii="Palatino Linotype" w:eastAsia="Palatino Linotype" w:hAnsi="Palatino Linotype" w:cs="Palatino Linotype"/>
          <w:i/>
          <w:sz w:val="22"/>
          <w:szCs w:val="22"/>
        </w:rPr>
        <w:t xml:space="preserve"> en el Periódico Oficial “Gaceta del Gobierno”, </w:t>
      </w:r>
      <w:proofErr w:type="spellStart"/>
      <w:r w:rsidRPr="003E521A">
        <w:rPr>
          <w:rFonts w:ascii="Palatino Linotype" w:eastAsia="Palatino Linotype" w:hAnsi="Palatino Linotype" w:cs="Palatino Linotype"/>
          <w:i/>
          <w:sz w:val="22"/>
          <w:szCs w:val="22"/>
        </w:rPr>
        <w:t>podrán</w:t>
      </w:r>
      <w:proofErr w:type="spellEnd"/>
      <w:r w:rsidRPr="003E521A">
        <w:rPr>
          <w:rFonts w:ascii="Palatino Linotype" w:eastAsia="Palatino Linotype" w:hAnsi="Palatino Linotype" w:cs="Palatino Linotype"/>
          <w:i/>
          <w:sz w:val="22"/>
          <w:szCs w:val="22"/>
        </w:rPr>
        <w:t xml:space="preserve"> corregirse por errores de impresión o de texto, con la finalidad de publicar la fe de erratas correspondiente. Para ello, el Municipio deberá contar con la opinión técnica favorable de la Secretaría, misma que deberá pronunciarse sobre dicha opinión técnica en un término de diez días hábiles.</w:t>
      </w:r>
    </w:p>
    <w:p w14:paraId="7880170E" w14:textId="77777777" w:rsidR="00355227" w:rsidRPr="003E521A" w:rsidRDefault="00355227" w:rsidP="001C72D9">
      <w:pPr>
        <w:ind w:left="851" w:right="616"/>
        <w:jc w:val="both"/>
        <w:rPr>
          <w:rFonts w:ascii="Palatino Linotype" w:eastAsia="Palatino Linotype" w:hAnsi="Palatino Linotype" w:cs="Palatino Linotype"/>
          <w:i/>
          <w:sz w:val="22"/>
          <w:szCs w:val="22"/>
        </w:rPr>
      </w:pPr>
    </w:p>
    <w:p w14:paraId="65017DCD"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u w:val="single"/>
        </w:rPr>
        <w:t>Hecho lo anterior, el Municipio deberá solicitar a la Secretaría la publicación de las modificaciones a los planes de desarrollo urbano de competencia municipal</w:t>
      </w:r>
      <w:r w:rsidRPr="003E521A">
        <w:rPr>
          <w:rFonts w:ascii="Palatino Linotype" w:eastAsia="Palatino Linotype" w:hAnsi="Palatino Linotype" w:cs="Palatino Linotype"/>
          <w:i/>
          <w:sz w:val="22"/>
          <w:szCs w:val="22"/>
        </w:rPr>
        <w:t xml:space="preserve"> en el Periódico Oficial “Gaceta del Gobierno”, para lo cual remitirá copia certificada de la sesión de Cabildo en la que hayan sido aprobadas las versiones originales por el Ayuntamiento que corresponda.</w:t>
      </w:r>
    </w:p>
    <w:p w14:paraId="05441C49" w14:textId="77777777" w:rsidR="00355227" w:rsidRPr="003E521A" w:rsidRDefault="00355227">
      <w:pPr>
        <w:spacing w:line="360" w:lineRule="auto"/>
        <w:jc w:val="both"/>
        <w:rPr>
          <w:rFonts w:ascii="Palatino Linotype" w:eastAsia="Palatino Linotype" w:hAnsi="Palatino Linotype" w:cs="Palatino Linotype"/>
        </w:rPr>
      </w:pPr>
    </w:p>
    <w:p w14:paraId="20FDC4D5"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este sentido, cabe reiterar que la Dirección de Desarrollo Urbano  informó que el Plan Parcial de Integración Territorial </w:t>
      </w:r>
      <w:r w:rsidRPr="003E521A">
        <w:rPr>
          <w:rFonts w:ascii="Palatino Linotype" w:eastAsia="Palatino Linotype" w:hAnsi="Palatino Linotype" w:cs="Palatino Linotype"/>
          <w:i/>
        </w:rPr>
        <w:t xml:space="preserve">Santa Bárbara Norte,  del Municipio de Cuautitlán Izcalli, </w:t>
      </w:r>
      <w:r w:rsidRPr="003E521A">
        <w:rPr>
          <w:rFonts w:ascii="Palatino Linotype" w:eastAsia="Palatino Linotype" w:hAnsi="Palatino Linotype" w:cs="Palatino Linotype"/>
        </w:rPr>
        <w:t xml:space="preserve">no se perfeccionó al no atender lo previsto en las fracción VIII del artículo 33 del – </w:t>
      </w:r>
      <w:r w:rsidRPr="003E521A">
        <w:rPr>
          <w:rFonts w:ascii="Palatino Linotype" w:eastAsia="Palatino Linotype" w:hAnsi="Palatino Linotype" w:cs="Palatino Linotype"/>
          <w:i/>
        </w:rPr>
        <w:t xml:space="preserve">supra citado- </w:t>
      </w:r>
      <w:r w:rsidRPr="003E521A">
        <w:rPr>
          <w:rFonts w:ascii="Palatino Linotype" w:eastAsia="Palatino Linotype" w:hAnsi="Palatino Linotype" w:cs="Palatino Linotype"/>
        </w:rPr>
        <w:t xml:space="preserve">por lo que esta autoridad advierte que en tal sentido, no se generó modificación alguna al Plan Municipal de Desarrollo urbano con motivo del Plan </w:t>
      </w:r>
      <w:r w:rsidRPr="003E521A">
        <w:rPr>
          <w:rFonts w:ascii="Palatino Linotype" w:eastAsia="Palatino Linotype" w:hAnsi="Palatino Linotype" w:cs="Palatino Linotype"/>
        </w:rPr>
        <w:lastRenderedPageBreak/>
        <w:t xml:space="preserve">Parcial de Integración Territorial </w:t>
      </w:r>
      <w:r w:rsidRPr="003E521A">
        <w:rPr>
          <w:rFonts w:ascii="Palatino Linotype" w:eastAsia="Palatino Linotype" w:hAnsi="Palatino Linotype" w:cs="Palatino Linotype"/>
          <w:i/>
        </w:rPr>
        <w:t>Santa Bárbara Norte,  del Municipio de Cuautitlán Izcalli</w:t>
      </w:r>
      <w:r w:rsidRPr="003E521A">
        <w:rPr>
          <w:rFonts w:ascii="Palatino Linotype" w:eastAsia="Palatino Linotype" w:hAnsi="Palatino Linotype" w:cs="Palatino Linotype"/>
        </w:rPr>
        <w:t xml:space="preserve">. </w:t>
      </w:r>
    </w:p>
    <w:p w14:paraId="4274EE94" w14:textId="77777777" w:rsidR="00355227" w:rsidRPr="003E521A" w:rsidRDefault="00355227">
      <w:pPr>
        <w:spacing w:line="360" w:lineRule="auto"/>
        <w:jc w:val="both"/>
        <w:rPr>
          <w:rFonts w:ascii="Palatino Linotype" w:eastAsia="Palatino Linotype" w:hAnsi="Palatino Linotype" w:cs="Palatino Linotype"/>
        </w:rPr>
      </w:pPr>
    </w:p>
    <w:p w14:paraId="1AF17D62"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lo anterior, es oportuno referir que de conformidad con lo dispuesto en el Bando Municipal de Cuautitlán Izcalli la Dirección de Desarrollo Urbano respecto a la competencia de la Dirección de Desarrollo Urbano, los artículos 76 y 77 establecen: </w:t>
      </w:r>
    </w:p>
    <w:p w14:paraId="3D63D55E" w14:textId="77777777" w:rsidR="00355227" w:rsidRPr="003E521A" w:rsidRDefault="00355227">
      <w:pPr>
        <w:spacing w:line="360" w:lineRule="auto"/>
        <w:jc w:val="both"/>
        <w:rPr>
          <w:rFonts w:ascii="Palatino Linotype" w:eastAsia="Palatino Linotype" w:hAnsi="Palatino Linotype" w:cs="Palatino Linotype"/>
        </w:rPr>
      </w:pPr>
    </w:p>
    <w:p w14:paraId="39FD5CE7"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“Artículo 76.</w:t>
      </w:r>
      <w:r w:rsidRPr="003E521A">
        <w:rPr>
          <w:rFonts w:ascii="Palatino Linotype" w:eastAsia="Palatino Linotype" w:hAnsi="Palatino Linotype" w:cs="Palatino Linotype"/>
          <w:i/>
          <w:sz w:val="22"/>
          <w:szCs w:val="22"/>
        </w:rPr>
        <w:t xml:space="preserve"> En el ámbito Municipal, la autoridad competente en materia de </w:t>
      </w:r>
      <w:r w:rsidRPr="003E521A">
        <w:rPr>
          <w:rFonts w:ascii="Palatino Linotype" w:eastAsia="Palatino Linotype" w:hAnsi="Palatino Linotype" w:cs="Palatino Linotype"/>
          <w:b/>
          <w:i/>
          <w:sz w:val="22"/>
          <w:szCs w:val="22"/>
          <w:u w:val="single"/>
        </w:rPr>
        <w:t xml:space="preserve">Ordenamiento Territorial </w:t>
      </w:r>
      <w:r w:rsidRPr="003E521A">
        <w:rPr>
          <w:rFonts w:ascii="Palatino Linotype" w:eastAsia="Palatino Linotype" w:hAnsi="Palatino Linotype" w:cs="Palatino Linotype"/>
          <w:i/>
          <w:sz w:val="22"/>
          <w:szCs w:val="22"/>
        </w:rPr>
        <w:t xml:space="preserve">de los Asentamientos Humanos y Desarrollo Urbano, será la Dirección de Desarrollo Urbano, que contará con las atribuciones y funciones contenidas en las disposiciones legales y reglamentarias aplicables en la materia. </w:t>
      </w:r>
    </w:p>
    <w:p w14:paraId="47E1D705" w14:textId="77777777" w:rsidR="00355227" w:rsidRPr="003E521A" w:rsidRDefault="00355227" w:rsidP="001C72D9">
      <w:pPr>
        <w:ind w:left="851" w:right="616"/>
        <w:jc w:val="both"/>
        <w:rPr>
          <w:rFonts w:ascii="Palatino Linotype" w:eastAsia="Palatino Linotype" w:hAnsi="Palatino Linotype" w:cs="Palatino Linotype"/>
          <w:i/>
          <w:sz w:val="22"/>
          <w:szCs w:val="22"/>
        </w:rPr>
      </w:pPr>
    </w:p>
    <w:p w14:paraId="3E02B122" w14:textId="77777777" w:rsidR="00355227" w:rsidRPr="003E521A" w:rsidRDefault="001F7EA1" w:rsidP="001C72D9">
      <w:pPr>
        <w:ind w:left="851"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b/>
          <w:i/>
          <w:sz w:val="22"/>
          <w:szCs w:val="22"/>
        </w:rPr>
        <w:t>Artículo 77</w:t>
      </w:r>
      <w:r w:rsidRPr="003E521A">
        <w:rPr>
          <w:rFonts w:ascii="Palatino Linotype" w:eastAsia="Palatino Linotype" w:hAnsi="Palatino Linotype" w:cs="Palatino Linotype"/>
          <w:i/>
          <w:sz w:val="22"/>
          <w:szCs w:val="22"/>
        </w:rPr>
        <w:t>. La Autoridad Municipal competente a fin de planificar, ordenar y regular los asentamientos humanos dentro del territorio municipal, ejecutará las acciones tendientes a controlar y prevenir el desarrollo urbano y uso del suelo, con arreglo a las leyes federales y estatales relativas, en congruencia con los Planes Federal y Estatal de Desarrollo Urbano y tendrá las atribuciones señaladas en las disposiciones legales y reglamentarias aplicables.”</w:t>
      </w:r>
    </w:p>
    <w:p w14:paraId="085248C9" w14:textId="77777777" w:rsidR="00355227" w:rsidRPr="003E521A" w:rsidRDefault="00355227">
      <w:pPr>
        <w:spacing w:line="360" w:lineRule="auto"/>
        <w:jc w:val="both"/>
        <w:rPr>
          <w:rFonts w:ascii="Palatino Linotype" w:eastAsia="Palatino Linotype" w:hAnsi="Palatino Linotype" w:cs="Palatino Linotype"/>
        </w:rPr>
      </w:pPr>
    </w:p>
    <w:p w14:paraId="57BEFBEB" w14:textId="77777777" w:rsidR="001C72D9" w:rsidRPr="003E521A" w:rsidRDefault="001C72D9">
      <w:pPr>
        <w:spacing w:line="360" w:lineRule="auto"/>
        <w:jc w:val="both"/>
        <w:rPr>
          <w:rFonts w:ascii="Palatino Linotype" w:eastAsia="Palatino Linotype" w:hAnsi="Palatino Linotype" w:cs="Palatino Linotype"/>
        </w:rPr>
      </w:pPr>
    </w:p>
    <w:p w14:paraId="54D3495A" w14:textId="77777777" w:rsidR="001C72D9" w:rsidRPr="003E521A" w:rsidRDefault="00F850C8">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En relación con lo anterior, se tiene que en el </w:t>
      </w:r>
      <w:r w:rsidRPr="003E521A">
        <w:t xml:space="preserve">REGLAMENTO INTERNO DE LA DIRECCIÓN DE DESARROLLO URBANO DEL MUNICIPIO DE CUAUTITLÁN IZCALLI,  </w:t>
      </w:r>
    </w:p>
    <w:p w14:paraId="48B1D983" w14:textId="77777777" w:rsidR="001C72D9" w:rsidRPr="003E521A" w:rsidRDefault="001C72D9">
      <w:pPr>
        <w:spacing w:line="360" w:lineRule="auto"/>
        <w:jc w:val="both"/>
        <w:rPr>
          <w:rFonts w:ascii="Palatino Linotype" w:eastAsia="Palatino Linotype" w:hAnsi="Palatino Linotype" w:cs="Palatino Linotype"/>
        </w:rPr>
      </w:pPr>
    </w:p>
    <w:p w14:paraId="69F24BEE" w14:textId="77777777" w:rsidR="00F850C8" w:rsidRPr="003E521A" w:rsidRDefault="003936FF" w:rsidP="003936FF">
      <w:pPr>
        <w:ind w:left="720"/>
        <w:jc w:val="both"/>
        <w:rPr>
          <w:rFonts w:ascii="Palatino Linotype" w:hAnsi="Palatino Linotype"/>
          <w:i/>
          <w:sz w:val="22"/>
        </w:rPr>
      </w:pPr>
      <w:r w:rsidRPr="003E521A">
        <w:rPr>
          <w:rFonts w:ascii="Palatino Linotype" w:hAnsi="Palatino Linotype"/>
          <w:i/>
          <w:sz w:val="22"/>
        </w:rPr>
        <w:t>“</w:t>
      </w:r>
      <w:r w:rsidR="00F850C8" w:rsidRPr="003E521A">
        <w:rPr>
          <w:rFonts w:ascii="Palatino Linotype" w:hAnsi="Palatino Linotype"/>
          <w:i/>
          <w:sz w:val="22"/>
        </w:rPr>
        <w:t>ARTÍCULO 17. - La persona titular del Departamento de Control y Dictaminación contará con atribuciones siguientes:</w:t>
      </w:r>
    </w:p>
    <w:p w14:paraId="0F57E565" w14:textId="77777777" w:rsidR="003936FF" w:rsidRPr="003E521A" w:rsidRDefault="003936FF" w:rsidP="003936FF">
      <w:pPr>
        <w:ind w:left="720"/>
        <w:jc w:val="both"/>
        <w:rPr>
          <w:rFonts w:ascii="Palatino Linotype" w:hAnsi="Palatino Linotype"/>
          <w:i/>
          <w:sz w:val="22"/>
        </w:rPr>
      </w:pPr>
    </w:p>
    <w:p w14:paraId="3A0817CD" w14:textId="77777777" w:rsidR="00F850C8" w:rsidRPr="003E521A" w:rsidRDefault="00F850C8" w:rsidP="003936FF">
      <w:pPr>
        <w:ind w:left="720"/>
        <w:jc w:val="both"/>
        <w:rPr>
          <w:rFonts w:ascii="Palatino Linotype" w:hAnsi="Palatino Linotype"/>
          <w:i/>
          <w:sz w:val="22"/>
        </w:rPr>
      </w:pPr>
      <w:r w:rsidRPr="003E521A">
        <w:rPr>
          <w:rFonts w:ascii="Palatino Linotype" w:hAnsi="Palatino Linotype"/>
          <w:i/>
          <w:sz w:val="22"/>
        </w:rPr>
        <w:t>I. Formular, ejecutar, evaluar y proponer modificaciones al Plan Municipal de Desarrollo Urbano y los parciales que de él deriven;</w:t>
      </w:r>
    </w:p>
    <w:p w14:paraId="6385F195" w14:textId="77777777" w:rsidR="003936FF" w:rsidRPr="003E521A" w:rsidRDefault="003936FF" w:rsidP="003936FF">
      <w:pPr>
        <w:ind w:left="720"/>
        <w:jc w:val="both"/>
        <w:rPr>
          <w:rFonts w:ascii="Palatino Linotype" w:hAnsi="Palatino Linotype"/>
          <w:i/>
          <w:sz w:val="22"/>
        </w:rPr>
      </w:pPr>
    </w:p>
    <w:p w14:paraId="2491C05D" w14:textId="77777777" w:rsidR="00F850C8" w:rsidRPr="003E521A" w:rsidRDefault="00F850C8" w:rsidP="003936FF">
      <w:pPr>
        <w:ind w:left="720"/>
        <w:jc w:val="both"/>
        <w:rPr>
          <w:rFonts w:ascii="Palatino Linotype" w:hAnsi="Palatino Linotype"/>
          <w:i/>
          <w:sz w:val="22"/>
        </w:rPr>
      </w:pPr>
      <w:r w:rsidRPr="003E521A">
        <w:rPr>
          <w:rFonts w:ascii="Palatino Linotype" w:hAnsi="Palatino Linotype"/>
          <w:i/>
          <w:sz w:val="22"/>
        </w:rPr>
        <w:lastRenderedPageBreak/>
        <w:t>II. Realizar el diagnóstico, elaborar el anteproyecto, publicar el aviso de consulta pública, analizar las opiniones recibidas, realizar el proyecto definitivo, solicitar el dictamen de congruencia, recabar la autorización del Ayuntamiento</w:t>
      </w:r>
      <w:r w:rsidRPr="003E521A">
        <w:rPr>
          <w:rFonts w:ascii="Palatino Linotype" w:hAnsi="Palatino Linotype"/>
          <w:b/>
          <w:i/>
          <w:sz w:val="22"/>
        </w:rPr>
        <w:t xml:space="preserve">, solicitar la publicación del Plan Municipal de Desarrollo Urbano en el Periódico Oficial "Gaceta del Gobierno", y requerir su inscripción en el Instituto de la Función Registral del Estado de </w:t>
      </w:r>
      <w:proofErr w:type="gramStart"/>
      <w:r w:rsidRPr="003E521A">
        <w:rPr>
          <w:rFonts w:ascii="Palatino Linotype" w:hAnsi="Palatino Linotype"/>
          <w:b/>
          <w:i/>
          <w:sz w:val="22"/>
        </w:rPr>
        <w:t>México</w:t>
      </w:r>
      <w:r w:rsidR="003936FF" w:rsidRPr="003E521A">
        <w:rPr>
          <w:rFonts w:ascii="Palatino Linotype" w:hAnsi="Palatino Linotype"/>
          <w:i/>
          <w:sz w:val="22"/>
        </w:rPr>
        <w:t>”(</w:t>
      </w:r>
      <w:proofErr w:type="gramEnd"/>
      <w:r w:rsidR="003936FF" w:rsidRPr="003E521A">
        <w:rPr>
          <w:rFonts w:ascii="Palatino Linotype" w:hAnsi="Palatino Linotype"/>
          <w:i/>
          <w:sz w:val="22"/>
        </w:rPr>
        <w:t>Sic)</w:t>
      </w:r>
    </w:p>
    <w:p w14:paraId="068D8475" w14:textId="77777777" w:rsidR="004B678F" w:rsidRPr="003E521A" w:rsidRDefault="004B678F" w:rsidP="003936FF">
      <w:pPr>
        <w:ind w:left="720"/>
        <w:jc w:val="both"/>
        <w:rPr>
          <w:rFonts w:ascii="Palatino Linotype" w:hAnsi="Palatino Linotype"/>
          <w:i/>
          <w:sz w:val="22"/>
        </w:rPr>
      </w:pPr>
    </w:p>
    <w:p w14:paraId="7E1F39B8" w14:textId="77777777" w:rsidR="004B678F" w:rsidRPr="003E521A" w:rsidRDefault="004B678F" w:rsidP="003936FF">
      <w:pPr>
        <w:ind w:left="720"/>
        <w:jc w:val="both"/>
        <w:rPr>
          <w:rFonts w:ascii="Palatino Linotype" w:eastAsia="Palatino Linotype" w:hAnsi="Palatino Linotype" w:cs="Palatino Linotype"/>
          <w:i/>
          <w:sz w:val="22"/>
        </w:rPr>
      </w:pPr>
    </w:p>
    <w:p w14:paraId="0EF6310C" w14:textId="77777777" w:rsidR="001C72D9" w:rsidRPr="003E521A" w:rsidRDefault="004B678F">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su parte de acuerdo al </w:t>
      </w:r>
      <w:r w:rsidRPr="003E521A">
        <w:rPr>
          <w:rFonts w:ascii="Palatino Linotype" w:hAnsi="Palatino Linotype"/>
        </w:rPr>
        <w:t>REGLAMENTO DE ORGANIZACIÓN INTERNA DE LA ADMINISTRACIÓN PÚBLICA DEL MUNICIPIO DE CUA</w:t>
      </w:r>
      <w:r w:rsidR="004C0811" w:rsidRPr="003E521A">
        <w:rPr>
          <w:rFonts w:ascii="Palatino Linotype" w:hAnsi="Palatino Linotype"/>
        </w:rPr>
        <w:t xml:space="preserve">UTITLÁN IZCALLI, en su artículo 30 se precisa que le corresponde al Titular de la </w:t>
      </w:r>
      <w:proofErr w:type="gramStart"/>
      <w:r w:rsidR="004C0811" w:rsidRPr="003E521A">
        <w:rPr>
          <w:rFonts w:ascii="Palatino Linotype" w:hAnsi="Palatino Linotype"/>
        </w:rPr>
        <w:t>Secretaria</w:t>
      </w:r>
      <w:proofErr w:type="gramEnd"/>
      <w:r w:rsidR="004C0811" w:rsidRPr="003E521A">
        <w:rPr>
          <w:rFonts w:ascii="Palatino Linotype" w:hAnsi="Palatino Linotype"/>
        </w:rPr>
        <w:t xml:space="preserve"> del Ayuntamiento Implementar de conformidad con las instrucciones de la persona titular de la Presidencia Municipal lo necesario para hacer cumplir las políticas, acuerdos, circulares, órdenes, y demás disposiciones que emita el Ayuntamiento, tal y como se precisa a continuación:  </w:t>
      </w:r>
    </w:p>
    <w:p w14:paraId="15C44DBD" w14:textId="77777777" w:rsidR="004B678F" w:rsidRPr="003E521A" w:rsidRDefault="004B678F">
      <w:pPr>
        <w:spacing w:line="360" w:lineRule="auto"/>
        <w:jc w:val="both"/>
        <w:rPr>
          <w:rFonts w:ascii="Palatino Linotype" w:eastAsia="Palatino Linotype" w:hAnsi="Palatino Linotype" w:cs="Palatino Linotype"/>
        </w:rPr>
      </w:pPr>
    </w:p>
    <w:p w14:paraId="26E6FDDD" w14:textId="77777777" w:rsidR="004B678F" w:rsidRPr="003E521A" w:rsidRDefault="004C0811" w:rsidP="004C0811">
      <w:pPr>
        <w:ind w:left="720"/>
        <w:jc w:val="both"/>
        <w:rPr>
          <w:rFonts w:ascii="Palatino Linotype" w:hAnsi="Palatino Linotype"/>
          <w:i/>
        </w:rPr>
      </w:pPr>
      <w:r w:rsidRPr="003E521A">
        <w:rPr>
          <w:rFonts w:ascii="Palatino Linotype" w:hAnsi="Palatino Linotype"/>
          <w:i/>
        </w:rPr>
        <w:t>“</w:t>
      </w:r>
      <w:r w:rsidR="004B678F" w:rsidRPr="003E521A">
        <w:rPr>
          <w:rFonts w:ascii="Palatino Linotype" w:hAnsi="Palatino Linotype"/>
          <w:i/>
        </w:rPr>
        <w:t>Artículo 30.- La persona titular de la Secretaría del Ayuntamiento, además de las facultades que le señalan las disposiciones legales vigentes tendrá, entre otras, las siguientes:</w:t>
      </w:r>
    </w:p>
    <w:p w14:paraId="06A5D597" w14:textId="77777777" w:rsidR="004B678F" w:rsidRPr="003E521A" w:rsidRDefault="004B678F" w:rsidP="004C0811">
      <w:pPr>
        <w:ind w:left="720"/>
        <w:jc w:val="both"/>
        <w:rPr>
          <w:rFonts w:ascii="Palatino Linotype" w:hAnsi="Palatino Linotype"/>
          <w:i/>
        </w:rPr>
      </w:pPr>
      <w:r w:rsidRPr="003E521A">
        <w:rPr>
          <w:rFonts w:ascii="Palatino Linotype" w:hAnsi="Palatino Linotype"/>
          <w:i/>
        </w:rPr>
        <w:t>…</w:t>
      </w:r>
    </w:p>
    <w:p w14:paraId="22FFAE37" w14:textId="77777777" w:rsidR="004B678F" w:rsidRPr="003E521A" w:rsidRDefault="004B678F" w:rsidP="004C0811">
      <w:pPr>
        <w:ind w:left="720"/>
        <w:jc w:val="both"/>
        <w:rPr>
          <w:rFonts w:ascii="Palatino Linotype" w:hAnsi="Palatino Linotype"/>
          <w:i/>
        </w:rPr>
      </w:pPr>
      <w:r w:rsidRPr="003E521A">
        <w:rPr>
          <w:rFonts w:ascii="Palatino Linotype" w:hAnsi="Palatino Linotype"/>
          <w:i/>
        </w:rPr>
        <w:t>III. Implementar de conformidad con las instrucciones de la persona titular de la Presidencia Municipal lo necesario para hacer cumplir las políticas, acuerdos, circulares, órdenes, y demás disposiciones que emita el Ayuntamiento;</w:t>
      </w:r>
    </w:p>
    <w:p w14:paraId="45CB3BD6" w14:textId="77777777" w:rsidR="004C0811" w:rsidRPr="003E521A" w:rsidRDefault="004C0811" w:rsidP="004C0811">
      <w:pPr>
        <w:ind w:left="720"/>
        <w:jc w:val="both"/>
        <w:rPr>
          <w:rFonts w:ascii="Palatino Linotype" w:hAnsi="Palatino Linotype"/>
          <w:i/>
        </w:rPr>
      </w:pPr>
    </w:p>
    <w:p w14:paraId="20C36200" w14:textId="77777777" w:rsidR="004B678F" w:rsidRPr="003E521A" w:rsidRDefault="004B678F" w:rsidP="004C0811">
      <w:pPr>
        <w:ind w:left="720"/>
        <w:jc w:val="both"/>
        <w:rPr>
          <w:rFonts w:ascii="Palatino Linotype" w:hAnsi="Palatino Linotype"/>
          <w:i/>
        </w:rPr>
      </w:pPr>
      <w:r w:rsidRPr="003E521A">
        <w:rPr>
          <w:rFonts w:ascii="Palatino Linotype" w:hAnsi="Palatino Linotype"/>
          <w:i/>
        </w:rPr>
        <w:t>VI. Hacer de conocimiento a las y los titulares de las Dependencias, Entidades, Órganos Desconcentrados y Organismos Descentralizados los acuerdos aprobados por el Ayuntamiento por cuanto les conciernan</w:t>
      </w:r>
      <w:proofErr w:type="gramStart"/>
      <w:r w:rsidRPr="003E521A">
        <w:rPr>
          <w:rFonts w:ascii="Palatino Linotype" w:hAnsi="Palatino Linotype"/>
          <w:i/>
        </w:rPr>
        <w:t>;</w:t>
      </w:r>
      <w:r w:rsidR="004C0811" w:rsidRPr="003E521A">
        <w:rPr>
          <w:rFonts w:ascii="Palatino Linotype" w:hAnsi="Palatino Linotype"/>
          <w:i/>
        </w:rPr>
        <w:t>”(</w:t>
      </w:r>
      <w:proofErr w:type="gramEnd"/>
      <w:r w:rsidR="004C0811" w:rsidRPr="003E521A">
        <w:rPr>
          <w:rFonts w:ascii="Palatino Linotype" w:hAnsi="Palatino Linotype"/>
          <w:i/>
        </w:rPr>
        <w:t>Sic)</w:t>
      </w:r>
    </w:p>
    <w:p w14:paraId="02936B00" w14:textId="77777777" w:rsidR="004C0811" w:rsidRPr="003E521A" w:rsidRDefault="004C0811" w:rsidP="004C0811">
      <w:pPr>
        <w:ind w:left="720"/>
        <w:jc w:val="both"/>
        <w:rPr>
          <w:rFonts w:ascii="Palatino Linotype" w:eastAsia="Palatino Linotype" w:hAnsi="Palatino Linotype" w:cs="Palatino Linotype"/>
          <w:i/>
        </w:rPr>
      </w:pPr>
    </w:p>
    <w:p w14:paraId="6C7CA009" w14:textId="77777777" w:rsidR="001C72D9" w:rsidRPr="003E521A" w:rsidRDefault="001C72D9">
      <w:pPr>
        <w:spacing w:line="360" w:lineRule="auto"/>
        <w:jc w:val="both"/>
        <w:rPr>
          <w:rFonts w:ascii="Palatino Linotype" w:eastAsia="Palatino Linotype" w:hAnsi="Palatino Linotype" w:cs="Palatino Linotype"/>
        </w:rPr>
      </w:pPr>
    </w:p>
    <w:p w14:paraId="04146C97" w14:textId="77777777" w:rsidR="004C0811" w:rsidRPr="003E521A" w:rsidRDefault="001F7EA1" w:rsidP="004C0811">
      <w:pPr>
        <w:spacing w:line="360" w:lineRule="auto"/>
        <w:jc w:val="both"/>
        <w:rPr>
          <w:rFonts w:ascii="Palatino Linotype" w:hAnsi="Palatino Linotype"/>
          <w:i/>
        </w:rPr>
      </w:pPr>
      <w:r w:rsidRPr="003E521A">
        <w:rPr>
          <w:rFonts w:ascii="Palatino Linotype" w:eastAsia="Palatino Linotype" w:hAnsi="Palatino Linotype" w:cs="Palatino Linotype"/>
        </w:rPr>
        <w:t xml:space="preserve">Por consiguiente, </w:t>
      </w:r>
      <w:r w:rsidR="004C0811" w:rsidRPr="003E521A">
        <w:rPr>
          <w:rFonts w:ascii="Palatino Linotype" w:eastAsia="Palatino Linotype" w:hAnsi="Palatino Linotype" w:cs="Palatino Linotype"/>
        </w:rPr>
        <w:t xml:space="preserve"> si bien existió un pronunciamiento por parte de una de las áreas que tiene competencia, en este caso sobre la modificación al Plan de Desarrollo </w:t>
      </w:r>
      <w:r w:rsidR="004C0811" w:rsidRPr="003E521A">
        <w:rPr>
          <w:rFonts w:ascii="Palatino Linotype" w:eastAsia="Palatino Linotype" w:hAnsi="Palatino Linotype" w:cs="Palatino Linotype"/>
        </w:rPr>
        <w:lastRenderedPageBreak/>
        <w:t>Urbano, no escapa de la óptica de esta Autoridad que dentro del proceso que atiende a las formalidades a efectos de la citada modificación a l</w:t>
      </w:r>
      <w:r w:rsidR="004E4F71" w:rsidRPr="003E521A">
        <w:rPr>
          <w:rFonts w:ascii="Palatino Linotype" w:eastAsia="Palatino Linotype" w:hAnsi="Palatino Linotype" w:cs="Palatino Linotype"/>
        </w:rPr>
        <w:t>a</w:t>
      </w:r>
      <w:r w:rsidR="004C0811" w:rsidRPr="003E521A">
        <w:rPr>
          <w:rFonts w:ascii="Palatino Linotype" w:eastAsia="Palatino Linotype" w:hAnsi="Palatino Linotype" w:cs="Palatino Linotype"/>
        </w:rPr>
        <w:t xml:space="preserve"> Secretaria del Ayuntamiento le corresponde derivado de  que es una acuerdo tomado en cabildo, </w:t>
      </w:r>
      <w:r w:rsidR="004C0811" w:rsidRPr="003E521A">
        <w:rPr>
          <w:rFonts w:ascii="Palatino Linotype" w:hAnsi="Palatino Linotype"/>
          <w:i/>
        </w:rPr>
        <w:t>i</w:t>
      </w:r>
      <w:r w:rsidR="004C0811" w:rsidRPr="003E521A">
        <w:rPr>
          <w:rFonts w:ascii="Palatino Linotype" w:hAnsi="Palatino Linotype"/>
        </w:rPr>
        <w:t>mplementar de conformidad con las instrucciones de la persona titular de la Presidencia Municipal lo necesario para hacer cumplir los acuerdos, que emita el Ayuntamiento</w:t>
      </w:r>
      <w:r w:rsidR="004C0811" w:rsidRPr="003E521A">
        <w:rPr>
          <w:rFonts w:ascii="Palatino Linotype" w:hAnsi="Palatino Linotype"/>
          <w:i/>
        </w:rPr>
        <w:t>.</w:t>
      </w:r>
    </w:p>
    <w:p w14:paraId="1E9695E1" w14:textId="77777777" w:rsidR="004C0811" w:rsidRPr="003E521A" w:rsidRDefault="004C0811" w:rsidP="004C0811">
      <w:pPr>
        <w:spacing w:line="360" w:lineRule="auto"/>
        <w:jc w:val="both"/>
        <w:rPr>
          <w:rFonts w:ascii="Palatino Linotype" w:hAnsi="Palatino Linotype"/>
          <w:i/>
        </w:rPr>
      </w:pPr>
    </w:p>
    <w:p w14:paraId="120094FC" w14:textId="77777777" w:rsidR="00ED1281" w:rsidRPr="003E521A" w:rsidRDefault="004C0811" w:rsidP="00ED1281">
      <w:pPr>
        <w:spacing w:line="360" w:lineRule="auto"/>
        <w:jc w:val="both"/>
        <w:rPr>
          <w:rFonts w:ascii="Palatino Linotype" w:eastAsia="Palatino Linotype" w:hAnsi="Palatino Linotype" w:cs="Palatino Linotype"/>
        </w:rPr>
      </w:pPr>
      <w:r w:rsidRPr="003E521A">
        <w:rPr>
          <w:rFonts w:ascii="Palatino Linotype" w:hAnsi="Palatino Linotype"/>
        </w:rPr>
        <w:t xml:space="preserve"> En esta lógica, la Unidad de Transparencia</w:t>
      </w:r>
      <w:r w:rsidR="00ED1281" w:rsidRPr="003E521A">
        <w:rPr>
          <w:rFonts w:ascii="Palatino Linotype" w:hAnsi="Palatino Linotype"/>
        </w:rPr>
        <w:t xml:space="preserve"> soslayo </w:t>
      </w:r>
      <w:r w:rsidR="00ED1281" w:rsidRPr="003E521A">
        <w:rPr>
          <w:rFonts w:ascii="Palatino Linotype" w:hAnsi="Palatino Linotype" w:cs="Arial"/>
        </w:rPr>
        <w:t>una obligación toral que impone la Ley de Transparencia y Acceso a la información del Estado de México y Municipios a las Unidades de Transparencia, se encuentra establecida en el artículo 162</w:t>
      </w:r>
      <w:r w:rsidR="00ED1281" w:rsidRPr="003E521A">
        <w:rPr>
          <w:rStyle w:val="Refdenotaalpie"/>
          <w:rFonts w:ascii="Palatino Linotype" w:hAnsi="Palatino Linotype" w:cs="Arial"/>
        </w:rPr>
        <w:footnoteReference w:id="3"/>
      </w:r>
      <w:r w:rsidR="00ED1281" w:rsidRPr="003E521A">
        <w:rPr>
          <w:rFonts w:ascii="Palatino Linotype" w:hAnsi="Palatino Linotype" w:cs="Arial"/>
        </w:rPr>
        <w:t xml:space="preserve"> en virtud de que no agoto todas las áreas que pudieran conocer de la información relacionada con la modificación </w:t>
      </w:r>
      <w:proofErr w:type="gramStart"/>
      <w:r w:rsidR="00ED1281" w:rsidRPr="003E521A">
        <w:rPr>
          <w:rFonts w:ascii="Palatino Linotype" w:hAnsi="Palatino Linotype" w:cs="Arial"/>
        </w:rPr>
        <w:t>al  plan</w:t>
      </w:r>
      <w:proofErr w:type="gramEnd"/>
      <w:r w:rsidR="00ED1281" w:rsidRPr="003E521A">
        <w:rPr>
          <w:rFonts w:ascii="Palatino Linotype" w:hAnsi="Palatino Linotype" w:cs="Arial"/>
        </w:rPr>
        <w:t xml:space="preserve"> de Desarrollo Urbano. </w:t>
      </w:r>
    </w:p>
    <w:p w14:paraId="3B603C86" w14:textId="77777777" w:rsidR="00ED1281" w:rsidRPr="003E521A" w:rsidRDefault="00ED1281" w:rsidP="00ED1281">
      <w:pPr>
        <w:pStyle w:val="Prrafodelista"/>
        <w:tabs>
          <w:tab w:val="left" w:pos="8222"/>
        </w:tabs>
        <w:spacing w:line="360" w:lineRule="auto"/>
        <w:ind w:left="567" w:right="567"/>
        <w:rPr>
          <w:rFonts w:ascii="Palatino Linotype" w:hAnsi="Palatino Linotype" w:cs="Arial"/>
        </w:rPr>
      </w:pPr>
    </w:p>
    <w:p w14:paraId="75FEA443" w14:textId="77777777" w:rsidR="008B4A4E" w:rsidRPr="003E521A" w:rsidRDefault="008B4A4E" w:rsidP="008B4A4E">
      <w:pPr>
        <w:pStyle w:val="Prrafodelista"/>
        <w:spacing w:line="360" w:lineRule="auto"/>
        <w:ind w:left="0"/>
        <w:jc w:val="both"/>
        <w:rPr>
          <w:rFonts w:ascii="Palatino Linotype" w:hAnsi="Palatino Linotype" w:cs="Arial"/>
        </w:rPr>
      </w:pPr>
      <w:r w:rsidRPr="003E521A">
        <w:rPr>
          <w:rFonts w:ascii="Palatino Linotype" w:hAnsi="Palatino Linotype" w:cs="Arial"/>
        </w:rPr>
        <w:t xml:space="preserve">Tal situación, no nos permite garantizar que la información remitida a través de su respuesta, se haya derivado de una búsqueda exhaustiva y razonable de la información y por el área administrativa que cuenta con las facultades, competencias y funciones para poseer, administrar y generar la información solicitada. </w:t>
      </w:r>
    </w:p>
    <w:p w14:paraId="44F09866" w14:textId="77777777" w:rsidR="00ED1281" w:rsidRPr="003E521A" w:rsidRDefault="00ED1281" w:rsidP="004C0811">
      <w:pPr>
        <w:spacing w:line="360" w:lineRule="auto"/>
        <w:jc w:val="both"/>
        <w:rPr>
          <w:rFonts w:ascii="Palatino Linotype" w:eastAsia="Palatino Linotype" w:hAnsi="Palatino Linotype" w:cs="Palatino Linotype"/>
        </w:rPr>
      </w:pPr>
    </w:p>
    <w:p w14:paraId="5D1356D9" w14:textId="77777777" w:rsidR="008B4A4E" w:rsidRPr="003E521A" w:rsidRDefault="008B4A4E" w:rsidP="008B4A4E">
      <w:pPr>
        <w:pStyle w:val="Prrafodelista"/>
        <w:spacing w:line="360" w:lineRule="auto"/>
        <w:ind w:left="0"/>
        <w:jc w:val="both"/>
        <w:rPr>
          <w:rFonts w:ascii="Palatino Linotype" w:hAnsi="Palatino Linotype" w:cs="Arial"/>
        </w:rPr>
      </w:pPr>
      <w:r w:rsidRPr="003E521A">
        <w:rPr>
          <w:rFonts w:ascii="Palatino Linotype" w:hAnsi="Palatino Linotype" w:cs="Arial"/>
        </w:rPr>
        <w:t xml:space="preserve">Es así que, en los archivos que la </w:t>
      </w:r>
      <w:r w:rsidRPr="003E521A">
        <w:rPr>
          <w:rFonts w:ascii="Palatino Linotype" w:hAnsi="Palatino Linotype" w:cs="Arial"/>
          <w:b/>
        </w:rPr>
        <w:t>Titular de la Unidad de Transparencia</w:t>
      </w:r>
      <w:r w:rsidRPr="003E521A">
        <w:rPr>
          <w:rFonts w:ascii="Palatino Linotype" w:hAnsi="Palatino Linotype" w:cs="Arial"/>
        </w:rPr>
        <w:t xml:space="preserve"> proporcionó en respuesta, únicamente lo esgrimido por una de las Áreas que tienen conocimiento de</w:t>
      </w:r>
      <w:r w:rsidR="004E4F71" w:rsidRPr="003E521A">
        <w:rPr>
          <w:rFonts w:ascii="Palatino Linotype" w:hAnsi="Palatino Linotype" w:cs="Arial"/>
        </w:rPr>
        <w:t>l tema, sin poderse advertir el pronunciamiento de</w:t>
      </w:r>
      <w:r w:rsidRPr="003E521A">
        <w:rPr>
          <w:rFonts w:ascii="Palatino Linotype" w:hAnsi="Palatino Linotype" w:cs="Arial"/>
        </w:rPr>
        <w:t xml:space="preserve"> la Secretaría </w:t>
      </w:r>
      <w:r w:rsidRPr="003E521A">
        <w:rPr>
          <w:rFonts w:ascii="Palatino Linotype" w:hAnsi="Palatino Linotype" w:cs="Arial"/>
        </w:rPr>
        <w:lastRenderedPageBreak/>
        <w:t xml:space="preserve">Técnica que cuenta con las facultades, atribuciones y competencias </w:t>
      </w:r>
      <w:r w:rsidR="00FD79FF" w:rsidRPr="003E521A">
        <w:rPr>
          <w:rFonts w:ascii="Palatino Linotype" w:hAnsi="Palatino Linotype" w:cs="Arial"/>
        </w:rPr>
        <w:t>para poseer o administrar la información solicitada</w:t>
      </w:r>
      <w:r w:rsidRPr="003E521A">
        <w:rPr>
          <w:rFonts w:ascii="Palatino Linotype" w:hAnsi="Palatino Linotype" w:cs="Arial"/>
        </w:rPr>
        <w:t xml:space="preserve">, por tal motivo no puede considerarse como una búsqueda exhaustiva y razonable de la información, toda vez que dichas manifestaciones, </w:t>
      </w:r>
      <w:r w:rsidRPr="003E521A">
        <w:rPr>
          <w:rFonts w:ascii="Palatino Linotype" w:hAnsi="Palatino Linotype" w:cs="Arial"/>
          <w:b/>
          <w:bCs/>
        </w:rPr>
        <w:t xml:space="preserve">no otorgan certeza al particular de que realmente se realizó una efectiva búsqueda de lo que solicitó. </w:t>
      </w:r>
    </w:p>
    <w:p w14:paraId="49F79BD9" w14:textId="77777777" w:rsidR="008B4A4E" w:rsidRPr="003E521A" w:rsidRDefault="008B4A4E" w:rsidP="008B4A4E">
      <w:pPr>
        <w:spacing w:before="240" w:after="240"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Es por lo anterior, que se estima pertinente ordenar al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que efectúe  una búsqueda exhaustiva y razonable para efecto de localizar la Modificación al Plan de Desarrollo Municipal señalado por el particular en la solicitud de </w:t>
      </w:r>
      <w:proofErr w:type="spellStart"/>
      <w:r w:rsidRPr="003E521A">
        <w:rPr>
          <w:rFonts w:ascii="Palatino Linotype" w:eastAsia="Palatino Linotype" w:hAnsi="Palatino Linotype" w:cs="Palatino Linotype"/>
        </w:rPr>
        <w:t>merito</w:t>
      </w:r>
      <w:proofErr w:type="spellEnd"/>
      <w:r w:rsidRPr="003E521A">
        <w:rPr>
          <w:rFonts w:ascii="Palatino Linotype" w:eastAsia="Palatino Linotype" w:hAnsi="Palatino Linotype" w:cs="Palatino Linotype"/>
        </w:rPr>
        <w:t>, sin embargo, de ser el caso en el que no se cuente con estas documentales, deberá emitir la declaratoria de inexistencia con las formalidades que se detallarán a continuación, teniendo aplicación al respecto, el criterio de interpretación en el orden administrativo número 0004-11 emitido por este Instituto, cuyo contenido literal se señala enseguida:</w:t>
      </w:r>
    </w:p>
    <w:p w14:paraId="3B22A594"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rPr>
        <w:t>“</w:t>
      </w:r>
      <w:r w:rsidRPr="003E521A">
        <w:rPr>
          <w:rFonts w:ascii="Palatino Linotype" w:eastAsia="Palatino Linotype" w:hAnsi="Palatino Linotype" w:cs="Palatino Linotype"/>
          <w:i/>
          <w:sz w:val="22"/>
          <w:szCs w:val="22"/>
        </w:rPr>
        <w:t>CRITERIO 0004-11</w:t>
      </w:r>
    </w:p>
    <w:p w14:paraId="3B36FF20"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w:t>
      </w:r>
      <w:r w:rsidRPr="003E521A">
        <w:rPr>
          <w:rFonts w:ascii="Palatino Linotype" w:eastAsia="Palatino Linotype" w:hAnsi="Palatino Linotype" w:cs="Palatino Linotype"/>
          <w:i/>
          <w:sz w:val="22"/>
          <w:szCs w:val="22"/>
        </w:rPr>
        <w:lastRenderedPageBreak/>
        <w:t>de la estructura del Sujeto Obligado y, en general, el de adoptar cualquier otra previsión que considere conducente para tales efectos y velar por la certeza en el derecho de acceso a la información.</w:t>
      </w:r>
    </w:p>
    <w:p w14:paraId="47E638BB"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Bajo el entendido de que dicha búsqueda exhaustiva permitirá dos determinaciones:</w:t>
      </w:r>
    </w:p>
    <w:p w14:paraId="661B2A0F"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1ª) Que se localice la documentación que contenga la información solicitada y de ser así la información pueda entregarse al solicitante en la forma en que se encuentra disponible, o</w:t>
      </w:r>
    </w:p>
    <w:p w14:paraId="3B297045"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2ª) Que no se haya encontrado documento alguno que contenga la información requerida, por lo </w:t>
      </w:r>
      <w:proofErr w:type="gramStart"/>
      <w:r w:rsidRPr="003E521A">
        <w:rPr>
          <w:rFonts w:ascii="Palatino Linotype" w:eastAsia="Palatino Linotype" w:hAnsi="Palatino Linotype" w:cs="Palatino Linotype"/>
          <w:i/>
          <w:sz w:val="22"/>
          <w:szCs w:val="22"/>
        </w:rPr>
        <w:t>que</w:t>
      </w:r>
      <w:proofErr w:type="gramEnd"/>
      <w:r w:rsidRPr="003E521A">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w:t>
      </w:r>
    </w:p>
    <w:p w14:paraId="3FC4D358"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7CECAD5C" w14:textId="77777777" w:rsidR="008B4A4E" w:rsidRPr="003E521A" w:rsidRDefault="008B4A4E" w:rsidP="008B4A4E">
      <w:pPr>
        <w:ind w:left="567" w:right="618"/>
        <w:jc w:val="both"/>
        <w:rPr>
          <w:rFonts w:ascii="Palatino Linotype" w:eastAsia="Palatino Linotype" w:hAnsi="Palatino Linotype" w:cs="Palatino Linotype"/>
          <w:i/>
          <w:sz w:val="22"/>
          <w:szCs w:val="22"/>
        </w:rPr>
      </w:pPr>
    </w:p>
    <w:p w14:paraId="1EC38CD3" w14:textId="77777777" w:rsidR="008B4A4E" w:rsidRPr="003E521A" w:rsidRDefault="008B4A4E" w:rsidP="008B4A4E">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Sujeto Obligado debió de haber generado, administrado o poseído la información pero en incumplimiento a la norma no lo llevo a cabo. Tal como se lee del criterio que para mayor referencia se transcribe a continuación:</w:t>
      </w:r>
    </w:p>
    <w:p w14:paraId="4EFE2B6E" w14:textId="77777777" w:rsidR="008B4A4E" w:rsidRPr="003E521A" w:rsidRDefault="008B4A4E" w:rsidP="008B4A4E">
      <w:pPr>
        <w:spacing w:line="360" w:lineRule="auto"/>
        <w:ind w:right="49"/>
        <w:jc w:val="both"/>
        <w:rPr>
          <w:rFonts w:ascii="Palatino Linotype" w:eastAsia="Palatino Linotype" w:hAnsi="Palatino Linotype" w:cs="Palatino Linotype"/>
        </w:rPr>
      </w:pPr>
    </w:p>
    <w:p w14:paraId="07D4FE52"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lastRenderedPageBreak/>
        <w:t>“INEXISTENCIA, CONCEPTO DE, EN MATERIA DE TRANSPARENCIA.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12D3DB9"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FA5A2F3"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b) En los casos en que por las atribuciones conferidas al Sujeto Obligado éste debió generar, administrar o poseer la información, pero en incumplimiento a la normatividad respectiva no llevó a cabo ninguna de esas acciones.</w:t>
      </w:r>
    </w:p>
    <w:p w14:paraId="6068F55B"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roofErr w:type="gramStart"/>
      <w:r w:rsidRPr="003E521A">
        <w:rPr>
          <w:rFonts w:ascii="Palatino Linotype" w:eastAsia="Palatino Linotype" w:hAnsi="Palatino Linotype" w:cs="Palatino Linotype"/>
          <w:i/>
          <w:sz w:val="22"/>
          <w:szCs w:val="22"/>
        </w:rPr>
        <w:t>.”(</w:t>
      </w:r>
      <w:proofErr w:type="gramEnd"/>
      <w:r w:rsidRPr="003E521A">
        <w:rPr>
          <w:rFonts w:ascii="Palatino Linotype" w:eastAsia="Palatino Linotype" w:hAnsi="Palatino Linotype" w:cs="Palatino Linotype"/>
          <w:i/>
          <w:sz w:val="22"/>
          <w:szCs w:val="22"/>
        </w:rPr>
        <w:t>Sic)</w:t>
      </w:r>
    </w:p>
    <w:p w14:paraId="35997CED" w14:textId="77777777" w:rsidR="008B4A4E" w:rsidRPr="003E521A" w:rsidRDefault="008B4A4E" w:rsidP="008B4A4E">
      <w:pPr>
        <w:ind w:left="567" w:right="618"/>
        <w:jc w:val="both"/>
        <w:rPr>
          <w:rFonts w:ascii="Palatino Linotype" w:eastAsia="Palatino Linotype" w:hAnsi="Palatino Linotype" w:cs="Palatino Linotype"/>
          <w:i/>
        </w:rPr>
      </w:pPr>
    </w:p>
    <w:p w14:paraId="5C5A53E8" w14:textId="77777777" w:rsidR="008B4A4E" w:rsidRPr="003E521A" w:rsidRDefault="008B4A4E" w:rsidP="008B4A4E">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Por lo que al haberse estudiado que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tiene la obligación de haber administrados la información referida, y si no localizarla o no haber sido generada, por cualquiera de los dos supuestos referidos con antelación, con los que podría ocurrir la inexistencia de la misma;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deberá emitir la declaratoria de inexistencia correspondiente.</w:t>
      </w:r>
    </w:p>
    <w:p w14:paraId="1051D3E2" w14:textId="77777777" w:rsidR="008B4A4E" w:rsidRPr="003E521A" w:rsidRDefault="008B4A4E" w:rsidP="008B4A4E">
      <w:pPr>
        <w:spacing w:line="360" w:lineRule="auto"/>
        <w:ind w:right="49"/>
        <w:jc w:val="both"/>
        <w:rPr>
          <w:rFonts w:ascii="Palatino Linotype" w:eastAsia="Palatino Linotype" w:hAnsi="Palatino Linotype" w:cs="Palatino Linotype"/>
        </w:rPr>
      </w:pPr>
    </w:p>
    <w:p w14:paraId="2E3A4E75" w14:textId="77777777" w:rsidR="008B4A4E" w:rsidRPr="003E521A" w:rsidRDefault="008B4A4E" w:rsidP="008B4A4E">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Lo anterior, se ordena en términos de lo que señala el artículo 19, tercer párrafo, 49, fracciones II y XIII; 169 y 170 de la Ley de Transparencia y Acceso a la Información Pública del Estado de México y Municipios, que se leen como sigue:</w:t>
      </w:r>
    </w:p>
    <w:p w14:paraId="0DE0B1AD" w14:textId="77777777" w:rsidR="008B4A4E" w:rsidRPr="003E521A" w:rsidRDefault="008B4A4E" w:rsidP="008B4A4E">
      <w:pPr>
        <w:ind w:left="567" w:right="618"/>
        <w:jc w:val="both"/>
        <w:rPr>
          <w:rFonts w:ascii="Palatino Linotype" w:eastAsia="Palatino Linotype" w:hAnsi="Palatino Linotype" w:cs="Palatino Linotype"/>
          <w:i/>
        </w:rPr>
      </w:pPr>
    </w:p>
    <w:p w14:paraId="000D0528"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19</w:t>
      </w:r>
      <w:r w:rsidRPr="003E521A">
        <w:rPr>
          <w:rFonts w:ascii="Palatino Linotype" w:eastAsia="Palatino Linotype" w:hAnsi="Palatino Linotype" w:cs="Palatino Linotype"/>
          <w:i/>
          <w:sz w:val="22"/>
          <w:szCs w:val="22"/>
        </w:rPr>
        <w:t>. (…)</w:t>
      </w:r>
    </w:p>
    <w:p w14:paraId="0E8B71B4"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695B347" w14:textId="77777777" w:rsidR="008B4A4E" w:rsidRPr="003E521A" w:rsidRDefault="008B4A4E" w:rsidP="008B4A4E">
      <w:pPr>
        <w:ind w:left="567" w:right="618"/>
        <w:jc w:val="both"/>
        <w:rPr>
          <w:rFonts w:ascii="Palatino Linotype" w:eastAsia="Palatino Linotype" w:hAnsi="Palatino Linotype" w:cs="Palatino Linotype"/>
          <w:i/>
          <w:sz w:val="22"/>
          <w:szCs w:val="22"/>
        </w:rPr>
      </w:pPr>
    </w:p>
    <w:p w14:paraId="080B645C"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49</w:t>
      </w:r>
      <w:r w:rsidRPr="003E521A">
        <w:rPr>
          <w:rFonts w:ascii="Palatino Linotype" w:eastAsia="Palatino Linotype" w:hAnsi="Palatino Linotype" w:cs="Palatino Linotype"/>
          <w:i/>
          <w:sz w:val="22"/>
          <w:szCs w:val="22"/>
        </w:rPr>
        <w:t>. Los Comités de Transparencia tendrán las siguientes atribuciones:</w:t>
      </w:r>
    </w:p>
    <w:p w14:paraId="3815DC3B"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9AE9DAB"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7AE36F67" w14:textId="77777777" w:rsidR="008B4A4E" w:rsidRPr="003E521A" w:rsidRDefault="008B4A4E" w:rsidP="008B4A4E">
      <w:pPr>
        <w:ind w:left="567" w:right="618"/>
        <w:jc w:val="both"/>
        <w:rPr>
          <w:rFonts w:ascii="Palatino Linotype" w:eastAsia="Palatino Linotype" w:hAnsi="Palatino Linotype" w:cs="Palatino Linotype"/>
          <w:i/>
          <w:sz w:val="22"/>
          <w:szCs w:val="22"/>
        </w:rPr>
      </w:pPr>
    </w:p>
    <w:p w14:paraId="0235AACC"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169.</w:t>
      </w:r>
      <w:r w:rsidRPr="003E521A">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5FE608A2"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 Analizará el caso y tomará las medidas necesarias para localizar la información;</w:t>
      </w:r>
    </w:p>
    <w:p w14:paraId="16E6155C"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 Expedirá una resolución que confirme la inexistencia del documento;</w:t>
      </w:r>
    </w:p>
    <w:p w14:paraId="13CE211F"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5D96CAA"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IV. Notificará al órgano interno de control o equivalente del sujeto obligado quien, en su caso, deberá iniciar el procedimiento de responsabilidad administrativa que corresponda.</w:t>
      </w:r>
    </w:p>
    <w:p w14:paraId="612A9DC2"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3AF2F9D0"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6666E57" w14:textId="77777777" w:rsidR="008B4A4E" w:rsidRPr="003E521A" w:rsidRDefault="008B4A4E" w:rsidP="008B4A4E">
      <w:pPr>
        <w:ind w:left="567" w:right="618"/>
        <w:jc w:val="both"/>
        <w:rPr>
          <w:rFonts w:ascii="Palatino Linotype" w:eastAsia="Palatino Linotype" w:hAnsi="Palatino Linotype" w:cs="Palatino Linotype"/>
          <w:i/>
          <w:sz w:val="22"/>
          <w:szCs w:val="22"/>
        </w:rPr>
      </w:pPr>
    </w:p>
    <w:p w14:paraId="72A3C7E9" w14:textId="77777777" w:rsidR="008B4A4E" w:rsidRPr="003E521A" w:rsidRDefault="008B4A4E" w:rsidP="008B4A4E">
      <w:pPr>
        <w:ind w:left="567" w:right="618"/>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170</w:t>
      </w:r>
      <w:r w:rsidRPr="003E521A">
        <w:rPr>
          <w:rFonts w:ascii="Palatino Linotype" w:eastAsia="Palatino Linotype" w:hAnsi="Palatino Linotype" w:cs="Palatino Linotype"/>
          <w:i/>
          <w:sz w:val="22"/>
          <w:szCs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(Sic)</w:t>
      </w:r>
    </w:p>
    <w:p w14:paraId="10391A5A" w14:textId="77777777" w:rsidR="008B4A4E" w:rsidRPr="003E521A" w:rsidRDefault="008B4A4E" w:rsidP="008B4A4E">
      <w:pPr>
        <w:spacing w:line="360" w:lineRule="auto"/>
        <w:ind w:right="49"/>
        <w:jc w:val="both"/>
        <w:rPr>
          <w:rFonts w:ascii="Palatino Linotype" w:eastAsia="Palatino Linotype" w:hAnsi="Palatino Linotype" w:cs="Palatino Linotype"/>
        </w:rPr>
      </w:pPr>
    </w:p>
    <w:p w14:paraId="79B4A6F7" w14:textId="77777777" w:rsidR="008B4A4E" w:rsidRPr="003E521A" w:rsidRDefault="008B4A4E" w:rsidP="008B4A4E">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Dicho de otro modo, en el caso de que derivado de la búsqueda exhaustiva de la información que se ordena, la misma no se localice, deberá procederse a la emisión de una resolución que confirme la inexistencia de la información, solicitada por </w:t>
      </w:r>
      <w:r w:rsidRPr="003E521A">
        <w:rPr>
          <w:rFonts w:ascii="Palatino Linotype" w:eastAsia="Palatino Linotype" w:hAnsi="Palatino Linotype" w:cs="Palatino Linotype"/>
        </w:rPr>
        <w:lastRenderedPageBreak/>
        <w:t xml:space="preserve">parte del Comité de Transparencia del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recurrente de que aquella fue realizada así como de comprobar la inexistencia de la información.</w:t>
      </w:r>
    </w:p>
    <w:p w14:paraId="22763B62" w14:textId="77777777" w:rsidR="00092BAF" w:rsidRPr="003E521A" w:rsidRDefault="00092BAF" w:rsidP="008B4A4E">
      <w:pPr>
        <w:spacing w:line="360" w:lineRule="auto"/>
        <w:ind w:right="49"/>
        <w:jc w:val="both"/>
        <w:rPr>
          <w:rFonts w:ascii="Palatino Linotype" w:eastAsia="Palatino Linotype" w:hAnsi="Palatino Linotype" w:cs="Palatino Linotype"/>
        </w:rPr>
      </w:pPr>
    </w:p>
    <w:p w14:paraId="2CD0D693" w14:textId="77777777" w:rsidR="00355227" w:rsidRPr="003E521A" w:rsidRDefault="001F7EA1">
      <w:pPr>
        <w:pBdr>
          <w:top w:val="nil"/>
          <w:left w:val="nil"/>
          <w:bottom w:val="nil"/>
          <w:right w:val="nil"/>
          <w:between w:val="nil"/>
        </w:pBd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Ahora bien, es de reiterar que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62C4932D" w14:textId="77777777" w:rsidR="00355227" w:rsidRPr="003E521A" w:rsidRDefault="00355227">
      <w:pPr>
        <w:pBdr>
          <w:top w:val="nil"/>
          <w:left w:val="nil"/>
          <w:bottom w:val="nil"/>
          <w:right w:val="nil"/>
          <w:between w:val="nil"/>
        </w:pBdr>
        <w:spacing w:line="360" w:lineRule="auto"/>
        <w:jc w:val="both"/>
        <w:rPr>
          <w:b/>
        </w:rPr>
      </w:pPr>
    </w:p>
    <w:p w14:paraId="2A4F1405" w14:textId="77777777" w:rsidR="00355227" w:rsidRPr="003E521A" w:rsidRDefault="001F7EA1">
      <w:pPr>
        <w:pBdr>
          <w:top w:val="nil"/>
          <w:left w:val="nil"/>
          <w:bottom w:val="nil"/>
          <w:right w:val="nil"/>
          <w:between w:val="nil"/>
        </w:pBdr>
        <w:spacing w:line="360" w:lineRule="auto"/>
        <w:jc w:val="both"/>
        <w:rPr>
          <w:b/>
        </w:rPr>
      </w:pPr>
      <w:r w:rsidRPr="003E521A">
        <w:rPr>
          <w:b/>
          <w:noProof/>
          <w:lang w:val="es-MX"/>
        </w:rPr>
        <w:drawing>
          <wp:inline distT="0" distB="0" distL="0" distR="0" wp14:anchorId="5676602E" wp14:editId="1654B721">
            <wp:extent cx="5616155" cy="819294"/>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616155" cy="819294"/>
                    </a:xfrm>
                    <a:prstGeom prst="rect">
                      <a:avLst/>
                    </a:prstGeom>
                    <a:ln/>
                  </pic:spPr>
                </pic:pic>
              </a:graphicData>
            </a:graphic>
          </wp:inline>
        </w:drawing>
      </w:r>
    </w:p>
    <w:p w14:paraId="36BFC228" w14:textId="77777777" w:rsidR="00355227" w:rsidRPr="003E521A" w:rsidRDefault="00355227">
      <w:pPr>
        <w:spacing w:line="360" w:lineRule="auto"/>
        <w:jc w:val="both"/>
        <w:rPr>
          <w:rFonts w:ascii="Palatino Linotype" w:eastAsia="Palatino Linotype" w:hAnsi="Palatino Linotype" w:cs="Palatino Linotype"/>
          <w:b/>
        </w:rPr>
      </w:pPr>
    </w:p>
    <w:p w14:paraId="7588572A" w14:textId="77777777" w:rsidR="00355227" w:rsidRPr="003E521A" w:rsidRDefault="001F7EA1">
      <w:pPr>
        <w:spacing w:line="360" w:lineRule="auto"/>
        <w:ind w:right="51"/>
        <w:jc w:val="both"/>
        <w:rPr>
          <w:rFonts w:ascii="Palatino Linotype" w:eastAsia="Palatino Linotype" w:hAnsi="Palatino Linotype" w:cs="Palatino Linotype"/>
          <w:b/>
        </w:rPr>
      </w:pPr>
      <w:r w:rsidRPr="003E521A">
        <w:rPr>
          <w:rFonts w:ascii="Palatino Linotype" w:eastAsia="Palatino Linotype" w:hAnsi="Palatino Linotype" w:cs="Palatino Linotype"/>
        </w:rPr>
        <w:t xml:space="preserve">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w:t>
      </w:r>
      <w:r w:rsidRPr="003E521A">
        <w:rPr>
          <w:rFonts w:ascii="Palatino Linotype" w:eastAsia="Palatino Linotype" w:hAnsi="Palatino Linotype" w:cs="Palatino Linotype"/>
        </w:rPr>
        <w:lastRenderedPageBreak/>
        <w:t>Obligados deberán hacer del conocimiento de los particulares</w:t>
      </w:r>
      <w:r w:rsidRPr="003E521A">
        <w:rPr>
          <w:rFonts w:ascii="Palatino Linotype" w:eastAsia="Palatino Linotype" w:hAnsi="Palatino Linotype" w:cs="Palatino Linotype"/>
          <w:b/>
        </w:rPr>
        <w:t xml:space="preserve"> </w:t>
      </w:r>
      <w:r w:rsidRPr="003E521A">
        <w:rPr>
          <w:rFonts w:ascii="Palatino Linotype" w:eastAsia="Palatino Linotype" w:hAnsi="Palatino Linotype" w:cs="Palatino Linotype"/>
        </w:rPr>
        <w:t>previamente</w:t>
      </w:r>
      <w:r w:rsidRPr="003E521A">
        <w:rPr>
          <w:rFonts w:ascii="Palatino Linotype" w:eastAsia="Palatino Linotype" w:hAnsi="Palatino Linotype" w:cs="Palatino Linotype"/>
          <w:b/>
        </w:rPr>
        <w:t>, el costo total por la reproducción y certificación de la información requerida,</w:t>
      </w:r>
      <w:r w:rsidRPr="003E521A">
        <w:rPr>
          <w:rFonts w:ascii="Palatino Linotype" w:eastAsia="Palatino Linotype" w:hAnsi="Palatino Linotype" w:cs="Palatino Linotype"/>
        </w:rPr>
        <w:t xml:space="preserve"> </w:t>
      </w:r>
      <w:r w:rsidRPr="003E521A">
        <w:rPr>
          <w:rFonts w:ascii="Palatino Linotype" w:eastAsia="Palatino Linotype" w:hAnsi="Palatino Linotype" w:cs="Palatino Linotype"/>
          <w:b/>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r w:rsidRPr="003E521A">
        <w:rPr>
          <w:rFonts w:ascii="Palatino Linotype" w:eastAsia="Palatino Linotype" w:hAnsi="Palatino Linotype" w:cs="Palatino Linotype"/>
          <w:b/>
          <w:u w:val="single"/>
        </w:rPr>
        <w:t>situación que en el presente caso no aconteció</w:t>
      </w:r>
      <w:r w:rsidRPr="003E521A">
        <w:rPr>
          <w:rFonts w:ascii="Palatino Linotype" w:eastAsia="Palatino Linotype" w:hAnsi="Palatino Linotype" w:cs="Palatino Linotype"/>
          <w:b/>
        </w:rPr>
        <w:t xml:space="preserve">.  </w:t>
      </w:r>
    </w:p>
    <w:p w14:paraId="0A84CFE9" w14:textId="77777777" w:rsidR="00355227" w:rsidRPr="003E521A" w:rsidRDefault="00355227">
      <w:pPr>
        <w:spacing w:line="360" w:lineRule="auto"/>
        <w:ind w:right="51"/>
        <w:jc w:val="both"/>
        <w:rPr>
          <w:rFonts w:ascii="Palatino Linotype" w:eastAsia="Palatino Linotype" w:hAnsi="Palatino Linotype" w:cs="Palatino Linotype"/>
          <w:b/>
        </w:rPr>
      </w:pPr>
    </w:p>
    <w:p w14:paraId="2428D59E" w14:textId="77777777" w:rsidR="00355227" w:rsidRPr="003E521A" w:rsidRDefault="001F7EA1">
      <w:pPr>
        <w:spacing w:line="360" w:lineRule="auto"/>
        <w:ind w:right="51"/>
        <w:jc w:val="both"/>
        <w:rPr>
          <w:rFonts w:ascii="Palatino Linotype" w:eastAsia="Palatino Linotype" w:hAnsi="Palatino Linotype" w:cs="Palatino Linotype"/>
        </w:rPr>
      </w:pPr>
      <w:r w:rsidRPr="003E521A">
        <w:rPr>
          <w:rFonts w:ascii="Palatino Linotype" w:eastAsia="Palatino Linotype" w:hAnsi="Palatino Linotype" w:cs="Palatino Linotype"/>
        </w:rPr>
        <w:t>Asimismo, no debe perderse de vista el contenido del artículo 166 de la Ley de Transparencia y Acceso a la Información Pública del Estado de México y Municipios, que señala a la literalidad lo siguiente:</w:t>
      </w:r>
    </w:p>
    <w:p w14:paraId="4D97DC2C" w14:textId="77777777" w:rsidR="00355227" w:rsidRPr="003E521A" w:rsidRDefault="00355227">
      <w:pPr>
        <w:spacing w:line="360" w:lineRule="auto"/>
        <w:ind w:right="51"/>
        <w:jc w:val="both"/>
        <w:rPr>
          <w:rFonts w:ascii="Palatino Linotype" w:eastAsia="Palatino Linotype" w:hAnsi="Palatino Linotype" w:cs="Palatino Linotype"/>
        </w:rPr>
      </w:pPr>
    </w:p>
    <w:p w14:paraId="55E672A7" w14:textId="77777777" w:rsidR="00355227" w:rsidRPr="003E521A" w:rsidRDefault="001F7EA1">
      <w:pPr>
        <w:spacing w:after="120"/>
        <w:ind w:left="851" w:right="851"/>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w:t>
      </w:r>
      <w:r w:rsidRPr="003E521A">
        <w:rPr>
          <w:rFonts w:ascii="Palatino Linotype" w:eastAsia="Palatino Linotype" w:hAnsi="Palatino Linotype" w:cs="Palatino Linotype"/>
          <w:b/>
          <w:i/>
          <w:sz w:val="22"/>
          <w:szCs w:val="22"/>
        </w:rPr>
        <w:t>Artículo 166</w:t>
      </w:r>
      <w:r w:rsidRPr="003E521A">
        <w:rPr>
          <w:rFonts w:ascii="Palatino Linotype" w:eastAsia="Palatino Linotype" w:hAnsi="Palatino Linotype" w:cs="Palatino Linotype"/>
          <w:i/>
          <w:sz w:val="22"/>
          <w:szCs w:val="22"/>
        </w:rPr>
        <w:t xml:space="preserve">. La obligación de acceso a la información pública se tendrá por cumplida </w:t>
      </w:r>
      <w:r w:rsidRPr="003E521A">
        <w:rPr>
          <w:rFonts w:ascii="Palatino Linotype" w:eastAsia="Palatino Linotype" w:hAnsi="Palatino Linotype" w:cs="Palatino Linotype"/>
          <w:b/>
          <w:i/>
          <w:sz w:val="22"/>
          <w:szCs w:val="22"/>
        </w:rPr>
        <w:t xml:space="preserve">cuando el solicitante tenga a su disposición la información requerida, </w:t>
      </w:r>
      <w:r w:rsidRPr="003E521A">
        <w:rPr>
          <w:rFonts w:ascii="Palatino Linotype" w:eastAsia="Palatino Linotype" w:hAnsi="Palatino Linotype" w:cs="Palatino Linotype"/>
          <w:i/>
          <w:sz w:val="22"/>
          <w:szCs w:val="22"/>
        </w:rPr>
        <w:t>o cuando realice la consulta de la misma en el lugar en el que ésta se localice.</w:t>
      </w:r>
    </w:p>
    <w:p w14:paraId="04C95560" w14:textId="77777777" w:rsidR="00355227" w:rsidRPr="003E521A" w:rsidRDefault="001F7EA1">
      <w:pPr>
        <w:spacing w:before="120" w:after="120"/>
        <w:ind w:left="851" w:right="851"/>
        <w:jc w:val="both"/>
        <w:rPr>
          <w:rFonts w:ascii="Palatino Linotype" w:eastAsia="Palatino Linotype" w:hAnsi="Palatino Linotype" w:cs="Palatino Linotype"/>
          <w:b/>
          <w:i/>
          <w:sz w:val="22"/>
          <w:szCs w:val="22"/>
        </w:rPr>
      </w:pPr>
      <w:r w:rsidRPr="003E521A">
        <w:rPr>
          <w:rFonts w:ascii="Palatino Linotype" w:eastAsia="Palatino Linotype" w:hAnsi="Palatino Linotype" w:cs="Palatino Linotype"/>
          <w:b/>
          <w:i/>
          <w:sz w:val="22"/>
          <w:szCs w:val="22"/>
          <w:u w:val="single"/>
        </w:rPr>
        <w:t>La Unidad de Transparencia tendrá disponible la información solicitada</w:t>
      </w:r>
      <w:r w:rsidRPr="003E521A">
        <w:rPr>
          <w:rFonts w:ascii="Palatino Linotype" w:eastAsia="Palatino Linotype" w:hAnsi="Palatino Linotype" w:cs="Palatino Linotype"/>
          <w:b/>
          <w:i/>
          <w:sz w:val="22"/>
          <w:szCs w:val="22"/>
        </w:rPr>
        <w:t>, durante un plazo mínimo de sesenta días hábiles, contado a partir de que el solicitante hubiere realizado, en su caso, el pago respectivo, el cual deberá efectuarse en un plazo no mayor a treinta días hábiles.</w:t>
      </w:r>
    </w:p>
    <w:p w14:paraId="3ADCFC26" w14:textId="77777777" w:rsidR="00355227" w:rsidRPr="003E521A" w:rsidRDefault="001F7EA1">
      <w:pPr>
        <w:spacing w:before="120" w:after="120"/>
        <w:ind w:left="851" w:right="851"/>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4AC20117" w14:textId="77777777" w:rsidR="00355227" w:rsidRPr="003E521A" w:rsidRDefault="001F7EA1">
      <w:pPr>
        <w:spacing w:before="120" w:after="120"/>
        <w:ind w:left="851" w:right="851"/>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0FB0AD8B" w14:textId="77777777" w:rsidR="00355227" w:rsidRPr="003E521A" w:rsidRDefault="001F7EA1">
      <w:pPr>
        <w:spacing w:before="120" w:after="120"/>
        <w:ind w:left="851" w:right="851"/>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Una vez entregada la información, el solicitante acusará recibo por escrito, dándose por terminado el trámite de acceso a la información.”</w:t>
      </w:r>
    </w:p>
    <w:p w14:paraId="07FE6D57" w14:textId="77777777" w:rsidR="00355227" w:rsidRPr="003E521A" w:rsidRDefault="00355227">
      <w:pPr>
        <w:spacing w:before="120" w:line="360" w:lineRule="auto"/>
        <w:ind w:right="49"/>
        <w:jc w:val="both"/>
        <w:rPr>
          <w:rFonts w:ascii="Palatino Linotype" w:eastAsia="Palatino Linotype" w:hAnsi="Palatino Linotype" w:cs="Palatino Linotype"/>
        </w:rPr>
      </w:pPr>
    </w:p>
    <w:p w14:paraId="46B54CCA"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lastRenderedPageBreak/>
        <w:t xml:space="preserve">Asimismo,  en materia de acceso a la información la certificación </w:t>
      </w:r>
      <w:r w:rsidRPr="003E521A">
        <w:rPr>
          <w:rFonts w:ascii="Palatino Linotype" w:eastAsia="Palatino Linotype" w:hAnsi="Palatino Linotype" w:cs="Palatino Linotype"/>
          <w:b/>
        </w:rPr>
        <w:t>únicamente por efecto constatar que la copia certificada que se entrega es una reproducción fiel del documento -original o copia simple- que obra en los archivos de la dependencia</w:t>
      </w:r>
      <w:r w:rsidRPr="003E521A">
        <w:rPr>
          <w:rFonts w:ascii="Palatino Linotype" w:eastAsia="Palatino Linotype" w:hAnsi="Palatino Linotype" w:cs="Palatino Linotype"/>
        </w:rPr>
        <w:t xml:space="preserve"> o entidad requerida, en ese orden de ideas, </w:t>
      </w:r>
      <w:r w:rsidRPr="003E521A">
        <w:rPr>
          <w:rFonts w:ascii="Palatino Linotype" w:eastAsia="Palatino Linotype" w:hAnsi="Palatino Linotype" w:cs="Palatino Linotype"/>
          <w:b/>
          <w:u w:val="single"/>
        </w:rPr>
        <w:t>la certificación, para efectos de acceso a la información, no tiene como propósito que el documento certificado haga las veces de un original,</w:t>
      </w:r>
      <w:r w:rsidRPr="003E521A">
        <w:rPr>
          <w:rFonts w:ascii="Palatino Linotype" w:eastAsia="Palatino Linotype" w:hAnsi="Palatino Linotype" w:cs="Palatino Linotype"/>
        </w:rPr>
        <w:t xml:space="preserve"> sino dejar evidencia de que los documentos obran en los archivos de los sujetos obligados, tal cual se encuentran, lo cual deberá quedar precisado en la leyenda de certificación correspondiente. </w:t>
      </w:r>
    </w:p>
    <w:p w14:paraId="344FC557" w14:textId="77777777" w:rsidR="00355227" w:rsidRPr="003E521A" w:rsidRDefault="00355227">
      <w:pPr>
        <w:spacing w:line="360" w:lineRule="auto"/>
        <w:jc w:val="both"/>
        <w:rPr>
          <w:rFonts w:ascii="Palatino Linotype" w:eastAsia="Palatino Linotype" w:hAnsi="Palatino Linotype" w:cs="Palatino Linotype"/>
        </w:rPr>
      </w:pPr>
    </w:p>
    <w:p w14:paraId="735259EB" w14:textId="77777777" w:rsidR="00355227" w:rsidRPr="003E521A" w:rsidRDefault="001F7EA1">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Sirve de fundamentación a lo antes expresado, el criterio 06/2017 emitido por el Instituto Nacional de Transparencia, Acceso a la Información y Protección de Datos Personales: </w:t>
      </w:r>
    </w:p>
    <w:p w14:paraId="395078DE" w14:textId="77777777" w:rsidR="00355227" w:rsidRPr="003E521A" w:rsidRDefault="001F7EA1">
      <w:pPr>
        <w:ind w:left="851" w:right="900"/>
        <w:jc w:val="both"/>
        <w:rPr>
          <w:rFonts w:ascii="Palatino Linotype" w:eastAsia="Palatino Linotype" w:hAnsi="Palatino Linotype" w:cs="Palatino Linotype"/>
          <w:i/>
        </w:rPr>
      </w:pPr>
      <w:r w:rsidRPr="003E521A">
        <w:rPr>
          <w:rFonts w:ascii="Palatino Linotype" w:eastAsia="Palatino Linotype" w:hAnsi="Palatino Linotype" w:cs="Palatino Linotype"/>
          <w:b/>
          <w:i/>
        </w:rPr>
        <w:t xml:space="preserve">Copias certificadas, como modalidad de entrega en la Ley Federal de Transparencia y Acceso a la Información Pública corrobora que el documento es una copia fiel del que obra en los archivos del sujeto obligado. </w:t>
      </w:r>
      <w:r w:rsidRPr="003E521A">
        <w:rPr>
          <w:rFonts w:ascii="Palatino Linotype" w:eastAsia="Palatino Linotype" w:hAnsi="Palatino Linotype" w:cs="Palatino Linotype"/>
          <w:i/>
        </w:rPr>
        <w:t>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5F39B716" w14:textId="77777777" w:rsidR="00355227" w:rsidRPr="003E521A" w:rsidRDefault="00355227">
      <w:pPr>
        <w:jc w:val="both"/>
        <w:rPr>
          <w:rFonts w:ascii="Palatino Linotype" w:eastAsia="Palatino Linotype" w:hAnsi="Palatino Linotype" w:cs="Palatino Linotype"/>
          <w:i/>
        </w:rPr>
      </w:pPr>
    </w:p>
    <w:p w14:paraId="4431AA0C" w14:textId="77777777" w:rsidR="00355227" w:rsidRPr="003E521A" w:rsidRDefault="001F7EA1">
      <w:pPr>
        <w:ind w:left="851" w:right="851"/>
        <w:jc w:val="both"/>
        <w:rPr>
          <w:rFonts w:ascii="Palatino Linotype" w:eastAsia="Palatino Linotype" w:hAnsi="Palatino Linotype" w:cs="Palatino Linotype"/>
          <w:b/>
          <w:i/>
        </w:rPr>
      </w:pPr>
      <w:r w:rsidRPr="003E521A">
        <w:rPr>
          <w:rFonts w:ascii="Palatino Linotype" w:eastAsia="Palatino Linotype" w:hAnsi="Palatino Linotype" w:cs="Palatino Linotype"/>
          <w:b/>
          <w:i/>
        </w:rPr>
        <w:t>Precedentes:</w:t>
      </w:r>
    </w:p>
    <w:p w14:paraId="40556D25" w14:textId="77777777" w:rsidR="00355227" w:rsidRPr="003E521A" w:rsidRDefault="001F7EA1">
      <w:pPr>
        <w:numPr>
          <w:ilvl w:val="0"/>
          <w:numId w:val="4"/>
        </w:numPr>
        <w:pBdr>
          <w:top w:val="nil"/>
          <w:left w:val="nil"/>
          <w:bottom w:val="nil"/>
          <w:right w:val="nil"/>
          <w:between w:val="nil"/>
        </w:pBdr>
        <w:ind w:left="851" w:right="851" w:firstLine="0"/>
        <w:jc w:val="both"/>
        <w:rPr>
          <w:rFonts w:ascii="Palatino Linotype" w:eastAsia="Palatino Linotype" w:hAnsi="Palatino Linotype" w:cs="Palatino Linotype"/>
          <w:i/>
        </w:rPr>
      </w:pPr>
      <w:r w:rsidRPr="003E521A">
        <w:rPr>
          <w:rFonts w:ascii="Palatino Linotype" w:eastAsia="Palatino Linotype" w:hAnsi="Palatino Linotype" w:cs="Palatino Linotype"/>
          <w:i/>
        </w:rPr>
        <w:t>Acceso a la información pública. RRA 1291/16. Sesión del 07 de septiembre de 2016. Votación por unanimidad. Sin votos disidentes o particulares. Partido Encuentro Social. Comisionado Ponente Oscar Mauricio Guerra Ford.</w:t>
      </w:r>
    </w:p>
    <w:p w14:paraId="2848F5AA" w14:textId="77777777" w:rsidR="00355227" w:rsidRPr="003E521A" w:rsidRDefault="001F7EA1">
      <w:pPr>
        <w:numPr>
          <w:ilvl w:val="0"/>
          <w:numId w:val="4"/>
        </w:numPr>
        <w:pBdr>
          <w:top w:val="nil"/>
          <w:left w:val="nil"/>
          <w:bottom w:val="nil"/>
          <w:right w:val="nil"/>
          <w:between w:val="nil"/>
        </w:pBdr>
        <w:ind w:left="851" w:right="851" w:firstLine="0"/>
        <w:jc w:val="both"/>
        <w:rPr>
          <w:rFonts w:ascii="Palatino Linotype" w:eastAsia="Palatino Linotype" w:hAnsi="Palatino Linotype" w:cs="Palatino Linotype"/>
          <w:i/>
        </w:rPr>
      </w:pPr>
      <w:r w:rsidRPr="003E521A">
        <w:rPr>
          <w:rFonts w:ascii="Palatino Linotype" w:eastAsia="Palatino Linotype" w:hAnsi="Palatino Linotype" w:cs="Palatino Linotype"/>
          <w:i/>
        </w:rPr>
        <w:t>Acceso a la información pública. RRA 1541/16. Sesión del 14 de septiembre de 2016. Votación por unanimidad. Sin votos disidentes o particulares. Secretaría de Agricultura, Ganadería, Desarrollo Rural, Pesca y Alimentación. Comisionado Ponente Francisco Javier Acuña Llamas.</w:t>
      </w:r>
      <w:r w:rsidRPr="003E521A">
        <w:rPr>
          <w:rFonts w:ascii="Palatino Linotype" w:eastAsia="Palatino Linotype" w:hAnsi="Palatino Linotype" w:cs="Palatino Linotype"/>
          <w:b/>
          <w:i/>
        </w:rPr>
        <w:t xml:space="preserve"> </w:t>
      </w:r>
    </w:p>
    <w:p w14:paraId="120550B4" w14:textId="77777777" w:rsidR="00355227" w:rsidRPr="003E521A" w:rsidRDefault="001F7EA1">
      <w:pPr>
        <w:numPr>
          <w:ilvl w:val="0"/>
          <w:numId w:val="4"/>
        </w:numPr>
        <w:pBdr>
          <w:top w:val="nil"/>
          <w:left w:val="nil"/>
          <w:bottom w:val="nil"/>
          <w:right w:val="nil"/>
          <w:between w:val="nil"/>
        </w:pBdr>
        <w:ind w:left="851" w:right="851" w:firstLine="0"/>
        <w:jc w:val="both"/>
        <w:rPr>
          <w:rFonts w:ascii="Palatino Linotype" w:eastAsia="Palatino Linotype" w:hAnsi="Palatino Linotype" w:cs="Palatino Linotype"/>
          <w:i/>
        </w:rPr>
      </w:pPr>
      <w:r w:rsidRPr="003E521A">
        <w:rPr>
          <w:rFonts w:ascii="Palatino Linotype" w:eastAsia="Palatino Linotype" w:hAnsi="Palatino Linotype" w:cs="Palatino Linotype"/>
          <w:i/>
        </w:rPr>
        <w:t xml:space="preserve">Acceso a la información pública. RRA 1657/16. Sesión del 05 de octubre de 2016. Votación por unanimidad. Sin votos disidentes o particulares. Universidad Nacional Autónoma de México. Comisionado Ponente </w:t>
      </w:r>
      <w:proofErr w:type="spellStart"/>
      <w:r w:rsidRPr="003E521A">
        <w:rPr>
          <w:rFonts w:ascii="Palatino Linotype" w:eastAsia="Palatino Linotype" w:hAnsi="Palatino Linotype" w:cs="Palatino Linotype"/>
          <w:i/>
        </w:rPr>
        <w:t>Rosendoevgueni</w:t>
      </w:r>
      <w:proofErr w:type="spellEnd"/>
      <w:r w:rsidRPr="003E521A">
        <w:rPr>
          <w:rFonts w:ascii="Palatino Linotype" w:eastAsia="Palatino Linotype" w:hAnsi="Palatino Linotype" w:cs="Palatino Linotype"/>
          <w:i/>
        </w:rPr>
        <w:t xml:space="preserve"> Monterrey </w:t>
      </w:r>
      <w:proofErr w:type="spellStart"/>
      <w:r w:rsidRPr="003E521A">
        <w:rPr>
          <w:rFonts w:ascii="Palatino Linotype" w:eastAsia="Palatino Linotype" w:hAnsi="Palatino Linotype" w:cs="Palatino Linotype"/>
          <w:i/>
        </w:rPr>
        <w:t>Chepov</w:t>
      </w:r>
      <w:proofErr w:type="spellEnd"/>
    </w:p>
    <w:p w14:paraId="70F5C9FA" w14:textId="77777777" w:rsidR="00355227" w:rsidRPr="003E521A" w:rsidRDefault="00355227">
      <w:pPr>
        <w:spacing w:line="360" w:lineRule="auto"/>
        <w:jc w:val="both"/>
        <w:rPr>
          <w:rFonts w:ascii="Palatino Linotype" w:eastAsia="Palatino Linotype" w:hAnsi="Palatino Linotype" w:cs="Palatino Linotype"/>
        </w:rPr>
      </w:pPr>
    </w:p>
    <w:p w14:paraId="20526BB1" w14:textId="77777777" w:rsidR="00355227" w:rsidRPr="003E521A" w:rsidRDefault="001F7EA1">
      <w:pPr>
        <w:spacing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rPr>
        <w:t>Razón por la cual,</w:t>
      </w:r>
      <w:r w:rsidRPr="003E521A">
        <w:rPr>
          <w:rFonts w:ascii="Palatino Linotype" w:eastAsia="Palatino Linotype" w:hAnsi="Palatino Linotype" w:cs="Palatino Linotype"/>
          <w:b/>
        </w:rPr>
        <w:t xml:space="preserve"> </w:t>
      </w:r>
      <w:r w:rsidRPr="003E521A">
        <w:rPr>
          <w:rFonts w:ascii="Palatino Linotype" w:eastAsia="Palatino Linotype" w:hAnsi="Palatino Linotype" w:cs="Palatino Linotype"/>
        </w:rPr>
        <w:t xml:space="preserve">para dar cumplimiento a la presente resolución,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deberá hacer del conocimiento de la parte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vía SAIMEX, </w:t>
      </w:r>
      <w:r w:rsidRPr="003E521A">
        <w:rPr>
          <w:rFonts w:ascii="Palatino Linotype" w:eastAsia="Palatino Linotype" w:hAnsi="Palatino Linotype" w:cs="Palatino Linotype"/>
          <w:b/>
          <w:u w:val="single"/>
        </w:rPr>
        <w:t>el costo por la reproducción y certificación de la información requerida</w:t>
      </w:r>
      <w:r w:rsidRPr="003E521A">
        <w:rPr>
          <w:rFonts w:ascii="Palatino Linotype" w:eastAsia="Palatino Linotype" w:hAnsi="Palatino Linotype" w:cs="Palatino Linotype"/>
        </w:rPr>
        <w:t>, así como el procedimiento para la entrega de la misma una vez que haya efectuado el pago por concepto de derechos, en el que se establezca: lugar, día y horarios en los que podrá presentarse a recoger las copias certificadas, así como  el nombre del o los servidores públicos que le atenderán.</w:t>
      </w:r>
    </w:p>
    <w:p w14:paraId="14FA201F" w14:textId="77777777" w:rsidR="00355227" w:rsidRPr="003E521A" w:rsidRDefault="00355227">
      <w:pPr>
        <w:spacing w:line="360" w:lineRule="auto"/>
        <w:jc w:val="both"/>
        <w:rPr>
          <w:rFonts w:ascii="Palatino Linotype" w:eastAsia="Palatino Linotype" w:hAnsi="Palatino Linotype" w:cs="Palatino Linotype"/>
        </w:rPr>
      </w:pPr>
    </w:p>
    <w:p w14:paraId="5AAF0F4A"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 xml:space="preserve">Finalmente, respecto de </w:t>
      </w:r>
      <w:proofErr w:type="gramStart"/>
      <w:r w:rsidRPr="003E521A">
        <w:rPr>
          <w:rFonts w:ascii="Palatino Linotype" w:eastAsia="Palatino Linotype" w:hAnsi="Palatino Linotype" w:cs="Palatino Linotype"/>
        </w:rPr>
        <w:t>las manifestación realizada</w:t>
      </w:r>
      <w:proofErr w:type="gramEnd"/>
      <w:r w:rsidRPr="003E521A">
        <w:rPr>
          <w:rFonts w:ascii="Palatino Linotype" w:eastAsia="Palatino Linotype" w:hAnsi="Palatino Linotype" w:cs="Palatino Linotype"/>
        </w:rPr>
        <w:t xml:space="preserve"> por la parte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como razones o motivos de inconformidad, consistente en </w:t>
      </w:r>
      <w:r w:rsidRPr="003E521A">
        <w:rPr>
          <w:rFonts w:ascii="Palatino Linotype" w:eastAsia="Palatino Linotype" w:hAnsi="Palatino Linotype" w:cs="Palatino Linotype"/>
          <w:i/>
        </w:rPr>
        <w:t>“…SOLICITANDO SE DÉ VISTA A LA CONTRALORÍA MUNICIPAL EN VIRTUD DE QUE LOS SERVIDORES PÚBLICOS QUE TIENE BAJO SU CUSTODIA LA INFORMACIÓN SE NIEGAN A ENTREGARL”</w:t>
      </w:r>
      <w:r w:rsidRPr="003E521A">
        <w:rPr>
          <w:rFonts w:ascii="Palatino Linotype" w:eastAsia="Palatino Linotype" w:hAnsi="Palatino Linotype" w:cs="Palatino Linotype"/>
        </w:rPr>
        <w:t xml:space="preserve">; y derivado que el Recurso de Revisión no es el medio para sancionar, </w:t>
      </w:r>
      <w:r w:rsidRPr="003E521A">
        <w:rPr>
          <w:rFonts w:ascii="Palatino Linotype" w:eastAsia="Palatino Linotype" w:hAnsi="Palatino Linotype" w:cs="Palatino Linotype"/>
        </w:rPr>
        <w:lastRenderedPageBreak/>
        <w:t>este Órgano Garante sugiere al solicitante, interponer su queja o denuncia ante la autoridad competente.</w:t>
      </w:r>
    </w:p>
    <w:p w14:paraId="08EA7569" w14:textId="77777777" w:rsidR="00355227" w:rsidRPr="003E521A" w:rsidRDefault="00355227"/>
    <w:p w14:paraId="25A6E35C"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0E6D0C54" w14:textId="77777777" w:rsidR="00355227" w:rsidRPr="003E521A" w:rsidRDefault="00355227">
      <w:pPr>
        <w:spacing w:before="240" w:after="240" w:line="360" w:lineRule="auto"/>
        <w:jc w:val="both"/>
        <w:rPr>
          <w:rFonts w:ascii="Palatino Linotype" w:eastAsia="Palatino Linotype" w:hAnsi="Palatino Linotype" w:cs="Palatino Linotype"/>
        </w:rPr>
      </w:pPr>
    </w:p>
    <w:p w14:paraId="087EA612" w14:textId="77777777" w:rsidR="00355227" w:rsidRPr="003E521A" w:rsidRDefault="00355227">
      <w:pPr>
        <w:spacing w:before="240" w:after="240" w:line="360" w:lineRule="auto"/>
        <w:jc w:val="both"/>
        <w:rPr>
          <w:rFonts w:ascii="Palatino Linotype" w:eastAsia="Palatino Linotype" w:hAnsi="Palatino Linotype" w:cs="Palatino Linotype"/>
        </w:rPr>
      </w:pPr>
      <w:bookmarkStart w:id="4" w:name="_heading=h.30j0zll" w:colFirst="0" w:colLast="0"/>
      <w:bookmarkEnd w:id="4"/>
    </w:p>
    <w:p w14:paraId="7DB5B2D0" w14:textId="77777777" w:rsidR="00355227" w:rsidRPr="003E521A" w:rsidRDefault="001F7EA1">
      <w:pPr>
        <w:numPr>
          <w:ilvl w:val="0"/>
          <w:numId w:val="2"/>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8"/>
          <w:szCs w:val="28"/>
        </w:rPr>
      </w:pPr>
      <w:r w:rsidRPr="003E521A">
        <w:rPr>
          <w:rFonts w:ascii="Palatino Linotype" w:eastAsia="Palatino Linotype" w:hAnsi="Palatino Linotype" w:cs="Palatino Linotype"/>
          <w:b/>
          <w:sz w:val="28"/>
          <w:szCs w:val="28"/>
        </w:rPr>
        <w:t>R E S U E L V E:</w:t>
      </w:r>
    </w:p>
    <w:p w14:paraId="3E99D132"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Primero</w:t>
      </w:r>
      <w:r w:rsidRPr="003E521A">
        <w:rPr>
          <w:rFonts w:ascii="Palatino Linotype" w:eastAsia="Palatino Linotype" w:hAnsi="Palatino Linotype" w:cs="Palatino Linotype"/>
        </w:rPr>
        <w:t xml:space="preserve">. Resultan   parcialmente fundados los motivos de inconformidad planteados por la parte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b/>
          <w:i/>
        </w:rPr>
        <w:t xml:space="preserve"> </w:t>
      </w:r>
      <w:r w:rsidRPr="003E521A">
        <w:rPr>
          <w:rFonts w:ascii="Palatino Linotype" w:eastAsia="Palatino Linotype" w:hAnsi="Palatino Linotype" w:cs="Palatino Linotype"/>
        </w:rPr>
        <w:t xml:space="preserve">en el recurso de revisión </w:t>
      </w:r>
      <w:r w:rsidRPr="003E521A">
        <w:rPr>
          <w:rFonts w:ascii="Palatino Linotype" w:eastAsia="Palatino Linotype" w:hAnsi="Palatino Linotype" w:cs="Palatino Linotype"/>
          <w:b/>
        </w:rPr>
        <w:t xml:space="preserve">00364/INFOEM/IP/RR/2023 </w:t>
      </w:r>
      <w:r w:rsidRPr="003E521A">
        <w:rPr>
          <w:rFonts w:ascii="Palatino Linotype" w:eastAsia="Palatino Linotype" w:hAnsi="Palatino Linotype" w:cs="Palatino Linotype"/>
        </w:rPr>
        <w:t xml:space="preserve">por lo que, en términos del </w:t>
      </w:r>
      <w:r w:rsidRPr="003E521A">
        <w:rPr>
          <w:rFonts w:ascii="Palatino Linotype" w:eastAsia="Palatino Linotype" w:hAnsi="Palatino Linotype" w:cs="Palatino Linotype"/>
          <w:b/>
        </w:rPr>
        <w:t>Considerando Cuarto</w:t>
      </w:r>
      <w:r w:rsidRPr="003E521A">
        <w:rPr>
          <w:rFonts w:ascii="Palatino Linotype" w:eastAsia="Palatino Linotype" w:hAnsi="Palatino Linotype" w:cs="Palatino Linotype"/>
        </w:rPr>
        <w:t xml:space="preserve"> de la presente resolución, se </w:t>
      </w:r>
      <w:r w:rsidRPr="003E521A">
        <w:rPr>
          <w:rFonts w:ascii="Palatino Linotype" w:eastAsia="Palatino Linotype" w:hAnsi="Palatino Linotype" w:cs="Palatino Linotype"/>
          <w:b/>
        </w:rPr>
        <w:t>Modifica</w:t>
      </w:r>
      <w:r w:rsidRPr="003E521A">
        <w:rPr>
          <w:rFonts w:ascii="Palatino Linotype" w:eastAsia="Palatino Linotype" w:hAnsi="Palatino Linotype" w:cs="Palatino Linotype"/>
        </w:rPr>
        <w:t xml:space="preserve"> la respuesta emitida por el </w:t>
      </w:r>
      <w:r w:rsidRPr="003E521A">
        <w:rPr>
          <w:rFonts w:ascii="Palatino Linotype" w:eastAsia="Palatino Linotype" w:hAnsi="Palatino Linotype" w:cs="Palatino Linotype"/>
          <w:b/>
        </w:rPr>
        <w:t xml:space="preserve">Sujeto Obligado </w:t>
      </w:r>
    </w:p>
    <w:p w14:paraId="2DFB39EA" w14:textId="77777777" w:rsidR="00355227" w:rsidRPr="003E521A" w:rsidRDefault="001F7EA1">
      <w:pPr>
        <w:spacing w:before="240" w:after="240" w:line="360" w:lineRule="auto"/>
        <w:ind w:right="49"/>
        <w:jc w:val="both"/>
        <w:rPr>
          <w:rFonts w:ascii="Palatino Linotype" w:eastAsia="Palatino Linotype" w:hAnsi="Palatino Linotype" w:cs="Palatino Linotype"/>
        </w:rPr>
      </w:pPr>
      <w:r w:rsidRPr="003E521A">
        <w:rPr>
          <w:rFonts w:ascii="Palatino Linotype" w:eastAsia="Palatino Linotype" w:hAnsi="Palatino Linotype" w:cs="Palatino Linotype"/>
          <w:b/>
        </w:rPr>
        <w:t>Segundo.</w:t>
      </w:r>
      <w:r w:rsidRPr="003E521A">
        <w:rPr>
          <w:rFonts w:ascii="Palatino Linotype" w:eastAsia="Palatino Linotype" w:hAnsi="Palatino Linotype" w:cs="Palatino Linotype"/>
          <w:b/>
          <w:sz w:val="28"/>
          <w:szCs w:val="28"/>
        </w:rPr>
        <w:t xml:space="preserve"> </w:t>
      </w:r>
      <w:r w:rsidRPr="003E521A">
        <w:rPr>
          <w:rFonts w:ascii="Palatino Linotype" w:eastAsia="Palatino Linotype" w:hAnsi="Palatino Linotype" w:cs="Palatino Linotype"/>
        </w:rPr>
        <w:t>Se</w:t>
      </w:r>
      <w:r w:rsidRPr="003E521A">
        <w:rPr>
          <w:rFonts w:ascii="Palatino Linotype" w:eastAsia="Palatino Linotype" w:hAnsi="Palatino Linotype" w:cs="Palatino Linotype"/>
          <w:b/>
        </w:rPr>
        <w:t xml:space="preserve"> ordena </w:t>
      </w:r>
      <w:r w:rsidRPr="003E521A">
        <w:rPr>
          <w:rFonts w:ascii="Palatino Linotype" w:eastAsia="Palatino Linotype" w:hAnsi="Palatino Linotype" w:cs="Palatino Linotype"/>
        </w:rPr>
        <w:t xml:space="preserve">al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que en términos del </w:t>
      </w:r>
      <w:r w:rsidRPr="003E521A">
        <w:rPr>
          <w:rFonts w:ascii="Palatino Linotype" w:eastAsia="Palatino Linotype" w:hAnsi="Palatino Linotype" w:cs="Palatino Linotype"/>
          <w:b/>
        </w:rPr>
        <w:t xml:space="preserve">Considerando Cuarto </w:t>
      </w:r>
      <w:r w:rsidRPr="003E521A">
        <w:rPr>
          <w:rFonts w:ascii="Palatino Linotype" w:eastAsia="Palatino Linotype" w:hAnsi="Palatino Linotype" w:cs="Palatino Linotype"/>
        </w:rPr>
        <w:t xml:space="preserve">de esta resolución haga entrega a la parte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w:t>
      </w:r>
      <w:r w:rsidR="00A25C4F" w:rsidRPr="003E521A">
        <w:rPr>
          <w:rFonts w:ascii="Palatino Linotype" w:eastAsia="Palatino Linotype" w:hAnsi="Palatino Linotype" w:cs="Palatino Linotype"/>
        </w:rPr>
        <w:t xml:space="preserve"> previa búsqueda exhaustiva y razonable,</w:t>
      </w:r>
      <w:r w:rsidRPr="003E521A">
        <w:rPr>
          <w:rFonts w:ascii="Palatino Linotype" w:eastAsia="Palatino Linotype" w:hAnsi="Palatino Linotype" w:cs="Palatino Linotype"/>
        </w:rPr>
        <w:t xml:space="preserve"> en copias certificadas (con costo</w:t>
      </w:r>
      <w:proofErr w:type="gramStart"/>
      <w:r w:rsidRPr="003E521A">
        <w:rPr>
          <w:rFonts w:ascii="Palatino Linotype" w:eastAsia="Palatino Linotype" w:hAnsi="Palatino Linotype" w:cs="Palatino Linotype"/>
        </w:rPr>
        <w:t>),  lo</w:t>
      </w:r>
      <w:proofErr w:type="gramEnd"/>
      <w:r w:rsidRPr="003E521A">
        <w:rPr>
          <w:rFonts w:ascii="Palatino Linotype" w:eastAsia="Palatino Linotype" w:hAnsi="Palatino Linotype" w:cs="Palatino Linotype"/>
        </w:rPr>
        <w:t xml:space="preserve"> siguiente:</w:t>
      </w:r>
    </w:p>
    <w:p w14:paraId="19E99C2E" w14:textId="77777777" w:rsidR="00355227" w:rsidRPr="003E521A" w:rsidRDefault="001F7EA1" w:rsidP="00D32D94">
      <w:pPr>
        <w:pStyle w:val="Listaconvietas2"/>
        <w:jc w:val="both"/>
        <w:rPr>
          <w:rFonts w:ascii="Palatino Linotype" w:eastAsia="Palatino Linotype" w:hAnsi="Palatino Linotype"/>
          <w:i/>
          <w:sz w:val="22"/>
        </w:rPr>
      </w:pPr>
      <w:r w:rsidRPr="003E521A">
        <w:rPr>
          <w:rFonts w:ascii="Palatino Linotype" w:eastAsia="Palatino Linotype" w:hAnsi="Palatino Linotype"/>
          <w:i/>
          <w:sz w:val="22"/>
        </w:rPr>
        <w:t xml:space="preserve">El Plan Parcial de Integración Territorial Santa Bárbara </w:t>
      </w:r>
      <w:proofErr w:type="gramStart"/>
      <w:r w:rsidRPr="003E521A">
        <w:rPr>
          <w:rFonts w:ascii="Palatino Linotype" w:eastAsia="Palatino Linotype" w:hAnsi="Palatino Linotype"/>
          <w:i/>
          <w:sz w:val="22"/>
        </w:rPr>
        <w:t>Norte,  del</w:t>
      </w:r>
      <w:proofErr w:type="gramEnd"/>
      <w:r w:rsidRPr="003E521A">
        <w:rPr>
          <w:rFonts w:ascii="Palatino Linotype" w:eastAsia="Palatino Linotype" w:hAnsi="Palatino Linotype"/>
          <w:i/>
          <w:sz w:val="22"/>
        </w:rPr>
        <w:t xml:space="preserve"> Municipio de Cuautitlán Izcalli,  citado como anexo en el Acta de Cabildo en la Centésima Septuagésima Sesión Extraordinaria del dieciocho de diciembre del año dos mil </w:t>
      </w:r>
      <w:r w:rsidR="00D32D94" w:rsidRPr="003E521A">
        <w:rPr>
          <w:rFonts w:ascii="Palatino Linotype" w:eastAsia="Palatino Linotype" w:hAnsi="Palatino Linotype"/>
          <w:i/>
          <w:sz w:val="22"/>
        </w:rPr>
        <w:t>quince;</w:t>
      </w:r>
    </w:p>
    <w:p w14:paraId="32193FD8" w14:textId="77777777" w:rsidR="00D32D94" w:rsidRPr="003E521A" w:rsidRDefault="00D32D94" w:rsidP="00D32D94">
      <w:pPr>
        <w:pStyle w:val="Listaconvietas2"/>
        <w:numPr>
          <w:ilvl w:val="0"/>
          <w:numId w:val="0"/>
        </w:numPr>
        <w:ind w:left="1069"/>
        <w:rPr>
          <w:rFonts w:eastAsia="Palatino Linotype"/>
        </w:rPr>
      </w:pPr>
    </w:p>
    <w:p w14:paraId="0DB2FE9D" w14:textId="77777777" w:rsidR="00D32D94" w:rsidRPr="003E521A" w:rsidRDefault="00D32D94" w:rsidP="00D32D94">
      <w:pPr>
        <w:numPr>
          <w:ilvl w:val="0"/>
          <w:numId w:val="3"/>
        </w:numPr>
        <w:pBdr>
          <w:top w:val="nil"/>
          <w:left w:val="nil"/>
          <w:bottom w:val="nil"/>
          <w:right w:val="nil"/>
          <w:between w:val="nil"/>
        </w:pBdr>
        <w:ind w:right="49"/>
        <w:jc w:val="both"/>
        <w:rPr>
          <w:rFonts w:ascii="Palatino Linotype" w:eastAsia="Palatino Linotype" w:hAnsi="Palatino Linotype" w:cs="Palatino Linotype"/>
          <w:i/>
          <w:sz w:val="22"/>
          <w:szCs w:val="22"/>
        </w:rPr>
      </w:pPr>
      <w:proofErr w:type="gramStart"/>
      <w:r w:rsidRPr="003E521A">
        <w:rPr>
          <w:rFonts w:ascii="Palatino Linotype" w:eastAsia="Palatino Linotype" w:hAnsi="Palatino Linotype" w:cs="Palatino Linotype"/>
          <w:i/>
          <w:sz w:val="22"/>
          <w:szCs w:val="22"/>
        </w:rPr>
        <w:lastRenderedPageBreak/>
        <w:t>La  Modificación</w:t>
      </w:r>
      <w:proofErr w:type="gramEnd"/>
      <w:r w:rsidRPr="003E521A">
        <w:rPr>
          <w:rFonts w:ascii="Palatino Linotype" w:eastAsia="Palatino Linotype" w:hAnsi="Palatino Linotype" w:cs="Palatino Linotype"/>
          <w:i/>
          <w:sz w:val="22"/>
          <w:szCs w:val="22"/>
        </w:rPr>
        <w:t xml:space="preserve"> al Plan Municipal de Desarrollo Urbano con motivo del desahogo del punto 5 de la Centésima Septuagésima sesión del Ayuntamiento, de carácter extraordinaria, del dieciocho de diciembre del año dos mil quince.</w:t>
      </w:r>
    </w:p>
    <w:p w14:paraId="26DE88E8" w14:textId="77777777" w:rsidR="00D32D94" w:rsidRPr="003E521A" w:rsidRDefault="00D32D94" w:rsidP="00D32D94">
      <w:pPr>
        <w:pBdr>
          <w:top w:val="nil"/>
          <w:left w:val="nil"/>
          <w:bottom w:val="nil"/>
          <w:right w:val="nil"/>
          <w:between w:val="nil"/>
        </w:pBdr>
        <w:ind w:right="616"/>
        <w:jc w:val="both"/>
        <w:rPr>
          <w:rFonts w:ascii="Palatino Linotype" w:eastAsia="Palatino Linotype" w:hAnsi="Palatino Linotype" w:cs="Palatino Linotype"/>
          <w:i/>
          <w:sz w:val="22"/>
          <w:szCs w:val="22"/>
        </w:rPr>
      </w:pPr>
    </w:p>
    <w:p w14:paraId="4236E4C7" w14:textId="77777777" w:rsidR="00355227" w:rsidRPr="003E521A" w:rsidRDefault="001F7EA1">
      <w:pPr>
        <w:tabs>
          <w:tab w:val="left" w:pos="7938"/>
        </w:tabs>
        <w:spacing w:before="240"/>
        <w:ind w:left="720"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 xml:space="preserve">Asimismo se ordena al Sujeto Obligado que a través del Sistema de Acceso a la Información Mexiquense (SAIMEX) deberá notificar a la Parte Recurrente, a través del SAIMEX, el costo total por la certificación de la información que se ordena, así como el procedimiento para realizar el pago correspondiente previa entrega </w:t>
      </w:r>
      <w:proofErr w:type="gramStart"/>
      <w:r w:rsidRPr="003E521A">
        <w:rPr>
          <w:rFonts w:ascii="Palatino Linotype" w:eastAsia="Palatino Linotype" w:hAnsi="Palatino Linotype" w:cs="Palatino Linotype"/>
          <w:i/>
          <w:sz w:val="22"/>
          <w:szCs w:val="22"/>
        </w:rPr>
        <w:t>de  la</w:t>
      </w:r>
      <w:proofErr w:type="gramEnd"/>
      <w:r w:rsidRPr="003E521A">
        <w:rPr>
          <w:rFonts w:ascii="Palatino Linotype" w:eastAsia="Palatino Linotype" w:hAnsi="Palatino Linotype" w:cs="Palatino Linotype"/>
          <w:i/>
          <w:sz w:val="22"/>
          <w:szCs w:val="22"/>
        </w:rPr>
        <w:t xml:space="preserve"> misma; así como, lugar, día y horarios en los que podrá presentarse a recoger las copias certificadas y el nombre del o los servidores públicos que le atenderán. </w:t>
      </w:r>
    </w:p>
    <w:p w14:paraId="4EF37E7C" w14:textId="77777777" w:rsidR="00355227" w:rsidRPr="003E521A" w:rsidRDefault="00A25C4F" w:rsidP="00A25C4F">
      <w:pPr>
        <w:tabs>
          <w:tab w:val="left" w:pos="7938"/>
        </w:tabs>
        <w:spacing w:before="240"/>
        <w:ind w:left="720" w:right="616"/>
        <w:jc w:val="both"/>
        <w:rPr>
          <w:rFonts w:ascii="Palatino Linotype" w:eastAsia="Palatino Linotype" w:hAnsi="Palatino Linotype" w:cs="Palatino Linotype"/>
          <w:i/>
          <w:sz w:val="22"/>
          <w:szCs w:val="22"/>
        </w:rPr>
      </w:pPr>
      <w:r w:rsidRPr="003E521A">
        <w:rPr>
          <w:rFonts w:ascii="Palatino Linotype" w:eastAsia="Palatino Linotype" w:hAnsi="Palatino Linotype" w:cs="Palatino Linotype"/>
          <w:i/>
          <w:sz w:val="22"/>
          <w:szCs w:val="22"/>
        </w:rPr>
        <w:t>En el caso que derivado de la búsqueda exhaustiva y razonable no se localice la info</w:t>
      </w:r>
      <w:r w:rsidR="00E240EA" w:rsidRPr="003E521A">
        <w:rPr>
          <w:rFonts w:ascii="Palatino Linotype" w:eastAsia="Palatino Linotype" w:hAnsi="Palatino Linotype" w:cs="Palatino Linotype"/>
          <w:i/>
          <w:sz w:val="22"/>
          <w:szCs w:val="22"/>
        </w:rPr>
        <w:t xml:space="preserve">rmación que se ordena entregar en el inciso </w:t>
      </w:r>
      <w:proofErr w:type="spellStart"/>
      <w:r w:rsidR="00E240EA" w:rsidRPr="003E521A">
        <w:rPr>
          <w:rFonts w:ascii="Palatino Linotype" w:eastAsia="Palatino Linotype" w:hAnsi="Palatino Linotype" w:cs="Palatino Linotype"/>
          <w:i/>
          <w:sz w:val="22"/>
          <w:szCs w:val="22"/>
        </w:rPr>
        <w:t>ii</w:t>
      </w:r>
      <w:proofErr w:type="spellEnd"/>
      <w:r w:rsidR="00E240EA" w:rsidRPr="003E521A">
        <w:rPr>
          <w:rFonts w:ascii="Palatino Linotype" w:eastAsia="Palatino Linotype" w:hAnsi="Palatino Linotype" w:cs="Palatino Linotype"/>
          <w:i/>
          <w:sz w:val="22"/>
          <w:szCs w:val="22"/>
        </w:rPr>
        <w:t xml:space="preserve">), </w:t>
      </w:r>
      <w:r w:rsidRPr="003E521A">
        <w:rPr>
          <w:rFonts w:ascii="Palatino Linotype" w:eastAsia="Palatino Linotype" w:hAnsi="Palatino Linotype" w:cs="Palatino Linotype"/>
          <w:i/>
          <w:sz w:val="22"/>
          <w:szCs w:val="22"/>
        </w:rPr>
        <w:t>el Sujeto Obligado deberá emitir el Acuerdo de Inexistencia en términos de los artículos 49, fracciones II y XIII, 169 y 170 de la Ley de Transparencia y Acceso a la Información Pública del Estado de México y Municipios, debiendo notificarlo a la Recurrente al momento de dar cumplimiento a la presente resolución.</w:t>
      </w:r>
    </w:p>
    <w:p w14:paraId="6E482CDE" w14:textId="77777777" w:rsidR="00A25C4F" w:rsidRPr="003E521A" w:rsidRDefault="00A25C4F" w:rsidP="00A25C4F">
      <w:pPr>
        <w:tabs>
          <w:tab w:val="left" w:pos="7938"/>
        </w:tabs>
        <w:spacing w:before="240"/>
        <w:ind w:left="720" w:right="616"/>
        <w:jc w:val="both"/>
        <w:rPr>
          <w:rFonts w:ascii="Palatino Linotype" w:eastAsia="Palatino Linotype" w:hAnsi="Palatino Linotype" w:cs="Palatino Linotype"/>
          <w:i/>
          <w:sz w:val="22"/>
          <w:szCs w:val="22"/>
        </w:rPr>
      </w:pPr>
    </w:p>
    <w:p w14:paraId="61EE27F9" w14:textId="77777777" w:rsidR="00355227" w:rsidRPr="003E521A" w:rsidRDefault="001F7EA1">
      <w:pPr>
        <w:spacing w:line="360" w:lineRule="auto"/>
        <w:jc w:val="both"/>
      </w:pPr>
      <w:r w:rsidRPr="003E521A">
        <w:rPr>
          <w:rFonts w:ascii="Palatino Linotype" w:eastAsia="Palatino Linotype" w:hAnsi="Palatino Linotype" w:cs="Palatino Linotype"/>
          <w:b/>
        </w:rPr>
        <w:t>Tercero.</w:t>
      </w:r>
      <w:r w:rsidRPr="003E521A">
        <w:rPr>
          <w:rFonts w:ascii="Palatino Linotype" w:eastAsia="Palatino Linotype" w:hAnsi="Palatino Linotype" w:cs="Palatino Linotype"/>
          <w:b/>
          <w:sz w:val="28"/>
          <w:szCs w:val="28"/>
        </w:rPr>
        <w:t xml:space="preserve">  </w:t>
      </w:r>
      <w:r w:rsidRPr="003E521A">
        <w:rPr>
          <w:rFonts w:ascii="Palatino Linotype" w:eastAsia="Palatino Linotype" w:hAnsi="Palatino Linotype" w:cs="Palatino Linotype"/>
          <w:b/>
        </w:rPr>
        <w:t>Notifíquese,</w:t>
      </w:r>
      <w:r w:rsidRPr="003E521A">
        <w:rPr>
          <w:rFonts w:ascii="Palatino Linotype" w:eastAsia="Palatino Linotype" w:hAnsi="Palatino Linotype" w:cs="Palatino Linotype"/>
          <w:b/>
          <w:sz w:val="28"/>
          <w:szCs w:val="28"/>
        </w:rPr>
        <w:t xml:space="preserve"> </w:t>
      </w:r>
      <w:r w:rsidRPr="003E521A">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3E521A">
        <w:t>.</w:t>
      </w:r>
    </w:p>
    <w:p w14:paraId="088067E2" w14:textId="77777777" w:rsidR="00355227" w:rsidRPr="003E521A" w:rsidRDefault="00355227">
      <w:pPr>
        <w:spacing w:line="360" w:lineRule="auto"/>
        <w:jc w:val="both"/>
      </w:pPr>
    </w:p>
    <w:p w14:paraId="411DF635" w14:textId="77777777" w:rsidR="00355227" w:rsidRPr="003E521A" w:rsidRDefault="001F7EA1">
      <w:pPr>
        <w:spacing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lastRenderedPageBreak/>
        <w:t>Cuarto.</w:t>
      </w:r>
      <w:r w:rsidRPr="003E521A">
        <w:rPr>
          <w:rFonts w:ascii="Palatino Linotype" w:eastAsia="Palatino Linotype" w:hAnsi="Palatino Linotype" w:cs="Palatino Linotype"/>
          <w:b/>
          <w:sz w:val="28"/>
          <w:szCs w:val="28"/>
        </w:rPr>
        <w:t xml:space="preserve"> </w:t>
      </w:r>
      <w:r w:rsidRPr="003E521A">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E521A">
        <w:rPr>
          <w:rFonts w:ascii="Palatino Linotype" w:eastAsia="Palatino Linotype" w:hAnsi="Palatino Linotype" w:cs="Palatino Linotype"/>
          <w:b/>
        </w:rPr>
        <w:t>SUJETO OBLIGADO</w:t>
      </w:r>
      <w:r w:rsidRPr="003E521A">
        <w:rPr>
          <w:rFonts w:ascii="Palatino Linotype" w:eastAsia="Palatino Linotype" w:hAnsi="Palatino Linotype" w:cs="Palatino Linotype"/>
        </w:rPr>
        <w:t xml:space="preserve"> de manera fundada y motivada, podrá solicitar una ampliación de plazo para el cumplimiento de la presente resolución.</w:t>
      </w:r>
    </w:p>
    <w:p w14:paraId="357B366E" w14:textId="77777777" w:rsidR="00355227" w:rsidRPr="003E521A" w:rsidRDefault="001F7EA1">
      <w:pPr>
        <w:spacing w:before="240" w:after="240" w:line="360" w:lineRule="auto"/>
        <w:jc w:val="both"/>
        <w:rPr>
          <w:rFonts w:ascii="Palatino Linotype" w:eastAsia="Palatino Linotype" w:hAnsi="Palatino Linotype" w:cs="Palatino Linotype"/>
        </w:rPr>
      </w:pPr>
      <w:r w:rsidRPr="003E521A">
        <w:rPr>
          <w:rFonts w:ascii="Palatino Linotype" w:eastAsia="Palatino Linotype" w:hAnsi="Palatino Linotype" w:cs="Palatino Linotype"/>
          <w:b/>
        </w:rPr>
        <w:t xml:space="preserve">Quinto. </w:t>
      </w:r>
      <w:r w:rsidRPr="003E521A">
        <w:rPr>
          <w:rFonts w:ascii="Palatino Linotype" w:eastAsia="Palatino Linotype" w:hAnsi="Palatino Linotype" w:cs="Palatino Linotype"/>
          <w:b/>
          <w:sz w:val="22"/>
          <w:szCs w:val="22"/>
        </w:rPr>
        <w:t>NOTIFÍQUESE</w:t>
      </w:r>
      <w:r w:rsidRPr="003E521A">
        <w:rPr>
          <w:rFonts w:ascii="Palatino Linotype" w:eastAsia="Palatino Linotype" w:hAnsi="Palatino Linotype" w:cs="Palatino Linotype"/>
          <w:sz w:val="22"/>
          <w:szCs w:val="22"/>
        </w:rPr>
        <w:t xml:space="preserve"> </w:t>
      </w:r>
      <w:r w:rsidRPr="003E521A">
        <w:rPr>
          <w:rFonts w:ascii="Palatino Linotype" w:eastAsia="Palatino Linotype" w:hAnsi="Palatino Linotype" w:cs="Palatino Linotype"/>
        </w:rPr>
        <w:t xml:space="preserve">al </w:t>
      </w:r>
      <w:r w:rsidRPr="003E521A">
        <w:rPr>
          <w:rFonts w:ascii="Palatino Linotype" w:eastAsia="Palatino Linotype" w:hAnsi="Palatino Linotype" w:cs="Palatino Linotype"/>
          <w:b/>
        </w:rPr>
        <w:t>Recurrente</w:t>
      </w:r>
      <w:r w:rsidRPr="003E521A">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2E3F85F" w14:textId="77777777" w:rsidR="00355227" w:rsidRPr="003E521A" w:rsidRDefault="001F7EA1">
      <w:pPr>
        <w:spacing w:before="240" w:after="240" w:line="360" w:lineRule="auto"/>
        <w:jc w:val="both"/>
        <w:rPr>
          <w:rFonts w:ascii="Palatino Linotype" w:eastAsia="Palatino Linotype" w:hAnsi="Palatino Linotype" w:cs="Palatino Linotype"/>
          <w:sz w:val="20"/>
          <w:szCs w:val="20"/>
        </w:rPr>
      </w:pPr>
      <w:r w:rsidRPr="003E521A">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3E521A" w:rsidRPr="003E521A">
        <w:rPr>
          <w:rFonts w:ascii="Palatino Linotype" w:eastAsia="Palatino Linotype" w:hAnsi="Palatino Linotype" w:cs="Palatino Linotype"/>
        </w:rPr>
        <w:t xml:space="preserve"> AUSENCIA JUSTIFICADA</w:t>
      </w:r>
      <w:r w:rsidRPr="003E521A">
        <w:rPr>
          <w:rFonts w:ascii="Palatino Linotype" w:eastAsia="Palatino Linotype" w:hAnsi="Palatino Linotype" w:cs="Palatino Linotype"/>
        </w:rPr>
        <w:t>; LUIS GUSTAVO PARRA NORIEGA Y GUADALUPE RAMÍREZ PEÑA; EN LA TRIGÉSIMA SÉPTIMA SESIÓN ORDINAR</w:t>
      </w:r>
      <w:r w:rsidR="00E53D7F" w:rsidRPr="003E521A">
        <w:rPr>
          <w:rFonts w:ascii="Palatino Linotype" w:eastAsia="Palatino Linotype" w:hAnsi="Palatino Linotype" w:cs="Palatino Linotype"/>
        </w:rPr>
        <w:t>IA CELEBRADA EL DOCE</w:t>
      </w:r>
      <w:r w:rsidRPr="003E521A">
        <w:rPr>
          <w:rFonts w:ascii="Palatino Linotype" w:eastAsia="Palatino Linotype" w:hAnsi="Palatino Linotype" w:cs="Palatino Linotype"/>
        </w:rPr>
        <w:t xml:space="preserve"> DE OCTUBRE DE DOS MIL VEINTITRÉS, ANTE EL SECRETARIO TÉCNICO DEL PLENO, ALEXIS TAPIA RAMÍREZ.</w:t>
      </w:r>
    </w:p>
    <w:p w14:paraId="0EBC2942"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63878D29"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623F42F9"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2FF92592"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04232716"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539F30B0"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1D1BA489"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p w14:paraId="4883D204" w14:textId="77777777" w:rsidR="00355227" w:rsidRPr="003E521A" w:rsidRDefault="00355227">
      <w:pPr>
        <w:spacing w:line="360" w:lineRule="auto"/>
        <w:ind w:right="-234" w:firstLine="567"/>
        <w:jc w:val="center"/>
        <w:rPr>
          <w:rFonts w:ascii="Palatino Linotype" w:eastAsia="Palatino Linotype" w:hAnsi="Palatino Linotype" w:cs="Palatino Linotype"/>
          <w:b/>
          <w:sz w:val="28"/>
          <w:szCs w:val="28"/>
        </w:rPr>
      </w:pPr>
    </w:p>
    <w:sectPr w:rsidR="00355227" w:rsidRPr="003E521A">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E02DB" w14:textId="77777777" w:rsidR="00A1669F" w:rsidRDefault="00A1669F">
      <w:r>
        <w:separator/>
      </w:r>
    </w:p>
  </w:endnote>
  <w:endnote w:type="continuationSeparator" w:id="0">
    <w:p w14:paraId="536440C0" w14:textId="77777777" w:rsidR="00A1669F" w:rsidRDefault="00A16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0E16C" w14:textId="77777777" w:rsidR="00355227" w:rsidRDefault="001F7EA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9780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9780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0474AF39" w14:textId="77777777" w:rsidR="00355227" w:rsidRDefault="0035522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9589" w14:textId="77777777" w:rsidR="00355227" w:rsidRDefault="001F7EA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9780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9780D">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9307067" w14:textId="77777777" w:rsidR="00355227" w:rsidRDefault="0035522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22E7A" w14:textId="77777777" w:rsidR="00A1669F" w:rsidRDefault="00A1669F">
      <w:r>
        <w:separator/>
      </w:r>
    </w:p>
  </w:footnote>
  <w:footnote w:type="continuationSeparator" w:id="0">
    <w:p w14:paraId="65B03EDC" w14:textId="77777777" w:rsidR="00A1669F" w:rsidRDefault="00A1669F">
      <w:r>
        <w:continuationSeparator/>
      </w:r>
    </w:p>
  </w:footnote>
  <w:footnote w:id="1">
    <w:p w14:paraId="4EEA9DFB" w14:textId="77777777" w:rsidR="00355227" w:rsidRDefault="001F7EA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9BB8F3D" w14:textId="77777777" w:rsidR="00355227" w:rsidRDefault="001F7EA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4B72CBFC" w14:textId="77777777" w:rsidR="00ED1281" w:rsidRPr="00ED1281" w:rsidRDefault="00ED1281">
      <w:pPr>
        <w:pStyle w:val="Textonotapie"/>
        <w:rPr>
          <w:lang w:val="es-ES"/>
        </w:rPr>
      </w:pPr>
      <w:r>
        <w:rPr>
          <w:rStyle w:val="Refdenotaalpie"/>
        </w:rPr>
        <w:footnoteRef/>
      </w:r>
      <w:r>
        <w:t xml:space="preserve"> </w:t>
      </w:r>
      <w:r w:rsidRPr="00ED1281">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28FBE" w14:textId="77777777" w:rsidR="00355227" w:rsidRDefault="001F7EA1">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F4D875F" wp14:editId="5C4F4577">
          <wp:simplePos x="0" y="0"/>
          <wp:positionH relativeFrom="column">
            <wp:posOffset>-1080128</wp:posOffset>
          </wp:positionH>
          <wp:positionV relativeFrom="paragraph">
            <wp:posOffset>-396395</wp:posOffset>
          </wp:positionV>
          <wp:extent cx="7809865" cy="1016571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5953" w:type="dxa"/>
      <w:tblInd w:w="3261" w:type="dxa"/>
      <w:tblLayout w:type="fixed"/>
      <w:tblLook w:val="0400" w:firstRow="0" w:lastRow="0" w:firstColumn="0" w:lastColumn="0" w:noHBand="0" w:noVBand="1"/>
    </w:tblPr>
    <w:tblGrid>
      <w:gridCol w:w="2489"/>
      <w:gridCol w:w="3464"/>
    </w:tblGrid>
    <w:tr w:rsidR="00355227" w14:paraId="50939D2A" w14:textId="77777777">
      <w:tc>
        <w:tcPr>
          <w:tcW w:w="2489" w:type="dxa"/>
          <w:shd w:val="clear" w:color="auto" w:fill="auto"/>
        </w:tcPr>
        <w:p w14:paraId="31014EEE"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1A3DD150" w14:textId="77777777" w:rsidR="00355227" w:rsidRDefault="001F7EA1">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00364/INFOEM/IP/RR/2023</w:t>
          </w:r>
        </w:p>
      </w:tc>
    </w:tr>
    <w:tr w:rsidR="00355227" w14:paraId="7C638E47" w14:textId="77777777">
      <w:trPr>
        <w:trHeight w:val="228"/>
      </w:trPr>
      <w:tc>
        <w:tcPr>
          <w:tcW w:w="2489" w:type="dxa"/>
          <w:shd w:val="clear" w:color="auto" w:fill="auto"/>
          <w:vAlign w:val="center"/>
        </w:tcPr>
        <w:p w14:paraId="4A012973"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29A00EC6" w14:textId="77777777" w:rsidR="00355227" w:rsidRDefault="001F7EA1">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355227" w14:paraId="638D89B0" w14:textId="77777777">
      <w:trPr>
        <w:trHeight w:val="311"/>
      </w:trPr>
      <w:tc>
        <w:tcPr>
          <w:tcW w:w="2489" w:type="dxa"/>
          <w:shd w:val="clear" w:color="auto" w:fill="auto"/>
          <w:vAlign w:val="center"/>
        </w:tcPr>
        <w:p w14:paraId="12563D85" w14:textId="77777777" w:rsidR="00355227" w:rsidRDefault="001F7EA1">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1182D762" w14:textId="77777777" w:rsidR="00355227" w:rsidRDefault="001F7EA1">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7E822E4" w14:textId="77777777" w:rsidR="00355227" w:rsidRDefault="001F7EA1">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F024" w14:textId="77777777" w:rsidR="00355227" w:rsidRDefault="001F7EA1">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r>
      <w:rPr>
        <w:noProof/>
        <w:lang w:val="es-MX"/>
      </w:rPr>
      <w:drawing>
        <wp:anchor distT="0" distB="0" distL="0" distR="0" simplePos="0" relativeHeight="251659264" behindDoc="1" locked="0" layoutInCell="1" hidden="0" allowOverlap="1" wp14:anchorId="6828CD1B" wp14:editId="00516DB6">
          <wp:simplePos x="0" y="0"/>
          <wp:positionH relativeFrom="column">
            <wp:posOffset>-1079144</wp:posOffset>
          </wp:positionH>
          <wp:positionV relativeFrom="paragraph">
            <wp:posOffset>-644524</wp:posOffset>
          </wp:positionV>
          <wp:extent cx="7809865" cy="1016571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095" w:type="dxa"/>
      <w:tblInd w:w="2762" w:type="dxa"/>
      <w:tblLayout w:type="fixed"/>
      <w:tblLook w:val="0400" w:firstRow="0" w:lastRow="0" w:firstColumn="0" w:lastColumn="0" w:noHBand="0" w:noVBand="1"/>
    </w:tblPr>
    <w:tblGrid>
      <w:gridCol w:w="2551"/>
      <w:gridCol w:w="3544"/>
    </w:tblGrid>
    <w:tr w:rsidR="00355227" w14:paraId="71019221" w14:textId="77777777">
      <w:tc>
        <w:tcPr>
          <w:tcW w:w="2551" w:type="dxa"/>
          <w:shd w:val="clear" w:color="auto" w:fill="auto"/>
          <w:vAlign w:val="center"/>
        </w:tcPr>
        <w:p w14:paraId="5EF16420"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6D9B11AA" w14:textId="77777777" w:rsidR="00355227" w:rsidRDefault="001F7EA1" w:rsidP="007663F9">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00364/INFOEM/IP/RR/2023</w:t>
          </w:r>
        </w:p>
      </w:tc>
    </w:tr>
    <w:tr w:rsidR="00355227" w14:paraId="53D1DFCC" w14:textId="77777777">
      <w:trPr>
        <w:trHeight w:val="130"/>
      </w:trPr>
      <w:tc>
        <w:tcPr>
          <w:tcW w:w="2551" w:type="dxa"/>
          <w:shd w:val="clear" w:color="auto" w:fill="auto"/>
          <w:vAlign w:val="center"/>
        </w:tcPr>
        <w:p w14:paraId="644FE111"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677A245D" w14:textId="111D766F" w:rsidR="00355227" w:rsidRDefault="000D4FD9">
          <w:pPr>
            <w:jc w:val="both"/>
            <w:rPr>
              <w:rFonts w:ascii="Palatino Linotype" w:eastAsia="Palatino Linotype" w:hAnsi="Palatino Linotype" w:cs="Palatino Linotype"/>
              <w:b/>
            </w:rPr>
          </w:pPr>
          <w:r>
            <w:rPr>
              <w:rFonts w:ascii="Palatino Linotype" w:eastAsia="Palatino Linotype" w:hAnsi="Palatino Linotype" w:cs="Palatino Linotype"/>
              <w:b/>
            </w:rPr>
            <w:t>XXXXX XXXX XXXXXX</w:t>
          </w:r>
        </w:p>
      </w:tc>
    </w:tr>
    <w:tr w:rsidR="00355227" w14:paraId="78F0A59A" w14:textId="77777777">
      <w:trPr>
        <w:trHeight w:val="228"/>
      </w:trPr>
      <w:tc>
        <w:tcPr>
          <w:tcW w:w="2551" w:type="dxa"/>
          <w:shd w:val="clear" w:color="auto" w:fill="auto"/>
          <w:vAlign w:val="center"/>
        </w:tcPr>
        <w:p w14:paraId="3583710C"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0E94AE55" w14:textId="77777777" w:rsidR="00355227" w:rsidRDefault="001F7EA1">
          <w:pPr>
            <w:ind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Cuautitlán Izcalli</w:t>
          </w:r>
        </w:p>
      </w:tc>
    </w:tr>
    <w:tr w:rsidR="00355227" w14:paraId="74DD7159" w14:textId="77777777">
      <w:tc>
        <w:tcPr>
          <w:tcW w:w="2551" w:type="dxa"/>
          <w:shd w:val="clear" w:color="auto" w:fill="auto"/>
          <w:vAlign w:val="center"/>
        </w:tcPr>
        <w:p w14:paraId="430E0406" w14:textId="77777777" w:rsidR="00355227" w:rsidRDefault="001F7EA1">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0BBD366C" w14:textId="77777777" w:rsidR="00355227" w:rsidRDefault="001F7EA1">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E52524C" w14:textId="77777777" w:rsidR="00355227" w:rsidRDefault="00355227">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81BA8"/>
    <w:multiLevelType w:val="multilevel"/>
    <w:tmpl w:val="630A02A4"/>
    <w:lvl w:ilvl="0">
      <w:start w:val="1"/>
      <w:numFmt w:val="lowerLetter"/>
      <w:pStyle w:val="Listaconvietas3"/>
      <w:lvlText w:val="%1)"/>
      <w:lvlJc w:val="left"/>
      <w:pPr>
        <w:ind w:left="720" w:hanging="360"/>
      </w:pPr>
      <w:rPr>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4317490"/>
    <w:multiLevelType w:val="hybridMultilevel"/>
    <w:tmpl w:val="7316B6C8"/>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39E0CFDA">
      <w:start w:val="1"/>
      <w:numFmt w:val="lowerLetter"/>
      <w:lvlText w:val="%3)"/>
      <w:lvlJc w:val="left"/>
      <w:pPr>
        <w:ind w:left="2340" w:hanging="360"/>
      </w:pPr>
      <w:rPr>
        <w:rFonts w:eastAsia="MS Gothic" w:hint="default"/>
        <w:b/>
        <w:i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B749BC"/>
    <w:multiLevelType w:val="multilevel"/>
    <w:tmpl w:val="FE3A9F94"/>
    <w:lvl w:ilvl="0">
      <w:start w:val="1"/>
      <w:numFmt w:val="lowerRoman"/>
      <w:pStyle w:val="Listaconvietas2"/>
      <w:lvlText w:val="%1)"/>
      <w:lvlJc w:val="left"/>
      <w:pPr>
        <w:ind w:left="1069" w:hanging="360"/>
      </w:pPr>
      <w:rPr>
        <w:rFonts w:ascii="Palatino Linotype" w:eastAsia="Palatino Linotype" w:hAnsi="Palatino Linotype" w:cs="Palatino Linotype"/>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3" w15:restartNumberingAfterBreak="0">
    <w:nsid w:val="50F458F8"/>
    <w:multiLevelType w:val="multilevel"/>
    <w:tmpl w:val="E732122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6C563A3"/>
    <w:multiLevelType w:val="multilevel"/>
    <w:tmpl w:val="6D20F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C27645A"/>
    <w:multiLevelType w:val="multilevel"/>
    <w:tmpl w:val="1D64E5C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227"/>
    <w:rsid w:val="00092BAF"/>
    <w:rsid w:val="000D4FD9"/>
    <w:rsid w:val="00174283"/>
    <w:rsid w:val="001C72D9"/>
    <w:rsid w:val="001F7EA1"/>
    <w:rsid w:val="00276A0E"/>
    <w:rsid w:val="00355227"/>
    <w:rsid w:val="003936FF"/>
    <w:rsid w:val="003E521A"/>
    <w:rsid w:val="004B678F"/>
    <w:rsid w:val="004C0811"/>
    <w:rsid w:val="004E4F71"/>
    <w:rsid w:val="005E1911"/>
    <w:rsid w:val="006A0A23"/>
    <w:rsid w:val="007663F9"/>
    <w:rsid w:val="008B4A4E"/>
    <w:rsid w:val="009C718F"/>
    <w:rsid w:val="00A1669F"/>
    <w:rsid w:val="00A25C4F"/>
    <w:rsid w:val="00A6499E"/>
    <w:rsid w:val="00AE2F7A"/>
    <w:rsid w:val="00B07F00"/>
    <w:rsid w:val="00D32D94"/>
    <w:rsid w:val="00E240EA"/>
    <w:rsid w:val="00E53D7F"/>
    <w:rsid w:val="00ED1281"/>
    <w:rsid w:val="00F063EB"/>
    <w:rsid w:val="00F1770D"/>
    <w:rsid w:val="00F850C8"/>
    <w:rsid w:val="00F9780D"/>
    <w:rsid w:val="00FD79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E98B9"/>
  <w15:docId w15:val="{86397937-BE54-4F23-8C1F-F88ED43F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0"/>
    <w:rPr>
      <w:sz w:val="22"/>
      <w:szCs w:val="22"/>
    </w:rPr>
    <w:tblPr>
      <w:tblStyleRowBandSize w:val="1"/>
      <w:tblStyleColBandSize w:val="1"/>
      <w:tblCellMar>
        <w:left w:w="108" w:type="dxa"/>
        <w:right w:w="108" w:type="dxa"/>
      </w:tblCellMar>
    </w:tblPr>
  </w:style>
  <w:style w:type="table" w:customStyle="1" w:styleId="11">
    <w:name w:val="11"/>
    <w:basedOn w:val="TableNormal10"/>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table" w:customStyle="1" w:styleId="8">
    <w:name w:val="8"/>
    <w:basedOn w:val="TableNormal1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rPr>
      <w:sz w:val="22"/>
      <w:szCs w:val="22"/>
    </w:rPr>
    <w:tblPr>
      <w:tblStyleRowBandSize w:val="1"/>
      <w:tblStyleColBandSize w:val="1"/>
      <w:tblCellMar>
        <w:left w:w="115" w:type="dxa"/>
        <w:right w:w="115" w:type="dxa"/>
      </w:tblCellMar>
    </w:tblPr>
  </w:style>
  <w:style w:type="table" w:customStyle="1" w:styleId="6">
    <w:name w:val="6"/>
    <w:basedOn w:val="TableNormal10"/>
    <w:rPr>
      <w:sz w:val="22"/>
      <w:szCs w:val="22"/>
    </w:rPr>
    <w:tblPr>
      <w:tblStyleRowBandSize w:val="1"/>
      <w:tblStyleColBandSize w:val="1"/>
      <w:tblCellMar>
        <w:left w:w="115" w:type="dxa"/>
        <w:right w:w="115" w:type="dxa"/>
      </w:tblCellMar>
    </w:tblPr>
  </w:style>
  <w:style w:type="table" w:customStyle="1" w:styleId="5">
    <w:name w:val="5"/>
    <w:basedOn w:val="TableNormal20"/>
    <w:rPr>
      <w:sz w:val="22"/>
      <w:szCs w:val="22"/>
    </w:rPr>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0"/>
    <w:rPr>
      <w:sz w:val="22"/>
      <w:szCs w:val="22"/>
    </w:rPr>
    <w:tblPr>
      <w:tblStyleRowBandSize w:val="1"/>
      <w:tblStyleColBandSize w:val="1"/>
      <w:tblCellMar>
        <w:left w:w="115" w:type="dxa"/>
        <w:right w:w="115" w:type="dxa"/>
      </w:tblCellMar>
    </w:tblPr>
  </w:style>
  <w:style w:type="table" w:customStyle="1" w:styleId="3">
    <w:name w:val="3"/>
    <w:basedOn w:val="TableNormal20"/>
    <w:rPr>
      <w:sz w:val="22"/>
      <w:szCs w:val="22"/>
    </w:rPr>
    <w:tblPr>
      <w:tblStyleRowBandSize w:val="1"/>
      <w:tblStyleColBandSize w:val="1"/>
      <w:tblCellMar>
        <w:left w:w="115" w:type="dxa"/>
        <w:right w:w="115" w:type="dxa"/>
      </w:tblCellMar>
    </w:tblPr>
  </w:style>
  <w:style w:type="table" w:customStyle="1" w:styleId="2">
    <w:name w:val="2"/>
    <w:basedOn w:val="TableNormal3"/>
    <w:rPr>
      <w:sz w:val="22"/>
      <w:szCs w:val="22"/>
    </w:rPr>
    <w:tblPr>
      <w:tblStyleRowBandSize w:val="1"/>
      <w:tblStyleColBandSize w:val="1"/>
      <w:tblCellMar>
        <w:left w:w="115" w:type="dxa"/>
        <w:right w:w="115" w:type="dxa"/>
      </w:tblCellMar>
    </w:tblPr>
  </w:style>
  <w:style w:type="table" w:customStyle="1" w:styleId="1">
    <w:name w:val="1"/>
    <w:basedOn w:val="TableNormal3"/>
    <w:rPr>
      <w:sz w:val="22"/>
      <w:szCs w:val="22"/>
    </w:rPr>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2">
    <w:basedOn w:val="TableNormal2"/>
    <w:rPr>
      <w:sz w:val="22"/>
      <w:szCs w:val="22"/>
    </w:rPr>
    <w:tblPr>
      <w:tblStyleRowBandSize w:val="1"/>
      <w:tblStyleColBandSize w:val="1"/>
      <w:tblCellMar>
        <w:left w:w="115" w:type="dxa"/>
        <w:right w:w="115" w:type="dxa"/>
      </w:tblCellMar>
    </w:tblPr>
  </w:style>
  <w:style w:type="table" w:customStyle="1" w:styleId="a3">
    <w:basedOn w:val="TableNormal2"/>
    <w:rPr>
      <w:sz w:val="22"/>
      <w:szCs w:val="22"/>
    </w:rPr>
    <w:tblPr>
      <w:tblStyleRowBandSize w:val="1"/>
      <w:tblStyleColBandSize w:val="1"/>
      <w:tblCellMar>
        <w:left w:w="115" w:type="dxa"/>
        <w:right w:w="115" w:type="dxa"/>
      </w:tblCellMar>
    </w:tblPr>
  </w:style>
  <w:style w:type="table" w:customStyle="1" w:styleId="a4">
    <w:basedOn w:val="TableNormal1"/>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5">
    <w:basedOn w:val="TableNormal1"/>
    <w:rPr>
      <w:rFonts w:ascii="Calibri" w:eastAsia="Calibri" w:hAnsi="Calibri" w:cs="Calibri"/>
      <w:sz w:val="22"/>
      <w:szCs w:val="22"/>
    </w:rPr>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282C5F"/>
    <w:pPr>
      <w:numPr>
        <w:numId w:val="3"/>
      </w:numPr>
      <w:contextualSpacing/>
    </w:pPr>
  </w:style>
  <w:style w:type="paragraph" w:customStyle="1" w:styleId="INFOEM">
    <w:name w:val="INFOEM"/>
    <w:basedOn w:val="Normal"/>
    <w:qFormat/>
    <w:rsid w:val="00B3155A"/>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Citas">
    <w:name w:val="Citas"/>
    <w:basedOn w:val="Normal"/>
    <w:qFormat/>
    <w:rsid w:val="000A061B"/>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a6">
    <w:basedOn w:val="TableNormal0"/>
    <w:rPr>
      <w:rFonts w:ascii="Calibri" w:eastAsia="Calibri" w:hAnsi="Calibri" w:cs="Calibri"/>
      <w:sz w:val="22"/>
      <w:szCs w:val="22"/>
    </w:rPr>
    <w:tblPr>
      <w:tblStyleRowBandSize w:val="1"/>
      <w:tblStyleColBandSize w:val="1"/>
      <w:tblCellMar>
        <w:left w:w="115" w:type="dxa"/>
        <w:right w:w="115" w:type="dxa"/>
      </w:tblCellMar>
    </w:tblPr>
  </w:style>
  <w:style w:type="table" w:customStyle="1" w:styleId="a7">
    <w:basedOn w:val="TableNormal0"/>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obTCbLneMy6/bu0LA8qRf/GQg==">CgMxLjAyCGgudHlqY3d0MgloLjN6bnlzaDcyCGguZ2pkZ3hzMgloLjFmb2I5dGUyCWguMzBqMHpsbDgAciExTDJ3SnVtUDVzQThWVEVYcFBka014TG15ZHZiNHFJd2w=</go:docsCustomData>
</go:gDocsCustomXmlDataStorage>
</file>

<file path=customXml/itemProps1.xml><?xml version="1.0" encoding="utf-8"?>
<ds:datastoreItem xmlns:ds="http://schemas.openxmlformats.org/officeDocument/2006/customXml" ds:itemID="{59835715-5599-43FE-B3C4-F41B98A3B4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55</Pages>
  <Words>14386</Words>
  <Characters>79128</Characters>
  <Application>Microsoft Office Word</Application>
  <DocSecurity>4</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cp:lastPrinted>2023-10-16T17:38:00Z</cp:lastPrinted>
  <dcterms:created xsi:type="dcterms:W3CDTF">2023-10-30T18:44:00Z</dcterms:created>
  <dcterms:modified xsi:type="dcterms:W3CDTF">2023-10-30T18:44:00Z</dcterms:modified>
</cp:coreProperties>
</file>