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6A1872DD" w:rsidR="00E93FC1" w:rsidRPr="00CB0D91" w:rsidRDefault="00E93FC1" w:rsidP="00730D0C">
      <w:pPr>
        <w:tabs>
          <w:tab w:val="left" w:pos="0"/>
        </w:tabs>
        <w:spacing w:before="240" w:after="240" w:line="360" w:lineRule="auto"/>
        <w:jc w:val="both"/>
        <w:rPr>
          <w:rFonts w:ascii="Palatino Linotype" w:hAnsi="Palatino Linotype"/>
        </w:rPr>
      </w:pPr>
      <w:r w:rsidRPr="00CB0D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11F51" w:rsidRPr="00CB0D91">
        <w:rPr>
          <w:rFonts w:ascii="Palatino Linotype" w:hAnsi="Palatino Linotype"/>
        </w:rPr>
        <w:t>treinta</w:t>
      </w:r>
      <w:r w:rsidR="009161C7" w:rsidRPr="00CB0D91">
        <w:rPr>
          <w:rFonts w:ascii="Palatino Linotype" w:hAnsi="Palatino Linotype"/>
        </w:rPr>
        <w:t xml:space="preserve"> </w:t>
      </w:r>
      <w:r w:rsidR="007872B8" w:rsidRPr="00CB0D91">
        <w:rPr>
          <w:rFonts w:ascii="Palatino Linotype" w:hAnsi="Palatino Linotype"/>
        </w:rPr>
        <w:t>(</w:t>
      </w:r>
      <w:r w:rsidR="00D11F51" w:rsidRPr="00CB0D91">
        <w:rPr>
          <w:rFonts w:ascii="Palatino Linotype" w:hAnsi="Palatino Linotype"/>
        </w:rPr>
        <w:t>30</w:t>
      </w:r>
      <w:r w:rsidR="007872B8" w:rsidRPr="00CB0D91">
        <w:rPr>
          <w:rFonts w:ascii="Palatino Linotype" w:hAnsi="Palatino Linotype"/>
        </w:rPr>
        <w:t>) de</w:t>
      </w:r>
      <w:r w:rsidR="009161C7" w:rsidRPr="00CB0D91">
        <w:rPr>
          <w:rFonts w:ascii="Palatino Linotype" w:hAnsi="Palatino Linotype"/>
        </w:rPr>
        <w:t xml:space="preserve"> </w:t>
      </w:r>
      <w:r w:rsidR="00D11F51" w:rsidRPr="00CB0D91">
        <w:rPr>
          <w:rFonts w:ascii="Palatino Linotype" w:hAnsi="Palatino Linotype"/>
        </w:rPr>
        <w:t>agosto</w:t>
      </w:r>
      <w:r w:rsidR="00CB7E79" w:rsidRPr="00CB0D91">
        <w:rPr>
          <w:rFonts w:ascii="Palatino Linotype" w:hAnsi="Palatino Linotype"/>
        </w:rPr>
        <w:t xml:space="preserve"> </w:t>
      </w:r>
      <w:r w:rsidR="00E42703" w:rsidRPr="00CB0D91">
        <w:rPr>
          <w:rFonts w:ascii="Palatino Linotype" w:hAnsi="Palatino Linotype"/>
        </w:rPr>
        <w:t>de dos mil veinti</w:t>
      </w:r>
      <w:r w:rsidR="00686B08" w:rsidRPr="00CB0D91">
        <w:rPr>
          <w:rFonts w:ascii="Palatino Linotype" w:hAnsi="Palatino Linotype"/>
        </w:rPr>
        <w:t>trés</w:t>
      </w:r>
      <w:r w:rsidR="004F050E" w:rsidRPr="00CB0D91">
        <w:rPr>
          <w:rFonts w:ascii="Palatino Linotype" w:hAnsi="Palatino Linotype"/>
        </w:rPr>
        <w:t xml:space="preserve">. </w:t>
      </w:r>
    </w:p>
    <w:p w14:paraId="2157DA54" w14:textId="0C6C930A" w:rsidR="00E93FC1" w:rsidRPr="00CB0D91" w:rsidRDefault="00E93FC1" w:rsidP="00730D0C">
      <w:pPr>
        <w:spacing w:before="240" w:after="240" w:line="360" w:lineRule="auto"/>
        <w:jc w:val="both"/>
        <w:rPr>
          <w:rFonts w:ascii="Palatino Linotype" w:hAnsi="Palatino Linotype"/>
        </w:rPr>
      </w:pPr>
      <w:r w:rsidRPr="00CB0D91">
        <w:rPr>
          <w:rFonts w:ascii="Palatino Linotype" w:hAnsi="Palatino Linotype"/>
          <w:b/>
        </w:rPr>
        <w:t>VISTO</w:t>
      </w:r>
      <w:r w:rsidRPr="00CB0D91">
        <w:rPr>
          <w:rFonts w:ascii="Palatino Linotype" w:hAnsi="Palatino Linotype"/>
        </w:rPr>
        <w:t xml:space="preserve"> </w:t>
      </w:r>
      <w:r w:rsidR="00686B08" w:rsidRPr="00CB0D91">
        <w:rPr>
          <w:rFonts w:ascii="Palatino Linotype" w:hAnsi="Palatino Linotype"/>
        </w:rPr>
        <w:t>el</w:t>
      </w:r>
      <w:r w:rsidRPr="00CB0D91">
        <w:rPr>
          <w:rFonts w:ascii="Palatino Linotype" w:hAnsi="Palatino Linotype"/>
        </w:rPr>
        <w:t xml:space="preserve"> expediente electrónico formado con motivo de</w:t>
      </w:r>
      <w:r w:rsidR="00686B08" w:rsidRPr="00CB0D91">
        <w:rPr>
          <w:rFonts w:ascii="Palatino Linotype" w:hAnsi="Palatino Linotype"/>
        </w:rPr>
        <w:t>l</w:t>
      </w:r>
      <w:r w:rsidRPr="00CB0D91">
        <w:rPr>
          <w:rFonts w:ascii="Palatino Linotype" w:hAnsi="Palatino Linotype"/>
        </w:rPr>
        <w:t xml:space="preserve"> recurso de revisión </w:t>
      </w:r>
      <w:r w:rsidR="00052206" w:rsidRPr="00CB0D91">
        <w:rPr>
          <w:rFonts w:ascii="Palatino Linotype" w:hAnsi="Palatino Linotype" w:cs="Arial"/>
          <w:b/>
          <w:bCs/>
        </w:rPr>
        <w:t>0</w:t>
      </w:r>
      <w:r w:rsidR="00D11F51" w:rsidRPr="00CB0D91">
        <w:rPr>
          <w:rFonts w:ascii="Palatino Linotype" w:hAnsi="Palatino Linotype" w:cs="Arial"/>
          <w:b/>
          <w:bCs/>
        </w:rPr>
        <w:t>4218</w:t>
      </w:r>
      <w:r w:rsidRPr="00CB0D91">
        <w:rPr>
          <w:rFonts w:ascii="Palatino Linotype" w:hAnsi="Palatino Linotype" w:cs="Arial"/>
          <w:b/>
          <w:bCs/>
        </w:rPr>
        <w:t>/INFOEM/IP/RR/202</w:t>
      </w:r>
      <w:r w:rsidR="00052206" w:rsidRPr="00CB0D91">
        <w:rPr>
          <w:rFonts w:ascii="Palatino Linotype" w:hAnsi="Palatino Linotype" w:cs="Arial"/>
          <w:b/>
          <w:bCs/>
        </w:rPr>
        <w:t>3</w:t>
      </w:r>
      <w:r w:rsidR="00686B08" w:rsidRPr="00CB0D91">
        <w:rPr>
          <w:rFonts w:ascii="Palatino Linotype" w:hAnsi="Palatino Linotype" w:cs="Arial"/>
          <w:b/>
          <w:bCs/>
        </w:rPr>
        <w:t xml:space="preserve"> </w:t>
      </w:r>
      <w:r w:rsidRPr="00CB0D91">
        <w:rPr>
          <w:rFonts w:ascii="Palatino Linotype" w:hAnsi="Palatino Linotype"/>
        </w:rPr>
        <w:t>promovido</w:t>
      </w:r>
      <w:r w:rsidR="00686B08" w:rsidRPr="00CB0D91">
        <w:rPr>
          <w:rFonts w:ascii="Palatino Linotype" w:hAnsi="Palatino Linotype"/>
        </w:rPr>
        <w:t xml:space="preserve"> </w:t>
      </w:r>
      <w:r w:rsidR="00CC0C20" w:rsidRPr="00CB0D91">
        <w:rPr>
          <w:rFonts w:ascii="Palatino Linotype" w:hAnsi="Palatino Linotype"/>
        </w:rPr>
        <w:t>por</w:t>
      </w:r>
      <w:r w:rsidRPr="00CB0D91">
        <w:rPr>
          <w:rFonts w:ascii="Palatino Linotype" w:hAnsi="Palatino Linotype"/>
        </w:rPr>
        <w:t xml:space="preserve"> </w:t>
      </w:r>
      <w:r w:rsidR="00765EAF">
        <w:rPr>
          <w:rFonts w:ascii="Palatino Linotype" w:eastAsiaTheme="minorEastAsia" w:hAnsi="Palatino Linotype" w:cstheme="minorBidi"/>
          <w:b/>
          <w:bCs/>
          <w:color w:val="000000" w:themeColor="text1"/>
          <w:lang w:val="es-ES_tradnl"/>
        </w:rPr>
        <w:t>XXX XXX XXX</w:t>
      </w:r>
      <w:bookmarkStart w:id="0" w:name="_GoBack"/>
      <w:bookmarkEnd w:id="0"/>
      <w:r w:rsidR="00731106" w:rsidRPr="00CB0D91">
        <w:rPr>
          <w:rFonts w:ascii="Palatino Linotype" w:eastAsiaTheme="minorEastAsia" w:hAnsi="Palatino Linotype" w:cstheme="minorBidi"/>
          <w:color w:val="000000" w:themeColor="text1"/>
          <w:lang w:val="es-ES_tradnl"/>
        </w:rPr>
        <w:t xml:space="preserve">, </w:t>
      </w:r>
      <w:r w:rsidR="00052206" w:rsidRPr="00CB0D91">
        <w:rPr>
          <w:rFonts w:ascii="Palatino Linotype" w:eastAsiaTheme="minorEastAsia" w:hAnsi="Palatino Linotype" w:cstheme="minorBidi"/>
          <w:color w:val="000000" w:themeColor="text1"/>
          <w:lang w:val="es-ES_tradnl"/>
        </w:rPr>
        <w:t>quien</w:t>
      </w:r>
      <w:r w:rsidR="00731106" w:rsidRPr="00CB0D91">
        <w:rPr>
          <w:rFonts w:ascii="Palatino Linotype" w:eastAsiaTheme="minorEastAsia" w:hAnsi="Palatino Linotype" w:cstheme="minorBidi"/>
          <w:color w:val="000000" w:themeColor="text1"/>
          <w:lang w:val="es-ES_tradnl"/>
        </w:rPr>
        <w:t xml:space="preserve"> en lo </w:t>
      </w:r>
      <w:r w:rsidRPr="00CB0D91">
        <w:rPr>
          <w:rFonts w:ascii="Palatino Linotype" w:hAnsi="Palatino Linotype"/>
        </w:rPr>
        <w:t>sucesivo se le identificar</w:t>
      </w:r>
      <w:r w:rsidR="001A6191" w:rsidRPr="00CB0D91">
        <w:rPr>
          <w:rFonts w:ascii="Palatino Linotype" w:hAnsi="Palatino Linotype"/>
        </w:rPr>
        <w:t>á</w:t>
      </w:r>
      <w:r w:rsidRPr="00CB0D91">
        <w:rPr>
          <w:rFonts w:ascii="Palatino Linotype" w:hAnsi="Palatino Linotype"/>
        </w:rPr>
        <w:t xml:space="preserve"> como </w:t>
      </w:r>
      <w:r w:rsidRPr="00CB0D91">
        <w:rPr>
          <w:rFonts w:ascii="Palatino Linotype" w:hAnsi="Palatino Linotype"/>
          <w:b/>
        </w:rPr>
        <w:t>RECURRENTE</w:t>
      </w:r>
      <w:r w:rsidRPr="00CB0D91">
        <w:rPr>
          <w:rFonts w:ascii="Palatino Linotype" w:hAnsi="Palatino Linotype"/>
        </w:rPr>
        <w:t>, en contra de</w:t>
      </w:r>
      <w:r w:rsidR="00686B08" w:rsidRPr="00CB0D91">
        <w:rPr>
          <w:rFonts w:ascii="Palatino Linotype" w:hAnsi="Palatino Linotype"/>
        </w:rPr>
        <w:t xml:space="preserve"> la</w:t>
      </w:r>
      <w:r w:rsidRPr="00CB0D91">
        <w:rPr>
          <w:rFonts w:ascii="Palatino Linotype" w:hAnsi="Palatino Linotype" w:cs="Arial"/>
        </w:rPr>
        <w:t xml:space="preserve"> respuesta de</w:t>
      </w:r>
      <w:r w:rsidR="009161C7" w:rsidRPr="00CB0D91">
        <w:rPr>
          <w:rFonts w:ascii="Palatino Linotype" w:hAnsi="Palatino Linotype" w:cs="Arial"/>
        </w:rPr>
        <w:t>l</w:t>
      </w:r>
      <w:r w:rsidRPr="00CB0D91">
        <w:rPr>
          <w:rFonts w:ascii="Palatino Linotype" w:hAnsi="Palatino Linotype" w:cs="Arial"/>
        </w:rPr>
        <w:t xml:space="preserve"> </w:t>
      </w:r>
      <w:r w:rsidR="00847ABF" w:rsidRPr="00CB0D91">
        <w:rPr>
          <w:rFonts w:ascii="Palatino Linotype" w:hAnsi="Palatino Linotype" w:cs="Arial"/>
          <w:b/>
          <w:bCs/>
        </w:rPr>
        <w:t>Ayuntamiento de</w:t>
      </w:r>
      <w:r w:rsidR="00847ABF" w:rsidRPr="00CB0D91">
        <w:rPr>
          <w:rFonts w:ascii="Palatino Linotype" w:hAnsi="Palatino Linotype" w:cs="Arial"/>
        </w:rPr>
        <w:t xml:space="preserve"> </w:t>
      </w:r>
      <w:r w:rsidR="00D11F51" w:rsidRPr="00CB0D91">
        <w:rPr>
          <w:rFonts w:ascii="Palatino Linotype" w:eastAsia="Calibri" w:hAnsi="Palatino Linotype" w:cs="Tahoma"/>
          <w:b/>
          <w:bCs/>
          <w:lang w:eastAsia="en-US"/>
        </w:rPr>
        <w:t>Acambay de Ruíz Castañeda</w:t>
      </w:r>
      <w:r w:rsidRPr="00CB0D91">
        <w:rPr>
          <w:rFonts w:ascii="Palatino Linotype" w:hAnsi="Palatino Linotype" w:cs="Arial"/>
          <w:b/>
        </w:rPr>
        <w:t xml:space="preserve">, </w:t>
      </w:r>
      <w:r w:rsidRPr="00CB0D91">
        <w:rPr>
          <w:rFonts w:ascii="Palatino Linotype" w:hAnsi="Palatino Linotype"/>
        </w:rPr>
        <w:t xml:space="preserve">en </w:t>
      </w:r>
      <w:r w:rsidR="00831C9B" w:rsidRPr="00CB0D91">
        <w:rPr>
          <w:rFonts w:ascii="Palatino Linotype" w:hAnsi="Palatino Linotype"/>
        </w:rPr>
        <w:t xml:space="preserve">adelante </w:t>
      </w:r>
      <w:r w:rsidRPr="00CB0D91">
        <w:rPr>
          <w:rFonts w:ascii="Palatino Linotype" w:hAnsi="Palatino Linotype"/>
        </w:rPr>
        <w:t>el</w:t>
      </w:r>
      <w:r w:rsidRPr="00CB0D91">
        <w:rPr>
          <w:rFonts w:ascii="Palatino Linotype" w:hAnsi="Palatino Linotype"/>
          <w:b/>
        </w:rPr>
        <w:t xml:space="preserve"> SUJETO OBLIGADO, </w:t>
      </w:r>
      <w:r w:rsidRPr="00CB0D91">
        <w:rPr>
          <w:rFonts w:ascii="Palatino Linotype" w:hAnsi="Palatino Linotype"/>
        </w:rPr>
        <w:t>se procede a dictar la presente resolució</w:t>
      </w:r>
      <w:r w:rsidR="004F050E" w:rsidRPr="00CB0D91">
        <w:rPr>
          <w:rFonts w:ascii="Palatino Linotype" w:hAnsi="Palatino Linotype"/>
        </w:rPr>
        <w:t xml:space="preserve">n, con base en los siguientes: </w:t>
      </w:r>
    </w:p>
    <w:p w14:paraId="425F8129" w14:textId="77777777" w:rsidR="00E93FC1" w:rsidRPr="00CB0D91"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CB0D91">
        <w:rPr>
          <w:rFonts w:ascii="Palatino Linotype" w:hAnsi="Palatino Linotype"/>
          <w:b/>
          <w:lang w:eastAsia="en-US"/>
        </w:rPr>
        <w:t>ANTECEDENTES</w:t>
      </w:r>
      <w:bookmarkEnd w:id="1"/>
      <w:bookmarkEnd w:id="2"/>
      <w:bookmarkEnd w:id="3"/>
      <w:bookmarkEnd w:id="4"/>
    </w:p>
    <w:p w14:paraId="64EAE805" w14:textId="37ABD1E5" w:rsidR="00E93FC1" w:rsidRPr="00CB0D91"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CB0D91">
        <w:rPr>
          <w:rFonts w:ascii="Palatino Linotype" w:eastAsia="Calibri" w:hAnsi="Palatino Linotype" w:cs="Arial"/>
          <w:lang w:val="es-ES"/>
        </w:rPr>
        <w:t xml:space="preserve">El </w:t>
      </w:r>
      <w:r w:rsidR="00D11F51" w:rsidRPr="00CB0D91">
        <w:rPr>
          <w:rFonts w:ascii="Palatino Linotype" w:eastAsia="Calibri" w:hAnsi="Palatino Linotype" w:cs="Arial"/>
          <w:lang w:val="es-ES"/>
        </w:rPr>
        <w:t>treinta</w:t>
      </w:r>
      <w:r w:rsidR="00CB7E79" w:rsidRPr="00CB0D91">
        <w:rPr>
          <w:rFonts w:ascii="Palatino Linotype" w:eastAsia="Calibri" w:hAnsi="Palatino Linotype" w:cs="Arial"/>
          <w:lang w:val="es-ES"/>
        </w:rPr>
        <w:t xml:space="preserve"> </w:t>
      </w:r>
      <w:r w:rsidR="007872B8" w:rsidRPr="00CB0D91">
        <w:rPr>
          <w:rFonts w:ascii="Palatino Linotype" w:eastAsia="Calibri" w:hAnsi="Palatino Linotype" w:cs="Arial"/>
          <w:lang w:val="es-ES"/>
        </w:rPr>
        <w:t>(</w:t>
      </w:r>
      <w:r w:rsidR="00D11F51" w:rsidRPr="00CB0D91">
        <w:rPr>
          <w:rFonts w:ascii="Palatino Linotype" w:eastAsia="Calibri" w:hAnsi="Palatino Linotype" w:cs="Arial"/>
          <w:lang w:val="es-ES"/>
        </w:rPr>
        <w:t>30</w:t>
      </w:r>
      <w:r w:rsidR="004F050E" w:rsidRPr="00CB0D91">
        <w:rPr>
          <w:rFonts w:ascii="Palatino Linotype" w:eastAsia="Calibri" w:hAnsi="Palatino Linotype" w:cs="Arial"/>
          <w:lang w:val="es-ES"/>
        </w:rPr>
        <w:t xml:space="preserve">) de </w:t>
      </w:r>
      <w:r w:rsidR="00D11F51" w:rsidRPr="00CB0D91">
        <w:rPr>
          <w:rFonts w:ascii="Palatino Linotype" w:eastAsia="Calibri" w:hAnsi="Palatino Linotype" w:cs="Arial"/>
          <w:lang w:val="es-ES"/>
        </w:rPr>
        <w:t>junio</w:t>
      </w:r>
      <w:r w:rsidR="00E93FC1" w:rsidRPr="00CB0D91">
        <w:rPr>
          <w:rFonts w:ascii="Palatino Linotype" w:eastAsia="Calibri" w:hAnsi="Palatino Linotype" w:cs="Arial"/>
          <w:lang w:val="es-ES"/>
        </w:rPr>
        <w:t xml:space="preserve"> de dos mil veint</w:t>
      </w:r>
      <w:r w:rsidR="00052206" w:rsidRPr="00CB0D91">
        <w:rPr>
          <w:rFonts w:ascii="Palatino Linotype" w:eastAsia="Calibri" w:hAnsi="Palatino Linotype" w:cs="Arial"/>
          <w:lang w:val="es-ES"/>
        </w:rPr>
        <w:t>itrés</w:t>
      </w:r>
      <w:r w:rsidR="00E93FC1" w:rsidRPr="00CB0D91">
        <w:rPr>
          <w:rFonts w:ascii="Palatino Linotype" w:eastAsia="Calibri" w:hAnsi="Palatino Linotype" w:cs="Arial"/>
          <w:lang w:val="es-ES"/>
        </w:rPr>
        <w:t>,</w:t>
      </w:r>
      <w:r w:rsidR="00E93FC1" w:rsidRPr="00CB0D91">
        <w:rPr>
          <w:rFonts w:ascii="Palatino Linotype" w:eastAsia="Calibri" w:hAnsi="Palatino Linotype"/>
          <w:lang w:val="es-ES"/>
        </w:rPr>
        <w:t xml:space="preserve"> </w:t>
      </w:r>
      <w:r w:rsidR="00E93FC1" w:rsidRPr="00CB0D91">
        <w:rPr>
          <w:rFonts w:ascii="Palatino Linotype" w:hAnsi="Palatino Linotype"/>
        </w:rPr>
        <w:t>el</w:t>
      </w:r>
      <w:r w:rsidR="00E93FC1" w:rsidRPr="00CB0D91">
        <w:rPr>
          <w:rFonts w:ascii="Palatino Linotype" w:hAnsi="Palatino Linotype"/>
          <w:b/>
        </w:rPr>
        <w:t xml:space="preserve"> </w:t>
      </w:r>
      <w:r w:rsidR="00D11F51" w:rsidRPr="00CB0D91">
        <w:rPr>
          <w:rFonts w:ascii="Palatino Linotype" w:hAnsi="Palatino Linotype"/>
          <w:b/>
          <w:bCs/>
        </w:rPr>
        <w:t>RECURRENTE</w:t>
      </w:r>
      <w:r w:rsidR="00E93FC1" w:rsidRPr="00CB0D91">
        <w:rPr>
          <w:rFonts w:ascii="Palatino Linotype" w:hAnsi="Palatino Linotype"/>
          <w:b/>
          <w:bCs/>
        </w:rPr>
        <w:t xml:space="preserve"> </w:t>
      </w:r>
      <w:r w:rsidR="00E93FC1" w:rsidRPr="00CB0D91">
        <w:rPr>
          <w:rFonts w:ascii="Palatino Linotype" w:hAnsi="Palatino Linotype"/>
        </w:rPr>
        <w:t>presentó</w:t>
      </w:r>
      <w:r w:rsidR="00E93FC1" w:rsidRPr="00CB0D91">
        <w:rPr>
          <w:rFonts w:ascii="Palatino Linotype" w:hAnsi="Palatino Linotype"/>
          <w:b/>
        </w:rPr>
        <w:t xml:space="preserve"> </w:t>
      </w:r>
      <w:r w:rsidR="00E93FC1" w:rsidRPr="00CB0D91">
        <w:rPr>
          <w:rFonts w:ascii="Palatino Linotype" w:eastAsia="Calibri" w:hAnsi="Palatino Linotype" w:cs="Arial"/>
          <w:lang w:val="es-ES"/>
        </w:rPr>
        <w:t xml:space="preserve">ante el </w:t>
      </w:r>
      <w:r w:rsidR="00E93FC1" w:rsidRPr="00CB0D91">
        <w:rPr>
          <w:rFonts w:ascii="Palatino Linotype" w:eastAsia="Calibri" w:hAnsi="Palatino Linotype" w:cs="Arial"/>
          <w:b/>
          <w:lang w:val="es-ES"/>
        </w:rPr>
        <w:t>SUJETO OBLIGADO,</w:t>
      </w:r>
      <w:r w:rsidR="00E93FC1" w:rsidRPr="00CB0D91">
        <w:rPr>
          <w:rFonts w:ascii="Palatino Linotype" w:eastAsia="Calibri" w:hAnsi="Palatino Linotype" w:cs="Arial"/>
        </w:rPr>
        <w:t xml:space="preserve"> </w:t>
      </w:r>
      <w:r w:rsidRPr="00CB0D91">
        <w:rPr>
          <w:rFonts w:ascii="Palatino Linotype" w:eastAsia="Calibri" w:hAnsi="Palatino Linotype" w:cs="Arial"/>
        </w:rPr>
        <w:t xml:space="preserve">a través de la </w:t>
      </w:r>
      <w:r w:rsidR="007A3D32" w:rsidRPr="00CB0D91">
        <w:rPr>
          <w:rFonts w:ascii="Palatino Linotype" w:eastAsia="Calibri" w:hAnsi="Palatino Linotype" w:cs="Arial"/>
        </w:rPr>
        <w:t>Plataforma digital Sistema de Acceso a la Información Mexiquense (SAIMEX),</w:t>
      </w:r>
      <w:r w:rsidR="00E93FC1" w:rsidRPr="00CB0D91">
        <w:rPr>
          <w:rFonts w:ascii="Palatino Linotype" w:eastAsia="Calibri" w:hAnsi="Palatino Linotype" w:cs="Arial"/>
          <w:lang w:val="es-ES"/>
        </w:rPr>
        <w:t xml:space="preserve"> la solicitud de información pública registrad</w:t>
      </w:r>
      <w:r w:rsidR="00686B08" w:rsidRPr="00CB0D91">
        <w:rPr>
          <w:rFonts w:ascii="Palatino Linotype" w:eastAsia="Calibri" w:hAnsi="Palatino Linotype" w:cs="Arial"/>
          <w:lang w:val="es-ES"/>
        </w:rPr>
        <w:t>a</w:t>
      </w:r>
      <w:r w:rsidR="00E93FC1" w:rsidRPr="00CB0D91">
        <w:rPr>
          <w:rFonts w:ascii="Palatino Linotype" w:eastAsia="Calibri" w:hAnsi="Palatino Linotype" w:cs="Arial"/>
          <w:lang w:val="es-ES"/>
        </w:rPr>
        <w:t xml:space="preserve"> con </w:t>
      </w:r>
      <w:r w:rsidR="00686B08" w:rsidRPr="00CB0D91">
        <w:rPr>
          <w:rFonts w:ascii="Palatino Linotype" w:eastAsia="Calibri" w:hAnsi="Palatino Linotype" w:cs="Arial"/>
          <w:lang w:val="es-ES"/>
        </w:rPr>
        <w:t>el</w:t>
      </w:r>
      <w:r w:rsidR="00E93FC1" w:rsidRPr="00CB0D91">
        <w:rPr>
          <w:rFonts w:ascii="Palatino Linotype" w:eastAsia="Calibri" w:hAnsi="Palatino Linotype" w:cs="Arial"/>
          <w:lang w:val="es-ES"/>
        </w:rPr>
        <w:t xml:space="preserve"> número </w:t>
      </w:r>
      <w:r w:rsidR="00731106" w:rsidRPr="00CB0D91">
        <w:rPr>
          <w:rFonts w:ascii="Palatino Linotype" w:hAnsi="Palatino Linotype"/>
          <w:b/>
          <w:bCs/>
        </w:rPr>
        <w:t>0</w:t>
      </w:r>
      <w:r w:rsidR="00052206" w:rsidRPr="00CB0D91">
        <w:rPr>
          <w:rFonts w:ascii="Palatino Linotype" w:hAnsi="Palatino Linotype"/>
          <w:b/>
          <w:bCs/>
        </w:rPr>
        <w:t>00</w:t>
      </w:r>
      <w:r w:rsidR="00D11F51" w:rsidRPr="00CB0D91">
        <w:rPr>
          <w:rFonts w:ascii="Palatino Linotype" w:hAnsi="Palatino Linotype"/>
          <w:b/>
          <w:bCs/>
        </w:rPr>
        <w:t>47</w:t>
      </w:r>
      <w:r w:rsidR="001846CB" w:rsidRPr="00CB0D91">
        <w:rPr>
          <w:rFonts w:ascii="Palatino Linotype" w:hAnsi="Palatino Linotype"/>
          <w:b/>
          <w:bCs/>
        </w:rPr>
        <w:t>/</w:t>
      </w:r>
      <w:r w:rsidR="00D11F51" w:rsidRPr="00CB0D91">
        <w:rPr>
          <w:rFonts w:ascii="Palatino Linotype" w:hAnsi="Palatino Linotype"/>
          <w:b/>
          <w:bCs/>
        </w:rPr>
        <w:t>ACAMBAY</w:t>
      </w:r>
      <w:r w:rsidR="001846CB" w:rsidRPr="00CB0D91">
        <w:rPr>
          <w:rFonts w:ascii="Palatino Linotype" w:hAnsi="Palatino Linotype"/>
          <w:b/>
          <w:bCs/>
        </w:rPr>
        <w:t>/IP/202</w:t>
      </w:r>
      <w:r w:rsidR="00052206" w:rsidRPr="00CB0D91">
        <w:rPr>
          <w:rFonts w:ascii="Palatino Linotype" w:hAnsi="Palatino Linotype"/>
          <w:b/>
          <w:bCs/>
        </w:rPr>
        <w:t>3</w:t>
      </w:r>
      <w:r w:rsidR="00731106" w:rsidRPr="00CB0D91">
        <w:rPr>
          <w:rFonts w:ascii="Palatino Linotype" w:hAnsi="Palatino Linotype"/>
          <w:b/>
          <w:bCs/>
        </w:rPr>
        <w:t>,</w:t>
      </w:r>
      <w:r w:rsidR="00686B08" w:rsidRPr="00CB0D91">
        <w:rPr>
          <w:rFonts w:ascii="Palatino Linotype" w:eastAsia="Calibri" w:hAnsi="Palatino Linotype" w:cs="Arial"/>
          <w:lang w:val="es-ES"/>
        </w:rPr>
        <w:t xml:space="preserve"> </w:t>
      </w:r>
      <w:r w:rsidR="00831C9B" w:rsidRPr="00CB0D91">
        <w:rPr>
          <w:rFonts w:ascii="Palatino Linotype" w:eastAsia="Calibri" w:hAnsi="Palatino Linotype" w:cs="Arial"/>
          <w:lang w:val="es-ES"/>
        </w:rPr>
        <w:t>en la que</w:t>
      </w:r>
      <w:r w:rsidR="00E93FC1" w:rsidRPr="00CB0D91">
        <w:rPr>
          <w:rFonts w:ascii="Palatino Linotype" w:eastAsia="Calibri" w:hAnsi="Palatino Linotype" w:cs="Arial"/>
          <w:lang w:val="es-ES"/>
        </w:rPr>
        <w:t xml:space="preserve"> se solicitó:</w:t>
      </w:r>
    </w:p>
    <w:p w14:paraId="45234F90" w14:textId="77777777" w:rsidR="001846CB" w:rsidRPr="00CB0D91" w:rsidRDefault="001846CB" w:rsidP="0047361F">
      <w:pPr>
        <w:ind w:right="539"/>
        <w:jc w:val="both"/>
        <w:rPr>
          <w:rFonts w:ascii="Palatino Linotype" w:eastAsia="Calibri" w:hAnsi="Palatino Linotype" w:cs="Arial"/>
          <w:sz w:val="28"/>
        </w:rPr>
      </w:pPr>
    </w:p>
    <w:p w14:paraId="50328B31" w14:textId="3A631C55" w:rsidR="000E3DDC" w:rsidRPr="00CB0D91" w:rsidRDefault="00686B08" w:rsidP="00D11F51">
      <w:pPr>
        <w:ind w:left="567" w:right="539"/>
        <w:jc w:val="both"/>
        <w:rPr>
          <w:rFonts w:ascii="Palatino Linotype" w:hAnsi="Palatino Linotype"/>
          <w:i/>
          <w:iCs/>
          <w:color w:val="000000"/>
          <w:szCs w:val="22"/>
        </w:rPr>
      </w:pPr>
      <w:r w:rsidRPr="00CB0D91">
        <w:rPr>
          <w:rFonts w:ascii="Palatino Linotype" w:hAnsi="Palatino Linotype"/>
          <w:i/>
          <w:iCs/>
          <w:color w:val="000000"/>
          <w:szCs w:val="22"/>
        </w:rPr>
        <w:t>“</w:t>
      </w:r>
      <w:r w:rsidR="00D11F51" w:rsidRPr="00CB0D91">
        <w:rPr>
          <w:rFonts w:ascii="Palatino Linotype" w:hAnsi="Palatino Linotype"/>
          <w:i/>
          <w:iCs/>
          <w:color w:val="000000"/>
          <w:szCs w:val="22"/>
        </w:rPr>
        <w:t>SE SOLICITAN TODAS LAS ACTAS DE CABILDO DEL EJERCICIO FISCAL 2023, DESDE EL 01 DE ENERO HASTA LA FECHA DE HOY (30 DE JUNIO DE 2023), INCLUYENDO ORDINARIOS Y EXTRAORDINARIOS, EN FORMATO PDF.</w:t>
      </w:r>
      <w:r w:rsidRPr="00CB0D91">
        <w:rPr>
          <w:rFonts w:ascii="Palatino Linotype" w:hAnsi="Palatino Linotype"/>
          <w:i/>
          <w:iCs/>
          <w:color w:val="000000"/>
          <w:szCs w:val="22"/>
        </w:rPr>
        <w:t>” (Sic)</w:t>
      </w:r>
    </w:p>
    <w:p w14:paraId="287A8F47" w14:textId="77777777" w:rsidR="000E3DDC" w:rsidRPr="00CB0D91" w:rsidRDefault="000E3DDC" w:rsidP="00686B08">
      <w:pPr>
        <w:ind w:right="539"/>
        <w:jc w:val="both"/>
        <w:rPr>
          <w:rFonts w:ascii="Palatino Linotype" w:hAnsi="Palatino Linotype"/>
          <w:sz w:val="22"/>
          <w:szCs w:val="22"/>
        </w:rPr>
      </w:pPr>
    </w:p>
    <w:p w14:paraId="73BE9FBE" w14:textId="0ACD7D11" w:rsidR="00954B71" w:rsidRPr="00CB0D91" w:rsidRDefault="00E93FC1" w:rsidP="00D11F51">
      <w:pPr>
        <w:pStyle w:val="Prrafodelista"/>
        <w:numPr>
          <w:ilvl w:val="0"/>
          <w:numId w:val="1"/>
        </w:numPr>
        <w:spacing w:before="240" w:after="240" w:line="360" w:lineRule="auto"/>
        <w:ind w:left="0" w:firstLine="0"/>
        <w:jc w:val="both"/>
        <w:rPr>
          <w:rFonts w:ascii="Palatino Linotype" w:hAnsi="Palatino Linotype" w:cs="Arial"/>
          <w:i/>
          <w:sz w:val="24"/>
        </w:rPr>
      </w:pPr>
      <w:r w:rsidRPr="00CB0D91">
        <w:rPr>
          <w:rFonts w:ascii="Palatino Linotype" w:hAnsi="Palatino Linotype" w:cs="Arial"/>
          <w:sz w:val="24"/>
        </w:rPr>
        <w:t xml:space="preserve">Se hace constar que se señaló como modalidad de entrega de la información a través </w:t>
      </w:r>
      <w:r w:rsidR="00E919FF" w:rsidRPr="00CB0D91">
        <w:rPr>
          <w:rFonts w:ascii="Palatino Linotype" w:hAnsi="Palatino Linotype" w:cs="Arial"/>
          <w:sz w:val="24"/>
        </w:rPr>
        <w:t xml:space="preserve">del Sistema de Acceso a la Información Mexiquense </w:t>
      </w:r>
      <w:r w:rsidR="00E919FF" w:rsidRPr="00CB0D91">
        <w:rPr>
          <w:rFonts w:ascii="Palatino Linotype" w:hAnsi="Palatino Linotype" w:cs="Arial"/>
          <w:b/>
          <w:bCs/>
          <w:sz w:val="24"/>
        </w:rPr>
        <w:t>(SAIMEX).</w:t>
      </w:r>
    </w:p>
    <w:p w14:paraId="45A19BDB" w14:textId="41446927" w:rsidR="00417DC5" w:rsidRPr="00CB0D91"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2B0DFF38" w14:textId="2BCE0712" w:rsidR="00E93FC1" w:rsidRPr="00CB0D91"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B0D91">
        <w:rPr>
          <w:rFonts w:ascii="Palatino Linotype" w:eastAsia="Calibri" w:hAnsi="Palatino Linotype" w:cs="Arial"/>
          <w:lang w:val="es-AR"/>
        </w:rPr>
        <w:lastRenderedPageBreak/>
        <w:t>El</w:t>
      </w:r>
      <w:r w:rsidR="00E50E5B" w:rsidRPr="00CB0D91">
        <w:rPr>
          <w:rFonts w:ascii="Palatino Linotype" w:hAnsi="Palatino Linotype" w:cs="Arial"/>
          <w:lang w:val="es-ES"/>
        </w:rPr>
        <w:t xml:space="preserve"> </w:t>
      </w:r>
      <w:r w:rsidR="00D11F51" w:rsidRPr="00CB0D91">
        <w:rPr>
          <w:rFonts w:ascii="Palatino Linotype" w:hAnsi="Palatino Linotype" w:cs="Arial"/>
          <w:lang w:val="es-ES"/>
        </w:rPr>
        <w:t>veintiuno</w:t>
      </w:r>
      <w:r w:rsidR="00CF2C45" w:rsidRPr="00CB0D91">
        <w:rPr>
          <w:rFonts w:ascii="Palatino Linotype" w:hAnsi="Palatino Linotype" w:cs="Arial"/>
          <w:lang w:val="es-ES"/>
        </w:rPr>
        <w:t xml:space="preserve"> </w:t>
      </w:r>
      <w:r w:rsidR="001D1BE5" w:rsidRPr="00CB0D91">
        <w:rPr>
          <w:rFonts w:ascii="Palatino Linotype" w:hAnsi="Palatino Linotype" w:cs="Arial"/>
          <w:lang w:val="es-ES"/>
        </w:rPr>
        <w:t>(</w:t>
      </w:r>
      <w:r w:rsidR="00D11F51" w:rsidRPr="00CB0D91">
        <w:rPr>
          <w:rFonts w:ascii="Palatino Linotype" w:hAnsi="Palatino Linotype" w:cs="Arial"/>
          <w:lang w:val="es-ES"/>
        </w:rPr>
        <w:t>21</w:t>
      </w:r>
      <w:r w:rsidR="001D1BE5" w:rsidRPr="00CB0D91">
        <w:rPr>
          <w:rFonts w:ascii="Palatino Linotype" w:hAnsi="Palatino Linotype" w:cs="Arial"/>
          <w:lang w:val="es-ES"/>
        </w:rPr>
        <w:t xml:space="preserve">) </w:t>
      </w:r>
      <w:r w:rsidR="00686B08" w:rsidRPr="00CB0D91">
        <w:rPr>
          <w:rFonts w:ascii="Palatino Linotype" w:hAnsi="Palatino Linotype" w:cs="Arial"/>
          <w:lang w:val="es-ES"/>
        </w:rPr>
        <w:t xml:space="preserve">de </w:t>
      </w:r>
      <w:r w:rsidR="00D11F51" w:rsidRPr="00CB0D91">
        <w:rPr>
          <w:rFonts w:ascii="Palatino Linotype" w:hAnsi="Palatino Linotype" w:cs="Arial"/>
          <w:lang w:val="es-ES"/>
        </w:rPr>
        <w:t>julio</w:t>
      </w:r>
      <w:r w:rsidR="00686B08" w:rsidRPr="00CB0D91">
        <w:rPr>
          <w:rFonts w:ascii="Palatino Linotype" w:hAnsi="Palatino Linotype" w:cs="Arial"/>
          <w:lang w:val="es-ES"/>
        </w:rPr>
        <w:t xml:space="preserve"> de</w:t>
      </w:r>
      <w:r w:rsidR="003D572E" w:rsidRPr="00CB0D91">
        <w:rPr>
          <w:rFonts w:ascii="Palatino Linotype" w:hAnsi="Palatino Linotype" w:cs="Arial"/>
          <w:lang w:val="es-ES"/>
        </w:rPr>
        <w:t xml:space="preserve"> dos mil veinti</w:t>
      </w:r>
      <w:r w:rsidR="00052206" w:rsidRPr="00CB0D91">
        <w:rPr>
          <w:rFonts w:ascii="Palatino Linotype" w:hAnsi="Palatino Linotype" w:cs="Arial"/>
          <w:lang w:val="es-ES"/>
        </w:rPr>
        <w:t>trés</w:t>
      </w:r>
      <w:r w:rsidRPr="00CB0D91">
        <w:rPr>
          <w:rFonts w:ascii="Palatino Linotype" w:hAnsi="Palatino Linotype" w:cs="Arial"/>
          <w:lang w:val="es-ES"/>
        </w:rPr>
        <w:t xml:space="preserve">, el </w:t>
      </w:r>
      <w:r w:rsidRPr="00CB0D91">
        <w:rPr>
          <w:rFonts w:ascii="Palatino Linotype" w:hAnsi="Palatino Linotype" w:cs="Arial"/>
          <w:b/>
          <w:lang w:val="es-ES"/>
        </w:rPr>
        <w:t xml:space="preserve">SUJETO OBLIGADO </w:t>
      </w:r>
      <w:bookmarkStart w:id="5" w:name="_Toc472500652"/>
      <w:bookmarkStart w:id="6" w:name="_Toc472427085"/>
      <w:bookmarkStart w:id="7" w:name="_Toc462307683"/>
      <w:r w:rsidRPr="00CB0D91">
        <w:rPr>
          <w:rFonts w:ascii="Palatino Linotype" w:hAnsi="Palatino Linotype" w:cs="Arial"/>
          <w:lang w:val="es-ES"/>
        </w:rPr>
        <w:t>dio respuesta a la solicitud</w:t>
      </w:r>
      <w:r w:rsidR="00D11F51" w:rsidRPr="00CB0D91">
        <w:rPr>
          <w:rFonts w:ascii="Palatino Linotype" w:hAnsi="Palatino Linotype" w:cs="Arial"/>
          <w:lang w:val="es-ES"/>
        </w:rPr>
        <w:t xml:space="preserve">, </w:t>
      </w:r>
      <w:r w:rsidRPr="00CB0D91">
        <w:rPr>
          <w:rFonts w:ascii="Palatino Linotype" w:hAnsi="Palatino Linotype" w:cs="Arial"/>
          <w:lang w:val="es-ES"/>
        </w:rPr>
        <w:t>en l</w:t>
      </w:r>
      <w:r w:rsidR="00954B71" w:rsidRPr="00CB0D91">
        <w:rPr>
          <w:rFonts w:ascii="Palatino Linotype" w:hAnsi="Palatino Linotype" w:cs="Arial"/>
          <w:lang w:val="es-ES"/>
        </w:rPr>
        <w:t>os</w:t>
      </w:r>
      <w:r w:rsidRPr="00CB0D91">
        <w:rPr>
          <w:rFonts w:ascii="Palatino Linotype" w:hAnsi="Palatino Linotype" w:cs="Arial"/>
          <w:lang w:val="es-ES"/>
        </w:rPr>
        <w:t xml:space="preserve"> siguiente</w:t>
      </w:r>
      <w:r w:rsidR="00954B71" w:rsidRPr="00CB0D91">
        <w:rPr>
          <w:rFonts w:ascii="Palatino Linotype" w:hAnsi="Palatino Linotype" w:cs="Arial"/>
          <w:lang w:val="es-ES"/>
        </w:rPr>
        <w:t>s términos</w:t>
      </w:r>
      <w:r w:rsidRPr="00CB0D91">
        <w:rPr>
          <w:rFonts w:ascii="Palatino Linotype" w:hAnsi="Palatino Linotype" w:cs="Arial"/>
          <w:lang w:val="es-ES"/>
        </w:rPr>
        <w:t>:</w:t>
      </w:r>
    </w:p>
    <w:p w14:paraId="00A0DF01" w14:textId="65C66A03" w:rsidR="00CB7E79" w:rsidRPr="00CB0D91" w:rsidRDefault="00052206" w:rsidP="00052206">
      <w:pPr>
        <w:ind w:left="567" w:right="539"/>
        <w:jc w:val="both"/>
        <w:rPr>
          <w:rFonts w:ascii="Palatino Linotype" w:hAnsi="Palatino Linotype"/>
          <w:i/>
          <w:iCs/>
          <w:color w:val="000000"/>
          <w:sz w:val="22"/>
          <w:szCs w:val="22"/>
        </w:rPr>
      </w:pPr>
      <w:r w:rsidRPr="00CB0D91">
        <w:rPr>
          <w:rFonts w:ascii="Palatino Linotype" w:hAnsi="Palatino Linotype"/>
          <w:i/>
          <w:iCs/>
          <w:color w:val="000000"/>
          <w:sz w:val="22"/>
          <w:szCs w:val="22"/>
        </w:rPr>
        <w:t>“</w:t>
      </w:r>
      <w:r w:rsidR="00D11F51" w:rsidRPr="00CB0D91">
        <w:rPr>
          <w:rFonts w:ascii="Palatino Linotype" w:hAnsi="Palatino Linotype"/>
          <w:i/>
          <w:iCs/>
          <w:color w:val="000000"/>
          <w:sz w:val="22"/>
          <w:szCs w:val="22"/>
        </w:rPr>
        <w:t>…En atención a su solicitud de información No. 00047/ACAMBAY/IP/2023, recibida por esta dependencia vía Sistema Electrónico Denominado Sistema de Acceso a la Información Mexiquense (SAIMEX) de fecha 30 de junio de 2023,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la Secretaria del Ayuntamiento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CB0D91">
        <w:rPr>
          <w:rFonts w:ascii="Palatino Linotype" w:hAnsi="Palatino Linotype"/>
          <w:i/>
          <w:iCs/>
          <w:color w:val="000000"/>
          <w:sz w:val="22"/>
          <w:szCs w:val="22"/>
        </w:rPr>
        <w:t xml:space="preserve"> </w:t>
      </w:r>
      <w:r w:rsidR="00686B08" w:rsidRPr="00CB0D91">
        <w:rPr>
          <w:rFonts w:ascii="Palatino Linotype" w:hAnsi="Palatino Linotype"/>
          <w:i/>
          <w:iCs/>
          <w:color w:val="000000"/>
          <w:sz w:val="22"/>
          <w:szCs w:val="22"/>
        </w:rPr>
        <w:t>” (Sic)</w:t>
      </w:r>
    </w:p>
    <w:p w14:paraId="4D8FED6E" w14:textId="77777777" w:rsidR="00686B08" w:rsidRPr="00CB0D91" w:rsidRDefault="00686B08" w:rsidP="00052206">
      <w:pPr>
        <w:ind w:right="539"/>
        <w:jc w:val="both"/>
        <w:rPr>
          <w:rFonts w:ascii="Palatino Linotype" w:hAnsi="Palatino Linotype"/>
          <w:i/>
          <w:iCs/>
          <w:color w:val="000000"/>
          <w:sz w:val="22"/>
          <w:szCs w:val="22"/>
        </w:rPr>
      </w:pPr>
    </w:p>
    <w:p w14:paraId="60B308E8" w14:textId="707F3A00" w:rsidR="00D11F51" w:rsidRPr="00CB0D91" w:rsidRDefault="00D11F51" w:rsidP="00D11F51">
      <w:pPr>
        <w:ind w:right="-28"/>
        <w:jc w:val="both"/>
        <w:rPr>
          <w:rFonts w:ascii="Palatino Linotype" w:hAnsi="Palatino Linotype"/>
          <w:color w:val="000000" w:themeColor="text1"/>
          <w:sz w:val="22"/>
          <w:szCs w:val="22"/>
        </w:rPr>
      </w:pPr>
      <w:r w:rsidRPr="00CB0D91">
        <w:rPr>
          <w:rFonts w:ascii="Palatino Linotype" w:hAnsi="Palatino Linotype"/>
          <w:color w:val="000000" w:themeColor="text1"/>
          <w:sz w:val="22"/>
          <w:szCs w:val="22"/>
        </w:rPr>
        <w:t>Se adju</w:t>
      </w:r>
      <w:r w:rsidR="00B864DD" w:rsidRPr="00CB0D91">
        <w:rPr>
          <w:rFonts w:ascii="Palatino Linotype" w:hAnsi="Palatino Linotype"/>
          <w:color w:val="000000" w:themeColor="text1"/>
          <w:sz w:val="22"/>
          <w:szCs w:val="22"/>
        </w:rPr>
        <w:t>n</w:t>
      </w:r>
      <w:r w:rsidRPr="00CB0D91">
        <w:rPr>
          <w:rFonts w:ascii="Palatino Linotype" w:hAnsi="Palatino Linotype"/>
          <w:color w:val="000000" w:themeColor="text1"/>
          <w:sz w:val="22"/>
          <w:szCs w:val="22"/>
        </w:rPr>
        <w:t>tó el a</w:t>
      </w:r>
      <w:r w:rsidR="00686B08" w:rsidRPr="00CB0D91">
        <w:rPr>
          <w:rFonts w:ascii="Palatino Linotype" w:hAnsi="Palatino Linotype"/>
          <w:color w:val="000000" w:themeColor="text1"/>
          <w:sz w:val="22"/>
          <w:szCs w:val="22"/>
        </w:rPr>
        <w:t>rchivo electrónico</w:t>
      </w:r>
      <w:r w:rsidR="00052206" w:rsidRPr="00CB0D91">
        <w:rPr>
          <w:rFonts w:ascii="Palatino Linotype" w:hAnsi="Palatino Linotype"/>
          <w:color w:val="000000" w:themeColor="text1"/>
          <w:sz w:val="22"/>
          <w:szCs w:val="22"/>
        </w:rPr>
        <w:t xml:space="preserve"> </w:t>
      </w:r>
      <w:r w:rsidRPr="00CB0D91">
        <w:rPr>
          <w:rFonts w:ascii="Palatino Linotype" w:hAnsi="Palatino Linotype"/>
          <w:color w:val="000000" w:themeColor="text1"/>
          <w:sz w:val="22"/>
          <w:szCs w:val="22"/>
        </w:rPr>
        <w:t xml:space="preserve">denominado </w:t>
      </w:r>
      <w:r w:rsidRPr="00CB0D91">
        <w:rPr>
          <w:rFonts w:ascii="Palatino Linotype" w:hAnsi="Palatino Linotype"/>
          <w:b/>
          <w:bCs/>
          <w:color w:val="000000" w:themeColor="text1"/>
          <w:sz w:val="22"/>
          <w:szCs w:val="22"/>
        </w:rPr>
        <w:t>contestacion 47</w:t>
      </w:r>
      <w:r w:rsidR="00052206" w:rsidRPr="00CB0D91">
        <w:rPr>
          <w:rFonts w:ascii="Palatino Linotype" w:hAnsi="Palatino Linotype"/>
          <w:b/>
          <w:bCs/>
          <w:color w:val="000000" w:themeColor="text1"/>
          <w:sz w:val="22"/>
          <w:szCs w:val="22"/>
        </w:rPr>
        <w:t>.pdf</w:t>
      </w:r>
      <w:r w:rsidRPr="00CB0D91">
        <w:rPr>
          <w:rFonts w:ascii="Palatino Linotype" w:hAnsi="Palatino Linotype"/>
          <w:b/>
          <w:bCs/>
          <w:color w:val="000000" w:themeColor="text1"/>
          <w:sz w:val="22"/>
          <w:szCs w:val="22"/>
        </w:rPr>
        <w:t xml:space="preserve">, </w:t>
      </w:r>
      <w:r w:rsidRPr="00CB0D91">
        <w:rPr>
          <w:rFonts w:ascii="Palatino Linotype" w:hAnsi="Palatino Linotype"/>
          <w:color w:val="000000" w:themeColor="text1"/>
          <w:sz w:val="22"/>
          <w:szCs w:val="22"/>
        </w:rPr>
        <w:t>d</w:t>
      </w:r>
      <w:r w:rsidR="00052206" w:rsidRPr="00CB0D91">
        <w:rPr>
          <w:rFonts w:ascii="Palatino Linotype" w:hAnsi="Palatino Linotype"/>
          <w:color w:val="000000" w:themeColor="text1"/>
          <w:sz w:val="22"/>
          <w:szCs w:val="22"/>
        </w:rPr>
        <w:t>ocumento consistente en la copia digitalizada del oficio</w:t>
      </w:r>
      <w:r w:rsidR="003C3850" w:rsidRPr="00CB0D91">
        <w:rPr>
          <w:rFonts w:ascii="Palatino Linotype" w:hAnsi="Palatino Linotype"/>
          <w:color w:val="000000" w:themeColor="text1"/>
          <w:sz w:val="22"/>
          <w:szCs w:val="22"/>
        </w:rPr>
        <w:t xml:space="preserve"> número </w:t>
      </w:r>
      <w:r w:rsidRPr="00CB0D91">
        <w:rPr>
          <w:rFonts w:ascii="Palatino Linotype" w:hAnsi="Palatino Linotype"/>
          <w:color w:val="000000" w:themeColor="text1"/>
          <w:sz w:val="22"/>
          <w:szCs w:val="22"/>
        </w:rPr>
        <w:t>SA</w:t>
      </w:r>
      <w:r w:rsidR="003C3850" w:rsidRPr="00CB0D91">
        <w:rPr>
          <w:rFonts w:ascii="Palatino Linotype" w:hAnsi="Palatino Linotype"/>
          <w:color w:val="000000" w:themeColor="text1"/>
          <w:sz w:val="22"/>
          <w:szCs w:val="22"/>
        </w:rPr>
        <w:t>/</w:t>
      </w:r>
      <w:r w:rsidRPr="00CB0D91">
        <w:rPr>
          <w:rFonts w:ascii="Palatino Linotype" w:hAnsi="Palatino Linotype"/>
          <w:color w:val="000000" w:themeColor="text1"/>
          <w:sz w:val="22"/>
          <w:szCs w:val="22"/>
        </w:rPr>
        <w:t>0583</w:t>
      </w:r>
      <w:r w:rsidR="003C3850" w:rsidRPr="00CB0D91">
        <w:rPr>
          <w:rFonts w:ascii="Palatino Linotype" w:hAnsi="Palatino Linotype"/>
          <w:color w:val="000000" w:themeColor="text1"/>
          <w:sz w:val="22"/>
          <w:szCs w:val="22"/>
        </w:rPr>
        <w:t>/2023,</w:t>
      </w:r>
      <w:r w:rsidR="00052206" w:rsidRPr="00CB0D91">
        <w:rPr>
          <w:rFonts w:ascii="Palatino Linotype" w:hAnsi="Palatino Linotype"/>
          <w:color w:val="000000" w:themeColor="text1"/>
          <w:sz w:val="22"/>
          <w:szCs w:val="22"/>
        </w:rPr>
        <w:t xml:space="preserve"> </w:t>
      </w:r>
      <w:r w:rsidRPr="00CB0D91">
        <w:rPr>
          <w:rFonts w:ascii="Palatino Linotype" w:hAnsi="Palatino Linotype"/>
          <w:color w:val="000000" w:themeColor="text1"/>
          <w:sz w:val="22"/>
          <w:szCs w:val="22"/>
        </w:rPr>
        <w:t xml:space="preserve">del 10 de julio de 2023, </w:t>
      </w:r>
      <w:r w:rsidR="00686B08" w:rsidRPr="00CB0D91">
        <w:rPr>
          <w:rFonts w:ascii="Palatino Linotype" w:hAnsi="Palatino Linotype"/>
          <w:color w:val="000000" w:themeColor="text1"/>
          <w:sz w:val="22"/>
          <w:szCs w:val="22"/>
        </w:rPr>
        <w:t xml:space="preserve">suscrito y signado por el </w:t>
      </w:r>
      <w:r w:rsidRPr="00CB0D91">
        <w:rPr>
          <w:rFonts w:ascii="Palatino Linotype" w:hAnsi="Palatino Linotype"/>
          <w:color w:val="000000" w:themeColor="text1"/>
          <w:sz w:val="22"/>
          <w:szCs w:val="22"/>
        </w:rPr>
        <w:t>Secretario del Ayuntamiento</w:t>
      </w:r>
      <w:r w:rsidR="003C3850" w:rsidRPr="00CB0D91">
        <w:rPr>
          <w:rFonts w:ascii="Palatino Linotype" w:hAnsi="Palatino Linotype"/>
          <w:color w:val="000000" w:themeColor="text1"/>
          <w:sz w:val="22"/>
          <w:szCs w:val="22"/>
        </w:rPr>
        <w:t>,</w:t>
      </w:r>
      <w:r w:rsidR="00686B08" w:rsidRPr="00CB0D91">
        <w:rPr>
          <w:rFonts w:ascii="Palatino Linotype" w:hAnsi="Palatino Linotype"/>
          <w:color w:val="000000" w:themeColor="text1"/>
          <w:sz w:val="22"/>
          <w:szCs w:val="22"/>
        </w:rPr>
        <w:t xml:space="preserve"> </w:t>
      </w:r>
      <w:r w:rsidR="00831C9B" w:rsidRPr="00CB0D91">
        <w:rPr>
          <w:rFonts w:ascii="Palatino Linotype" w:hAnsi="Palatino Linotype"/>
          <w:color w:val="000000" w:themeColor="text1"/>
          <w:sz w:val="22"/>
          <w:szCs w:val="22"/>
        </w:rPr>
        <w:t>en el que</w:t>
      </w:r>
      <w:r w:rsidR="00686B08" w:rsidRPr="00CB0D91">
        <w:rPr>
          <w:rFonts w:ascii="Palatino Linotype" w:hAnsi="Palatino Linotype"/>
          <w:color w:val="000000" w:themeColor="text1"/>
          <w:sz w:val="22"/>
          <w:szCs w:val="22"/>
        </w:rPr>
        <w:t xml:space="preserve"> refirió que la información</w:t>
      </w:r>
      <w:r w:rsidRPr="00CB0D91">
        <w:rPr>
          <w:rFonts w:ascii="Palatino Linotype" w:hAnsi="Palatino Linotype"/>
          <w:color w:val="000000" w:themeColor="text1"/>
          <w:sz w:val="22"/>
          <w:szCs w:val="22"/>
        </w:rPr>
        <w:t xml:space="preserve"> solicitada</w:t>
      </w:r>
      <w:r w:rsidR="00686B08" w:rsidRPr="00CB0D91">
        <w:rPr>
          <w:rFonts w:ascii="Palatino Linotype" w:hAnsi="Palatino Linotype"/>
          <w:color w:val="000000" w:themeColor="text1"/>
          <w:sz w:val="22"/>
          <w:szCs w:val="22"/>
        </w:rPr>
        <w:t xml:space="preserve"> podía ser consultada a través de la</w:t>
      </w:r>
      <w:r w:rsidR="006437FA" w:rsidRPr="00CB0D91">
        <w:rPr>
          <w:rFonts w:ascii="Palatino Linotype" w:hAnsi="Palatino Linotype"/>
          <w:color w:val="000000" w:themeColor="text1"/>
          <w:sz w:val="22"/>
          <w:szCs w:val="22"/>
        </w:rPr>
        <w:t xml:space="preserve"> siguiente</w:t>
      </w:r>
      <w:r w:rsidR="00686B08" w:rsidRPr="00CB0D91">
        <w:rPr>
          <w:rFonts w:ascii="Palatino Linotype" w:hAnsi="Palatino Linotype"/>
          <w:color w:val="000000" w:themeColor="text1"/>
          <w:sz w:val="22"/>
          <w:szCs w:val="22"/>
        </w:rPr>
        <w:t xml:space="preserve"> liga electr</w:t>
      </w:r>
      <w:r w:rsidR="00B864DD" w:rsidRPr="00CB0D91">
        <w:rPr>
          <w:rFonts w:ascii="Palatino Linotype" w:hAnsi="Palatino Linotype"/>
          <w:color w:val="000000" w:themeColor="text1"/>
          <w:sz w:val="22"/>
          <w:szCs w:val="22"/>
        </w:rPr>
        <w:t>ó</w:t>
      </w:r>
      <w:r w:rsidR="00686B08" w:rsidRPr="00CB0D91">
        <w:rPr>
          <w:rFonts w:ascii="Palatino Linotype" w:hAnsi="Palatino Linotype"/>
          <w:color w:val="000000" w:themeColor="text1"/>
          <w:sz w:val="22"/>
          <w:szCs w:val="22"/>
        </w:rPr>
        <w:t>nica:</w:t>
      </w:r>
      <w:r w:rsidRPr="00CB0D91">
        <w:rPr>
          <w:rFonts w:ascii="Palatino Linotype" w:hAnsi="Palatino Linotype"/>
          <w:color w:val="000000" w:themeColor="text1"/>
          <w:sz w:val="22"/>
          <w:szCs w:val="22"/>
        </w:rPr>
        <w:t xml:space="preserve"> </w:t>
      </w:r>
    </w:p>
    <w:p w14:paraId="2186FFB1" w14:textId="77777777" w:rsidR="00D11F51" w:rsidRPr="00CB0D91" w:rsidRDefault="00D11F51" w:rsidP="00D11F51">
      <w:pPr>
        <w:ind w:right="-28"/>
        <w:rPr>
          <w:rFonts w:ascii="Palatino Linotype" w:hAnsi="Palatino Linotype"/>
          <w:color w:val="000000" w:themeColor="text1"/>
          <w:sz w:val="22"/>
          <w:szCs w:val="22"/>
        </w:rPr>
      </w:pPr>
    </w:p>
    <w:p w14:paraId="2697E4E5" w14:textId="52A9E797" w:rsidR="00D11F51" w:rsidRPr="00CB0D91" w:rsidRDefault="003A3EA9" w:rsidP="00D11F51">
      <w:pPr>
        <w:ind w:right="-28"/>
        <w:jc w:val="center"/>
        <w:rPr>
          <w:rStyle w:val="Hipervnculo"/>
          <w:rFonts w:ascii="Palatino Linotype" w:hAnsi="Palatino Linotype"/>
          <w:color w:val="000000" w:themeColor="text1"/>
          <w:sz w:val="22"/>
          <w:szCs w:val="22"/>
          <w:u w:val="none"/>
        </w:rPr>
      </w:pPr>
      <w:hyperlink r:id="rId8" w:history="1">
        <w:r w:rsidR="00D11F51" w:rsidRPr="00CB0D91">
          <w:rPr>
            <w:rStyle w:val="Hipervnculo"/>
            <w:rFonts w:ascii="Palatino Linotype" w:hAnsi="Palatino Linotype" w:cs="Arial"/>
            <w:sz w:val="22"/>
            <w:szCs w:val="22"/>
            <w:shd w:val="clear" w:color="auto" w:fill="FFFFFF"/>
          </w:rPr>
          <w:t>https://ipomex.org.mx/ipo3/lgt/portal/3.web#</w:t>
        </w:r>
      </w:hyperlink>
    </w:p>
    <w:p w14:paraId="13978189" w14:textId="77777777" w:rsidR="00D11F51" w:rsidRPr="00CB0D91" w:rsidRDefault="00D11F51" w:rsidP="00D11F51">
      <w:pPr>
        <w:ind w:right="539"/>
        <w:jc w:val="both"/>
        <w:rPr>
          <w:rFonts w:ascii="Palatino Linotype" w:hAnsi="Palatino Linotype"/>
          <w:i/>
          <w:iCs/>
          <w:color w:val="000000" w:themeColor="text1"/>
          <w:sz w:val="20"/>
          <w:szCs w:val="20"/>
        </w:rPr>
      </w:pPr>
    </w:p>
    <w:p w14:paraId="61B6C78E" w14:textId="1E8D5F31" w:rsidR="00E93FC1" w:rsidRPr="00CB0D91"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CB0D91">
        <w:rPr>
          <w:rFonts w:ascii="Palatino Linotype" w:hAnsi="Palatino Linotype" w:cs="Arial"/>
          <w:sz w:val="24"/>
          <w:lang w:val="es-ES"/>
        </w:rPr>
        <w:t>E</w:t>
      </w:r>
      <w:r w:rsidR="00D11F51" w:rsidRPr="00CB0D91">
        <w:rPr>
          <w:rFonts w:ascii="Palatino Linotype" w:hAnsi="Palatino Linotype" w:cs="Arial"/>
          <w:sz w:val="24"/>
          <w:lang w:val="es-ES"/>
        </w:rPr>
        <w:t>l treinta y uno</w:t>
      </w:r>
      <w:r w:rsidR="003C3850" w:rsidRPr="00CB0D91">
        <w:rPr>
          <w:rFonts w:ascii="Palatino Linotype" w:hAnsi="Palatino Linotype" w:cs="Arial"/>
          <w:sz w:val="24"/>
          <w:lang w:val="es-ES"/>
        </w:rPr>
        <w:t xml:space="preserve"> (</w:t>
      </w:r>
      <w:r w:rsidR="00D11F51" w:rsidRPr="00CB0D91">
        <w:rPr>
          <w:rFonts w:ascii="Palatino Linotype" w:hAnsi="Palatino Linotype" w:cs="Arial"/>
          <w:sz w:val="24"/>
          <w:lang w:val="es-ES"/>
        </w:rPr>
        <w:t>31</w:t>
      </w:r>
      <w:r w:rsidR="003D572E" w:rsidRPr="00CB0D91">
        <w:rPr>
          <w:rFonts w:ascii="Palatino Linotype" w:hAnsi="Palatino Linotype" w:cs="Arial"/>
          <w:sz w:val="24"/>
          <w:lang w:val="es-ES"/>
        </w:rPr>
        <w:t xml:space="preserve">) de </w:t>
      </w:r>
      <w:r w:rsidR="00D11F51" w:rsidRPr="00CB0D91">
        <w:rPr>
          <w:rFonts w:ascii="Palatino Linotype" w:hAnsi="Palatino Linotype" w:cs="Arial"/>
          <w:sz w:val="24"/>
          <w:lang w:val="es-ES"/>
        </w:rPr>
        <w:t xml:space="preserve">julio </w:t>
      </w:r>
      <w:r w:rsidR="003D572E" w:rsidRPr="00CB0D91">
        <w:rPr>
          <w:rFonts w:ascii="Palatino Linotype" w:hAnsi="Palatino Linotype" w:cs="Arial"/>
          <w:sz w:val="24"/>
          <w:lang w:val="es-ES"/>
        </w:rPr>
        <w:t>de dos mil veinti</w:t>
      </w:r>
      <w:r w:rsidR="003C3850" w:rsidRPr="00CB0D91">
        <w:rPr>
          <w:rFonts w:ascii="Palatino Linotype" w:hAnsi="Palatino Linotype" w:cs="Arial"/>
          <w:sz w:val="24"/>
          <w:lang w:val="es-ES"/>
        </w:rPr>
        <w:t>trés</w:t>
      </w:r>
      <w:r w:rsidR="00E93FC1" w:rsidRPr="00CB0D91">
        <w:rPr>
          <w:rFonts w:ascii="Palatino Linotype" w:hAnsi="Palatino Linotype" w:cs="Arial"/>
          <w:b/>
          <w:sz w:val="24"/>
          <w:lang w:val="es-ES"/>
        </w:rPr>
        <w:t>,</w:t>
      </w:r>
      <w:r w:rsidR="00E93FC1" w:rsidRPr="00CB0D91">
        <w:rPr>
          <w:rFonts w:ascii="Palatino Linotype" w:hAnsi="Palatino Linotype" w:cs="Arial"/>
          <w:sz w:val="24"/>
          <w:lang w:val="es-ES"/>
        </w:rPr>
        <w:t xml:space="preserve"> el </w:t>
      </w:r>
      <w:r w:rsidR="003C3850" w:rsidRPr="00CB0D91">
        <w:rPr>
          <w:rFonts w:ascii="Palatino Linotype" w:hAnsi="Palatino Linotype" w:cs="Arial"/>
          <w:b/>
          <w:bCs/>
          <w:sz w:val="24"/>
          <w:lang w:val="es-ES"/>
        </w:rPr>
        <w:t xml:space="preserve">RECURRENTE </w:t>
      </w:r>
      <w:r w:rsidR="00E93FC1" w:rsidRPr="00CB0D91">
        <w:rPr>
          <w:rFonts w:ascii="Palatino Linotype" w:hAnsi="Palatino Linotype" w:cs="Arial"/>
          <w:sz w:val="24"/>
          <w:lang w:val="es-ES"/>
        </w:rPr>
        <w:t xml:space="preserve">interpuso </w:t>
      </w:r>
      <w:r w:rsidR="00686B08" w:rsidRPr="00CB0D91">
        <w:rPr>
          <w:rFonts w:ascii="Palatino Linotype" w:hAnsi="Palatino Linotype" w:cs="Arial"/>
          <w:sz w:val="24"/>
          <w:lang w:val="es-ES"/>
        </w:rPr>
        <w:t xml:space="preserve">el </w:t>
      </w:r>
      <w:r w:rsidR="00E93FC1" w:rsidRPr="00CB0D91">
        <w:rPr>
          <w:rFonts w:ascii="Palatino Linotype" w:hAnsi="Palatino Linotype" w:cs="Arial"/>
          <w:sz w:val="24"/>
          <w:lang w:val="es-ES"/>
        </w:rPr>
        <w:t>recurso de revisión, señalando como:</w:t>
      </w:r>
    </w:p>
    <w:bookmarkEnd w:id="5"/>
    <w:bookmarkEnd w:id="6"/>
    <w:bookmarkEnd w:id="7"/>
    <w:p w14:paraId="14C55AA6" w14:textId="711B7979" w:rsidR="00E93FC1" w:rsidRPr="00CB0D91" w:rsidRDefault="00E93FC1" w:rsidP="00EF4A66">
      <w:pPr>
        <w:ind w:left="567" w:right="539"/>
        <w:jc w:val="both"/>
        <w:rPr>
          <w:rFonts w:ascii="Palatino Linotype" w:hAnsi="Palatino Linotype"/>
          <w:sz w:val="22"/>
          <w:szCs w:val="22"/>
        </w:rPr>
      </w:pPr>
      <w:r w:rsidRPr="00CB0D91">
        <w:rPr>
          <w:rFonts w:ascii="Palatino Linotype" w:eastAsia="Calibri" w:hAnsi="Palatino Linotype" w:cs="Arial"/>
          <w:b/>
          <w:sz w:val="22"/>
          <w:szCs w:val="22"/>
          <w:lang w:val="es-ES"/>
        </w:rPr>
        <w:t>Acto impugnado:</w:t>
      </w:r>
      <w:r w:rsidRPr="00CB0D91">
        <w:rPr>
          <w:rFonts w:ascii="Palatino Linotype" w:eastAsia="Calibri" w:hAnsi="Palatino Linotype" w:cs="Arial"/>
          <w:i/>
          <w:sz w:val="22"/>
          <w:szCs w:val="22"/>
          <w:lang w:val="es-ES"/>
        </w:rPr>
        <w:t xml:space="preserve"> </w:t>
      </w:r>
      <w:r w:rsidRPr="00CB0D91">
        <w:rPr>
          <w:rFonts w:ascii="Palatino Linotype" w:eastAsia="Calibri" w:hAnsi="Palatino Linotype" w:cs="Arial"/>
          <w:i/>
          <w:iCs/>
          <w:sz w:val="22"/>
          <w:szCs w:val="22"/>
          <w:lang w:val="es-ES"/>
        </w:rPr>
        <w:t>“</w:t>
      </w:r>
      <w:r w:rsidR="00D11F51" w:rsidRPr="00CB0D91">
        <w:rPr>
          <w:rFonts w:ascii="Palatino Linotype" w:hAnsi="Palatino Linotype"/>
          <w:i/>
          <w:iCs/>
          <w:color w:val="000000"/>
          <w:sz w:val="22"/>
          <w:szCs w:val="22"/>
        </w:rPr>
        <w:t>NO SE ATIENDEN LAS FORMALIDADES DE TIMEPO Y FORMA</w:t>
      </w:r>
      <w:r w:rsidR="00A95951" w:rsidRPr="00CB0D91">
        <w:rPr>
          <w:rFonts w:ascii="Palatino Linotype" w:hAnsi="Palatino Linotype"/>
          <w:i/>
          <w:iCs/>
          <w:color w:val="000000"/>
          <w:sz w:val="22"/>
          <w:szCs w:val="22"/>
        </w:rPr>
        <w:t>” (Sic)</w:t>
      </w:r>
    </w:p>
    <w:p w14:paraId="6F27AF4B" w14:textId="77777777" w:rsidR="00A95951" w:rsidRPr="00CB0D91" w:rsidRDefault="00A95951" w:rsidP="00EF4A66">
      <w:pPr>
        <w:ind w:left="567" w:right="539"/>
        <w:jc w:val="both"/>
        <w:rPr>
          <w:rFonts w:ascii="Palatino Linotype" w:hAnsi="Palatino Linotype"/>
          <w:sz w:val="22"/>
          <w:szCs w:val="22"/>
        </w:rPr>
      </w:pPr>
    </w:p>
    <w:p w14:paraId="2CA779C5" w14:textId="04B5556D" w:rsidR="005F1134" w:rsidRPr="00CB0D91" w:rsidRDefault="00E93FC1" w:rsidP="00D11F51">
      <w:pPr>
        <w:ind w:left="567" w:right="539"/>
        <w:jc w:val="both"/>
        <w:rPr>
          <w:rFonts w:ascii="Palatino Linotype" w:hAnsi="Palatino Linotype"/>
          <w:sz w:val="22"/>
          <w:szCs w:val="22"/>
        </w:rPr>
      </w:pPr>
      <w:r w:rsidRPr="00CB0D91">
        <w:rPr>
          <w:rFonts w:ascii="Palatino Linotype" w:eastAsia="MS Gothic" w:hAnsi="Palatino Linotype"/>
          <w:b/>
          <w:sz w:val="22"/>
          <w:szCs w:val="22"/>
          <w:lang w:val="es-ES"/>
        </w:rPr>
        <w:t>Razones o Motivos de inconformidad</w:t>
      </w:r>
      <w:r w:rsidRPr="00CB0D91">
        <w:rPr>
          <w:rFonts w:ascii="Palatino Linotype" w:eastAsia="MS Mincho" w:hAnsi="Palatino Linotype"/>
          <w:i/>
          <w:sz w:val="22"/>
          <w:szCs w:val="22"/>
        </w:rPr>
        <w:t xml:space="preserve">: </w:t>
      </w:r>
      <w:r w:rsidR="005F1134" w:rsidRPr="00CB0D91">
        <w:rPr>
          <w:rFonts w:ascii="Palatino Linotype" w:eastAsia="MS Mincho" w:hAnsi="Palatino Linotype"/>
          <w:i/>
          <w:sz w:val="22"/>
          <w:szCs w:val="22"/>
        </w:rPr>
        <w:t>“</w:t>
      </w:r>
      <w:r w:rsidR="00D11F51" w:rsidRPr="00CB0D91">
        <w:rPr>
          <w:rFonts w:ascii="Palatino Linotype" w:hAnsi="Palatino Linotype"/>
          <w:i/>
          <w:color w:val="000000"/>
          <w:sz w:val="22"/>
          <w:szCs w:val="22"/>
        </w:rPr>
        <w:t xml:space="preserve">LA RESPUESTA REALIZADA POR EL AYUNTAMIENTO NO ATIENDE A LAS FORMALIDADES EN TIEMPO Y FORMA, DE ACUERDO AL ARTICULO 161 DE LA LEY ESTATAL DE TRANSPARENCIA. SI BIEN, LOGRÉ INGRESAR AL LINK QUE SE PROPORCIONA, LA LEY CONTEMPLA QUE PARA LA ORIENTACION A SITIOS ELECTRÓNICOS SE ENCUENTRE EN TIEMPO, DEBE REALIZARSE EN UN PLAZO NO MAYOR A CINCO DÍAS HÁBILES DESPUÉS DE LA SOLICITUD, SITUACION QUE NO ACONTECE EN ESTE ASUNTO. EN FORMA PORQUE LA </w:t>
      </w:r>
      <w:r w:rsidR="00D11F51" w:rsidRPr="00CB0D91">
        <w:rPr>
          <w:rFonts w:ascii="Palatino Linotype" w:hAnsi="Palatino Linotype"/>
          <w:i/>
          <w:color w:val="000000"/>
          <w:sz w:val="22"/>
          <w:szCs w:val="22"/>
        </w:rPr>
        <w:lastRenderedPageBreak/>
        <w:t>SOLICITUD QUE SE REALIZA SE SOLICITA EXPRESAMENTE LA INFORMACION EN FORMATO PDF, CUESTIÓN QUE TAMPOCO ACONTECE, POR LO QUE LA MODALIDAD ES DISTINTA A LO SOLICITADO.</w:t>
      </w:r>
      <w:r w:rsidR="0065064E" w:rsidRPr="00CB0D91">
        <w:rPr>
          <w:rFonts w:ascii="Palatino Linotype" w:hAnsi="Palatino Linotype"/>
          <w:i/>
          <w:color w:val="000000"/>
          <w:sz w:val="22"/>
          <w:szCs w:val="22"/>
        </w:rPr>
        <w:t>” (Sic)</w:t>
      </w:r>
    </w:p>
    <w:p w14:paraId="4FC94033" w14:textId="77777777" w:rsidR="00734B74" w:rsidRPr="00CB0D91" w:rsidRDefault="00734B74" w:rsidP="00734B74">
      <w:pPr>
        <w:spacing w:before="240" w:after="240" w:line="360" w:lineRule="auto"/>
        <w:contextualSpacing/>
        <w:jc w:val="both"/>
        <w:rPr>
          <w:rFonts w:ascii="Palatino Linotype" w:eastAsia="MS Mincho" w:hAnsi="Palatino Linotype"/>
          <w:iCs/>
          <w:color w:val="000000"/>
        </w:rPr>
      </w:pPr>
    </w:p>
    <w:p w14:paraId="2C882EF3" w14:textId="4FC34102" w:rsidR="009747C6" w:rsidRPr="00CB0D91"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CB0D91">
        <w:rPr>
          <w:rFonts w:ascii="Palatino Linotype" w:eastAsia="MS Mincho" w:hAnsi="Palatino Linotype"/>
          <w:iCs/>
          <w:color w:val="000000"/>
        </w:rPr>
        <w:t xml:space="preserve">La </w:t>
      </w:r>
      <w:r w:rsidRPr="00CB0D91">
        <w:rPr>
          <w:rFonts w:ascii="Palatino Linotype" w:eastAsia="Calibri" w:hAnsi="Palatino Linotype" w:cs="Arial"/>
          <w:iCs/>
          <w:lang w:val="es-ES"/>
        </w:rPr>
        <w:t>Comisionada</w:t>
      </w:r>
      <w:r w:rsidRPr="00CB0D91">
        <w:rPr>
          <w:rFonts w:ascii="Palatino Linotype" w:eastAsia="Calibri" w:hAnsi="Palatino Linotype" w:cs="Arial"/>
          <w:lang w:val="es-ES"/>
        </w:rPr>
        <w:t xml:space="preserve"> Ponente, con fundamento en lo dispuesto por el artículo 185 fracción II de la ley de la materia, a través de</w:t>
      </w:r>
      <w:r w:rsidR="00686B08" w:rsidRPr="00CB0D91">
        <w:rPr>
          <w:rFonts w:ascii="Palatino Linotype" w:eastAsia="Calibri" w:hAnsi="Palatino Linotype" w:cs="Arial"/>
          <w:lang w:val="es-ES"/>
        </w:rPr>
        <w:t>l</w:t>
      </w:r>
      <w:r w:rsidRPr="00CB0D91">
        <w:rPr>
          <w:rFonts w:ascii="Palatino Linotype" w:eastAsia="Calibri" w:hAnsi="Palatino Linotype" w:cs="Arial"/>
          <w:lang w:val="es-ES"/>
        </w:rPr>
        <w:t xml:space="preserve"> acuerdo</w:t>
      </w:r>
      <w:r w:rsidR="00686B08" w:rsidRPr="00CB0D91">
        <w:rPr>
          <w:rFonts w:ascii="Palatino Linotype" w:eastAsia="Calibri" w:hAnsi="Palatino Linotype" w:cs="Arial"/>
          <w:lang w:val="es-ES"/>
        </w:rPr>
        <w:t xml:space="preserve"> </w:t>
      </w:r>
      <w:r w:rsidRPr="00CB0D91">
        <w:rPr>
          <w:rFonts w:ascii="Palatino Linotype" w:eastAsia="Calibri" w:hAnsi="Palatino Linotype" w:cs="Arial"/>
          <w:lang w:val="es-ES"/>
        </w:rPr>
        <w:t xml:space="preserve">de admisión del </w:t>
      </w:r>
      <w:r w:rsidR="00D11F51" w:rsidRPr="00CB0D91">
        <w:rPr>
          <w:rFonts w:ascii="Palatino Linotype" w:eastAsia="Calibri" w:hAnsi="Palatino Linotype" w:cs="Arial"/>
          <w:lang w:val="es-ES"/>
        </w:rPr>
        <w:t>treinta y uno</w:t>
      </w:r>
      <w:r w:rsidR="00686B08" w:rsidRPr="00CB0D91">
        <w:rPr>
          <w:rFonts w:ascii="Palatino Linotype" w:eastAsia="Calibri" w:hAnsi="Palatino Linotype" w:cs="Arial"/>
          <w:lang w:val="es-ES"/>
        </w:rPr>
        <w:t xml:space="preserve"> </w:t>
      </w:r>
      <w:r w:rsidR="000E3DDC" w:rsidRPr="00CB0D91">
        <w:rPr>
          <w:rFonts w:ascii="Palatino Linotype" w:eastAsia="Calibri" w:hAnsi="Palatino Linotype" w:cs="Arial"/>
          <w:lang w:val="es-ES"/>
        </w:rPr>
        <w:t>(</w:t>
      </w:r>
      <w:r w:rsidR="00D11F51" w:rsidRPr="00CB0D91">
        <w:rPr>
          <w:rFonts w:ascii="Palatino Linotype" w:eastAsia="Calibri" w:hAnsi="Palatino Linotype" w:cs="Arial"/>
          <w:lang w:val="es-ES"/>
        </w:rPr>
        <w:t>31</w:t>
      </w:r>
      <w:r w:rsidR="000E3DDC" w:rsidRPr="00CB0D91">
        <w:rPr>
          <w:rFonts w:ascii="Palatino Linotype" w:eastAsia="Calibri" w:hAnsi="Palatino Linotype" w:cs="Arial"/>
          <w:lang w:val="es-ES"/>
        </w:rPr>
        <w:t>)</w:t>
      </w:r>
      <w:r w:rsidR="00686B08" w:rsidRPr="00CB0D91">
        <w:rPr>
          <w:rFonts w:ascii="Palatino Linotype" w:eastAsia="Calibri" w:hAnsi="Palatino Linotype" w:cs="Arial"/>
          <w:lang w:val="es-ES"/>
        </w:rPr>
        <w:t xml:space="preserve"> </w:t>
      </w:r>
      <w:r w:rsidRPr="00CB0D91">
        <w:rPr>
          <w:rFonts w:ascii="Palatino Linotype" w:eastAsia="Calibri" w:hAnsi="Palatino Linotype" w:cs="Arial"/>
          <w:lang w:val="es-ES"/>
        </w:rPr>
        <w:t xml:space="preserve">de </w:t>
      </w:r>
      <w:r w:rsidR="00D11F51" w:rsidRPr="00CB0D91">
        <w:rPr>
          <w:rFonts w:ascii="Palatino Linotype" w:eastAsia="Calibri" w:hAnsi="Palatino Linotype" w:cs="Arial"/>
          <w:lang w:val="es-ES"/>
        </w:rPr>
        <w:t>julio</w:t>
      </w:r>
      <w:r w:rsidRPr="00CB0D91">
        <w:rPr>
          <w:rFonts w:ascii="Palatino Linotype" w:eastAsia="Calibri" w:hAnsi="Palatino Linotype" w:cs="Arial"/>
          <w:lang w:val="es-ES"/>
        </w:rPr>
        <w:t xml:space="preserve"> de dos mil veinti</w:t>
      </w:r>
      <w:r w:rsidR="003C3850" w:rsidRPr="00CB0D91">
        <w:rPr>
          <w:rFonts w:ascii="Palatino Linotype" w:eastAsia="Calibri" w:hAnsi="Palatino Linotype" w:cs="Arial"/>
          <w:lang w:val="es-ES"/>
        </w:rPr>
        <w:t>trés</w:t>
      </w:r>
      <w:r w:rsidRPr="00CB0D91">
        <w:rPr>
          <w:rFonts w:ascii="Palatino Linotype" w:eastAsia="Calibri" w:hAnsi="Palatino Linotype" w:cs="Arial"/>
          <w:lang w:val="es-ES"/>
        </w:rPr>
        <w:t xml:space="preserve">, puso a disposición de las partes </w:t>
      </w:r>
      <w:r w:rsidR="00686B08" w:rsidRPr="00CB0D91">
        <w:rPr>
          <w:rFonts w:ascii="Palatino Linotype" w:eastAsia="Calibri" w:hAnsi="Palatino Linotype" w:cs="Arial"/>
          <w:lang w:val="es-ES"/>
        </w:rPr>
        <w:t xml:space="preserve">el </w:t>
      </w:r>
      <w:r w:rsidRPr="00CB0D91">
        <w:rPr>
          <w:rFonts w:ascii="Palatino Linotype" w:eastAsia="Calibri" w:hAnsi="Palatino Linotype" w:cs="Arial"/>
          <w:lang w:val="es-ES"/>
        </w:rPr>
        <w:t xml:space="preserve"> expediente</w:t>
      </w:r>
      <w:r w:rsidR="00686B08" w:rsidRPr="00CB0D91">
        <w:rPr>
          <w:rFonts w:ascii="Palatino Linotype" w:eastAsia="Calibri" w:hAnsi="Palatino Linotype" w:cs="Arial"/>
          <w:lang w:val="es-ES"/>
        </w:rPr>
        <w:t xml:space="preserve"> </w:t>
      </w:r>
      <w:r w:rsidRPr="00CB0D91">
        <w:rPr>
          <w:rFonts w:ascii="Palatino Linotype" w:eastAsia="Calibri" w:hAnsi="Palatino Linotype" w:cs="Arial"/>
          <w:lang w:val="es-ES"/>
        </w:rPr>
        <w:t xml:space="preserve">electrónicos </w:t>
      </w:r>
      <w:r w:rsidRPr="00CB0D91">
        <w:rPr>
          <w:rFonts w:ascii="Palatino Linotype" w:eastAsia="Calibri" w:hAnsi="Palatino Linotype" w:cs="Arial"/>
        </w:rPr>
        <w:t xml:space="preserve">vía </w:t>
      </w:r>
      <w:r w:rsidRPr="00CB0D91">
        <w:rPr>
          <w:rFonts w:ascii="Palatino Linotype" w:eastAsia="Calibri" w:hAnsi="Palatino Linotype" w:cs="Arial"/>
          <w:lang w:val="es-ES"/>
        </w:rPr>
        <w:t xml:space="preserve">Sistema de Acceso a la Información Mexiquense </w:t>
      </w:r>
      <w:r w:rsidRPr="00CB0D91">
        <w:rPr>
          <w:rFonts w:ascii="Palatino Linotype" w:eastAsia="Calibri" w:hAnsi="Palatino Linotype" w:cs="Arial"/>
          <w:b/>
          <w:lang w:val="es-ES"/>
        </w:rPr>
        <w:t xml:space="preserve">SAIMEX </w:t>
      </w:r>
      <w:r w:rsidRPr="00CB0D91">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CB0D91">
        <w:rPr>
          <w:rFonts w:ascii="Palatino Linotype" w:eastAsia="Calibri" w:hAnsi="Palatino Linotype" w:cs="Arial"/>
          <w:b/>
          <w:lang w:val="es-ES"/>
        </w:rPr>
        <w:t>SUJETO OBLIGADO</w:t>
      </w:r>
      <w:r w:rsidRPr="00CB0D91">
        <w:rPr>
          <w:rFonts w:ascii="Palatino Linotype" w:eastAsia="Calibri" w:hAnsi="Palatino Linotype" w:cs="Arial"/>
          <w:lang w:val="es-ES"/>
        </w:rPr>
        <w:t xml:space="preserve"> presentara </w:t>
      </w:r>
      <w:r w:rsidR="00686B08" w:rsidRPr="00CB0D91">
        <w:rPr>
          <w:rFonts w:ascii="Palatino Linotype" w:eastAsia="Calibri" w:hAnsi="Palatino Linotype" w:cs="Arial"/>
          <w:lang w:val="es-ES"/>
        </w:rPr>
        <w:t>el</w:t>
      </w:r>
      <w:r w:rsidRPr="00CB0D91">
        <w:rPr>
          <w:rFonts w:ascii="Palatino Linotype" w:eastAsia="Calibri" w:hAnsi="Palatino Linotype" w:cs="Arial"/>
          <w:lang w:val="es-ES"/>
        </w:rPr>
        <w:t xml:space="preserve"> Informe Justificado</w:t>
      </w:r>
      <w:r w:rsidR="00686B08" w:rsidRPr="00CB0D91">
        <w:rPr>
          <w:rFonts w:ascii="Palatino Linotype" w:eastAsia="Calibri" w:hAnsi="Palatino Linotype" w:cs="Arial"/>
          <w:lang w:val="es-ES"/>
        </w:rPr>
        <w:t xml:space="preserve"> </w:t>
      </w:r>
      <w:r w:rsidRPr="00CB0D91">
        <w:rPr>
          <w:rFonts w:ascii="Palatino Linotype" w:eastAsia="Calibri" w:hAnsi="Palatino Linotype" w:cs="Arial"/>
          <w:lang w:val="es-ES"/>
        </w:rPr>
        <w:t>procedente</w:t>
      </w:r>
      <w:r w:rsidR="00686B08" w:rsidRPr="00CB0D91">
        <w:rPr>
          <w:rFonts w:ascii="Palatino Linotype" w:eastAsia="Calibri" w:hAnsi="Palatino Linotype" w:cs="Arial"/>
          <w:lang w:val="es-ES"/>
        </w:rPr>
        <w:t>.</w:t>
      </w:r>
    </w:p>
    <w:p w14:paraId="29D611BB" w14:textId="77777777" w:rsidR="001532BF" w:rsidRPr="00CB0D91" w:rsidRDefault="001532BF" w:rsidP="001532BF">
      <w:pPr>
        <w:spacing w:before="240" w:after="240" w:line="360" w:lineRule="auto"/>
        <w:contextualSpacing/>
        <w:jc w:val="both"/>
        <w:rPr>
          <w:rFonts w:ascii="Palatino Linotype" w:eastAsia="MS Mincho" w:hAnsi="Palatino Linotype"/>
          <w:i/>
          <w:color w:val="000000"/>
        </w:rPr>
      </w:pPr>
    </w:p>
    <w:p w14:paraId="3953448A" w14:textId="6D5B2D80" w:rsidR="000F14F6" w:rsidRPr="00CB0D91" w:rsidRDefault="001532BF" w:rsidP="00D11F51">
      <w:pPr>
        <w:numPr>
          <w:ilvl w:val="0"/>
          <w:numId w:val="1"/>
        </w:numPr>
        <w:spacing w:before="240" w:after="240" w:line="360" w:lineRule="auto"/>
        <w:ind w:left="0" w:firstLine="0"/>
        <w:contextualSpacing/>
        <w:jc w:val="both"/>
        <w:rPr>
          <w:rFonts w:ascii="Palatino Linotype" w:eastAsiaTheme="minorEastAsia" w:hAnsi="Palatino Linotype"/>
          <w:iCs/>
          <w:lang w:eastAsia="es-ES"/>
        </w:rPr>
      </w:pPr>
      <w:r w:rsidRPr="00CB0D91">
        <w:rPr>
          <w:rFonts w:ascii="Palatino Linotype" w:eastAsia="MS Mincho" w:hAnsi="Palatino Linotype"/>
          <w:iCs/>
          <w:color w:val="000000"/>
        </w:rPr>
        <w:t>El</w:t>
      </w:r>
      <w:r w:rsidR="000E3DDC" w:rsidRPr="00CB0D91">
        <w:rPr>
          <w:rFonts w:ascii="Palatino Linotype" w:eastAsia="MS Mincho" w:hAnsi="Palatino Linotype"/>
          <w:iCs/>
          <w:color w:val="000000"/>
        </w:rPr>
        <w:t xml:space="preserve"> </w:t>
      </w:r>
      <w:r w:rsidRPr="00CB0D91">
        <w:rPr>
          <w:rFonts w:ascii="Palatino Linotype" w:eastAsiaTheme="minorEastAsia" w:hAnsi="Palatino Linotype"/>
          <w:b/>
          <w:bCs/>
          <w:iCs/>
          <w:lang w:val="es-ES_tradnl" w:eastAsia="es-ES"/>
        </w:rPr>
        <w:t>SUJETO OBLIGADO</w:t>
      </w:r>
      <w:r w:rsidRPr="00CB0D91">
        <w:rPr>
          <w:rFonts w:ascii="Palatino Linotype" w:eastAsiaTheme="minorEastAsia" w:hAnsi="Palatino Linotype"/>
          <w:iCs/>
          <w:lang w:val="es-ES_tradnl" w:eastAsia="es-ES"/>
        </w:rPr>
        <w:t xml:space="preserve"> </w:t>
      </w:r>
      <w:r w:rsidR="00D11F51" w:rsidRPr="00CB0D91">
        <w:rPr>
          <w:rFonts w:ascii="Palatino Linotype" w:eastAsiaTheme="minorEastAsia" w:hAnsi="Palatino Linotype"/>
          <w:iCs/>
          <w:lang w:val="es-ES_tradnl" w:eastAsia="es-ES"/>
        </w:rPr>
        <w:t xml:space="preserve">no </w:t>
      </w:r>
      <w:r w:rsidRPr="00CB0D91">
        <w:rPr>
          <w:rFonts w:ascii="Palatino Linotype" w:eastAsiaTheme="minorEastAsia" w:hAnsi="Palatino Linotype"/>
          <w:iCs/>
          <w:lang w:val="es-ES_tradnl" w:eastAsia="es-ES"/>
        </w:rPr>
        <w:t xml:space="preserve">rindió </w:t>
      </w:r>
      <w:r w:rsidR="00C82FE5" w:rsidRPr="00CB0D91">
        <w:rPr>
          <w:rFonts w:ascii="Palatino Linotype" w:eastAsiaTheme="minorEastAsia" w:hAnsi="Palatino Linotype"/>
          <w:iCs/>
          <w:lang w:val="es-ES_tradnl" w:eastAsia="es-ES"/>
        </w:rPr>
        <w:t>el</w:t>
      </w:r>
      <w:r w:rsidR="00D92924" w:rsidRPr="00CB0D91">
        <w:rPr>
          <w:rFonts w:ascii="Palatino Linotype" w:eastAsiaTheme="minorEastAsia" w:hAnsi="Palatino Linotype"/>
          <w:iCs/>
          <w:lang w:val="es-ES_tradnl" w:eastAsia="es-ES"/>
        </w:rPr>
        <w:t xml:space="preserve"> </w:t>
      </w:r>
      <w:r w:rsidRPr="00CB0D91">
        <w:rPr>
          <w:rFonts w:ascii="Palatino Linotype" w:eastAsiaTheme="minorEastAsia" w:hAnsi="Palatino Linotype"/>
          <w:iCs/>
          <w:lang w:val="es-ES_tradnl" w:eastAsia="es-ES"/>
        </w:rPr>
        <w:t>informe justificado</w:t>
      </w:r>
      <w:r w:rsidR="00C82FE5" w:rsidRPr="00CB0D91">
        <w:rPr>
          <w:rFonts w:ascii="Palatino Linotype" w:eastAsiaTheme="minorEastAsia" w:hAnsi="Palatino Linotype"/>
          <w:iCs/>
          <w:lang w:val="es-ES_tradnl" w:eastAsia="es-ES"/>
        </w:rPr>
        <w:t xml:space="preserve"> </w:t>
      </w:r>
      <w:r w:rsidR="00D92924" w:rsidRPr="00CB0D91">
        <w:rPr>
          <w:rFonts w:ascii="Palatino Linotype" w:eastAsiaTheme="minorEastAsia" w:hAnsi="Palatino Linotype"/>
          <w:iCs/>
          <w:lang w:val="es-ES_tradnl" w:eastAsia="es-ES"/>
        </w:rPr>
        <w:t>correspondiente</w:t>
      </w:r>
      <w:r w:rsidR="00C82FE5" w:rsidRPr="00CB0D91">
        <w:rPr>
          <w:rFonts w:ascii="Palatino Linotype" w:eastAsiaTheme="minorEastAsia" w:hAnsi="Palatino Linotype"/>
          <w:iCs/>
          <w:lang w:val="es-ES_tradnl" w:eastAsia="es-ES"/>
        </w:rPr>
        <w:t xml:space="preserve"> </w:t>
      </w:r>
      <w:r w:rsidRPr="00CB0D91">
        <w:rPr>
          <w:rFonts w:ascii="Palatino Linotype" w:eastAsiaTheme="minorEastAsia" w:hAnsi="Palatino Linotype"/>
          <w:iCs/>
          <w:lang w:val="es-ES_tradnl" w:eastAsia="es-ES"/>
        </w:rPr>
        <w:t>para manifestar lo que a su derecho conviniera</w:t>
      </w:r>
      <w:r w:rsidR="00D11F51" w:rsidRPr="00CB0D91">
        <w:rPr>
          <w:rFonts w:ascii="Palatino Linotype" w:eastAsiaTheme="minorEastAsia" w:hAnsi="Palatino Linotype"/>
          <w:iCs/>
          <w:lang w:val="es-ES_tradnl" w:eastAsia="es-ES"/>
        </w:rPr>
        <w:t>; p</w:t>
      </w:r>
      <w:r w:rsidRPr="00CB0D91">
        <w:rPr>
          <w:rFonts w:ascii="Palatino Linotype" w:eastAsiaTheme="minorEastAsia" w:hAnsi="Palatino Linotype"/>
          <w:iCs/>
          <w:lang w:val="es-ES_tradnl" w:eastAsia="es-ES"/>
        </w:rPr>
        <w:t>or su parte</w:t>
      </w:r>
      <w:r w:rsidR="00D11F51" w:rsidRPr="00CB0D91">
        <w:rPr>
          <w:rFonts w:ascii="Palatino Linotype" w:eastAsiaTheme="minorEastAsia" w:hAnsi="Palatino Linotype"/>
          <w:iCs/>
          <w:lang w:val="es-ES_tradnl" w:eastAsia="es-ES"/>
        </w:rPr>
        <w:t>,</w:t>
      </w:r>
      <w:r w:rsidRPr="00CB0D91">
        <w:rPr>
          <w:rFonts w:ascii="Palatino Linotype" w:eastAsiaTheme="minorEastAsia" w:hAnsi="Palatino Linotype"/>
          <w:iCs/>
          <w:lang w:val="es-ES_tradnl" w:eastAsia="es-ES"/>
        </w:rPr>
        <w:t xml:space="preserve"> </w:t>
      </w:r>
      <w:r w:rsidR="00D11F51" w:rsidRPr="00CB0D91">
        <w:rPr>
          <w:rFonts w:ascii="Palatino Linotype" w:eastAsiaTheme="minorEastAsia" w:hAnsi="Palatino Linotype"/>
          <w:iCs/>
          <w:lang w:val="es-ES_tradnl" w:eastAsia="es-ES"/>
        </w:rPr>
        <w:t>el</w:t>
      </w:r>
      <w:r w:rsidRPr="00CB0D91">
        <w:rPr>
          <w:rFonts w:ascii="Palatino Linotype" w:eastAsiaTheme="minorEastAsia" w:hAnsi="Palatino Linotype"/>
          <w:iCs/>
          <w:lang w:val="es-ES_tradnl" w:eastAsia="es-ES"/>
        </w:rPr>
        <w:t xml:space="preserve"> </w:t>
      </w:r>
      <w:r w:rsidRPr="00CB0D91">
        <w:rPr>
          <w:rFonts w:ascii="Palatino Linotype" w:eastAsiaTheme="minorEastAsia" w:hAnsi="Palatino Linotype"/>
          <w:b/>
          <w:iCs/>
          <w:lang w:val="es-ES_tradnl" w:eastAsia="es-ES"/>
        </w:rPr>
        <w:t xml:space="preserve">RECURRENTE </w:t>
      </w:r>
      <w:r w:rsidRPr="00CB0D91">
        <w:rPr>
          <w:rFonts w:ascii="Palatino Linotype" w:eastAsiaTheme="minorEastAsia" w:hAnsi="Palatino Linotype"/>
          <w:iCs/>
          <w:lang w:val="es-ES_tradnl" w:eastAsia="es-ES"/>
        </w:rPr>
        <w:t>no presentó alegatos ni ofreció medios de prueba</w:t>
      </w:r>
      <w:r w:rsidRPr="00CB0D91">
        <w:rPr>
          <w:rFonts w:ascii="Palatino Linotype" w:eastAsiaTheme="minorEastAsia" w:hAnsi="Palatino Linotype"/>
          <w:lang w:val="es-ES_tradnl" w:eastAsia="es-ES"/>
        </w:rPr>
        <w:t xml:space="preserve">, según constancias del Sistema de Acceso a la Información Mexiquense </w:t>
      </w:r>
      <w:r w:rsidRPr="00CB0D91">
        <w:rPr>
          <w:rFonts w:ascii="Palatino Linotype" w:eastAsiaTheme="minorEastAsia" w:hAnsi="Palatino Linotype"/>
          <w:b/>
          <w:lang w:val="es-ES_tradnl" w:eastAsia="es-ES"/>
        </w:rPr>
        <w:t>SAIMEX.</w:t>
      </w:r>
    </w:p>
    <w:p w14:paraId="5DED69BB" w14:textId="77777777" w:rsidR="00D11F51" w:rsidRPr="00CB0D91" w:rsidRDefault="00D11F51" w:rsidP="00D11F51">
      <w:pPr>
        <w:spacing w:before="240" w:after="240" w:line="360" w:lineRule="auto"/>
        <w:contextualSpacing/>
        <w:jc w:val="both"/>
        <w:rPr>
          <w:rFonts w:ascii="Palatino Linotype" w:eastAsiaTheme="minorEastAsia" w:hAnsi="Palatino Linotype"/>
          <w:iCs/>
          <w:lang w:eastAsia="es-ES"/>
        </w:rPr>
      </w:pPr>
    </w:p>
    <w:p w14:paraId="4A792D96" w14:textId="67CD68CE" w:rsidR="000F14F6" w:rsidRPr="00CB0D91" w:rsidRDefault="00D11F51" w:rsidP="000F14F6">
      <w:pPr>
        <w:rPr>
          <w:rFonts w:ascii="Palatino Linotype" w:eastAsia="MS Mincho" w:hAnsi="Palatino Linotype"/>
          <w:b/>
        </w:rPr>
      </w:pPr>
      <w:r w:rsidRPr="00CB0D91">
        <w:rPr>
          <w:rFonts w:ascii="Palatino Linotype" w:eastAsia="MS Mincho" w:hAnsi="Palatino Linotype"/>
          <w:b/>
          <w:noProof/>
        </w:rPr>
        <w:drawing>
          <wp:inline distT="0" distB="0" distL="0" distR="0" wp14:anchorId="354CEED6" wp14:editId="75A7E737">
            <wp:extent cx="5742940" cy="1349375"/>
            <wp:effectExtent l="12700" t="12700" r="1016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1349375"/>
                    </a:xfrm>
                    <a:prstGeom prst="rect">
                      <a:avLst/>
                    </a:prstGeom>
                    <a:ln>
                      <a:solidFill>
                        <a:schemeClr val="tx1"/>
                      </a:solidFill>
                    </a:ln>
                  </pic:spPr>
                </pic:pic>
              </a:graphicData>
            </a:graphic>
          </wp:inline>
        </w:drawing>
      </w:r>
    </w:p>
    <w:p w14:paraId="06CBFC02" w14:textId="77777777" w:rsidR="003C3850" w:rsidRPr="00CB0D91" w:rsidRDefault="003C3850" w:rsidP="000F14F6">
      <w:pPr>
        <w:spacing w:before="240" w:after="240" w:line="360" w:lineRule="auto"/>
        <w:contextualSpacing/>
        <w:jc w:val="both"/>
        <w:rPr>
          <w:rFonts w:ascii="Palatino Linotype" w:eastAsia="MS Mincho" w:hAnsi="Palatino Linotype"/>
          <w:b/>
        </w:rPr>
      </w:pPr>
    </w:p>
    <w:p w14:paraId="260CBF29" w14:textId="4137AC2C" w:rsidR="002442EA" w:rsidRPr="00CB0D91" w:rsidRDefault="00E93FC1" w:rsidP="002442EA">
      <w:pPr>
        <w:numPr>
          <w:ilvl w:val="0"/>
          <w:numId w:val="1"/>
        </w:numPr>
        <w:spacing w:before="240" w:after="240" w:line="360" w:lineRule="auto"/>
        <w:ind w:left="0" w:firstLine="0"/>
        <w:contextualSpacing/>
        <w:jc w:val="both"/>
        <w:rPr>
          <w:rFonts w:ascii="Palatino Linotype" w:eastAsia="MS Mincho" w:hAnsi="Palatino Linotype"/>
          <w:b/>
        </w:rPr>
      </w:pPr>
      <w:r w:rsidRPr="00CB0D91">
        <w:rPr>
          <w:rFonts w:ascii="Palatino Linotype" w:eastAsia="MS Mincho" w:hAnsi="Palatino Linotype"/>
        </w:rPr>
        <w:t>La Comisionada Ponente decretó e</w:t>
      </w:r>
      <w:r w:rsidR="007B0BCA" w:rsidRPr="00CB0D91">
        <w:rPr>
          <w:rFonts w:ascii="Palatino Linotype" w:eastAsia="MS Mincho" w:hAnsi="Palatino Linotype"/>
        </w:rPr>
        <w:t xml:space="preserve">l </w:t>
      </w:r>
      <w:r w:rsidRPr="00CB0D91">
        <w:rPr>
          <w:rFonts w:ascii="Palatino Linotype" w:eastAsia="MS Mincho" w:hAnsi="Palatino Linotype"/>
        </w:rPr>
        <w:t>cierre de instrucción</w:t>
      </w:r>
      <w:r w:rsidRPr="00CB0D91">
        <w:rPr>
          <w:rFonts w:ascii="Palatino Linotype" w:eastAsia="MS Mincho" w:hAnsi="Palatino Linotype" w:cs="Arial"/>
        </w:rPr>
        <w:t xml:space="preserve"> </w:t>
      </w:r>
      <w:r w:rsidRPr="00CB0D91">
        <w:rPr>
          <w:rFonts w:ascii="Palatino Linotype" w:eastAsia="MS Mincho" w:hAnsi="Palatino Linotype"/>
        </w:rPr>
        <w:t xml:space="preserve">mediante acuerdo del </w:t>
      </w:r>
      <w:r w:rsidR="003C3850" w:rsidRPr="00CB0D91">
        <w:rPr>
          <w:rFonts w:ascii="Palatino Linotype" w:eastAsia="MS Mincho" w:hAnsi="Palatino Linotype"/>
        </w:rPr>
        <w:t>veinti</w:t>
      </w:r>
      <w:r w:rsidR="00FA2E49" w:rsidRPr="00CB0D91">
        <w:rPr>
          <w:rFonts w:ascii="Palatino Linotype" w:eastAsia="MS Mincho" w:hAnsi="Palatino Linotype"/>
        </w:rPr>
        <w:t>cuatro</w:t>
      </w:r>
      <w:r w:rsidR="00C82FE5" w:rsidRPr="00CB0D91">
        <w:rPr>
          <w:rFonts w:ascii="Palatino Linotype" w:eastAsia="MS Mincho" w:hAnsi="Palatino Linotype"/>
        </w:rPr>
        <w:t xml:space="preserve"> (</w:t>
      </w:r>
      <w:r w:rsidR="003C3850" w:rsidRPr="00CB0D91">
        <w:rPr>
          <w:rFonts w:ascii="Palatino Linotype" w:eastAsia="MS Mincho" w:hAnsi="Palatino Linotype"/>
        </w:rPr>
        <w:t>2</w:t>
      </w:r>
      <w:r w:rsidR="00FA2E49" w:rsidRPr="00CB0D91">
        <w:rPr>
          <w:rFonts w:ascii="Palatino Linotype" w:eastAsia="MS Mincho" w:hAnsi="Palatino Linotype"/>
        </w:rPr>
        <w:t>4</w:t>
      </w:r>
      <w:r w:rsidR="00C82FE5" w:rsidRPr="00CB0D91">
        <w:rPr>
          <w:rFonts w:ascii="Palatino Linotype" w:eastAsia="MS Mincho" w:hAnsi="Palatino Linotype"/>
        </w:rPr>
        <w:t>)</w:t>
      </w:r>
      <w:r w:rsidR="00D92924" w:rsidRPr="00CB0D91">
        <w:rPr>
          <w:rFonts w:ascii="Palatino Linotype" w:eastAsia="MS Mincho" w:hAnsi="Palatino Linotype"/>
        </w:rPr>
        <w:t xml:space="preserve"> de </w:t>
      </w:r>
      <w:r w:rsidR="00D11F51" w:rsidRPr="00CB0D91">
        <w:rPr>
          <w:rFonts w:ascii="Palatino Linotype" w:eastAsia="MS Mincho" w:hAnsi="Palatino Linotype"/>
        </w:rPr>
        <w:t>agosto</w:t>
      </w:r>
      <w:r w:rsidR="00983EB5" w:rsidRPr="00CB0D91">
        <w:rPr>
          <w:rFonts w:ascii="Palatino Linotype" w:eastAsia="MS Mincho" w:hAnsi="Palatino Linotype"/>
        </w:rPr>
        <w:t xml:space="preserve"> </w:t>
      </w:r>
      <w:r w:rsidR="00C82FE5" w:rsidRPr="00CB0D91">
        <w:rPr>
          <w:rFonts w:ascii="Palatino Linotype" w:eastAsia="MS Mincho" w:hAnsi="Palatino Linotype"/>
        </w:rPr>
        <w:t xml:space="preserve">de </w:t>
      </w:r>
      <w:r w:rsidR="002442EA" w:rsidRPr="00CB0D91">
        <w:rPr>
          <w:rFonts w:ascii="Palatino Linotype" w:eastAsia="MS Mincho" w:hAnsi="Palatino Linotype"/>
        </w:rPr>
        <w:t>dos mil veinti</w:t>
      </w:r>
      <w:r w:rsidR="00C82FE5" w:rsidRPr="00CB0D91">
        <w:rPr>
          <w:rFonts w:ascii="Palatino Linotype" w:eastAsia="MS Mincho" w:hAnsi="Palatino Linotype"/>
        </w:rPr>
        <w:t>trés</w:t>
      </w:r>
      <w:r w:rsidRPr="00CB0D91">
        <w:rPr>
          <w:rFonts w:ascii="Palatino Linotype" w:eastAsia="MS Mincho" w:hAnsi="Palatino Linotype"/>
        </w:rPr>
        <w:t>,</w:t>
      </w:r>
      <w:r w:rsidR="007353A8" w:rsidRPr="00CB0D91">
        <w:rPr>
          <w:rFonts w:ascii="Palatino Linotype" w:eastAsia="MS Mincho" w:hAnsi="Palatino Linotype"/>
        </w:rPr>
        <w:t xml:space="preserve"> </w:t>
      </w:r>
      <w:r w:rsidR="00D92924" w:rsidRPr="00CB0D91">
        <w:rPr>
          <w:rFonts w:ascii="Palatino Linotype" w:eastAsia="MS Mincho" w:hAnsi="Palatino Linotype"/>
        </w:rPr>
        <w:t xml:space="preserve">por lo que, ordenó turnar el </w:t>
      </w:r>
      <w:r w:rsidRPr="00CB0D91">
        <w:rPr>
          <w:rFonts w:ascii="Palatino Linotype" w:eastAsia="MS Mincho" w:hAnsi="Palatino Linotype" w:cs="Arial"/>
        </w:rPr>
        <w:t>expediente a resolución, misma que a continuación se pronuncia.</w:t>
      </w:r>
    </w:p>
    <w:p w14:paraId="520E4110" w14:textId="77777777" w:rsidR="00E93FC1" w:rsidRPr="00CB0D91"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CB0D91">
        <w:rPr>
          <w:rFonts w:ascii="Palatino Linotype" w:eastAsia="MS Gothic" w:hAnsi="Palatino Linotype"/>
          <w:b/>
          <w:lang w:eastAsia="en-US"/>
        </w:rPr>
        <w:lastRenderedPageBreak/>
        <w:t>CONSIDERANDO</w:t>
      </w:r>
      <w:bookmarkEnd w:id="8"/>
      <w:bookmarkEnd w:id="9"/>
      <w:bookmarkEnd w:id="10"/>
    </w:p>
    <w:p w14:paraId="07E2F35C" w14:textId="77777777" w:rsidR="00E93FC1" w:rsidRPr="00CB0D91"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CB0D91">
        <w:rPr>
          <w:rFonts w:ascii="Palatino Linotype" w:eastAsia="MS Gothic" w:hAnsi="Palatino Linotype"/>
          <w:b/>
          <w:lang w:eastAsia="en-US"/>
        </w:rPr>
        <w:t>PRIMERO. De la competencia</w:t>
      </w:r>
      <w:bookmarkEnd w:id="11"/>
      <w:bookmarkEnd w:id="12"/>
      <w:r w:rsidRPr="00CB0D91">
        <w:rPr>
          <w:rFonts w:ascii="Palatino Linotype" w:eastAsia="MS Gothic" w:hAnsi="Palatino Linotype"/>
          <w:b/>
          <w:lang w:eastAsia="en-US"/>
        </w:rPr>
        <w:t>.</w:t>
      </w:r>
      <w:bookmarkEnd w:id="13"/>
    </w:p>
    <w:p w14:paraId="70FC630C" w14:textId="7427D3B9" w:rsidR="007B0BCA" w:rsidRPr="00CB0D91"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CB0D91">
        <w:rPr>
          <w:rFonts w:ascii="Palatino Linotype" w:eastAsia="Calibri" w:hAnsi="Palatino Linotype"/>
          <w:lang w:val="es-ES"/>
        </w:rPr>
        <w:t xml:space="preserve">Este </w:t>
      </w:r>
      <w:r w:rsidR="00D11F51" w:rsidRPr="00CB0D91">
        <w:rPr>
          <w:rFonts w:ascii="Palatino Linotype" w:hAnsi="Palatino Linotype" w:cs="Arial"/>
          <w:color w:val="222222"/>
          <w:shd w:val="clear" w:color="auto" w:fill="FFFFFF"/>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B81702" w:rsidRPr="00CB0D91">
        <w:rPr>
          <w:rFonts w:ascii="Palatino Linotype" w:hAnsi="Palatino Linotype"/>
        </w:rPr>
        <w:t>5, párrafos trigésimo segundo y trigésimo tercero, fracciones IV y V,</w:t>
      </w:r>
      <w:r w:rsidR="00D11F51" w:rsidRPr="00CB0D91">
        <w:rPr>
          <w:rFonts w:ascii="Palatino Linotype" w:hAnsi="Palatino Linotype" w:cs="Arial"/>
          <w:color w:val="222222"/>
          <w:shd w:val="clear" w:color="auto" w:fill="FFFFFF"/>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w:t>
      </w:r>
      <w:r w:rsidR="00B81702" w:rsidRPr="00CB0D91">
        <w:rPr>
          <w:rFonts w:ascii="Palatino Linotype" w:hAnsi="Palatino Linotype"/>
        </w:rPr>
        <w:t xml:space="preserve">7, 9 fracciones I y XXIV, y 11 </w:t>
      </w:r>
      <w:r w:rsidR="00D11F51" w:rsidRPr="00CB0D91">
        <w:rPr>
          <w:rFonts w:ascii="Palatino Linotype" w:hAnsi="Palatino Linotype" w:cs="Arial"/>
          <w:color w:val="222222"/>
          <w:shd w:val="clear" w:color="auto" w:fill="FFFFFF"/>
        </w:rPr>
        <w:t>del Reglamento Interior del Instituto de Transparencia, Acceso a la Información Pública y Protección de Datos Personales del Estado de México y Municipios.</w:t>
      </w:r>
    </w:p>
    <w:p w14:paraId="6CCB6BDD" w14:textId="77777777" w:rsidR="00E93FC1" w:rsidRPr="00CB0D91"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CB0D91">
        <w:rPr>
          <w:rFonts w:ascii="Palatino Linotype" w:eastAsia="MS Gothic" w:hAnsi="Palatino Linotype"/>
          <w:b/>
          <w:lang w:eastAsia="en-US"/>
        </w:rPr>
        <w:t>SEGUNDO. De la oportunidad y procedencia.</w:t>
      </w:r>
      <w:bookmarkEnd w:id="14"/>
      <w:bookmarkEnd w:id="15"/>
      <w:bookmarkEnd w:id="16"/>
    </w:p>
    <w:p w14:paraId="62BFF3E2" w14:textId="783D3B68" w:rsidR="00B73C19" w:rsidRPr="00CB0D91" w:rsidRDefault="00E93FC1" w:rsidP="00052206">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CB0D91">
        <w:rPr>
          <w:rFonts w:ascii="Palatino Linotype" w:eastAsia="Calibri" w:hAnsi="Palatino Linotype" w:cs="Arial"/>
          <w:lang w:val="es-ES_tradnl" w:eastAsia="es-ES"/>
        </w:rPr>
        <w:t xml:space="preserve">El medio de impugnación fue presentado a través del </w:t>
      </w:r>
      <w:r w:rsidRPr="00CB0D91">
        <w:rPr>
          <w:rFonts w:ascii="Palatino Linotype" w:eastAsia="Calibri" w:hAnsi="Palatino Linotype" w:cs="Arial"/>
          <w:b/>
          <w:lang w:val="es-ES_tradnl" w:eastAsia="es-ES"/>
        </w:rPr>
        <w:t>SAIMEX,</w:t>
      </w:r>
      <w:r w:rsidRPr="00CB0D91">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CB0D91">
        <w:rPr>
          <w:rFonts w:ascii="Palatino Linotype" w:eastAsia="Calibri" w:hAnsi="Palatino Linotype" w:cs="Arial"/>
          <w:b/>
          <w:lang w:val="es-ES_tradnl" w:eastAsia="es-ES"/>
        </w:rPr>
        <w:t>SUJETO OBLIGADO</w:t>
      </w:r>
      <w:r w:rsidRPr="00CB0D91">
        <w:rPr>
          <w:rFonts w:ascii="Palatino Linotype" w:eastAsia="Calibri" w:hAnsi="Palatino Linotype" w:cs="Arial"/>
          <w:lang w:val="es-ES_tradnl" w:eastAsia="es-ES"/>
        </w:rPr>
        <w:t xml:space="preserve"> entregó respuesta</w:t>
      </w:r>
      <w:r w:rsidR="007B0BCA" w:rsidRPr="00CB0D91">
        <w:rPr>
          <w:rFonts w:ascii="Palatino Linotype" w:eastAsia="Calibri" w:hAnsi="Palatino Linotype" w:cs="Arial"/>
          <w:lang w:val="es-ES_tradnl" w:eastAsia="es-ES"/>
        </w:rPr>
        <w:t>s</w:t>
      </w:r>
      <w:r w:rsidRPr="00CB0D91">
        <w:rPr>
          <w:rFonts w:ascii="Palatino Linotype" w:eastAsia="Calibri" w:hAnsi="Palatino Linotype" w:cs="Arial"/>
          <w:lang w:val="es-ES_tradnl" w:eastAsia="es-ES"/>
        </w:rPr>
        <w:t xml:space="preserve"> el </w:t>
      </w:r>
      <w:r w:rsidR="00D11F51" w:rsidRPr="00CB0D91">
        <w:rPr>
          <w:rFonts w:ascii="Palatino Linotype" w:eastAsia="Calibri" w:hAnsi="Palatino Linotype" w:cs="Arial"/>
          <w:lang w:val="es-ES_tradnl" w:eastAsia="es-ES"/>
        </w:rPr>
        <w:t xml:space="preserve">veintiuno </w:t>
      </w:r>
      <w:r w:rsidR="003D572E" w:rsidRPr="00CB0D91">
        <w:rPr>
          <w:rFonts w:ascii="Palatino Linotype" w:eastAsia="Calibri" w:hAnsi="Palatino Linotype" w:cs="Arial"/>
          <w:lang w:val="es-ES_tradnl" w:eastAsia="es-ES"/>
        </w:rPr>
        <w:t>(</w:t>
      </w:r>
      <w:r w:rsidR="00D11F51" w:rsidRPr="00CB0D91">
        <w:rPr>
          <w:rFonts w:ascii="Palatino Linotype" w:eastAsia="Calibri" w:hAnsi="Palatino Linotype" w:cs="Arial"/>
          <w:lang w:val="es-ES_tradnl" w:eastAsia="es-ES"/>
        </w:rPr>
        <w:t>21</w:t>
      </w:r>
      <w:r w:rsidR="003D572E" w:rsidRPr="00CB0D91">
        <w:rPr>
          <w:rFonts w:ascii="Palatino Linotype" w:eastAsia="Calibri" w:hAnsi="Palatino Linotype" w:cs="Arial"/>
          <w:lang w:val="es-ES_tradnl" w:eastAsia="es-ES"/>
        </w:rPr>
        <w:t xml:space="preserve">) de </w:t>
      </w:r>
      <w:r w:rsidR="00D11F51" w:rsidRPr="00CB0D91">
        <w:rPr>
          <w:rFonts w:ascii="Palatino Linotype" w:eastAsia="Calibri" w:hAnsi="Palatino Linotype" w:cs="Arial"/>
          <w:lang w:val="es-ES_tradnl" w:eastAsia="es-ES"/>
        </w:rPr>
        <w:t>julio</w:t>
      </w:r>
      <w:r w:rsidR="007B0BCA" w:rsidRPr="00CB0D91">
        <w:rPr>
          <w:rFonts w:ascii="Palatino Linotype" w:eastAsia="Calibri" w:hAnsi="Palatino Linotype" w:cs="Arial"/>
          <w:lang w:val="es-ES_tradnl" w:eastAsia="es-ES"/>
        </w:rPr>
        <w:t xml:space="preserve"> </w:t>
      </w:r>
      <w:r w:rsidR="003D572E" w:rsidRPr="00CB0D91">
        <w:rPr>
          <w:rFonts w:ascii="Palatino Linotype" w:eastAsia="Calibri" w:hAnsi="Palatino Linotype" w:cs="Arial"/>
          <w:lang w:val="es-ES_tradnl" w:eastAsia="es-ES"/>
        </w:rPr>
        <w:t>de dos mil veinti</w:t>
      </w:r>
      <w:r w:rsidR="000F14F6" w:rsidRPr="00CB0D91">
        <w:rPr>
          <w:rFonts w:ascii="Palatino Linotype" w:eastAsia="Calibri" w:hAnsi="Palatino Linotype" w:cs="Arial"/>
          <w:lang w:val="es-ES_tradnl" w:eastAsia="es-ES"/>
        </w:rPr>
        <w:t>trés</w:t>
      </w:r>
      <w:r w:rsidRPr="00CB0D91">
        <w:rPr>
          <w:rFonts w:ascii="Palatino Linotype" w:eastAsia="Calibri" w:hAnsi="Palatino Linotype" w:cs="Arial"/>
          <w:lang w:val="es-ES_tradnl" w:eastAsia="es-ES"/>
        </w:rPr>
        <w:t xml:space="preserve">, </w:t>
      </w:r>
      <w:r w:rsidRPr="00CB0D91">
        <w:rPr>
          <w:rFonts w:ascii="Palatino Linotype" w:eastAsiaTheme="minorEastAsia" w:hAnsi="Palatino Linotype" w:cs="Arial"/>
          <w:lang w:val="es-ES_tradnl" w:eastAsia="es-ES"/>
        </w:rPr>
        <w:t>de tal forma que el plazo para interponer el recurso transcurrió del</w:t>
      </w:r>
      <w:r w:rsidR="000F14F6" w:rsidRPr="00CB0D91">
        <w:rPr>
          <w:rFonts w:ascii="Palatino Linotype" w:eastAsiaTheme="minorEastAsia" w:hAnsi="Palatino Linotype" w:cs="Arial"/>
          <w:lang w:val="es-ES_tradnl" w:eastAsia="es-ES"/>
        </w:rPr>
        <w:t xml:space="preserve"> </w:t>
      </w:r>
      <w:r w:rsidR="00D11F51" w:rsidRPr="00CB0D91">
        <w:rPr>
          <w:rFonts w:ascii="Palatino Linotype" w:eastAsiaTheme="minorEastAsia" w:hAnsi="Palatino Linotype" w:cs="Arial"/>
          <w:lang w:val="es-ES_tradnl" w:eastAsia="es-ES"/>
        </w:rPr>
        <w:t>treinta y uno</w:t>
      </w:r>
      <w:r w:rsidR="000F14F6" w:rsidRPr="00CB0D91">
        <w:rPr>
          <w:rFonts w:ascii="Palatino Linotype" w:eastAsiaTheme="minorEastAsia" w:hAnsi="Palatino Linotype" w:cs="Arial"/>
          <w:lang w:val="es-ES_tradnl" w:eastAsia="es-ES"/>
        </w:rPr>
        <w:t xml:space="preserve"> </w:t>
      </w:r>
      <w:r w:rsidR="003D572E" w:rsidRPr="00CB0D91">
        <w:rPr>
          <w:rFonts w:ascii="Palatino Linotype" w:eastAsiaTheme="minorEastAsia" w:hAnsi="Palatino Linotype" w:cs="Arial"/>
          <w:lang w:val="es-ES_tradnl" w:eastAsia="es-ES"/>
        </w:rPr>
        <w:t>(</w:t>
      </w:r>
      <w:r w:rsidR="00D11F51" w:rsidRPr="00CB0D91">
        <w:rPr>
          <w:rFonts w:ascii="Palatino Linotype" w:eastAsiaTheme="minorEastAsia" w:hAnsi="Palatino Linotype" w:cs="Arial"/>
          <w:lang w:val="es-ES_tradnl" w:eastAsia="es-ES"/>
        </w:rPr>
        <w:t>31</w:t>
      </w:r>
      <w:r w:rsidR="003D572E" w:rsidRPr="00CB0D91">
        <w:rPr>
          <w:rFonts w:ascii="Palatino Linotype" w:eastAsiaTheme="minorEastAsia" w:hAnsi="Palatino Linotype" w:cs="Arial"/>
          <w:lang w:val="es-ES_tradnl" w:eastAsia="es-ES"/>
        </w:rPr>
        <w:t>)</w:t>
      </w:r>
      <w:r w:rsidR="00FF5A72" w:rsidRPr="00CB0D91">
        <w:rPr>
          <w:rFonts w:ascii="Palatino Linotype" w:eastAsiaTheme="minorEastAsia" w:hAnsi="Palatino Linotype" w:cs="Arial"/>
          <w:lang w:val="es-ES_tradnl" w:eastAsia="es-ES"/>
        </w:rPr>
        <w:t xml:space="preserve"> </w:t>
      </w:r>
      <w:r w:rsidR="00E618B1" w:rsidRPr="00CB0D91">
        <w:rPr>
          <w:rFonts w:ascii="Palatino Linotype" w:eastAsiaTheme="minorEastAsia" w:hAnsi="Palatino Linotype" w:cs="Arial"/>
          <w:lang w:val="es-ES_tradnl" w:eastAsia="es-ES"/>
        </w:rPr>
        <w:t xml:space="preserve">de </w:t>
      </w:r>
      <w:r w:rsidR="00D11F51" w:rsidRPr="00CB0D91">
        <w:rPr>
          <w:rFonts w:ascii="Palatino Linotype" w:eastAsiaTheme="minorEastAsia" w:hAnsi="Palatino Linotype" w:cs="Arial"/>
          <w:lang w:val="es-ES_tradnl" w:eastAsia="es-ES"/>
        </w:rPr>
        <w:t>julio</w:t>
      </w:r>
      <w:r w:rsidR="00E618B1" w:rsidRPr="00CB0D91">
        <w:rPr>
          <w:rFonts w:ascii="Palatino Linotype" w:eastAsiaTheme="minorEastAsia" w:hAnsi="Palatino Linotype" w:cs="Arial"/>
          <w:lang w:val="es-ES_tradnl" w:eastAsia="es-ES"/>
        </w:rPr>
        <w:t xml:space="preserve"> </w:t>
      </w:r>
      <w:r w:rsidRPr="00CB0D91">
        <w:rPr>
          <w:rFonts w:ascii="Palatino Linotype" w:eastAsiaTheme="minorEastAsia" w:hAnsi="Palatino Linotype" w:cs="Arial"/>
          <w:lang w:val="es-ES_tradnl" w:eastAsia="es-ES"/>
        </w:rPr>
        <w:t xml:space="preserve">al </w:t>
      </w:r>
      <w:r w:rsidR="00D11F51" w:rsidRPr="00CB0D91">
        <w:rPr>
          <w:rFonts w:ascii="Palatino Linotype" w:eastAsiaTheme="minorEastAsia" w:hAnsi="Palatino Linotype" w:cs="Arial"/>
          <w:lang w:val="es-ES_tradnl" w:eastAsia="es-ES"/>
        </w:rPr>
        <w:t>dieciocho</w:t>
      </w:r>
      <w:r w:rsidR="00931640" w:rsidRPr="00CB0D91">
        <w:rPr>
          <w:rFonts w:ascii="Palatino Linotype" w:eastAsiaTheme="minorEastAsia" w:hAnsi="Palatino Linotype" w:cs="Arial"/>
          <w:lang w:val="es-ES_tradnl" w:eastAsia="es-ES"/>
        </w:rPr>
        <w:t xml:space="preserve"> </w:t>
      </w:r>
      <w:r w:rsidR="003D572E" w:rsidRPr="00CB0D91">
        <w:rPr>
          <w:rFonts w:ascii="Palatino Linotype" w:eastAsiaTheme="minorEastAsia" w:hAnsi="Palatino Linotype" w:cs="Arial"/>
          <w:lang w:val="es-ES_tradnl" w:eastAsia="es-ES"/>
        </w:rPr>
        <w:t>(</w:t>
      </w:r>
      <w:r w:rsidR="00D11F51" w:rsidRPr="00CB0D91">
        <w:rPr>
          <w:rFonts w:ascii="Palatino Linotype" w:eastAsiaTheme="minorEastAsia" w:hAnsi="Palatino Linotype" w:cs="Arial"/>
          <w:lang w:val="es-ES_tradnl" w:eastAsia="es-ES"/>
        </w:rPr>
        <w:t>18</w:t>
      </w:r>
      <w:r w:rsidR="003D572E" w:rsidRPr="00CB0D91">
        <w:rPr>
          <w:rFonts w:ascii="Palatino Linotype" w:eastAsiaTheme="minorEastAsia" w:hAnsi="Palatino Linotype" w:cs="Arial"/>
          <w:lang w:val="es-ES_tradnl" w:eastAsia="es-ES"/>
        </w:rPr>
        <w:t xml:space="preserve">) de </w:t>
      </w:r>
      <w:r w:rsidR="00D11F51" w:rsidRPr="00CB0D91">
        <w:rPr>
          <w:rFonts w:ascii="Palatino Linotype" w:eastAsiaTheme="minorEastAsia" w:hAnsi="Palatino Linotype" w:cs="Arial"/>
          <w:lang w:val="es-ES_tradnl" w:eastAsia="es-ES"/>
        </w:rPr>
        <w:t>agosto</w:t>
      </w:r>
      <w:r w:rsidR="00FF5A72" w:rsidRPr="00CB0D91">
        <w:rPr>
          <w:rFonts w:ascii="Palatino Linotype" w:eastAsiaTheme="minorEastAsia" w:hAnsi="Palatino Linotype" w:cs="Arial"/>
          <w:lang w:val="es-ES_tradnl" w:eastAsia="es-ES"/>
        </w:rPr>
        <w:t xml:space="preserve"> </w:t>
      </w:r>
      <w:r w:rsidR="002442EA" w:rsidRPr="00CB0D91">
        <w:rPr>
          <w:rFonts w:ascii="Palatino Linotype" w:eastAsiaTheme="minorEastAsia" w:hAnsi="Palatino Linotype" w:cs="Arial"/>
          <w:lang w:val="es-ES_tradnl" w:eastAsia="es-ES"/>
        </w:rPr>
        <w:t>de dos mil veinti</w:t>
      </w:r>
      <w:r w:rsidR="000F14F6" w:rsidRPr="00CB0D91">
        <w:rPr>
          <w:rFonts w:ascii="Palatino Linotype" w:eastAsiaTheme="minorEastAsia" w:hAnsi="Palatino Linotype" w:cs="Arial"/>
          <w:lang w:val="es-ES_tradnl" w:eastAsia="es-ES"/>
        </w:rPr>
        <w:t>trés</w:t>
      </w:r>
      <w:r w:rsidRPr="00CB0D91">
        <w:rPr>
          <w:rFonts w:ascii="Palatino Linotype" w:eastAsiaTheme="minorEastAsia" w:hAnsi="Palatino Linotype" w:cs="Arial"/>
          <w:lang w:val="es-ES_tradnl" w:eastAsia="es-ES"/>
        </w:rPr>
        <w:t xml:space="preserve">; en consecuencia, si el </w:t>
      </w:r>
      <w:r w:rsidR="00D11F51" w:rsidRPr="00CB0D91">
        <w:rPr>
          <w:rFonts w:ascii="Palatino Linotype" w:eastAsiaTheme="minorEastAsia" w:hAnsi="Palatino Linotype" w:cs="Arial"/>
          <w:b/>
          <w:bCs/>
          <w:lang w:val="es-ES_tradnl" w:eastAsia="es-ES"/>
        </w:rPr>
        <w:t>RECURRENTE</w:t>
      </w:r>
      <w:r w:rsidRPr="00CB0D91">
        <w:rPr>
          <w:rFonts w:ascii="Palatino Linotype" w:eastAsiaTheme="minorEastAsia" w:hAnsi="Palatino Linotype" w:cs="Arial"/>
          <w:lang w:val="es-ES_tradnl" w:eastAsia="es-ES"/>
        </w:rPr>
        <w:t xml:space="preserve"> presentó su inconformidad el </w:t>
      </w:r>
      <w:r w:rsidR="00E618B1" w:rsidRPr="00CB0D91">
        <w:rPr>
          <w:rFonts w:ascii="Palatino Linotype" w:eastAsiaTheme="minorEastAsia" w:hAnsi="Palatino Linotype" w:cs="Arial"/>
          <w:lang w:val="es-ES_tradnl" w:eastAsia="es-ES"/>
        </w:rPr>
        <w:t>v</w:t>
      </w:r>
      <w:r w:rsidR="00931640" w:rsidRPr="00CB0D91">
        <w:rPr>
          <w:rFonts w:ascii="Palatino Linotype" w:eastAsiaTheme="minorEastAsia" w:hAnsi="Palatino Linotype" w:cs="Arial"/>
          <w:lang w:val="es-ES_tradnl" w:eastAsia="es-ES"/>
        </w:rPr>
        <w:t>einti</w:t>
      </w:r>
      <w:r w:rsidR="00D11F51" w:rsidRPr="00CB0D91">
        <w:rPr>
          <w:rFonts w:ascii="Palatino Linotype" w:eastAsiaTheme="minorEastAsia" w:hAnsi="Palatino Linotype" w:cs="Arial"/>
          <w:lang w:val="es-ES_tradnl" w:eastAsia="es-ES"/>
        </w:rPr>
        <w:t>uno</w:t>
      </w:r>
      <w:r w:rsidR="007B0BCA" w:rsidRPr="00CB0D91">
        <w:rPr>
          <w:rFonts w:ascii="Palatino Linotype" w:eastAsiaTheme="minorEastAsia" w:hAnsi="Palatino Linotype" w:cs="Arial"/>
          <w:lang w:val="es-ES_tradnl" w:eastAsia="es-ES"/>
        </w:rPr>
        <w:t xml:space="preserve"> </w:t>
      </w:r>
      <w:r w:rsidR="00412181" w:rsidRPr="00CB0D91">
        <w:rPr>
          <w:rFonts w:ascii="Palatino Linotype" w:eastAsiaTheme="minorEastAsia" w:hAnsi="Palatino Linotype" w:cs="Arial"/>
          <w:lang w:val="es-ES_tradnl" w:eastAsia="es-ES"/>
        </w:rPr>
        <w:t>(</w:t>
      </w:r>
      <w:r w:rsidR="00E618B1" w:rsidRPr="00CB0D91">
        <w:rPr>
          <w:rFonts w:ascii="Palatino Linotype" w:eastAsiaTheme="minorEastAsia" w:hAnsi="Palatino Linotype" w:cs="Arial"/>
          <w:lang w:val="es-ES_tradnl" w:eastAsia="es-ES"/>
        </w:rPr>
        <w:t>2</w:t>
      </w:r>
      <w:r w:rsidR="00D11F51" w:rsidRPr="00CB0D91">
        <w:rPr>
          <w:rFonts w:ascii="Palatino Linotype" w:eastAsiaTheme="minorEastAsia" w:hAnsi="Palatino Linotype" w:cs="Arial"/>
          <w:lang w:val="es-ES_tradnl" w:eastAsia="es-ES"/>
        </w:rPr>
        <w:t>1</w:t>
      </w:r>
      <w:r w:rsidR="00412181" w:rsidRPr="00CB0D91">
        <w:rPr>
          <w:rFonts w:ascii="Palatino Linotype" w:eastAsiaTheme="minorEastAsia" w:hAnsi="Palatino Linotype" w:cs="Arial"/>
          <w:lang w:val="es-ES_tradnl" w:eastAsia="es-ES"/>
        </w:rPr>
        <w:t xml:space="preserve">) </w:t>
      </w:r>
      <w:r w:rsidR="00897584" w:rsidRPr="00CB0D91">
        <w:rPr>
          <w:rFonts w:ascii="Palatino Linotype" w:eastAsiaTheme="minorEastAsia" w:hAnsi="Palatino Linotype" w:cs="Arial"/>
          <w:lang w:val="es-ES_tradnl" w:eastAsia="es-ES"/>
        </w:rPr>
        <w:t>de</w:t>
      </w:r>
      <w:r w:rsidR="00E618B1" w:rsidRPr="00CB0D91">
        <w:rPr>
          <w:rFonts w:ascii="Palatino Linotype" w:eastAsiaTheme="minorEastAsia" w:hAnsi="Palatino Linotype" w:cs="Arial"/>
          <w:lang w:val="es-ES_tradnl" w:eastAsia="es-ES"/>
        </w:rPr>
        <w:t xml:space="preserve"> </w:t>
      </w:r>
      <w:r w:rsidR="00D11F51" w:rsidRPr="00CB0D91">
        <w:rPr>
          <w:rFonts w:ascii="Palatino Linotype" w:eastAsiaTheme="minorEastAsia" w:hAnsi="Palatino Linotype" w:cs="Arial"/>
          <w:lang w:val="es-ES_tradnl" w:eastAsia="es-ES"/>
        </w:rPr>
        <w:t>julio</w:t>
      </w:r>
      <w:r w:rsidR="00897584" w:rsidRPr="00CB0D91">
        <w:rPr>
          <w:rFonts w:ascii="Palatino Linotype" w:eastAsiaTheme="minorEastAsia" w:hAnsi="Palatino Linotype" w:cs="Arial"/>
          <w:lang w:val="es-ES_tradnl" w:eastAsia="es-ES"/>
        </w:rPr>
        <w:t xml:space="preserve"> del </w:t>
      </w:r>
      <w:r w:rsidR="00C82FE5" w:rsidRPr="00CB0D91">
        <w:rPr>
          <w:rFonts w:ascii="Palatino Linotype" w:eastAsiaTheme="minorEastAsia" w:hAnsi="Palatino Linotype" w:cs="Arial"/>
          <w:lang w:val="es-ES_tradnl" w:eastAsia="es-ES"/>
        </w:rPr>
        <w:t>dos mil veinti</w:t>
      </w:r>
      <w:r w:rsidR="00D11F51" w:rsidRPr="00CB0D91">
        <w:rPr>
          <w:rFonts w:ascii="Palatino Linotype" w:eastAsiaTheme="minorEastAsia" w:hAnsi="Palatino Linotype" w:cs="Arial"/>
          <w:lang w:val="es-ES_tradnl" w:eastAsia="es-ES"/>
        </w:rPr>
        <w:t>trés</w:t>
      </w:r>
      <w:r w:rsidRPr="00CB0D91">
        <w:rPr>
          <w:rFonts w:ascii="Palatino Linotype" w:eastAsiaTheme="minorEastAsia" w:hAnsi="Palatino Linotype" w:cs="Arial"/>
          <w:lang w:val="es-ES_tradnl" w:eastAsia="es-ES"/>
        </w:rPr>
        <w:t xml:space="preserve">, se encuentra dentro de </w:t>
      </w:r>
      <w:r w:rsidRPr="00CB0D91">
        <w:rPr>
          <w:rFonts w:ascii="Palatino Linotype" w:eastAsiaTheme="minorEastAsia" w:hAnsi="Palatino Linotype" w:cs="Arial"/>
          <w:lang w:val="es-ES_tradnl" w:eastAsia="es-ES"/>
        </w:rPr>
        <w:lastRenderedPageBreak/>
        <w:t xml:space="preserve">los márgenes temporales previstos en el artículo 178 de la </w:t>
      </w:r>
      <w:r w:rsidRPr="00CB0D91">
        <w:rPr>
          <w:rFonts w:ascii="Palatino Linotype" w:eastAsiaTheme="minorEastAsia" w:hAnsi="Palatino Linotype" w:cs="Arial"/>
          <w:b/>
          <w:lang w:val="es-ES_tradnl" w:eastAsia="es-ES"/>
        </w:rPr>
        <w:t xml:space="preserve">Ley de Transparencia y Acceso a la Información Pública del Estado de México y Municipios </w:t>
      </w:r>
      <w:r w:rsidRPr="00CB0D91">
        <w:rPr>
          <w:rFonts w:ascii="Palatino Linotype" w:eastAsiaTheme="minorEastAsia" w:hAnsi="Palatino Linotype" w:cs="Arial"/>
          <w:lang w:val="es-ES_tradnl" w:eastAsia="es-ES"/>
        </w:rPr>
        <w:t xml:space="preserve">vigente. </w:t>
      </w:r>
    </w:p>
    <w:p w14:paraId="19131B48" w14:textId="77777777" w:rsidR="00080A89" w:rsidRPr="00CB0D91"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CB0D91"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B0D91">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CB0D91"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CB0D91"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CB0D91">
        <w:rPr>
          <w:rFonts w:ascii="Palatino Linotype" w:eastAsia="MS Mincho" w:hAnsi="Palatino Linotype" w:cstheme="majorBidi"/>
          <w:b/>
          <w:lang w:val="es-ES_tradnl" w:eastAsia="es-ES"/>
        </w:rPr>
        <w:t>TERCERO. Planteamiento de la Litis</w:t>
      </w:r>
      <w:r w:rsidRPr="00CB0D91">
        <w:rPr>
          <w:rFonts w:ascii="Palatino Linotype" w:eastAsia="MS Gothic" w:hAnsi="Palatino Linotype"/>
          <w:b/>
        </w:rPr>
        <w:t>.</w:t>
      </w:r>
      <w:bookmarkEnd w:id="17"/>
      <w:bookmarkEnd w:id="18"/>
    </w:p>
    <w:p w14:paraId="20D690C4" w14:textId="64EC8D38" w:rsidR="00D11F51" w:rsidRPr="00CB0D91"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B0D91">
        <w:rPr>
          <w:rFonts w:ascii="Palatino Linotype" w:hAnsi="Palatino Linotype" w:cs="Arial"/>
          <w:color w:val="000000" w:themeColor="text1"/>
          <w:sz w:val="24"/>
        </w:rPr>
        <w:t xml:space="preserve">El </w:t>
      </w:r>
      <w:r w:rsidR="00D11F51" w:rsidRPr="00CB0D91">
        <w:rPr>
          <w:rFonts w:ascii="Palatino Linotype" w:hAnsi="Palatino Linotype" w:cs="Arial"/>
          <w:b/>
          <w:bCs/>
          <w:color w:val="000000" w:themeColor="text1"/>
          <w:sz w:val="24"/>
        </w:rPr>
        <w:t>RECURRENTE</w:t>
      </w:r>
      <w:r w:rsidRPr="00CB0D91">
        <w:rPr>
          <w:rFonts w:ascii="Palatino Linotype" w:hAnsi="Palatino Linotype" w:cs="Arial"/>
          <w:color w:val="000000" w:themeColor="text1"/>
          <w:sz w:val="24"/>
        </w:rPr>
        <w:t xml:space="preserve"> solicitó</w:t>
      </w:r>
      <w:r w:rsidR="00495062" w:rsidRPr="00CB0D91">
        <w:rPr>
          <w:rFonts w:ascii="Palatino Linotype" w:hAnsi="Palatino Linotype"/>
          <w:color w:val="000000"/>
          <w:sz w:val="24"/>
        </w:rPr>
        <w:t xml:space="preserve"> </w:t>
      </w:r>
      <w:r w:rsidR="00D11F51" w:rsidRPr="00CB0D91">
        <w:rPr>
          <w:rFonts w:ascii="Palatino Linotype" w:hAnsi="Palatino Linotype"/>
          <w:color w:val="000000"/>
          <w:sz w:val="24"/>
        </w:rPr>
        <w:t>las actas de las sesiones ordinarias y extraordinarias de cabildo, del uno de enero al treinta de junio de dos mil veintitrés.</w:t>
      </w:r>
    </w:p>
    <w:p w14:paraId="72322A35" w14:textId="77777777" w:rsidR="00D12AD2" w:rsidRPr="00CB0D91"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AB9C4FF" w14:textId="6FB1C7A4" w:rsidR="00D11F51" w:rsidRPr="00CB0D91" w:rsidRDefault="00E93FC1" w:rsidP="00D11F51">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B0D91">
        <w:rPr>
          <w:rFonts w:ascii="Palatino Linotype" w:hAnsi="Palatino Linotype"/>
          <w:iCs/>
          <w:color w:val="000000"/>
          <w:sz w:val="24"/>
        </w:rPr>
        <w:t>En respuest</w:t>
      </w:r>
      <w:r w:rsidR="00655E90" w:rsidRPr="00CB0D91">
        <w:rPr>
          <w:rFonts w:ascii="Palatino Linotype" w:hAnsi="Palatino Linotype"/>
          <w:iCs/>
          <w:color w:val="000000"/>
          <w:sz w:val="24"/>
        </w:rPr>
        <w:t xml:space="preserve">a, el </w:t>
      </w:r>
      <w:r w:rsidR="00655E90" w:rsidRPr="00CB0D91">
        <w:rPr>
          <w:rFonts w:ascii="Palatino Linotype" w:hAnsi="Palatino Linotype"/>
          <w:b/>
          <w:bCs/>
          <w:iCs/>
          <w:color w:val="000000"/>
          <w:sz w:val="24"/>
        </w:rPr>
        <w:t>SUJETO OBLIGADO</w:t>
      </w:r>
      <w:r w:rsidR="00655E90" w:rsidRPr="00CB0D91">
        <w:rPr>
          <w:rFonts w:ascii="Palatino Linotype" w:hAnsi="Palatino Linotype"/>
          <w:iCs/>
          <w:color w:val="000000"/>
          <w:sz w:val="24"/>
        </w:rPr>
        <w:t xml:space="preserve"> </w:t>
      </w:r>
      <w:r w:rsidR="00495062" w:rsidRPr="00CB0D91">
        <w:rPr>
          <w:rFonts w:ascii="Palatino Linotype" w:hAnsi="Palatino Linotype"/>
          <w:iCs/>
          <w:color w:val="000000"/>
          <w:sz w:val="24"/>
        </w:rPr>
        <w:t xml:space="preserve">por medio del </w:t>
      </w:r>
      <w:r w:rsidR="00D11F51" w:rsidRPr="00CB0D91">
        <w:rPr>
          <w:rFonts w:ascii="Palatino Linotype" w:hAnsi="Palatino Linotype"/>
          <w:iCs/>
          <w:color w:val="000000"/>
          <w:sz w:val="24"/>
        </w:rPr>
        <w:t xml:space="preserve">Secretario del Ayuntamiento, manifestó que la información solicitada podía ser consultada a través de la siguiente liga electronica: </w:t>
      </w:r>
      <w:hyperlink r:id="rId10" w:history="1">
        <w:r w:rsidR="00D11F51" w:rsidRPr="00CB0D91">
          <w:rPr>
            <w:rStyle w:val="Hipervnculo"/>
            <w:rFonts w:ascii="Palatino Linotype" w:hAnsi="Palatino Linotype" w:cs="Arial"/>
            <w:sz w:val="24"/>
            <w:shd w:val="clear" w:color="auto" w:fill="FFFFFF"/>
          </w:rPr>
          <w:t>https://ipomex.org.mx/ipo3/lgt/portal/3.web#</w:t>
        </w:r>
      </w:hyperlink>
    </w:p>
    <w:p w14:paraId="11AF201A" w14:textId="77777777" w:rsidR="008866EB" w:rsidRPr="00CB0D91"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6081F4E1" w:rsidR="005C049D" w:rsidRPr="00CB0D91"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CB0D91">
        <w:rPr>
          <w:rFonts w:ascii="Palatino Linotype" w:hAnsi="Palatino Linotype"/>
          <w:sz w:val="24"/>
        </w:rPr>
        <w:t xml:space="preserve">En consecuencia, el </w:t>
      </w:r>
      <w:r w:rsidR="00D11F51" w:rsidRPr="00CB0D91">
        <w:rPr>
          <w:rFonts w:ascii="Palatino Linotype" w:hAnsi="Palatino Linotype"/>
          <w:b/>
          <w:bCs/>
          <w:sz w:val="24"/>
        </w:rPr>
        <w:t xml:space="preserve">RECURRENTE </w:t>
      </w:r>
      <w:r w:rsidRPr="00CB0D91">
        <w:rPr>
          <w:rFonts w:ascii="Palatino Linotype" w:hAnsi="Palatino Linotype"/>
          <w:sz w:val="24"/>
        </w:rPr>
        <w:t>interpuso recurso de revisión</w:t>
      </w:r>
      <w:r w:rsidR="00D5736F" w:rsidRPr="00CB0D91">
        <w:rPr>
          <w:rFonts w:ascii="Palatino Linotype" w:hAnsi="Palatino Linotype"/>
          <w:sz w:val="24"/>
        </w:rPr>
        <w:t xml:space="preserve"> </w:t>
      </w:r>
      <w:r w:rsidR="00831C9B" w:rsidRPr="00CB0D91">
        <w:rPr>
          <w:rFonts w:ascii="Palatino Linotype" w:hAnsi="Palatino Linotype"/>
          <w:sz w:val="24"/>
        </w:rPr>
        <w:t xml:space="preserve">en el que </w:t>
      </w:r>
      <w:r w:rsidR="00D12AD2" w:rsidRPr="00CB0D91">
        <w:rPr>
          <w:rFonts w:ascii="Palatino Linotype" w:hAnsi="Palatino Linotype"/>
          <w:sz w:val="24"/>
        </w:rPr>
        <w:t>manifestó como</w:t>
      </w:r>
      <w:r w:rsidRPr="00CB0D91">
        <w:rPr>
          <w:rFonts w:ascii="Palatino Linotype" w:hAnsi="Palatino Linotype"/>
          <w:sz w:val="24"/>
        </w:rPr>
        <w:t xml:space="preserve"> motivos de inconformidad</w:t>
      </w:r>
      <w:r w:rsidR="00F91816" w:rsidRPr="00CB0D91">
        <w:rPr>
          <w:rFonts w:ascii="Palatino Linotype" w:hAnsi="Palatino Linotype"/>
          <w:sz w:val="24"/>
        </w:rPr>
        <w:t xml:space="preserve"> </w:t>
      </w:r>
      <w:r w:rsidR="006437FA" w:rsidRPr="00CB0D91">
        <w:rPr>
          <w:rFonts w:ascii="Palatino Linotype" w:hAnsi="Palatino Linotype"/>
          <w:sz w:val="24"/>
        </w:rPr>
        <w:t>que</w:t>
      </w:r>
      <w:r w:rsidR="00D11F51" w:rsidRPr="00CB0D91">
        <w:rPr>
          <w:rFonts w:ascii="Palatino Linotype" w:hAnsi="Palatino Linotype"/>
          <w:sz w:val="24"/>
        </w:rPr>
        <w:t xml:space="preserve"> la respuesta proporcionada no atiende a las formalidades en tiempo y forma.</w:t>
      </w:r>
    </w:p>
    <w:p w14:paraId="6CB378E3" w14:textId="77777777" w:rsidR="00A567BA" w:rsidRPr="00CB0D91"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6B36E2C8" w:rsidR="00CB62F7" w:rsidRPr="00CB0D91"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 xml:space="preserve">En consecuencia, la Litis a resolver en este recurso, se circunscribe a determinar </w:t>
      </w:r>
      <w:r w:rsidR="009678C8" w:rsidRPr="00CB0D91">
        <w:rPr>
          <w:rFonts w:ascii="Palatino Linotype" w:eastAsia="MS Gothic" w:hAnsi="Palatino Linotype"/>
          <w:sz w:val="24"/>
        </w:rPr>
        <w:t xml:space="preserve">si la respuesta colma con lo solicitado o </w:t>
      </w:r>
      <w:r w:rsidRPr="00CB0D91">
        <w:rPr>
          <w:rFonts w:ascii="Palatino Linotype" w:eastAsia="MS Gothic" w:hAnsi="Palatino Linotype"/>
          <w:sz w:val="24"/>
        </w:rPr>
        <w:t xml:space="preserve">si se actualizan las causales de procedencia previstas </w:t>
      </w:r>
      <w:r w:rsidRPr="00CB0D91">
        <w:rPr>
          <w:rFonts w:ascii="Palatino Linotype" w:hAnsi="Palatino Linotype"/>
          <w:sz w:val="24"/>
        </w:rPr>
        <w:t>e</w:t>
      </w:r>
      <w:r w:rsidR="009678C8" w:rsidRPr="00CB0D91">
        <w:rPr>
          <w:rFonts w:ascii="Palatino Linotype" w:hAnsi="Palatino Linotype"/>
          <w:sz w:val="24"/>
        </w:rPr>
        <w:t>n</w:t>
      </w:r>
      <w:r w:rsidR="009C09D4" w:rsidRPr="00CB0D91">
        <w:rPr>
          <w:rFonts w:ascii="Palatino Linotype" w:hAnsi="Palatino Linotype"/>
          <w:sz w:val="24"/>
        </w:rPr>
        <w:t xml:space="preserve"> el artículo 179, fracción </w:t>
      </w:r>
      <w:r w:rsidR="00C82FE5" w:rsidRPr="00CB0D91">
        <w:rPr>
          <w:rFonts w:ascii="Palatino Linotype" w:hAnsi="Palatino Linotype"/>
          <w:sz w:val="24"/>
        </w:rPr>
        <w:t xml:space="preserve">I </w:t>
      </w:r>
      <w:r w:rsidRPr="00CB0D91">
        <w:rPr>
          <w:rFonts w:ascii="Palatino Linotype" w:hAnsi="Palatino Linotype"/>
          <w:sz w:val="24"/>
        </w:rPr>
        <w:t xml:space="preserve">de la Ley de Transparencia y Acceso a la </w:t>
      </w:r>
      <w:r w:rsidRPr="00CB0D91">
        <w:rPr>
          <w:rFonts w:ascii="Palatino Linotype" w:hAnsi="Palatino Linotype"/>
          <w:sz w:val="24"/>
        </w:rPr>
        <w:lastRenderedPageBreak/>
        <w:t xml:space="preserve">Información Pública del Estado de México y Municipios; </w:t>
      </w:r>
      <w:r w:rsidR="009678C8" w:rsidRPr="00CB0D91">
        <w:rPr>
          <w:rFonts w:ascii="Palatino Linotype" w:hAnsi="Palatino Linotype"/>
          <w:sz w:val="24"/>
        </w:rPr>
        <w:t>que establece la negati</w:t>
      </w:r>
      <w:r w:rsidR="009C09D4" w:rsidRPr="00CB0D91">
        <w:rPr>
          <w:rFonts w:ascii="Palatino Linotype" w:hAnsi="Palatino Linotype"/>
          <w:sz w:val="24"/>
        </w:rPr>
        <w:t>va de la información</w:t>
      </w:r>
      <w:r w:rsidR="00DC73DA" w:rsidRPr="00CB0D91">
        <w:rPr>
          <w:rFonts w:ascii="Palatino Linotype" w:hAnsi="Palatino Linotype"/>
          <w:sz w:val="24"/>
        </w:rPr>
        <w:t xml:space="preserve"> solicitada</w:t>
      </w:r>
      <w:r w:rsidR="008866EB" w:rsidRPr="00CB0D91">
        <w:rPr>
          <w:rFonts w:ascii="Palatino Linotype" w:hAnsi="Palatino Linotype"/>
          <w:sz w:val="24"/>
        </w:rPr>
        <w:t>.</w:t>
      </w:r>
    </w:p>
    <w:p w14:paraId="348E93FA" w14:textId="77777777" w:rsidR="0065765B" w:rsidRPr="00CB0D91"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CB0D91"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CB0D91">
        <w:rPr>
          <w:rFonts w:ascii="Palatino Linotype" w:eastAsia="MS Gothic" w:hAnsi="Palatino Linotype"/>
          <w:b/>
          <w:color w:val="auto"/>
          <w:sz w:val="24"/>
          <w:szCs w:val="24"/>
          <w:lang w:val="es-ES_tradnl"/>
        </w:rPr>
        <w:t>CUARTO. Del estudio y resolución del recurso de revisión.</w:t>
      </w:r>
      <w:bookmarkEnd w:id="19"/>
      <w:bookmarkEnd w:id="20"/>
    </w:p>
    <w:p w14:paraId="52D1BE73" w14:textId="4AA70526" w:rsidR="006437FA" w:rsidRPr="00CB0D91" w:rsidRDefault="00E93FC1" w:rsidP="006437FA">
      <w:pPr>
        <w:pStyle w:val="Ttulo1"/>
        <w:numPr>
          <w:ilvl w:val="0"/>
          <w:numId w:val="31"/>
        </w:numPr>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CB0D91">
        <w:rPr>
          <w:rFonts w:ascii="Palatino Linotype" w:eastAsia="MS Gothic" w:hAnsi="Palatino Linotype"/>
          <w:b/>
          <w:color w:val="auto"/>
          <w:sz w:val="24"/>
          <w:lang w:val="es-ES_tradnl" w:eastAsia="es-ES"/>
        </w:rPr>
        <w:t>De</w:t>
      </w:r>
      <w:bookmarkEnd w:id="21"/>
      <w:r w:rsidRPr="00CB0D91">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29EA867F" w14:textId="72CBA451" w:rsidR="00C82FE5" w:rsidRPr="00CB0D91" w:rsidRDefault="00E93FC1" w:rsidP="00C82FE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Theme="minorEastAsia" w:hAnsi="Palatino Linotype"/>
          <w:sz w:val="24"/>
          <w:lang w:val="es-ES_tradnl" w:eastAsia="es-ES"/>
        </w:rPr>
        <w:t>E</w:t>
      </w:r>
      <w:r w:rsidRPr="00CB0D91">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B0D91">
        <w:rPr>
          <w:rFonts w:ascii="Palatino Linotype" w:hAnsi="Palatino Linotype" w:cs="Arial"/>
          <w:color w:val="000000"/>
          <w:sz w:val="24"/>
          <w:lang w:val="es-ES_tradnl" w:eastAsia="es-ES"/>
        </w:rPr>
        <w:t xml:space="preserve">. </w:t>
      </w:r>
    </w:p>
    <w:p w14:paraId="096B995C" w14:textId="77777777" w:rsidR="006437FA" w:rsidRPr="00CB0D91" w:rsidRDefault="006437FA" w:rsidP="006437FA">
      <w:pPr>
        <w:pStyle w:val="Prrafodelista"/>
        <w:spacing w:before="240" w:after="240" w:line="360" w:lineRule="auto"/>
        <w:ind w:left="0" w:right="48"/>
        <w:jc w:val="both"/>
        <w:rPr>
          <w:rFonts w:ascii="Palatino Linotype" w:eastAsia="MS Gothic" w:hAnsi="Palatino Linotype"/>
          <w:sz w:val="24"/>
        </w:rPr>
      </w:pPr>
    </w:p>
    <w:p w14:paraId="448A67FE" w14:textId="77777777" w:rsidR="00E93FC1" w:rsidRPr="00CB0D9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hAnsi="Palatino Linotype"/>
          <w:lang w:val="es-ES_tradnl" w:eastAsia="es-ES"/>
        </w:rPr>
        <w:t xml:space="preserve">Definiendo el Derecho de Acceso a la Información Pública como: </w:t>
      </w:r>
      <w:r w:rsidRPr="00CB0D91">
        <w:rPr>
          <w:rFonts w:ascii="Palatino Linotype" w:eastAsiaTheme="minorEastAsia" w:hAnsi="Palatino Linotype"/>
          <w:i/>
          <w:color w:val="000000"/>
          <w:lang w:val="es-ES_tradnl" w:eastAsia="es-ES"/>
        </w:rPr>
        <w:t>La igualdad de oportunidades para recibir, buscar e impartir información</w:t>
      </w:r>
      <w:r w:rsidRPr="00CB0D91">
        <w:rPr>
          <w:rFonts w:ascii="Palatino Linotype" w:eastAsiaTheme="minorEastAsia" w:hAnsi="Palatino Linotype"/>
          <w:i/>
          <w:vertAlign w:val="superscript"/>
          <w:lang w:val="es-ES_tradnl" w:eastAsia="es-ES"/>
        </w:rPr>
        <w:footnoteReference w:id="1"/>
      </w:r>
      <w:r w:rsidRPr="00CB0D9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B0D91">
        <w:rPr>
          <w:rFonts w:ascii="Palatino Linotype" w:eastAsiaTheme="minorEastAsia" w:hAnsi="Palatino Linotype"/>
          <w:i/>
          <w:vertAlign w:val="superscript"/>
          <w:lang w:val="es-ES_tradnl" w:eastAsia="es-ES"/>
        </w:rPr>
        <w:footnoteReference w:id="2"/>
      </w:r>
      <w:r w:rsidRPr="00CB0D91">
        <w:rPr>
          <w:rFonts w:ascii="Palatino Linotype" w:eastAsiaTheme="minorEastAsia" w:hAnsi="Palatino Linotype"/>
          <w:color w:val="000000"/>
          <w:lang w:val="es-ES_tradnl" w:eastAsia="es-ES"/>
        </w:rPr>
        <w:t>que se constituye como una herramienta fundamental para ejercer</w:t>
      </w:r>
      <w:r w:rsidRPr="00CB0D9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CB0D91">
        <w:rPr>
          <w:rFonts w:ascii="Palatino Linotype" w:eastAsiaTheme="minorEastAsia" w:hAnsi="Palatino Linotype"/>
          <w:i/>
          <w:color w:val="000000"/>
          <w:lang w:val="es-ES_tradnl" w:eastAsia="es-ES"/>
        </w:rPr>
        <w:lastRenderedPageBreak/>
        <w:t>funciones públicas,</w:t>
      </w:r>
      <w:r w:rsidRPr="00CB0D91">
        <w:rPr>
          <w:rFonts w:ascii="Palatino Linotype" w:eastAsiaTheme="minorEastAsia" w:hAnsi="Palatino Linotype"/>
          <w:i/>
          <w:vertAlign w:val="superscript"/>
          <w:lang w:val="es-ES_tradnl" w:eastAsia="es-ES"/>
        </w:rPr>
        <w:footnoteReference w:id="3"/>
      </w:r>
      <w:r w:rsidRPr="00CB0D91">
        <w:rPr>
          <w:rFonts w:ascii="Palatino Linotype" w:eastAsiaTheme="minorEastAsia" w:hAnsi="Palatino Linotype"/>
          <w:color w:val="000000"/>
          <w:lang w:val="es-ES_tradnl" w:eastAsia="es-ES"/>
        </w:rPr>
        <w:t>fomentando</w:t>
      </w:r>
      <w:r w:rsidRPr="00CB0D91">
        <w:rPr>
          <w:rFonts w:ascii="Palatino Linotype" w:eastAsiaTheme="minorEastAsia" w:hAnsi="Palatino Linotype"/>
          <w:i/>
          <w:color w:val="000000"/>
          <w:lang w:val="es-ES_tradnl" w:eastAsia="es-ES"/>
        </w:rPr>
        <w:t xml:space="preserve"> la transparencia de las actividades estatales y </w:t>
      </w:r>
      <w:r w:rsidRPr="00CB0D91">
        <w:rPr>
          <w:rFonts w:ascii="Palatino Linotype" w:eastAsiaTheme="minorEastAsia" w:hAnsi="Palatino Linotype"/>
          <w:color w:val="000000"/>
          <w:lang w:val="es-ES_tradnl" w:eastAsia="es-ES"/>
        </w:rPr>
        <w:t>promoviendo</w:t>
      </w:r>
      <w:r w:rsidRPr="00CB0D91">
        <w:rPr>
          <w:rFonts w:ascii="Palatino Linotype" w:eastAsiaTheme="minorEastAsia" w:hAnsi="Palatino Linotype"/>
          <w:i/>
          <w:color w:val="000000"/>
          <w:lang w:val="es-ES_tradnl" w:eastAsia="es-ES"/>
        </w:rPr>
        <w:t xml:space="preserve"> la responsabilidad de los funcionarios sobre su gestión pública,</w:t>
      </w:r>
      <w:r w:rsidRPr="00CB0D91">
        <w:rPr>
          <w:rFonts w:ascii="Palatino Linotype" w:eastAsiaTheme="minorEastAsia" w:hAnsi="Palatino Linotype"/>
          <w:i/>
          <w:vertAlign w:val="superscript"/>
          <w:lang w:val="es-ES_tradnl" w:eastAsia="es-ES"/>
        </w:rPr>
        <w:footnoteReference w:id="4"/>
      </w:r>
      <w:r w:rsidRPr="00CB0D91">
        <w:rPr>
          <w:rFonts w:ascii="Palatino Linotype" w:eastAsiaTheme="minorEastAsia" w:hAnsi="Palatino Linotype"/>
          <w:color w:val="000000"/>
          <w:lang w:val="es-ES_tradnl" w:eastAsia="es-ES"/>
        </w:rPr>
        <w:t>que permite</w:t>
      </w:r>
      <w:r w:rsidRPr="00CB0D9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CB0D9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CB0D9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CB0D91">
        <w:rPr>
          <w:rFonts w:ascii="Palatino Linotype" w:hAnsi="Palatino Linotype"/>
          <w:lang w:val="es-ES_tradnl" w:eastAsia="es-ES"/>
        </w:rPr>
        <w:t>Mexicanos</w:t>
      </w:r>
      <w:r w:rsidRPr="00CB0D91">
        <w:rPr>
          <w:rFonts w:ascii="Palatino Linotype" w:hAnsi="Palatino Linotype"/>
          <w:lang w:val="es-ES_tradnl" w:eastAsia="es-ES"/>
        </w:rPr>
        <w:t xml:space="preserve"> dispone lo siguiente:</w:t>
      </w:r>
    </w:p>
    <w:p w14:paraId="30A163AD" w14:textId="77777777" w:rsidR="00E93FC1" w:rsidRPr="00CB0D91"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CB0D91" w:rsidRDefault="00E93FC1" w:rsidP="00A87430">
      <w:pPr>
        <w:spacing w:before="240" w:after="240"/>
        <w:ind w:left="567" w:right="567"/>
        <w:contextualSpacing/>
        <w:jc w:val="both"/>
        <w:rPr>
          <w:rFonts w:ascii="Palatino Linotype" w:hAnsi="Palatino Linotype"/>
          <w:i/>
          <w:sz w:val="22"/>
          <w:lang w:val="es-ES_tradnl" w:eastAsia="es-ES"/>
        </w:rPr>
      </w:pPr>
      <w:r w:rsidRPr="00CB0D91">
        <w:rPr>
          <w:rFonts w:ascii="Palatino Linotype" w:hAnsi="Palatino Linotype"/>
          <w:i/>
          <w:sz w:val="22"/>
          <w:lang w:val="es-ES_tradnl" w:eastAsia="es-ES"/>
        </w:rPr>
        <w:t>“</w:t>
      </w:r>
      <w:r w:rsidRPr="00CB0D91">
        <w:rPr>
          <w:rFonts w:ascii="Palatino Linotype" w:hAnsi="Palatino Linotype"/>
          <w:b/>
          <w:i/>
          <w:sz w:val="22"/>
          <w:lang w:val="es-ES_tradnl" w:eastAsia="es-ES"/>
        </w:rPr>
        <w:t>Artículo 1.-</w:t>
      </w:r>
      <w:r w:rsidRPr="00CB0D91">
        <w:rPr>
          <w:rFonts w:ascii="Palatino Linotype" w:hAnsi="Palatino Linotype"/>
          <w:i/>
          <w:sz w:val="22"/>
          <w:lang w:val="es-ES_tradnl" w:eastAsia="es-ES"/>
        </w:rPr>
        <w:t xml:space="preserve"> </w:t>
      </w:r>
    </w:p>
    <w:p w14:paraId="6C017403" w14:textId="77777777" w:rsidR="00E93FC1" w:rsidRPr="00CB0D91" w:rsidRDefault="00E93FC1" w:rsidP="00A87430">
      <w:pPr>
        <w:spacing w:before="240" w:after="240"/>
        <w:ind w:left="567" w:right="567"/>
        <w:contextualSpacing/>
        <w:jc w:val="both"/>
        <w:rPr>
          <w:rFonts w:ascii="Palatino Linotype" w:hAnsi="Palatino Linotype"/>
          <w:i/>
          <w:sz w:val="22"/>
          <w:lang w:val="es-ES_tradnl" w:eastAsia="es-ES"/>
        </w:rPr>
      </w:pPr>
      <w:r w:rsidRPr="00CB0D91">
        <w:rPr>
          <w:rFonts w:ascii="Palatino Linotype" w:hAnsi="Palatino Linotype"/>
          <w:i/>
          <w:sz w:val="22"/>
          <w:lang w:val="es-ES_tradnl" w:eastAsia="es-ES"/>
        </w:rPr>
        <w:t>(…)</w:t>
      </w:r>
    </w:p>
    <w:p w14:paraId="0ECC847D" w14:textId="77777777" w:rsidR="00E93FC1" w:rsidRPr="00CB0D91" w:rsidRDefault="00E93FC1" w:rsidP="00A87430">
      <w:pPr>
        <w:spacing w:before="240" w:after="240"/>
        <w:ind w:left="567" w:right="567"/>
        <w:contextualSpacing/>
        <w:jc w:val="both"/>
        <w:rPr>
          <w:rFonts w:ascii="Palatino Linotype" w:hAnsi="Palatino Linotype"/>
          <w:i/>
          <w:sz w:val="22"/>
        </w:rPr>
      </w:pPr>
      <w:r w:rsidRPr="00CB0D91">
        <w:rPr>
          <w:rFonts w:ascii="Palatino Linotype" w:hAnsi="Palatino Linotype"/>
          <w:i/>
          <w:sz w:val="22"/>
          <w:lang w:val="es-ES_tradnl" w:eastAsia="es-ES"/>
        </w:rPr>
        <w:t>Todas las</w:t>
      </w:r>
      <w:r w:rsidRPr="00CB0D91">
        <w:rPr>
          <w:rFonts w:ascii="Palatino Linotype" w:hAnsi="Palatino Linotype"/>
          <w:sz w:val="22"/>
          <w:lang w:val="es-ES_tradnl" w:eastAsia="es-ES"/>
        </w:rPr>
        <w:t xml:space="preserve"> </w:t>
      </w:r>
      <w:r w:rsidRPr="00CB0D9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CB0D91" w:rsidRDefault="00E93FC1" w:rsidP="006255C9">
      <w:pPr>
        <w:spacing w:before="240" w:after="240"/>
        <w:ind w:left="567" w:right="567"/>
        <w:contextualSpacing/>
        <w:jc w:val="both"/>
        <w:rPr>
          <w:rFonts w:ascii="Palatino Linotype" w:hAnsi="Palatino Linotype"/>
          <w:sz w:val="22"/>
          <w:lang w:val="es-ES_tradnl" w:eastAsia="es-ES"/>
        </w:rPr>
      </w:pPr>
      <w:r w:rsidRPr="00CB0D91">
        <w:rPr>
          <w:rFonts w:ascii="Palatino Linotype" w:hAnsi="Palatino Linotype"/>
          <w:i/>
          <w:sz w:val="22"/>
        </w:rPr>
        <w:t>(…)</w:t>
      </w:r>
      <w:r w:rsidRPr="00CB0D91">
        <w:rPr>
          <w:rFonts w:ascii="Palatino Linotype" w:hAnsi="Palatino Linotype"/>
          <w:sz w:val="22"/>
          <w:lang w:val="es-ES_tradnl" w:eastAsia="es-ES"/>
        </w:rPr>
        <w:t>”.</w:t>
      </w:r>
    </w:p>
    <w:p w14:paraId="71AB0FA9" w14:textId="77777777" w:rsidR="008866EB" w:rsidRPr="00CB0D91"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CB0D9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CB0D91">
        <w:rPr>
          <w:rFonts w:ascii="Palatino Linotype" w:hAnsi="Palatino Linotype"/>
          <w:lang w:val="es-ES_tradnl" w:eastAsia="es-ES"/>
        </w:rPr>
        <w:t>l</w:t>
      </w:r>
      <w:r w:rsidRPr="00CB0D91">
        <w:rPr>
          <w:rFonts w:ascii="Palatino Linotype" w:hAnsi="Palatino Linotype"/>
          <w:lang w:val="es-ES_tradnl" w:eastAsia="es-ES"/>
        </w:rPr>
        <w:t xml:space="preserve"> mismo artículo.</w:t>
      </w:r>
    </w:p>
    <w:p w14:paraId="33957FEC" w14:textId="77777777" w:rsidR="00E93FC1" w:rsidRPr="00CB0D9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CB0D9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eastAsiaTheme="minorEastAsia" w:hAnsi="Palatino Linotype"/>
          <w:lang w:val="es-ES_tradnl" w:eastAsia="es-ES"/>
        </w:rPr>
        <w:t xml:space="preserve">Así, conforme a la Constitución Política de las Estado Unidos Mexicanos </w:t>
      </w:r>
      <w:r w:rsidRPr="00CB0D91">
        <w:rPr>
          <w:rFonts w:ascii="Palatino Linotype" w:eastAsia="Calibri" w:hAnsi="Palatino Linotype"/>
          <w:lang w:val="es-ES_tradnl" w:eastAsia="es-ES"/>
        </w:rPr>
        <w:t>y la Constitución Política del Estado Libre y Soberano de México respectivamente</w:t>
      </w:r>
      <w:r w:rsidRPr="00CB0D91">
        <w:rPr>
          <w:rFonts w:ascii="Palatino Linotype" w:eastAsiaTheme="minorEastAsia" w:hAnsi="Palatino Linotype"/>
          <w:lang w:val="es-ES_tradnl" w:eastAsia="es-ES"/>
        </w:rPr>
        <w:t xml:space="preserve">, el </w:t>
      </w:r>
      <w:r w:rsidRPr="00CB0D91">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CB0D9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CB0D91"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B0D91">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CB0D91"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B0D91">
        <w:rPr>
          <w:rFonts w:ascii="Palatino Linotype" w:eastAsiaTheme="minorEastAsia" w:hAnsi="Palatino Linotype" w:cs="Arial"/>
          <w:b/>
          <w:bCs/>
          <w:i/>
          <w:sz w:val="22"/>
          <w:lang w:val="es-ES_tradnl" w:eastAsia="es-ES"/>
        </w:rPr>
        <w:t>“Artículo 6.</w:t>
      </w:r>
      <w:r w:rsidRPr="00CB0D91">
        <w:rPr>
          <w:rFonts w:ascii="Palatino Linotype" w:eastAsiaTheme="minorEastAsia" w:hAnsi="Palatino Linotype" w:cs="Arial"/>
          <w:bCs/>
          <w:i/>
          <w:sz w:val="22"/>
          <w:lang w:val="es-ES_tradnl" w:eastAsia="es-ES"/>
        </w:rPr>
        <w:t xml:space="preserve"> …</w:t>
      </w:r>
    </w:p>
    <w:p w14:paraId="2459450F"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Cs/>
          <w:i/>
          <w:sz w:val="22"/>
          <w:lang w:val="es-ES_tradnl" w:eastAsia="es-ES"/>
        </w:rPr>
        <w:t>…</w:t>
      </w:r>
    </w:p>
    <w:p w14:paraId="0FBB178F"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CB0D91"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B0D91">
        <w:rPr>
          <w:rFonts w:ascii="Palatino Linotype" w:eastAsiaTheme="minorEastAsia" w:hAnsi="Palatino Linotype" w:cs="Arial"/>
          <w:b/>
          <w:bCs/>
          <w:i/>
          <w:sz w:val="22"/>
          <w:lang w:val="es-ES_tradnl" w:eastAsia="es-ES"/>
        </w:rPr>
        <w:t>A</w:t>
      </w:r>
      <w:r w:rsidRPr="00CB0D91">
        <w:rPr>
          <w:rFonts w:ascii="Palatino Linotype" w:eastAsiaTheme="minorEastAsia" w:hAnsi="Palatino Linotype" w:cs="Arial"/>
          <w:bCs/>
          <w:i/>
          <w:sz w:val="22"/>
          <w:lang w:val="es-ES_tradnl" w:eastAsia="es-ES"/>
        </w:rPr>
        <w:t xml:space="preserve">. </w:t>
      </w:r>
      <w:r w:rsidRPr="00CB0D91">
        <w:rPr>
          <w:rFonts w:ascii="Palatino Linotype" w:eastAsiaTheme="minorEastAsia" w:hAnsi="Palatino Linotype" w:cs="Arial"/>
          <w:b/>
          <w:bCs/>
          <w:i/>
          <w:sz w:val="22"/>
          <w:lang w:val="es-ES_tradnl" w:eastAsia="es-ES"/>
        </w:rPr>
        <w:t>Para el ejercicio del derecho de acceso a la información</w:t>
      </w:r>
      <w:r w:rsidRPr="00CB0D91">
        <w:rPr>
          <w:rFonts w:ascii="Palatino Linotype" w:eastAsiaTheme="minorEastAsia" w:hAnsi="Palatino Linotype" w:cs="Arial"/>
          <w:bCs/>
          <w:i/>
          <w:sz w:val="22"/>
          <w:lang w:val="es-ES_tradnl" w:eastAsia="es-ES"/>
        </w:rPr>
        <w:t xml:space="preserve">, la Federación y </w:t>
      </w:r>
      <w:r w:rsidRPr="00CB0D9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
          <w:bCs/>
          <w:i/>
          <w:sz w:val="22"/>
          <w:lang w:val="es-ES_tradnl" w:eastAsia="es-ES"/>
        </w:rPr>
        <w:t xml:space="preserve">I. </w:t>
      </w:r>
      <w:r w:rsidRPr="00CB0D91">
        <w:rPr>
          <w:rFonts w:ascii="Palatino Linotype" w:eastAsiaTheme="minorEastAsia" w:hAnsi="Palatino Linotype" w:cs="Arial"/>
          <w:b/>
          <w:bCs/>
          <w:i/>
          <w:sz w:val="22"/>
          <w:lang w:val="es-ES_tradnl" w:eastAsia="es-ES"/>
        </w:rPr>
        <w:tab/>
        <w:t>Toda la información en posesión de cualquier</w:t>
      </w:r>
      <w:r w:rsidRPr="00CB0D91">
        <w:rPr>
          <w:rFonts w:ascii="Palatino Linotype" w:eastAsiaTheme="minorEastAsia" w:hAnsi="Palatino Linotype" w:cs="Arial"/>
          <w:bCs/>
          <w:i/>
          <w:sz w:val="22"/>
          <w:lang w:val="es-ES_tradnl" w:eastAsia="es-ES"/>
        </w:rPr>
        <w:t xml:space="preserve"> </w:t>
      </w:r>
      <w:r w:rsidRPr="00CB0D91">
        <w:rPr>
          <w:rFonts w:ascii="Palatino Linotype" w:eastAsiaTheme="minorEastAsia" w:hAnsi="Palatino Linotype" w:cs="Arial"/>
          <w:b/>
          <w:bCs/>
          <w:i/>
          <w:sz w:val="22"/>
          <w:lang w:val="es-ES_tradnl" w:eastAsia="es-ES"/>
        </w:rPr>
        <w:t>autoridad</w:t>
      </w:r>
      <w:r w:rsidRPr="00CB0D9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0D91">
        <w:rPr>
          <w:rFonts w:ascii="Palatino Linotype" w:eastAsiaTheme="minorEastAsia" w:hAnsi="Palatino Linotype" w:cs="Arial"/>
          <w:b/>
          <w:bCs/>
          <w:i/>
          <w:sz w:val="22"/>
          <w:lang w:val="es-ES_tradnl" w:eastAsia="es-ES"/>
        </w:rPr>
        <w:t>municipal</w:t>
      </w:r>
      <w:r w:rsidRPr="00CB0D91">
        <w:rPr>
          <w:rFonts w:ascii="Palatino Linotype" w:eastAsiaTheme="minorEastAsia" w:hAnsi="Palatino Linotype" w:cs="Arial"/>
          <w:bCs/>
          <w:i/>
          <w:sz w:val="22"/>
          <w:lang w:val="es-ES_tradnl" w:eastAsia="es-ES"/>
        </w:rPr>
        <w:t xml:space="preserve">, </w:t>
      </w:r>
      <w:r w:rsidRPr="00CB0D91">
        <w:rPr>
          <w:rFonts w:ascii="Palatino Linotype" w:eastAsiaTheme="minorEastAsia" w:hAnsi="Palatino Linotype" w:cs="Arial"/>
          <w:b/>
          <w:bCs/>
          <w:i/>
          <w:sz w:val="22"/>
          <w:lang w:val="es-ES_tradnl" w:eastAsia="es-ES"/>
        </w:rPr>
        <w:t>es pública</w:t>
      </w:r>
      <w:r w:rsidRPr="00CB0D9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B0D9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B0D9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1F1CFA" w14:textId="77777777" w:rsidR="00E93FC1" w:rsidRPr="00CB0D91"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CB0D91"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B0D91">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
          <w:bCs/>
          <w:i/>
          <w:sz w:val="22"/>
          <w:lang w:val="es-ES_tradnl" w:eastAsia="es-ES"/>
        </w:rPr>
        <w:t>“Artículo 5</w:t>
      </w:r>
      <w:r w:rsidRPr="00CB0D91">
        <w:rPr>
          <w:rFonts w:ascii="Palatino Linotype" w:eastAsiaTheme="minorEastAsia" w:hAnsi="Palatino Linotype" w:cs="Arial"/>
          <w:bCs/>
          <w:i/>
          <w:sz w:val="22"/>
          <w:lang w:val="es-ES_tradnl" w:eastAsia="es-ES"/>
        </w:rPr>
        <w:t>.- …</w:t>
      </w:r>
    </w:p>
    <w:p w14:paraId="20BCB3B6"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Cs/>
          <w:i/>
          <w:sz w:val="22"/>
          <w:lang w:val="es-ES_tradnl" w:eastAsia="es-ES"/>
        </w:rPr>
        <w:t>…</w:t>
      </w:r>
    </w:p>
    <w:p w14:paraId="02471354"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CB0D91">
        <w:rPr>
          <w:rFonts w:ascii="Palatino Linotype" w:eastAsiaTheme="minorEastAsia" w:hAnsi="Palatino Linotype" w:cs="Arial"/>
          <w:bCs/>
          <w:i/>
          <w:sz w:val="22"/>
          <w:lang w:val="es-ES_tradnl" w:eastAsia="es-ES"/>
        </w:rPr>
        <w:t>.</w:t>
      </w:r>
    </w:p>
    <w:p w14:paraId="7BBD388E"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
          <w:bCs/>
          <w:i/>
          <w:sz w:val="22"/>
          <w:lang w:val="es-ES_tradnl" w:eastAsia="es-ES"/>
        </w:rPr>
        <w:t>Este derecho se regirá por los principios y bases siguientes</w:t>
      </w:r>
      <w:r w:rsidRPr="00CB0D91">
        <w:rPr>
          <w:rFonts w:ascii="Palatino Linotype" w:eastAsiaTheme="minorEastAsia" w:hAnsi="Palatino Linotype" w:cs="Arial"/>
          <w:bCs/>
          <w:i/>
          <w:sz w:val="22"/>
          <w:lang w:val="es-ES_tradnl" w:eastAsia="es-ES"/>
        </w:rPr>
        <w:t>:</w:t>
      </w:r>
    </w:p>
    <w:p w14:paraId="2FD56844" w14:textId="77777777" w:rsidR="00E93FC1" w:rsidRPr="00CB0D91"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B0D91">
        <w:rPr>
          <w:rFonts w:ascii="Palatino Linotype" w:eastAsiaTheme="minorEastAsia" w:hAnsi="Palatino Linotype" w:cs="Arial"/>
          <w:b/>
          <w:bCs/>
          <w:i/>
          <w:sz w:val="22"/>
          <w:lang w:val="es-ES_tradnl" w:eastAsia="es-ES"/>
        </w:rPr>
        <w:t>I. Toda la información en posesión de cualquier autoridad, entidad, órgano y organismos de los</w:t>
      </w:r>
      <w:r w:rsidRPr="00CB0D9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B0D91">
        <w:rPr>
          <w:rFonts w:ascii="Palatino Linotype" w:eastAsiaTheme="minorEastAsia" w:hAnsi="Palatino Linotype" w:cs="Arial"/>
          <w:b/>
          <w:bCs/>
          <w:i/>
          <w:sz w:val="22"/>
          <w:lang w:val="es-ES_tradnl" w:eastAsia="es-ES"/>
        </w:rPr>
        <w:t>municipales</w:t>
      </w:r>
      <w:r w:rsidRPr="00CB0D9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0D91">
        <w:rPr>
          <w:rFonts w:ascii="Palatino Linotype" w:eastAsiaTheme="minorEastAsia" w:hAnsi="Palatino Linotype" w:cs="Arial"/>
          <w:b/>
          <w:bCs/>
          <w:i/>
          <w:sz w:val="22"/>
          <w:lang w:val="es-ES_tradnl" w:eastAsia="es-ES"/>
        </w:rPr>
        <w:t>es pública</w:t>
      </w:r>
      <w:r w:rsidRPr="00CB0D9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B0D91">
        <w:rPr>
          <w:rFonts w:ascii="Palatino Linotype" w:eastAsiaTheme="minorEastAsia" w:hAnsi="Palatino Linotype" w:cs="Arial"/>
          <w:b/>
          <w:bCs/>
          <w:i/>
          <w:sz w:val="22"/>
          <w:lang w:val="es-ES_tradnl" w:eastAsia="es-ES"/>
        </w:rPr>
        <w:t>En la interpretación de este derecho deberá prevalecer el principio de máxima publicidad</w:t>
      </w:r>
      <w:r w:rsidRPr="00CB0D91">
        <w:rPr>
          <w:rFonts w:ascii="Palatino Linotype" w:eastAsiaTheme="minorEastAsia" w:hAnsi="Palatino Linotype" w:cs="Arial"/>
          <w:bCs/>
          <w:i/>
          <w:sz w:val="22"/>
          <w:lang w:val="es-ES_tradnl" w:eastAsia="es-ES"/>
        </w:rPr>
        <w:t xml:space="preserve">. </w:t>
      </w:r>
      <w:r w:rsidRPr="00CB0D9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B0D9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77777777" w:rsidR="008866EB" w:rsidRPr="00CB0D91"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CB0D9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B0D91">
        <w:rPr>
          <w:rFonts w:ascii="Palatino Linotype" w:eastAsiaTheme="minorEastAsia" w:hAnsi="Palatino Linotype" w:cs="Arial"/>
          <w:i/>
          <w:lang w:val="es-ES_tradnl" w:eastAsia="es-ES"/>
        </w:rPr>
        <w:t>por los principios de simplicidad, rapidez gratuidad del procedimiento, auxilio y orientación a los particulares</w:t>
      </w:r>
      <w:r w:rsidRPr="00CB0D91">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CB0D9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7FE7217B" w:rsidR="002F7D51" w:rsidRPr="00CB0D91"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B0D91">
        <w:rPr>
          <w:rFonts w:ascii="Palatino Linotype" w:eastAsiaTheme="minorEastAsia" w:hAnsi="Palatino Linotype" w:cs="Arial"/>
          <w:i/>
          <w:lang w:val="es-ES_tradnl" w:eastAsia="es-ES"/>
        </w:rPr>
        <w:t>solicitudes de acceso a la información</w:t>
      </w:r>
      <w:r w:rsidRPr="00CB0D91">
        <w:rPr>
          <w:rFonts w:ascii="Palatino Linotype" w:eastAsiaTheme="minorEastAsia" w:hAnsi="Palatino Linotype" w:cs="Arial"/>
          <w:lang w:val="es-ES_tradnl" w:eastAsia="es-ES"/>
        </w:rPr>
        <w:t>.</w:t>
      </w:r>
    </w:p>
    <w:p w14:paraId="60FC5B53" w14:textId="77777777" w:rsidR="006437FA" w:rsidRPr="00CB0D91" w:rsidRDefault="006437FA" w:rsidP="006437FA">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CB0D91"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B0D91">
        <w:rPr>
          <w:rFonts w:ascii="Palatino Linotype" w:eastAsiaTheme="minorEastAsia" w:hAnsi="Palatino Linotype" w:cs="Arial"/>
          <w:lang w:val="es-ES_tradnl" w:eastAsia="es-ES"/>
        </w:rPr>
        <w:lastRenderedPageBreak/>
        <w:t xml:space="preserve">Así entonces, se procede analizar, en primer lugar, si el </w:t>
      </w:r>
      <w:r w:rsidRPr="00CB0D91">
        <w:rPr>
          <w:rFonts w:ascii="Palatino Linotype" w:eastAsiaTheme="minorEastAsia" w:hAnsi="Palatino Linotype" w:cs="Arial"/>
          <w:b/>
          <w:bCs/>
          <w:lang w:val="es-ES_tradnl" w:eastAsia="es-ES"/>
        </w:rPr>
        <w:t>SUJETO OBLIGADO</w:t>
      </w:r>
      <w:r w:rsidRPr="00CB0D91">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CB0D91">
        <w:rPr>
          <w:rFonts w:ascii="Palatino Linotype" w:eastAsiaTheme="minorEastAsia" w:hAnsi="Palatino Linotype" w:cs="Arial"/>
          <w:lang w:val="es-ES_tradnl" w:eastAsia="es-ES"/>
        </w:rPr>
        <w:t xml:space="preserve">zar el derecho, entregando </w:t>
      </w:r>
      <w:r w:rsidRPr="00CB0D91">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CB0D91"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CB0D91"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CB0D91">
        <w:rPr>
          <w:rFonts w:ascii="Palatino Linotype" w:hAnsi="Palatino Linotype"/>
          <w:b/>
          <w:color w:val="auto"/>
          <w:sz w:val="24"/>
          <w:szCs w:val="24"/>
        </w:rPr>
        <w:t>II. De la información solicitada</w:t>
      </w:r>
      <w:bookmarkEnd w:id="27"/>
      <w:bookmarkEnd w:id="28"/>
      <w:r w:rsidRPr="00CB0D91">
        <w:rPr>
          <w:rFonts w:ascii="Palatino Linotype" w:hAnsi="Palatino Linotype"/>
          <w:b/>
          <w:color w:val="auto"/>
          <w:sz w:val="24"/>
          <w:szCs w:val="24"/>
        </w:rPr>
        <w:t xml:space="preserve"> y la respuesta del </w:t>
      </w:r>
      <w:r w:rsidR="00AE026F" w:rsidRPr="00CB0D91">
        <w:rPr>
          <w:rFonts w:ascii="Palatino Linotype" w:hAnsi="Palatino Linotype"/>
          <w:b/>
          <w:color w:val="auto"/>
          <w:sz w:val="24"/>
          <w:szCs w:val="24"/>
        </w:rPr>
        <w:t>SUJETO OBLIGADO</w:t>
      </w:r>
      <w:bookmarkEnd w:id="29"/>
    </w:p>
    <w:p w14:paraId="4099E990" w14:textId="21A9E171" w:rsidR="00AE026F" w:rsidRPr="00CB0D91"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B0D91">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CB0D91" w:rsidRDefault="00D66A39" w:rsidP="00D66A39">
      <w:pPr>
        <w:pStyle w:val="Prrafodelista"/>
        <w:spacing w:before="240" w:after="240" w:line="360" w:lineRule="auto"/>
        <w:ind w:left="0"/>
        <w:jc w:val="both"/>
        <w:rPr>
          <w:rFonts w:ascii="Palatino Linotype" w:eastAsia="Calibri" w:hAnsi="Palatino Linotype" w:cs="Arial"/>
          <w:sz w:val="24"/>
        </w:rPr>
      </w:pPr>
    </w:p>
    <w:p w14:paraId="70CC3EED" w14:textId="4DC5B7E1" w:rsidR="006437FA" w:rsidRPr="00CB0D91" w:rsidRDefault="00EE743E" w:rsidP="006437FA">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B0D91">
        <w:rPr>
          <w:rFonts w:ascii="Palatino Linotype" w:eastAsia="Calibri" w:hAnsi="Palatino Linotype" w:cs="Arial"/>
          <w:sz w:val="24"/>
        </w:rPr>
        <w:t xml:space="preserve">Primeramente debemos recapitular que el </w:t>
      </w:r>
      <w:r w:rsidR="00D11F51" w:rsidRPr="00CB0D91">
        <w:rPr>
          <w:rFonts w:ascii="Palatino Linotype" w:eastAsia="Calibri" w:hAnsi="Palatino Linotype" w:cs="Arial"/>
          <w:b/>
          <w:bCs/>
          <w:sz w:val="24"/>
        </w:rPr>
        <w:t>RECURRENTE</w:t>
      </w:r>
      <w:r w:rsidRPr="00CB0D91">
        <w:rPr>
          <w:rFonts w:ascii="Palatino Linotype" w:eastAsia="Calibri" w:hAnsi="Palatino Linotype" w:cs="Arial"/>
          <w:sz w:val="24"/>
        </w:rPr>
        <w:t xml:space="preserve"> </w:t>
      </w:r>
      <w:r w:rsidR="002F44D2" w:rsidRPr="00CB0D91">
        <w:rPr>
          <w:rFonts w:ascii="Palatino Linotype" w:eastAsia="Calibri" w:hAnsi="Palatino Linotype" w:cs="Arial"/>
          <w:sz w:val="24"/>
        </w:rPr>
        <w:t xml:space="preserve">requirió al </w:t>
      </w:r>
      <w:r w:rsidR="002F44D2" w:rsidRPr="00CB0D91">
        <w:rPr>
          <w:rFonts w:ascii="Palatino Linotype" w:eastAsia="Calibri" w:hAnsi="Palatino Linotype" w:cs="Arial"/>
          <w:b/>
          <w:bCs/>
          <w:sz w:val="24"/>
        </w:rPr>
        <w:t>SUJETO OBLIGADO</w:t>
      </w:r>
      <w:r w:rsidR="002F44D2" w:rsidRPr="00CB0D91">
        <w:rPr>
          <w:rFonts w:ascii="Palatino Linotype" w:eastAsia="Calibri" w:hAnsi="Palatino Linotype" w:cs="Arial"/>
          <w:sz w:val="24"/>
        </w:rPr>
        <w:t xml:space="preserve"> </w:t>
      </w:r>
      <w:r w:rsidR="00D11F51" w:rsidRPr="00CB0D91">
        <w:rPr>
          <w:rFonts w:ascii="Palatino Linotype" w:hAnsi="Palatino Linotype"/>
          <w:color w:val="000000"/>
          <w:sz w:val="24"/>
        </w:rPr>
        <w:t>las actas de las sesiones ordinarias y extraordinarias de cabildo, del uno de enero al treinta de junio de dos mil veintitrés.</w:t>
      </w:r>
    </w:p>
    <w:p w14:paraId="4B2EB893" w14:textId="77777777" w:rsidR="002F44D2" w:rsidRPr="00CB0D91" w:rsidRDefault="002F44D2" w:rsidP="006437FA">
      <w:pPr>
        <w:pStyle w:val="Prrafodelista"/>
        <w:spacing w:before="240" w:after="240" w:line="360" w:lineRule="auto"/>
        <w:ind w:left="0"/>
        <w:jc w:val="both"/>
        <w:rPr>
          <w:rFonts w:ascii="Palatino Linotype" w:eastAsia="Calibri" w:hAnsi="Palatino Linotype" w:cs="Arial"/>
          <w:sz w:val="24"/>
          <w:lang w:val="es-ES_tradnl"/>
        </w:rPr>
      </w:pPr>
    </w:p>
    <w:p w14:paraId="59FD02A7" w14:textId="49D9ED81" w:rsidR="00F83172" w:rsidRPr="00CB0D91" w:rsidRDefault="009C4F8B" w:rsidP="004069CB">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B0D91">
        <w:rPr>
          <w:rFonts w:ascii="Palatino Linotype" w:hAnsi="Palatino Linotype"/>
          <w:iCs/>
          <w:color w:val="000000"/>
          <w:sz w:val="24"/>
        </w:rPr>
        <w:t xml:space="preserve">En </w:t>
      </w:r>
      <w:r w:rsidR="00981445" w:rsidRPr="00CB0D91">
        <w:rPr>
          <w:rFonts w:ascii="Palatino Linotype" w:hAnsi="Palatino Linotype"/>
          <w:iCs/>
          <w:color w:val="000000"/>
          <w:sz w:val="24"/>
        </w:rPr>
        <w:t xml:space="preserve">respuesta, el </w:t>
      </w:r>
      <w:r w:rsidR="00981445" w:rsidRPr="00CB0D91">
        <w:rPr>
          <w:rFonts w:ascii="Palatino Linotype" w:hAnsi="Palatino Linotype"/>
          <w:b/>
          <w:bCs/>
          <w:iCs/>
          <w:color w:val="000000"/>
          <w:sz w:val="24"/>
        </w:rPr>
        <w:t>SUJETO OBLIGADO</w:t>
      </w:r>
      <w:r w:rsidR="00981445" w:rsidRPr="00CB0D91">
        <w:rPr>
          <w:rFonts w:ascii="Palatino Linotype" w:hAnsi="Palatino Linotype"/>
          <w:iCs/>
          <w:color w:val="000000"/>
          <w:sz w:val="24"/>
        </w:rPr>
        <w:t xml:space="preserve"> </w:t>
      </w:r>
      <w:r w:rsidR="00D11F51" w:rsidRPr="00CB0D91">
        <w:rPr>
          <w:rFonts w:ascii="Palatino Linotype" w:hAnsi="Palatino Linotype"/>
          <w:iCs/>
          <w:color w:val="000000"/>
          <w:sz w:val="24"/>
        </w:rPr>
        <w:t xml:space="preserve">por medio del Secretario del Ayuntamiento, manifestó que la información solicitada podía ser consultada a través de la siguiente liga </w:t>
      </w:r>
      <w:r w:rsidR="00C07EC9" w:rsidRPr="00CB0D91">
        <w:rPr>
          <w:rFonts w:ascii="Palatino Linotype" w:hAnsi="Palatino Linotype"/>
          <w:iCs/>
          <w:color w:val="000000"/>
          <w:sz w:val="24"/>
        </w:rPr>
        <w:t>electrónica</w:t>
      </w:r>
      <w:r w:rsidR="00D11F51" w:rsidRPr="00CB0D91">
        <w:rPr>
          <w:rFonts w:ascii="Palatino Linotype" w:hAnsi="Palatino Linotype"/>
          <w:iCs/>
          <w:color w:val="000000"/>
          <w:sz w:val="24"/>
        </w:rPr>
        <w:t xml:space="preserve">: </w:t>
      </w:r>
      <w:hyperlink r:id="rId11" w:history="1">
        <w:r w:rsidR="00D11F51" w:rsidRPr="00CB0D91">
          <w:rPr>
            <w:rStyle w:val="Hipervnculo"/>
            <w:rFonts w:ascii="Palatino Linotype" w:hAnsi="Palatino Linotype" w:cs="Arial"/>
            <w:sz w:val="24"/>
            <w:shd w:val="clear" w:color="auto" w:fill="FFFFFF"/>
          </w:rPr>
          <w:t>https://ipomex.org.mx/ipo3/lgt/portal/3.web#</w:t>
        </w:r>
      </w:hyperlink>
    </w:p>
    <w:p w14:paraId="04CDAF0D" w14:textId="72C29664" w:rsidR="00004DA0" w:rsidRPr="00CB0D91" w:rsidRDefault="009C4F8B" w:rsidP="00224B6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hAnsi="Palatino Linotype"/>
          <w:sz w:val="24"/>
        </w:rPr>
        <w:lastRenderedPageBreak/>
        <w:t>En consecuencia, el</w:t>
      </w:r>
      <w:r w:rsidRPr="00CB0D91">
        <w:rPr>
          <w:rFonts w:ascii="Palatino Linotype" w:hAnsi="Palatino Linotype"/>
          <w:b/>
          <w:bCs/>
          <w:sz w:val="24"/>
        </w:rPr>
        <w:t xml:space="preserve"> </w:t>
      </w:r>
      <w:r w:rsidR="00D11F51" w:rsidRPr="00CB0D91">
        <w:rPr>
          <w:rFonts w:ascii="Palatino Linotype" w:hAnsi="Palatino Linotype"/>
          <w:b/>
          <w:bCs/>
          <w:sz w:val="24"/>
        </w:rPr>
        <w:t>RECURRENTE</w:t>
      </w:r>
      <w:r w:rsidRPr="00CB0D91">
        <w:rPr>
          <w:rFonts w:ascii="Palatino Linotype" w:hAnsi="Palatino Linotype"/>
          <w:sz w:val="24"/>
        </w:rPr>
        <w:t xml:space="preserve"> interpuso recurso de revisión </w:t>
      </w:r>
      <w:bookmarkStart w:id="30" w:name="_Toc70625058"/>
      <w:bookmarkStart w:id="31" w:name="_Toc94119618"/>
      <w:r w:rsidR="00831C9B" w:rsidRPr="00CB0D91">
        <w:rPr>
          <w:rFonts w:ascii="Palatino Linotype" w:hAnsi="Palatino Linotype"/>
          <w:sz w:val="24"/>
        </w:rPr>
        <w:t xml:space="preserve">en que </w:t>
      </w:r>
      <w:r w:rsidR="00981445" w:rsidRPr="00CB0D91">
        <w:rPr>
          <w:rFonts w:ascii="Palatino Linotype" w:hAnsi="Palatino Linotype"/>
          <w:sz w:val="24"/>
        </w:rPr>
        <w:t xml:space="preserve">manifestó como motivos de inconformidad </w:t>
      </w:r>
      <w:r w:rsidR="00D11F51" w:rsidRPr="00CB0D91">
        <w:rPr>
          <w:rFonts w:ascii="Palatino Linotype" w:hAnsi="Palatino Linotype"/>
          <w:sz w:val="24"/>
        </w:rPr>
        <w:t>que la respuesta proporcionada no atiende las formalidades en tiempo y forma.</w:t>
      </w:r>
    </w:p>
    <w:p w14:paraId="1515B7E9" w14:textId="77777777" w:rsidR="00981445" w:rsidRPr="00CB0D91" w:rsidRDefault="00981445" w:rsidP="00981445">
      <w:pPr>
        <w:pStyle w:val="Prrafodelista"/>
        <w:spacing w:before="240" w:after="240" w:line="360" w:lineRule="auto"/>
        <w:ind w:left="0" w:right="48"/>
        <w:jc w:val="both"/>
        <w:rPr>
          <w:rFonts w:ascii="Palatino Linotype" w:eastAsia="MS Gothic" w:hAnsi="Palatino Linotype"/>
          <w:sz w:val="24"/>
        </w:rPr>
      </w:pPr>
    </w:p>
    <w:p w14:paraId="4B30A4EE" w14:textId="33C04B40" w:rsidR="00D11F51" w:rsidRPr="00CB0D91" w:rsidRDefault="00D11F51"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 xml:space="preserve">Expuesto lo anterior, se obvia el análisis de la competencia por parte del </w:t>
      </w:r>
      <w:r w:rsidRPr="00CB0D91">
        <w:rPr>
          <w:rFonts w:ascii="Palatino Linotype" w:eastAsia="MS Gothic" w:hAnsi="Palatino Linotype"/>
          <w:b/>
          <w:sz w:val="24"/>
        </w:rPr>
        <w:t>SUJETO OBLIGADO</w:t>
      </w:r>
      <w:r w:rsidRPr="00CB0D91">
        <w:rPr>
          <w:rFonts w:ascii="Palatino Linotype" w:eastAsia="MS Gothic" w:hAnsi="Palatino Linotype"/>
          <w:sz w:val="24"/>
        </w:rPr>
        <w:t xml:space="preserve">, para generar, administrar o poseer la información solicitada, dado que éste ha asumido la misma razón por la </w:t>
      </w:r>
      <w:r w:rsidR="00831C9B" w:rsidRPr="00CB0D91">
        <w:rPr>
          <w:rFonts w:ascii="Palatino Linotype" w:eastAsia="MS Gothic" w:hAnsi="Palatino Linotype"/>
          <w:sz w:val="24"/>
        </w:rPr>
        <w:t>que</w:t>
      </w:r>
      <w:r w:rsidRPr="00CB0D91">
        <w:rPr>
          <w:rFonts w:ascii="Palatino Linotype" w:eastAsia="MS Gothic" w:hAnsi="Palatino Linotype"/>
          <w:sz w:val="24"/>
        </w:rPr>
        <w:t xml:space="preserve"> al haberse pronunciado el </w:t>
      </w:r>
      <w:r w:rsidRPr="00CB0D91">
        <w:rPr>
          <w:rFonts w:ascii="Palatino Linotype" w:eastAsia="MS Gothic" w:hAnsi="Palatino Linotype"/>
          <w:b/>
          <w:sz w:val="24"/>
        </w:rPr>
        <w:t>SUJETO OBLIGADO</w:t>
      </w:r>
      <w:r w:rsidRPr="00CB0D91">
        <w:rPr>
          <w:rFonts w:ascii="Palatino Linotype" w:eastAsia="MS Gothic" w:hAnsi="Palatino Linotype"/>
          <w:sz w:val="24"/>
        </w:rPr>
        <w:t xml:space="preserve"> es que acepta poseer y administrar dicha información, en ejercicio de sus funciones de derecho público, </w:t>
      </w:r>
      <w:r w:rsidR="00831C9B" w:rsidRPr="00CB0D91">
        <w:rPr>
          <w:rFonts w:ascii="Palatino Linotype" w:eastAsia="MS Gothic" w:hAnsi="Palatino Linotype"/>
          <w:sz w:val="24"/>
        </w:rPr>
        <w:t xml:space="preserve">por lo que </w:t>
      </w:r>
      <w:r w:rsidRPr="00CB0D91">
        <w:rPr>
          <w:rFonts w:ascii="Palatino Linotype" w:eastAsia="MS Gothic" w:hAnsi="Palatino Linotype"/>
          <w:sz w:val="24"/>
        </w:rPr>
        <w:t>se actualiza el supuesto jurídico, previsto en el artículo 12 de la Ley de Transparencia y Acceso a la Información Pública del Estado de México y Municipios.</w:t>
      </w:r>
    </w:p>
    <w:p w14:paraId="1B2672FC" w14:textId="77777777" w:rsidR="00D11F51" w:rsidRPr="00CB0D91" w:rsidRDefault="00D11F51" w:rsidP="00D11F51">
      <w:pPr>
        <w:pStyle w:val="Prrafodelista"/>
        <w:spacing w:before="240" w:after="240" w:line="360" w:lineRule="auto"/>
        <w:ind w:left="0" w:right="48"/>
        <w:jc w:val="both"/>
        <w:rPr>
          <w:rFonts w:ascii="Palatino Linotype" w:eastAsia="MS Gothic" w:hAnsi="Palatino Linotype"/>
          <w:sz w:val="24"/>
        </w:rPr>
      </w:pPr>
    </w:p>
    <w:p w14:paraId="0CD82E43" w14:textId="7E33E32F" w:rsidR="00D11F51" w:rsidRPr="00CB0D91" w:rsidRDefault="00D11F51" w:rsidP="006437F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 xml:space="preserve">Por lo que, el estudio de la naturaleza jurídica de la información pública solicitada, tiene por objeto determinar si ésta la genera, posee o administra el </w:t>
      </w:r>
      <w:r w:rsidRPr="00CB0D91">
        <w:rPr>
          <w:rFonts w:ascii="Palatino Linotype" w:eastAsia="MS Gothic" w:hAnsi="Palatino Linotype"/>
          <w:b/>
          <w:sz w:val="24"/>
        </w:rPr>
        <w:t>SUJETO OBLIGADO</w:t>
      </w:r>
      <w:r w:rsidRPr="00CB0D91">
        <w:rPr>
          <w:rFonts w:ascii="Palatino Linotype" w:eastAsia="MS Gothic" w:hAnsi="Palatino Linotype"/>
          <w:sz w:val="24"/>
        </w:rPr>
        <w:t xml:space="preserve">; sin embargo, en aquellos casos en que éste la asume, implica que cuenta con la misma; por consiguiente, a nada práctico nos conduciría su estudio, ya que se insiste la información pública solicitada, fue asumida por el </w:t>
      </w:r>
      <w:r w:rsidRPr="00CB0D91">
        <w:rPr>
          <w:rFonts w:ascii="Palatino Linotype" w:eastAsia="MS Gothic" w:hAnsi="Palatino Linotype"/>
          <w:b/>
          <w:sz w:val="24"/>
        </w:rPr>
        <w:t>SUJETO OBLIGADO</w:t>
      </w:r>
      <w:r w:rsidRPr="00CB0D91">
        <w:rPr>
          <w:rFonts w:ascii="Palatino Linotype" w:eastAsia="MS Gothic" w:hAnsi="Palatino Linotype"/>
          <w:sz w:val="24"/>
        </w:rPr>
        <w:t>.</w:t>
      </w:r>
    </w:p>
    <w:p w14:paraId="279F893F" w14:textId="77777777" w:rsidR="00D11F51" w:rsidRPr="00CB0D91" w:rsidRDefault="00D11F51" w:rsidP="00D11F51">
      <w:pPr>
        <w:pStyle w:val="Prrafodelista"/>
        <w:spacing w:before="240" w:after="240" w:line="360" w:lineRule="auto"/>
        <w:ind w:left="0" w:right="48"/>
        <w:jc w:val="both"/>
        <w:rPr>
          <w:rFonts w:ascii="Palatino Linotype" w:eastAsia="MS Gothic" w:hAnsi="Palatino Linotype"/>
          <w:sz w:val="24"/>
        </w:rPr>
      </w:pPr>
    </w:p>
    <w:p w14:paraId="3117514F" w14:textId="43BF07E3" w:rsidR="00FF6B38" w:rsidRPr="00CB0D91" w:rsidRDefault="00D11F51"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Precisado lo anterior</w:t>
      </w:r>
      <w:r w:rsidR="00FF6B38" w:rsidRPr="00CB0D91">
        <w:rPr>
          <w:rFonts w:ascii="Palatino Linotype" w:eastAsia="MS Gothic" w:hAnsi="Palatino Linotype"/>
          <w:sz w:val="24"/>
        </w:rPr>
        <w:t xml:space="preserve">, este </w:t>
      </w:r>
      <w:r w:rsidR="002E2F2E" w:rsidRPr="00CB0D91">
        <w:rPr>
          <w:rFonts w:ascii="Palatino Linotype" w:eastAsia="MS Gothic" w:hAnsi="Palatino Linotype"/>
          <w:sz w:val="24"/>
        </w:rPr>
        <w:t>O</w:t>
      </w:r>
      <w:r w:rsidR="00FF6B38" w:rsidRPr="00CB0D91">
        <w:rPr>
          <w:rFonts w:ascii="Palatino Linotype" w:eastAsia="MS Gothic" w:hAnsi="Palatino Linotype"/>
          <w:sz w:val="24"/>
        </w:rPr>
        <w:t xml:space="preserve">rganismo Garante consultó la liga electrónica proporcionada por el </w:t>
      </w:r>
      <w:r w:rsidR="00FF6B38" w:rsidRPr="00CB0D91">
        <w:rPr>
          <w:rFonts w:ascii="Palatino Linotype" w:eastAsia="MS Gothic" w:hAnsi="Palatino Linotype"/>
          <w:b/>
          <w:bCs/>
          <w:sz w:val="24"/>
        </w:rPr>
        <w:t>SUJETO OBLIGADO</w:t>
      </w:r>
      <w:r w:rsidR="00FF6B38" w:rsidRPr="00CB0D91">
        <w:rPr>
          <w:rFonts w:ascii="Palatino Linotype" w:eastAsia="MS Gothic" w:hAnsi="Palatino Linotype"/>
          <w:sz w:val="24"/>
        </w:rPr>
        <w:t xml:space="preserve">, </w:t>
      </w:r>
      <w:r w:rsidR="00831C9B" w:rsidRPr="00CB0D91">
        <w:rPr>
          <w:rFonts w:ascii="Palatino Linotype" w:eastAsia="MS Gothic" w:hAnsi="Palatino Linotype"/>
          <w:sz w:val="24"/>
        </w:rPr>
        <w:t xml:space="preserve">y se </w:t>
      </w:r>
      <w:r w:rsidR="00FF6B38" w:rsidRPr="00CB0D91">
        <w:rPr>
          <w:rFonts w:ascii="Palatino Linotype" w:eastAsia="MS Gothic" w:hAnsi="Palatino Linotype"/>
          <w:sz w:val="24"/>
        </w:rPr>
        <w:t>desprende lo siguiente:</w:t>
      </w:r>
    </w:p>
    <w:p w14:paraId="7FE1FDE8" w14:textId="5E78CEFA" w:rsidR="00FF6B38" w:rsidRPr="00CB0D91" w:rsidRDefault="00D11F51" w:rsidP="00D11F51">
      <w:pPr>
        <w:pStyle w:val="Prrafodelista"/>
        <w:spacing w:before="240" w:after="240" w:line="360" w:lineRule="auto"/>
        <w:ind w:left="0" w:right="48"/>
        <w:jc w:val="center"/>
        <w:rPr>
          <w:rFonts w:ascii="Palatino Linotype" w:eastAsia="MS Gothic" w:hAnsi="Palatino Linotype"/>
          <w:sz w:val="24"/>
        </w:rPr>
      </w:pPr>
      <w:r w:rsidRPr="00CB0D91">
        <w:rPr>
          <w:rFonts w:ascii="Palatino Linotype" w:eastAsia="MS Gothic" w:hAnsi="Palatino Linotype"/>
          <w:noProof/>
          <w:sz w:val="24"/>
        </w:rPr>
        <w:lastRenderedPageBreak/>
        <w:drawing>
          <wp:inline distT="0" distB="0" distL="0" distR="0" wp14:anchorId="546FA13D" wp14:editId="0527AF32">
            <wp:extent cx="5525656" cy="3923680"/>
            <wp:effectExtent l="12700" t="12700" r="12065" b="133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5530361" cy="3927021"/>
                    </a:xfrm>
                    <a:prstGeom prst="rect">
                      <a:avLst/>
                    </a:prstGeom>
                    <a:ln>
                      <a:solidFill>
                        <a:schemeClr val="tx1"/>
                      </a:solidFill>
                    </a:ln>
                  </pic:spPr>
                </pic:pic>
              </a:graphicData>
            </a:graphic>
          </wp:inline>
        </w:drawing>
      </w:r>
    </w:p>
    <w:p w14:paraId="5BA94767" w14:textId="77777777" w:rsidR="00D11F51" w:rsidRPr="00CB0D91" w:rsidRDefault="00D11F51" w:rsidP="00D11F51">
      <w:pPr>
        <w:pStyle w:val="Prrafodelista"/>
        <w:spacing w:before="240" w:after="240" w:line="360" w:lineRule="auto"/>
        <w:ind w:left="0" w:right="48"/>
        <w:rPr>
          <w:rFonts w:ascii="Palatino Linotype" w:eastAsia="MS Gothic" w:hAnsi="Palatino Linotype"/>
          <w:sz w:val="24"/>
        </w:rPr>
      </w:pPr>
    </w:p>
    <w:p w14:paraId="3466263E" w14:textId="094734CE" w:rsidR="002D0C60" w:rsidRPr="00CB0D91" w:rsidRDefault="00D11F51"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S</w:t>
      </w:r>
      <w:r w:rsidR="0087756D" w:rsidRPr="00CB0D91">
        <w:rPr>
          <w:rFonts w:ascii="Palatino Linotype" w:eastAsia="MS Gothic" w:hAnsi="Palatino Linotype"/>
          <w:sz w:val="24"/>
        </w:rPr>
        <w:t xml:space="preserve">e observa que </w:t>
      </w:r>
      <w:r w:rsidR="00FF6B38" w:rsidRPr="00CB0D91">
        <w:rPr>
          <w:rFonts w:ascii="Palatino Linotype" w:eastAsia="MS Gothic" w:hAnsi="Palatino Linotype"/>
          <w:sz w:val="24"/>
        </w:rPr>
        <w:t xml:space="preserve">la liga electrónica </w:t>
      </w:r>
      <w:r w:rsidR="00ED5AAE" w:rsidRPr="00CB0D91">
        <w:rPr>
          <w:rFonts w:ascii="Palatino Linotype" w:eastAsia="MS Gothic" w:hAnsi="Palatino Linotype"/>
          <w:sz w:val="24"/>
        </w:rPr>
        <w:t xml:space="preserve">permite </w:t>
      </w:r>
      <w:r w:rsidR="00FF6B38" w:rsidRPr="00CB0D91">
        <w:rPr>
          <w:rFonts w:ascii="Palatino Linotype" w:eastAsia="MS Gothic" w:hAnsi="Palatino Linotype"/>
          <w:sz w:val="24"/>
        </w:rPr>
        <w:t xml:space="preserve">acceder al </w:t>
      </w:r>
      <w:r w:rsidR="00FF6B38" w:rsidRPr="00CB0D91">
        <w:rPr>
          <w:rFonts w:ascii="Palatino Linotype" w:hAnsi="Palatino Linotype"/>
          <w:bCs/>
          <w:iCs/>
          <w:color w:val="000000" w:themeColor="text1"/>
          <w:sz w:val="24"/>
        </w:rPr>
        <w:t xml:space="preserve">Portal de Información Pública de Oficio de los Sujetos Obligados del Estado de México y Municipios </w:t>
      </w:r>
      <w:r w:rsidR="00FF6B38" w:rsidRPr="00CB0D91">
        <w:rPr>
          <w:rFonts w:ascii="Palatino Linotype" w:hAnsi="Palatino Linotype"/>
          <w:b/>
          <w:iCs/>
          <w:color w:val="000000" w:themeColor="text1"/>
          <w:sz w:val="24"/>
        </w:rPr>
        <w:t>(IPOMEX)</w:t>
      </w:r>
      <w:r w:rsidRPr="00CB0D91">
        <w:rPr>
          <w:rFonts w:ascii="Palatino Linotype" w:hAnsi="Palatino Linotype"/>
          <w:bCs/>
          <w:iCs/>
          <w:color w:val="000000" w:themeColor="text1"/>
          <w:sz w:val="24"/>
        </w:rPr>
        <w:t xml:space="preserve">; </w:t>
      </w:r>
      <w:r w:rsidRPr="00CB0D91">
        <w:rPr>
          <w:rFonts w:ascii="Palatino Linotype" w:eastAsia="MS Gothic" w:hAnsi="Palatino Linotype"/>
          <w:sz w:val="24"/>
        </w:rPr>
        <w:t>en este sentido, r</w:t>
      </w:r>
      <w:r w:rsidR="00ED5AAE" w:rsidRPr="00CB0D91">
        <w:rPr>
          <w:rFonts w:ascii="Palatino Linotype" w:eastAsia="MS Gothic" w:hAnsi="Palatino Linotype"/>
          <w:sz w:val="24"/>
        </w:rPr>
        <w:t>esulta conveniente señalar que</w:t>
      </w:r>
      <w:r w:rsidRPr="00CB0D91">
        <w:rPr>
          <w:rFonts w:ascii="Palatino Linotype" w:eastAsia="MS Gothic" w:hAnsi="Palatino Linotype"/>
          <w:sz w:val="24"/>
        </w:rPr>
        <w:t xml:space="preserve"> </w:t>
      </w:r>
      <w:r w:rsidR="0087756D" w:rsidRPr="00CB0D91">
        <w:rPr>
          <w:rFonts w:ascii="Palatino Linotype" w:eastAsia="MS Gothic" w:hAnsi="Palatino Linotype"/>
          <w:sz w:val="24"/>
        </w:rPr>
        <w:t>l</w:t>
      </w:r>
      <w:r w:rsidRPr="00CB0D91">
        <w:rPr>
          <w:rFonts w:ascii="Palatino Linotype" w:eastAsia="MS Gothic" w:hAnsi="Palatino Linotype"/>
          <w:sz w:val="24"/>
        </w:rPr>
        <w:t xml:space="preserve">o requerido </w:t>
      </w:r>
      <w:r w:rsidR="0019424D" w:rsidRPr="00CB0D91">
        <w:rPr>
          <w:rFonts w:ascii="Palatino Linotype" w:eastAsia="MS Gothic" w:hAnsi="Palatino Linotype"/>
          <w:sz w:val="24"/>
        </w:rPr>
        <w:t>p</w:t>
      </w:r>
      <w:r w:rsidR="0087756D" w:rsidRPr="00CB0D91">
        <w:rPr>
          <w:rFonts w:ascii="Palatino Linotype" w:eastAsia="MS Gothic" w:hAnsi="Palatino Linotype"/>
          <w:sz w:val="24"/>
        </w:rPr>
        <w:t>o</w:t>
      </w:r>
      <w:r w:rsidR="0019424D" w:rsidRPr="00CB0D91">
        <w:rPr>
          <w:rFonts w:ascii="Palatino Linotype" w:eastAsia="MS Gothic" w:hAnsi="Palatino Linotype"/>
          <w:sz w:val="24"/>
        </w:rPr>
        <w:t>d</w:t>
      </w:r>
      <w:r w:rsidR="00981445" w:rsidRPr="00CB0D91">
        <w:rPr>
          <w:rFonts w:ascii="Palatino Linotype" w:eastAsia="MS Gothic" w:hAnsi="Palatino Linotype"/>
          <w:sz w:val="24"/>
        </w:rPr>
        <w:t xml:space="preserve">ría </w:t>
      </w:r>
      <w:r w:rsidR="0019424D" w:rsidRPr="00CB0D91">
        <w:rPr>
          <w:rFonts w:ascii="Palatino Linotype" w:eastAsia="MS Gothic" w:hAnsi="Palatino Linotype"/>
          <w:sz w:val="24"/>
        </w:rPr>
        <w:t xml:space="preserve">obrar </w:t>
      </w:r>
      <w:r w:rsidR="0087756D" w:rsidRPr="00CB0D91">
        <w:rPr>
          <w:rFonts w:ascii="Palatino Linotype" w:eastAsia="MS Gothic" w:hAnsi="Palatino Linotype"/>
          <w:sz w:val="24"/>
        </w:rPr>
        <w:t>en</w:t>
      </w:r>
      <w:r w:rsidRPr="00CB0D91">
        <w:rPr>
          <w:rFonts w:ascii="Palatino Linotype" w:hAnsi="Palatino Linotype"/>
          <w:bCs/>
          <w:iCs/>
          <w:color w:val="000000" w:themeColor="text1"/>
          <w:sz w:val="24"/>
        </w:rPr>
        <w:t xml:space="preserve"> este sitio</w:t>
      </w:r>
      <w:r w:rsidR="0087756D" w:rsidRPr="00CB0D91">
        <w:rPr>
          <w:rFonts w:ascii="Palatino Linotype" w:hAnsi="Palatino Linotype"/>
          <w:bCs/>
          <w:iCs/>
          <w:color w:val="000000" w:themeColor="text1"/>
          <w:sz w:val="24"/>
        </w:rPr>
        <w:t xml:space="preserve">, </w:t>
      </w:r>
      <w:r w:rsidRPr="00CB0D91">
        <w:rPr>
          <w:rFonts w:ascii="Palatino Linotype" w:hAnsi="Palatino Linotype"/>
          <w:bCs/>
          <w:iCs/>
          <w:color w:val="000000" w:themeColor="text1"/>
          <w:sz w:val="24"/>
        </w:rPr>
        <w:t>ya que</w:t>
      </w:r>
      <w:r w:rsidR="0087756D" w:rsidRPr="00CB0D91">
        <w:rPr>
          <w:rFonts w:ascii="Palatino Linotype" w:hAnsi="Palatino Linotype"/>
          <w:bCs/>
          <w:iCs/>
          <w:color w:val="000000" w:themeColor="text1"/>
          <w:sz w:val="24"/>
        </w:rPr>
        <w:t xml:space="preserve"> corresponde a una Obligación de Transparencia </w:t>
      </w:r>
      <w:r w:rsidRPr="00CB0D91">
        <w:rPr>
          <w:rFonts w:ascii="Palatino Linotype" w:hAnsi="Palatino Linotype"/>
          <w:bCs/>
          <w:iCs/>
          <w:color w:val="000000" w:themeColor="text1"/>
          <w:sz w:val="24"/>
        </w:rPr>
        <w:t>Específica</w:t>
      </w:r>
      <w:r w:rsidR="0087756D" w:rsidRPr="00CB0D91">
        <w:rPr>
          <w:rFonts w:ascii="Palatino Linotype" w:hAnsi="Palatino Linotype"/>
          <w:bCs/>
          <w:iCs/>
          <w:color w:val="000000" w:themeColor="text1"/>
          <w:sz w:val="24"/>
        </w:rPr>
        <w:t xml:space="preserve"> conforme a lo establecido en la fracción </w:t>
      </w:r>
      <w:r w:rsidRPr="00CB0D91">
        <w:rPr>
          <w:rFonts w:ascii="Palatino Linotype" w:hAnsi="Palatino Linotype"/>
          <w:bCs/>
          <w:iCs/>
          <w:color w:val="000000" w:themeColor="text1"/>
          <w:sz w:val="24"/>
        </w:rPr>
        <w:t>II B2</w:t>
      </w:r>
      <w:r w:rsidR="00ED5AAE" w:rsidRPr="00CB0D91">
        <w:rPr>
          <w:rFonts w:ascii="Palatino Linotype" w:hAnsi="Palatino Linotype"/>
          <w:bCs/>
          <w:iCs/>
          <w:color w:val="000000" w:themeColor="text1"/>
          <w:sz w:val="24"/>
        </w:rPr>
        <w:t xml:space="preserve"> </w:t>
      </w:r>
      <w:r w:rsidR="0087756D" w:rsidRPr="00CB0D91">
        <w:rPr>
          <w:rFonts w:ascii="Palatino Linotype" w:hAnsi="Palatino Linotype"/>
          <w:bCs/>
          <w:iCs/>
          <w:color w:val="000000" w:themeColor="text1"/>
          <w:sz w:val="24"/>
        </w:rPr>
        <w:t>del artículo 9</w:t>
      </w:r>
      <w:r w:rsidRPr="00CB0D91">
        <w:rPr>
          <w:rFonts w:ascii="Palatino Linotype" w:hAnsi="Palatino Linotype"/>
          <w:bCs/>
          <w:iCs/>
          <w:color w:val="000000" w:themeColor="text1"/>
          <w:sz w:val="24"/>
        </w:rPr>
        <w:t xml:space="preserve">4 </w:t>
      </w:r>
      <w:r w:rsidR="0087756D" w:rsidRPr="00CB0D91">
        <w:rPr>
          <w:rFonts w:ascii="Palatino Linotype" w:hAnsi="Palatino Linotype"/>
          <w:bCs/>
          <w:iCs/>
          <w:color w:val="000000" w:themeColor="text1"/>
          <w:sz w:val="24"/>
        </w:rPr>
        <w:t>de la Ley de Transparencia y Acceso a la Información Pública del Estado de México y Municipios</w:t>
      </w:r>
      <w:r w:rsidRPr="00CB0D91">
        <w:rPr>
          <w:rFonts w:ascii="Palatino Linotype" w:hAnsi="Palatino Linotype"/>
          <w:bCs/>
          <w:iCs/>
          <w:color w:val="000000" w:themeColor="text1"/>
          <w:sz w:val="24"/>
        </w:rPr>
        <w:t>, que a la letra señala lo siguiente:</w:t>
      </w:r>
    </w:p>
    <w:p w14:paraId="7A61849B" w14:textId="5A2530C0" w:rsidR="0008252C" w:rsidRPr="00CB0D91" w:rsidRDefault="0008252C" w:rsidP="0008252C">
      <w:pPr>
        <w:pStyle w:val="Prrafodelista"/>
        <w:spacing w:before="240" w:after="240" w:line="360" w:lineRule="auto"/>
        <w:ind w:left="0" w:right="48"/>
        <w:jc w:val="both"/>
        <w:rPr>
          <w:rFonts w:ascii="Palatino Linotype" w:eastAsia="MS Gothic" w:hAnsi="Palatino Linotype"/>
          <w:sz w:val="24"/>
        </w:rPr>
      </w:pPr>
    </w:p>
    <w:p w14:paraId="5FCC1EA6" w14:textId="48CE8593" w:rsidR="009C53EB" w:rsidRPr="00CB0D91" w:rsidRDefault="00D11F51" w:rsidP="00ED5AAE">
      <w:pPr>
        <w:pStyle w:val="Prrafodelista"/>
        <w:spacing w:before="240" w:after="240"/>
        <w:ind w:left="567" w:right="539"/>
        <w:jc w:val="center"/>
        <w:rPr>
          <w:rFonts w:ascii="Palatino Linotype" w:eastAsia="MS Gothic" w:hAnsi="Palatino Linotype"/>
          <w:b/>
          <w:bCs/>
          <w:i/>
          <w:iCs/>
          <w:szCs w:val="22"/>
        </w:rPr>
      </w:pPr>
      <w:r w:rsidRPr="00CB0D91">
        <w:rPr>
          <w:rFonts w:ascii="Palatino Linotype" w:eastAsia="MS Gothic" w:hAnsi="Palatino Linotype"/>
          <w:b/>
          <w:bCs/>
          <w:i/>
          <w:iCs/>
          <w:szCs w:val="22"/>
        </w:rPr>
        <w:t>“</w:t>
      </w:r>
      <w:r w:rsidR="009C53EB" w:rsidRPr="00CB0D91">
        <w:rPr>
          <w:rFonts w:ascii="Palatino Linotype" w:eastAsia="MS Gothic" w:hAnsi="Palatino Linotype"/>
          <w:b/>
          <w:bCs/>
          <w:i/>
          <w:iCs/>
          <w:szCs w:val="22"/>
        </w:rPr>
        <w:t>Capítulo II</w:t>
      </w:r>
      <w:r w:rsidRPr="00CB0D91">
        <w:rPr>
          <w:rFonts w:ascii="Palatino Linotype" w:eastAsia="MS Gothic" w:hAnsi="Palatino Linotype"/>
          <w:b/>
          <w:bCs/>
          <w:i/>
          <w:iCs/>
          <w:szCs w:val="22"/>
        </w:rPr>
        <w:t>I</w:t>
      </w:r>
    </w:p>
    <w:p w14:paraId="69E66013" w14:textId="1E1A847F" w:rsidR="009C53EB" w:rsidRPr="00CB0D91" w:rsidRDefault="009C53EB" w:rsidP="00ED5AAE">
      <w:pPr>
        <w:pStyle w:val="Prrafodelista"/>
        <w:spacing w:before="240" w:after="240"/>
        <w:ind w:left="567" w:right="539"/>
        <w:jc w:val="center"/>
        <w:rPr>
          <w:rFonts w:ascii="Palatino Linotype" w:eastAsia="MS Gothic" w:hAnsi="Palatino Linotype"/>
          <w:b/>
          <w:bCs/>
          <w:i/>
          <w:iCs/>
          <w:szCs w:val="22"/>
        </w:rPr>
      </w:pPr>
      <w:r w:rsidRPr="00CB0D91">
        <w:rPr>
          <w:rFonts w:ascii="Palatino Linotype" w:eastAsia="MS Gothic" w:hAnsi="Palatino Linotype"/>
          <w:b/>
          <w:bCs/>
          <w:i/>
          <w:iCs/>
          <w:szCs w:val="22"/>
        </w:rPr>
        <w:t xml:space="preserve">De las Obligaciones de Transparencia </w:t>
      </w:r>
      <w:r w:rsidR="00D11F51" w:rsidRPr="00CB0D91">
        <w:rPr>
          <w:rFonts w:ascii="Palatino Linotype" w:eastAsia="MS Gothic" w:hAnsi="Palatino Linotype"/>
          <w:b/>
          <w:bCs/>
          <w:i/>
          <w:iCs/>
          <w:szCs w:val="22"/>
        </w:rPr>
        <w:t>Específicas de los Sujetos Obligados</w:t>
      </w:r>
    </w:p>
    <w:p w14:paraId="6E8F7E0E" w14:textId="77777777" w:rsidR="00ED5AAE" w:rsidRPr="00CB0D91" w:rsidRDefault="00ED5AAE" w:rsidP="00ED5AAE">
      <w:pPr>
        <w:pStyle w:val="Prrafodelista"/>
        <w:spacing w:before="240" w:after="240"/>
        <w:ind w:left="567" w:right="539"/>
        <w:jc w:val="center"/>
        <w:rPr>
          <w:rFonts w:ascii="Palatino Linotype" w:eastAsia="MS Gothic" w:hAnsi="Palatino Linotype"/>
          <w:b/>
          <w:bCs/>
          <w:i/>
          <w:iCs/>
          <w:szCs w:val="22"/>
        </w:rPr>
      </w:pPr>
    </w:p>
    <w:p w14:paraId="7EF2D232" w14:textId="76B9A830" w:rsidR="009C53EB" w:rsidRPr="00CB0D91" w:rsidRDefault="00D67CCD" w:rsidP="00ED5AAE">
      <w:pPr>
        <w:pStyle w:val="Prrafodelista"/>
        <w:spacing w:before="240" w:after="240"/>
        <w:ind w:left="567" w:right="539"/>
        <w:jc w:val="both"/>
        <w:rPr>
          <w:rFonts w:ascii="Palatino Linotype" w:eastAsia="MS Gothic" w:hAnsi="Palatino Linotype"/>
          <w:i/>
          <w:iCs/>
          <w:szCs w:val="22"/>
        </w:rPr>
      </w:pPr>
      <w:r w:rsidRPr="00CB0D91">
        <w:rPr>
          <w:rFonts w:ascii="Palatino Linotype" w:eastAsia="MS Gothic" w:hAnsi="Palatino Linotype"/>
          <w:b/>
          <w:bCs/>
          <w:i/>
          <w:iCs/>
          <w:szCs w:val="22"/>
        </w:rPr>
        <w:lastRenderedPageBreak/>
        <w:t>“</w:t>
      </w:r>
      <w:r w:rsidR="009C53EB" w:rsidRPr="00CB0D91">
        <w:rPr>
          <w:rFonts w:ascii="Palatino Linotype" w:eastAsia="MS Gothic" w:hAnsi="Palatino Linotype"/>
          <w:b/>
          <w:bCs/>
          <w:i/>
          <w:iCs/>
          <w:szCs w:val="22"/>
        </w:rPr>
        <w:t>Artículo 9</w:t>
      </w:r>
      <w:r w:rsidR="00D11F51" w:rsidRPr="00CB0D91">
        <w:rPr>
          <w:rFonts w:ascii="Palatino Linotype" w:eastAsia="MS Gothic" w:hAnsi="Palatino Linotype"/>
          <w:b/>
          <w:bCs/>
          <w:i/>
          <w:iCs/>
          <w:szCs w:val="22"/>
        </w:rPr>
        <w:t xml:space="preserve">4. </w:t>
      </w:r>
      <w:r w:rsidR="00D11F51" w:rsidRPr="00CB0D91">
        <w:rPr>
          <w:rFonts w:ascii="Palatino Linotype" w:hAnsi="Palatino Linotype"/>
          <w:i/>
          <w:iCs/>
        </w:rPr>
        <w:t>Además de las obligaciones de transparencia común a que se refiere el Capítulo II de este Título, los sujetos obligados del Poder Ejecutivo Local y municipales, deberán poner a disposición del público y actualizar la siguiente información:</w:t>
      </w:r>
      <w:r w:rsidR="009C53EB" w:rsidRPr="00CB0D91">
        <w:rPr>
          <w:rFonts w:ascii="Palatino Linotype" w:eastAsia="MS Gothic" w:hAnsi="Palatino Linotype"/>
          <w:i/>
          <w:iCs/>
          <w:szCs w:val="22"/>
        </w:rPr>
        <w:t>:</w:t>
      </w:r>
    </w:p>
    <w:p w14:paraId="52E26CB1" w14:textId="77777777" w:rsidR="00D11F51" w:rsidRPr="00CB0D91" w:rsidRDefault="009C53EB" w:rsidP="00D11F51">
      <w:pPr>
        <w:pStyle w:val="Prrafodelista"/>
        <w:spacing w:before="240" w:after="240"/>
        <w:ind w:left="567" w:right="539"/>
        <w:jc w:val="both"/>
        <w:rPr>
          <w:rFonts w:ascii="Palatino Linotype" w:eastAsia="MS Gothic" w:hAnsi="Palatino Linotype"/>
          <w:i/>
          <w:iCs/>
          <w:szCs w:val="22"/>
        </w:rPr>
      </w:pPr>
      <w:r w:rsidRPr="00CB0D91">
        <w:rPr>
          <w:rFonts w:ascii="Palatino Linotype" w:eastAsia="MS Gothic" w:hAnsi="Palatino Linotype"/>
          <w:i/>
          <w:iCs/>
          <w:szCs w:val="22"/>
        </w:rPr>
        <w:t>(…)</w:t>
      </w:r>
    </w:p>
    <w:p w14:paraId="4984FFF8" w14:textId="77777777" w:rsidR="00D11F51" w:rsidRPr="00CB0D91" w:rsidRDefault="009C53EB" w:rsidP="00D11F51">
      <w:pPr>
        <w:pStyle w:val="Prrafodelista"/>
        <w:spacing w:before="240" w:after="240"/>
        <w:ind w:left="567" w:right="539"/>
        <w:jc w:val="both"/>
        <w:rPr>
          <w:rFonts w:ascii="Palatino Linotype" w:eastAsia="MS Gothic" w:hAnsi="Palatino Linotype"/>
          <w:b/>
          <w:bCs/>
          <w:i/>
          <w:iCs/>
          <w:szCs w:val="22"/>
        </w:rPr>
      </w:pPr>
      <w:r w:rsidRPr="00CB0D91">
        <w:rPr>
          <w:rFonts w:ascii="Palatino Linotype" w:eastAsia="MS Gothic" w:hAnsi="Palatino Linotype"/>
          <w:b/>
          <w:bCs/>
          <w:i/>
          <w:iCs/>
          <w:szCs w:val="22"/>
        </w:rPr>
        <w:t>I</w:t>
      </w:r>
      <w:r w:rsidR="00D11F51" w:rsidRPr="00CB0D91">
        <w:rPr>
          <w:rFonts w:ascii="Palatino Linotype" w:eastAsia="MS Gothic" w:hAnsi="Palatino Linotype"/>
          <w:b/>
          <w:bCs/>
          <w:i/>
          <w:iCs/>
          <w:szCs w:val="22"/>
        </w:rPr>
        <w:t>I</w:t>
      </w:r>
      <w:r w:rsidR="00ED5AAE" w:rsidRPr="00CB0D91">
        <w:rPr>
          <w:rFonts w:ascii="Palatino Linotype" w:eastAsia="MS Gothic" w:hAnsi="Palatino Linotype"/>
          <w:b/>
          <w:bCs/>
          <w:i/>
          <w:iCs/>
          <w:szCs w:val="22"/>
        </w:rPr>
        <w:t>.</w:t>
      </w:r>
      <w:r w:rsidR="00D11F51" w:rsidRPr="00CB0D91">
        <w:rPr>
          <w:rFonts w:ascii="Palatino Linotype" w:eastAsia="MS Gothic" w:hAnsi="Palatino Linotype"/>
          <w:b/>
          <w:bCs/>
          <w:i/>
          <w:iCs/>
          <w:szCs w:val="22"/>
        </w:rPr>
        <w:t xml:space="preserve"> Adicionalmente en el caso de los municipios:</w:t>
      </w:r>
    </w:p>
    <w:p w14:paraId="16B5EB62" w14:textId="4CD433B8" w:rsidR="00D11F51" w:rsidRPr="00CB0D91" w:rsidRDefault="00D11F51" w:rsidP="00D11F51">
      <w:pPr>
        <w:pStyle w:val="Prrafodelista"/>
        <w:spacing w:before="240" w:after="240"/>
        <w:ind w:left="567" w:right="539"/>
        <w:jc w:val="both"/>
        <w:rPr>
          <w:rFonts w:ascii="Palatino Linotype" w:eastAsia="MS Gothic" w:hAnsi="Palatino Linotype"/>
          <w:b/>
          <w:bCs/>
          <w:i/>
          <w:iCs/>
          <w:szCs w:val="22"/>
        </w:rPr>
      </w:pPr>
    </w:p>
    <w:p w14:paraId="0F2B831F" w14:textId="77777777" w:rsidR="00D11F51" w:rsidRPr="00CB0D91" w:rsidRDefault="00D11F51" w:rsidP="00D11F51">
      <w:pPr>
        <w:pStyle w:val="Prrafodelista"/>
        <w:spacing w:before="240" w:after="240"/>
        <w:ind w:left="708" w:right="539"/>
        <w:jc w:val="both"/>
        <w:rPr>
          <w:rFonts w:ascii="Palatino Linotype" w:hAnsi="Palatino Linotype"/>
          <w:i/>
          <w:iCs/>
        </w:rPr>
      </w:pPr>
      <w:r w:rsidRPr="00CB0D91">
        <w:rPr>
          <w:rFonts w:ascii="Palatino Linotype" w:hAnsi="Palatino Linotype"/>
          <w:i/>
          <w:iCs/>
        </w:rPr>
        <w:t xml:space="preserve">a) El contenido de las gacetas municipales, las cuales deberán comprender los resolutivos y acuerdos aprobados por los ayuntamientos; </w:t>
      </w:r>
    </w:p>
    <w:p w14:paraId="4C0F0185" w14:textId="263D0D14" w:rsidR="00D11F51" w:rsidRPr="00CB0D91" w:rsidRDefault="00D11F51" w:rsidP="00D11F51">
      <w:pPr>
        <w:pStyle w:val="Prrafodelista"/>
        <w:spacing w:before="240" w:after="240"/>
        <w:ind w:left="708" w:right="539"/>
        <w:jc w:val="both"/>
        <w:rPr>
          <w:rFonts w:ascii="Palatino Linotype" w:hAnsi="Palatino Linotype"/>
          <w:b/>
          <w:bCs/>
          <w:i/>
          <w:iCs/>
        </w:rPr>
      </w:pPr>
      <w:r w:rsidRPr="00CB0D91">
        <w:rPr>
          <w:rFonts w:ascii="Palatino Linotype" w:hAnsi="Palatino Linotype"/>
          <w:b/>
          <w:bCs/>
          <w:i/>
          <w:iCs/>
        </w:rPr>
        <w:t xml:space="preserve">b) Las actas de sesiones de cabildo, los controles de asistencia de los integrantes del Ayuntamiento a las sesiones de cabildo y el sentido de votación de los miembros del cabildo sobre las iniciativas o acuerdos; </w:t>
      </w:r>
    </w:p>
    <w:p w14:paraId="7F07D2BD" w14:textId="6A2C99A3" w:rsidR="00D11F51" w:rsidRPr="00CB0D91" w:rsidRDefault="00D11F51" w:rsidP="00D11F51">
      <w:pPr>
        <w:pStyle w:val="Prrafodelista"/>
        <w:spacing w:before="240" w:after="240"/>
        <w:ind w:left="708" w:right="539"/>
        <w:jc w:val="both"/>
        <w:rPr>
          <w:rFonts w:ascii="Palatino Linotype" w:hAnsi="Palatino Linotype"/>
          <w:i/>
          <w:iCs/>
        </w:rPr>
      </w:pPr>
      <w:r w:rsidRPr="00CB0D91">
        <w:rPr>
          <w:rFonts w:ascii="Palatino Linotype" w:hAnsi="Palatino Linotype"/>
          <w:i/>
          <w:iCs/>
        </w:rPr>
        <w:t xml:space="preserve">c) Los Participaciones y Aportaciones derivadas de la Ley de Coordinación Fiscal; y </w:t>
      </w:r>
    </w:p>
    <w:p w14:paraId="5BEE7B32" w14:textId="77777777" w:rsidR="00D11F51" w:rsidRPr="00CB0D91" w:rsidRDefault="00D11F51" w:rsidP="00D11F51">
      <w:pPr>
        <w:pStyle w:val="Prrafodelista"/>
        <w:spacing w:before="240" w:after="240"/>
        <w:ind w:left="708" w:right="539"/>
        <w:jc w:val="both"/>
        <w:rPr>
          <w:rFonts w:ascii="Palatino Linotype" w:hAnsi="Palatino Linotype"/>
          <w:i/>
          <w:iCs/>
        </w:rPr>
      </w:pPr>
      <w:r w:rsidRPr="00CB0D91">
        <w:rPr>
          <w:rFonts w:ascii="Palatino Linotype" w:hAnsi="Palatino Linotype"/>
          <w:i/>
          <w:iCs/>
        </w:rPr>
        <w:t xml:space="preserve">d) Los recursos federales establecidos en el Título Segundo. Del Federalismo del Presupuesto de Egresos de la Federación en sus conceptos de: </w:t>
      </w:r>
    </w:p>
    <w:p w14:paraId="7DE71C7E" w14:textId="77777777" w:rsidR="00D11F51" w:rsidRPr="00CB0D91" w:rsidRDefault="00D11F51" w:rsidP="00D11F51">
      <w:pPr>
        <w:pStyle w:val="Prrafodelista"/>
        <w:spacing w:before="240" w:after="240"/>
        <w:ind w:left="849" w:right="539"/>
        <w:jc w:val="both"/>
        <w:rPr>
          <w:rFonts w:ascii="Palatino Linotype" w:hAnsi="Palatino Linotype"/>
          <w:i/>
          <w:iCs/>
        </w:rPr>
      </w:pPr>
      <w:r w:rsidRPr="00CB0D91">
        <w:rPr>
          <w:rFonts w:ascii="Palatino Linotype" w:hAnsi="Palatino Linotype"/>
          <w:i/>
          <w:iCs/>
        </w:rPr>
        <w:t xml:space="preserve">a. Subsidios federales; y </w:t>
      </w:r>
    </w:p>
    <w:p w14:paraId="03D10692" w14:textId="35E731F1" w:rsidR="00D11F51" w:rsidRPr="00CB0D91" w:rsidRDefault="00D11F51" w:rsidP="00D11F51">
      <w:pPr>
        <w:pStyle w:val="Prrafodelista"/>
        <w:spacing w:before="240" w:after="240"/>
        <w:ind w:left="849" w:right="539"/>
        <w:jc w:val="both"/>
        <w:rPr>
          <w:rFonts w:ascii="Palatino Linotype" w:hAnsi="Palatino Linotype"/>
          <w:i/>
          <w:iCs/>
        </w:rPr>
      </w:pPr>
      <w:r w:rsidRPr="00CB0D91">
        <w:rPr>
          <w:rFonts w:ascii="Palatino Linotype" w:hAnsi="Palatino Linotype"/>
          <w:i/>
          <w:iCs/>
        </w:rPr>
        <w:t>b. Recursos del Ramo 23. Provisiones Salariales y Económicas.</w:t>
      </w:r>
    </w:p>
    <w:p w14:paraId="0173C6B7" w14:textId="0B82C427" w:rsidR="00D11F51" w:rsidRPr="00CB0D91" w:rsidRDefault="00D11F51" w:rsidP="00D11F51">
      <w:pPr>
        <w:pStyle w:val="Prrafodelista"/>
        <w:spacing w:before="240" w:after="240"/>
        <w:ind w:left="849" w:right="539"/>
        <w:jc w:val="both"/>
        <w:rPr>
          <w:rFonts w:ascii="Palatino Linotype" w:eastAsia="MS Gothic" w:hAnsi="Palatino Linotype"/>
          <w:b/>
          <w:bCs/>
          <w:i/>
          <w:iCs/>
          <w:szCs w:val="22"/>
        </w:rPr>
      </w:pPr>
      <w:r w:rsidRPr="00CB0D91">
        <w:rPr>
          <w:rFonts w:ascii="Palatino Linotype" w:hAnsi="Palatino Linotype"/>
          <w:i/>
          <w:iCs/>
        </w:rPr>
        <w:t>(…)”</w:t>
      </w:r>
    </w:p>
    <w:p w14:paraId="754D2A41" w14:textId="77777777" w:rsidR="00D67CCD" w:rsidRPr="00CB0D91" w:rsidRDefault="00D67CCD" w:rsidP="00D67CCD">
      <w:pPr>
        <w:pStyle w:val="Prrafodelista"/>
        <w:spacing w:before="240" w:after="240" w:line="360" w:lineRule="auto"/>
        <w:ind w:left="0" w:right="48"/>
        <w:jc w:val="both"/>
        <w:rPr>
          <w:rFonts w:ascii="Palatino Linotype" w:eastAsia="MS Gothic" w:hAnsi="Palatino Linotype"/>
          <w:sz w:val="24"/>
        </w:rPr>
      </w:pPr>
    </w:p>
    <w:p w14:paraId="44E8CDD1" w14:textId="75B2A1D5" w:rsidR="00D11F51" w:rsidRPr="00CB0D91" w:rsidRDefault="00D11F51"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t>No obstante a lo anterior, se advierte que la liga electr</w:t>
      </w:r>
      <w:r w:rsidR="00B864DD" w:rsidRPr="00CB0D91">
        <w:rPr>
          <w:rFonts w:ascii="Palatino Linotype" w:eastAsia="MS Gothic" w:hAnsi="Palatino Linotype"/>
          <w:sz w:val="24"/>
        </w:rPr>
        <w:t>ó</w:t>
      </w:r>
      <w:r w:rsidRPr="00CB0D91">
        <w:rPr>
          <w:rFonts w:ascii="Palatino Linotype" w:eastAsia="MS Gothic" w:hAnsi="Palatino Linotype"/>
          <w:sz w:val="24"/>
        </w:rPr>
        <w:t xml:space="preserve">nica de referencia no da acceso directo a la información solicitada, aunado a ello, el </w:t>
      </w:r>
      <w:r w:rsidRPr="00CB0D91">
        <w:rPr>
          <w:rFonts w:ascii="Palatino Linotype" w:eastAsia="MS Gothic" w:hAnsi="Palatino Linotype"/>
          <w:b/>
          <w:bCs/>
          <w:sz w:val="24"/>
        </w:rPr>
        <w:t>SUJETO OBLIGADO</w:t>
      </w:r>
      <w:r w:rsidRPr="00CB0D91">
        <w:rPr>
          <w:rFonts w:ascii="Palatino Linotype" w:eastAsia="MS Gothic" w:hAnsi="Palatino Linotype"/>
          <w:sz w:val="24"/>
        </w:rPr>
        <w:t xml:space="preserve"> no p</w:t>
      </w:r>
      <w:r w:rsidR="00B864DD" w:rsidRPr="00CB0D91">
        <w:rPr>
          <w:rFonts w:ascii="Palatino Linotype" w:eastAsia="MS Gothic" w:hAnsi="Palatino Linotype"/>
          <w:sz w:val="24"/>
        </w:rPr>
        <w:t>ro</w:t>
      </w:r>
      <w:r w:rsidRPr="00CB0D91">
        <w:rPr>
          <w:rFonts w:ascii="Palatino Linotype" w:eastAsia="MS Gothic" w:hAnsi="Palatino Linotype"/>
          <w:sz w:val="24"/>
        </w:rPr>
        <w:t xml:space="preserve">porcionó </w:t>
      </w:r>
      <w:r w:rsidRPr="00CB0D91">
        <w:rPr>
          <w:rFonts w:ascii="Palatino Linotype" w:eastAsia="MS Gothic" w:hAnsi="Palatino Linotype"/>
          <w:b/>
          <w:bCs/>
          <w:sz w:val="24"/>
        </w:rPr>
        <w:t>instrucciones precisas para su consulta y tampoco lo hizo del conocimiento del RECURRENTE en un plazo no mayor a 5 días hábiles,</w:t>
      </w:r>
      <w:r w:rsidRPr="00CB0D91">
        <w:rPr>
          <w:rFonts w:ascii="Palatino Linotype" w:eastAsia="MS Gothic" w:hAnsi="Palatino Linotype"/>
          <w:sz w:val="24"/>
        </w:rPr>
        <w:t xml:space="preserve"> como lo marca la Ley de Transparencia Local en su artículo 161:</w:t>
      </w:r>
    </w:p>
    <w:p w14:paraId="552CCA38" w14:textId="664ED475" w:rsidR="00D11F51" w:rsidRPr="00CB0D91" w:rsidRDefault="00D11F51" w:rsidP="00D11F51">
      <w:pPr>
        <w:pStyle w:val="Prrafodelista"/>
        <w:spacing w:before="240" w:after="240" w:line="360" w:lineRule="auto"/>
        <w:ind w:left="0" w:right="48"/>
        <w:jc w:val="both"/>
        <w:rPr>
          <w:rFonts w:ascii="Palatino Linotype" w:eastAsia="MS Gothic" w:hAnsi="Palatino Linotype"/>
          <w:sz w:val="24"/>
        </w:rPr>
      </w:pPr>
    </w:p>
    <w:p w14:paraId="31F89447" w14:textId="77777777" w:rsidR="00D11F51" w:rsidRPr="00CB0D91" w:rsidRDefault="00D11F51" w:rsidP="00D11F51">
      <w:pPr>
        <w:tabs>
          <w:tab w:val="left" w:pos="2066"/>
        </w:tabs>
        <w:ind w:left="567" w:right="539"/>
        <w:contextualSpacing/>
        <w:jc w:val="both"/>
        <w:rPr>
          <w:rFonts w:ascii="Palatino Linotype" w:hAnsi="Palatino Linotype"/>
          <w:b/>
          <w:i/>
          <w:sz w:val="22"/>
          <w:szCs w:val="22"/>
        </w:rPr>
      </w:pPr>
      <w:r w:rsidRPr="00CB0D91">
        <w:rPr>
          <w:rFonts w:ascii="Palatino Linotype" w:hAnsi="Palatino Linotype"/>
          <w:b/>
          <w:bCs/>
          <w:i/>
          <w:sz w:val="22"/>
          <w:szCs w:val="22"/>
        </w:rPr>
        <w:t xml:space="preserve">“Artículo 161. </w:t>
      </w:r>
      <w:r w:rsidRPr="00CB0D91">
        <w:rPr>
          <w:rFonts w:ascii="Palatino Linotype" w:hAnsi="Palatino Linotype"/>
          <w:i/>
          <w:sz w:val="22"/>
          <w:szCs w:val="22"/>
        </w:rPr>
        <w:t xml:space="preserve">Cuando la información requerida por el solicitante </w:t>
      </w:r>
      <w:r w:rsidRPr="00CB0D91">
        <w:rPr>
          <w:rFonts w:ascii="Palatino Linotype" w:hAnsi="Palatino Linotype"/>
          <w:b/>
          <w:i/>
          <w:sz w:val="22"/>
          <w:szCs w:val="22"/>
        </w:rPr>
        <w:t>ya esté disponible al público</w:t>
      </w:r>
      <w:r w:rsidRPr="00CB0D91">
        <w:rPr>
          <w:rFonts w:ascii="Palatino Linotype" w:hAnsi="Palatino Linotype"/>
          <w:i/>
          <w:sz w:val="22"/>
          <w:szCs w:val="22"/>
        </w:rPr>
        <w:t xml:space="preserve"> en medios impresos, tales como libros, compendios, trípticos, registros públicos, en formatos </w:t>
      </w:r>
      <w:r w:rsidRPr="00CB0D91">
        <w:rPr>
          <w:rFonts w:ascii="Palatino Linotype" w:hAnsi="Palatino Linotype"/>
          <w:b/>
          <w:i/>
          <w:sz w:val="22"/>
          <w:szCs w:val="22"/>
        </w:rPr>
        <w:t>electrónicos disponibles en Internet</w:t>
      </w:r>
      <w:r w:rsidRPr="00CB0D91">
        <w:rPr>
          <w:rFonts w:ascii="Palatino Linotype" w:hAnsi="Palatino Linotype"/>
          <w:i/>
          <w:sz w:val="22"/>
          <w:szCs w:val="22"/>
        </w:rPr>
        <w:t xml:space="preserve"> o en cualquier otro medio, se le hará saber por el medio requerido por el solicitante la fuente, </w:t>
      </w:r>
      <w:r w:rsidRPr="00CB0D91">
        <w:rPr>
          <w:rFonts w:ascii="Palatino Linotype" w:hAnsi="Palatino Linotype"/>
          <w:b/>
          <w:i/>
          <w:sz w:val="22"/>
          <w:szCs w:val="22"/>
        </w:rPr>
        <w:t xml:space="preserve">el lugar y la forma en que puede consultar, reproducir o adquirir dicha información </w:t>
      </w:r>
      <w:r w:rsidRPr="00CB0D91">
        <w:rPr>
          <w:rFonts w:ascii="Palatino Linotype" w:hAnsi="Palatino Linotype"/>
          <w:i/>
          <w:sz w:val="22"/>
          <w:szCs w:val="22"/>
        </w:rPr>
        <w:t xml:space="preserve">en un plazo no mayor a cinco días hábiles. </w:t>
      </w:r>
      <w:r w:rsidRPr="00CB0D91">
        <w:rPr>
          <w:rFonts w:ascii="Palatino Linotype" w:hAnsi="Palatino Linotype"/>
          <w:b/>
          <w:i/>
          <w:sz w:val="22"/>
          <w:szCs w:val="22"/>
        </w:rPr>
        <w:t>La fuente deberá ser precisa y concreta y no debe implicar que el solicitante realice una búsqueda en toda la información que se encuentre disponible.”</w:t>
      </w:r>
    </w:p>
    <w:p w14:paraId="7939874F" w14:textId="2F08D6BD" w:rsidR="00D11F51" w:rsidRPr="00CB0D91" w:rsidRDefault="00D11F51" w:rsidP="00D11F51">
      <w:pPr>
        <w:pStyle w:val="Prrafodelista"/>
        <w:spacing w:before="240" w:after="240" w:line="360" w:lineRule="auto"/>
        <w:ind w:left="0" w:right="48"/>
        <w:jc w:val="both"/>
        <w:rPr>
          <w:rFonts w:ascii="Palatino Linotype" w:eastAsia="MS Gothic" w:hAnsi="Palatino Linotype"/>
          <w:sz w:val="24"/>
        </w:rPr>
      </w:pPr>
    </w:p>
    <w:p w14:paraId="19AAD84E" w14:textId="745CE789" w:rsidR="00D11F51" w:rsidRPr="00CB0D91" w:rsidRDefault="00D11F51"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0D91">
        <w:rPr>
          <w:rFonts w:ascii="Palatino Linotype" w:eastAsia="MS Gothic" w:hAnsi="Palatino Linotype"/>
          <w:sz w:val="24"/>
        </w:rPr>
        <w:lastRenderedPageBreak/>
        <w:t xml:space="preserve">En este sentido, en el </w:t>
      </w:r>
      <w:r w:rsidRPr="00CB0D91">
        <w:rPr>
          <w:rFonts w:ascii="Palatino Linotype" w:hAnsi="Palatino Linotype" w:cs="Tahoma"/>
          <w:sz w:val="24"/>
          <w:lang w:val="es-ES"/>
        </w:rPr>
        <w:t xml:space="preserve">caso de que la información que solicita el Recurrente, ya se encuentre publicada en un sitio electrónico de </w:t>
      </w:r>
      <w:r w:rsidRPr="00CB0D91">
        <w:rPr>
          <w:rFonts w:ascii="Palatino Linotype" w:hAnsi="Palatino Linotype" w:cs="Tahoma"/>
          <w:i/>
          <w:sz w:val="24"/>
          <w:lang w:val="es-ES"/>
        </w:rPr>
        <w:t>Internet</w:t>
      </w:r>
      <w:r w:rsidRPr="00CB0D91">
        <w:rPr>
          <w:rFonts w:ascii="Palatino Linotype" w:hAnsi="Palatino Linotype" w:cs="Tahoma"/>
          <w:sz w:val="24"/>
          <w:lang w:val="es-ES"/>
        </w:rPr>
        <w:t xml:space="preserve">, el </w:t>
      </w:r>
      <w:r w:rsidRPr="00CB0D91">
        <w:rPr>
          <w:rFonts w:ascii="Palatino Linotype" w:hAnsi="Palatino Linotype" w:cs="Tahoma"/>
          <w:b/>
          <w:bCs/>
          <w:sz w:val="24"/>
          <w:lang w:val="es-ES"/>
        </w:rPr>
        <w:t>SUJETO OBLIGADO</w:t>
      </w:r>
      <w:r w:rsidRPr="00CB0D91">
        <w:rPr>
          <w:rFonts w:ascii="Palatino Linotype" w:hAnsi="Palatino Linotype" w:cs="Tahoma"/>
          <w:sz w:val="24"/>
          <w:lang w:val="es-ES"/>
        </w:rPr>
        <w:t xml:space="preserve"> debe indicar de forma precisa y concreta la fuente en la que puede consultarlo; así, expresamente la norma indica que el solicitante no debe realizar una búsqueda en toda la información disponible; por lo que para el caso concreto, el </w:t>
      </w:r>
      <w:r w:rsidRPr="00CB0D91">
        <w:rPr>
          <w:rFonts w:ascii="Palatino Linotype" w:hAnsi="Palatino Linotype" w:cs="Tahoma"/>
          <w:b/>
          <w:bCs/>
          <w:sz w:val="24"/>
          <w:lang w:val="es-ES"/>
        </w:rPr>
        <w:t>SUJETO OBLIGADO</w:t>
      </w:r>
      <w:r w:rsidRPr="00CB0D91">
        <w:rPr>
          <w:rFonts w:ascii="Palatino Linotype" w:hAnsi="Palatino Linotype" w:cs="Tahoma"/>
          <w:sz w:val="24"/>
          <w:lang w:val="es-ES"/>
        </w:rPr>
        <w:t xml:space="preserve"> proporcionó ligas electrónicas que no dirigen a la información solicitada, de igual forma omitió emitir un pronunciamiento que especificara de forma precisa y concreta donde se localiza la información, en consecuencia, el Recurrente debe realizar una búsqueda en toda la información para encontrar lo solicitado, por lo que, </w:t>
      </w:r>
      <w:r w:rsidRPr="00CB0D91">
        <w:rPr>
          <w:rFonts w:ascii="Palatino Linotype" w:hAnsi="Palatino Linotype" w:cs="Tahoma"/>
          <w:b/>
          <w:sz w:val="24"/>
          <w:lang w:val="es-ES"/>
        </w:rPr>
        <w:t>no se puede tener por colmada la solicitud con el enlace proporcionado.</w:t>
      </w:r>
    </w:p>
    <w:p w14:paraId="01275EC5" w14:textId="77777777" w:rsidR="0008252C" w:rsidRPr="00CB0D91" w:rsidRDefault="0008252C" w:rsidP="00D11F51">
      <w:pPr>
        <w:pStyle w:val="Prrafodelista"/>
        <w:spacing w:before="240" w:after="240" w:line="360" w:lineRule="auto"/>
        <w:ind w:left="0" w:right="48"/>
        <w:jc w:val="both"/>
        <w:rPr>
          <w:rFonts w:ascii="Palatino Linotype" w:eastAsia="MS Gothic" w:hAnsi="Palatino Linotype"/>
          <w:sz w:val="24"/>
        </w:rPr>
      </w:pPr>
    </w:p>
    <w:p w14:paraId="3F2669D0" w14:textId="7012A14C" w:rsidR="00D11F51" w:rsidRPr="00CB0D91" w:rsidRDefault="00D11F51" w:rsidP="00D11F51">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B0D91">
        <w:rPr>
          <w:rFonts w:ascii="Palatino Linotype" w:eastAsia="MS Gothic" w:hAnsi="Palatino Linotype"/>
          <w:sz w:val="24"/>
        </w:rPr>
        <w:t xml:space="preserve">En consecuencia, </w:t>
      </w:r>
      <w:r w:rsidRPr="00CB0D91">
        <w:rPr>
          <w:rFonts w:ascii="Palatino Linotype" w:hAnsi="Palatino Linotype" w:cs="Tahoma"/>
          <w:b/>
          <w:sz w:val="24"/>
          <w:lang w:val="es-ES"/>
        </w:rPr>
        <w:t>no es posible tener por atendido el requerimiento con la entrega de la liga electrónica</w:t>
      </w:r>
      <w:r w:rsidRPr="00CB0D91">
        <w:rPr>
          <w:rFonts w:ascii="Palatino Linotype" w:hAnsi="Palatino Linotype" w:cs="Tahoma"/>
          <w:sz w:val="24"/>
          <w:lang w:val="es-ES"/>
        </w:rPr>
        <w:t xml:space="preserve">, pues es un enlace general que no lleva a la información solicitada; razón por la </w:t>
      </w:r>
      <w:r w:rsidR="00831C9B" w:rsidRPr="00CB0D91">
        <w:rPr>
          <w:rFonts w:ascii="Palatino Linotype" w:hAnsi="Palatino Linotype" w:cs="Tahoma"/>
          <w:sz w:val="24"/>
          <w:lang w:val="es-ES"/>
        </w:rPr>
        <w:t>que</w:t>
      </w:r>
      <w:r w:rsidRPr="00CB0D91">
        <w:rPr>
          <w:rFonts w:ascii="Palatino Linotype" w:hAnsi="Palatino Linotype" w:cs="Tahoma"/>
          <w:sz w:val="24"/>
          <w:lang w:val="es-ES"/>
        </w:rPr>
        <w:t xml:space="preserve"> será necesario que el </w:t>
      </w:r>
      <w:r w:rsidRPr="00CB0D91">
        <w:rPr>
          <w:rFonts w:ascii="Palatino Linotype" w:hAnsi="Palatino Linotype" w:cs="Tahoma"/>
          <w:b/>
          <w:bCs/>
          <w:sz w:val="24"/>
          <w:lang w:val="es-ES"/>
        </w:rPr>
        <w:t>SUJETO OBLIGADO</w:t>
      </w:r>
      <w:r w:rsidRPr="00CB0D91">
        <w:rPr>
          <w:rFonts w:ascii="Palatino Linotype" w:hAnsi="Palatino Linotype" w:cs="Tahoma"/>
          <w:sz w:val="24"/>
          <w:lang w:val="es-ES"/>
        </w:rPr>
        <w:t xml:space="preserve"> realice la búsqueda de la información y entregue de ser procedente en versión pública:</w:t>
      </w:r>
    </w:p>
    <w:p w14:paraId="4EF0315F" w14:textId="77777777" w:rsidR="00D11F51" w:rsidRPr="00CB0D91" w:rsidRDefault="00D11F51" w:rsidP="00D11F51">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399F570B" w14:textId="4BAD4AE8" w:rsidR="00D11F51" w:rsidRPr="00CB0D91" w:rsidRDefault="00D11F51" w:rsidP="00D11F51">
      <w:pPr>
        <w:pStyle w:val="Prrafodelista"/>
        <w:spacing w:before="240" w:after="240" w:line="360" w:lineRule="auto"/>
        <w:ind w:left="567" w:right="539"/>
        <w:jc w:val="both"/>
        <w:rPr>
          <w:rFonts w:ascii="Palatino Linotype" w:eastAsia="MS Mincho" w:hAnsi="Palatino Linotype" w:cs="Arial"/>
          <w:b/>
          <w:bCs/>
          <w:iCs/>
          <w:lang w:val="es-ES_tradnl" w:eastAsia="es-ES"/>
        </w:rPr>
      </w:pPr>
      <w:r w:rsidRPr="00CB0D91">
        <w:rPr>
          <w:rFonts w:ascii="Palatino Linotype" w:hAnsi="Palatino Linotype" w:cs="Tahoma"/>
          <w:b/>
          <w:bCs/>
          <w:lang w:val="es-ES"/>
        </w:rPr>
        <w:t>L</w:t>
      </w:r>
      <w:r w:rsidRPr="00CB0D91">
        <w:rPr>
          <w:rFonts w:ascii="Palatino Linotype" w:hAnsi="Palatino Linotype"/>
          <w:b/>
          <w:bCs/>
          <w:color w:val="000000"/>
        </w:rPr>
        <w:t>as Actas de las Sesiones Ordinarias y Extraordinarias de Cabildo celebradas del uno de enero al treinta de junio de dos mil veintitrés.</w:t>
      </w:r>
    </w:p>
    <w:p w14:paraId="0EDB5409" w14:textId="77777777" w:rsidR="000637E2" w:rsidRPr="00CB0D91" w:rsidRDefault="000637E2" w:rsidP="000637E2">
      <w:pPr>
        <w:spacing w:before="240" w:after="240" w:line="360" w:lineRule="auto"/>
        <w:ind w:right="539"/>
        <w:jc w:val="both"/>
        <w:rPr>
          <w:rFonts w:ascii="Palatino Linotype" w:eastAsia="MS Mincho" w:hAnsi="Palatino Linotype" w:cs="Arial"/>
          <w:b/>
          <w:bCs/>
          <w:iCs/>
          <w:sz w:val="2"/>
          <w:szCs w:val="2"/>
          <w:lang w:val="es-ES_tradnl" w:eastAsia="es-ES"/>
        </w:rPr>
      </w:pPr>
      <w:bookmarkStart w:id="32" w:name="_Toc89350464"/>
      <w:bookmarkStart w:id="33" w:name="_Toc94119619"/>
      <w:bookmarkEnd w:id="30"/>
      <w:bookmarkEnd w:id="31"/>
    </w:p>
    <w:p w14:paraId="418B4992" w14:textId="7A258209" w:rsidR="003F2E3B" w:rsidRPr="00CB0D91" w:rsidRDefault="003F2E3B" w:rsidP="007D537F">
      <w:pPr>
        <w:spacing w:before="240" w:after="240" w:line="360" w:lineRule="auto"/>
        <w:contextualSpacing/>
        <w:jc w:val="both"/>
        <w:rPr>
          <w:rFonts w:ascii="Palatino Linotype" w:eastAsia="Calibri" w:hAnsi="Palatino Linotype" w:cs="Arial"/>
        </w:rPr>
      </w:pPr>
      <w:r w:rsidRPr="00CB0D91">
        <w:rPr>
          <w:rFonts w:ascii="Palatino Linotype" w:hAnsi="Palatino Linotype"/>
          <w:b/>
          <w:bCs/>
          <w:color w:val="000000" w:themeColor="text1"/>
        </w:rPr>
        <w:t>QUINTO. De la versión pública.</w:t>
      </w:r>
      <w:bookmarkEnd w:id="32"/>
      <w:bookmarkEnd w:id="33"/>
    </w:p>
    <w:p w14:paraId="5FF18312" w14:textId="133D5074" w:rsidR="003F2E3B" w:rsidRPr="00CB0D91"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0D91">
        <w:rPr>
          <w:rFonts w:ascii="Palatino Linotype" w:hAnsi="Palatino Linotype"/>
          <w:color w:val="000000" w:themeColor="text1"/>
          <w:sz w:val="24"/>
        </w:rPr>
        <w:t>Debe destacarse que, debido a la naturaleza de la información solicitada</w:t>
      </w:r>
      <w:r w:rsidRPr="00CB0D91">
        <w:rPr>
          <w:rFonts w:ascii="Palatino Linotype" w:hAnsi="Palatino Linotype"/>
          <w:b/>
          <w:color w:val="000000" w:themeColor="text1"/>
          <w:sz w:val="24"/>
        </w:rPr>
        <w:t xml:space="preserve"> </w:t>
      </w:r>
      <w:r w:rsidRPr="00CB0D91">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CB0D91">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14:paraId="4F3E3FB3" w14:textId="77777777" w:rsidR="003F2E3B" w:rsidRPr="00CB0D91"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0D91">
        <w:rPr>
          <w:rFonts w:ascii="Palatino Linotype" w:hAnsi="Palatino Linotype"/>
          <w:color w:val="000000" w:themeColor="text1"/>
          <w:sz w:val="24"/>
        </w:rPr>
        <w:t xml:space="preserve">La </w:t>
      </w:r>
      <w:r w:rsidRPr="00CB0D9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CB0D91">
        <w:rPr>
          <w:rFonts w:ascii="Palatino Linotype" w:hAnsi="Palatino Linotype" w:cs="Arial"/>
          <w:color w:val="000000"/>
          <w:sz w:val="24"/>
        </w:rPr>
        <w:t xml:space="preserve">Actualmente, el grave problema que enfrentamos son los Acuerdos de Clasificación de la Información que emiten los </w:t>
      </w:r>
      <w:r w:rsidRPr="00CB0D91">
        <w:rPr>
          <w:rFonts w:ascii="Palatino Linotype" w:hAnsi="Palatino Linotype" w:cs="Arial"/>
          <w:b/>
          <w:color w:val="000000"/>
          <w:sz w:val="24"/>
        </w:rPr>
        <w:t>SUJETOS OBLIGADOS</w:t>
      </w:r>
      <w:r w:rsidRPr="00CB0D91">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3F2E3B" w:rsidRPr="00CB0D91"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CB0D91" w:rsidRDefault="003F2E3B" w:rsidP="0060605C">
            <w:pPr>
              <w:spacing w:before="240" w:after="240" w:line="360" w:lineRule="auto"/>
              <w:rPr>
                <w:rFonts w:ascii="Palatino Linotype" w:hAnsi="Palatino Linotype"/>
                <w:sz w:val="22"/>
                <w:szCs w:val="20"/>
              </w:rPr>
            </w:pPr>
            <w:r w:rsidRPr="00CB0D91">
              <w:rPr>
                <w:rFonts w:ascii="Palatino Linotype" w:hAnsi="Palatino Linotype" w:cstheme="majorBidi"/>
                <w:b w:val="0"/>
                <w:sz w:val="22"/>
                <w:szCs w:val="20"/>
              </w:rPr>
              <w:t>a) Requisitos previos.</w:t>
            </w:r>
          </w:p>
        </w:tc>
        <w:tc>
          <w:tcPr>
            <w:tcW w:w="6990" w:type="dxa"/>
          </w:tcPr>
          <w:p w14:paraId="01A92125" w14:textId="77777777" w:rsidR="003F2E3B" w:rsidRPr="00CB0D9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Los artículos 100 y 122 de la Ley Estatal y de la Ley General, respectivamente, señalan que si los </w:t>
            </w:r>
            <w:r w:rsidRPr="00CB0D91">
              <w:rPr>
                <w:rFonts w:ascii="Palatino Linotype" w:hAnsi="Palatino Linotype" w:cs="Arial"/>
                <w:b w:val="0"/>
                <w:color w:val="000000"/>
                <w:sz w:val="22"/>
                <w:szCs w:val="20"/>
              </w:rPr>
              <w:t>Sujetos Obligados</w:t>
            </w:r>
            <w:r w:rsidRPr="00CB0D91">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CB0D9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Al hacerlo tienen que precisar de qué información se trata, señalando el supuesto de clasificación (confidencialidad o reserva).</w:t>
            </w:r>
          </w:p>
          <w:p w14:paraId="6FCABC70" w14:textId="77777777" w:rsidR="003F2E3B" w:rsidRPr="00CB0D9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Además, se debe señalar el procedimiento, de los tres que establecen los artículos 132 y 106 de la Ley Estatal y General, respectivamente.</w:t>
            </w:r>
          </w:p>
          <w:p w14:paraId="4FAC1291" w14:textId="77777777" w:rsidR="003F2E3B" w:rsidRPr="00CB0D91"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CB0D91">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CB0D91">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CB0D91">
              <w:rPr>
                <w:rFonts w:ascii="Palatino Linotype" w:hAnsi="Palatino Linotype" w:cs="Arial"/>
                <w:color w:val="000000"/>
                <w:sz w:val="22"/>
                <w:szCs w:val="20"/>
              </w:rPr>
              <w:t xml:space="preserve">sin individualizar su análisis y </w:t>
            </w:r>
            <w:r w:rsidRPr="00CB0D91">
              <w:rPr>
                <w:rFonts w:ascii="Palatino Linotype" w:hAnsi="Palatino Linotype" w:cs="Arial"/>
                <w:color w:val="000000"/>
                <w:sz w:val="22"/>
                <w:szCs w:val="20"/>
              </w:rPr>
              <w:lastRenderedPageBreak/>
              <w:t>tampoco se puede hacer un acuerdo por cada dato que se vaya a clasificar dentro de un documento con diez datos, por ejemplo, susceptibles de ser clasificados.</w:t>
            </w:r>
          </w:p>
        </w:tc>
      </w:tr>
      <w:tr w:rsidR="003F2E3B" w:rsidRPr="00CB0D91"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CB0D91" w:rsidRDefault="003F2E3B" w:rsidP="0060605C">
            <w:pPr>
              <w:spacing w:before="240" w:after="240" w:line="360" w:lineRule="auto"/>
              <w:rPr>
                <w:rFonts w:ascii="Palatino Linotype" w:hAnsi="Palatino Linotype"/>
                <w:sz w:val="22"/>
                <w:szCs w:val="20"/>
              </w:rPr>
            </w:pPr>
            <w:r w:rsidRPr="00CB0D91">
              <w:rPr>
                <w:rFonts w:ascii="Palatino Linotype" w:hAnsi="Palatino Linotype" w:cstheme="majorBidi"/>
                <w:b w:val="0"/>
                <w:sz w:val="22"/>
                <w:szCs w:val="20"/>
              </w:rPr>
              <w:lastRenderedPageBreak/>
              <w:t>b) Supuestos de clasificación.</w:t>
            </w:r>
          </w:p>
        </w:tc>
        <w:tc>
          <w:tcPr>
            <w:tcW w:w="6990" w:type="dxa"/>
          </w:tcPr>
          <w:p w14:paraId="568A0DC4"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093F0467"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CB0D91"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CB0D91">
              <w:rPr>
                <w:rFonts w:ascii="Palatino Linotype" w:hAnsi="Palatino Linotype" w:cs="Arial"/>
                <w:color w:val="000000"/>
                <w:sz w:val="22"/>
                <w:szCs w:val="20"/>
              </w:rPr>
              <w:t xml:space="preserve">El </w:t>
            </w:r>
            <w:r w:rsidRPr="00CB0D91">
              <w:rPr>
                <w:rFonts w:ascii="Palatino Linotype" w:hAnsi="Palatino Linotype" w:cs="Arial"/>
                <w:b/>
                <w:color w:val="000000"/>
                <w:sz w:val="22"/>
                <w:szCs w:val="20"/>
              </w:rPr>
              <w:t>SUJETO OBLIGADO</w:t>
            </w:r>
            <w:r w:rsidRPr="00CB0D91">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CB0D91"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CB0D91" w:rsidRDefault="003F2E3B" w:rsidP="0060605C">
            <w:pPr>
              <w:spacing w:before="240" w:after="240" w:line="360" w:lineRule="auto"/>
              <w:rPr>
                <w:rFonts w:ascii="Palatino Linotype" w:hAnsi="Palatino Linotype"/>
                <w:sz w:val="22"/>
                <w:szCs w:val="20"/>
              </w:rPr>
            </w:pPr>
            <w:r w:rsidRPr="00CB0D91">
              <w:rPr>
                <w:rFonts w:ascii="Palatino Linotype" w:hAnsi="Palatino Linotype" w:cstheme="majorBidi"/>
                <w:b w:val="0"/>
                <w:sz w:val="22"/>
                <w:szCs w:val="20"/>
              </w:rPr>
              <w:t>c) Formalidades para emitir el acuerdo de clasificación.</w:t>
            </w:r>
          </w:p>
        </w:tc>
        <w:tc>
          <w:tcPr>
            <w:tcW w:w="6990" w:type="dxa"/>
          </w:tcPr>
          <w:p w14:paraId="26E87416" w14:textId="77777777" w:rsidR="003F2E3B" w:rsidRPr="00CB0D9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CB0D9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Es necesario que </w:t>
            </w:r>
            <w:r w:rsidRPr="00CB0D91">
              <w:rPr>
                <w:rFonts w:ascii="Palatino Linotype" w:hAnsi="Palatino Linotype" w:cs="Arial"/>
                <w:b/>
                <w:color w:val="000000"/>
                <w:sz w:val="22"/>
                <w:szCs w:val="20"/>
                <w:u w:val="single"/>
              </w:rPr>
              <w:t>el acto reúna con los requisitos elementales</w:t>
            </w:r>
            <w:r w:rsidRPr="00CB0D91">
              <w:rPr>
                <w:rFonts w:ascii="Palatino Linotype" w:hAnsi="Palatino Linotype" w:cs="Arial"/>
                <w:color w:val="000000"/>
                <w:sz w:val="22"/>
                <w:szCs w:val="20"/>
              </w:rPr>
              <w:t>, entre ellos, que la autoridad que va a emitir el acto de autoridad sea la legalmente facultada para ello.</w:t>
            </w:r>
          </w:p>
          <w:p w14:paraId="0634812A" w14:textId="77777777" w:rsidR="003F2E3B" w:rsidRPr="00CB0D91"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CB0D91">
              <w:rPr>
                <w:rFonts w:ascii="Palatino Linotype" w:hAnsi="Palatino Linotype" w:cs="Arial"/>
                <w:color w:val="000000"/>
                <w:sz w:val="22"/>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CB0D91"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CB0D91" w:rsidRDefault="003F2E3B" w:rsidP="0060605C">
            <w:pPr>
              <w:spacing w:before="240" w:after="240" w:line="360" w:lineRule="auto"/>
              <w:rPr>
                <w:rFonts w:ascii="Palatino Linotype" w:hAnsi="Palatino Linotype"/>
                <w:b w:val="0"/>
                <w:sz w:val="22"/>
                <w:szCs w:val="20"/>
              </w:rPr>
            </w:pPr>
          </w:p>
          <w:p w14:paraId="44A4BC86" w14:textId="77777777" w:rsidR="003F2E3B" w:rsidRPr="00CB0D91" w:rsidRDefault="003F2E3B" w:rsidP="0060605C">
            <w:pPr>
              <w:spacing w:before="240" w:after="240" w:line="360" w:lineRule="auto"/>
              <w:jc w:val="both"/>
              <w:rPr>
                <w:rFonts w:ascii="Palatino Linotype" w:hAnsi="Palatino Linotype"/>
                <w:b w:val="0"/>
                <w:sz w:val="22"/>
                <w:szCs w:val="20"/>
              </w:rPr>
            </w:pPr>
            <w:r w:rsidRPr="00CB0D91">
              <w:rPr>
                <w:rFonts w:ascii="Palatino Linotype" w:hAnsi="Palatino Linotype" w:cs="Arial"/>
                <w:b w:val="0"/>
                <w:color w:val="000000"/>
                <w:sz w:val="22"/>
                <w:szCs w:val="20"/>
              </w:rPr>
              <w:t xml:space="preserve">d) Requisitos de fondo del acuerdo de clasificación. </w:t>
            </w:r>
          </w:p>
        </w:tc>
        <w:tc>
          <w:tcPr>
            <w:tcW w:w="6990" w:type="dxa"/>
          </w:tcPr>
          <w:p w14:paraId="7EE130D9"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0D91">
              <w:rPr>
                <w:rFonts w:ascii="Palatino Linotype" w:hAnsi="Palatino Linotype" w:cs="Arial"/>
                <w:b/>
                <w:color w:val="000000"/>
                <w:sz w:val="22"/>
                <w:szCs w:val="20"/>
              </w:rPr>
              <w:t>Sujetos Obligados</w:t>
            </w:r>
            <w:r w:rsidRPr="00CB0D91">
              <w:rPr>
                <w:rFonts w:ascii="Palatino Linotype" w:hAnsi="Palatino Linotype" w:cs="Arial"/>
                <w:color w:val="000000"/>
                <w:sz w:val="22"/>
                <w:szCs w:val="20"/>
              </w:rPr>
              <w:t xml:space="preserve">, por lo que deberán fundar y motivar debidamente la clasificación. </w:t>
            </w:r>
          </w:p>
          <w:p w14:paraId="201C02AC"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De lo anterior, se desprende que para una correcta </w:t>
            </w:r>
            <w:r w:rsidRPr="00CB0D91">
              <w:rPr>
                <w:rFonts w:ascii="Palatino Linotype" w:hAnsi="Palatino Linotype" w:cs="Arial"/>
                <w:b/>
                <w:color w:val="000000"/>
                <w:sz w:val="22"/>
                <w:szCs w:val="20"/>
              </w:rPr>
              <w:t>clasificación total o parcial</w:t>
            </w:r>
            <w:r w:rsidRPr="00CB0D91">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Así, en un acto de autoridad se cumple con la debida fundamentación cuando se cita el precepto legal aplicable al caso concreto y la debida motivación cuando se expresan las razones, motivos o circunstancias </w:t>
            </w:r>
            <w:r w:rsidRPr="00CB0D91">
              <w:rPr>
                <w:rFonts w:ascii="Palatino Linotype" w:hAnsi="Palatino Linotype" w:cs="Arial"/>
                <w:color w:val="000000"/>
                <w:sz w:val="22"/>
                <w:szCs w:val="20"/>
              </w:rPr>
              <w:lastRenderedPageBreak/>
              <w:t>que tomó en cuenta la autoridad para adecuar el hecho a los fundamentos de derecho. De este modo, la persona que se sienta afectada pueda impugnar la decisión, permitiéndole una real y auténtica defensa.</w:t>
            </w:r>
          </w:p>
          <w:p w14:paraId="1478BDEA"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CB0D9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Ahora bien, </w:t>
            </w:r>
            <w:r w:rsidRPr="00CB0D91">
              <w:rPr>
                <w:rFonts w:ascii="Palatino Linotype" w:hAnsi="Palatino Linotype" w:cs="Arial"/>
                <w:b/>
                <w:color w:val="000000"/>
                <w:sz w:val="22"/>
                <w:szCs w:val="20"/>
                <w:u w:val="single"/>
              </w:rPr>
              <w:t>para cada caso además de fundar y motivar</w:t>
            </w:r>
            <w:r w:rsidRPr="00CB0D91">
              <w:rPr>
                <w:rFonts w:ascii="Palatino Linotype" w:hAnsi="Palatino Linotype" w:cs="Arial"/>
                <w:color w:val="000000"/>
                <w:sz w:val="22"/>
                <w:szCs w:val="20"/>
              </w:rPr>
              <w:t xml:space="preserve">, se debe identificar con claridad que datos contenidos en las documentales que son susceptibles de suprimirse, por ejemplo; </w:t>
            </w:r>
            <w:r w:rsidRPr="00CB0D91">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CB0D91"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CB0D91" w:rsidRDefault="003F2E3B" w:rsidP="0060605C">
            <w:pPr>
              <w:spacing w:before="240" w:after="240" w:line="360" w:lineRule="auto"/>
              <w:ind w:right="49"/>
              <w:jc w:val="both"/>
              <w:rPr>
                <w:rFonts w:ascii="Palatino Linotype" w:hAnsi="Palatino Linotype" w:cs="Arial"/>
                <w:color w:val="000000"/>
                <w:sz w:val="22"/>
                <w:szCs w:val="20"/>
              </w:rPr>
            </w:pPr>
            <w:r w:rsidRPr="00CB0D91">
              <w:rPr>
                <w:rFonts w:ascii="Palatino Linotype" w:eastAsia="MS Gothic" w:hAnsi="Palatino Linotype"/>
                <w:b w:val="0"/>
                <w:sz w:val="22"/>
                <w:szCs w:val="20"/>
              </w:rPr>
              <w:lastRenderedPageBreak/>
              <w:t xml:space="preserve">e) Condiciones especiales de la clasificación de la información como confidencial. </w:t>
            </w:r>
          </w:p>
          <w:p w14:paraId="487EE4E2" w14:textId="77777777" w:rsidR="003F2E3B" w:rsidRPr="00CB0D91" w:rsidRDefault="003F2E3B" w:rsidP="0060605C">
            <w:pPr>
              <w:spacing w:before="240" w:after="240" w:line="360" w:lineRule="auto"/>
              <w:rPr>
                <w:rFonts w:ascii="Palatino Linotype" w:hAnsi="Palatino Linotype"/>
                <w:sz w:val="22"/>
                <w:szCs w:val="20"/>
              </w:rPr>
            </w:pPr>
          </w:p>
        </w:tc>
        <w:tc>
          <w:tcPr>
            <w:tcW w:w="6990" w:type="dxa"/>
          </w:tcPr>
          <w:p w14:paraId="471F923C" w14:textId="77777777" w:rsidR="003F2E3B" w:rsidRPr="00CB0D9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CB0D9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CB0D91">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CB0D91"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CB0D91">
              <w:rPr>
                <w:rFonts w:ascii="Palatino Linotype" w:hAnsi="Palatino Linotype" w:cs="Arial"/>
                <w:color w:val="000000"/>
                <w:sz w:val="22"/>
                <w:szCs w:val="20"/>
              </w:rPr>
              <w:t xml:space="preserve">Pero si la información que se pretende clasificar como confidencial no se encuentra en los supuestos de los artículos señalados y es posible, se deberá consultar al titular de los datos si permite o no el acceso. De </w:t>
            </w:r>
            <w:r w:rsidRPr="00CB0D91">
              <w:rPr>
                <w:rFonts w:ascii="Palatino Linotype" w:hAnsi="Palatino Linotype" w:cs="Arial"/>
                <w:color w:val="000000"/>
                <w:sz w:val="22"/>
                <w:szCs w:val="20"/>
              </w:rPr>
              <w:lastRenderedPageBreak/>
              <w:t>no ser posible, la realización de la consulta, procede, fundando y motivando, la clasificación.</w:t>
            </w:r>
          </w:p>
        </w:tc>
      </w:tr>
    </w:tbl>
    <w:p w14:paraId="0E8F044A" w14:textId="77777777" w:rsidR="00ED44F5" w:rsidRPr="00CB0D91"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0D6C5350" w:rsidR="00FF5D4E" w:rsidRPr="00CB0D91"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0D91">
        <w:rPr>
          <w:rFonts w:ascii="Palatino Linotype" w:eastAsia="MS Mincho" w:hAnsi="Palatino Linotype" w:cstheme="majorBidi"/>
          <w:sz w:val="24"/>
        </w:rPr>
        <w:t>E</w:t>
      </w:r>
      <w:r w:rsidR="003F2E3B" w:rsidRPr="00CB0D91">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CB0D91">
        <w:rPr>
          <w:rFonts w:ascii="Palatino Linotype" w:eastAsia="MS Mincho" w:hAnsi="Palatino Linotype" w:cstheme="majorBidi"/>
          <w:b/>
          <w:sz w:val="24"/>
          <w:lang w:val="es-ES"/>
        </w:rPr>
        <w:t>RECURRENTE</w:t>
      </w:r>
      <w:r w:rsidR="003F2E3B" w:rsidRPr="00CB0D91">
        <w:rPr>
          <w:rFonts w:ascii="Palatino Linotype" w:eastAsia="MS Mincho" w:hAnsi="Palatino Linotype" w:cstheme="majorBidi"/>
          <w:sz w:val="24"/>
          <w:lang w:val="es-ES"/>
        </w:rPr>
        <w:t xml:space="preserve"> dentro de</w:t>
      </w:r>
      <w:r w:rsidR="00D67CCD" w:rsidRPr="00CB0D91">
        <w:rPr>
          <w:rFonts w:ascii="Palatino Linotype" w:eastAsia="MS Mincho" w:hAnsi="Palatino Linotype" w:cstheme="majorBidi"/>
          <w:sz w:val="24"/>
          <w:lang w:val="es-ES"/>
        </w:rPr>
        <w:t>l</w:t>
      </w:r>
      <w:r w:rsidR="003F2E3B" w:rsidRPr="00CB0D91">
        <w:rPr>
          <w:rFonts w:ascii="Palatino Linotype" w:eastAsia="MS Mincho" w:hAnsi="Palatino Linotype" w:cstheme="majorBidi"/>
          <w:sz w:val="24"/>
          <w:lang w:val="es-ES"/>
        </w:rPr>
        <w:t xml:space="preserve"> recurso de revisión </w:t>
      </w:r>
      <w:r w:rsidR="00D11F51" w:rsidRPr="00CB0D91">
        <w:rPr>
          <w:rFonts w:ascii="Palatino Linotype" w:eastAsia="MS Mincho" w:hAnsi="Palatino Linotype" w:cstheme="majorBidi"/>
          <w:b/>
          <w:bCs/>
          <w:szCs w:val="22"/>
          <w:lang w:val="es-ES"/>
        </w:rPr>
        <w:t>04218</w:t>
      </w:r>
      <w:r w:rsidR="00FF5D4E" w:rsidRPr="00CB0D91">
        <w:rPr>
          <w:rFonts w:ascii="Palatino Linotype" w:eastAsia="MS Mincho" w:hAnsi="Palatino Linotype" w:cstheme="majorBidi"/>
          <w:b/>
          <w:bCs/>
          <w:szCs w:val="22"/>
          <w:lang w:val="es-ES"/>
        </w:rPr>
        <w:t>/INFOEM/IP/RR/202</w:t>
      </w:r>
      <w:r w:rsidR="00726ABE" w:rsidRPr="00CB0D91">
        <w:rPr>
          <w:rFonts w:ascii="Palatino Linotype" w:eastAsia="MS Mincho" w:hAnsi="Palatino Linotype" w:cstheme="majorBidi"/>
          <w:b/>
          <w:bCs/>
          <w:szCs w:val="22"/>
          <w:lang w:val="es-ES"/>
        </w:rPr>
        <w:t>3</w:t>
      </w:r>
      <w:r w:rsidR="003F2E3B" w:rsidRPr="00CB0D9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D67CCD" w:rsidRPr="00CB0D91">
        <w:rPr>
          <w:rFonts w:ascii="Palatino Linotype" w:eastAsia="MS Mincho" w:hAnsi="Palatino Linotype" w:cstheme="majorBidi"/>
          <w:b/>
          <w:sz w:val="24"/>
          <w:lang w:val="es-ES"/>
        </w:rPr>
        <w:t>REVOCA</w:t>
      </w:r>
      <w:r w:rsidR="003F2E3B" w:rsidRPr="00CB0D91">
        <w:rPr>
          <w:rFonts w:ascii="Palatino Linotype" w:eastAsia="MS Mincho" w:hAnsi="Palatino Linotype" w:cstheme="majorBidi"/>
          <w:sz w:val="24"/>
          <w:lang w:val="es-ES"/>
        </w:rPr>
        <w:t xml:space="preserve"> la respuesta </w:t>
      </w:r>
      <w:r w:rsidR="005B4960" w:rsidRPr="00CB0D91">
        <w:rPr>
          <w:rFonts w:ascii="Palatino Linotype" w:eastAsia="MS Mincho" w:hAnsi="Palatino Linotype" w:cstheme="majorBidi"/>
          <w:sz w:val="24"/>
          <w:lang w:val="es-ES"/>
        </w:rPr>
        <w:t xml:space="preserve">del </w:t>
      </w:r>
      <w:r w:rsidR="00EC61FB" w:rsidRPr="00CB0D91">
        <w:rPr>
          <w:rFonts w:ascii="Palatino Linotype" w:eastAsia="MS Mincho" w:hAnsi="Palatino Linotype" w:cstheme="majorBidi"/>
          <w:b/>
          <w:bCs/>
          <w:sz w:val="24"/>
          <w:lang w:val="es-ES"/>
        </w:rPr>
        <w:t>SUJETO OBLIGADO</w:t>
      </w:r>
      <w:r w:rsidR="00EC61FB" w:rsidRPr="00CB0D91">
        <w:rPr>
          <w:rFonts w:ascii="Palatino Linotype" w:eastAsia="MS Mincho" w:hAnsi="Palatino Linotype" w:cstheme="majorBidi"/>
          <w:sz w:val="24"/>
          <w:lang w:val="es-ES"/>
        </w:rPr>
        <w:t xml:space="preserve"> </w:t>
      </w:r>
      <w:r w:rsidR="005B4960" w:rsidRPr="00CB0D91">
        <w:rPr>
          <w:rFonts w:ascii="Palatino Linotype" w:eastAsia="MS Mincho" w:hAnsi="Palatino Linotype" w:cstheme="majorBidi"/>
          <w:sz w:val="24"/>
          <w:lang w:val="es-ES"/>
        </w:rPr>
        <w:t>y se ordena la entrega en versión pública</w:t>
      </w:r>
      <w:r w:rsidR="00D7503A" w:rsidRPr="00CB0D91">
        <w:rPr>
          <w:rFonts w:ascii="Palatino Linotype" w:eastAsia="MS Mincho" w:hAnsi="Palatino Linotype" w:cstheme="majorBidi"/>
          <w:sz w:val="24"/>
          <w:lang w:val="es-ES"/>
        </w:rPr>
        <w:t xml:space="preserve"> </w:t>
      </w:r>
      <w:r w:rsidR="00534479" w:rsidRPr="00CB0D91">
        <w:rPr>
          <w:rFonts w:ascii="Palatino Linotype" w:eastAsia="MS Mincho" w:hAnsi="Palatino Linotype" w:cstheme="majorBidi"/>
          <w:sz w:val="24"/>
          <w:lang w:val="es-ES"/>
        </w:rPr>
        <w:t>de ser procedente.</w:t>
      </w:r>
    </w:p>
    <w:p w14:paraId="1B3C65E2" w14:textId="77777777" w:rsidR="00EB70AD" w:rsidRPr="00CB0D91"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CB0D91"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CB0D91">
        <w:rPr>
          <w:rFonts w:ascii="Palatino Linotype" w:hAnsi="Palatino Linotype"/>
          <w:sz w:val="24"/>
          <w:lang w:val="es-ES"/>
        </w:rPr>
        <w:t xml:space="preserve">Por lo anteriormente expuesto y fundado, este </w:t>
      </w:r>
      <w:r w:rsidRPr="00CB0D91">
        <w:rPr>
          <w:rFonts w:ascii="Palatino Linotype" w:hAnsi="Palatino Linotype"/>
          <w:b/>
          <w:bCs/>
          <w:sz w:val="24"/>
          <w:lang w:val="es-ES"/>
        </w:rPr>
        <w:t>ÓRGANO GARANTE</w:t>
      </w:r>
      <w:r w:rsidRPr="00CB0D91">
        <w:rPr>
          <w:rFonts w:ascii="Palatino Linotype" w:hAnsi="Palatino Linotype"/>
          <w:sz w:val="24"/>
          <w:lang w:val="es-ES"/>
        </w:rPr>
        <w:t xml:space="preserve"> emite los siguientes:</w:t>
      </w:r>
    </w:p>
    <w:p w14:paraId="38A6F867" w14:textId="77777777" w:rsidR="00E93FC1" w:rsidRPr="00CB0D91"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CB0D91">
        <w:rPr>
          <w:rFonts w:ascii="Palatino Linotype" w:eastAsiaTheme="majorEastAsia" w:hAnsi="Palatino Linotype" w:cstheme="majorBidi"/>
          <w:b/>
          <w:color w:val="000000" w:themeColor="text1"/>
          <w:lang w:eastAsia="en-US"/>
        </w:rPr>
        <w:t>R E S O L U T I V O S</w:t>
      </w:r>
      <w:bookmarkEnd w:id="34"/>
      <w:bookmarkEnd w:id="35"/>
    </w:p>
    <w:p w14:paraId="1FF638C4" w14:textId="3A389FE8" w:rsidR="00D67CCD" w:rsidRPr="00CB0D91" w:rsidRDefault="00E93FC1" w:rsidP="00730D0C">
      <w:pPr>
        <w:spacing w:before="240" w:after="240" w:line="360" w:lineRule="auto"/>
        <w:ind w:right="48"/>
        <w:jc w:val="both"/>
        <w:rPr>
          <w:rFonts w:ascii="Palatino Linotype" w:hAnsi="Palatino Linotype" w:cs="Arial"/>
          <w:bCs/>
          <w:lang w:eastAsia="es-ES"/>
        </w:rPr>
      </w:pPr>
      <w:r w:rsidRPr="00CB0D91">
        <w:rPr>
          <w:rFonts w:ascii="Palatino Linotype" w:hAnsi="Palatino Linotype" w:cs="Arial"/>
          <w:b/>
          <w:lang w:eastAsia="es-ES"/>
        </w:rPr>
        <w:t xml:space="preserve">PRIMERO. </w:t>
      </w:r>
      <w:r w:rsidRPr="00CB0D91">
        <w:rPr>
          <w:rFonts w:ascii="Palatino Linotype" w:hAnsi="Palatino Linotype" w:cs="Arial"/>
          <w:lang w:eastAsia="es-ES"/>
        </w:rPr>
        <w:t>Resultan fundadas las</w:t>
      </w:r>
      <w:r w:rsidRPr="00CB0D91">
        <w:rPr>
          <w:rFonts w:ascii="Palatino Linotype" w:hAnsi="Palatino Linotype" w:cs="Arial"/>
          <w:b/>
          <w:lang w:eastAsia="es-ES"/>
        </w:rPr>
        <w:t xml:space="preserve"> </w:t>
      </w:r>
      <w:r w:rsidRPr="00CB0D91">
        <w:rPr>
          <w:rFonts w:ascii="Palatino Linotype" w:hAnsi="Palatino Linotype" w:cs="Arial"/>
          <w:lang w:val="es-ES" w:eastAsia="es-ES"/>
        </w:rPr>
        <w:t xml:space="preserve">razones o motivos de inconformidad hechos valer </w:t>
      </w:r>
      <w:r w:rsidR="00CD7112" w:rsidRPr="00CB0D91">
        <w:rPr>
          <w:rFonts w:ascii="Palatino Linotype" w:eastAsia="Calibri" w:hAnsi="Palatino Linotype" w:cs="Arial"/>
          <w:lang w:val="es-ES" w:eastAsia="es-ES"/>
        </w:rPr>
        <w:t xml:space="preserve">en </w:t>
      </w:r>
      <w:r w:rsidR="00D67CCD" w:rsidRPr="00CB0D91">
        <w:rPr>
          <w:rFonts w:ascii="Palatino Linotype" w:eastAsia="Calibri" w:hAnsi="Palatino Linotype" w:cs="Arial"/>
          <w:lang w:val="es-ES" w:eastAsia="es-ES"/>
        </w:rPr>
        <w:t>el</w:t>
      </w:r>
      <w:r w:rsidRPr="00CB0D91">
        <w:rPr>
          <w:rFonts w:ascii="Palatino Linotype" w:eastAsia="Calibri" w:hAnsi="Palatino Linotype" w:cs="Arial"/>
          <w:lang w:val="es-ES" w:eastAsia="es-ES"/>
        </w:rPr>
        <w:t xml:space="preserve"> recurso de revisión </w:t>
      </w:r>
      <w:r w:rsidR="00726ABE" w:rsidRPr="00CB0D91">
        <w:rPr>
          <w:rFonts w:ascii="Palatino Linotype" w:eastAsia="MS Mincho" w:hAnsi="Palatino Linotype" w:cstheme="majorBidi"/>
          <w:b/>
          <w:bCs/>
          <w:lang w:val="es-ES"/>
        </w:rPr>
        <w:t>0</w:t>
      </w:r>
      <w:r w:rsidR="00D11F51" w:rsidRPr="00CB0D91">
        <w:rPr>
          <w:rFonts w:ascii="Palatino Linotype" w:eastAsia="MS Mincho" w:hAnsi="Palatino Linotype" w:cstheme="majorBidi"/>
          <w:b/>
          <w:bCs/>
          <w:lang w:val="es-ES"/>
        </w:rPr>
        <w:t>4218</w:t>
      </w:r>
      <w:r w:rsidR="00534479" w:rsidRPr="00CB0D91">
        <w:rPr>
          <w:rFonts w:ascii="Palatino Linotype" w:eastAsia="MS Mincho" w:hAnsi="Palatino Linotype" w:cstheme="majorBidi"/>
          <w:b/>
          <w:bCs/>
          <w:lang w:val="es-ES"/>
        </w:rPr>
        <w:t>/INFOEM/IP/RR/202</w:t>
      </w:r>
      <w:r w:rsidR="00726ABE" w:rsidRPr="00CB0D91">
        <w:rPr>
          <w:rFonts w:ascii="Palatino Linotype" w:eastAsia="MS Mincho" w:hAnsi="Palatino Linotype" w:cstheme="majorBidi"/>
          <w:b/>
          <w:bCs/>
          <w:lang w:val="es-ES"/>
        </w:rPr>
        <w:t>3</w:t>
      </w:r>
      <w:r w:rsidRPr="00CB0D91">
        <w:rPr>
          <w:rFonts w:ascii="Palatino Linotype" w:hAnsi="Palatino Linotype" w:cs="Arial"/>
          <w:b/>
          <w:bCs/>
          <w:lang w:eastAsia="es-ES"/>
        </w:rPr>
        <w:t xml:space="preserve">, </w:t>
      </w:r>
      <w:r w:rsidRPr="00CB0D91">
        <w:rPr>
          <w:rFonts w:ascii="Palatino Linotype" w:hAnsi="Palatino Linotype" w:cs="Arial"/>
          <w:bCs/>
          <w:lang w:eastAsia="es-ES"/>
        </w:rPr>
        <w:t>en términos de</w:t>
      </w:r>
      <w:r w:rsidR="00831C9B" w:rsidRPr="00CB0D91">
        <w:rPr>
          <w:rFonts w:ascii="Palatino Linotype" w:hAnsi="Palatino Linotype" w:cs="Arial"/>
          <w:bCs/>
          <w:lang w:eastAsia="es-ES"/>
        </w:rPr>
        <w:t xml:space="preserve"> </w:t>
      </w:r>
      <w:r w:rsidRPr="00CB0D91">
        <w:rPr>
          <w:rFonts w:ascii="Palatino Linotype" w:hAnsi="Palatino Linotype" w:cs="Arial"/>
          <w:bCs/>
          <w:lang w:eastAsia="es-ES"/>
        </w:rPr>
        <w:t>l</w:t>
      </w:r>
      <w:r w:rsidR="00831C9B" w:rsidRPr="00CB0D91">
        <w:rPr>
          <w:rFonts w:ascii="Palatino Linotype" w:hAnsi="Palatino Linotype" w:cs="Arial"/>
          <w:bCs/>
          <w:lang w:eastAsia="es-ES"/>
        </w:rPr>
        <w:t>os</w:t>
      </w:r>
      <w:r w:rsidRPr="00CB0D91">
        <w:rPr>
          <w:rFonts w:ascii="Palatino Linotype" w:hAnsi="Palatino Linotype" w:cs="Arial"/>
          <w:bCs/>
          <w:lang w:eastAsia="es-ES"/>
        </w:rPr>
        <w:t xml:space="preserve"> </w:t>
      </w:r>
      <w:r w:rsidRPr="00CB0D91">
        <w:rPr>
          <w:rFonts w:ascii="Palatino Linotype" w:hAnsi="Palatino Linotype" w:cs="Arial"/>
          <w:b/>
          <w:bCs/>
          <w:lang w:eastAsia="es-ES"/>
        </w:rPr>
        <w:t>Considerando</w:t>
      </w:r>
      <w:r w:rsidR="00831C9B" w:rsidRPr="00CB0D91">
        <w:rPr>
          <w:rFonts w:ascii="Palatino Linotype" w:hAnsi="Palatino Linotype" w:cs="Arial"/>
          <w:b/>
          <w:bCs/>
          <w:lang w:eastAsia="es-ES"/>
        </w:rPr>
        <w:t>s</w:t>
      </w:r>
      <w:r w:rsidRPr="00CB0D91">
        <w:rPr>
          <w:rFonts w:ascii="Palatino Linotype" w:hAnsi="Palatino Linotype" w:cs="Arial"/>
          <w:bCs/>
          <w:lang w:eastAsia="es-ES"/>
        </w:rPr>
        <w:t xml:space="preserve"> </w:t>
      </w:r>
      <w:r w:rsidRPr="00CB0D91">
        <w:rPr>
          <w:rFonts w:ascii="Palatino Linotype" w:hAnsi="Palatino Linotype" w:cs="Arial"/>
          <w:b/>
          <w:bCs/>
          <w:lang w:eastAsia="es-ES"/>
        </w:rPr>
        <w:t xml:space="preserve">CUARTO </w:t>
      </w:r>
      <w:r w:rsidR="006E1937" w:rsidRPr="00CB0D91">
        <w:rPr>
          <w:rFonts w:ascii="Palatino Linotype" w:hAnsi="Palatino Linotype" w:cs="Arial"/>
          <w:b/>
          <w:bCs/>
          <w:lang w:eastAsia="es-ES"/>
        </w:rPr>
        <w:t>y QUINTO</w:t>
      </w:r>
      <w:r w:rsidRPr="00CB0D91">
        <w:rPr>
          <w:rFonts w:ascii="Palatino Linotype" w:hAnsi="Palatino Linotype" w:cs="Arial"/>
          <w:b/>
          <w:bCs/>
          <w:lang w:eastAsia="es-ES"/>
        </w:rPr>
        <w:t xml:space="preserve"> </w:t>
      </w:r>
      <w:r w:rsidR="00E420D7" w:rsidRPr="00CB0D91">
        <w:rPr>
          <w:rFonts w:ascii="Palatino Linotype" w:hAnsi="Palatino Linotype" w:cs="Arial"/>
          <w:bCs/>
          <w:lang w:eastAsia="es-ES"/>
        </w:rPr>
        <w:t>de la presente resolución.</w:t>
      </w:r>
    </w:p>
    <w:p w14:paraId="6B9C7777" w14:textId="77777777" w:rsidR="000637E2" w:rsidRPr="00CB0D91" w:rsidRDefault="000637E2" w:rsidP="00730D0C">
      <w:pPr>
        <w:spacing w:before="240" w:after="240" w:line="360" w:lineRule="auto"/>
        <w:ind w:right="48"/>
        <w:jc w:val="both"/>
        <w:rPr>
          <w:rFonts w:ascii="Palatino Linotype" w:hAnsi="Palatino Linotype" w:cs="Arial"/>
          <w:bCs/>
          <w:sz w:val="2"/>
          <w:szCs w:val="2"/>
          <w:lang w:eastAsia="es-ES"/>
        </w:rPr>
      </w:pPr>
    </w:p>
    <w:p w14:paraId="1783CAC8" w14:textId="6A8D781B" w:rsidR="00D11F51" w:rsidRPr="00CB0D91" w:rsidRDefault="00E93FC1" w:rsidP="00D11F51">
      <w:pPr>
        <w:spacing w:before="240" w:after="240" w:line="360" w:lineRule="auto"/>
        <w:ind w:right="48"/>
        <w:jc w:val="both"/>
        <w:rPr>
          <w:rFonts w:ascii="Palatino Linotype" w:hAnsi="Palatino Linotype" w:cs="Arial"/>
          <w:lang w:val="es-ES"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CB0D91">
        <w:rPr>
          <w:rFonts w:ascii="Palatino Linotype" w:hAnsi="Palatino Linotype"/>
          <w:b/>
          <w:lang w:eastAsia="es-ES"/>
        </w:rPr>
        <w:t>SEGUNDO.</w:t>
      </w:r>
      <w:r w:rsidRPr="00CB0D91">
        <w:rPr>
          <w:rFonts w:ascii="Palatino Linotype" w:eastAsia="DengXian Light" w:hAnsi="Palatino Linotype"/>
          <w:color w:val="2F5496"/>
          <w:lang w:eastAsia="es-ES"/>
        </w:rPr>
        <w:t xml:space="preserve"> </w:t>
      </w:r>
      <w:bookmarkEnd w:id="36"/>
      <w:bookmarkEnd w:id="37"/>
      <w:bookmarkEnd w:id="38"/>
      <w:bookmarkEnd w:id="39"/>
      <w:bookmarkEnd w:id="40"/>
      <w:bookmarkEnd w:id="41"/>
      <w:bookmarkEnd w:id="42"/>
      <w:r w:rsidRPr="00CB0D91">
        <w:rPr>
          <w:rFonts w:ascii="Palatino Linotype" w:eastAsia="Calibri" w:hAnsi="Palatino Linotype" w:cs="Arial"/>
          <w:lang w:val="es-ES" w:eastAsia="es-ES"/>
        </w:rPr>
        <w:t>Se</w:t>
      </w:r>
      <w:r w:rsidRPr="00CB0D91">
        <w:rPr>
          <w:rFonts w:ascii="Palatino Linotype" w:eastAsia="Calibri" w:hAnsi="Palatino Linotype" w:cs="Arial"/>
          <w:b/>
          <w:lang w:val="es-ES" w:eastAsia="es-ES"/>
        </w:rPr>
        <w:t xml:space="preserve"> </w:t>
      </w:r>
      <w:r w:rsidR="00D67CCD" w:rsidRPr="00CB0D91">
        <w:rPr>
          <w:rFonts w:ascii="Palatino Linotype" w:eastAsia="Calibri" w:hAnsi="Palatino Linotype" w:cs="Arial"/>
          <w:b/>
          <w:lang w:val="es-ES" w:eastAsia="es-ES"/>
        </w:rPr>
        <w:t>REVOCA</w:t>
      </w:r>
      <w:r w:rsidRPr="00CB0D91">
        <w:rPr>
          <w:rFonts w:ascii="Palatino Linotype" w:eastAsia="Calibri" w:hAnsi="Palatino Linotype" w:cs="Arial"/>
          <w:b/>
          <w:lang w:val="es-ES" w:eastAsia="es-ES"/>
        </w:rPr>
        <w:t xml:space="preserve"> </w:t>
      </w:r>
      <w:r w:rsidR="00CD7112" w:rsidRPr="00CB0D91">
        <w:rPr>
          <w:rFonts w:ascii="Palatino Linotype" w:eastAsia="Calibri" w:hAnsi="Palatino Linotype" w:cs="Arial"/>
          <w:lang w:val="es-ES" w:eastAsia="es-ES"/>
        </w:rPr>
        <w:t>la respuesta emitida</w:t>
      </w:r>
      <w:r w:rsidR="00FF5D4E" w:rsidRPr="00CB0D91">
        <w:rPr>
          <w:rFonts w:ascii="Palatino Linotype" w:eastAsia="Calibri" w:hAnsi="Palatino Linotype" w:cs="Arial"/>
          <w:lang w:val="es-ES" w:eastAsia="es-ES"/>
        </w:rPr>
        <w:t xml:space="preserve"> por </w:t>
      </w:r>
      <w:r w:rsidR="00EC61FB" w:rsidRPr="00CB0D91">
        <w:rPr>
          <w:rFonts w:ascii="Palatino Linotype" w:eastAsia="Calibri" w:hAnsi="Palatino Linotype" w:cs="Arial"/>
          <w:lang w:val="es-ES" w:eastAsia="es-ES"/>
        </w:rPr>
        <w:t>el</w:t>
      </w:r>
      <w:r w:rsidRPr="00CB0D91">
        <w:rPr>
          <w:rFonts w:ascii="Palatino Linotype" w:eastAsia="Calibri" w:hAnsi="Palatino Linotype" w:cs="Arial"/>
          <w:lang w:val="es-ES" w:eastAsia="es-ES"/>
        </w:rPr>
        <w:t xml:space="preserve"> </w:t>
      </w:r>
      <w:r w:rsidR="006248A0" w:rsidRPr="00CB0D91">
        <w:rPr>
          <w:rFonts w:ascii="Palatino Linotype" w:eastAsia="Calibri" w:hAnsi="Palatino Linotype" w:cs="Tahoma"/>
          <w:b/>
          <w:bCs/>
          <w:lang w:eastAsia="en-US"/>
        </w:rPr>
        <w:t xml:space="preserve">Ayuntamiento de </w:t>
      </w:r>
      <w:r w:rsidR="00D11F51" w:rsidRPr="00CB0D91">
        <w:rPr>
          <w:rFonts w:ascii="Palatino Linotype" w:eastAsia="Calibri" w:hAnsi="Palatino Linotype" w:cs="Tahoma"/>
          <w:b/>
          <w:bCs/>
          <w:lang w:eastAsia="en-US"/>
        </w:rPr>
        <w:t xml:space="preserve">Acambay de Ruíz Castañeda </w:t>
      </w:r>
      <w:r w:rsidRPr="00CB0D91">
        <w:rPr>
          <w:rFonts w:ascii="Palatino Linotype" w:eastAsia="Calibri" w:hAnsi="Palatino Linotype" w:cs="Arial"/>
          <w:lang w:val="es-ES" w:eastAsia="es-ES"/>
        </w:rPr>
        <w:t>y se</w:t>
      </w:r>
      <w:r w:rsidRPr="00CB0D91">
        <w:rPr>
          <w:rFonts w:ascii="Palatino Linotype" w:eastAsia="Calibri" w:hAnsi="Palatino Linotype" w:cs="Arial"/>
          <w:b/>
          <w:lang w:val="es-ES" w:eastAsia="es-ES"/>
        </w:rPr>
        <w:t xml:space="preserve"> ORDENA </w:t>
      </w:r>
      <w:r w:rsidRPr="00CB0D91">
        <w:rPr>
          <w:rFonts w:ascii="Palatino Linotype" w:hAnsi="Palatino Linotype" w:cs="Arial"/>
          <w:lang w:val="es-ES" w:eastAsia="es-ES"/>
        </w:rPr>
        <w:t xml:space="preserve">entregar vía Sistema de Accesos a la Información Mexiquense </w:t>
      </w:r>
      <w:r w:rsidRPr="00CB0D91">
        <w:rPr>
          <w:rFonts w:ascii="Palatino Linotype" w:hAnsi="Palatino Linotype" w:cs="Arial"/>
          <w:b/>
          <w:bCs/>
          <w:lang w:val="es-ES" w:eastAsia="es-ES"/>
        </w:rPr>
        <w:t>(SAIMEX)</w:t>
      </w:r>
      <w:r w:rsidR="00266686" w:rsidRPr="00CB0D91">
        <w:rPr>
          <w:rFonts w:ascii="Palatino Linotype" w:hAnsi="Palatino Linotype" w:cs="Arial"/>
          <w:b/>
          <w:bCs/>
          <w:lang w:val="es-ES" w:eastAsia="es-ES"/>
        </w:rPr>
        <w:t>,</w:t>
      </w:r>
      <w:r w:rsidR="00266686" w:rsidRPr="00CB0D91">
        <w:rPr>
          <w:rFonts w:ascii="Palatino Linotype" w:hAnsi="Palatino Linotype" w:cs="Arial"/>
          <w:lang w:val="es-ES" w:eastAsia="es-ES"/>
        </w:rPr>
        <w:t xml:space="preserve"> </w:t>
      </w:r>
      <w:r w:rsidR="00F90D37" w:rsidRPr="00CB0D91">
        <w:rPr>
          <w:rFonts w:ascii="Palatino Linotype" w:hAnsi="Palatino Linotype" w:cs="Arial"/>
          <w:lang w:val="es-ES" w:eastAsia="es-ES"/>
        </w:rPr>
        <w:t xml:space="preserve">en formato </w:t>
      </w:r>
      <w:r w:rsidR="00F90D37" w:rsidRPr="00CB0D91">
        <w:rPr>
          <w:rFonts w:ascii="Palatino Linotype" w:hAnsi="Palatino Linotype" w:cs="Arial"/>
          <w:b/>
          <w:bCs/>
          <w:i/>
          <w:iCs/>
          <w:lang w:val="es-ES" w:eastAsia="es-ES"/>
        </w:rPr>
        <w:t>pdf</w:t>
      </w:r>
      <w:r w:rsidR="001D3551" w:rsidRPr="00CB0D91">
        <w:rPr>
          <w:rFonts w:ascii="Palatino Linotype" w:hAnsi="Palatino Linotype" w:cs="Arial"/>
          <w:b/>
          <w:bCs/>
          <w:i/>
          <w:iCs/>
          <w:lang w:val="es-ES" w:eastAsia="es-ES"/>
        </w:rPr>
        <w:t>.</w:t>
      </w:r>
      <w:r w:rsidR="001D3551" w:rsidRPr="00CB0D91">
        <w:rPr>
          <w:rFonts w:ascii="Palatino Linotype" w:hAnsi="Palatino Linotype" w:cs="Arial"/>
          <w:lang w:val="es-ES" w:eastAsia="es-ES"/>
        </w:rPr>
        <w:t xml:space="preserve"> o en el que hayan sido generad</w:t>
      </w:r>
      <w:r w:rsidR="00D11F51" w:rsidRPr="00CB0D91">
        <w:rPr>
          <w:rFonts w:ascii="Palatino Linotype" w:hAnsi="Palatino Linotype" w:cs="Arial"/>
          <w:lang w:val="es-ES" w:eastAsia="es-ES"/>
        </w:rPr>
        <w:t>as</w:t>
      </w:r>
      <w:r w:rsidR="001D3551" w:rsidRPr="00CB0D91">
        <w:rPr>
          <w:rFonts w:ascii="Palatino Linotype" w:hAnsi="Palatino Linotype" w:cs="Arial"/>
          <w:lang w:val="es-ES" w:eastAsia="es-ES"/>
        </w:rPr>
        <w:t xml:space="preserve">, de ser procedente en versión pública, </w:t>
      </w:r>
      <w:r w:rsidR="00D11F51" w:rsidRPr="00CB0D91">
        <w:rPr>
          <w:rFonts w:ascii="Palatino Linotype" w:hAnsi="Palatino Linotype" w:cs="Arial"/>
          <w:b/>
          <w:bCs/>
          <w:lang w:val="es-ES" w:eastAsia="es-ES"/>
        </w:rPr>
        <w:t>l</w:t>
      </w:r>
      <w:r w:rsidR="00D11F51" w:rsidRPr="00CB0D91">
        <w:rPr>
          <w:rFonts w:ascii="Palatino Linotype" w:hAnsi="Palatino Linotype"/>
          <w:b/>
          <w:bCs/>
          <w:color w:val="000000"/>
        </w:rPr>
        <w:t xml:space="preserve">as Actas de las Sesiones Ordinarias y </w:t>
      </w:r>
      <w:r w:rsidR="00D11F51" w:rsidRPr="00CB0D91">
        <w:rPr>
          <w:rFonts w:ascii="Palatino Linotype" w:hAnsi="Palatino Linotype"/>
          <w:b/>
          <w:bCs/>
          <w:color w:val="000000"/>
        </w:rPr>
        <w:lastRenderedPageBreak/>
        <w:t>Extraordinarias de Cabildo celebradas del uno de enero al treinta de junio de dos mil veintitrés.</w:t>
      </w:r>
    </w:p>
    <w:p w14:paraId="1C6433B1" w14:textId="77777777" w:rsidR="00D11F51" w:rsidRPr="00CB0D91" w:rsidRDefault="00D11F51" w:rsidP="00D11F51">
      <w:pPr>
        <w:spacing w:before="240" w:after="240" w:line="360" w:lineRule="auto"/>
        <w:ind w:right="539"/>
        <w:jc w:val="both"/>
        <w:rPr>
          <w:rFonts w:ascii="Palatino Linotype" w:hAnsi="Palatino Linotype"/>
          <w:b/>
          <w:bCs/>
          <w:color w:val="000000"/>
          <w:sz w:val="8"/>
          <w:szCs w:val="8"/>
        </w:rPr>
      </w:pPr>
    </w:p>
    <w:p w14:paraId="7A9A8366" w14:textId="0AB95519" w:rsidR="00E93FC1" w:rsidRPr="00CB0D91" w:rsidRDefault="00E93FC1" w:rsidP="00730D0C">
      <w:pPr>
        <w:tabs>
          <w:tab w:val="left" w:pos="8080"/>
        </w:tabs>
        <w:spacing w:before="240" w:after="240" w:line="360" w:lineRule="auto"/>
        <w:ind w:right="48"/>
        <w:contextualSpacing/>
        <w:jc w:val="both"/>
        <w:rPr>
          <w:rFonts w:ascii="Palatino Linotype" w:hAnsi="Palatino Linotype"/>
          <w:b/>
        </w:rPr>
      </w:pPr>
      <w:r w:rsidRPr="00CB0D91">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CB0D91">
        <w:rPr>
          <w:rFonts w:ascii="Palatino Linotype" w:hAnsi="Palatino Linotype"/>
        </w:rPr>
        <w:t>l</w:t>
      </w:r>
      <w:r w:rsidRPr="00CB0D91">
        <w:rPr>
          <w:rFonts w:ascii="Palatino Linotype" w:hAnsi="Palatino Linotype"/>
          <w:b/>
        </w:rPr>
        <w:t xml:space="preserve"> RECURRENTE.</w:t>
      </w:r>
    </w:p>
    <w:p w14:paraId="03026612" w14:textId="77777777" w:rsidR="000637E2" w:rsidRPr="00CB0D91" w:rsidRDefault="000637E2" w:rsidP="00730D0C">
      <w:pPr>
        <w:tabs>
          <w:tab w:val="left" w:pos="8080"/>
        </w:tabs>
        <w:spacing w:before="240" w:after="240" w:line="360" w:lineRule="auto"/>
        <w:ind w:right="48"/>
        <w:contextualSpacing/>
        <w:jc w:val="both"/>
        <w:rPr>
          <w:rFonts w:ascii="Palatino Linotype" w:hAnsi="Palatino Linotype"/>
          <w:b/>
        </w:rPr>
      </w:pPr>
    </w:p>
    <w:p w14:paraId="3ADEEE47" w14:textId="7294570C" w:rsidR="00E93FC1" w:rsidRPr="00CB0D9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CB0D91">
        <w:rPr>
          <w:rFonts w:ascii="Palatino Linotype" w:eastAsia="Palatino Linotype" w:hAnsi="Palatino Linotype" w:cs="Palatino Linotype"/>
          <w:b/>
        </w:rPr>
        <w:t xml:space="preserve">TERCERO. </w:t>
      </w:r>
      <w:r w:rsidR="00D11F51" w:rsidRPr="00CB0D91">
        <w:rPr>
          <w:rFonts w:ascii="Palatino Linotype" w:hAnsi="Palatino Linotype" w:cs="Arial"/>
          <w:b/>
          <w:color w:val="000000" w:themeColor="text1"/>
        </w:rPr>
        <w:t>Notifíquese</w:t>
      </w:r>
      <w:r w:rsidR="00D11F51" w:rsidRPr="00CB0D91">
        <w:rPr>
          <w:rFonts w:ascii="Palatino Linotype" w:hAnsi="Palatino Linotype" w:cs="Arial"/>
          <w:b/>
          <w:bCs/>
          <w:color w:val="000000" w:themeColor="text1"/>
        </w:rPr>
        <w:t xml:space="preserve"> </w:t>
      </w:r>
      <w:r w:rsidR="00D11F51" w:rsidRPr="00CB0D91">
        <w:rPr>
          <w:rFonts w:ascii="Palatino Linotype" w:hAnsi="Palatino Linotype" w:cs="AppleSystemUIFont"/>
        </w:rPr>
        <w:t xml:space="preserve">a presente resolución al Titular de la Unidad de Transparencia del </w:t>
      </w:r>
      <w:r w:rsidR="00D11F51" w:rsidRPr="00CB0D91">
        <w:rPr>
          <w:rFonts w:ascii="Palatino Linotype" w:hAnsi="Palatino Linotype" w:cs="AppleSystemUIFont"/>
          <w:b/>
          <w:bCs/>
        </w:rPr>
        <w:t>SUJETO OBLIGADO</w:t>
      </w:r>
      <w:r w:rsidR="00D11F51" w:rsidRPr="00CB0D91">
        <w:rPr>
          <w:rFonts w:ascii="Palatino Linotype" w:hAnsi="Palatino Linotype" w:cs="AppleSystemUIFont"/>
        </w:rPr>
        <w:t xml:space="preserve">, para que conforme al artículo 186 último párrafo, 189 segundo párrafo y 194 de la Ley de Transparencia y Acceso a la Información Pública del Estado de México y Municipios; dé cumplimiento a lo </w:t>
      </w:r>
      <w:r w:rsidR="00D11F51" w:rsidRPr="00CB0D91">
        <w:rPr>
          <w:rFonts w:ascii="Palatino Linotype" w:hAnsi="Palatino Linotype" w:cs="AppleSystemUIFont"/>
          <w:b/>
        </w:rPr>
        <w:t>ordenado dentro del plazo de diez días hábiles,</w:t>
      </w:r>
      <w:r w:rsidR="00D11F51" w:rsidRPr="00CB0D91">
        <w:rPr>
          <w:rFonts w:ascii="Palatino Linotype" w:hAnsi="Palatino Linotype" w:cs="AppleSystemUIFont"/>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CB0D91"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A007AA" w:rsidR="00AA1064" w:rsidRPr="00CB0D91" w:rsidRDefault="00E93FC1" w:rsidP="00730D0C">
      <w:pPr>
        <w:shd w:val="clear" w:color="auto" w:fill="FFFFFF"/>
        <w:spacing w:before="240" w:after="240" w:line="360" w:lineRule="auto"/>
        <w:ind w:right="48"/>
        <w:jc w:val="both"/>
        <w:rPr>
          <w:rFonts w:ascii="Palatino Linotype" w:hAnsi="Palatino Linotype"/>
          <w:b/>
        </w:rPr>
      </w:pPr>
      <w:r w:rsidRPr="00CB0D91">
        <w:rPr>
          <w:rFonts w:ascii="Palatino Linotype" w:hAnsi="Palatino Linotype" w:cs="Arial"/>
          <w:b/>
        </w:rPr>
        <w:t xml:space="preserve">CUARTO. </w:t>
      </w:r>
      <w:r w:rsidRPr="00CB0D91">
        <w:rPr>
          <w:rFonts w:ascii="Palatino Linotype" w:hAnsi="Palatino Linotype"/>
          <w:b/>
          <w:bCs/>
          <w:lang w:val="es-ES"/>
        </w:rPr>
        <w:t>Notifíquese a</w:t>
      </w:r>
      <w:r w:rsidR="00534479" w:rsidRPr="00CB0D91">
        <w:rPr>
          <w:rFonts w:ascii="Palatino Linotype" w:hAnsi="Palatino Linotype"/>
          <w:b/>
          <w:bCs/>
          <w:lang w:val="es-ES"/>
        </w:rPr>
        <w:t xml:space="preserve">l </w:t>
      </w:r>
      <w:r w:rsidRPr="00CB0D91">
        <w:rPr>
          <w:rFonts w:ascii="Palatino Linotype" w:hAnsi="Palatino Linotype"/>
          <w:b/>
          <w:bCs/>
          <w:lang w:val="es-ES"/>
        </w:rPr>
        <w:t>RECURRENTE</w:t>
      </w:r>
      <w:r w:rsidRPr="00CB0D91">
        <w:rPr>
          <w:rFonts w:ascii="Palatino Linotype" w:hAnsi="Palatino Linotype"/>
        </w:rPr>
        <w:t xml:space="preserve"> la presente resolución</w:t>
      </w:r>
      <w:r w:rsidR="006E1937" w:rsidRPr="00CB0D91">
        <w:rPr>
          <w:rFonts w:ascii="Palatino Linotype" w:hAnsi="Palatino Linotype"/>
        </w:rPr>
        <w:t xml:space="preserve"> vía </w:t>
      </w:r>
      <w:r w:rsidR="006E1937" w:rsidRPr="00CB0D91">
        <w:rPr>
          <w:rFonts w:ascii="Palatino Linotype" w:hAnsi="Palatino Linotype"/>
          <w:b/>
        </w:rPr>
        <w:t>SAIMEX</w:t>
      </w:r>
      <w:r w:rsidR="00A54073" w:rsidRPr="00CB0D91">
        <w:rPr>
          <w:rFonts w:ascii="Palatino Linotype" w:hAnsi="Palatino Linotype"/>
          <w:b/>
        </w:rPr>
        <w:t>.</w:t>
      </w:r>
    </w:p>
    <w:p w14:paraId="5252F347" w14:textId="77777777" w:rsidR="000637E2" w:rsidRPr="00CB0D91" w:rsidRDefault="000637E2" w:rsidP="00730D0C">
      <w:pPr>
        <w:shd w:val="clear" w:color="auto" w:fill="FFFFFF"/>
        <w:spacing w:before="240" w:after="240" w:line="360" w:lineRule="auto"/>
        <w:ind w:right="48"/>
        <w:jc w:val="both"/>
        <w:rPr>
          <w:rFonts w:ascii="Palatino Linotype" w:hAnsi="Palatino Linotype"/>
          <w:b/>
          <w:sz w:val="2"/>
          <w:szCs w:val="2"/>
        </w:rPr>
      </w:pPr>
    </w:p>
    <w:p w14:paraId="4F340872" w14:textId="505AFE71" w:rsidR="00E93FC1" w:rsidRPr="00CB0D91" w:rsidRDefault="00E93FC1" w:rsidP="00730D0C">
      <w:pPr>
        <w:spacing w:before="240" w:after="240" w:line="360" w:lineRule="auto"/>
        <w:ind w:right="48"/>
        <w:jc w:val="both"/>
        <w:rPr>
          <w:rFonts w:ascii="Palatino Linotype" w:eastAsia="MS Mincho" w:hAnsi="Palatino Linotype"/>
          <w:lang w:val="es-ES"/>
        </w:rPr>
      </w:pPr>
      <w:r w:rsidRPr="00CB0D91">
        <w:rPr>
          <w:rFonts w:ascii="Palatino Linotype" w:eastAsia="MS Mincho" w:hAnsi="Palatino Linotype"/>
          <w:b/>
        </w:rPr>
        <w:lastRenderedPageBreak/>
        <w:t>QUINTO.</w:t>
      </w:r>
      <w:r w:rsidRPr="00CB0D91">
        <w:rPr>
          <w:rFonts w:ascii="Palatino Linotype" w:eastAsia="MS Mincho" w:hAnsi="Palatino Linotype"/>
        </w:rPr>
        <w:t xml:space="preserve"> </w:t>
      </w:r>
      <w:r w:rsidRPr="00CB0D91">
        <w:rPr>
          <w:rFonts w:ascii="Palatino Linotype" w:eastAsia="MS Mincho" w:hAnsi="Palatino Linotype"/>
          <w:lang w:val="es-ES"/>
        </w:rPr>
        <w:t>Se hace del conocimiento de</w:t>
      </w:r>
      <w:r w:rsidR="00534479" w:rsidRPr="00CB0D91">
        <w:rPr>
          <w:rFonts w:ascii="Palatino Linotype" w:eastAsia="MS Mincho" w:hAnsi="Palatino Linotype"/>
          <w:lang w:val="es-ES"/>
        </w:rPr>
        <w:t>l</w:t>
      </w:r>
      <w:r w:rsidRPr="00CB0D91">
        <w:rPr>
          <w:rFonts w:ascii="Palatino Linotype" w:eastAsia="MS Mincho" w:hAnsi="Palatino Linotype"/>
          <w:lang w:val="es-ES"/>
        </w:rPr>
        <w:t xml:space="preserve"> </w:t>
      </w:r>
      <w:r w:rsidRPr="00CB0D91">
        <w:rPr>
          <w:rFonts w:ascii="Palatino Linotype" w:hAnsi="Palatino Linotype"/>
          <w:b/>
        </w:rPr>
        <w:t>RECURRENTE</w:t>
      </w:r>
      <w:r w:rsidRPr="00CB0D91">
        <w:rPr>
          <w:rFonts w:ascii="Palatino Linotype" w:hAnsi="Palatino Linotype"/>
        </w:rPr>
        <w:t xml:space="preserve"> </w:t>
      </w:r>
      <w:r w:rsidRPr="00CB0D9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CB0D91">
        <w:rPr>
          <w:rFonts w:ascii="Palatino Linotype" w:eastAsia="MS Mincho" w:hAnsi="Palatino Linotype"/>
          <w:lang w:val="es-ES"/>
        </w:rPr>
        <w:t xml:space="preserve"> </w:t>
      </w:r>
      <w:r w:rsidRPr="00CB0D91">
        <w:rPr>
          <w:rFonts w:ascii="Palatino Linotype" w:eastAsia="MS Mincho" w:hAnsi="Palatino Linotype"/>
          <w:bCs/>
          <w:lang w:val="es-ES"/>
        </w:rPr>
        <w:t>vía juicio de amparo</w:t>
      </w:r>
      <w:r w:rsidR="00AA1064" w:rsidRPr="00CB0D91">
        <w:rPr>
          <w:rFonts w:ascii="Palatino Linotype" w:eastAsia="MS Mincho" w:hAnsi="Palatino Linotype"/>
          <w:lang w:val="es-ES"/>
        </w:rPr>
        <w:t xml:space="preserve"> </w:t>
      </w:r>
      <w:r w:rsidRPr="00CB0D91">
        <w:rPr>
          <w:rFonts w:ascii="Palatino Linotype" w:eastAsia="MS Mincho" w:hAnsi="Palatino Linotype"/>
          <w:lang w:val="es-ES"/>
        </w:rPr>
        <w:t>en los té</w:t>
      </w:r>
      <w:r w:rsidR="00E420D7" w:rsidRPr="00CB0D91">
        <w:rPr>
          <w:rFonts w:ascii="Palatino Linotype" w:eastAsia="MS Mincho" w:hAnsi="Palatino Linotype"/>
          <w:lang w:val="es-ES"/>
        </w:rPr>
        <w:t>rminos de las leyes aplicables.</w:t>
      </w:r>
    </w:p>
    <w:p w14:paraId="4DE01AA7" w14:textId="77777777" w:rsidR="000637E2" w:rsidRPr="00CB0D91" w:rsidRDefault="000637E2" w:rsidP="00730D0C">
      <w:pPr>
        <w:spacing w:before="240" w:after="240" w:line="360" w:lineRule="auto"/>
        <w:ind w:right="48"/>
        <w:jc w:val="both"/>
        <w:rPr>
          <w:rFonts w:ascii="Palatino Linotype" w:eastAsia="MS Mincho" w:hAnsi="Palatino Linotype"/>
          <w:sz w:val="2"/>
          <w:szCs w:val="2"/>
          <w:lang w:val="es-ES"/>
        </w:rPr>
      </w:pPr>
    </w:p>
    <w:p w14:paraId="1A34E69E" w14:textId="77777777" w:rsidR="00E93FC1" w:rsidRPr="00CB0D91" w:rsidRDefault="00E93FC1" w:rsidP="00730D0C">
      <w:pPr>
        <w:spacing w:before="240" w:after="240" w:line="360" w:lineRule="auto"/>
        <w:ind w:right="48"/>
        <w:jc w:val="both"/>
        <w:rPr>
          <w:rFonts w:ascii="Palatino Linotype" w:eastAsia="Calibri" w:hAnsi="Palatino Linotype" w:cs="Arial"/>
          <w:bCs/>
        </w:rPr>
      </w:pPr>
      <w:r w:rsidRPr="00CB0D91">
        <w:rPr>
          <w:rFonts w:ascii="Palatino Linotype" w:hAnsi="Palatino Linotype"/>
          <w:b/>
          <w:color w:val="000000"/>
          <w:shd w:val="clear" w:color="auto" w:fill="FFFFFF"/>
        </w:rPr>
        <w:t xml:space="preserve">SEXTO. </w:t>
      </w:r>
      <w:r w:rsidRPr="00CB0D9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CB0D91">
        <w:rPr>
          <w:rFonts w:ascii="Palatino Linotype" w:eastAsia="Calibri" w:hAnsi="Palatino Linotype" w:cs="Arial"/>
          <w:bCs/>
        </w:rPr>
        <w:t>ento de la presente resolución.</w:t>
      </w:r>
    </w:p>
    <w:p w14:paraId="332242FE" w14:textId="77777777" w:rsidR="00831C9B" w:rsidRPr="00831C9B" w:rsidRDefault="00831C9B" w:rsidP="00831C9B">
      <w:pPr>
        <w:spacing w:before="240" w:after="240" w:line="360" w:lineRule="auto"/>
        <w:ind w:firstLine="1"/>
        <w:jc w:val="both"/>
        <w:rPr>
          <w:rFonts w:ascii="Palatino Linotype" w:hAnsi="Palatino Linotype"/>
          <w:smallCaps/>
        </w:rPr>
      </w:pPr>
      <w:bookmarkStart w:id="43" w:name="_Hlk129792997"/>
      <w:r w:rsidRPr="00CB0D91">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r w:rsidRPr="00831C9B">
        <w:rPr>
          <w:rStyle w:val="Referenciasutil"/>
          <w:rFonts w:ascii="Palatino Linotype" w:eastAsiaTheme="majorEastAsia" w:hAnsi="Palatino Linotype"/>
          <w:color w:val="auto"/>
        </w:rPr>
        <w:t xml:space="preserve"> </w:t>
      </w:r>
      <w:bookmarkEnd w:id="43"/>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D48D6" w14:textId="77777777" w:rsidR="003A3EA9" w:rsidRDefault="003A3EA9" w:rsidP="00E93FC1">
      <w:r>
        <w:separator/>
      </w:r>
    </w:p>
  </w:endnote>
  <w:endnote w:type="continuationSeparator" w:id="0">
    <w:p w14:paraId="5A80DE30" w14:textId="77777777" w:rsidR="003A3EA9" w:rsidRDefault="003A3EA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765EAF">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65EAF">
      <w:rPr>
        <w:b/>
        <w:bCs/>
        <w:noProof/>
      </w:rPr>
      <w:t>22</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765EA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65EAF">
      <w:rPr>
        <w:b/>
        <w:bCs/>
        <w:noProof/>
      </w:rPr>
      <w:t>22</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E1F5" w14:textId="77777777" w:rsidR="003A3EA9" w:rsidRDefault="003A3EA9" w:rsidP="00E93FC1">
      <w:r>
        <w:separator/>
      </w:r>
    </w:p>
  </w:footnote>
  <w:footnote w:type="continuationSeparator" w:id="0">
    <w:p w14:paraId="2D9BB70D" w14:textId="77777777" w:rsidR="003A3EA9" w:rsidRDefault="003A3EA9"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3A3EA9">
    <w:pPr>
      <w:pStyle w:val="Encabezado"/>
    </w:pPr>
    <w:r>
      <w:rPr>
        <w:noProof/>
      </w:rPr>
      <w:pict w14:anchorId="4EBF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1D59D5C0" w:rsidR="00681B03" w:rsidRPr="00020E73" w:rsidRDefault="00052206"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11F51">
                  <w:rPr>
                    <w:rFonts w:ascii="Palatino Linotype" w:eastAsia="Calibri" w:hAnsi="Palatino Linotype" w:cs="Tahoma"/>
                    <w:bCs/>
                    <w:sz w:val="22"/>
                    <w:szCs w:val="22"/>
                    <w:lang w:eastAsia="en-US"/>
                  </w:rPr>
                  <w:t>4218</w:t>
                </w:r>
                <w:r w:rsidR="00E919FF">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r w:rsidR="00CC0C20">
                  <w:rPr>
                    <w:rFonts w:ascii="Palatino Linotype" w:eastAsia="Calibri" w:hAnsi="Palatino Linotype" w:cs="Tahoma"/>
                    <w:bCs/>
                    <w:sz w:val="22"/>
                    <w:szCs w:val="22"/>
                    <w:lang w:eastAsia="en-US"/>
                  </w:rPr>
                  <w:t xml:space="preserve"> </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73F966B8" w:rsidR="00681B03" w:rsidRPr="00020E73" w:rsidRDefault="00D11F51"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Acambay de Ruíz Castañeda</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3A3EA9" w:rsidP="00E93FC1">
    <w:pPr>
      <w:pStyle w:val="Encabezado"/>
      <w:rPr>
        <w:sz w:val="14"/>
      </w:rPr>
    </w:pPr>
    <w:r>
      <w:rPr>
        <w:noProof/>
        <w:sz w:val="14"/>
      </w:rPr>
      <w:pict w14:anchorId="6689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59AA93DE" w:rsidR="00681B03" w:rsidRPr="00020E73" w:rsidRDefault="00052206"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D11F51">
                  <w:rPr>
                    <w:rFonts w:ascii="Palatino Linotype" w:eastAsia="Calibri" w:hAnsi="Palatino Linotype" w:cs="Tahoma"/>
                    <w:sz w:val="22"/>
                    <w:szCs w:val="22"/>
                    <w:lang w:eastAsia="en-US"/>
                  </w:rPr>
                  <w:t>4218</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w:t>
                </w:r>
                <w:r>
                  <w:rPr>
                    <w:rFonts w:ascii="Palatino Linotype" w:eastAsia="Calibri" w:hAnsi="Palatino Linotype" w:cs="Tahoma"/>
                    <w:sz w:val="22"/>
                    <w:szCs w:val="22"/>
                    <w:lang w:eastAsia="en-US"/>
                  </w:rPr>
                  <w:t>3</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19DFE614" w:rsidR="00681B03" w:rsidRPr="00020E73" w:rsidRDefault="00765EAF"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w:t>
                </w: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43B9A66" w:rsidR="00681B03" w:rsidRPr="009E7B0A" w:rsidRDefault="0047361F"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D11F51">
                  <w:rPr>
                    <w:rFonts w:ascii="Palatino Linotype" w:eastAsia="Calibri" w:hAnsi="Palatino Linotype" w:cs="Tahoma"/>
                    <w:sz w:val="22"/>
                    <w:szCs w:val="22"/>
                    <w:lang w:eastAsia="en-US"/>
                  </w:rPr>
                  <w:t>Acambay de Ruíz Castañeda</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3A3EA9" w:rsidP="00E93FC1">
    <w:pPr>
      <w:pStyle w:val="Encabezado"/>
      <w:rPr>
        <w:sz w:val="2"/>
        <w:szCs w:val="22"/>
      </w:rPr>
    </w:pPr>
    <w:r>
      <w:rPr>
        <w:noProof/>
        <w:sz w:val="2"/>
        <w:szCs w:val="22"/>
      </w:rPr>
      <w:pict w14:anchorId="76D6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5"/>
  </w:num>
  <w:num w:numId="3">
    <w:abstractNumId w:val="18"/>
  </w:num>
  <w:num w:numId="4">
    <w:abstractNumId w:val="3"/>
  </w:num>
  <w:num w:numId="5">
    <w:abstractNumId w:val="11"/>
  </w:num>
  <w:num w:numId="6">
    <w:abstractNumId w:val="17"/>
  </w:num>
  <w:num w:numId="7">
    <w:abstractNumId w:val="15"/>
  </w:num>
  <w:num w:numId="8">
    <w:abstractNumId w:val="7"/>
  </w:num>
  <w:num w:numId="9">
    <w:abstractNumId w:val="6"/>
  </w:num>
  <w:num w:numId="10">
    <w:abstractNumId w:val="28"/>
  </w:num>
  <w:num w:numId="11">
    <w:abstractNumId w:val="32"/>
  </w:num>
  <w:num w:numId="12">
    <w:abstractNumId w:val="13"/>
  </w:num>
  <w:num w:numId="13">
    <w:abstractNumId w:val="26"/>
  </w:num>
  <w:num w:numId="14">
    <w:abstractNumId w:val="10"/>
  </w:num>
  <w:num w:numId="15">
    <w:abstractNumId w:val="30"/>
  </w:num>
  <w:num w:numId="16">
    <w:abstractNumId w:val="22"/>
  </w:num>
  <w:num w:numId="17">
    <w:abstractNumId w:val="9"/>
  </w:num>
  <w:num w:numId="18">
    <w:abstractNumId w:val="14"/>
  </w:num>
  <w:num w:numId="19">
    <w:abstractNumId w:val="19"/>
  </w:num>
  <w:num w:numId="20">
    <w:abstractNumId w:val="21"/>
  </w:num>
  <w:num w:numId="21">
    <w:abstractNumId w:val="29"/>
  </w:num>
  <w:num w:numId="22">
    <w:abstractNumId w:val="4"/>
  </w:num>
  <w:num w:numId="23">
    <w:abstractNumId w:val="31"/>
  </w:num>
  <w:num w:numId="24">
    <w:abstractNumId w:val="23"/>
  </w:num>
  <w:num w:numId="25">
    <w:abstractNumId w:val="20"/>
  </w:num>
  <w:num w:numId="26">
    <w:abstractNumId w:val="27"/>
  </w:num>
  <w:num w:numId="27">
    <w:abstractNumId w:val="16"/>
  </w:num>
  <w:num w:numId="28">
    <w:abstractNumId w:val="8"/>
  </w:num>
  <w:num w:numId="29">
    <w:abstractNumId w:val="1"/>
  </w:num>
  <w:num w:numId="30">
    <w:abstractNumId w:val="0"/>
  </w:num>
  <w:num w:numId="31">
    <w:abstractNumId w:val="2"/>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2206"/>
    <w:rsid w:val="0005455E"/>
    <w:rsid w:val="000637E2"/>
    <w:rsid w:val="00071489"/>
    <w:rsid w:val="00073F20"/>
    <w:rsid w:val="00080A89"/>
    <w:rsid w:val="0008252C"/>
    <w:rsid w:val="00093EB1"/>
    <w:rsid w:val="000A4088"/>
    <w:rsid w:val="000A68FE"/>
    <w:rsid w:val="000A77D0"/>
    <w:rsid w:val="000C4EE6"/>
    <w:rsid w:val="000D79D7"/>
    <w:rsid w:val="000E3DDC"/>
    <w:rsid w:val="000F14F6"/>
    <w:rsid w:val="000F71F3"/>
    <w:rsid w:val="00102DEE"/>
    <w:rsid w:val="00105E8D"/>
    <w:rsid w:val="00132989"/>
    <w:rsid w:val="00133794"/>
    <w:rsid w:val="00135ABF"/>
    <w:rsid w:val="0013797D"/>
    <w:rsid w:val="00145FA3"/>
    <w:rsid w:val="001532BF"/>
    <w:rsid w:val="00157557"/>
    <w:rsid w:val="0016749F"/>
    <w:rsid w:val="00171A1F"/>
    <w:rsid w:val="00183438"/>
    <w:rsid w:val="001846CB"/>
    <w:rsid w:val="0019424D"/>
    <w:rsid w:val="00196156"/>
    <w:rsid w:val="001A6191"/>
    <w:rsid w:val="001A6FE8"/>
    <w:rsid w:val="001A7BE8"/>
    <w:rsid w:val="001C45E4"/>
    <w:rsid w:val="001D1BE5"/>
    <w:rsid w:val="001D3551"/>
    <w:rsid w:val="001D497D"/>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D0C60"/>
    <w:rsid w:val="002D5507"/>
    <w:rsid w:val="002D793B"/>
    <w:rsid w:val="002E2F2E"/>
    <w:rsid w:val="002F44D2"/>
    <w:rsid w:val="002F7D51"/>
    <w:rsid w:val="0030122B"/>
    <w:rsid w:val="00311503"/>
    <w:rsid w:val="00330DF2"/>
    <w:rsid w:val="00333D2A"/>
    <w:rsid w:val="00351095"/>
    <w:rsid w:val="00360EB7"/>
    <w:rsid w:val="00361B7A"/>
    <w:rsid w:val="00382517"/>
    <w:rsid w:val="003A14CB"/>
    <w:rsid w:val="003A25EC"/>
    <w:rsid w:val="003A3EA9"/>
    <w:rsid w:val="003B2EE3"/>
    <w:rsid w:val="003B3A2B"/>
    <w:rsid w:val="003C2CE3"/>
    <w:rsid w:val="003C3850"/>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5302C"/>
    <w:rsid w:val="00465E0E"/>
    <w:rsid w:val="004733AF"/>
    <w:rsid w:val="0047361F"/>
    <w:rsid w:val="0047652C"/>
    <w:rsid w:val="00495062"/>
    <w:rsid w:val="00496DC3"/>
    <w:rsid w:val="004A2ECD"/>
    <w:rsid w:val="004A4A48"/>
    <w:rsid w:val="004A599B"/>
    <w:rsid w:val="004D6B27"/>
    <w:rsid w:val="004F050E"/>
    <w:rsid w:val="004F2B9D"/>
    <w:rsid w:val="004F334F"/>
    <w:rsid w:val="004F340A"/>
    <w:rsid w:val="004F64B9"/>
    <w:rsid w:val="00534479"/>
    <w:rsid w:val="0055319E"/>
    <w:rsid w:val="0055631C"/>
    <w:rsid w:val="00556ABA"/>
    <w:rsid w:val="00564644"/>
    <w:rsid w:val="00564720"/>
    <w:rsid w:val="00580A0F"/>
    <w:rsid w:val="005B21EF"/>
    <w:rsid w:val="005B4960"/>
    <w:rsid w:val="005C049D"/>
    <w:rsid w:val="005E3613"/>
    <w:rsid w:val="005E614C"/>
    <w:rsid w:val="005F1134"/>
    <w:rsid w:val="005F2A25"/>
    <w:rsid w:val="005F48AF"/>
    <w:rsid w:val="00605C31"/>
    <w:rsid w:val="0060605C"/>
    <w:rsid w:val="006118C5"/>
    <w:rsid w:val="00623CCB"/>
    <w:rsid w:val="006248A0"/>
    <w:rsid w:val="006255C9"/>
    <w:rsid w:val="00626F20"/>
    <w:rsid w:val="00635262"/>
    <w:rsid w:val="00641C4F"/>
    <w:rsid w:val="006437FA"/>
    <w:rsid w:val="0065064E"/>
    <w:rsid w:val="00652405"/>
    <w:rsid w:val="00655E90"/>
    <w:rsid w:val="00657493"/>
    <w:rsid w:val="0065765B"/>
    <w:rsid w:val="0066736C"/>
    <w:rsid w:val="0067200B"/>
    <w:rsid w:val="00672D87"/>
    <w:rsid w:val="00681B03"/>
    <w:rsid w:val="00686B08"/>
    <w:rsid w:val="006A192D"/>
    <w:rsid w:val="006B79D4"/>
    <w:rsid w:val="006E1937"/>
    <w:rsid w:val="00707A05"/>
    <w:rsid w:val="00726ABE"/>
    <w:rsid w:val="00730D0C"/>
    <w:rsid w:val="00731106"/>
    <w:rsid w:val="00734B74"/>
    <w:rsid w:val="007353A8"/>
    <w:rsid w:val="0074360B"/>
    <w:rsid w:val="0075374F"/>
    <w:rsid w:val="00765EAF"/>
    <w:rsid w:val="0076643E"/>
    <w:rsid w:val="00767D1D"/>
    <w:rsid w:val="007711B6"/>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1C9B"/>
    <w:rsid w:val="00832761"/>
    <w:rsid w:val="00834BCD"/>
    <w:rsid w:val="00843CA1"/>
    <w:rsid w:val="00847ABF"/>
    <w:rsid w:val="00861C66"/>
    <w:rsid w:val="008644FC"/>
    <w:rsid w:val="0087756D"/>
    <w:rsid w:val="008866EB"/>
    <w:rsid w:val="008922B1"/>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1445"/>
    <w:rsid w:val="00983EB5"/>
    <w:rsid w:val="009A66E4"/>
    <w:rsid w:val="009C09D4"/>
    <w:rsid w:val="009C4F8B"/>
    <w:rsid w:val="009C53EB"/>
    <w:rsid w:val="009F0099"/>
    <w:rsid w:val="00A17D87"/>
    <w:rsid w:val="00A3271E"/>
    <w:rsid w:val="00A331FD"/>
    <w:rsid w:val="00A379F0"/>
    <w:rsid w:val="00A4435D"/>
    <w:rsid w:val="00A4775A"/>
    <w:rsid w:val="00A54073"/>
    <w:rsid w:val="00A567BA"/>
    <w:rsid w:val="00A7471C"/>
    <w:rsid w:val="00A87430"/>
    <w:rsid w:val="00A95951"/>
    <w:rsid w:val="00AA1064"/>
    <w:rsid w:val="00AC0561"/>
    <w:rsid w:val="00AC574B"/>
    <w:rsid w:val="00AE026F"/>
    <w:rsid w:val="00AE563E"/>
    <w:rsid w:val="00AE7FC3"/>
    <w:rsid w:val="00AF0429"/>
    <w:rsid w:val="00B73C19"/>
    <w:rsid w:val="00B81702"/>
    <w:rsid w:val="00B81DCB"/>
    <w:rsid w:val="00B864DD"/>
    <w:rsid w:val="00B910C0"/>
    <w:rsid w:val="00BB2437"/>
    <w:rsid w:val="00BC4D8E"/>
    <w:rsid w:val="00BC6690"/>
    <w:rsid w:val="00BD738A"/>
    <w:rsid w:val="00BE0AEC"/>
    <w:rsid w:val="00BE2309"/>
    <w:rsid w:val="00BF37C5"/>
    <w:rsid w:val="00BF49D7"/>
    <w:rsid w:val="00BF4D16"/>
    <w:rsid w:val="00C07EC9"/>
    <w:rsid w:val="00C2564D"/>
    <w:rsid w:val="00C41761"/>
    <w:rsid w:val="00C5684D"/>
    <w:rsid w:val="00C635EF"/>
    <w:rsid w:val="00C82D41"/>
    <w:rsid w:val="00C82FE5"/>
    <w:rsid w:val="00C8485D"/>
    <w:rsid w:val="00CA2E6C"/>
    <w:rsid w:val="00CA55BA"/>
    <w:rsid w:val="00CB0D91"/>
    <w:rsid w:val="00CB62F7"/>
    <w:rsid w:val="00CB7E79"/>
    <w:rsid w:val="00CC064D"/>
    <w:rsid w:val="00CC0C20"/>
    <w:rsid w:val="00CD0D2C"/>
    <w:rsid w:val="00CD7112"/>
    <w:rsid w:val="00CF2C45"/>
    <w:rsid w:val="00D11F51"/>
    <w:rsid w:val="00D12AD2"/>
    <w:rsid w:val="00D15142"/>
    <w:rsid w:val="00D16F2C"/>
    <w:rsid w:val="00D21854"/>
    <w:rsid w:val="00D26AC6"/>
    <w:rsid w:val="00D3376B"/>
    <w:rsid w:val="00D37593"/>
    <w:rsid w:val="00D5736F"/>
    <w:rsid w:val="00D6639F"/>
    <w:rsid w:val="00D666D8"/>
    <w:rsid w:val="00D66A39"/>
    <w:rsid w:val="00D67CCD"/>
    <w:rsid w:val="00D73E5B"/>
    <w:rsid w:val="00D7503A"/>
    <w:rsid w:val="00D75718"/>
    <w:rsid w:val="00D91C3A"/>
    <w:rsid w:val="00D91E06"/>
    <w:rsid w:val="00D92924"/>
    <w:rsid w:val="00DA6D69"/>
    <w:rsid w:val="00DB24CF"/>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919FF"/>
    <w:rsid w:val="00E93FC1"/>
    <w:rsid w:val="00E95B3E"/>
    <w:rsid w:val="00EA0C88"/>
    <w:rsid w:val="00EA692A"/>
    <w:rsid w:val="00EB2E50"/>
    <w:rsid w:val="00EB70AD"/>
    <w:rsid w:val="00EC61FB"/>
    <w:rsid w:val="00EC6CAA"/>
    <w:rsid w:val="00ED44F5"/>
    <w:rsid w:val="00ED5AAE"/>
    <w:rsid w:val="00EE4D83"/>
    <w:rsid w:val="00EE743E"/>
    <w:rsid w:val="00EF4A66"/>
    <w:rsid w:val="00F26DE8"/>
    <w:rsid w:val="00F3013B"/>
    <w:rsid w:val="00F33AC0"/>
    <w:rsid w:val="00F476D7"/>
    <w:rsid w:val="00F61CD3"/>
    <w:rsid w:val="00F63E66"/>
    <w:rsid w:val="00F67C84"/>
    <w:rsid w:val="00F80211"/>
    <w:rsid w:val="00F8287E"/>
    <w:rsid w:val="00F83172"/>
    <w:rsid w:val="00F8545E"/>
    <w:rsid w:val="00F90D37"/>
    <w:rsid w:val="00F91816"/>
    <w:rsid w:val="00FA2E49"/>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character" w:styleId="Referenciasutil">
    <w:name w:val="Subtle Reference"/>
    <w:basedOn w:val="Fuentedeprrafopredeter"/>
    <w:uiPriority w:val="31"/>
    <w:qFormat/>
    <w:rsid w:val="00831C9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portal/3.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portal/3.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portal/3.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0F0B-24EC-4950-8097-DBA75143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4801</Words>
  <Characters>26408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2023-08-24T14:24:00Z</dcterms:created>
  <dcterms:modified xsi:type="dcterms:W3CDTF">2023-09-05T15:34:00Z</dcterms:modified>
</cp:coreProperties>
</file>