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3ECA9" w14:textId="1C685F93" w:rsidR="00E74B41" w:rsidRPr="00E74B41" w:rsidRDefault="00E74B41" w:rsidP="00E74B41">
      <w:pPr>
        <w:spacing w:line="360" w:lineRule="auto"/>
        <w:jc w:val="both"/>
        <w:rPr>
          <w:rFonts w:ascii="Palatino Linotype" w:hAnsi="Palatino Linotype" w:cs="Arial"/>
          <w:color w:val="000000" w:themeColor="text1"/>
        </w:rPr>
      </w:pPr>
      <w:r w:rsidRPr="00E74B41">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1F62B0">
        <w:rPr>
          <w:rFonts w:ascii="Palatino Linotype" w:hAnsi="Palatino Linotype"/>
        </w:rPr>
        <w:t>tres</w:t>
      </w:r>
      <w:r w:rsidR="00562E2B">
        <w:rPr>
          <w:rFonts w:ascii="Palatino Linotype" w:hAnsi="Palatino Linotype"/>
        </w:rPr>
        <w:t xml:space="preserve"> (</w:t>
      </w:r>
      <w:r w:rsidR="00D97D8E">
        <w:rPr>
          <w:rFonts w:ascii="Palatino Linotype" w:hAnsi="Palatino Linotype"/>
        </w:rPr>
        <w:t>0</w:t>
      </w:r>
      <w:r w:rsidR="001F62B0">
        <w:rPr>
          <w:rFonts w:ascii="Palatino Linotype" w:hAnsi="Palatino Linotype"/>
        </w:rPr>
        <w:t>3</w:t>
      </w:r>
      <w:r w:rsidR="00562E2B">
        <w:rPr>
          <w:rFonts w:ascii="Palatino Linotype" w:hAnsi="Palatino Linotype"/>
        </w:rPr>
        <w:t xml:space="preserve">) de </w:t>
      </w:r>
      <w:r w:rsidR="001F62B0">
        <w:rPr>
          <w:rFonts w:ascii="Palatino Linotype" w:hAnsi="Palatino Linotype"/>
        </w:rPr>
        <w:t>octubre</w:t>
      </w:r>
      <w:r w:rsidR="00562E2B">
        <w:rPr>
          <w:rFonts w:ascii="Palatino Linotype" w:hAnsi="Palatino Linotype"/>
        </w:rPr>
        <w:t xml:space="preserve"> </w:t>
      </w:r>
      <w:r w:rsidRPr="00E74B41">
        <w:rPr>
          <w:rFonts w:ascii="Palatino Linotype" w:hAnsi="Palatino Linotype" w:cs="Arial"/>
          <w:color w:val="000000" w:themeColor="text1"/>
        </w:rPr>
        <w:t>de dos mil veintitrés.</w:t>
      </w:r>
    </w:p>
    <w:p w14:paraId="646189F0" w14:textId="77777777" w:rsidR="00E74B41" w:rsidRPr="00E74B41" w:rsidRDefault="00E74B41" w:rsidP="00E74B41">
      <w:pPr>
        <w:spacing w:line="360" w:lineRule="auto"/>
        <w:jc w:val="both"/>
        <w:rPr>
          <w:rFonts w:ascii="Palatino Linotype" w:hAnsi="Palatino Linotype" w:cs="Arial"/>
          <w:color w:val="000000" w:themeColor="text1"/>
        </w:rPr>
      </w:pPr>
    </w:p>
    <w:p w14:paraId="089AF78C" w14:textId="29164C2B" w:rsidR="00E74B41" w:rsidRPr="00E74B41" w:rsidRDefault="00E74B41" w:rsidP="00E74B41">
      <w:pPr>
        <w:spacing w:line="360" w:lineRule="auto"/>
        <w:jc w:val="both"/>
        <w:rPr>
          <w:rFonts w:ascii="Palatino Linotype" w:hAnsi="Palatino Linotype" w:cs="Arial"/>
          <w:color w:val="000000" w:themeColor="text1"/>
        </w:rPr>
      </w:pPr>
      <w:r w:rsidRPr="00E74B41">
        <w:rPr>
          <w:rFonts w:ascii="Palatino Linotype" w:hAnsi="Palatino Linotype" w:cs="Arial"/>
          <w:b/>
          <w:color w:val="000000" w:themeColor="text1"/>
        </w:rPr>
        <w:t>VISTOS</w:t>
      </w:r>
      <w:r w:rsidRPr="00E74B41">
        <w:rPr>
          <w:rFonts w:ascii="Palatino Linotype" w:hAnsi="Palatino Linotype" w:cs="Arial"/>
          <w:color w:val="000000" w:themeColor="text1"/>
        </w:rPr>
        <w:t xml:space="preserve"> los expedientes electrónicos formados con motivo de los recurso</w:t>
      </w:r>
      <w:r w:rsidR="005A6AEB">
        <w:rPr>
          <w:rFonts w:ascii="Palatino Linotype" w:hAnsi="Palatino Linotype" w:cs="Arial"/>
          <w:color w:val="000000" w:themeColor="text1"/>
        </w:rPr>
        <w:t>s</w:t>
      </w:r>
      <w:r w:rsidRPr="00E74B41">
        <w:rPr>
          <w:rFonts w:ascii="Palatino Linotype" w:hAnsi="Palatino Linotype" w:cs="Arial"/>
          <w:color w:val="000000" w:themeColor="text1"/>
        </w:rPr>
        <w:t xml:space="preserve"> de revisión </w:t>
      </w:r>
      <w:r w:rsidR="001F62B0" w:rsidRPr="001F62B0">
        <w:rPr>
          <w:rFonts w:ascii="Palatino Linotype" w:eastAsia="Calibri" w:hAnsi="Palatino Linotype" w:cs="Arial"/>
          <w:b/>
          <w:lang w:val="es-ES"/>
        </w:rPr>
        <w:t>13328</w:t>
      </w:r>
      <w:r w:rsidR="001F62B0" w:rsidRPr="001F62B0">
        <w:rPr>
          <w:rFonts w:ascii="Palatino Linotype" w:hAnsi="Palatino Linotype"/>
          <w:b/>
          <w:szCs w:val="22"/>
        </w:rPr>
        <w:t>/INFOEM/IP/RR/2022</w:t>
      </w:r>
      <w:r w:rsidR="002A20E7" w:rsidRPr="002A20E7">
        <w:rPr>
          <w:rFonts w:ascii="Palatino Linotype" w:hAnsi="Palatino Linotype" w:cs="Arial"/>
          <w:b/>
          <w:color w:val="000000" w:themeColor="text1"/>
          <w:sz w:val="22"/>
          <w:szCs w:val="22"/>
        </w:rPr>
        <w:t>,</w:t>
      </w:r>
      <w:r w:rsidR="001F62B0">
        <w:rPr>
          <w:rFonts w:ascii="Palatino Linotype" w:hAnsi="Palatino Linotype" w:cs="Arial"/>
          <w:b/>
          <w:color w:val="000000" w:themeColor="text1"/>
          <w:sz w:val="22"/>
          <w:szCs w:val="22"/>
        </w:rPr>
        <w:t xml:space="preserve"> y </w:t>
      </w:r>
      <w:r w:rsidR="001F62B0">
        <w:rPr>
          <w:rFonts w:ascii="Palatino Linotype" w:hAnsi="Palatino Linotype" w:cs="Arial"/>
          <w:b/>
          <w:color w:val="000000" w:themeColor="text1"/>
        </w:rPr>
        <w:t>13329</w:t>
      </w:r>
      <w:r w:rsidR="001F62B0" w:rsidRPr="002A20E7">
        <w:rPr>
          <w:rFonts w:ascii="Palatino Linotype" w:hAnsi="Palatino Linotype"/>
          <w:b/>
          <w:szCs w:val="22"/>
        </w:rPr>
        <w:t>/INFOEM/IP/RR/202</w:t>
      </w:r>
      <w:r w:rsidR="001F62B0">
        <w:rPr>
          <w:rFonts w:ascii="Palatino Linotype" w:hAnsi="Palatino Linotype"/>
          <w:b/>
          <w:szCs w:val="22"/>
        </w:rPr>
        <w:t>2</w:t>
      </w:r>
      <w:r w:rsidRPr="00E74B41">
        <w:rPr>
          <w:rFonts w:ascii="Palatino Linotype" w:hAnsi="Palatino Linotype" w:cs="Arial"/>
          <w:color w:val="000000" w:themeColor="text1"/>
        </w:rPr>
        <w:t>, promovidos por</w:t>
      </w:r>
      <w:r w:rsidR="007471EF">
        <w:rPr>
          <w:rFonts w:ascii="Palatino Linotype" w:hAnsi="Palatino Linotype" w:cs="Arial"/>
          <w:color w:val="000000" w:themeColor="text1"/>
        </w:rPr>
        <w:t xml:space="preserve"> </w:t>
      </w:r>
      <w:r w:rsidR="007D19B7">
        <w:rPr>
          <w:rFonts w:ascii="Palatino Linotype" w:hAnsi="Palatino Linotype" w:cs="Arial"/>
          <w:b/>
          <w:color w:val="000000" w:themeColor="text1"/>
        </w:rPr>
        <w:t>XXX XXX</w:t>
      </w:r>
      <w:bookmarkStart w:id="0" w:name="_GoBack"/>
      <w:bookmarkEnd w:id="0"/>
      <w:r w:rsidR="007471EF">
        <w:rPr>
          <w:rFonts w:ascii="Palatino Linotype" w:hAnsi="Palatino Linotype" w:cs="Arial"/>
          <w:color w:val="000000" w:themeColor="text1"/>
        </w:rPr>
        <w:t xml:space="preserve">, </w:t>
      </w:r>
      <w:r w:rsidRPr="00E74B41">
        <w:rPr>
          <w:rFonts w:ascii="Palatino Linotype" w:hAnsi="Palatino Linotype" w:cs="Arial"/>
          <w:color w:val="000000" w:themeColor="text1"/>
        </w:rPr>
        <w:t xml:space="preserve">en su calidad </w:t>
      </w:r>
      <w:r w:rsidRPr="00E74B41">
        <w:rPr>
          <w:rFonts w:ascii="Palatino Linotype" w:hAnsi="Palatino Linotype" w:cs="Arial"/>
          <w:b/>
          <w:color w:val="000000" w:themeColor="text1"/>
        </w:rPr>
        <w:t>de RECURRENTE</w:t>
      </w:r>
      <w:r w:rsidRPr="00E74B41">
        <w:rPr>
          <w:rFonts w:ascii="Palatino Linotype" w:hAnsi="Palatino Linotype" w:cs="Arial"/>
          <w:color w:val="000000" w:themeColor="text1"/>
        </w:rPr>
        <w:t>, en contra de la</w:t>
      </w:r>
      <w:r w:rsidR="00D71DEF">
        <w:rPr>
          <w:rFonts w:ascii="Palatino Linotype" w:hAnsi="Palatino Linotype" w:cs="Arial"/>
          <w:color w:val="000000" w:themeColor="text1"/>
        </w:rPr>
        <w:t>s</w:t>
      </w:r>
      <w:r w:rsidRPr="00E74B41">
        <w:rPr>
          <w:rFonts w:ascii="Palatino Linotype" w:hAnsi="Palatino Linotype" w:cs="Arial"/>
          <w:color w:val="000000" w:themeColor="text1"/>
        </w:rPr>
        <w:t xml:space="preserve"> respuesta</w:t>
      </w:r>
      <w:r w:rsidR="00D71DEF">
        <w:rPr>
          <w:rFonts w:ascii="Palatino Linotype" w:hAnsi="Palatino Linotype" w:cs="Arial"/>
          <w:color w:val="000000" w:themeColor="text1"/>
        </w:rPr>
        <w:t>s</w:t>
      </w:r>
      <w:r w:rsidRPr="00E74B41">
        <w:rPr>
          <w:rFonts w:ascii="Palatino Linotype" w:hAnsi="Palatino Linotype" w:cs="Arial"/>
          <w:color w:val="000000" w:themeColor="text1"/>
        </w:rPr>
        <w:t xml:space="preserve"> de</w:t>
      </w:r>
      <w:r w:rsidR="001F62B0">
        <w:rPr>
          <w:rFonts w:ascii="Palatino Linotype" w:hAnsi="Palatino Linotype" w:cs="Arial"/>
          <w:color w:val="000000" w:themeColor="text1"/>
        </w:rPr>
        <w:t xml:space="preserve"> </w:t>
      </w:r>
      <w:r w:rsidRPr="00E74B41">
        <w:rPr>
          <w:rFonts w:ascii="Palatino Linotype" w:hAnsi="Palatino Linotype" w:cs="Arial"/>
          <w:color w:val="000000" w:themeColor="text1"/>
        </w:rPr>
        <w:t>l</w:t>
      </w:r>
      <w:r w:rsidR="001F62B0">
        <w:rPr>
          <w:rFonts w:ascii="Palatino Linotype" w:hAnsi="Palatino Linotype" w:cs="Arial"/>
          <w:color w:val="000000" w:themeColor="text1"/>
        </w:rPr>
        <w:t>a</w:t>
      </w:r>
      <w:r w:rsidRPr="00E74B41">
        <w:rPr>
          <w:rFonts w:ascii="Palatino Linotype" w:hAnsi="Palatino Linotype" w:cs="Arial"/>
          <w:color w:val="000000" w:themeColor="text1"/>
        </w:rPr>
        <w:t xml:space="preserve"> </w:t>
      </w:r>
      <w:r w:rsidR="001F62B0" w:rsidRPr="001F62B0">
        <w:rPr>
          <w:rFonts w:ascii="Palatino Linotype" w:hAnsi="Palatino Linotype" w:cs="Arial"/>
          <w:b/>
          <w:color w:val="000000" w:themeColor="text1"/>
        </w:rPr>
        <w:t>Secretaría del Medio Ambiente</w:t>
      </w:r>
      <w:r w:rsidRPr="00E74B41">
        <w:rPr>
          <w:rFonts w:ascii="Palatino Linotype" w:hAnsi="Palatino Linotype" w:cs="Arial"/>
          <w:color w:val="000000" w:themeColor="text1"/>
        </w:rPr>
        <w:t xml:space="preserve">, en lo sucesivo el </w:t>
      </w:r>
      <w:r w:rsidRPr="00E74B41">
        <w:rPr>
          <w:rFonts w:ascii="Palatino Linotype" w:hAnsi="Palatino Linotype" w:cs="Arial"/>
          <w:b/>
          <w:color w:val="000000" w:themeColor="text1"/>
        </w:rPr>
        <w:t>SUJETO OBLIGADO</w:t>
      </w:r>
      <w:r w:rsidRPr="00E74B41">
        <w:rPr>
          <w:rFonts w:ascii="Palatino Linotype" w:hAnsi="Palatino Linotype" w:cs="Arial"/>
          <w:color w:val="000000" w:themeColor="text1"/>
        </w:rPr>
        <w:t>, se procede a dictar la presente resolución, con base en los siguientes:</w:t>
      </w:r>
    </w:p>
    <w:p w14:paraId="0CF5B50D" w14:textId="77777777" w:rsidR="00E74B41" w:rsidRPr="00E74B41" w:rsidRDefault="00E74B41" w:rsidP="00E74B41">
      <w:pPr>
        <w:spacing w:line="360" w:lineRule="auto"/>
        <w:jc w:val="both"/>
        <w:rPr>
          <w:rFonts w:ascii="Palatino Linotype" w:hAnsi="Palatino Linotype" w:cs="Arial"/>
          <w:color w:val="000000" w:themeColor="text1"/>
        </w:rPr>
      </w:pPr>
    </w:p>
    <w:p w14:paraId="3C177BC5" w14:textId="77777777" w:rsidR="00E74B41" w:rsidRPr="00E74B41" w:rsidRDefault="00E74B41" w:rsidP="00E74B41">
      <w:pPr>
        <w:pStyle w:val="Prrafodelista"/>
        <w:spacing w:line="360" w:lineRule="auto"/>
        <w:ind w:left="0"/>
        <w:jc w:val="center"/>
        <w:rPr>
          <w:rFonts w:ascii="Palatino Linotype" w:hAnsi="Palatino Linotype" w:cs="Arial"/>
          <w:b/>
          <w:color w:val="000000" w:themeColor="text1"/>
        </w:rPr>
      </w:pPr>
      <w:r w:rsidRPr="00E74B41">
        <w:rPr>
          <w:rFonts w:ascii="Palatino Linotype" w:hAnsi="Palatino Linotype" w:cs="Arial"/>
          <w:b/>
          <w:color w:val="000000" w:themeColor="text1"/>
        </w:rPr>
        <w:t>ANTECEDENTES</w:t>
      </w:r>
    </w:p>
    <w:p w14:paraId="6BF3FA19" w14:textId="77777777" w:rsidR="00E74B41" w:rsidRPr="00E74B41" w:rsidRDefault="00E74B41" w:rsidP="00E74B41">
      <w:pPr>
        <w:spacing w:line="360" w:lineRule="auto"/>
        <w:jc w:val="both"/>
        <w:rPr>
          <w:rFonts w:ascii="Palatino Linotype" w:hAnsi="Palatino Linotype" w:cs="Arial"/>
          <w:color w:val="000000" w:themeColor="text1"/>
        </w:rPr>
      </w:pPr>
    </w:p>
    <w:p w14:paraId="09CE8081" w14:textId="357E1F1F" w:rsidR="00E74B41" w:rsidRPr="00E74B41" w:rsidRDefault="007471EF"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El </w:t>
      </w:r>
      <w:r w:rsidR="001F62B0">
        <w:rPr>
          <w:rFonts w:ascii="Palatino Linotype" w:hAnsi="Palatino Linotype" w:cs="Arial"/>
          <w:color w:val="000000" w:themeColor="text1"/>
        </w:rPr>
        <w:t>uno (1) y tres</w:t>
      </w:r>
      <w:r>
        <w:rPr>
          <w:rFonts w:ascii="Palatino Linotype" w:hAnsi="Palatino Linotype" w:cs="Arial"/>
          <w:color w:val="000000" w:themeColor="text1"/>
        </w:rPr>
        <w:t xml:space="preserve"> (</w:t>
      </w:r>
      <w:r w:rsidR="00C46533">
        <w:rPr>
          <w:rFonts w:ascii="Palatino Linotype" w:hAnsi="Palatino Linotype" w:cs="Arial"/>
          <w:color w:val="000000" w:themeColor="text1"/>
        </w:rPr>
        <w:t>3</w:t>
      </w:r>
      <w:r w:rsidR="00E74B41" w:rsidRPr="00E74B41">
        <w:rPr>
          <w:rFonts w:ascii="Palatino Linotype" w:hAnsi="Palatino Linotype" w:cs="Arial"/>
          <w:color w:val="000000" w:themeColor="text1"/>
        </w:rPr>
        <w:t xml:space="preserve">) de </w:t>
      </w:r>
      <w:r w:rsidR="001F62B0">
        <w:rPr>
          <w:rFonts w:ascii="Palatino Linotype" w:hAnsi="Palatino Linotype" w:cs="Arial"/>
          <w:color w:val="000000" w:themeColor="text1"/>
        </w:rPr>
        <w:t>agosto</w:t>
      </w:r>
      <w:r w:rsidR="00E74B41" w:rsidRPr="00E74B41">
        <w:rPr>
          <w:rFonts w:ascii="Palatino Linotype" w:hAnsi="Palatino Linotype" w:cs="Arial"/>
          <w:color w:val="000000" w:themeColor="text1"/>
        </w:rPr>
        <w:t xml:space="preserve"> de dos mil veinti</w:t>
      </w:r>
      <w:r w:rsidR="001F62B0">
        <w:rPr>
          <w:rFonts w:ascii="Palatino Linotype" w:hAnsi="Palatino Linotype" w:cs="Arial"/>
          <w:color w:val="000000" w:themeColor="text1"/>
        </w:rPr>
        <w:t>dós</w:t>
      </w:r>
      <w:r w:rsidR="00E74B41" w:rsidRPr="00E74B41">
        <w:rPr>
          <w:rFonts w:ascii="Palatino Linotype" w:hAnsi="Palatino Linotype" w:cs="Arial"/>
          <w:color w:val="000000" w:themeColor="text1"/>
        </w:rPr>
        <w:t xml:space="preserve">, </w:t>
      </w:r>
      <w:r w:rsidR="00E74B41" w:rsidRPr="00E74B41">
        <w:rPr>
          <w:rFonts w:ascii="Palatino Linotype" w:hAnsi="Palatino Linotype" w:cs="Arial"/>
          <w:b/>
          <w:color w:val="000000" w:themeColor="text1"/>
        </w:rPr>
        <w:t>EL RECURRENTE</w:t>
      </w:r>
      <w:r w:rsidR="00E74B41" w:rsidRPr="00E74B41">
        <w:rPr>
          <w:rFonts w:ascii="Palatino Linotype" w:hAnsi="Palatino Linotype" w:cs="Arial"/>
          <w:color w:val="000000" w:themeColor="text1"/>
        </w:rPr>
        <w:t xml:space="preserve"> presentó, ante el </w:t>
      </w:r>
      <w:r w:rsidR="00E74B41" w:rsidRPr="00E74B41">
        <w:rPr>
          <w:rFonts w:ascii="Palatino Linotype" w:hAnsi="Palatino Linotype" w:cs="Arial"/>
          <w:b/>
          <w:color w:val="000000" w:themeColor="text1"/>
        </w:rPr>
        <w:t>SUJETO OBLIGADO</w:t>
      </w:r>
      <w:r w:rsidR="00E74B41" w:rsidRPr="00E74B41">
        <w:rPr>
          <w:rFonts w:ascii="Palatino Linotype" w:hAnsi="Palatino Linotype" w:cs="Arial"/>
          <w:color w:val="000000" w:themeColor="text1"/>
        </w:rPr>
        <w:t xml:space="preserve"> vía Sistema de Acceso a la Información Mexiquense (SAIMEX), las solicitudes de información pública registradas con el número </w:t>
      </w:r>
      <w:r w:rsidR="002A20E7" w:rsidRPr="003F2810">
        <w:rPr>
          <w:rFonts w:ascii="Palatino Linotype" w:hAnsi="Palatino Linotype" w:cs="Arial"/>
          <w:b/>
          <w:szCs w:val="18"/>
        </w:rPr>
        <w:t>0</w:t>
      </w:r>
      <w:r w:rsidR="002A20E7">
        <w:rPr>
          <w:rFonts w:ascii="Palatino Linotype" w:hAnsi="Palatino Linotype" w:cs="Arial"/>
          <w:b/>
          <w:szCs w:val="18"/>
        </w:rPr>
        <w:t>0</w:t>
      </w:r>
      <w:r w:rsidR="001F62B0">
        <w:rPr>
          <w:rFonts w:ascii="Palatino Linotype" w:hAnsi="Palatino Linotype" w:cs="Arial"/>
          <w:b/>
          <w:szCs w:val="18"/>
        </w:rPr>
        <w:t>311</w:t>
      </w:r>
      <w:r w:rsidR="002A20E7" w:rsidRPr="003F2810">
        <w:rPr>
          <w:rFonts w:ascii="Palatino Linotype" w:hAnsi="Palatino Linotype" w:cs="Arial"/>
          <w:b/>
          <w:szCs w:val="18"/>
        </w:rPr>
        <w:t>/</w:t>
      </w:r>
      <w:r w:rsidR="001F62B0">
        <w:rPr>
          <w:rFonts w:ascii="Palatino Linotype" w:hAnsi="Palatino Linotype" w:cs="Arial"/>
          <w:b/>
          <w:szCs w:val="18"/>
        </w:rPr>
        <w:t>SMA</w:t>
      </w:r>
      <w:r w:rsidR="00EB1D4C">
        <w:rPr>
          <w:rFonts w:ascii="Palatino Linotype" w:hAnsi="Palatino Linotype" w:cs="Arial"/>
          <w:b/>
          <w:szCs w:val="18"/>
        </w:rPr>
        <w:t>/IP/2022</w:t>
      </w:r>
      <w:r w:rsidR="001F62B0">
        <w:rPr>
          <w:rFonts w:ascii="Palatino Linotype" w:hAnsi="Palatino Linotype" w:cs="Arial"/>
          <w:b/>
          <w:color w:val="000000" w:themeColor="text1"/>
        </w:rPr>
        <w:t xml:space="preserve"> y</w:t>
      </w:r>
      <w:r w:rsidR="002A20E7">
        <w:rPr>
          <w:rFonts w:ascii="Palatino Linotype" w:hAnsi="Palatino Linotype" w:cs="Arial"/>
          <w:b/>
          <w:color w:val="000000" w:themeColor="text1"/>
        </w:rPr>
        <w:t xml:space="preserve"> </w:t>
      </w:r>
      <w:r w:rsidR="005A6AEB" w:rsidRPr="003F2810">
        <w:rPr>
          <w:rFonts w:ascii="Palatino Linotype" w:hAnsi="Palatino Linotype" w:cs="Arial"/>
          <w:b/>
          <w:szCs w:val="18"/>
        </w:rPr>
        <w:t>0</w:t>
      </w:r>
      <w:r w:rsidR="005A6AEB">
        <w:rPr>
          <w:rFonts w:ascii="Palatino Linotype" w:hAnsi="Palatino Linotype" w:cs="Arial"/>
          <w:b/>
          <w:szCs w:val="18"/>
        </w:rPr>
        <w:t>0</w:t>
      </w:r>
      <w:r w:rsidR="001F62B0">
        <w:rPr>
          <w:rFonts w:ascii="Palatino Linotype" w:hAnsi="Palatino Linotype" w:cs="Arial"/>
          <w:b/>
          <w:szCs w:val="18"/>
        </w:rPr>
        <w:t>303</w:t>
      </w:r>
      <w:r w:rsidR="005A6AEB" w:rsidRPr="003F2810">
        <w:rPr>
          <w:rFonts w:ascii="Palatino Linotype" w:hAnsi="Palatino Linotype" w:cs="Arial"/>
          <w:b/>
          <w:szCs w:val="18"/>
        </w:rPr>
        <w:t>/</w:t>
      </w:r>
      <w:r w:rsidR="001F62B0">
        <w:rPr>
          <w:rFonts w:ascii="Palatino Linotype" w:hAnsi="Palatino Linotype" w:cs="Arial"/>
          <w:b/>
          <w:szCs w:val="18"/>
        </w:rPr>
        <w:t>SMA</w:t>
      </w:r>
      <w:r w:rsidR="005A6AEB">
        <w:rPr>
          <w:rFonts w:ascii="Palatino Linotype" w:hAnsi="Palatino Linotype" w:cs="Arial"/>
          <w:b/>
          <w:szCs w:val="18"/>
        </w:rPr>
        <w:t>/IP/202</w:t>
      </w:r>
      <w:r w:rsidR="00EB1D4C">
        <w:rPr>
          <w:rFonts w:ascii="Palatino Linotype" w:hAnsi="Palatino Linotype" w:cs="Arial"/>
          <w:b/>
          <w:szCs w:val="18"/>
        </w:rPr>
        <w:t>2</w:t>
      </w:r>
      <w:r w:rsidR="00D97D8E">
        <w:rPr>
          <w:rFonts w:ascii="Palatino Linotype" w:hAnsi="Palatino Linotype" w:cs="Arial"/>
          <w:b/>
          <w:szCs w:val="18"/>
        </w:rPr>
        <w:t>,</w:t>
      </w:r>
      <w:r w:rsidR="001F62B0">
        <w:rPr>
          <w:rFonts w:ascii="Palatino Linotype" w:hAnsi="Palatino Linotype" w:cs="Arial"/>
          <w:b/>
          <w:szCs w:val="18"/>
        </w:rPr>
        <w:t xml:space="preserve"> </w:t>
      </w:r>
      <w:r w:rsidR="00D97D8E">
        <w:rPr>
          <w:rFonts w:ascii="Palatino Linotype" w:hAnsi="Palatino Linotype" w:cs="Arial"/>
          <w:color w:val="000000" w:themeColor="text1"/>
        </w:rPr>
        <w:t>en las que</w:t>
      </w:r>
      <w:r w:rsidR="00E74B41" w:rsidRPr="00E74B41">
        <w:rPr>
          <w:rFonts w:ascii="Palatino Linotype" w:hAnsi="Palatino Linotype" w:cs="Arial"/>
          <w:color w:val="000000" w:themeColor="text1"/>
        </w:rPr>
        <w:t xml:space="preserve"> solicitó lo siguiente:</w:t>
      </w:r>
    </w:p>
    <w:p w14:paraId="52248C3C" w14:textId="77777777" w:rsidR="00E74B41" w:rsidRPr="00E74B41" w:rsidRDefault="00E74B41" w:rsidP="00E74B41">
      <w:pPr>
        <w:spacing w:line="360" w:lineRule="auto"/>
        <w:jc w:val="both"/>
        <w:rPr>
          <w:rFonts w:ascii="Palatino Linotype" w:hAnsi="Palatino Linotype" w:cs="Arial"/>
          <w:color w:val="000000" w:themeColor="text1"/>
        </w:rPr>
      </w:pPr>
    </w:p>
    <w:tbl>
      <w:tblPr>
        <w:tblStyle w:val="Tablaconcuadrcula"/>
        <w:tblW w:w="8784" w:type="dxa"/>
        <w:tblLayout w:type="fixed"/>
        <w:tblLook w:val="04A0" w:firstRow="1" w:lastRow="0" w:firstColumn="1" w:lastColumn="0" w:noHBand="0" w:noVBand="1"/>
      </w:tblPr>
      <w:tblGrid>
        <w:gridCol w:w="2689"/>
        <w:gridCol w:w="2977"/>
        <w:gridCol w:w="3118"/>
      </w:tblGrid>
      <w:tr w:rsidR="00E74B41" w:rsidRPr="00D97D8E" w14:paraId="55E43BD0" w14:textId="77777777" w:rsidTr="003F2810">
        <w:tc>
          <w:tcPr>
            <w:tcW w:w="2689" w:type="dxa"/>
          </w:tcPr>
          <w:p w14:paraId="0CACC204" w14:textId="5541B061" w:rsidR="00E74B41" w:rsidRPr="00D97D8E" w:rsidRDefault="001F62B0" w:rsidP="00EB1D4C">
            <w:pPr>
              <w:rPr>
                <w:rFonts w:ascii="Palatino Linotype" w:hAnsi="Palatino Linotype" w:cs="Arial"/>
                <w:b/>
                <w:sz w:val="22"/>
                <w:szCs w:val="22"/>
              </w:rPr>
            </w:pPr>
            <w:r w:rsidRPr="00D97D8E">
              <w:rPr>
                <w:rFonts w:ascii="Palatino Linotype" w:hAnsi="Palatino Linotype" w:cs="Arial"/>
                <w:b/>
                <w:sz w:val="22"/>
                <w:szCs w:val="18"/>
              </w:rPr>
              <w:t>00311/SMA/IP/202</w:t>
            </w:r>
            <w:r w:rsidR="00EB1D4C" w:rsidRPr="00D97D8E">
              <w:rPr>
                <w:rFonts w:ascii="Palatino Linotype" w:hAnsi="Palatino Linotype" w:cs="Arial"/>
                <w:b/>
                <w:sz w:val="22"/>
                <w:szCs w:val="18"/>
              </w:rPr>
              <w:t>2</w:t>
            </w:r>
          </w:p>
        </w:tc>
        <w:tc>
          <w:tcPr>
            <w:tcW w:w="2977" w:type="dxa"/>
          </w:tcPr>
          <w:p w14:paraId="5A9BDCCE" w14:textId="59BCCAE8" w:rsidR="00E74B41" w:rsidRPr="00D97D8E" w:rsidRDefault="001F62B0" w:rsidP="00E74B41">
            <w:pPr>
              <w:rPr>
                <w:rFonts w:ascii="Palatino Linotype" w:hAnsi="Palatino Linotype" w:cs="Arial"/>
                <w:b/>
                <w:sz w:val="22"/>
                <w:szCs w:val="22"/>
                <w:shd w:val="clear" w:color="auto" w:fill="FFFFFF"/>
              </w:rPr>
            </w:pPr>
            <w:r w:rsidRPr="00D97D8E">
              <w:rPr>
                <w:rFonts w:ascii="Palatino Linotype" w:eastAsia="Calibri" w:hAnsi="Palatino Linotype" w:cs="Arial"/>
                <w:b/>
                <w:sz w:val="22"/>
                <w:lang w:val="es-ES"/>
              </w:rPr>
              <w:t>13328</w:t>
            </w:r>
            <w:r w:rsidRPr="00D97D8E">
              <w:rPr>
                <w:rFonts w:ascii="Palatino Linotype" w:hAnsi="Palatino Linotype"/>
                <w:b/>
                <w:sz w:val="22"/>
                <w:szCs w:val="22"/>
              </w:rPr>
              <w:t>/INFOEM/IP/RR/2022</w:t>
            </w:r>
          </w:p>
        </w:tc>
        <w:tc>
          <w:tcPr>
            <w:tcW w:w="3118" w:type="dxa"/>
          </w:tcPr>
          <w:p w14:paraId="2872C45F" w14:textId="4DD2E661" w:rsidR="00E74B41" w:rsidRPr="00D97D8E" w:rsidRDefault="001F62B0" w:rsidP="00E74B41">
            <w:pPr>
              <w:jc w:val="both"/>
              <w:rPr>
                <w:rFonts w:ascii="Palatino Linotype" w:hAnsi="Palatino Linotype"/>
                <w:i/>
                <w:sz w:val="22"/>
              </w:rPr>
            </w:pPr>
            <w:r w:rsidRPr="00D97D8E">
              <w:rPr>
                <w:rFonts w:ascii="Palatino Linotype" w:hAnsi="Palatino Linotype"/>
                <w:i/>
                <w:sz w:val="22"/>
                <w:szCs w:val="14"/>
              </w:rPr>
              <w:t xml:space="preserve">TOTAL DE CONVENIOS FIRMADOS POR LA SECRETARIA DEL MEDIO AMBIENTE CON OTRAS ENTIDADES PUBLICAS O PRIVADAS EN EL PERIODO DE GOBIERNO 2011 A 2017 DURANTE LA </w:t>
            </w:r>
            <w:r w:rsidRPr="00D97D8E">
              <w:rPr>
                <w:rFonts w:ascii="Palatino Linotype" w:hAnsi="Palatino Linotype"/>
                <w:i/>
                <w:sz w:val="22"/>
                <w:szCs w:val="14"/>
              </w:rPr>
              <w:lastRenderedPageBreak/>
              <w:t>ADMINSITRACIÓN DEL DR ERUBIEL AVILA VILLEGAS</w:t>
            </w:r>
          </w:p>
        </w:tc>
      </w:tr>
      <w:tr w:rsidR="00E74B41" w:rsidRPr="00D97D8E" w14:paraId="7BFC02BC" w14:textId="77777777" w:rsidTr="003F2810">
        <w:tc>
          <w:tcPr>
            <w:tcW w:w="2689" w:type="dxa"/>
          </w:tcPr>
          <w:p w14:paraId="2FD78975" w14:textId="2389362F" w:rsidR="00E74B41" w:rsidRPr="00D97D8E" w:rsidRDefault="001F62B0" w:rsidP="002A20E7">
            <w:pPr>
              <w:rPr>
                <w:rFonts w:ascii="Palatino Linotype" w:hAnsi="Palatino Linotype" w:cs="Arial"/>
                <w:b/>
                <w:sz w:val="22"/>
                <w:szCs w:val="22"/>
                <w:shd w:val="clear" w:color="auto" w:fill="FFFFFF"/>
              </w:rPr>
            </w:pPr>
            <w:r w:rsidRPr="00D97D8E">
              <w:rPr>
                <w:rFonts w:ascii="Palatino Linotype" w:hAnsi="Palatino Linotype" w:cs="Arial"/>
                <w:b/>
                <w:sz w:val="22"/>
                <w:szCs w:val="18"/>
              </w:rPr>
              <w:lastRenderedPageBreak/>
              <w:t>00303/</w:t>
            </w:r>
            <w:r w:rsidR="00EB1D4C" w:rsidRPr="00D97D8E">
              <w:rPr>
                <w:rFonts w:ascii="Palatino Linotype" w:hAnsi="Palatino Linotype" w:cs="Arial"/>
                <w:b/>
                <w:sz w:val="22"/>
                <w:szCs w:val="18"/>
              </w:rPr>
              <w:t>SMA/IP/2022</w:t>
            </w:r>
          </w:p>
        </w:tc>
        <w:tc>
          <w:tcPr>
            <w:tcW w:w="2977" w:type="dxa"/>
          </w:tcPr>
          <w:p w14:paraId="7AC120BF" w14:textId="1E027CA1" w:rsidR="00E74B41" w:rsidRPr="00D97D8E" w:rsidRDefault="001F62B0" w:rsidP="00EA7B1A">
            <w:pPr>
              <w:rPr>
                <w:rFonts w:ascii="Palatino Linotype" w:hAnsi="Palatino Linotype" w:cs="Arial"/>
                <w:b/>
                <w:sz w:val="22"/>
                <w:szCs w:val="22"/>
                <w:shd w:val="clear" w:color="auto" w:fill="FFFFFF"/>
              </w:rPr>
            </w:pPr>
            <w:r w:rsidRPr="00D97D8E">
              <w:rPr>
                <w:rFonts w:ascii="Palatino Linotype" w:hAnsi="Palatino Linotype" w:cs="Arial"/>
                <w:b/>
                <w:color w:val="000000" w:themeColor="text1"/>
                <w:sz w:val="22"/>
              </w:rPr>
              <w:t>13329</w:t>
            </w:r>
            <w:r w:rsidRPr="00D97D8E">
              <w:rPr>
                <w:rFonts w:ascii="Palatino Linotype" w:hAnsi="Palatino Linotype"/>
                <w:b/>
                <w:sz w:val="22"/>
                <w:szCs w:val="22"/>
              </w:rPr>
              <w:t>/INFOEM/IP/RR/2022</w:t>
            </w:r>
          </w:p>
        </w:tc>
        <w:tc>
          <w:tcPr>
            <w:tcW w:w="3118" w:type="dxa"/>
          </w:tcPr>
          <w:p w14:paraId="5E123805" w14:textId="661C8FD2" w:rsidR="00E74B41" w:rsidRPr="00D97D8E" w:rsidRDefault="001F62B0" w:rsidP="00E74B41">
            <w:pPr>
              <w:jc w:val="both"/>
              <w:rPr>
                <w:rFonts w:ascii="Palatino Linotype" w:hAnsi="Palatino Linotype"/>
                <w:i/>
                <w:sz w:val="22"/>
              </w:rPr>
            </w:pPr>
            <w:r w:rsidRPr="00D97D8E">
              <w:rPr>
                <w:rFonts w:ascii="Palatino Linotype" w:hAnsi="Palatino Linotype"/>
                <w:i/>
                <w:sz w:val="22"/>
                <w:szCs w:val="14"/>
              </w:rPr>
              <w:t>TOTAL DE CONVENIOS FIRMADOS POR LA SECRETARIA DEL MEDIO AMBIENTE CON OTRAS ENTIDADES PUBLICAS O PRIVADAS EN EL PERIODO DE GOBIERNO 2005 A 2011 DURANTE LA ADMINSITRACIÓN DEL LIC. ENRIQUE PEÑA NIETO.</w:t>
            </w:r>
          </w:p>
        </w:tc>
      </w:tr>
    </w:tbl>
    <w:p w14:paraId="1A0E5DEA" w14:textId="77777777" w:rsidR="00E74B41" w:rsidRPr="00E74B41" w:rsidRDefault="00E74B41" w:rsidP="00E74B41">
      <w:pPr>
        <w:spacing w:line="360" w:lineRule="auto"/>
        <w:jc w:val="both"/>
        <w:rPr>
          <w:rFonts w:ascii="Palatino Linotype" w:hAnsi="Palatino Linotype" w:cs="Arial"/>
          <w:color w:val="000000" w:themeColor="text1"/>
        </w:rPr>
      </w:pPr>
    </w:p>
    <w:p w14:paraId="099510C7" w14:textId="6C492D5B"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Señaló como modalidad de entrega de la información a través del SAIMEX.</w:t>
      </w:r>
    </w:p>
    <w:p w14:paraId="13B578E5" w14:textId="77777777" w:rsidR="00E74B41" w:rsidRPr="00E74B41" w:rsidRDefault="00E74B41" w:rsidP="00E74B41">
      <w:pPr>
        <w:pStyle w:val="Prrafodelista"/>
        <w:spacing w:line="360" w:lineRule="auto"/>
        <w:ind w:left="0"/>
        <w:jc w:val="both"/>
        <w:rPr>
          <w:rFonts w:ascii="Palatino Linotype" w:hAnsi="Palatino Linotype" w:cs="Arial"/>
          <w:color w:val="000000" w:themeColor="text1"/>
        </w:rPr>
      </w:pPr>
    </w:p>
    <w:p w14:paraId="6A2F05F0" w14:textId="0CF9F789" w:rsidR="00EE1450" w:rsidRDefault="00C46533"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El </w:t>
      </w:r>
      <w:r w:rsidR="00EB1D4C">
        <w:rPr>
          <w:rFonts w:ascii="Palatino Linotype" w:hAnsi="Palatino Linotype" w:cs="Arial"/>
          <w:color w:val="000000" w:themeColor="text1"/>
        </w:rPr>
        <w:t xml:space="preserve">diez (10) y </w:t>
      </w:r>
      <w:r w:rsidR="001F62B0">
        <w:rPr>
          <w:rFonts w:ascii="Palatino Linotype" w:hAnsi="Palatino Linotype" w:cs="Arial"/>
          <w:color w:val="000000" w:themeColor="text1"/>
        </w:rPr>
        <w:t>quince</w:t>
      </w:r>
      <w:r>
        <w:rPr>
          <w:rFonts w:ascii="Palatino Linotype" w:hAnsi="Palatino Linotype" w:cs="Arial"/>
          <w:color w:val="000000" w:themeColor="text1"/>
        </w:rPr>
        <w:t xml:space="preserve"> (</w:t>
      </w:r>
      <w:r w:rsidR="001F62B0">
        <w:rPr>
          <w:rFonts w:ascii="Palatino Linotype" w:hAnsi="Palatino Linotype" w:cs="Arial"/>
          <w:color w:val="000000" w:themeColor="text1"/>
        </w:rPr>
        <w:t>15</w:t>
      </w:r>
      <w:r>
        <w:rPr>
          <w:rFonts w:ascii="Palatino Linotype" w:hAnsi="Palatino Linotype" w:cs="Arial"/>
          <w:color w:val="000000" w:themeColor="text1"/>
        </w:rPr>
        <w:t xml:space="preserve">) </w:t>
      </w:r>
      <w:r w:rsidR="001F62B0">
        <w:rPr>
          <w:rFonts w:ascii="Palatino Linotype" w:hAnsi="Palatino Linotype" w:cs="Arial"/>
          <w:color w:val="000000" w:themeColor="text1"/>
        </w:rPr>
        <w:t>de agosto</w:t>
      </w:r>
      <w:r w:rsidR="00EE1450">
        <w:rPr>
          <w:rFonts w:ascii="Palatino Linotype" w:hAnsi="Palatino Linotype" w:cs="Arial"/>
          <w:color w:val="000000" w:themeColor="text1"/>
        </w:rPr>
        <w:t xml:space="preserve"> de dos mil </w:t>
      </w:r>
      <w:r w:rsidR="001F62B0">
        <w:rPr>
          <w:rFonts w:ascii="Palatino Linotype" w:hAnsi="Palatino Linotype" w:cs="Arial"/>
          <w:color w:val="000000" w:themeColor="text1"/>
        </w:rPr>
        <w:t xml:space="preserve">veintidós, </w:t>
      </w:r>
      <w:r w:rsidR="00495E0B">
        <w:rPr>
          <w:rFonts w:ascii="Palatino Linotype" w:hAnsi="Palatino Linotype" w:cs="Arial"/>
          <w:color w:val="000000" w:themeColor="text1"/>
        </w:rPr>
        <w:t>el Sujeto Obligado dio respuesta a las solicitudes de acceso a la información, en los siguientes términos:</w:t>
      </w:r>
    </w:p>
    <w:p w14:paraId="0A72C500" w14:textId="77777777" w:rsidR="00EE1450" w:rsidRPr="00D97D8E" w:rsidRDefault="00EE1450" w:rsidP="00EE1450">
      <w:pPr>
        <w:pStyle w:val="Prrafodelista"/>
        <w:spacing w:line="360" w:lineRule="auto"/>
        <w:ind w:left="0"/>
        <w:jc w:val="both"/>
        <w:rPr>
          <w:rFonts w:ascii="Palatino Linotype" w:hAnsi="Palatino Linotype" w:cs="Arial"/>
          <w:color w:val="000000" w:themeColor="text1"/>
          <w:sz w:val="22"/>
          <w:szCs w:val="22"/>
        </w:rPr>
      </w:pPr>
    </w:p>
    <w:p w14:paraId="5AE14112" w14:textId="6D009CFC" w:rsidR="001F62B0" w:rsidRPr="00D97D8E" w:rsidRDefault="001F62B0" w:rsidP="00EE1450">
      <w:pPr>
        <w:pStyle w:val="Prrafodelista"/>
        <w:spacing w:line="360" w:lineRule="auto"/>
        <w:ind w:left="0"/>
        <w:jc w:val="both"/>
        <w:rPr>
          <w:rFonts w:ascii="Palatino Linotype" w:hAnsi="Palatino Linotype" w:cs="Arial"/>
          <w:b/>
          <w:color w:val="000000" w:themeColor="text1"/>
          <w:sz w:val="22"/>
          <w:szCs w:val="22"/>
        </w:rPr>
      </w:pPr>
      <w:r w:rsidRPr="00D97D8E">
        <w:rPr>
          <w:rFonts w:ascii="Palatino Linotype" w:hAnsi="Palatino Linotype"/>
          <w:b/>
          <w:color w:val="000000"/>
          <w:sz w:val="22"/>
          <w:szCs w:val="22"/>
        </w:rPr>
        <w:t>00311/SMA/IP/2022</w:t>
      </w:r>
    </w:p>
    <w:p w14:paraId="6F7E0DBE" w14:textId="77777777" w:rsidR="001F62B0" w:rsidRPr="00D97D8E" w:rsidRDefault="00495E0B" w:rsidP="001F62B0">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w:t>
      </w:r>
      <w:r w:rsidR="001F62B0" w:rsidRPr="00D97D8E">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E2372C" w14:textId="77777777" w:rsidR="001F62B0" w:rsidRPr="00D97D8E" w:rsidRDefault="001F62B0" w:rsidP="001F62B0">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00311/SMA/IP/2022, por este medio se envía la respuesta emitida por la Coordinación Jurídica y de Igualdad de Género, que a la letra dice. En atención a la solicitud de información número de folio 00311/SMA/IP/2022, esta Coordinación se permite informar lo siguiente respecto al punto requerido que a la letra señala: “TOTAL DE CONVENIOS FIRMADOS POR </w:t>
      </w:r>
      <w:r w:rsidRPr="00D97D8E">
        <w:rPr>
          <w:rFonts w:ascii="Palatino Linotype" w:hAnsi="Palatino Linotype" w:cs="Arial"/>
          <w:i/>
          <w:color w:val="000000" w:themeColor="text1"/>
          <w:sz w:val="22"/>
          <w:szCs w:val="22"/>
        </w:rPr>
        <w:lastRenderedPageBreak/>
        <w:t>LA SECRETARIA DEL MEDIO AMBIENTE CON OTRAS ENTIDADES PUBLICAS O PRIVADAS EN EL PERIODO DE GOBIERNO 2011 A 2017 DURANTE LA ADMINSITRACIÓN DEL DR ERUBIEL AVILA VILLEGAS” (sic). Al respecto, con fundamento en lo señalado en los artículos 12, 18 y 59 de la Ley de Transparencia y Acceso a la Información Pública del Estado de México y Municipios, me permito informarle que, de acuerdo a la información que obra en los archivos de este servidor público habilitado, se registra un total de 67 Convenios suscritos en el periodo requerido por el solicitante; la vigencia de la totalidad de esos convenios ha concluido. No obstante, cabe señalar que no corresponde a las atribuciones de esta Coordinación el resguardo o tenencia de los Convenios que, en ejercicio de sus atribuciones, proponen o suscriben las diversas unidades administrativas sustantivas de este Sujeto Obligado, razón por la cual en los archivos de este Servidor Público Habilitado, no se cuenta con información referente a todos los Convenios que pudiera haber suscrito la Secretaría con instituciones públicas o privadas, en el periodo solicitado. De ser el caso, la información podría estar en poder de otro u otros servidores públicos habilitados como serían las unidades administrativas proponentes o, de la Unidad de Información, Planeación, Programación y Evaluación (UIPPE), ya que de conformidad con lo dispuesto en los artículos 20 fracción VI y 41 de la Ley de Planeación del Estado de México y Municipios, le corresponde a la UIPPE, a las unidades administrativas y servidores públicos involucrados en los convenios respectivos, el seguimiento y evaluación de la ejecución de las acciones derivadas de los mismos.</w:t>
      </w:r>
    </w:p>
    <w:p w14:paraId="6E6B6447" w14:textId="77777777" w:rsidR="001F62B0" w:rsidRPr="00D97D8E" w:rsidRDefault="001F62B0" w:rsidP="001F62B0">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ATENTAMENTE</w:t>
      </w:r>
    </w:p>
    <w:p w14:paraId="4EB0924F" w14:textId="28F2FB12" w:rsidR="00EE1450" w:rsidRPr="00D97D8E" w:rsidRDefault="001F62B0" w:rsidP="001F62B0">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LIC. JUAN JOSÉ ALVA SÁNCHEZ</w:t>
      </w:r>
      <w:r w:rsidR="00495E0B" w:rsidRPr="00D97D8E">
        <w:rPr>
          <w:rFonts w:ascii="Palatino Linotype" w:hAnsi="Palatino Linotype" w:cs="Arial"/>
          <w:i/>
          <w:color w:val="000000" w:themeColor="text1"/>
          <w:sz w:val="22"/>
          <w:szCs w:val="22"/>
        </w:rPr>
        <w:t>” (sic)</w:t>
      </w:r>
    </w:p>
    <w:p w14:paraId="5217AF1D" w14:textId="77777777" w:rsidR="00EE1450" w:rsidRPr="00D97D8E" w:rsidRDefault="00EE1450" w:rsidP="00EE1450">
      <w:pPr>
        <w:pStyle w:val="Prrafodelista"/>
        <w:spacing w:line="360" w:lineRule="auto"/>
        <w:ind w:left="0"/>
        <w:jc w:val="both"/>
        <w:rPr>
          <w:rFonts w:ascii="Palatino Linotype" w:hAnsi="Palatino Linotype" w:cs="Arial"/>
          <w:color w:val="000000" w:themeColor="text1"/>
          <w:sz w:val="22"/>
          <w:szCs w:val="22"/>
        </w:rPr>
      </w:pPr>
    </w:p>
    <w:p w14:paraId="431D7575" w14:textId="1C6993AF" w:rsidR="00495E0B" w:rsidRDefault="00495E0B"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adjuntó a la respuesta </w:t>
      </w:r>
      <w:r w:rsidR="001F62B0">
        <w:rPr>
          <w:rFonts w:ascii="Palatino Linotype" w:hAnsi="Palatino Linotype" w:cs="Arial"/>
          <w:color w:val="000000" w:themeColor="text1"/>
        </w:rPr>
        <w:t>el</w:t>
      </w:r>
      <w:r>
        <w:rPr>
          <w:rFonts w:ascii="Palatino Linotype" w:hAnsi="Palatino Linotype" w:cs="Arial"/>
          <w:color w:val="000000" w:themeColor="text1"/>
        </w:rPr>
        <w:t xml:space="preserve"> documento electrónico</w:t>
      </w:r>
      <w:r w:rsidR="001F62B0">
        <w:rPr>
          <w:rFonts w:ascii="Palatino Linotype" w:hAnsi="Palatino Linotype" w:cs="Arial"/>
          <w:color w:val="000000" w:themeColor="text1"/>
        </w:rPr>
        <w:t xml:space="preserve"> denominado:</w:t>
      </w:r>
      <w:r>
        <w:rPr>
          <w:rFonts w:ascii="Palatino Linotype" w:hAnsi="Palatino Linotype" w:cs="Arial"/>
          <w:color w:val="000000" w:themeColor="text1"/>
        </w:rPr>
        <w:t xml:space="preserve"> </w:t>
      </w:r>
    </w:p>
    <w:p w14:paraId="41C31F22" w14:textId="071C67D9" w:rsidR="001F62B0" w:rsidRPr="00D97D8E" w:rsidRDefault="001F62B0" w:rsidP="00EA7B1A">
      <w:pPr>
        <w:pStyle w:val="Prrafodelista"/>
        <w:numPr>
          <w:ilvl w:val="0"/>
          <w:numId w:val="40"/>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lastRenderedPageBreak/>
        <w:t>Saimex 29912-08-2022-200957</w:t>
      </w:r>
      <w:r w:rsidR="00EA7B1A" w:rsidRPr="00D97D8E">
        <w:rPr>
          <w:rFonts w:ascii="Palatino Linotype" w:hAnsi="Palatino Linotype" w:cs="Arial"/>
          <w:b/>
          <w:color w:val="000000" w:themeColor="text1"/>
          <w:sz w:val="22"/>
        </w:rPr>
        <w:t xml:space="preserve">pdf: </w:t>
      </w:r>
      <w:r w:rsidRPr="00D97D8E">
        <w:rPr>
          <w:rFonts w:ascii="Palatino Linotype" w:hAnsi="Palatino Linotype" w:cs="Arial"/>
          <w:color w:val="000000" w:themeColor="text1"/>
          <w:sz w:val="22"/>
        </w:rPr>
        <w:t>Contiene una captura de pantalla de la respuesta del servidor público habilitado al turno realizado por el Titular de la Unidad de Transparencia, que corresponde a una solicitud diversa.</w:t>
      </w:r>
    </w:p>
    <w:p w14:paraId="7BD1390B" w14:textId="77777777" w:rsidR="001F62B0" w:rsidRPr="00D97D8E" w:rsidRDefault="001F62B0" w:rsidP="001F62B0">
      <w:pPr>
        <w:spacing w:line="360" w:lineRule="auto"/>
        <w:jc w:val="both"/>
        <w:rPr>
          <w:rFonts w:ascii="Palatino Linotype" w:hAnsi="Palatino Linotype" w:cs="Arial"/>
          <w:b/>
          <w:color w:val="000000" w:themeColor="text1"/>
          <w:sz w:val="22"/>
        </w:rPr>
      </w:pPr>
    </w:p>
    <w:p w14:paraId="5245BB30" w14:textId="77777777" w:rsidR="001F62B0" w:rsidRPr="00D97D8E" w:rsidRDefault="001F62B0" w:rsidP="001F62B0">
      <w:pPr>
        <w:pStyle w:val="Prrafodelista"/>
        <w:spacing w:line="360" w:lineRule="auto"/>
        <w:ind w:left="0"/>
        <w:jc w:val="both"/>
        <w:rPr>
          <w:rFonts w:ascii="Palatino Linotype" w:hAnsi="Palatino Linotype" w:cs="Arial"/>
          <w:b/>
          <w:color w:val="000000" w:themeColor="text1"/>
          <w:sz w:val="22"/>
          <w:szCs w:val="22"/>
        </w:rPr>
      </w:pPr>
      <w:r w:rsidRPr="00D97D8E">
        <w:rPr>
          <w:rFonts w:ascii="Palatino Linotype" w:hAnsi="Palatino Linotype"/>
          <w:b/>
          <w:color w:val="000000"/>
          <w:sz w:val="22"/>
          <w:szCs w:val="22"/>
        </w:rPr>
        <w:t>00311/SMA/IP/2022</w:t>
      </w:r>
    </w:p>
    <w:p w14:paraId="552FA1B3" w14:textId="58DC2BF6" w:rsidR="001F62B0" w:rsidRPr="00D97D8E" w:rsidRDefault="001F62B0" w:rsidP="001F62B0">
      <w:pPr>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color w:val="000000" w:themeColor="text1"/>
          <w:sz w:val="22"/>
          <w:szCs w:val="22"/>
        </w:rPr>
        <w:t>“</w:t>
      </w:r>
      <w:r w:rsidRPr="00D97D8E">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86610B" w14:textId="1E8FC986" w:rsidR="001F62B0" w:rsidRPr="00D97D8E" w:rsidRDefault="001F62B0" w:rsidP="001F62B0">
      <w:pPr>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00303/SMA/IP/2022, por este medio se envía en archivo electrónico formato PDF,Oficios número 212050000-237/2011 y 212050000-576/2013, con los que se acredita que por su antigüedad y los tiempos de conservación previstos en las disposiciones normativas, la documentación de trámite concluido correspondiente a los periodos 2003-2009 y 2008-2011, generada por la Coordinación Jurídica de este Sujeto Obligado, fue transferida al Archivo General del Poder Ejecutivo, de conformidad con lo señalado en los artículos 4 fracciones XXIII, LII y LIV y 31 fracción X de la Ley de Archivos y Administración de Documentos del Estado de México y Municipios; razón por la cual después de realizar una búsqueda exhaustiva en los archivos de esta Coordinación, no existe documento alguno relativo a posibles Convenios suscritos por esta Secretaría en el periodo referido por el solicitante. Se anexa el Acta de la Vigésima Segunda Sesión Extraordinaria en la cual se hace constar que el Comité de Transparencia aprueba mediante acuerdo la inexistencia de la información solicitada.” (sic)</w:t>
      </w:r>
    </w:p>
    <w:p w14:paraId="17533DB1" w14:textId="77777777" w:rsidR="001F62B0" w:rsidRDefault="001F62B0" w:rsidP="00EA7B1A">
      <w:pPr>
        <w:pStyle w:val="Prrafodelista"/>
        <w:spacing w:line="360" w:lineRule="auto"/>
        <w:jc w:val="both"/>
        <w:rPr>
          <w:rFonts w:ascii="Palatino Linotype" w:hAnsi="Palatino Linotype" w:cs="Arial"/>
          <w:b/>
          <w:color w:val="000000" w:themeColor="text1"/>
        </w:rPr>
      </w:pPr>
    </w:p>
    <w:p w14:paraId="71C9FFA1" w14:textId="51828655" w:rsidR="001F62B0" w:rsidRDefault="001F62B0"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El Sujeto Obligado adjuntó a la respuesta los documentos electrónicos denominados:</w:t>
      </w:r>
    </w:p>
    <w:p w14:paraId="21A7B518" w14:textId="6199C3F2" w:rsidR="00EB1D4C" w:rsidRPr="00D97D8E" w:rsidRDefault="00EB1D4C" w:rsidP="00EB1D4C">
      <w:pPr>
        <w:pStyle w:val="Prrafodelista"/>
        <w:numPr>
          <w:ilvl w:val="0"/>
          <w:numId w:val="40"/>
        </w:numPr>
        <w:spacing w:line="360" w:lineRule="auto"/>
        <w:jc w:val="both"/>
        <w:rPr>
          <w:rFonts w:ascii="Palatino Linotype" w:hAnsi="Palatino Linotype" w:cs="Arial"/>
          <w:color w:val="000000" w:themeColor="text1"/>
          <w:sz w:val="22"/>
        </w:rPr>
      </w:pPr>
      <w:r w:rsidRPr="00D97D8E">
        <w:rPr>
          <w:rFonts w:ascii="Palatino Linotype" w:hAnsi="Palatino Linotype" w:cs="Arial"/>
          <w:b/>
          <w:color w:val="000000" w:themeColor="text1"/>
          <w:sz w:val="22"/>
        </w:rPr>
        <w:t>oficio 2003_2009.pdf: Oficio 212050000-237/2011</w:t>
      </w:r>
      <w:r w:rsidRPr="00D97D8E">
        <w:rPr>
          <w:rFonts w:ascii="Palatino Linotype" w:hAnsi="Palatino Linotype" w:cs="Arial"/>
          <w:color w:val="000000" w:themeColor="text1"/>
          <w:sz w:val="22"/>
        </w:rPr>
        <w:t xml:space="preserve"> suscrito por el Coordinador Jurídico mediante el cual refiere que información del 2003 a 2009 se envió al archivo de concentración a través de 119 expedientes y 151 legajos. Asimismo, contiene el inventario del archivo de concentración.</w:t>
      </w:r>
    </w:p>
    <w:p w14:paraId="09E9B30B" w14:textId="65866D82" w:rsidR="00EB1D4C" w:rsidRPr="00D97D8E" w:rsidRDefault="00EB1D4C" w:rsidP="00EB1D4C">
      <w:pPr>
        <w:pStyle w:val="Prrafodelista"/>
        <w:numPr>
          <w:ilvl w:val="0"/>
          <w:numId w:val="40"/>
        </w:numPr>
        <w:spacing w:line="360" w:lineRule="auto"/>
        <w:jc w:val="both"/>
        <w:rPr>
          <w:rFonts w:ascii="Palatino Linotype" w:hAnsi="Palatino Linotype" w:cs="Arial"/>
          <w:color w:val="000000" w:themeColor="text1"/>
          <w:sz w:val="22"/>
        </w:rPr>
      </w:pPr>
      <w:r w:rsidRPr="00D97D8E">
        <w:rPr>
          <w:rFonts w:ascii="Palatino Linotype" w:hAnsi="Palatino Linotype" w:cs="Arial"/>
          <w:b/>
          <w:color w:val="000000" w:themeColor="text1"/>
          <w:sz w:val="22"/>
        </w:rPr>
        <w:t>oficio 2008_2011.pdf:</w:t>
      </w:r>
      <w:r w:rsidRPr="00D97D8E">
        <w:rPr>
          <w:rFonts w:ascii="Palatino Linotype" w:hAnsi="Palatino Linotype" w:cs="Arial"/>
          <w:color w:val="000000" w:themeColor="text1"/>
          <w:sz w:val="22"/>
        </w:rPr>
        <w:t xml:space="preserve"> Oficio 212050000-576/2013 suscrito por el Coordinador Jurídico mediante el cual refiere que se transfiere al archivo de concentración lo correspondiente a 60 expedientes, 76 legajos y 5957 documentos. Asimismo, contiene el inventario del archivo de concentración.</w:t>
      </w:r>
    </w:p>
    <w:p w14:paraId="15EBD3F2" w14:textId="402B546B" w:rsidR="001F62B0" w:rsidRPr="00D97D8E" w:rsidRDefault="00EB1D4C" w:rsidP="00EB1D4C">
      <w:pPr>
        <w:pStyle w:val="Prrafodelista"/>
        <w:numPr>
          <w:ilvl w:val="0"/>
          <w:numId w:val="40"/>
        </w:numPr>
        <w:spacing w:line="360" w:lineRule="auto"/>
        <w:jc w:val="both"/>
        <w:rPr>
          <w:rFonts w:ascii="Palatino Linotype" w:hAnsi="Palatino Linotype" w:cs="Arial"/>
          <w:color w:val="000000" w:themeColor="text1"/>
          <w:sz w:val="22"/>
        </w:rPr>
      </w:pPr>
      <w:r w:rsidRPr="00D97D8E">
        <w:rPr>
          <w:rFonts w:ascii="Palatino Linotype" w:hAnsi="Palatino Linotype" w:cs="Arial"/>
          <w:b/>
          <w:color w:val="000000" w:themeColor="text1"/>
          <w:sz w:val="22"/>
        </w:rPr>
        <w:t>ACTA 22 SE CT.pdf:</w:t>
      </w:r>
      <w:r w:rsidRPr="00D97D8E">
        <w:rPr>
          <w:rFonts w:ascii="Palatino Linotype" w:hAnsi="Palatino Linotype" w:cs="Arial"/>
          <w:color w:val="000000" w:themeColor="text1"/>
          <w:sz w:val="22"/>
        </w:rPr>
        <w:t xml:space="preserve"> Contiene el acta de la Vigésima Segunda Sesión extraordinaria del Comité de Transparencia de la Secretaría del Medio Ambiente mediante la cual, en el punto 9 del orden del día se propone la inexistencia de la información requerida en la solicitud 00303/SMA/IP/2022</w:t>
      </w:r>
    </w:p>
    <w:p w14:paraId="132EAA02" w14:textId="77777777" w:rsidR="001F62B0" w:rsidRDefault="001F62B0" w:rsidP="001F62B0">
      <w:pPr>
        <w:pStyle w:val="Prrafodelista"/>
        <w:spacing w:line="360" w:lineRule="auto"/>
        <w:ind w:left="0"/>
        <w:jc w:val="both"/>
        <w:rPr>
          <w:rFonts w:ascii="Palatino Linotype" w:hAnsi="Palatino Linotype" w:cs="Arial"/>
          <w:color w:val="000000" w:themeColor="text1"/>
        </w:rPr>
      </w:pPr>
    </w:p>
    <w:p w14:paraId="2245C871" w14:textId="4BE068E5" w:rsidR="00E74B41" w:rsidRDefault="00EB1D4C"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El quince</w:t>
      </w:r>
      <w:r w:rsidR="00E74B41" w:rsidRPr="00E74B41">
        <w:rPr>
          <w:rFonts w:ascii="Palatino Linotype" w:hAnsi="Palatino Linotype" w:cs="Arial"/>
          <w:color w:val="000000" w:themeColor="text1"/>
        </w:rPr>
        <w:t xml:space="preserve"> (</w:t>
      </w:r>
      <w:r>
        <w:rPr>
          <w:rFonts w:ascii="Palatino Linotype" w:hAnsi="Palatino Linotype" w:cs="Arial"/>
          <w:color w:val="000000" w:themeColor="text1"/>
        </w:rPr>
        <w:t>15</w:t>
      </w:r>
      <w:r w:rsidR="00E74B41" w:rsidRPr="00E74B41">
        <w:rPr>
          <w:rFonts w:ascii="Palatino Linotype" w:hAnsi="Palatino Linotype" w:cs="Arial"/>
          <w:color w:val="000000" w:themeColor="text1"/>
        </w:rPr>
        <w:t>)</w:t>
      </w:r>
      <w:r w:rsidR="00337EDC">
        <w:rPr>
          <w:rFonts w:ascii="Palatino Linotype" w:hAnsi="Palatino Linotype" w:cs="Arial"/>
          <w:color w:val="000000" w:themeColor="text1"/>
        </w:rPr>
        <w:t xml:space="preserve"> </w:t>
      </w:r>
      <w:r>
        <w:rPr>
          <w:rFonts w:ascii="Palatino Linotype" w:hAnsi="Palatino Linotype" w:cs="Arial"/>
          <w:color w:val="000000" w:themeColor="text1"/>
        </w:rPr>
        <w:t xml:space="preserve">de agosto </w:t>
      </w:r>
      <w:r w:rsidR="00E74B41" w:rsidRPr="00E74B41">
        <w:rPr>
          <w:rFonts w:ascii="Palatino Linotype" w:hAnsi="Palatino Linotype" w:cs="Arial"/>
          <w:color w:val="000000" w:themeColor="text1"/>
        </w:rPr>
        <w:t>de dos mil veinti</w:t>
      </w:r>
      <w:r>
        <w:rPr>
          <w:rFonts w:ascii="Palatino Linotype" w:hAnsi="Palatino Linotype" w:cs="Arial"/>
          <w:color w:val="000000" w:themeColor="text1"/>
        </w:rPr>
        <w:t>dós</w:t>
      </w:r>
      <w:r w:rsidR="00E74B41" w:rsidRPr="00E74B41">
        <w:rPr>
          <w:rFonts w:ascii="Palatino Linotype" w:hAnsi="Palatino Linotype" w:cs="Arial"/>
          <w:color w:val="000000" w:themeColor="text1"/>
        </w:rPr>
        <w:t>, EL RECURRENTE interpuso los recursos de revisión, en contra de las respuestas y, señaló, en todos y cada uno de los recursos como:</w:t>
      </w:r>
    </w:p>
    <w:p w14:paraId="113874FD" w14:textId="77777777" w:rsidR="00337EDC" w:rsidRPr="00D97D8E" w:rsidRDefault="00337EDC" w:rsidP="00337EDC">
      <w:pPr>
        <w:pStyle w:val="Prrafodelista"/>
        <w:spacing w:line="360" w:lineRule="auto"/>
        <w:ind w:left="0"/>
        <w:jc w:val="both"/>
        <w:rPr>
          <w:rFonts w:ascii="Palatino Linotype" w:hAnsi="Palatino Linotype" w:cs="Arial"/>
          <w:color w:val="000000" w:themeColor="text1"/>
          <w:sz w:val="22"/>
          <w:szCs w:val="22"/>
        </w:rPr>
      </w:pPr>
    </w:p>
    <w:p w14:paraId="533DCF05" w14:textId="1884DE91" w:rsidR="00C51673" w:rsidRPr="00D97D8E" w:rsidRDefault="001F62B0" w:rsidP="00C51673">
      <w:pPr>
        <w:pStyle w:val="Prrafodelista"/>
        <w:spacing w:line="360" w:lineRule="auto"/>
        <w:ind w:left="0"/>
        <w:jc w:val="both"/>
        <w:rPr>
          <w:rFonts w:ascii="Palatino Linotype" w:hAnsi="Palatino Linotype" w:cs="Arial"/>
          <w:color w:val="000000" w:themeColor="text1"/>
          <w:sz w:val="22"/>
          <w:szCs w:val="22"/>
        </w:rPr>
      </w:pPr>
      <w:r w:rsidRPr="00D97D8E">
        <w:rPr>
          <w:rFonts w:ascii="Palatino Linotype" w:eastAsia="Calibri" w:hAnsi="Palatino Linotype" w:cs="Arial"/>
          <w:b/>
          <w:sz w:val="22"/>
          <w:szCs w:val="22"/>
          <w:lang w:val="es-ES"/>
        </w:rPr>
        <w:t>13328</w:t>
      </w:r>
      <w:r w:rsidRPr="00D97D8E">
        <w:rPr>
          <w:rFonts w:ascii="Palatino Linotype" w:hAnsi="Palatino Linotype"/>
          <w:b/>
          <w:sz w:val="22"/>
          <w:szCs w:val="22"/>
        </w:rPr>
        <w:t>/INFOEM/IP/RR/2022</w:t>
      </w:r>
    </w:p>
    <w:p w14:paraId="7FB8FF24" w14:textId="09AA78F3" w:rsidR="00436449" w:rsidRPr="00D97D8E" w:rsidRDefault="00436449" w:rsidP="00EB1D4C">
      <w:pPr>
        <w:pStyle w:val="Prrafodelista"/>
        <w:numPr>
          <w:ilvl w:val="0"/>
          <w:numId w:val="38"/>
        </w:numPr>
        <w:spacing w:line="360" w:lineRule="auto"/>
        <w:jc w:val="both"/>
        <w:rPr>
          <w:rFonts w:ascii="Palatino Linotype" w:hAnsi="Palatino Linotype"/>
          <w:bCs/>
          <w:i/>
          <w:iCs/>
          <w:sz w:val="22"/>
          <w:szCs w:val="22"/>
        </w:rPr>
      </w:pPr>
      <w:r w:rsidRPr="00D97D8E">
        <w:rPr>
          <w:rFonts w:ascii="Palatino Linotype" w:hAnsi="Palatino Linotype"/>
          <w:b/>
          <w:sz w:val="22"/>
          <w:szCs w:val="22"/>
        </w:rPr>
        <w:t xml:space="preserve">Acto impugnado: </w:t>
      </w:r>
      <w:r w:rsidRPr="00D97D8E">
        <w:rPr>
          <w:rFonts w:ascii="Palatino Linotype" w:hAnsi="Palatino Linotype"/>
          <w:bCs/>
          <w:i/>
          <w:iCs/>
          <w:sz w:val="22"/>
          <w:szCs w:val="22"/>
        </w:rPr>
        <w:t>“</w:t>
      </w:r>
      <w:r w:rsidR="00EB1D4C" w:rsidRPr="00D97D8E">
        <w:rPr>
          <w:rFonts w:ascii="Palatino Linotype" w:eastAsia="Calibri" w:hAnsi="Palatino Linotype" w:cs="Tahoma"/>
          <w:i/>
          <w:sz w:val="22"/>
          <w:szCs w:val="22"/>
          <w:lang w:eastAsia="en-US"/>
        </w:rPr>
        <w:t>NO ME DIERON LA INFORMACION QUE SOLICITE</w:t>
      </w:r>
      <w:r w:rsidRPr="00D97D8E">
        <w:rPr>
          <w:rFonts w:ascii="Palatino Linotype" w:hAnsi="Palatino Linotype"/>
          <w:bCs/>
          <w:i/>
          <w:iCs/>
          <w:sz w:val="22"/>
          <w:szCs w:val="22"/>
        </w:rPr>
        <w:t>” (sic)</w:t>
      </w:r>
    </w:p>
    <w:p w14:paraId="7DD19BB1" w14:textId="023BABC8" w:rsidR="00E74B41" w:rsidRPr="00D97D8E" w:rsidRDefault="00436449" w:rsidP="00EB1D4C">
      <w:pPr>
        <w:pStyle w:val="Prrafodelista"/>
        <w:numPr>
          <w:ilvl w:val="0"/>
          <w:numId w:val="38"/>
        </w:numPr>
        <w:spacing w:line="360" w:lineRule="auto"/>
        <w:jc w:val="both"/>
        <w:rPr>
          <w:rFonts w:ascii="Palatino Linotype" w:hAnsi="Palatino Linotype" w:cs="Arial"/>
          <w:color w:val="000000" w:themeColor="text1"/>
          <w:sz w:val="22"/>
          <w:szCs w:val="22"/>
        </w:rPr>
      </w:pPr>
      <w:r w:rsidRPr="00D97D8E">
        <w:rPr>
          <w:rFonts w:ascii="Palatino Linotype" w:hAnsi="Palatino Linotype"/>
          <w:b/>
          <w:sz w:val="22"/>
          <w:szCs w:val="22"/>
        </w:rPr>
        <w:t>Motivos o razones de inconformidad: “</w:t>
      </w:r>
      <w:r w:rsidR="00EB1D4C" w:rsidRPr="00D97D8E">
        <w:rPr>
          <w:rFonts w:ascii="Palatino Linotype" w:hAnsi="Palatino Linotype"/>
          <w:i/>
          <w:sz w:val="22"/>
          <w:szCs w:val="22"/>
        </w:rPr>
        <w:t xml:space="preserve">RESPONDE QUE DE ACUERDO A LA LEY TIENEN ARCHIVOS DE 67 CONVENIOS FIRMADOS QUE LA VIGENCIA YA CON CLULLO QUE NO CORRESPONDE EL RESGUARDO DE LOS CONVENIOS Y QUE LA INFORMACION LA TIENEN OTROS SERVIDORES PUBLICOS ABILITADOS, QUEIRO SABES A QUIEN ME DIRIJO Y EL LISTADO DE LOS QUE TIENEN LA </w:t>
      </w:r>
      <w:r w:rsidR="00EB1D4C" w:rsidRPr="00D97D8E">
        <w:rPr>
          <w:rFonts w:ascii="Palatino Linotype" w:hAnsi="Palatino Linotype"/>
          <w:i/>
          <w:sz w:val="22"/>
          <w:szCs w:val="22"/>
        </w:rPr>
        <w:lastRenderedPageBreak/>
        <w:t>IFOERMACIÓN PARA SOLICITARLA Y COMO LA SOLICITO? Y ENTRONCES QUEIN LE DA SEGUIMIENTO A LAS SUPUESTAS ACCIONES DERIVADAS DE LOS CONVENIOS?</w:t>
      </w:r>
      <w:r w:rsidRPr="00D97D8E">
        <w:rPr>
          <w:rFonts w:ascii="Palatino Linotype" w:hAnsi="Palatino Linotype"/>
          <w:bCs/>
          <w:i/>
          <w:iCs/>
          <w:sz w:val="22"/>
          <w:szCs w:val="22"/>
        </w:rPr>
        <w:t>” (sic)</w:t>
      </w:r>
    </w:p>
    <w:p w14:paraId="6D4ED0B5" w14:textId="77777777" w:rsidR="00E74B41" w:rsidRPr="00D97D8E" w:rsidRDefault="00E74B41" w:rsidP="00E74B41">
      <w:pPr>
        <w:spacing w:line="360" w:lineRule="auto"/>
        <w:jc w:val="both"/>
        <w:rPr>
          <w:rFonts w:ascii="Palatino Linotype" w:hAnsi="Palatino Linotype" w:cs="Arial"/>
          <w:color w:val="000000" w:themeColor="text1"/>
          <w:sz w:val="22"/>
          <w:szCs w:val="22"/>
        </w:rPr>
      </w:pPr>
    </w:p>
    <w:p w14:paraId="64F5BA5F" w14:textId="592FEF38" w:rsidR="00C51673" w:rsidRPr="00D97D8E" w:rsidRDefault="001F62B0" w:rsidP="00E74B41">
      <w:pPr>
        <w:spacing w:line="360" w:lineRule="auto"/>
        <w:jc w:val="both"/>
        <w:rPr>
          <w:rFonts w:ascii="Palatino Linotype" w:hAnsi="Palatino Linotype"/>
          <w:b/>
          <w:sz w:val="22"/>
          <w:szCs w:val="22"/>
        </w:rPr>
      </w:pPr>
      <w:r w:rsidRPr="00D97D8E">
        <w:rPr>
          <w:rFonts w:ascii="Palatino Linotype" w:hAnsi="Palatino Linotype" w:cs="Arial"/>
          <w:b/>
          <w:color w:val="000000" w:themeColor="text1"/>
          <w:sz w:val="22"/>
          <w:szCs w:val="22"/>
        </w:rPr>
        <w:t>13329</w:t>
      </w:r>
      <w:r w:rsidRPr="00D97D8E">
        <w:rPr>
          <w:rFonts w:ascii="Palatino Linotype" w:hAnsi="Palatino Linotype"/>
          <w:b/>
          <w:sz w:val="22"/>
          <w:szCs w:val="22"/>
        </w:rPr>
        <w:t>/INFOEM/IP/RR/2022</w:t>
      </w:r>
    </w:p>
    <w:p w14:paraId="3C1560EE" w14:textId="36925F8A" w:rsidR="00C51673" w:rsidRPr="00D97D8E" w:rsidRDefault="00C51673" w:rsidP="00EB1D4C">
      <w:pPr>
        <w:pStyle w:val="Prrafodelista"/>
        <w:numPr>
          <w:ilvl w:val="0"/>
          <w:numId w:val="38"/>
        </w:numPr>
        <w:spacing w:line="360" w:lineRule="auto"/>
        <w:jc w:val="both"/>
        <w:rPr>
          <w:rFonts w:ascii="Palatino Linotype" w:hAnsi="Palatino Linotype"/>
          <w:bCs/>
          <w:i/>
          <w:iCs/>
          <w:sz w:val="22"/>
          <w:szCs w:val="22"/>
        </w:rPr>
      </w:pPr>
      <w:r w:rsidRPr="00D97D8E">
        <w:rPr>
          <w:rFonts w:ascii="Palatino Linotype" w:hAnsi="Palatino Linotype"/>
          <w:b/>
          <w:sz w:val="22"/>
          <w:szCs w:val="22"/>
        </w:rPr>
        <w:t xml:space="preserve">Acto impugnado: </w:t>
      </w:r>
      <w:r w:rsidRPr="00D97D8E">
        <w:rPr>
          <w:rFonts w:ascii="Palatino Linotype" w:hAnsi="Palatino Linotype"/>
          <w:bCs/>
          <w:i/>
          <w:iCs/>
          <w:sz w:val="22"/>
          <w:szCs w:val="22"/>
        </w:rPr>
        <w:t>“</w:t>
      </w:r>
      <w:r w:rsidR="00EB1D4C" w:rsidRPr="00D97D8E">
        <w:rPr>
          <w:rFonts w:ascii="Palatino Linotype" w:eastAsia="Calibri" w:hAnsi="Palatino Linotype" w:cs="Tahoma"/>
          <w:i/>
          <w:sz w:val="22"/>
          <w:szCs w:val="22"/>
          <w:lang w:eastAsia="en-US"/>
        </w:rPr>
        <w:t>NO ME ENTREGARON LA INFORMACION QUE SOLICITE</w:t>
      </w:r>
      <w:r w:rsidRPr="00D97D8E">
        <w:rPr>
          <w:rFonts w:ascii="Palatino Linotype" w:hAnsi="Palatino Linotype"/>
          <w:bCs/>
          <w:i/>
          <w:iCs/>
          <w:sz w:val="22"/>
          <w:szCs w:val="22"/>
        </w:rPr>
        <w:t>” (sic)</w:t>
      </w:r>
    </w:p>
    <w:p w14:paraId="1B344FB2" w14:textId="08EBCBE8" w:rsidR="00C51673" w:rsidRPr="00D97D8E" w:rsidRDefault="00C51673" w:rsidP="00EB1D4C">
      <w:pPr>
        <w:pStyle w:val="Prrafodelista"/>
        <w:numPr>
          <w:ilvl w:val="0"/>
          <w:numId w:val="38"/>
        </w:numPr>
        <w:spacing w:line="360" w:lineRule="auto"/>
        <w:jc w:val="both"/>
        <w:rPr>
          <w:rFonts w:ascii="Palatino Linotype" w:hAnsi="Palatino Linotype" w:cs="Arial"/>
          <w:color w:val="000000" w:themeColor="text1"/>
          <w:sz w:val="22"/>
          <w:szCs w:val="22"/>
        </w:rPr>
      </w:pPr>
      <w:r w:rsidRPr="00D97D8E">
        <w:rPr>
          <w:rFonts w:ascii="Palatino Linotype" w:hAnsi="Palatino Linotype"/>
          <w:b/>
          <w:sz w:val="22"/>
          <w:szCs w:val="22"/>
        </w:rPr>
        <w:t>Motivos o razones de inconformidad: “</w:t>
      </w:r>
      <w:r w:rsidR="00EB1D4C" w:rsidRPr="00D97D8E">
        <w:rPr>
          <w:rFonts w:ascii="Palatino Linotype" w:hAnsi="Palatino Linotype"/>
          <w:i/>
          <w:sz w:val="22"/>
          <w:szCs w:val="22"/>
        </w:rPr>
        <w:t>ANEXAN DOS OFICIOS PERO AHI NO SE EXPLICA EN QUE ARCHIVO SE ENVIARN LOS DOCUMENTOS DE CONVENIOS AL ARCHIVO GENERAL</w:t>
      </w:r>
      <w:r w:rsidRPr="00D97D8E">
        <w:rPr>
          <w:rFonts w:ascii="Palatino Linotype" w:hAnsi="Palatino Linotype"/>
          <w:bCs/>
          <w:i/>
          <w:iCs/>
          <w:sz w:val="22"/>
          <w:szCs w:val="22"/>
        </w:rPr>
        <w:t>” (sic)</w:t>
      </w:r>
    </w:p>
    <w:p w14:paraId="738AB42B" w14:textId="77777777" w:rsidR="00C46533" w:rsidRPr="00D97D8E" w:rsidRDefault="00C46533" w:rsidP="00C46533">
      <w:pPr>
        <w:spacing w:line="360" w:lineRule="auto"/>
        <w:jc w:val="both"/>
        <w:rPr>
          <w:rFonts w:ascii="Palatino Linotype" w:hAnsi="Palatino Linotype" w:cs="Arial"/>
          <w:color w:val="000000" w:themeColor="text1"/>
          <w:sz w:val="22"/>
          <w:szCs w:val="22"/>
        </w:rPr>
      </w:pPr>
    </w:p>
    <w:p w14:paraId="03A98FE4" w14:textId="43B6F914"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Se registraron los recursos de revisión bajo los números de expediente al rubro indicados, asimismo con fundamento en lo dispuesto por el artículo 185 fracción I de la Ley de Transparencia y Acceso a la Información Pública del Estado de México y Municipios se turnó a la Comisionada María del Rosario Mejía Ayala, </w:t>
      </w:r>
      <w:r w:rsidR="00D97D8E">
        <w:rPr>
          <w:rFonts w:ascii="Palatino Linotype" w:hAnsi="Palatino Linotype" w:cs="Arial"/>
          <w:color w:val="000000" w:themeColor="text1"/>
        </w:rPr>
        <w:t>para</w:t>
      </w:r>
      <w:r w:rsidRPr="00E74B41">
        <w:rPr>
          <w:rFonts w:ascii="Palatino Linotype" w:hAnsi="Palatino Linotype" w:cs="Arial"/>
          <w:color w:val="000000" w:themeColor="text1"/>
        </w:rPr>
        <w:t xml:space="preserve"> su análisis.</w:t>
      </w:r>
    </w:p>
    <w:p w14:paraId="1B01D31B" w14:textId="77777777" w:rsidR="00E74B41" w:rsidRPr="00E74B41" w:rsidRDefault="00E74B41" w:rsidP="00E74B41">
      <w:pPr>
        <w:spacing w:line="360" w:lineRule="auto"/>
        <w:jc w:val="both"/>
        <w:rPr>
          <w:rFonts w:ascii="Palatino Linotype" w:hAnsi="Palatino Linotype" w:cs="Arial"/>
          <w:color w:val="000000" w:themeColor="text1"/>
        </w:rPr>
      </w:pPr>
    </w:p>
    <w:p w14:paraId="300C6BE8" w14:textId="216D86D5"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La Comisionada Ponente con fundamento en lo dispuesto por el artículo 185 fracción II de la ley de la materia, a través del acuerdo de admi</w:t>
      </w:r>
      <w:r w:rsidR="006A0B97">
        <w:rPr>
          <w:rFonts w:ascii="Palatino Linotype" w:hAnsi="Palatino Linotype" w:cs="Arial"/>
          <w:color w:val="000000" w:themeColor="text1"/>
        </w:rPr>
        <w:t xml:space="preserve">sión de fecha </w:t>
      </w:r>
      <w:r w:rsidR="00EB1D4C">
        <w:rPr>
          <w:rFonts w:ascii="Palatino Linotype" w:hAnsi="Palatino Linotype" w:cs="Arial"/>
          <w:color w:val="000000" w:themeColor="text1"/>
        </w:rPr>
        <w:t>dieciocho</w:t>
      </w:r>
      <w:r w:rsidR="006A0B97">
        <w:rPr>
          <w:rFonts w:ascii="Palatino Linotype" w:hAnsi="Palatino Linotype" w:cs="Arial"/>
          <w:color w:val="000000" w:themeColor="text1"/>
        </w:rPr>
        <w:t xml:space="preserve"> (</w:t>
      </w:r>
      <w:r w:rsidR="00EB1D4C">
        <w:rPr>
          <w:rFonts w:ascii="Palatino Linotype" w:hAnsi="Palatino Linotype" w:cs="Arial"/>
          <w:color w:val="000000" w:themeColor="text1"/>
        </w:rPr>
        <w:t>18</w:t>
      </w:r>
      <w:r w:rsidR="006A0B97">
        <w:rPr>
          <w:rFonts w:ascii="Palatino Linotype" w:hAnsi="Palatino Linotype" w:cs="Arial"/>
          <w:color w:val="000000" w:themeColor="text1"/>
        </w:rPr>
        <w:t>)</w:t>
      </w:r>
      <w:r w:rsidR="004B2CE4">
        <w:rPr>
          <w:rFonts w:ascii="Palatino Linotype" w:hAnsi="Palatino Linotype" w:cs="Arial"/>
          <w:color w:val="000000" w:themeColor="text1"/>
        </w:rPr>
        <w:t xml:space="preserve"> </w:t>
      </w:r>
      <w:r w:rsidR="00EB1D4C">
        <w:rPr>
          <w:rFonts w:ascii="Palatino Linotype" w:hAnsi="Palatino Linotype" w:cs="Arial"/>
          <w:color w:val="000000" w:themeColor="text1"/>
        </w:rPr>
        <w:t>y diecinueve (19) de agosto</w:t>
      </w:r>
      <w:r w:rsidR="004B2CE4">
        <w:rPr>
          <w:rFonts w:ascii="Palatino Linotype" w:hAnsi="Palatino Linotype" w:cs="Arial"/>
          <w:color w:val="000000" w:themeColor="text1"/>
        </w:rPr>
        <w:t xml:space="preserve"> </w:t>
      </w:r>
      <w:r w:rsidR="00495E0B">
        <w:rPr>
          <w:rFonts w:ascii="Palatino Linotype" w:hAnsi="Palatino Linotype" w:cs="Arial"/>
          <w:color w:val="000000" w:themeColor="text1"/>
        </w:rPr>
        <w:t>de dos mil veinti</w:t>
      </w:r>
      <w:r w:rsidR="00EB1D4C">
        <w:rPr>
          <w:rFonts w:ascii="Palatino Linotype" w:hAnsi="Palatino Linotype" w:cs="Arial"/>
          <w:color w:val="000000" w:themeColor="text1"/>
        </w:rPr>
        <w:t>dós</w:t>
      </w:r>
      <w:r w:rsidRPr="00E74B41">
        <w:rPr>
          <w:rFonts w:ascii="Palatino Linotype" w:hAnsi="Palatino Linotype" w:cs="Arial"/>
          <w:color w:val="000000" w:themeColor="text1"/>
        </w:rPr>
        <w:t xml:space="preserve">, puso a disposición de las partes el expediente electrónico vía SAIMEX a efecto de que en un plazo máximo de siete días manifestaran lo que a derecho convinieran, ofrecieran pruebas y alegatos según corresponda al caso concreto, de esta forma para que el SUJETO OBLIGADO presentara el informe justificado procedente. </w:t>
      </w:r>
    </w:p>
    <w:p w14:paraId="6794667D" w14:textId="77777777" w:rsidR="00E74B41" w:rsidRPr="00E74B41" w:rsidRDefault="00E74B41" w:rsidP="00E74B41">
      <w:pPr>
        <w:spacing w:line="360" w:lineRule="auto"/>
        <w:jc w:val="both"/>
        <w:rPr>
          <w:rFonts w:ascii="Palatino Linotype" w:hAnsi="Palatino Linotype" w:cs="Arial"/>
          <w:color w:val="000000" w:themeColor="text1"/>
        </w:rPr>
      </w:pPr>
    </w:p>
    <w:p w14:paraId="432CC6FD" w14:textId="0AB5534C" w:rsidR="00E74B41" w:rsidRPr="0086070D"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86070D">
        <w:rPr>
          <w:rFonts w:ascii="Palatino Linotype" w:hAnsi="Palatino Linotype" w:cs="Arial"/>
          <w:color w:val="000000" w:themeColor="text1"/>
        </w:rPr>
        <w:lastRenderedPageBreak/>
        <w:t xml:space="preserve">En la </w:t>
      </w:r>
      <w:r w:rsidR="008403C5">
        <w:rPr>
          <w:rFonts w:ascii="Palatino Linotype" w:hAnsi="Palatino Linotype" w:cs="Arial"/>
          <w:color w:val="000000" w:themeColor="text1"/>
        </w:rPr>
        <w:t>Trigésima Sesión</w:t>
      </w:r>
      <w:r w:rsidRPr="0086070D">
        <w:rPr>
          <w:rFonts w:ascii="Palatino Linotype" w:hAnsi="Palatino Linotype" w:cs="Arial"/>
          <w:color w:val="000000" w:themeColor="text1"/>
        </w:rPr>
        <w:t xml:space="preserve"> Ordinaria de fecha </w:t>
      </w:r>
      <w:r w:rsidR="008403C5">
        <w:rPr>
          <w:rFonts w:ascii="Palatino Linotype" w:hAnsi="Palatino Linotype" w:cs="Arial"/>
          <w:color w:val="000000" w:themeColor="text1"/>
        </w:rPr>
        <w:t>veinticuatro</w:t>
      </w:r>
      <w:r w:rsidR="00C51673" w:rsidRPr="0086070D">
        <w:rPr>
          <w:rFonts w:ascii="Palatino Linotype" w:hAnsi="Palatino Linotype" w:cs="Arial"/>
          <w:color w:val="000000" w:themeColor="text1"/>
        </w:rPr>
        <w:t xml:space="preserve"> </w:t>
      </w:r>
      <w:r w:rsidRPr="0086070D">
        <w:rPr>
          <w:rFonts w:ascii="Palatino Linotype" w:hAnsi="Palatino Linotype" w:cs="Arial"/>
          <w:color w:val="000000" w:themeColor="text1"/>
        </w:rPr>
        <w:t>(</w:t>
      </w:r>
      <w:r w:rsidR="008403C5">
        <w:rPr>
          <w:rFonts w:ascii="Palatino Linotype" w:hAnsi="Palatino Linotype" w:cs="Arial"/>
          <w:color w:val="000000" w:themeColor="text1"/>
        </w:rPr>
        <w:t>24</w:t>
      </w:r>
      <w:r w:rsidRPr="0086070D">
        <w:rPr>
          <w:rFonts w:ascii="Palatino Linotype" w:hAnsi="Palatino Linotype" w:cs="Arial"/>
          <w:color w:val="000000" w:themeColor="text1"/>
        </w:rPr>
        <w:t xml:space="preserve">) de </w:t>
      </w:r>
      <w:r w:rsidR="008403C5">
        <w:rPr>
          <w:rFonts w:ascii="Palatino Linotype" w:hAnsi="Palatino Linotype" w:cs="Arial"/>
          <w:color w:val="000000" w:themeColor="text1"/>
        </w:rPr>
        <w:t>agosto</w:t>
      </w:r>
      <w:r w:rsidRPr="0086070D">
        <w:rPr>
          <w:rFonts w:ascii="Palatino Linotype" w:hAnsi="Palatino Linotype" w:cs="Arial"/>
          <w:color w:val="000000" w:themeColor="text1"/>
        </w:rPr>
        <w:t xml:space="preserve"> de dos mil </w:t>
      </w:r>
      <w:r w:rsidR="00EB1D4C">
        <w:rPr>
          <w:rFonts w:ascii="Palatino Linotype" w:hAnsi="Palatino Linotype" w:cs="Arial"/>
          <w:color w:val="000000" w:themeColor="text1"/>
        </w:rPr>
        <w:t>veintidós</w:t>
      </w:r>
      <w:r w:rsidRPr="0086070D">
        <w:rPr>
          <w:rFonts w:ascii="Palatino Linotype" w:hAnsi="Palatino Linotype" w:cs="Arial"/>
          <w:color w:val="000000" w:themeColor="text1"/>
        </w:rPr>
        <w:t>, el Pleno de este Órgano Garante acordó la acumulación de los recursos de revisión a la Comisionada María del Rosario Mejía Ayala a efecto de presentar al Pleno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 , que señala:</w:t>
      </w:r>
    </w:p>
    <w:p w14:paraId="1A50D219" w14:textId="77777777" w:rsidR="00E74B41" w:rsidRPr="00E74B41" w:rsidRDefault="00E74B41" w:rsidP="00E74B41">
      <w:pPr>
        <w:pStyle w:val="Prrafodelista"/>
        <w:rPr>
          <w:rFonts w:ascii="Palatino Linotype" w:hAnsi="Palatino Linotype" w:cs="Arial"/>
          <w:color w:val="000000" w:themeColor="text1"/>
        </w:rPr>
      </w:pPr>
    </w:p>
    <w:p w14:paraId="27DAC23C"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ONCE. El Instituto, para mejor resolver y evitar la emisión de resoluciones contradictorias, podrá acordar la acumulación de los expedientes de recursos de revisión, de oficio o a petición de parte cuando:</w:t>
      </w:r>
    </w:p>
    <w:p w14:paraId="0E5A47F9"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w:t>
      </w:r>
    </w:p>
    <w:p w14:paraId="3887DC92"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c) Cuando se trate del mismo solicitante, el mismo SUJETO OBLIGADO, aunque se trate de solicitudes diversas;</w:t>
      </w:r>
    </w:p>
    <w:p w14:paraId="4F25A0F5"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w:t>
      </w:r>
    </w:p>
    <w:p w14:paraId="68B08871" w14:textId="77777777" w:rsidR="00E74B41" w:rsidRPr="00E74B41" w:rsidRDefault="00E74B41" w:rsidP="00E74B41">
      <w:pPr>
        <w:pStyle w:val="Prrafodelista"/>
        <w:spacing w:line="360" w:lineRule="auto"/>
        <w:ind w:left="0"/>
        <w:jc w:val="both"/>
        <w:rPr>
          <w:rFonts w:ascii="Palatino Linotype" w:hAnsi="Palatino Linotype" w:cs="Arial"/>
          <w:color w:val="000000" w:themeColor="text1"/>
        </w:rPr>
      </w:pPr>
    </w:p>
    <w:p w14:paraId="719CC1A0" w14:textId="149966BF"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5BD032C" w14:textId="77777777" w:rsidR="00E74B41" w:rsidRPr="00E74B41" w:rsidRDefault="00E74B41" w:rsidP="00E74B41">
      <w:pPr>
        <w:spacing w:line="360" w:lineRule="auto"/>
        <w:jc w:val="both"/>
        <w:rPr>
          <w:rFonts w:ascii="Palatino Linotype" w:hAnsi="Palatino Linotype" w:cs="Arial"/>
          <w:color w:val="000000" w:themeColor="text1"/>
        </w:rPr>
      </w:pPr>
    </w:p>
    <w:p w14:paraId="5F2F8620" w14:textId="77777777" w:rsidR="00E74B41" w:rsidRPr="00736D6D"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736D6D">
        <w:rPr>
          <w:rFonts w:ascii="Palatino Linotype" w:hAnsi="Palatino Linotype" w:cs="Arial"/>
          <w:b/>
          <w:i/>
          <w:color w:val="000000" w:themeColor="text1"/>
          <w:sz w:val="22"/>
        </w:rPr>
        <w:lastRenderedPageBreak/>
        <w:t>Código de Procedimientos Administrativos del Estado de México</w:t>
      </w:r>
    </w:p>
    <w:p w14:paraId="3D395CFB"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CB0DD7A" w14:textId="77777777" w:rsidR="00E74B41" w:rsidRPr="00E74B41" w:rsidRDefault="00E74B41" w:rsidP="00E74B41">
      <w:pPr>
        <w:spacing w:line="360" w:lineRule="auto"/>
        <w:ind w:left="567" w:right="616"/>
        <w:jc w:val="both"/>
        <w:rPr>
          <w:rFonts w:ascii="Palatino Linotype" w:hAnsi="Palatino Linotype" w:cs="Arial"/>
          <w:i/>
          <w:color w:val="000000" w:themeColor="text1"/>
          <w:sz w:val="22"/>
        </w:rPr>
      </w:pPr>
    </w:p>
    <w:p w14:paraId="082D786D" w14:textId="77777777" w:rsidR="00E74B41" w:rsidRPr="00736D6D"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736D6D">
        <w:rPr>
          <w:rFonts w:ascii="Palatino Linotype" w:hAnsi="Palatino Linotype" w:cs="Arial"/>
          <w:b/>
          <w:i/>
          <w:color w:val="000000" w:themeColor="text1"/>
          <w:sz w:val="22"/>
        </w:rPr>
        <w:t xml:space="preserve">Ley de Transparencia y Acceso a la Información Pública del Estado de México y Municipios </w:t>
      </w:r>
    </w:p>
    <w:p w14:paraId="53719EAD"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“Artículo 195. En la tramitación del recurso de revisión se aplicarán supletoriamente las disposiciones contenidas en el Código de Procedimientos Administrativos del Estado de México.”</w:t>
      </w:r>
    </w:p>
    <w:p w14:paraId="48E12BB6" w14:textId="77777777" w:rsidR="00E74B41" w:rsidRPr="00E74B41"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E74B41">
        <w:rPr>
          <w:rFonts w:ascii="Palatino Linotype" w:hAnsi="Palatino Linotype" w:cs="Arial"/>
          <w:i/>
          <w:color w:val="000000" w:themeColor="text1"/>
          <w:sz w:val="22"/>
        </w:rPr>
        <w:t>(Énfasis añadido)</w:t>
      </w:r>
    </w:p>
    <w:p w14:paraId="6AC6908F" w14:textId="77777777" w:rsidR="00E74B41" w:rsidRPr="00E74B41" w:rsidRDefault="00E74B41" w:rsidP="00E74B41">
      <w:pPr>
        <w:pStyle w:val="Prrafodelista"/>
        <w:spacing w:line="360" w:lineRule="auto"/>
        <w:ind w:left="0"/>
        <w:jc w:val="both"/>
        <w:rPr>
          <w:rFonts w:ascii="Palatino Linotype" w:hAnsi="Palatino Linotype" w:cs="Arial"/>
          <w:color w:val="000000" w:themeColor="text1"/>
        </w:rPr>
      </w:pPr>
    </w:p>
    <w:p w14:paraId="0156CF4B" w14:textId="5C85D6B3"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El SUJETO OBLIGADO en los recursos de revisión </w:t>
      </w:r>
      <w:r w:rsidR="001F62B0" w:rsidRPr="001F62B0">
        <w:rPr>
          <w:rFonts w:ascii="Palatino Linotype" w:eastAsia="Calibri" w:hAnsi="Palatino Linotype" w:cs="Arial"/>
          <w:b/>
          <w:lang w:val="es-ES"/>
        </w:rPr>
        <w:t>13328</w:t>
      </w:r>
      <w:r w:rsidR="001F62B0" w:rsidRPr="001F62B0">
        <w:rPr>
          <w:rFonts w:ascii="Palatino Linotype" w:hAnsi="Palatino Linotype"/>
          <w:b/>
          <w:szCs w:val="22"/>
        </w:rPr>
        <w:t>/INFOEM/IP/RR/2022</w:t>
      </w:r>
      <w:r w:rsidR="001F62B0">
        <w:rPr>
          <w:rFonts w:ascii="Palatino Linotype" w:hAnsi="Palatino Linotype" w:cs="Arial"/>
          <w:b/>
          <w:color w:val="000000" w:themeColor="text1"/>
          <w:sz w:val="32"/>
        </w:rPr>
        <w:t xml:space="preserve"> </w:t>
      </w:r>
      <w:r w:rsidR="001F62B0" w:rsidRPr="001F62B0">
        <w:rPr>
          <w:rFonts w:ascii="Palatino Linotype" w:hAnsi="Palatino Linotype" w:cs="Arial"/>
          <w:b/>
          <w:color w:val="000000" w:themeColor="text1"/>
        </w:rPr>
        <w:t>y</w:t>
      </w:r>
      <w:r w:rsidR="004B2CE4">
        <w:rPr>
          <w:rFonts w:ascii="Palatino Linotype" w:hAnsi="Palatino Linotype" w:cs="Arial"/>
          <w:b/>
          <w:color w:val="000000" w:themeColor="text1"/>
          <w:sz w:val="32"/>
        </w:rPr>
        <w:t xml:space="preserve"> </w:t>
      </w:r>
      <w:r w:rsidR="001F62B0">
        <w:rPr>
          <w:rFonts w:ascii="Palatino Linotype" w:hAnsi="Palatino Linotype" w:cs="Arial"/>
          <w:b/>
          <w:color w:val="000000" w:themeColor="text1"/>
        </w:rPr>
        <w:t>13329</w:t>
      </w:r>
      <w:r w:rsidR="001F62B0" w:rsidRPr="002A20E7">
        <w:rPr>
          <w:rFonts w:ascii="Palatino Linotype" w:hAnsi="Palatino Linotype"/>
          <w:b/>
          <w:szCs w:val="22"/>
        </w:rPr>
        <w:t>/INFOEM/IP/RR/202</w:t>
      </w:r>
      <w:r w:rsidR="001F62B0">
        <w:rPr>
          <w:rFonts w:ascii="Palatino Linotype" w:hAnsi="Palatino Linotype"/>
          <w:b/>
          <w:szCs w:val="22"/>
        </w:rPr>
        <w:t>2</w:t>
      </w:r>
      <w:r w:rsidR="004B2CE4">
        <w:rPr>
          <w:rFonts w:ascii="Palatino Linotype" w:hAnsi="Palatino Linotype"/>
          <w:b/>
        </w:rPr>
        <w:t xml:space="preserve"> </w:t>
      </w:r>
      <w:r w:rsidRPr="00E74B41">
        <w:rPr>
          <w:rFonts w:ascii="Palatino Linotype" w:hAnsi="Palatino Linotype" w:cs="Arial"/>
          <w:color w:val="000000" w:themeColor="text1"/>
        </w:rPr>
        <w:t xml:space="preserve">rindió su informe justificado </w:t>
      </w:r>
      <w:r w:rsidR="004B2CE4">
        <w:rPr>
          <w:rFonts w:ascii="Palatino Linotype" w:hAnsi="Palatino Linotype" w:cs="Arial"/>
          <w:color w:val="000000" w:themeColor="text1"/>
        </w:rPr>
        <w:t xml:space="preserve">el </w:t>
      </w:r>
      <w:r w:rsidR="00AB24C6">
        <w:rPr>
          <w:rFonts w:ascii="Palatino Linotype" w:hAnsi="Palatino Linotype" w:cs="Arial"/>
          <w:color w:val="000000" w:themeColor="text1"/>
        </w:rPr>
        <w:t>trece (13) y catorce (14) de febrero de dos mil veintidós,</w:t>
      </w:r>
      <w:r w:rsidR="004B2CE4">
        <w:rPr>
          <w:rFonts w:ascii="Palatino Linotype" w:hAnsi="Palatino Linotype" w:cs="Arial"/>
          <w:color w:val="000000" w:themeColor="text1"/>
        </w:rPr>
        <w:t xml:space="preserve"> </w:t>
      </w:r>
      <w:r w:rsidRPr="00E74B41">
        <w:rPr>
          <w:rFonts w:ascii="Palatino Linotype" w:hAnsi="Palatino Linotype" w:cs="Arial"/>
          <w:color w:val="000000" w:themeColor="text1"/>
        </w:rPr>
        <w:t xml:space="preserve">los cuales se pusieron a la vista del particular el </w:t>
      </w:r>
      <w:r w:rsidR="00AB24C6">
        <w:rPr>
          <w:rFonts w:ascii="Palatino Linotype" w:hAnsi="Palatino Linotype" w:cs="Arial"/>
          <w:color w:val="000000" w:themeColor="text1"/>
        </w:rPr>
        <w:t>veintisiete</w:t>
      </w:r>
      <w:r w:rsidRPr="00E74B41">
        <w:rPr>
          <w:rFonts w:ascii="Palatino Linotype" w:hAnsi="Palatino Linotype" w:cs="Arial"/>
          <w:color w:val="000000" w:themeColor="text1"/>
        </w:rPr>
        <w:t xml:space="preserve"> (</w:t>
      </w:r>
      <w:r w:rsidR="004B2CE4">
        <w:rPr>
          <w:rFonts w:ascii="Palatino Linotype" w:hAnsi="Palatino Linotype" w:cs="Arial"/>
          <w:color w:val="000000" w:themeColor="text1"/>
        </w:rPr>
        <w:t>2</w:t>
      </w:r>
      <w:r w:rsidR="00AB24C6">
        <w:rPr>
          <w:rFonts w:ascii="Palatino Linotype" w:hAnsi="Palatino Linotype" w:cs="Arial"/>
          <w:color w:val="000000" w:themeColor="text1"/>
        </w:rPr>
        <w:t>7</w:t>
      </w:r>
      <w:r w:rsidRPr="00E74B41">
        <w:rPr>
          <w:rFonts w:ascii="Palatino Linotype" w:hAnsi="Palatino Linotype" w:cs="Arial"/>
          <w:color w:val="000000" w:themeColor="text1"/>
        </w:rPr>
        <w:t xml:space="preserve">) de </w:t>
      </w:r>
      <w:r w:rsidR="00AB24C6">
        <w:rPr>
          <w:rFonts w:ascii="Palatino Linotype" w:hAnsi="Palatino Linotype" w:cs="Arial"/>
          <w:color w:val="000000" w:themeColor="text1"/>
        </w:rPr>
        <w:t>septiembre</w:t>
      </w:r>
      <w:r w:rsidR="002D7079">
        <w:rPr>
          <w:rFonts w:ascii="Palatino Linotype" w:hAnsi="Palatino Linotype" w:cs="Arial"/>
          <w:color w:val="000000" w:themeColor="text1"/>
        </w:rPr>
        <w:t xml:space="preserve"> </w:t>
      </w:r>
      <w:r w:rsidR="00AB24C6">
        <w:rPr>
          <w:rFonts w:ascii="Palatino Linotype" w:hAnsi="Palatino Linotype" w:cs="Arial"/>
          <w:color w:val="000000" w:themeColor="text1"/>
        </w:rPr>
        <w:t>de dos mil veintitrés</w:t>
      </w:r>
      <w:r w:rsidRPr="00E74B41">
        <w:rPr>
          <w:rFonts w:ascii="Palatino Linotype" w:hAnsi="Palatino Linotype" w:cs="Arial"/>
          <w:color w:val="000000" w:themeColor="text1"/>
        </w:rPr>
        <w:t>; sin embargo, se describe su contenido medular, siendo el siguiente:</w:t>
      </w:r>
    </w:p>
    <w:p w14:paraId="6ABC0831" w14:textId="77777777" w:rsidR="00E74B41" w:rsidRPr="00D97D8E" w:rsidRDefault="00E74B41" w:rsidP="00E74B41">
      <w:pPr>
        <w:pStyle w:val="Prrafodelista"/>
        <w:spacing w:line="360" w:lineRule="auto"/>
        <w:ind w:left="0"/>
        <w:jc w:val="both"/>
        <w:rPr>
          <w:rFonts w:ascii="Palatino Linotype" w:hAnsi="Palatino Linotype" w:cs="Arial"/>
          <w:color w:val="000000" w:themeColor="text1"/>
          <w:sz w:val="22"/>
        </w:rPr>
      </w:pPr>
    </w:p>
    <w:p w14:paraId="6A814EED" w14:textId="42A06A39" w:rsidR="00495E0B" w:rsidRPr="00D97D8E" w:rsidRDefault="001F62B0" w:rsidP="00E74B41">
      <w:pPr>
        <w:pStyle w:val="Prrafodelista"/>
        <w:spacing w:line="360" w:lineRule="auto"/>
        <w:ind w:left="0"/>
        <w:jc w:val="both"/>
        <w:rPr>
          <w:rFonts w:ascii="Palatino Linotype" w:hAnsi="Palatino Linotype" w:cs="Arial"/>
          <w:color w:val="000000" w:themeColor="text1"/>
          <w:sz w:val="22"/>
        </w:rPr>
      </w:pPr>
      <w:r w:rsidRPr="00D97D8E">
        <w:rPr>
          <w:rFonts w:ascii="Palatino Linotype" w:eastAsia="Calibri" w:hAnsi="Palatino Linotype" w:cs="Arial"/>
          <w:b/>
          <w:sz w:val="22"/>
          <w:lang w:val="es-ES"/>
        </w:rPr>
        <w:t>13328</w:t>
      </w:r>
      <w:r w:rsidRPr="00D97D8E">
        <w:rPr>
          <w:rFonts w:ascii="Palatino Linotype" w:hAnsi="Palatino Linotype"/>
          <w:b/>
          <w:sz w:val="22"/>
          <w:szCs w:val="22"/>
        </w:rPr>
        <w:t>/INFOEM/IP/RR/2022</w:t>
      </w:r>
      <w:r w:rsidR="00495E0B" w:rsidRPr="00D97D8E">
        <w:rPr>
          <w:rFonts w:ascii="Palatino Linotype" w:hAnsi="Palatino Linotype"/>
          <w:b/>
          <w:sz w:val="22"/>
          <w:szCs w:val="22"/>
        </w:rPr>
        <w:t xml:space="preserve">: </w:t>
      </w:r>
    </w:p>
    <w:p w14:paraId="4B8BD47B" w14:textId="75B01E40" w:rsidR="008403C5" w:rsidRPr="00D97D8E" w:rsidRDefault="008403C5" w:rsidP="008403C5">
      <w:pPr>
        <w:pStyle w:val="Prrafodelista"/>
        <w:numPr>
          <w:ilvl w:val="0"/>
          <w:numId w:val="35"/>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 xml:space="preserve">convenios firmados 11-1726-08-2022-161331 (1).pdf: </w:t>
      </w:r>
      <w:r w:rsidRPr="00D97D8E">
        <w:rPr>
          <w:rFonts w:ascii="Palatino Linotype" w:hAnsi="Palatino Linotype" w:cs="Arial"/>
          <w:color w:val="000000" w:themeColor="text1"/>
          <w:sz w:val="22"/>
        </w:rPr>
        <w:t>Documento denominado Convenios firmados por la Secretaría de Medio Ambiente durante el periodo 2011-2017, que contiene un listado con el nombre del convenio, Unidad Administrativa y la fecha.</w:t>
      </w:r>
    </w:p>
    <w:p w14:paraId="671F6D0B" w14:textId="02CEC5CE" w:rsidR="008403C5" w:rsidRPr="00D97D8E" w:rsidRDefault="008403C5" w:rsidP="008403C5">
      <w:pPr>
        <w:pStyle w:val="Prrafodelista"/>
        <w:numPr>
          <w:ilvl w:val="0"/>
          <w:numId w:val="35"/>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lastRenderedPageBreak/>
        <w:t xml:space="preserve">informe justificado 13328 (1).pdf: </w:t>
      </w:r>
      <w:r w:rsidRPr="00D97D8E">
        <w:rPr>
          <w:rFonts w:ascii="Palatino Linotype" w:hAnsi="Palatino Linotype" w:cs="Arial"/>
          <w:color w:val="000000" w:themeColor="text1"/>
          <w:sz w:val="22"/>
        </w:rPr>
        <w:t>Documento firmado por el Titular de la Unidad de Transparencia mediante el cual rinde su informe justificado, en el que se hace del conocimiento que se ordenó perfeccionar la búsqueda de la información en las áreas administrativas del Sujeto Obligado.</w:t>
      </w:r>
      <w:r w:rsidRPr="00D97D8E">
        <w:rPr>
          <w:rFonts w:ascii="Palatino Linotype" w:hAnsi="Palatino Linotype" w:cs="Arial"/>
          <w:b/>
          <w:color w:val="000000" w:themeColor="text1"/>
          <w:sz w:val="22"/>
        </w:rPr>
        <w:t xml:space="preserve"> </w:t>
      </w:r>
      <w:r w:rsidRPr="00D97D8E">
        <w:rPr>
          <w:rFonts w:ascii="Palatino Linotype" w:hAnsi="Palatino Linotype" w:cs="Arial"/>
          <w:b/>
          <w:color w:val="000000" w:themeColor="text1"/>
          <w:sz w:val="22"/>
        </w:rPr>
        <w:tab/>
      </w:r>
    </w:p>
    <w:p w14:paraId="69494281" w14:textId="6CDB4D88" w:rsidR="008403C5" w:rsidRPr="00D97D8E" w:rsidRDefault="008403C5" w:rsidP="008403C5">
      <w:pPr>
        <w:pStyle w:val="Prrafodelista"/>
        <w:numPr>
          <w:ilvl w:val="0"/>
          <w:numId w:val="35"/>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1332802-14-202</w:t>
      </w:r>
      <w:r w:rsidR="00256E0B" w:rsidRPr="00D97D8E">
        <w:rPr>
          <w:rFonts w:ascii="Palatino Linotype" w:hAnsi="Palatino Linotype" w:cs="Arial"/>
          <w:b/>
          <w:color w:val="000000" w:themeColor="text1"/>
          <w:sz w:val="22"/>
        </w:rPr>
        <w:t>2</w:t>
      </w:r>
      <w:r w:rsidRPr="00D97D8E">
        <w:rPr>
          <w:rFonts w:ascii="Palatino Linotype" w:hAnsi="Palatino Linotype" w:cs="Arial"/>
          <w:b/>
          <w:color w:val="000000" w:themeColor="text1"/>
          <w:sz w:val="22"/>
        </w:rPr>
        <w:t xml:space="preserve">-164733.pdf: </w:t>
      </w:r>
      <w:r w:rsidRPr="00D97D8E">
        <w:rPr>
          <w:rFonts w:ascii="Palatino Linotype" w:hAnsi="Palatino Linotype" w:cs="Arial"/>
          <w:color w:val="000000" w:themeColor="text1"/>
          <w:sz w:val="22"/>
        </w:rPr>
        <w:t>Contiene una captura de pantalla de la etapa de manifestaciones en el que se advierten los documentos remitidos por la Unidad de Transparencia.</w:t>
      </w:r>
    </w:p>
    <w:p w14:paraId="5715F4ED" w14:textId="77777777" w:rsidR="00495E0B" w:rsidRPr="00D97D8E" w:rsidRDefault="00495E0B" w:rsidP="00495E0B">
      <w:pPr>
        <w:spacing w:line="360" w:lineRule="auto"/>
        <w:jc w:val="both"/>
        <w:rPr>
          <w:rFonts w:ascii="Palatino Linotype" w:hAnsi="Palatino Linotype" w:cs="Arial"/>
          <w:b/>
          <w:color w:val="000000" w:themeColor="text1"/>
          <w:sz w:val="22"/>
        </w:rPr>
      </w:pPr>
    </w:p>
    <w:p w14:paraId="3944976B" w14:textId="465A3F08" w:rsidR="00495E0B" w:rsidRPr="00D97D8E" w:rsidRDefault="001F62B0" w:rsidP="00495E0B">
      <w:p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13329</w:t>
      </w:r>
      <w:r w:rsidRPr="00D97D8E">
        <w:rPr>
          <w:rFonts w:ascii="Palatino Linotype" w:hAnsi="Palatino Linotype"/>
          <w:b/>
          <w:sz w:val="22"/>
          <w:szCs w:val="22"/>
        </w:rPr>
        <w:t>/INFOEM/IP/RR/2022</w:t>
      </w:r>
    </w:p>
    <w:p w14:paraId="22010EDE" w14:textId="77777777" w:rsidR="008403C5" w:rsidRPr="00D97D8E" w:rsidRDefault="008403C5" w:rsidP="008403C5">
      <w:pPr>
        <w:pStyle w:val="Prrafodelista"/>
        <w:numPr>
          <w:ilvl w:val="0"/>
          <w:numId w:val="40"/>
        </w:numPr>
        <w:spacing w:line="360" w:lineRule="auto"/>
        <w:jc w:val="both"/>
        <w:rPr>
          <w:rFonts w:ascii="Palatino Linotype" w:hAnsi="Palatino Linotype" w:cs="Arial"/>
          <w:color w:val="000000" w:themeColor="text1"/>
          <w:sz w:val="22"/>
        </w:rPr>
      </w:pPr>
      <w:r w:rsidRPr="00D97D8E">
        <w:rPr>
          <w:rFonts w:ascii="Palatino Linotype" w:hAnsi="Palatino Linotype" w:cs="Arial"/>
          <w:b/>
          <w:color w:val="000000" w:themeColor="text1"/>
          <w:sz w:val="22"/>
        </w:rPr>
        <w:t xml:space="preserve">acta 2526-08-2022-210028.pdf: </w:t>
      </w:r>
      <w:r w:rsidRPr="00D97D8E">
        <w:rPr>
          <w:rFonts w:ascii="Palatino Linotype" w:hAnsi="Palatino Linotype" w:cs="Arial"/>
          <w:color w:val="000000" w:themeColor="text1"/>
          <w:sz w:val="22"/>
        </w:rPr>
        <w:t>Contiene el acta de la Vigésima Segunda Sesión extraordinaria del Comité de Transparencia de la Secretaría del Medio Ambiente mediante la cual, en el punto 9 del orden del día se propone la inexistencia de la información requerida en la solicitud 00303/SMA/IP/2022</w:t>
      </w:r>
    </w:p>
    <w:p w14:paraId="2C3C9F9B" w14:textId="10C4DF4E" w:rsidR="008403C5" w:rsidRPr="00D97D8E" w:rsidRDefault="008403C5" w:rsidP="008403C5">
      <w:pPr>
        <w:pStyle w:val="Prrafodelista"/>
        <w:numPr>
          <w:ilvl w:val="0"/>
          <w:numId w:val="35"/>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 xml:space="preserve">informe justificado 13329.pdf: </w:t>
      </w:r>
      <w:r w:rsidRPr="00D97D8E">
        <w:rPr>
          <w:rFonts w:ascii="Palatino Linotype" w:hAnsi="Palatino Linotype" w:cs="Arial"/>
          <w:color w:val="000000" w:themeColor="text1"/>
          <w:sz w:val="22"/>
        </w:rPr>
        <w:t>Documento suscrito por el Titular de la Unidad de Transparencia mediante el cual refiere que no se cuenta con la información de los convenios requeridos, razón por la que se procedió a emitir el acuerdo de inexistencia.</w:t>
      </w:r>
    </w:p>
    <w:p w14:paraId="558F1332" w14:textId="3BFE0F01" w:rsidR="008403C5" w:rsidRPr="00D97D8E" w:rsidRDefault="008403C5" w:rsidP="008403C5">
      <w:pPr>
        <w:pStyle w:val="Prrafodelista"/>
        <w:numPr>
          <w:ilvl w:val="0"/>
          <w:numId w:val="35"/>
        </w:numPr>
        <w:spacing w:line="360" w:lineRule="auto"/>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1332902-14-202</w:t>
      </w:r>
      <w:r w:rsidR="00256E0B" w:rsidRPr="00D97D8E">
        <w:rPr>
          <w:rFonts w:ascii="Palatino Linotype" w:hAnsi="Palatino Linotype" w:cs="Arial"/>
          <w:b/>
          <w:color w:val="000000" w:themeColor="text1"/>
          <w:sz w:val="22"/>
        </w:rPr>
        <w:t>2</w:t>
      </w:r>
      <w:r w:rsidRPr="00D97D8E">
        <w:rPr>
          <w:rFonts w:ascii="Palatino Linotype" w:hAnsi="Palatino Linotype" w:cs="Arial"/>
          <w:b/>
          <w:color w:val="000000" w:themeColor="text1"/>
          <w:sz w:val="22"/>
        </w:rPr>
        <w:t xml:space="preserve">-164707.pdf: </w:t>
      </w:r>
      <w:r w:rsidRPr="00D97D8E">
        <w:rPr>
          <w:rFonts w:ascii="Palatino Linotype" w:hAnsi="Palatino Linotype" w:cs="Arial"/>
          <w:color w:val="000000" w:themeColor="text1"/>
          <w:sz w:val="22"/>
        </w:rPr>
        <w:t>Contiene una captura de pantalla de la etapa de manifestaciones en el que se advierten los documentos remitidos por la Unidad de Transparencia.</w:t>
      </w:r>
    </w:p>
    <w:p w14:paraId="5D7E5512" w14:textId="77777777" w:rsidR="00D97D8E" w:rsidRPr="00D97D8E" w:rsidRDefault="00D97D8E" w:rsidP="00D97D8E">
      <w:pPr>
        <w:spacing w:line="360" w:lineRule="auto"/>
        <w:ind w:left="360"/>
        <w:jc w:val="both"/>
        <w:rPr>
          <w:rFonts w:ascii="Palatino Linotype" w:hAnsi="Palatino Linotype" w:cs="Arial"/>
          <w:b/>
          <w:color w:val="000000" w:themeColor="text1"/>
          <w:sz w:val="22"/>
        </w:rPr>
      </w:pPr>
    </w:p>
    <w:p w14:paraId="1E9A81CD" w14:textId="150C73E4" w:rsidR="005F0C43"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El</w:t>
      </w:r>
      <w:r w:rsidR="007808CB">
        <w:rPr>
          <w:rFonts w:ascii="Palatino Linotype" w:hAnsi="Palatino Linotype" w:cs="Arial"/>
          <w:color w:val="000000" w:themeColor="text1"/>
        </w:rPr>
        <w:t xml:space="preserve"> </w:t>
      </w:r>
      <w:r w:rsidR="00AB24C6">
        <w:rPr>
          <w:rFonts w:ascii="Palatino Linotype" w:hAnsi="Palatino Linotype" w:cs="Arial"/>
          <w:color w:val="000000" w:themeColor="text1"/>
        </w:rPr>
        <w:t>doce</w:t>
      </w:r>
      <w:r w:rsidR="005F0C43">
        <w:rPr>
          <w:rFonts w:ascii="Palatino Linotype" w:hAnsi="Palatino Linotype" w:cs="Arial"/>
          <w:color w:val="000000" w:themeColor="text1"/>
        </w:rPr>
        <w:t xml:space="preserve"> (</w:t>
      </w:r>
      <w:r w:rsidR="00AB24C6">
        <w:rPr>
          <w:rFonts w:ascii="Palatino Linotype" w:hAnsi="Palatino Linotype" w:cs="Arial"/>
          <w:color w:val="000000" w:themeColor="text1"/>
        </w:rPr>
        <w:t>12</w:t>
      </w:r>
      <w:r w:rsidR="005F0C43">
        <w:rPr>
          <w:rFonts w:ascii="Palatino Linotype" w:hAnsi="Palatino Linotype" w:cs="Arial"/>
          <w:color w:val="000000" w:themeColor="text1"/>
        </w:rPr>
        <w:t xml:space="preserve">) de </w:t>
      </w:r>
      <w:r w:rsidR="00AB24C6">
        <w:rPr>
          <w:rFonts w:ascii="Palatino Linotype" w:hAnsi="Palatino Linotype" w:cs="Arial"/>
          <w:color w:val="000000" w:themeColor="text1"/>
        </w:rPr>
        <w:t>diciembre</w:t>
      </w:r>
      <w:r w:rsidR="005F0C43">
        <w:rPr>
          <w:rFonts w:ascii="Palatino Linotype" w:hAnsi="Palatino Linotype" w:cs="Arial"/>
          <w:color w:val="000000" w:themeColor="text1"/>
        </w:rPr>
        <w:t xml:space="preserve"> de dos mil </w:t>
      </w:r>
      <w:r w:rsidR="00EB1D4C">
        <w:rPr>
          <w:rFonts w:ascii="Palatino Linotype" w:hAnsi="Palatino Linotype" w:cs="Arial"/>
          <w:color w:val="000000" w:themeColor="text1"/>
        </w:rPr>
        <w:t>veintidós</w:t>
      </w:r>
      <w:r w:rsidR="005F0C43">
        <w:rPr>
          <w:rFonts w:ascii="Palatino Linotype" w:hAnsi="Palatino Linotype" w:cs="Arial"/>
          <w:color w:val="000000" w:themeColor="text1"/>
        </w:rPr>
        <w:t>, la Comisionada Ponente notificó el acuerdo de ampliación de plazo para emitir resolución, por un periodo adicional de quince días hábiles.</w:t>
      </w:r>
      <w:r w:rsidRPr="00E74B41">
        <w:rPr>
          <w:rFonts w:ascii="Palatino Linotype" w:hAnsi="Palatino Linotype" w:cs="Arial"/>
          <w:color w:val="000000" w:themeColor="text1"/>
        </w:rPr>
        <w:t xml:space="preserve"> </w:t>
      </w:r>
    </w:p>
    <w:p w14:paraId="004D4A42" w14:textId="77777777" w:rsidR="007D36A7" w:rsidRDefault="007D36A7" w:rsidP="007D36A7">
      <w:pPr>
        <w:pStyle w:val="Prrafodelista"/>
        <w:spacing w:line="360" w:lineRule="auto"/>
        <w:ind w:left="0"/>
        <w:jc w:val="both"/>
        <w:rPr>
          <w:rFonts w:ascii="Palatino Linotype" w:hAnsi="Palatino Linotype" w:cs="Arial"/>
          <w:color w:val="000000" w:themeColor="text1"/>
        </w:rPr>
      </w:pPr>
    </w:p>
    <w:p w14:paraId="7949C947" w14:textId="78A3ABF8" w:rsidR="00E74B41" w:rsidRPr="00AB24C6" w:rsidRDefault="007D36A7" w:rsidP="00AB24C6">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El </w:t>
      </w:r>
      <w:r w:rsidR="00AB24C6">
        <w:rPr>
          <w:rFonts w:ascii="Palatino Linotype" w:hAnsi="Palatino Linotype" w:cs="Arial"/>
          <w:color w:val="000000" w:themeColor="text1"/>
        </w:rPr>
        <w:t>tres</w:t>
      </w:r>
      <w:r>
        <w:rPr>
          <w:rFonts w:ascii="Palatino Linotype" w:hAnsi="Palatino Linotype" w:cs="Arial"/>
          <w:color w:val="000000" w:themeColor="text1"/>
        </w:rPr>
        <w:t xml:space="preserve"> (</w:t>
      </w:r>
      <w:r w:rsidR="00AB24C6">
        <w:rPr>
          <w:rFonts w:ascii="Palatino Linotype" w:hAnsi="Palatino Linotype" w:cs="Arial"/>
          <w:color w:val="000000" w:themeColor="text1"/>
        </w:rPr>
        <w:t>3</w:t>
      </w:r>
      <w:r>
        <w:rPr>
          <w:rFonts w:ascii="Palatino Linotype" w:hAnsi="Palatino Linotype" w:cs="Arial"/>
          <w:color w:val="000000" w:themeColor="text1"/>
        </w:rPr>
        <w:t xml:space="preserve">) de </w:t>
      </w:r>
      <w:r w:rsidR="00AB24C6">
        <w:rPr>
          <w:rFonts w:ascii="Palatino Linotype" w:hAnsi="Palatino Linotype" w:cs="Arial"/>
          <w:color w:val="000000" w:themeColor="text1"/>
        </w:rPr>
        <w:t>septiembre</w:t>
      </w:r>
      <w:r>
        <w:rPr>
          <w:rFonts w:ascii="Palatino Linotype" w:hAnsi="Palatino Linotype" w:cs="Arial"/>
          <w:color w:val="000000" w:themeColor="text1"/>
        </w:rPr>
        <w:t xml:space="preserve"> de dos mil </w:t>
      </w:r>
      <w:r w:rsidR="00EB1D4C">
        <w:rPr>
          <w:rFonts w:ascii="Palatino Linotype" w:hAnsi="Palatino Linotype" w:cs="Arial"/>
          <w:color w:val="000000" w:themeColor="text1"/>
        </w:rPr>
        <w:t>veinti</w:t>
      </w:r>
      <w:r w:rsidR="00AB24C6">
        <w:rPr>
          <w:rFonts w:ascii="Palatino Linotype" w:hAnsi="Palatino Linotype" w:cs="Arial"/>
          <w:color w:val="000000" w:themeColor="text1"/>
        </w:rPr>
        <w:t>trés</w:t>
      </w:r>
      <w:r w:rsidR="00F10728">
        <w:rPr>
          <w:rFonts w:ascii="Palatino Linotype" w:hAnsi="Palatino Linotype" w:cs="Arial"/>
          <w:color w:val="000000" w:themeColor="text1"/>
        </w:rPr>
        <w:t>, se notificó el acuerdo de acum</w:t>
      </w:r>
      <w:r w:rsidR="00AB24C6">
        <w:rPr>
          <w:rFonts w:ascii="Palatino Linotype" w:hAnsi="Palatino Linotype" w:cs="Arial"/>
          <w:color w:val="000000" w:themeColor="text1"/>
        </w:rPr>
        <w:t xml:space="preserve">ulación de recursos de revisión, asimismo, </w:t>
      </w:r>
      <w:r w:rsidR="00E74B41" w:rsidRPr="00AB24C6">
        <w:rPr>
          <w:rFonts w:ascii="Palatino Linotype" w:hAnsi="Palatino Linotype" w:cs="Arial"/>
          <w:color w:val="000000" w:themeColor="text1"/>
        </w:rPr>
        <w:t>la Comisionada Ponente decretó el cierre de instrucción, por lo que turnó la presente resolución para su aprobación, asimismo, se notificó el acuerdo de acumulación de recursos de revisión.</w:t>
      </w:r>
    </w:p>
    <w:p w14:paraId="15B9B18F" w14:textId="77777777" w:rsidR="00F10728" w:rsidRPr="00F10728" w:rsidRDefault="00F10728" w:rsidP="00F10728">
      <w:pPr>
        <w:pStyle w:val="Prrafodelista"/>
        <w:rPr>
          <w:rFonts w:ascii="Palatino Linotype" w:hAnsi="Palatino Linotype" w:cs="Arial"/>
          <w:color w:val="000000" w:themeColor="text1"/>
        </w:rPr>
      </w:pPr>
    </w:p>
    <w:p w14:paraId="2DF83A9F" w14:textId="2262AFB5"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EDA514" w14:textId="77777777" w:rsidR="00E74B41" w:rsidRPr="00E74B41" w:rsidRDefault="00E74B41" w:rsidP="00E74B41">
      <w:pPr>
        <w:spacing w:line="360" w:lineRule="auto"/>
        <w:jc w:val="both"/>
        <w:rPr>
          <w:rFonts w:ascii="Palatino Linotype" w:hAnsi="Palatino Linotype" w:cs="Arial"/>
          <w:color w:val="000000" w:themeColor="text1"/>
        </w:rPr>
      </w:pPr>
    </w:p>
    <w:p w14:paraId="05E2B667" w14:textId="1E849465"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7C417E" w14:textId="77777777" w:rsidR="00E74B41" w:rsidRPr="00E74B41" w:rsidRDefault="00E74B41" w:rsidP="00E74B41">
      <w:pPr>
        <w:spacing w:line="360" w:lineRule="auto"/>
        <w:jc w:val="both"/>
        <w:rPr>
          <w:rFonts w:ascii="Palatino Linotype" w:hAnsi="Palatino Linotype" w:cs="Arial"/>
          <w:color w:val="000000" w:themeColor="text1"/>
        </w:rPr>
      </w:pPr>
    </w:p>
    <w:p w14:paraId="6AE961D4" w14:textId="2BEF898F"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6EE9C5" w14:textId="3255AD7B"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0B077A" w14:textId="77777777" w:rsidR="00E74B41" w:rsidRPr="00E74B41" w:rsidRDefault="00E74B41" w:rsidP="00E74B41">
      <w:pPr>
        <w:spacing w:line="360" w:lineRule="auto"/>
        <w:jc w:val="both"/>
        <w:rPr>
          <w:rFonts w:ascii="Palatino Linotype" w:hAnsi="Palatino Linotype" w:cs="Arial"/>
          <w:color w:val="000000" w:themeColor="text1"/>
        </w:rPr>
      </w:pPr>
    </w:p>
    <w:p w14:paraId="032AB628" w14:textId="62918094"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189AC00D" w14:textId="77777777" w:rsidR="00E74B41" w:rsidRPr="00D97D8E" w:rsidRDefault="00E74B41" w:rsidP="00E74B41">
      <w:pPr>
        <w:spacing w:line="360" w:lineRule="auto"/>
        <w:jc w:val="both"/>
        <w:rPr>
          <w:rFonts w:ascii="Palatino Linotype" w:hAnsi="Palatino Linotype" w:cs="Arial"/>
          <w:color w:val="000000" w:themeColor="text1"/>
          <w:sz w:val="22"/>
        </w:rPr>
      </w:pPr>
    </w:p>
    <w:p w14:paraId="03C669F3" w14:textId="69A15C07" w:rsidR="00E74B41" w:rsidRPr="00D97D8E"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t>Complejidad del asunto: La complejidad de la prueba, la pluralidad de sujetos procesales, el tiempo transcurrido, las características y contexto del recurso.</w:t>
      </w:r>
    </w:p>
    <w:p w14:paraId="6DDB54BC" w14:textId="0964DBEB" w:rsidR="00E74B41" w:rsidRPr="00D97D8E"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t>Actividad Procesal del interesado: Acciones u omisiones del interesado.</w:t>
      </w:r>
    </w:p>
    <w:p w14:paraId="124E98C0" w14:textId="20CFCAB3" w:rsidR="00E74B41" w:rsidRPr="00D97D8E"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t>Conducta de la Autoridad: Las Acciones u omisiones realizadas en el procedimiento. Así como si la autoridad actuó con la debida diligencia.</w:t>
      </w:r>
    </w:p>
    <w:p w14:paraId="6C46B951" w14:textId="737CCCDA" w:rsidR="00E74B41" w:rsidRPr="00D97D8E"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t>La afectación generada en la situación jurídica de la persona involucrada en el proceso: Violación a sus derechos humanos.</w:t>
      </w:r>
    </w:p>
    <w:p w14:paraId="704041C6" w14:textId="77777777" w:rsidR="00E74B41" w:rsidRPr="00D97D8E" w:rsidRDefault="00E74B41" w:rsidP="00E74B41">
      <w:pPr>
        <w:spacing w:line="360" w:lineRule="auto"/>
        <w:jc w:val="both"/>
        <w:rPr>
          <w:rFonts w:ascii="Palatino Linotype" w:hAnsi="Palatino Linotype" w:cs="Arial"/>
          <w:color w:val="000000" w:themeColor="text1"/>
          <w:sz w:val="22"/>
        </w:rPr>
      </w:pPr>
    </w:p>
    <w:p w14:paraId="6C2831C1" w14:textId="177D2854"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099772" w14:textId="77777777" w:rsidR="00E74B41" w:rsidRPr="00E74B41" w:rsidRDefault="00E74B41" w:rsidP="00E74B41">
      <w:pPr>
        <w:spacing w:line="360" w:lineRule="auto"/>
        <w:jc w:val="both"/>
        <w:rPr>
          <w:rFonts w:ascii="Palatino Linotype" w:hAnsi="Palatino Linotype" w:cs="Arial"/>
          <w:color w:val="000000" w:themeColor="text1"/>
        </w:rPr>
      </w:pPr>
    </w:p>
    <w:p w14:paraId="5403E4A0" w14:textId="02D50CDD"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 xml:space="preserve">Argumento que encuentra sustento en la jurisprudencia P./J. 32/92 emitida por el Pleno de la Suprema Corte de Justicia de la Nación de rubro </w:t>
      </w:r>
      <w:r w:rsidRPr="00736D6D">
        <w:rPr>
          <w:rFonts w:ascii="Palatino Linotype" w:hAnsi="Palatino Linotype" w:cs="Arial"/>
          <w:b/>
          <w:color w:val="000000" w:themeColor="text1"/>
        </w:rPr>
        <w:t>“TÉRMINOS PROCESALES. PARA DETERMINAR SI UN FUNCIONARIO JUDICIAL ACTUÓ INDEBIDAMENTE POR NO RESPETARLOS SE DEBE ATENDER AL PRESUPUESTO QUE CONSIDERÓ EL LEGISLADOR AL FIJARLOS Y LAS CARACTERÍSTICAS DEL CASO.”,</w:t>
      </w:r>
      <w:r w:rsidRPr="00E74B41">
        <w:rPr>
          <w:rFonts w:ascii="Palatino Linotype" w:hAnsi="Palatino Linotype" w:cs="Arial"/>
          <w:color w:val="000000" w:themeColor="text1"/>
        </w:rPr>
        <w:t xml:space="preserve"> visible en la Gaceta del Seminario Judicial de la Federación con el registro digital 205635.</w:t>
      </w:r>
    </w:p>
    <w:p w14:paraId="3466C3C3" w14:textId="77777777" w:rsidR="00E74B41" w:rsidRPr="00E74B41" w:rsidRDefault="00E74B41" w:rsidP="00E74B41">
      <w:pPr>
        <w:spacing w:line="360" w:lineRule="auto"/>
        <w:jc w:val="both"/>
        <w:rPr>
          <w:rFonts w:ascii="Palatino Linotype" w:hAnsi="Palatino Linotype" w:cs="Arial"/>
          <w:color w:val="000000" w:themeColor="text1"/>
        </w:rPr>
      </w:pPr>
    </w:p>
    <w:p w14:paraId="6570F06C" w14:textId="66F592C5"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C43E3F" w14:textId="77777777" w:rsidR="00E74B41" w:rsidRPr="00E74B41" w:rsidRDefault="00E74B41" w:rsidP="00E74B41">
      <w:pPr>
        <w:spacing w:line="360" w:lineRule="auto"/>
        <w:jc w:val="both"/>
        <w:rPr>
          <w:rFonts w:ascii="Palatino Linotype" w:hAnsi="Palatino Linotype" w:cs="Arial"/>
          <w:color w:val="000000" w:themeColor="text1"/>
        </w:rPr>
      </w:pPr>
    </w:p>
    <w:p w14:paraId="5B94B6A6" w14:textId="1FF8B2A2"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Al respecto, también son de considerar los criterios sostenidos por el Cuarto Tribunal Colegiado en Materia Administrativa del Primer Circuito, cuyos rubros y datos de identificación son los siguientes:</w:t>
      </w:r>
    </w:p>
    <w:p w14:paraId="732FEE3F" w14:textId="77777777" w:rsidR="00E74B41" w:rsidRPr="00E74B41" w:rsidRDefault="00E74B41" w:rsidP="00E74B41">
      <w:pPr>
        <w:spacing w:line="360" w:lineRule="auto"/>
        <w:jc w:val="both"/>
        <w:rPr>
          <w:rFonts w:ascii="Palatino Linotype" w:hAnsi="Palatino Linotype" w:cs="Arial"/>
          <w:color w:val="000000" w:themeColor="text1"/>
        </w:rPr>
      </w:pPr>
    </w:p>
    <w:p w14:paraId="10D3CEF7" w14:textId="77777777" w:rsidR="00E74B41" w:rsidRPr="00D97D8E" w:rsidRDefault="00E74B41" w:rsidP="00E74B41">
      <w:pPr>
        <w:pStyle w:val="Prrafodelista"/>
        <w:spacing w:line="360" w:lineRule="auto"/>
        <w:ind w:left="284"/>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lastRenderedPageBreak/>
        <w:t>“</w:t>
      </w:r>
      <w:r w:rsidRPr="00D97D8E">
        <w:rPr>
          <w:rFonts w:ascii="Palatino Linotype" w:hAnsi="Palatino Linotype" w:cs="Arial"/>
          <w:b/>
          <w:color w:val="000000" w:themeColor="text1"/>
          <w:sz w:val="22"/>
        </w:rPr>
        <w:t>PLAZO RAZONABLE PARA RESOLVER. DIMENSIÓN Y EFECTOS DE ESTE CONCEPTO CUANDO SE ADUCE EXCESIVA CARGA DE TRABAJO</w:t>
      </w:r>
      <w:r w:rsidRPr="00D97D8E">
        <w:rPr>
          <w:rFonts w:ascii="Palatino Linotype" w:hAnsi="Palatino Linotype" w:cs="Arial"/>
          <w:color w:val="000000" w:themeColor="text1"/>
          <w:sz w:val="22"/>
        </w:rPr>
        <w:t>.” consultable en el Seminario Judicial de la Federación y su gaceta, con el registro digital 2002351.</w:t>
      </w:r>
    </w:p>
    <w:p w14:paraId="28B798BF" w14:textId="77777777" w:rsidR="00E74B41" w:rsidRPr="00D97D8E" w:rsidRDefault="00E74B41" w:rsidP="00E74B41">
      <w:pPr>
        <w:pStyle w:val="Prrafodelista"/>
        <w:spacing w:line="360" w:lineRule="auto"/>
        <w:ind w:left="284"/>
        <w:jc w:val="both"/>
        <w:rPr>
          <w:rFonts w:ascii="Palatino Linotype" w:hAnsi="Palatino Linotype" w:cs="Arial"/>
          <w:color w:val="000000" w:themeColor="text1"/>
          <w:sz w:val="22"/>
        </w:rPr>
      </w:pPr>
      <w:r w:rsidRPr="00D97D8E">
        <w:rPr>
          <w:rFonts w:ascii="Palatino Linotype" w:hAnsi="Palatino Linotype" w:cs="Arial"/>
          <w:color w:val="000000" w:themeColor="text1"/>
          <w:sz w:val="22"/>
        </w:rPr>
        <w:t>“</w:t>
      </w:r>
      <w:r w:rsidRPr="00D97D8E">
        <w:rPr>
          <w:rFonts w:ascii="Palatino Linotype" w:hAnsi="Palatino Linotype" w:cs="Arial"/>
          <w:b/>
          <w:color w:val="000000" w:themeColor="text1"/>
          <w:sz w:val="22"/>
        </w:rPr>
        <w:t>PLAZO RAZONABLE PARA RESOLVER. CONCEPTO Y ELEMENTOS QUE LO INTEGRAN A LA LUZ DEL DERECHO INTERNACIONAL DE LOS DERECHOS HUMANOS.</w:t>
      </w:r>
      <w:r w:rsidRPr="00D97D8E">
        <w:rPr>
          <w:rFonts w:ascii="Palatino Linotype" w:hAnsi="Palatino Linotype" w:cs="Arial"/>
          <w:color w:val="000000" w:themeColor="text1"/>
          <w:sz w:val="22"/>
        </w:rPr>
        <w:t>”, visible en el Seminario Judicial de la Federación y su gaceta, con el registro digital 2002350.</w:t>
      </w:r>
    </w:p>
    <w:p w14:paraId="266BA803" w14:textId="77777777" w:rsidR="00E74B41" w:rsidRPr="00E74B41" w:rsidRDefault="00E74B41" w:rsidP="00E74B41">
      <w:pPr>
        <w:spacing w:line="360" w:lineRule="auto"/>
        <w:jc w:val="both"/>
        <w:rPr>
          <w:rFonts w:ascii="Palatino Linotype" w:hAnsi="Palatino Linotype" w:cs="Arial"/>
          <w:color w:val="000000" w:themeColor="text1"/>
        </w:rPr>
      </w:pPr>
    </w:p>
    <w:p w14:paraId="0B193FA7" w14:textId="662B8FC4"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62C2D1BB" w14:textId="77777777" w:rsidR="00E74B41" w:rsidRPr="00E74B41" w:rsidRDefault="00E74B41" w:rsidP="00E74B41">
      <w:pPr>
        <w:pStyle w:val="Prrafodelista"/>
        <w:spacing w:line="360" w:lineRule="auto"/>
        <w:ind w:left="0"/>
        <w:jc w:val="both"/>
        <w:rPr>
          <w:rFonts w:ascii="Palatino Linotype" w:hAnsi="Palatino Linotype" w:cs="Arial"/>
          <w:color w:val="000000" w:themeColor="text1"/>
        </w:rPr>
      </w:pPr>
    </w:p>
    <w:p w14:paraId="62ABA4DC" w14:textId="76CAF26A" w:rsidR="00E74B41" w:rsidRPr="00E74B41" w:rsidRDefault="00E74B41" w:rsidP="00E74B41">
      <w:pPr>
        <w:pStyle w:val="Prrafodelista"/>
        <w:spacing w:line="360" w:lineRule="auto"/>
        <w:ind w:left="0"/>
        <w:jc w:val="center"/>
        <w:rPr>
          <w:rFonts w:ascii="Palatino Linotype" w:hAnsi="Palatino Linotype" w:cs="Arial"/>
          <w:b/>
          <w:color w:val="000000" w:themeColor="text1"/>
        </w:rPr>
      </w:pPr>
      <w:r w:rsidRPr="00E74B41">
        <w:rPr>
          <w:rFonts w:ascii="Palatino Linotype" w:hAnsi="Palatino Linotype" w:cs="Arial"/>
          <w:b/>
          <w:color w:val="000000" w:themeColor="text1"/>
        </w:rPr>
        <w:t>CONSIDERANDO</w:t>
      </w:r>
    </w:p>
    <w:p w14:paraId="6DE078CA" w14:textId="77777777" w:rsidR="00E74B41" w:rsidRPr="00E74B41" w:rsidRDefault="00E74B41" w:rsidP="00E74B41">
      <w:pPr>
        <w:spacing w:line="360" w:lineRule="auto"/>
        <w:jc w:val="both"/>
        <w:rPr>
          <w:rFonts w:ascii="Palatino Linotype" w:hAnsi="Palatino Linotype" w:cs="Arial"/>
          <w:color w:val="000000" w:themeColor="text1"/>
        </w:rPr>
      </w:pPr>
    </w:p>
    <w:p w14:paraId="5786DAA9" w14:textId="77777777" w:rsidR="00E74B41" w:rsidRDefault="00E74B41" w:rsidP="00E74B41">
      <w:pPr>
        <w:pStyle w:val="Prrafodelista"/>
        <w:spacing w:line="360" w:lineRule="auto"/>
        <w:ind w:left="0"/>
        <w:jc w:val="both"/>
        <w:rPr>
          <w:rFonts w:ascii="Palatino Linotype" w:hAnsi="Palatino Linotype" w:cs="Arial"/>
          <w:b/>
          <w:color w:val="000000" w:themeColor="text1"/>
        </w:rPr>
      </w:pPr>
      <w:r w:rsidRPr="00E74B41">
        <w:rPr>
          <w:rFonts w:ascii="Palatino Linotype" w:hAnsi="Palatino Linotype" w:cs="Arial"/>
          <w:b/>
          <w:color w:val="000000" w:themeColor="text1"/>
        </w:rPr>
        <w:t>PRIMERO. De la competencia</w:t>
      </w:r>
    </w:p>
    <w:p w14:paraId="33C252F8" w14:textId="77777777" w:rsidR="00E74B41" w:rsidRPr="00E74B41" w:rsidRDefault="00E74B41" w:rsidP="00E74B41">
      <w:pPr>
        <w:pStyle w:val="Prrafodelista"/>
        <w:spacing w:line="360" w:lineRule="auto"/>
        <w:ind w:left="0"/>
        <w:jc w:val="both"/>
        <w:rPr>
          <w:rFonts w:ascii="Palatino Linotype" w:hAnsi="Palatino Linotype" w:cs="Arial"/>
          <w:b/>
          <w:color w:val="000000" w:themeColor="text1"/>
        </w:rPr>
      </w:pPr>
    </w:p>
    <w:p w14:paraId="34A001D0" w14:textId="6DF5203A" w:rsidR="00D96217" w:rsidRPr="00D96217" w:rsidRDefault="00D96217" w:rsidP="00D96217">
      <w:pPr>
        <w:pStyle w:val="Prrafodelista"/>
        <w:numPr>
          <w:ilvl w:val="0"/>
          <w:numId w:val="32"/>
        </w:numPr>
        <w:spacing w:line="360" w:lineRule="auto"/>
        <w:ind w:left="0" w:firstLine="0"/>
        <w:jc w:val="both"/>
        <w:rPr>
          <w:rFonts w:ascii="Palatino Linotype" w:hAnsi="Palatino Linotype" w:cs="Arial"/>
          <w:color w:val="000000" w:themeColor="text1"/>
        </w:rPr>
      </w:pPr>
      <w:r w:rsidRPr="00D96217">
        <w:rPr>
          <w:rFonts w:ascii="Palatino Linotype" w:hAnsi="Palatino Linotype" w:cs="Arial"/>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00562E2B" w:rsidRPr="003A5DA6">
        <w:rPr>
          <w:rFonts w:ascii="Palatino Linotype" w:hAnsi="Palatino Linotype"/>
        </w:rPr>
        <w:t xml:space="preserve">5, párrafos trigésimo segundo y trigésimo tercero, fracciones IV y V, </w:t>
      </w:r>
      <w:r w:rsidRPr="00D96217">
        <w:rPr>
          <w:rFonts w:ascii="Palatino Linotype" w:hAnsi="Palatino Linotype" w:cs="Arial"/>
          <w:color w:val="000000" w:themeColor="text1"/>
        </w:rPr>
        <w:t xml:space="preserve">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w:t>
      </w:r>
      <w:r w:rsidRPr="00D96217">
        <w:rPr>
          <w:rFonts w:ascii="Palatino Linotype" w:hAnsi="Palatino Linotype" w:cs="Arial"/>
          <w:color w:val="000000" w:themeColor="text1"/>
        </w:rPr>
        <w:lastRenderedPageBreak/>
        <w:t>Instituto de Transparencia, Acceso a la Información Pública y Protección de Datos Personales del Estado de México y Municipios.</w:t>
      </w:r>
    </w:p>
    <w:p w14:paraId="79726B51" w14:textId="77777777" w:rsidR="00D96217" w:rsidRDefault="00D96217" w:rsidP="00D96217">
      <w:pPr>
        <w:pStyle w:val="Prrafodelista"/>
        <w:spacing w:line="360" w:lineRule="auto"/>
        <w:ind w:left="0"/>
        <w:jc w:val="both"/>
        <w:rPr>
          <w:rFonts w:ascii="Palatino Linotype" w:hAnsi="Palatino Linotype" w:cs="Arial"/>
          <w:color w:val="000000" w:themeColor="text1"/>
        </w:rPr>
      </w:pPr>
    </w:p>
    <w:p w14:paraId="148023EA" w14:textId="77777777" w:rsidR="00E74B41" w:rsidRPr="00E74B41" w:rsidRDefault="00E74B41" w:rsidP="00E74B41">
      <w:pPr>
        <w:pStyle w:val="Prrafodelista"/>
        <w:spacing w:line="360" w:lineRule="auto"/>
        <w:ind w:left="0"/>
        <w:rPr>
          <w:rFonts w:ascii="Palatino Linotype" w:hAnsi="Palatino Linotype" w:cs="Arial"/>
          <w:b/>
          <w:color w:val="000000" w:themeColor="text1"/>
        </w:rPr>
      </w:pPr>
      <w:r w:rsidRPr="00E74B41">
        <w:rPr>
          <w:rFonts w:ascii="Palatino Linotype" w:hAnsi="Palatino Linotype" w:cs="Arial"/>
          <w:b/>
          <w:color w:val="000000" w:themeColor="text1"/>
        </w:rPr>
        <w:t>SEGUNDO. De la oportunidad y procedencia.</w:t>
      </w:r>
    </w:p>
    <w:p w14:paraId="12EE87C6" w14:textId="77777777" w:rsidR="00E74B41" w:rsidRPr="00E74B41" w:rsidRDefault="00E74B41" w:rsidP="00E74B41">
      <w:pPr>
        <w:spacing w:line="360" w:lineRule="auto"/>
        <w:jc w:val="both"/>
        <w:rPr>
          <w:rFonts w:ascii="Palatino Linotype" w:hAnsi="Palatino Linotype" w:cs="Arial"/>
          <w:color w:val="000000" w:themeColor="text1"/>
        </w:rPr>
      </w:pPr>
    </w:p>
    <w:p w14:paraId="63DB8082" w14:textId="5A3EA29D" w:rsidR="00E74B41" w:rsidRPr="0086070D"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86070D">
        <w:rPr>
          <w:rFonts w:ascii="Palatino Linotype" w:hAnsi="Palatino Linotype" w:cs="Arial"/>
          <w:color w:val="000000" w:themeColor="text1"/>
        </w:rPr>
        <w:t xml:space="preserve">El medio de impugnación fue presentado a través del </w:t>
      </w:r>
      <w:r w:rsidRPr="0086070D">
        <w:rPr>
          <w:rFonts w:ascii="Palatino Linotype" w:hAnsi="Palatino Linotype" w:cs="Arial"/>
          <w:b/>
          <w:color w:val="000000" w:themeColor="text1"/>
        </w:rPr>
        <w:t>SAIMEX</w:t>
      </w:r>
      <w:r w:rsidRPr="0086070D">
        <w:rPr>
          <w:rFonts w:ascii="Palatino Linotype" w:hAnsi="Palatino Linotype" w:cs="Arial"/>
          <w:color w:val="000000" w:themeColor="text1"/>
        </w:rPr>
        <w:t xml:space="preserve"> en el formato previamente aprobado para tal efecto y dentro del plazo legal de quince días hábiles otorgados; siendo así que el </w:t>
      </w:r>
      <w:r w:rsidRPr="0086070D">
        <w:rPr>
          <w:rFonts w:ascii="Palatino Linotype" w:hAnsi="Palatino Linotype" w:cs="Arial"/>
          <w:b/>
          <w:color w:val="000000" w:themeColor="text1"/>
        </w:rPr>
        <w:t>SUJETO OBLIGADO</w:t>
      </w:r>
      <w:r w:rsidRPr="0086070D">
        <w:rPr>
          <w:rFonts w:ascii="Palatino Linotype" w:hAnsi="Palatino Linotype" w:cs="Arial"/>
          <w:color w:val="000000" w:themeColor="text1"/>
        </w:rPr>
        <w:t xml:space="preserve"> entregó respuesta el </w:t>
      </w:r>
      <w:r w:rsidR="00AB24C6">
        <w:rPr>
          <w:rFonts w:ascii="Palatino Linotype" w:hAnsi="Palatino Linotype" w:cs="Arial"/>
          <w:color w:val="000000" w:themeColor="text1"/>
        </w:rPr>
        <w:t>diez</w:t>
      </w:r>
      <w:r w:rsidRPr="0086070D">
        <w:rPr>
          <w:rFonts w:ascii="Palatino Linotype" w:hAnsi="Palatino Linotype" w:cs="Arial"/>
          <w:color w:val="000000" w:themeColor="text1"/>
        </w:rPr>
        <w:t xml:space="preserve"> (</w:t>
      </w:r>
      <w:r w:rsidR="00AB24C6">
        <w:rPr>
          <w:rFonts w:ascii="Palatino Linotype" w:hAnsi="Palatino Linotype" w:cs="Arial"/>
          <w:color w:val="000000" w:themeColor="text1"/>
        </w:rPr>
        <w:t>10</w:t>
      </w:r>
      <w:r w:rsidRPr="0086070D">
        <w:rPr>
          <w:rFonts w:ascii="Palatino Linotype" w:hAnsi="Palatino Linotype" w:cs="Arial"/>
          <w:color w:val="000000" w:themeColor="text1"/>
        </w:rPr>
        <w:t xml:space="preserve">) </w:t>
      </w:r>
      <w:r w:rsidR="00F10728">
        <w:rPr>
          <w:rFonts w:ascii="Palatino Linotype" w:hAnsi="Palatino Linotype" w:cs="Arial"/>
          <w:color w:val="000000" w:themeColor="text1"/>
        </w:rPr>
        <w:t xml:space="preserve">y </w:t>
      </w:r>
      <w:r w:rsidR="00AB24C6">
        <w:rPr>
          <w:rFonts w:ascii="Palatino Linotype" w:hAnsi="Palatino Linotype" w:cs="Arial"/>
          <w:color w:val="000000" w:themeColor="text1"/>
        </w:rPr>
        <w:t>quince</w:t>
      </w:r>
      <w:r w:rsidR="00F10728">
        <w:rPr>
          <w:rFonts w:ascii="Palatino Linotype" w:hAnsi="Palatino Linotype" w:cs="Arial"/>
          <w:color w:val="000000" w:themeColor="text1"/>
        </w:rPr>
        <w:t xml:space="preserve"> (</w:t>
      </w:r>
      <w:r w:rsidR="00AB24C6">
        <w:rPr>
          <w:rFonts w:ascii="Palatino Linotype" w:hAnsi="Palatino Linotype" w:cs="Arial"/>
          <w:color w:val="000000" w:themeColor="text1"/>
        </w:rPr>
        <w:t>15</w:t>
      </w:r>
      <w:r w:rsidR="00F10728">
        <w:rPr>
          <w:rFonts w:ascii="Palatino Linotype" w:hAnsi="Palatino Linotype" w:cs="Arial"/>
          <w:color w:val="000000" w:themeColor="text1"/>
        </w:rPr>
        <w:t>) de</w:t>
      </w:r>
      <w:r w:rsidRPr="0086070D">
        <w:rPr>
          <w:rFonts w:ascii="Palatino Linotype" w:hAnsi="Palatino Linotype" w:cs="Arial"/>
          <w:color w:val="000000" w:themeColor="text1"/>
        </w:rPr>
        <w:t xml:space="preserve"> </w:t>
      </w:r>
      <w:r w:rsidR="00AB24C6">
        <w:rPr>
          <w:rFonts w:ascii="Palatino Linotype" w:hAnsi="Palatino Linotype" w:cs="Arial"/>
          <w:color w:val="000000" w:themeColor="text1"/>
        </w:rPr>
        <w:t>agosto</w:t>
      </w:r>
      <w:r w:rsidR="00F10728" w:rsidRPr="0086070D">
        <w:rPr>
          <w:rFonts w:ascii="Palatino Linotype" w:hAnsi="Palatino Linotype" w:cs="Arial"/>
          <w:color w:val="000000" w:themeColor="text1"/>
        </w:rPr>
        <w:t xml:space="preserve"> </w:t>
      </w:r>
      <w:r w:rsidRPr="0086070D">
        <w:rPr>
          <w:rFonts w:ascii="Palatino Linotype" w:hAnsi="Palatino Linotype" w:cs="Arial"/>
          <w:color w:val="000000" w:themeColor="text1"/>
        </w:rPr>
        <w:t xml:space="preserve">de dos mil </w:t>
      </w:r>
      <w:r w:rsidR="00EB1D4C">
        <w:rPr>
          <w:rFonts w:ascii="Palatino Linotype" w:hAnsi="Palatino Linotype" w:cs="Arial"/>
          <w:color w:val="000000" w:themeColor="text1"/>
        </w:rPr>
        <w:t>veintidós</w:t>
      </w:r>
      <w:r w:rsidRPr="0086070D">
        <w:rPr>
          <w:rFonts w:ascii="Palatino Linotype" w:hAnsi="Palatino Linotype" w:cs="Arial"/>
          <w:color w:val="000000" w:themeColor="text1"/>
        </w:rPr>
        <w:t xml:space="preserve">, de tal forma que el plazo para interponer el recurso de revisión transcurrió del </w:t>
      </w:r>
      <w:r w:rsidR="00AB24C6">
        <w:rPr>
          <w:rFonts w:ascii="Palatino Linotype" w:hAnsi="Palatino Linotype" w:cs="Arial"/>
          <w:color w:val="000000" w:themeColor="text1"/>
        </w:rPr>
        <w:t>once</w:t>
      </w:r>
      <w:r w:rsidRPr="0086070D">
        <w:rPr>
          <w:rFonts w:ascii="Palatino Linotype" w:hAnsi="Palatino Linotype" w:cs="Arial"/>
          <w:color w:val="000000" w:themeColor="text1"/>
        </w:rPr>
        <w:t xml:space="preserve"> (</w:t>
      </w:r>
      <w:r w:rsidR="00AB24C6">
        <w:rPr>
          <w:rFonts w:ascii="Palatino Linotype" w:hAnsi="Palatino Linotype" w:cs="Arial"/>
          <w:color w:val="000000" w:themeColor="text1"/>
        </w:rPr>
        <w:t>11</w:t>
      </w:r>
      <w:r w:rsidR="00F10728">
        <w:rPr>
          <w:rFonts w:ascii="Palatino Linotype" w:hAnsi="Palatino Linotype" w:cs="Arial"/>
          <w:color w:val="000000" w:themeColor="text1"/>
        </w:rPr>
        <w:t xml:space="preserve">) y </w:t>
      </w:r>
      <w:r w:rsidR="00AB24C6">
        <w:rPr>
          <w:rFonts w:ascii="Palatino Linotype" w:hAnsi="Palatino Linotype" w:cs="Arial"/>
          <w:color w:val="000000" w:themeColor="text1"/>
        </w:rPr>
        <w:t>dieciséis</w:t>
      </w:r>
      <w:r w:rsidR="00F10728">
        <w:rPr>
          <w:rFonts w:ascii="Palatino Linotype" w:hAnsi="Palatino Linotype" w:cs="Arial"/>
          <w:color w:val="000000" w:themeColor="text1"/>
        </w:rPr>
        <w:t xml:space="preserve"> (</w:t>
      </w:r>
      <w:r w:rsidR="00AB24C6">
        <w:rPr>
          <w:rFonts w:ascii="Palatino Linotype" w:hAnsi="Palatino Linotype" w:cs="Arial"/>
          <w:color w:val="000000" w:themeColor="text1"/>
        </w:rPr>
        <w:t>16</w:t>
      </w:r>
      <w:r w:rsidR="00F10728">
        <w:rPr>
          <w:rFonts w:ascii="Palatino Linotype" w:hAnsi="Palatino Linotype" w:cs="Arial"/>
          <w:color w:val="000000" w:themeColor="text1"/>
        </w:rPr>
        <w:t xml:space="preserve">) de </w:t>
      </w:r>
      <w:r w:rsidR="00AB24C6">
        <w:rPr>
          <w:rFonts w:ascii="Palatino Linotype" w:hAnsi="Palatino Linotype" w:cs="Arial"/>
          <w:color w:val="000000" w:themeColor="text1"/>
        </w:rPr>
        <w:t>agosto</w:t>
      </w:r>
      <w:r w:rsidR="00F10728">
        <w:rPr>
          <w:rFonts w:ascii="Palatino Linotype" w:hAnsi="Palatino Linotype" w:cs="Arial"/>
          <w:color w:val="000000" w:themeColor="text1"/>
        </w:rPr>
        <w:t xml:space="preserve"> al </w:t>
      </w:r>
      <w:r w:rsidR="00AB24C6">
        <w:rPr>
          <w:rFonts w:ascii="Palatino Linotype" w:hAnsi="Palatino Linotype" w:cs="Arial"/>
          <w:color w:val="000000" w:themeColor="text1"/>
        </w:rPr>
        <w:t>treinta y uno (31) de agosto y cinco (5</w:t>
      </w:r>
      <w:r w:rsidR="00F10728">
        <w:rPr>
          <w:rFonts w:ascii="Palatino Linotype" w:hAnsi="Palatino Linotype" w:cs="Arial"/>
          <w:color w:val="000000" w:themeColor="text1"/>
        </w:rPr>
        <w:t xml:space="preserve">) </w:t>
      </w:r>
      <w:r w:rsidR="00AB24C6">
        <w:rPr>
          <w:rFonts w:ascii="Palatino Linotype" w:hAnsi="Palatino Linotype" w:cs="Arial"/>
          <w:color w:val="000000" w:themeColor="text1"/>
        </w:rPr>
        <w:t>de septiembre respectivamente</w:t>
      </w:r>
      <w:r w:rsidRPr="0086070D">
        <w:rPr>
          <w:rFonts w:ascii="Palatino Linotype" w:hAnsi="Palatino Linotype" w:cs="Arial"/>
          <w:color w:val="000000" w:themeColor="text1"/>
        </w:rPr>
        <w:t xml:space="preserve">, el recurso de revisión fue interpuesto el </w:t>
      </w:r>
      <w:r w:rsidR="00AB24C6">
        <w:rPr>
          <w:rFonts w:ascii="Palatino Linotype" w:hAnsi="Palatino Linotype" w:cs="Arial"/>
          <w:color w:val="000000" w:themeColor="text1"/>
        </w:rPr>
        <w:t>quince</w:t>
      </w:r>
      <w:r w:rsidR="00F10728">
        <w:rPr>
          <w:rFonts w:ascii="Palatino Linotype" w:hAnsi="Palatino Linotype" w:cs="Arial"/>
          <w:color w:val="000000" w:themeColor="text1"/>
        </w:rPr>
        <w:t xml:space="preserve"> </w:t>
      </w:r>
      <w:r w:rsidRPr="0086070D">
        <w:rPr>
          <w:rFonts w:ascii="Palatino Linotype" w:hAnsi="Palatino Linotype" w:cs="Arial"/>
          <w:color w:val="000000" w:themeColor="text1"/>
        </w:rPr>
        <w:t>(</w:t>
      </w:r>
      <w:r w:rsidR="00AB24C6">
        <w:rPr>
          <w:rFonts w:ascii="Palatino Linotype" w:hAnsi="Palatino Linotype" w:cs="Arial"/>
          <w:color w:val="000000" w:themeColor="text1"/>
        </w:rPr>
        <w:t>15</w:t>
      </w:r>
      <w:r w:rsidRPr="0086070D">
        <w:rPr>
          <w:rFonts w:ascii="Palatino Linotype" w:hAnsi="Palatino Linotype" w:cs="Arial"/>
          <w:color w:val="000000" w:themeColor="text1"/>
        </w:rPr>
        <w:t xml:space="preserve">) de </w:t>
      </w:r>
      <w:r w:rsidR="00AB24C6">
        <w:rPr>
          <w:rFonts w:ascii="Palatino Linotype" w:hAnsi="Palatino Linotype" w:cs="Arial"/>
          <w:color w:val="000000" w:themeColor="text1"/>
        </w:rPr>
        <w:t>agosto</w:t>
      </w:r>
      <w:r w:rsidRPr="0086070D">
        <w:rPr>
          <w:rFonts w:ascii="Palatino Linotype" w:hAnsi="Palatino Linotype" w:cs="Arial"/>
          <w:color w:val="000000" w:themeColor="text1"/>
        </w:rPr>
        <w:t xml:space="preserve"> de dos mil </w:t>
      </w:r>
      <w:r w:rsidR="00EB1D4C">
        <w:rPr>
          <w:rFonts w:ascii="Palatino Linotype" w:hAnsi="Palatino Linotype" w:cs="Arial"/>
          <w:color w:val="000000" w:themeColor="text1"/>
        </w:rPr>
        <w:t>veintidós</w:t>
      </w:r>
      <w:r w:rsidRPr="0086070D">
        <w:rPr>
          <w:rFonts w:ascii="Palatino Linotype" w:hAnsi="Palatino Linotype" w:cs="Arial"/>
          <w:color w:val="000000" w:themeColor="text1"/>
        </w:rPr>
        <w:t>, éste se encuentra dentro de los márgenes temporales previstos en el artículo 178 de la Ley de Transparencia y Acceso a la Información Pública del Estado de México y Municipios vigente.</w:t>
      </w:r>
    </w:p>
    <w:p w14:paraId="76DDE34D" w14:textId="77777777" w:rsidR="00E74B41" w:rsidRPr="00E74B41" w:rsidRDefault="00E74B41" w:rsidP="00E74B41">
      <w:pPr>
        <w:spacing w:line="360" w:lineRule="auto"/>
        <w:jc w:val="both"/>
        <w:rPr>
          <w:rFonts w:ascii="Palatino Linotype" w:hAnsi="Palatino Linotype" w:cs="Arial"/>
          <w:color w:val="000000" w:themeColor="text1"/>
        </w:rPr>
      </w:pPr>
    </w:p>
    <w:p w14:paraId="3965E647" w14:textId="01506C1F"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55583EE" w14:textId="77777777" w:rsidR="007808CB" w:rsidRPr="007808CB" w:rsidRDefault="007808CB" w:rsidP="007808CB">
      <w:pPr>
        <w:pStyle w:val="Prrafodelista"/>
        <w:rPr>
          <w:rFonts w:ascii="Palatino Linotype" w:hAnsi="Palatino Linotype" w:cs="Arial"/>
          <w:color w:val="000000" w:themeColor="text1"/>
        </w:rPr>
      </w:pPr>
    </w:p>
    <w:p w14:paraId="153FFB73" w14:textId="5C2E3246" w:rsidR="00E74B41" w:rsidRDefault="00E74B41" w:rsidP="00E74B41">
      <w:pPr>
        <w:pStyle w:val="Prrafodelista"/>
        <w:spacing w:line="360" w:lineRule="auto"/>
        <w:ind w:left="0"/>
        <w:jc w:val="both"/>
        <w:rPr>
          <w:rFonts w:ascii="Palatino Linotype" w:hAnsi="Palatino Linotype" w:cs="Arial"/>
          <w:b/>
          <w:color w:val="000000" w:themeColor="text1"/>
        </w:rPr>
      </w:pPr>
      <w:r w:rsidRPr="00E74B41">
        <w:rPr>
          <w:rFonts w:ascii="Palatino Linotype" w:hAnsi="Palatino Linotype" w:cs="Arial"/>
          <w:b/>
          <w:color w:val="000000" w:themeColor="text1"/>
        </w:rPr>
        <w:t xml:space="preserve">TERCERO. </w:t>
      </w:r>
      <w:r w:rsidR="00256E0B">
        <w:rPr>
          <w:rFonts w:ascii="Palatino Linotype" w:hAnsi="Palatino Linotype" w:cs="Arial"/>
          <w:b/>
          <w:color w:val="000000" w:themeColor="text1"/>
        </w:rPr>
        <w:t>De las causales del sobreseimiento</w:t>
      </w:r>
      <w:r w:rsidRPr="00E74B41">
        <w:rPr>
          <w:rFonts w:ascii="Palatino Linotype" w:hAnsi="Palatino Linotype" w:cs="Arial"/>
          <w:b/>
          <w:color w:val="000000" w:themeColor="text1"/>
        </w:rPr>
        <w:t xml:space="preserve"> </w:t>
      </w:r>
    </w:p>
    <w:p w14:paraId="529E3375" w14:textId="3BD3064F"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El recurrente solicitó la siguiente información:</w:t>
      </w:r>
    </w:p>
    <w:p w14:paraId="367388CD" w14:textId="77777777" w:rsidR="002610D1" w:rsidRPr="00D97D8E" w:rsidRDefault="002610D1" w:rsidP="002610D1">
      <w:pPr>
        <w:pStyle w:val="Prrafodelista"/>
        <w:spacing w:line="360" w:lineRule="auto"/>
        <w:ind w:left="0"/>
        <w:jc w:val="both"/>
        <w:rPr>
          <w:rFonts w:ascii="Palatino Linotype" w:hAnsi="Palatino Linotype" w:cs="Arial"/>
          <w:color w:val="000000" w:themeColor="text1"/>
          <w:sz w:val="22"/>
        </w:rPr>
      </w:pPr>
    </w:p>
    <w:p w14:paraId="42FC3754" w14:textId="7512B251" w:rsidR="00AB24C6" w:rsidRPr="00D97D8E" w:rsidRDefault="00AB24C6" w:rsidP="00AB24C6">
      <w:pPr>
        <w:pStyle w:val="Prrafodelista"/>
        <w:numPr>
          <w:ilvl w:val="0"/>
          <w:numId w:val="46"/>
        </w:numPr>
        <w:spacing w:line="360" w:lineRule="auto"/>
        <w:jc w:val="both"/>
        <w:rPr>
          <w:rFonts w:ascii="Palatino Linotype" w:hAnsi="Palatino Linotype" w:cs="Arial"/>
          <w:color w:val="000000" w:themeColor="text1"/>
          <w:sz w:val="22"/>
          <w:szCs w:val="22"/>
        </w:rPr>
      </w:pPr>
      <w:r w:rsidRPr="00D97D8E">
        <w:rPr>
          <w:rFonts w:ascii="Palatino Linotype" w:hAnsi="Palatino Linotype" w:cs="Arial"/>
          <w:color w:val="000000" w:themeColor="text1"/>
          <w:sz w:val="22"/>
          <w:szCs w:val="22"/>
        </w:rPr>
        <w:t>Total de convenios firmados por la Secretaria del Medio Ambiente con otras entidades públicas o privadas en el periodo de gobierno  del 2005 a 2017.</w:t>
      </w:r>
    </w:p>
    <w:p w14:paraId="245626B2" w14:textId="77777777" w:rsidR="00AB24C6" w:rsidRPr="00D97D8E" w:rsidRDefault="00AB24C6" w:rsidP="00AB24C6">
      <w:pPr>
        <w:pStyle w:val="Prrafodelista"/>
        <w:spacing w:line="360" w:lineRule="auto"/>
        <w:ind w:left="567"/>
        <w:jc w:val="both"/>
        <w:rPr>
          <w:rFonts w:ascii="Palatino Linotype" w:hAnsi="Palatino Linotype" w:cs="Arial"/>
          <w:color w:val="000000" w:themeColor="text1"/>
          <w:sz w:val="22"/>
          <w:szCs w:val="22"/>
        </w:rPr>
      </w:pPr>
    </w:p>
    <w:p w14:paraId="17CE9EF4" w14:textId="5DC553F6" w:rsidR="002610D1" w:rsidRPr="00AB24C6" w:rsidRDefault="00E74B41" w:rsidP="002610D1">
      <w:pPr>
        <w:pStyle w:val="Prrafodelista"/>
        <w:numPr>
          <w:ilvl w:val="0"/>
          <w:numId w:val="32"/>
        </w:numPr>
        <w:spacing w:line="360" w:lineRule="auto"/>
        <w:ind w:left="0" w:firstLine="0"/>
        <w:jc w:val="both"/>
        <w:rPr>
          <w:rFonts w:ascii="Palatino Linotype" w:hAnsi="Palatino Linotype" w:cs="Arial"/>
          <w:b/>
          <w:color w:val="000000" w:themeColor="text1"/>
        </w:rPr>
      </w:pPr>
      <w:r w:rsidRPr="00E74B41">
        <w:rPr>
          <w:rFonts w:ascii="Palatino Linotype" w:hAnsi="Palatino Linotype" w:cs="Arial"/>
          <w:color w:val="000000" w:themeColor="text1"/>
        </w:rPr>
        <w:t xml:space="preserve">El Sujeto Obligado </w:t>
      </w:r>
      <w:r w:rsidR="00AB24C6">
        <w:rPr>
          <w:rFonts w:ascii="Palatino Linotype" w:hAnsi="Palatino Linotype" w:cs="Arial"/>
          <w:color w:val="000000" w:themeColor="text1"/>
        </w:rPr>
        <w:t>manifestó la inexistencia de la información del periodo de 2005 a 2011, mientras que entregó el número de convenios del año 2011 al 2017.</w:t>
      </w:r>
    </w:p>
    <w:p w14:paraId="694FB653" w14:textId="77777777" w:rsidR="00AB24C6" w:rsidRPr="000921BF" w:rsidRDefault="00AB24C6" w:rsidP="00AB24C6">
      <w:pPr>
        <w:pStyle w:val="Prrafodelista"/>
        <w:spacing w:line="360" w:lineRule="auto"/>
        <w:ind w:left="0"/>
        <w:jc w:val="both"/>
        <w:rPr>
          <w:rFonts w:ascii="Palatino Linotype" w:hAnsi="Palatino Linotype" w:cs="Arial"/>
          <w:b/>
          <w:color w:val="000000" w:themeColor="text1"/>
        </w:rPr>
      </w:pPr>
    </w:p>
    <w:p w14:paraId="498E384E" w14:textId="7E2A5952"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El Recurrente se inconformó por</w:t>
      </w:r>
      <w:r w:rsidR="00AB24C6">
        <w:rPr>
          <w:rFonts w:ascii="Palatino Linotype" w:hAnsi="Palatino Linotype" w:cs="Arial"/>
          <w:color w:val="000000" w:themeColor="text1"/>
        </w:rPr>
        <w:t xml:space="preserve"> la inexistencia de la información y porque la información entregada por las áreas no es congruente entre sí.</w:t>
      </w:r>
    </w:p>
    <w:p w14:paraId="7012E0F9" w14:textId="77777777" w:rsidR="00E74B41" w:rsidRPr="00E74B41" w:rsidRDefault="00E74B41" w:rsidP="00E74B41">
      <w:pPr>
        <w:spacing w:line="360" w:lineRule="auto"/>
        <w:jc w:val="both"/>
        <w:rPr>
          <w:rFonts w:ascii="Palatino Linotype" w:hAnsi="Palatino Linotype" w:cs="Arial"/>
          <w:color w:val="000000" w:themeColor="text1"/>
        </w:rPr>
      </w:pPr>
    </w:p>
    <w:p w14:paraId="1F4DAC17" w14:textId="78CD06B5"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Por lo tanto, el presente recurso de revisión se circunscribe en determinar si se actualiza las causales de procedencia contenidas en el artículo 179 fracciones </w:t>
      </w:r>
      <w:r w:rsidR="00AB24C6">
        <w:rPr>
          <w:rFonts w:ascii="Palatino Linotype" w:hAnsi="Palatino Linotype" w:cs="Arial"/>
          <w:color w:val="000000" w:themeColor="text1"/>
        </w:rPr>
        <w:t>II</w:t>
      </w:r>
      <w:r w:rsidR="006806DC">
        <w:rPr>
          <w:rFonts w:ascii="Palatino Linotype" w:hAnsi="Palatino Linotype" w:cs="Arial"/>
          <w:color w:val="000000" w:themeColor="text1"/>
        </w:rPr>
        <w:t>I</w:t>
      </w:r>
      <w:r w:rsidR="002610D1">
        <w:rPr>
          <w:rFonts w:ascii="Palatino Linotype" w:hAnsi="Palatino Linotype" w:cs="Arial"/>
          <w:color w:val="000000" w:themeColor="text1"/>
        </w:rPr>
        <w:t xml:space="preserve"> y </w:t>
      </w:r>
      <w:r w:rsidR="00AB24C6">
        <w:rPr>
          <w:rFonts w:ascii="Palatino Linotype" w:hAnsi="Palatino Linotype" w:cs="Arial"/>
          <w:color w:val="000000" w:themeColor="text1"/>
        </w:rPr>
        <w:t>V</w:t>
      </w:r>
      <w:r w:rsidR="006806DC">
        <w:rPr>
          <w:rFonts w:ascii="Palatino Linotype" w:hAnsi="Palatino Linotype" w:cs="Arial"/>
          <w:color w:val="000000" w:themeColor="text1"/>
        </w:rPr>
        <w:t>,</w:t>
      </w:r>
      <w:r w:rsidRPr="00E74B41">
        <w:rPr>
          <w:rFonts w:ascii="Palatino Linotype" w:hAnsi="Palatino Linotype" w:cs="Arial"/>
          <w:color w:val="000000" w:themeColor="text1"/>
        </w:rPr>
        <w:t xml:space="preserve"> relativo</w:t>
      </w:r>
      <w:r w:rsidR="006806DC">
        <w:rPr>
          <w:rFonts w:ascii="Palatino Linotype" w:hAnsi="Palatino Linotype" w:cs="Arial"/>
          <w:color w:val="000000" w:themeColor="text1"/>
        </w:rPr>
        <w:t>s</w:t>
      </w:r>
      <w:r w:rsidRPr="00E74B41">
        <w:rPr>
          <w:rFonts w:ascii="Palatino Linotype" w:hAnsi="Palatino Linotype" w:cs="Arial"/>
          <w:color w:val="000000" w:themeColor="text1"/>
        </w:rPr>
        <w:t xml:space="preserve"> a la</w:t>
      </w:r>
      <w:r w:rsidR="002610D1">
        <w:rPr>
          <w:rFonts w:ascii="Palatino Linotype" w:hAnsi="Palatino Linotype" w:cs="Arial"/>
          <w:color w:val="000000" w:themeColor="text1"/>
        </w:rPr>
        <w:t xml:space="preserve"> negativa de la información y la inexistencia</w:t>
      </w:r>
      <w:r w:rsidR="006806DC">
        <w:rPr>
          <w:rFonts w:ascii="Palatino Linotype" w:hAnsi="Palatino Linotype" w:cs="Arial"/>
          <w:color w:val="000000" w:themeColor="text1"/>
        </w:rPr>
        <w:t>, respectivamente</w:t>
      </w:r>
      <w:r w:rsidRPr="00E74B41">
        <w:rPr>
          <w:rFonts w:ascii="Palatino Linotype" w:hAnsi="Palatino Linotype" w:cs="Arial"/>
          <w:color w:val="000000" w:themeColor="text1"/>
        </w:rPr>
        <w:t>, de la Ley de Transparencia y Acceso a la Información Pública del Estado de México y Municipios.</w:t>
      </w:r>
    </w:p>
    <w:p w14:paraId="1F2531FA" w14:textId="77777777" w:rsidR="00AB24C6" w:rsidRPr="00AB24C6" w:rsidRDefault="00AB24C6" w:rsidP="00AB24C6">
      <w:pPr>
        <w:pStyle w:val="Prrafodelista"/>
        <w:rPr>
          <w:rFonts w:ascii="Palatino Linotype" w:hAnsi="Palatino Linotype" w:cs="Arial"/>
          <w:color w:val="000000" w:themeColor="text1"/>
        </w:rPr>
      </w:pPr>
    </w:p>
    <w:p w14:paraId="6C875718" w14:textId="77777777" w:rsidR="00AB24C6" w:rsidRDefault="00AB24C6" w:rsidP="00AB24C6">
      <w:pPr>
        <w:pStyle w:val="Prrafodelista"/>
        <w:spacing w:line="360" w:lineRule="auto"/>
        <w:ind w:left="0"/>
        <w:jc w:val="both"/>
        <w:rPr>
          <w:rFonts w:ascii="Palatino Linotype" w:hAnsi="Palatino Linotype" w:cs="Arial"/>
          <w:color w:val="000000" w:themeColor="text1"/>
        </w:rPr>
      </w:pPr>
    </w:p>
    <w:p w14:paraId="3F5E6E51" w14:textId="58F0CC92" w:rsidR="00E74B41" w:rsidRPr="002A6959" w:rsidRDefault="00E74B41" w:rsidP="00E74B41">
      <w:pPr>
        <w:pStyle w:val="Prrafodelista"/>
        <w:numPr>
          <w:ilvl w:val="3"/>
          <w:numId w:val="32"/>
        </w:numPr>
        <w:spacing w:line="360" w:lineRule="auto"/>
        <w:ind w:left="0" w:firstLine="0"/>
        <w:jc w:val="both"/>
        <w:rPr>
          <w:rFonts w:ascii="Palatino Linotype" w:hAnsi="Palatino Linotype" w:cs="Arial"/>
          <w:b/>
          <w:color w:val="000000" w:themeColor="text1"/>
        </w:rPr>
      </w:pPr>
      <w:r w:rsidRPr="002A6959">
        <w:rPr>
          <w:rFonts w:ascii="Palatino Linotype" w:hAnsi="Palatino Linotype" w:cs="Arial"/>
          <w:b/>
          <w:color w:val="000000" w:themeColor="text1"/>
        </w:rPr>
        <w:t>De la atención a la solicitud de información.</w:t>
      </w:r>
    </w:p>
    <w:p w14:paraId="51DE699F" w14:textId="77777777" w:rsidR="002A6959" w:rsidRPr="002A6959" w:rsidRDefault="002A6959" w:rsidP="002A6959">
      <w:pPr>
        <w:pStyle w:val="Prrafodelista"/>
        <w:spacing w:line="360" w:lineRule="auto"/>
        <w:ind w:left="0"/>
        <w:jc w:val="both"/>
        <w:rPr>
          <w:rFonts w:ascii="Palatino Linotype" w:hAnsi="Palatino Linotype" w:cs="Arial"/>
          <w:b/>
          <w:color w:val="000000" w:themeColor="text1"/>
        </w:rPr>
      </w:pPr>
    </w:p>
    <w:p w14:paraId="24BAED92" w14:textId="3BE9A7C0" w:rsidR="00E74B41" w:rsidRPr="002A6959" w:rsidRDefault="00016603" w:rsidP="00016603">
      <w:pPr>
        <w:pStyle w:val="Prrafodelista"/>
        <w:spacing w:line="360" w:lineRule="auto"/>
        <w:ind w:left="284"/>
        <w:jc w:val="both"/>
        <w:rPr>
          <w:rFonts w:ascii="Palatino Linotype" w:hAnsi="Palatino Linotype" w:cs="Arial"/>
          <w:b/>
          <w:color w:val="000000" w:themeColor="text1"/>
        </w:rPr>
      </w:pPr>
      <w:r>
        <w:rPr>
          <w:rFonts w:ascii="Palatino Linotype" w:hAnsi="Palatino Linotype" w:cs="Arial"/>
          <w:b/>
          <w:color w:val="000000" w:themeColor="text1"/>
        </w:rPr>
        <w:t xml:space="preserve">a) </w:t>
      </w:r>
      <w:r w:rsidR="00E74B41" w:rsidRPr="002A6959">
        <w:rPr>
          <w:rFonts w:ascii="Palatino Linotype" w:hAnsi="Palatino Linotype" w:cs="Arial"/>
          <w:b/>
          <w:color w:val="000000" w:themeColor="text1"/>
        </w:rPr>
        <w:t>De la fuente obligacional</w:t>
      </w:r>
    </w:p>
    <w:p w14:paraId="3238D334" w14:textId="77777777" w:rsidR="00E74B41" w:rsidRPr="00E74B41" w:rsidRDefault="00E74B41" w:rsidP="00E74B41">
      <w:pPr>
        <w:spacing w:line="360" w:lineRule="auto"/>
        <w:jc w:val="both"/>
        <w:rPr>
          <w:rFonts w:ascii="Palatino Linotype" w:hAnsi="Palatino Linotype" w:cs="Arial"/>
          <w:color w:val="000000" w:themeColor="text1"/>
        </w:rPr>
      </w:pPr>
    </w:p>
    <w:p w14:paraId="490B5193" w14:textId="1EB1E62D"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w:t>
      </w:r>
      <w:r w:rsidRPr="00E74B41">
        <w:rPr>
          <w:rFonts w:ascii="Palatino Linotype" w:hAnsi="Palatino Linotype" w:cs="Arial"/>
          <w:color w:val="000000" w:themeColor="text1"/>
        </w:rPr>
        <w:lastRenderedPageBreak/>
        <w:t xml:space="preserve">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14:paraId="52454C84" w14:textId="77777777" w:rsidR="00E74B41" w:rsidRPr="00E74B41" w:rsidRDefault="00E74B41" w:rsidP="00E74B41">
      <w:pPr>
        <w:spacing w:line="360" w:lineRule="auto"/>
        <w:jc w:val="both"/>
        <w:rPr>
          <w:rFonts w:ascii="Palatino Linotype" w:hAnsi="Palatino Linotype" w:cs="Arial"/>
          <w:color w:val="000000" w:themeColor="text1"/>
        </w:rPr>
      </w:pPr>
    </w:p>
    <w:p w14:paraId="4795552B" w14:textId="7E40DEF5"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46F13E11" w14:textId="77777777" w:rsidR="00E74B41" w:rsidRPr="00E74B41" w:rsidRDefault="00E74B41" w:rsidP="00E74B41">
      <w:pPr>
        <w:spacing w:line="360" w:lineRule="auto"/>
        <w:jc w:val="both"/>
        <w:rPr>
          <w:rFonts w:ascii="Palatino Linotype" w:hAnsi="Palatino Linotype" w:cs="Arial"/>
          <w:color w:val="000000" w:themeColor="text1"/>
        </w:rPr>
      </w:pPr>
    </w:p>
    <w:p w14:paraId="2FE6FE26" w14:textId="5266ABB1"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BB0C7D4" w14:textId="004EEAA8" w:rsidR="00E74B41" w:rsidRPr="00E74B41" w:rsidRDefault="00E74B41" w:rsidP="00E74B41">
      <w:pPr>
        <w:spacing w:line="360" w:lineRule="auto"/>
        <w:jc w:val="both"/>
        <w:rPr>
          <w:rFonts w:ascii="Palatino Linotype" w:hAnsi="Palatino Linotype" w:cs="Arial"/>
          <w:color w:val="000000" w:themeColor="text1"/>
        </w:rPr>
      </w:pPr>
    </w:p>
    <w:p w14:paraId="57EEE98E" w14:textId="66EA754B"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y hablantes de lengua indígena. </w:t>
      </w:r>
    </w:p>
    <w:p w14:paraId="0382C8C0" w14:textId="77777777" w:rsidR="00E74B41" w:rsidRPr="00E74B41" w:rsidRDefault="00E74B41" w:rsidP="00E74B41">
      <w:pPr>
        <w:spacing w:line="360" w:lineRule="auto"/>
        <w:jc w:val="both"/>
        <w:rPr>
          <w:rFonts w:ascii="Palatino Linotype" w:hAnsi="Palatino Linotype" w:cs="Arial"/>
          <w:color w:val="000000" w:themeColor="text1"/>
        </w:rPr>
      </w:pPr>
    </w:p>
    <w:p w14:paraId="4B5C3143" w14:textId="31E9530E"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ADAA411" w14:textId="77777777" w:rsidR="00E74B41" w:rsidRPr="00E74B41" w:rsidRDefault="00E74B41" w:rsidP="00E74B41">
      <w:pPr>
        <w:spacing w:line="360" w:lineRule="auto"/>
        <w:jc w:val="both"/>
        <w:rPr>
          <w:rFonts w:ascii="Palatino Linotype" w:hAnsi="Palatino Linotype" w:cs="Arial"/>
          <w:color w:val="000000" w:themeColor="text1"/>
        </w:rPr>
      </w:pPr>
    </w:p>
    <w:p w14:paraId="20D4FA04" w14:textId="2893CA72"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Establecido lo anterior, resulta evidente que las razones o motivos de inconformidad hechos valer en el recurso de revisión resultan fundadas y procedentes, debido a que el SUJETO OBLIGADO proporcionó información que no corresponde con lo solicitado.</w:t>
      </w:r>
    </w:p>
    <w:p w14:paraId="57E92D16" w14:textId="77777777" w:rsidR="002A6959" w:rsidRPr="002A6959" w:rsidRDefault="002A6959" w:rsidP="002A6959">
      <w:pPr>
        <w:pStyle w:val="Prrafodelista"/>
        <w:rPr>
          <w:rFonts w:ascii="Palatino Linotype" w:hAnsi="Palatino Linotype" w:cs="Arial"/>
          <w:color w:val="000000" w:themeColor="text1"/>
        </w:rPr>
      </w:pPr>
    </w:p>
    <w:p w14:paraId="25883D20" w14:textId="597AEA12"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69DCE03" w14:textId="77777777" w:rsidR="00E74B41" w:rsidRPr="00E74B41" w:rsidRDefault="00E74B41" w:rsidP="00E74B41">
      <w:pPr>
        <w:spacing w:line="360" w:lineRule="auto"/>
        <w:jc w:val="both"/>
        <w:rPr>
          <w:rFonts w:ascii="Palatino Linotype" w:hAnsi="Palatino Linotype" w:cs="Arial"/>
          <w:color w:val="000000" w:themeColor="text1"/>
        </w:rPr>
      </w:pPr>
    </w:p>
    <w:p w14:paraId="1EF53DAE" w14:textId="77777777" w:rsidR="00E74B41" w:rsidRPr="00736D6D"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736D6D">
        <w:rPr>
          <w:rFonts w:ascii="Palatino Linotype" w:hAnsi="Palatino Linotype" w:cs="Arial"/>
          <w:b/>
          <w:i/>
          <w:color w:val="000000" w:themeColor="text1"/>
          <w:sz w:val="22"/>
        </w:rPr>
        <w:t>“CRITERIO 0002-11</w:t>
      </w:r>
    </w:p>
    <w:p w14:paraId="414C07F7"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INFORMACIÓN PÚBLICA, CONCEPTO DE, EN MATERIA DE TRANSPARENCIA. INTERPRETACIÓN TEMÁTICA DE LOS ARTÍCULOS 2, FRACCIÓN V, XV, Y XVI, 3, 4,11 Y 41</w:t>
      </w:r>
      <w:r w:rsidRPr="002A6959">
        <w:rPr>
          <w:rFonts w:ascii="Palatino Linotype" w:hAnsi="Palatino Linotype" w:cs="Arial"/>
          <w:i/>
          <w:color w:val="000000" w:themeColor="text1"/>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DA5AB6"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En consecuencia el acceso a la información se refiere a que se cumplan cualquiera de los siguientes tres supuestos:</w:t>
      </w:r>
    </w:p>
    <w:p w14:paraId="7FD6B2A2"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Que se trate de información registrada en cualquier soporte documental, que en ejercicio de las atribuciones conferidas, sea generada por los Sujetos Obligados;</w:t>
      </w:r>
    </w:p>
    <w:p w14:paraId="6A8FEBBB"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Que se trate de información registrada en cualquier soporte documental, que en ejercicio de las atribuciones conferidas, sea administrada por los Sujetos Obligados, y</w:t>
      </w:r>
    </w:p>
    <w:p w14:paraId="2E5360F1"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Que se trate de información registrada en cualquier soporte documental, que en ejercicio de las atribuciones conferidas, se encuentre en posesión de los Sujetos Obligados.”</w:t>
      </w:r>
    </w:p>
    <w:p w14:paraId="4FBAC8A1" w14:textId="77777777" w:rsidR="00E74B41" w:rsidRPr="00E74B41" w:rsidRDefault="00E74B41" w:rsidP="00E74B41">
      <w:pPr>
        <w:spacing w:line="360" w:lineRule="auto"/>
        <w:jc w:val="both"/>
        <w:rPr>
          <w:rFonts w:ascii="Palatino Linotype" w:hAnsi="Palatino Linotype" w:cs="Arial"/>
          <w:color w:val="000000" w:themeColor="text1"/>
        </w:rPr>
      </w:pPr>
    </w:p>
    <w:p w14:paraId="4BAFA27A" w14:textId="66ED1252"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El derecho de acceso a la información encuentra su materia elemental en los documentos, y la Ley de Transparencia local nos brinda el siguiente concepto, para darnos un mejor panorama:</w:t>
      </w:r>
    </w:p>
    <w:p w14:paraId="2FE4C741" w14:textId="77777777" w:rsidR="002A6959" w:rsidRPr="00E74B41" w:rsidRDefault="002A6959" w:rsidP="002A6959">
      <w:pPr>
        <w:pStyle w:val="Prrafodelista"/>
        <w:spacing w:line="360" w:lineRule="auto"/>
        <w:ind w:left="0"/>
        <w:jc w:val="both"/>
        <w:rPr>
          <w:rFonts w:ascii="Palatino Linotype" w:hAnsi="Palatino Linotype" w:cs="Arial"/>
          <w:color w:val="000000" w:themeColor="text1"/>
        </w:rPr>
      </w:pPr>
    </w:p>
    <w:p w14:paraId="2BF901EE"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XI. Documento:</w:t>
      </w:r>
      <w:r w:rsidRPr="002A6959">
        <w:rPr>
          <w:rFonts w:ascii="Palatino Linotype" w:hAnsi="Palatino Linotype" w:cs="Arial"/>
          <w:i/>
          <w:color w:val="000000" w:themeColor="text1"/>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ACBD89D" w14:textId="77777777" w:rsidR="00E74B41" w:rsidRPr="00E74B41" w:rsidRDefault="00E74B41" w:rsidP="00E74B41">
      <w:pPr>
        <w:spacing w:line="360" w:lineRule="auto"/>
        <w:jc w:val="both"/>
        <w:rPr>
          <w:rFonts w:ascii="Palatino Linotype" w:hAnsi="Palatino Linotype" w:cs="Arial"/>
          <w:color w:val="000000" w:themeColor="text1"/>
        </w:rPr>
      </w:pPr>
    </w:p>
    <w:p w14:paraId="4941A7A5" w14:textId="25431536"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6C95003" w14:textId="77777777" w:rsidR="00E74B41" w:rsidRPr="00E74B41" w:rsidRDefault="00E74B41" w:rsidP="00E74B41">
      <w:pPr>
        <w:spacing w:line="360" w:lineRule="auto"/>
        <w:jc w:val="both"/>
        <w:rPr>
          <w:rFonts w:ascii="Palatino Linotype" w:hAnsi="Palatino Linotype" w:cs="Arial"/>
          <w:color w:val="000000" w:themeColor="text1"/>
        </w:rPr>
      </w:pPr>
    </w:p>
    <w:p w14:paraId="240F7296" w14:textId="47227966"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Resulta necesario referir que, el artículo 6° apartado A fracción I, de la Constitución Política de los Estados Unidos Mexicanos, artículo 5 fracción I de la Constitución Política del Estado Libre y Soberano de México y el artículo 18 de la </w:t>
      </w:r>
      <w:r w:rsidRPr="00E74B41">
        <w:rPr>
          <w:rFonts w:ascii="Palatino Linotype" w:hAnsi="Palatino Linotype" w:cs="Arial"/>
          <w:color w:val="000000" w:themeColor="text1"/>
        </w:rPr>
        <w:lastRenderedPageBreak/>
        <w:t>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FABA2C1" w14:textId="77777777" w:rsidR="00E74B41" w:rsidRPr="00E74B41" w:rsidRDefault="00E74B41" w:rsidP="00E74B41">
      <w:pPr>
        <w:spacing w:line="360" w:lineRule="auto"/>
        <w:jc w:val="both"/>
        <w:rPr>
          <w:rFonts w:ascii="Palatino Linotype" w:hAnsi="Palatino Linotype" w:cs="Arial"/>
          <w:color w:val="000000" w:themeColor="text1"/>
        </w:rPr>
      </w:pPr>
    </w:p>
    <w:p w14:paraId="768FC424" w14:textId="53E51222"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Además, debemos tomar en cuenta los artículos 4 y 12, de la Ley de Transparencia y Acceso a la Información Pública del Estado de México y Municipios, los cuales establecen lo siguiente:</w:t>
      </w:r>
    </w:p>
    <w:p w14:paraId="04648700" w14:textId="77777777" w:rsidR="00E74B41" w:rsidRPr="00E74B41" w:rsidRDefault="00E74B41" w:rsidP="00E74B41">
      <w:pPr>
        <w:spacing w:line="360" w:lineRule="auto"/>
        <w:jc w:val="both"/>
        <w:rPr>
          <w:rFonts w:ascii="Palatino Linotype" w:hAnsi="Palatino Linotype" w:cs="Arial"/>
          <w:color w:val="000000" w:themeColor="text1"/>
        </w:rPr>
      </w:pPr>
    </w:p>
    <w:p w14:paraId="1F9BD076"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Artículo 4.</w:t>
      </w:r>
      <w:r w:rsidRPr="002A6959">
        <w:rPr>
          <w:rFonts w:ascii="Palatino Linotype" w:hAnsi="Palatino Linotype" w:cs="Arial"/>
          <w:i/>
          <w:color w:val="000000" w:themeColor="text1"/>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9900F4"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03C6726D"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2074A5"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4B27CEDC"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51379D92"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5DA4C719"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Artículo 12.</w:t>
      </w:r>
      <w:r w:rsidRPr="002A6959">
        <w:rPr>
          <w:rFonts w:ascii="Palatino Linotype" w:hAnsi="Palatino Linotype" w:cs="Arial"/>
          <w:i/>
          <w:color w:val="000000" w:themeColor="text1"/>
          <w:sz w:val="22"/>
        </w:rPr>
        <w:t xml:space="preserve"> Quienes generen, recopilen, administren, manejen, procesen, archiven o conserven información pública serán responsables de la misma en los términos de las disposiciones jurídicas aplicables. </w:t>
      </w:r>
    </w:p>
    <w:p w14:paraId="1576FADA"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10823ED6"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B14FB6" w14:textId="77777777" w:rsidR="00E74B41" w:rsidRPr="00E74B41" w:rsidRDefault="00E74B41" w:rsidP="00E74B41">
      <w:pPr>
        <w:spacing w:line="360" w:lineRule="auto"/>
        <w:jc w:val="both"/>
        <w:rPr>
          <w:rFonts w:ascii="Palatino Linotype" w:hAnsi="Palatino Linotype" w:cs="Arial"/>
          <w:color w:val="000000" w:themeColor="text1"/>
        </w:rPr>
      </w:pPr>
    </w:p>
    <w:p w14:paraId="004BED43" w14:textId="380E08DA"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D9C56E" w14:textId="77777777" w:rsidR="00E74B41" w:rsidRPr="00E74B41" w:rsidRDefault="00E74B41" w:rsidP="00E74B41">
      <w:pPr>
        <w:spacing w:line="360" w:lineRule="auto"/>
        <w:jc w:val="both"/>
        <w:rPr>
          <w:rFonts w:ascii="Palatino Linotype" w:hAnsi="Palatino Linotype" w:cs="Arial"/>
          <w:color w:val="000000" w:themeColor="text1"/>
        </w:rPr>
      </w:pPr>
    </w:p>
    <w:p w14:paraId="6C77FF9A" w14:textId="46D2B398"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Robustece lo anterior la Tesis aislada identificada con la clave I.4º.A.40 A del Cuarto Tribunal colegiado en Materia Administrativa del Primer Circuito, publicada </w:t>
      </w:r>
      <w:r w:rsidRPr="00E74B41">
        <w:rPr>
          <w:rFonts w:ascii="Palatino Linotype" w:hAnsi="Palatino Linotype" w:cs="Arial"/>
          <w:color w:val="000000" w:themeColor="text1"/>
        </w:rPr>
        <w:lastRenderedPageBreak/>
        <w:t>en el Seminario Judicial de la Federación y su Gaceta en el libro XVIII, Marzo 2013, Página 1899.</w:t>
      </w:r>
    </w:p>
    <w:p w14:paraId="52959BB9" w14:textId="77777777" w:rsidR="00E74B41" w:rsidRPr="00E74B41" w:rsidRDefault="00E74B41" w:rsidP="00E74B41">
      <w:pPr>
        <w:spacing w:line="360" w:lineRule="auto"/>
        <w:jc w:val="both"/>
        <w:rPr>
          <w:rFonts w:ascii="Palatino Linotype" w:hAnsi="Palatino Linotype" w:cs="Arial"/>
          <w:color w:val="000000" w:themeColor="text1"/>
        </w:rPr>
      </w:pPr>
    </w:p>
    <w:p w14:paraId="5083EDE2"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ACCESO A LA INFORMACIÓN. IMPLICACIÓN DEL PRINCIPIO DE MÁXIMA PUBLICIDAD EN EL DERECHO FUNDAMENTAL RELATIVO.</w:t>
      </w:r>
      <w:r w:rsidRPr="002A6959">
        <w:rPr>
          <w:rFonts w:ascii="Palatino Linotype" w:hAnsi="Palatino Linotype" w:cs="Arial"/>
          <w:i/>
          <w:color w:val="000000" w:themeColor="text1"/>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DAD3F05"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 xml:space="preserve">CUARTO TRIBUNAL COLEGIADO EN MATERIA ADMINISTRATIVA DEL PRIMER CIRCUITO. </w:t>
      </w:r>
    </w:p>
    <w:p w14:paraId="5A5785F2"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6ABA7AAA"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Amparo en revisión 257/2012. Ruth Corona Muñoz. 6 de diciembre de 2012. Unanimidad de votos. Ponente: Jean Claude Tron Petit. Secretaria: Mayra Susana Martínez López.</w:t>
      </w:r>
    </w:p>
    <w:p w14:paraId="0F00BF3A" w14:textId="77777777" w:rsidR="00E74B41" w:rsidRPr="00E74B41" w:rsidRDefault="00E74B41" w:rsidP="00E74B41">
      <w:pPr>
        <w:spacing w:line="360" w:lineRule="auto"/>
        <w:jc w:val="both"/>
        <w:rPr>
          <w:rFonts w:ascii="Palatino Linotype" w:hAnsi="Palatino Linotype" w:cs="Arial"/>
          <w:color w:val="000000" w:themeColor="text1"/>
        </w:rPr>
      </w:pPr>
    </w:p>
    <w:p w14:paraId="2AB4C407" w14:textId="0BC2E331"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Como se ha señalado, los Sujetos Obligados deberán proporcionar toda la información que se encuentre en su posesión bajo los estándares más altos de transparencia y máxima publicidad. </w:t>
      </w:r>
    </w:p>
    <w:p w14:paraId="73D0FD9B" w14:textId="77777777" w:rsidR="00E74B41" w:rsidRPr="00E74B41" w:rsidRDefault="00E74B41" w:rsidP="00E74B41">
      <w:pPr>
        <w:spacing w:line="360" w:lineRule="auto"/>
        <w:jc w:val="both"/>
        <w:rPr>
          <w:rFonts w:ascii="Palatino Linotype" w:hAnsi="Palatino Linotype" w:cs="Arial"/>
          <w:color w:val="000000" w:themeColor="text1"/>
        </w:rPr>
      </w:pPr>
    </w:p>
    <w:p w14:paraId="339E24F0" w14:textId="587DC3DA"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Es pertinente enfatizar lo que respecto al derecho de acceso a la información pública, refiere el artículo 6° de la Constitución Política de los Estados Unidos Mexicanos, que en su parte conducente señala:</w:t>
      </w:r>
    </w:p>
    <w:p w14:paraId="54FBC7F4" w14:textId="77777777" w:rsidR="00E74B41" w:rsidRPr="00E74B41" w:rsidRDefault="00E74B41" w:rsidP="00E74B41">
      <w:pPr>
        <w:spacing w:line="360" w:lineRule="auto"/>
        <w:jc w:val="both"/>
        <w:rPr>
          <w:rFonts w:ascii="Palatino Linotype" w:hAnsi="Palatino Linotype" w:cs="Arial"/>
          <w:color w:val="000000" w:themeColor="text1"/>
        </w:rPr>
      </w:pPr>
    </w:p>
    <w:p w14:paraId="5A32C164"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736D6D">
        <w:rPr>
          <w:rFonts w:ascii="Palatino Linotype" w:hAnsi="Palatino Linotype" w:cs="Arial"/>
          <w:b/>
          <w:i/>
          <w:color w:val="000000" w:themeColor="text1"/>
          <w:sz w:val="22"/>
        </w:rPr>
        <w:t>“Artículo 6o.</w:t>
      </w:r>
      <w:r w:rsidRPr="002A6959">
        <w:rPr>
          <w:rFonts w:ascii="Palatino Linotype" w:hAnsi="Palatino Linotype" w:cs="Arial"/>
          <w:i/>
          <w:color w:val="000000" w:themeColor="text1"/>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8320CCA"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63219E10"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Toda persona tiene derecho al libre acceso a información plural y oportuna, así como a buscar, recibir y difundir información e ideas de toda índole por cualquier medio de expresión.</w:t>
      </w:r>
    </w:p>
    <w:p w14:paraId="1BB9AF3F"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3D84B8C9"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Para efectos de lo dispuesto en el presente artículo se observará lo siguiente:</w:t>
      </w:r>
    </w:p>
    <w:p w14:paraId="27B1DA00"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6D0509D0" w14:textId="2B891EEC" w:rsidR="00E74B41" w:rsidRPr="002A6959" w:rsidRDefault="00E74B41" w:rsidP="002A6959">
      <w:pPr>
        <w:pStyle w:val="Prrafodelista"/>
        <w:numPr>
          <w:ilvl w:val="4"/>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Para el ejercicio del derecho de acceso a la información, la Federación, los Estados y el Distrito Federal, en el ámbito de sus respectivas competencias, se regirán por los siguientes principios y bases:</w:t>
      </w:r>
    </w:p>
    <w:p w14:paraId="75566C44"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0F8468B6" w14:textId="61CCA643"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B1D945"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72E90D05" w14:textId="055906C9"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La información que se refiere a la vida privada y los datos personales será protegida en los términos y con las excepciones que fijen las leyes.</w:t>
      </w:r>
    </w:p>
    <w:p w14:paraId="71A57AAA"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745FC3B7" w14:textId="7C17947A"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18E43C58"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06EBAF00" w14:textId="2FF8587B"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Se establecerán mecanismos de acceso a la información y procedimientos de revisión expeditos que se sustanciarán ante los organismos autónomos especializados e imparciales que establece esta Constitución.</w:t>
      </w:r>
    </w:p>
    <w:p w14:paraId="1AA53ADD"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4FCFFC09" w14:textId="3F47A509"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04D79B"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49D05C8E" w14:textId="2F8C101C"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Las leyes determinarán la manera en que los sujetos obligados deberán hacer pública la información relativa a los recursos públicos que entreguen a personas físicas o morales.</w:t>
      </w:r>
    </w:p>
    <w:p w14:paraId="597B882E"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73242952" w14:textId="1E36129D"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La inobservancia a las disposiciones en materia de acceso a la información pública será sancionada en los términos que dispongan las leyes.</w:t>
      </w:r>
    </w:p>
    <w:p w14:paraId="4D521C1C"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620D389C" w14:textId="52369169"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419BBA"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w:t>
      </w:r>
    </w:p>
    <w:p w14:paraId="60000D5A"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La ley establecerá aquella información que se considere reservada o confidencial.”</w:t>
      </w:r>
    </w:p>
    <w:p w14:paraId="7D0D2D47"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7D8EF918"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(Énfasis añadido)</w:t>
      </w:r>
    </w:p>
    <w:p w14:paraId="70F71B1B" w14:textId="77777777" w:rsidR="00E74B41" w:rsidRPr="00E74B41" w:rsidRDefault="00E74B41" w:rsidP="00E74B41">
      <w:pPr>
        <w:spacing w:line="360" w:lineRule="auto"/>
        <w:jc w:val="both"/>
        <w:rPr>
          <w:rFonts w:ascii="Palatino Linotype" w:hAnsi="Palatino Linotype" w:cs="Arial"/>
          <w:color w:val="000000" w:themeColor="text1"/>
        </w:rPr>
      </w:pPr>
    </w:p>
    <w:p w14:paraId="52D7D1B8" w14:textId="0982E52A" w:rsid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Por su parte, la Constitución Política del Estado Libre y Soberano de México, en su artículo 5°, dispone en su parte conducente, lo siguiente:</w:t>
      </w:r>
    </w:p>
    <w:p w14:paraId="7D9E25D7" w14:textId="77777777" w:rsidR="002A6959" w:rsidRPr="00E74B41" w:rsidRDefault="002A6959" w:rsidP="002A6959">
      <w:pPr>
        <w:pStyle w:val="Prrafodelista"/>
        <w:spacing w:line="360" w:lineRule="auto"/>
        <w:ind w:left="0"/>
        <w:jc w:val="both"/>
        <w:rPr>
          <w:rFonts w:ascii="Palatino Linotype" w:hAnsi="Palatino Linotype" w:cs="Arial"/>
          <w:color w:val="000000" w:themeColor="text1"/>
        </w:rPr>
      </w:pPr>
    </w:p>
    <w:p w14:paraId="3C9563E0" w14:textId="77777777" w:rsidR="00E74B41" w:rsidRPr="00736D6D"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736D6D">
        <w:rPr>
          <w:rFonts w:ascii="Palatino Linotype" w:hAnsi="Palatino Linotype" w:cs="Arial"/>
          <w:b/>
          <w:i/>
          <w:color w:val="000000" w:themeColor="text1"/>
          <w:sz w:val="22"/>
        </w:rPr>
        <w:t xml:space="preserve">“Artículo 5. … </w:t>
      </w:r>
    </w:p>
    <w:p w14:paraId="4A254EA8"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b/>
          <w:i/>
          <w:color w:val="000000" w:themeColor="text1"/>
          <w:sz w:val="22"/>
        </w:rPr>
        <w:t>El derecho a la información será garantizado por el Estado</w:t>
      </w:r>
      <w:r w:rsidRPr="002A6959">
        <w:rPr>
          <w:rFonts w:ascii="Palatino Linotype" w:hAnsi="Palatino Linotype" w:cs="Arial"/>
          <w:i/>
          <w:color w:val="000000" w:themeColor="text1"/>
          <w:sz w:val="22"/>
        </w:rPr>
        <w:t xml:space="preserve">. La ley establecerá las previsiones que permitan asegurar la protección, el respeto y la difusión de este derecho. </w:t>
      </w:r>
    </w:p>
    <w:p w14:paraId="14476B69"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F04F99"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282A59C1" w14:textId="77777777" w:rsidR="00E74B41" w:rsidRPr="002A6959"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Este derecho se regirá por los principios y bases siguientes:</w:t>
      </w:r>
    </w:p>
    <w:p w14:paraId="7BC20B4A" w14:textId="77777777" w:rsidR="00E74B41" w:rsidRPr="002A6959" w:rsidRDefault="00E74B41" w:rsidP="002A6959">
      <w:pPr>
        <w:spacing w:line="360" w:lineRule="auto"/>
        <w:ind w:left="567" w:right="616"/>
        <w:jc w:val="both"/>
        <w:rPr>
          <w:rFonts w:ascii="Palatino Linotype" w:hAnsi="Palatino Linotype" w:cs="Arial"/>
          <w:i/>
          <w:color w:val="000000" w:themeColor="text1"/>
          <w:sz w:val="22"/>
        </w:rPr>
      </w:pPr>
    </w:p>
    <w:p w14:paraId="5E380F57" w14:textId="116581D5"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b/>
          <w:i/>
          <w:color w:val="000000" w:themeColor="text1"/>
          <w:sz w:val="22"/>
        </w:rPr>
        <w:t>Toda la información en posesión de cualquier autoridad</w:t>
      </w:r>
      <w:r w:rsidRPr="002A6959">
        <w:rPr>
          <w:rFonts w:ascii="Palatino Linotype" w:hAnsi="Palatino Linotype" w:cs="Arial"/>
          <w:i/>
          <w:color w:val="000000" w:themeColor="text1"/>
          <w:sz w:val="22"/>
        </w:rPr>
        <w:t xml:space="preserve">, entidad, órgano y organismos de los Poderes Ejecutivo, Legislativo y Judicial, órganos autónomos, partidos políticos, fideicomisos y fondos públicos estatales y municipales, </w:t>
      </w:r>
      <w:r w:rsidRPr="002A6959">
        <w:rPr>
          <w:rFonts w:ascii="Palatino Linotype" w:hAnsi="Palatino Linotype" w:cs="Arial"/>
          <w:b/>
          <w:i/>
          <w:color w:val="000000" w:themeColor="text1"/>
          <w:sz w:val="22"/>
        </w:rPr>
        <w:t>así como del gobierno y de la administración pública municipal y sus organismos descentralizados</w:t>
      </w:r>
      <w:r w:rsidRPr="002A6959">
        <w:rPr>
          <w:rFonts w:ascii="Palatino Linotype" w:hAnsi="Palatino Linotype" w:cs="Arial"/>
          <w:i/>
          <w:color w:val="000000" w:themeColor="text1"/>
          <w:sz w:val="22"/>
        </w:rPr>
        <w:t xml:space="preserve">, asimismo de cualquier persona física, jurídica colectiva o sindicato que reciba y ejerza recursos públicos o realice actos de autoridad en el ámbito estatal y municipal, </w:t>
      </w:r>
      <w:r w:rsidRPr="002A6959">
        <w:rPr>
          <w:rFonts w:ascii="Palatino Linotype" w:hAnsi="Palatino Linotype" w:cs="Arial"/>
          <w:b/>
          <w:i/>
          <w:color w:val="000000" w:themeColor="text1"/>
          <w:sz w:val="22"/>
        </w:rPr>
        <w:t>es pública</w:t>
      </w:r>
      <w:r w:rsidRPr="002A6959">
        <w:rPr>
          <w:rFonts w:ascii="Palatino Linotype" w:hAnsi="Palatino Linotype" w:cs="Arial"/>
          <w:i/>
          <w:color w:val="000000" w:themeColor="text1"/>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7C7DB" w14:textId="3C1812BF"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lastRenderedPageBreak/>
        <w:t>La información referente a la intimidad de la vida privada y la imagen de las personas será protegida a través de un marco jurídico rígido de tratamiento y manejo de datos personales, con las excepciones que establezca la ley reglamentaria.</w:t>
      </w:r>
    </w:p>
    <w:p w14:paraId="2981C9A7" w14:textId="67B8A411"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75C7D3C8" w14:textId="3E118EA6"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Se establecerán mecanismos de acceso a la información y procedimientos de revisión expeditos que se sustanciarán ante el organismo autónomo especializado e imparcial que establece esta Constitución.</w:t>
      </w:r>
    </w:p>
    <w:p w14:paraId="48CF8676" w14:textId="386C35FA"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61AE85" w14:textId="096A92EC"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b/>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w:t>
      </w:r>
      <w:r w:rsidRPr="002A6959">
        <w:rPr>
          <w:rFonts w:ascii="Palatino Linotype" w:hAnsi="Palatino Linotype" w:cs="Arial"/>
          <w:i/>
          <w:color w:val="000000" w:themeColor="text1"/>
          <w:sz w:val="22"/>
        </w:rPr>
        <w:t xml:space="preserve"> y los indicadores que permitan rendir cuenta del cumplimiento de sus objetivos y los resultados obtenidos.</w:t>
      </w:r>
    </w:p>
    <w:p w14:paraId="292EE68E" w14:textId="5BC9C223" w:rsidR="00E74B41" w:rsidRPr="002A6959"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A6959">
        <w:rPr>
          <w:rFonts w:ascii="Palatino Linotype" w:hAnsi="Palatino Linotype" w:cs="Arial"/>
          <w:i/>
          <w:color w:val="000000" w:themeColor="text1"/>
          <w:sz w:val="22"/>
        </w:rPr>
        <w:t>La ley reglamentaria, determinará la manera en que los sujetos obligados deberán hacer pública la información relativa a los recursos públicos que entreguen a personas físicas o jurídicas colectivas.”</w:t>
      </w:r>
    </w:p>
    <w:p w14:paraId="16FB5AEB" w14:textId="77777777" w:rsidR="00E74B41" w:rsidRPr="002A6959" w:rsidRDefault="00E74B41" w:rsidP="002A6959">
      <w:pPr>
        <w:pStyle w:val="Prrafodelista"/>
        <w:spacing w:line="360" w:lineRule="auto"/>
        <w:ind w:left="567" w:right="616"/>
        <w:jc w:val="both"/>
        <w:rPr>
          <w:rFonts w:ascii="Palatino Linotype" w:hAnsi="Palatino Linotype" w:cs="Arial"/>
          <w:b/>
          <w:color w:val="000000" w:themeColor="text1"/>
        </w:rPr>
      </w:pPr>
      <w:r w:rsidRPr="002A6959">
        <w:rPr>
          <w:rFonts w:ascii="Palatino Linotype" w:hAnsi="Palatino Linotype" w:cs="Arial"/>
          <w:b/>
          <w:i/>
          <w:color w:val="000000" w:themeColor="text1"/>
          <w:sz w:val="22"/>
        </w:rPr>
        <w:t>(Énfasis añadido)</w:t>
      </w:r>
    </w:p>
    <w:p w14:paraId="43DBB101" w14:textId="77777777" w:rsidR="00E74B41" w:rsidRPr="00E74B41" w:rsidRDefault="00E74B41" w:rsidP="00E74B41">
      <w:pPr>
        <w:spacing w:line="360" w:lineRule="auto"/>
        <w:jc w:val="both"/>
        <w:rPr>
          <w:rFonts w:ascii="Palatino Linotype" w:hAnsi="Palatino Linotype" w:cs="Arial"/>
          <w:color w:val="000000" w:themeColor="text1"/>
        </w:rPr>
      </w:pPr>
    </w:p>
    <w:p w14:paraId="5E223FB7" w14:textId="27EEEF3C" w:rsidR="00E74B41" w:rsidRPr="00E74B41"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lastRenderedPageBreak/>
        <w:t xml:space="preserve">Adicional, tenemos que la Ley de Transparencia y Acceso a la Información Pública del Estado de México y Municipios, prevé en su artículo 23 fracción </w:t>
      </w:r>
      <w:r w:rsidR="00244D58">
        <w:rPr>
          <w:rFonts w:ascii="Palatino Linotype" w:hAnsi="Palatino Linotype" w:cs="Arial"/>
          <w:color w:val="000000" w:themeColor="text1"/>
        </w:rPr>
        <w:t>I</w:t>
      </w:r>
      <w:r w:rsidRPr="00E74B41">
        <w:rPr>
          <w:rFonts w:ascii="Palatino Linotype" w:hAnsi="Palatino Linotype" w:cs="Arial"/>
          <w:color w:val="000000" w:themeColor="text1"/>
        </w:rPr>
        <w:t>, lo siguiente:</w:t>
      </w:r>
    </w:p>
    <w:p w14:paraId="260C1A62" w14:textId="77777777" w:rsidR="00E74B41" w:rsidRPr="00D97D8E" w:rsidRDefault="00E74B41" w:rsidP="002A6959">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b/>
          <w:i/>
          <w:color w:val="000000" w:themeColor="text1"/>
          <w:sz w:val="22"/>
          <w:szCs w:val="22"/>
        </w:rPr>
        <w:t>“Artículo 23.</w:t>
      </w:r>
      <w:r w:rsidRPr="00D97D8E">
        <w:rPr>
          <w:rFonts w:ascii="Palatino Linotype" w:hAnsi="Palatino Linotype" w:cs="Arial"/>
          <w:i/>
          <w:color w:val="000000" w:themeColor="text1"/>
          <w:sz w:val="22"/>
          <w:szCs w:val="22"/>
        </w:rPr>
        <w:t xml:space="preserve"> Son sujetos obligados a transparentar y permitir el acceso a su información y proteger los datos personales que obren en su poder:</w:t>
      </w:r>
    </w:p>
    <w:p w14:paraId="395CF91E" w14:textId="626E2464" w:rsidR="00E74B41" w:rsidRPr="00D97D8E" w:rsidRDefault="00AB24C6" w:rsidP="00AB24C6">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I. El Poder Ejecutivo del Estado de México, las dependencias, organismos auxiliares, órganos, entidades, fideicomisos y fondos públicos, así como la Fiscalía General de Justicia del Estado de México;</w:t>
      </w:r>
      <w:r w:rsidR="00E74B41" w:rsidRPr="00D97D8E">
        <w:rPr>
          <w:rFonts w:ascii="Palatino Linotype" w:hAnsi="Palatino Linotype" w:cs="Arial"/>
          <w:i/>
          <w:color w:val="000000" w:themeColor="text1"/>
          <w:sz w:val="22"/>
          <w:szCs w:val="22"/>
        </w:rPr>
        <w:t>…</w:t>
      </w:r>
    </w:p>
    <w:p w14:paraId="794092FC" w14:textId="51E442E9" w:rsidR="00E74B41" w:rsidRPr="00D97D8E" w:rsidRDefault="00E74B41" w:rsidP="00244D58">
      <w:pPr>
        <w:pStyle w:val="Prrafodelista"/>
        <w:spacing w:line="360" w:lineRule="auto"/>
        <w:ind w:left="567" w:right="616"/>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w:t>
      </w:r>
    </w:p>
    <w:p w14:paraId="3D53B686" w14:textId="77777777" w:rsidR="00E74B41" w:rsidRPr="00D97D8E" w:rsidRDefault="00E74B41" w:rsidP="002A6959">
      <w:pPr>
        <w:pStyle w:val="Prrafodelista"/>
        <w:spacing w:line="360" w:lineRule="auto"/>
        <w:ind w:left="567"/>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867E64" w14:textId="77777777" w:rsidR="00E74B41" w:rsidRPr="00D97D8E" w:rsidRDefault="00E74B41" w:rsidP="002A6959">
      <w:pPr>
        <w:pStyle w:val="Prrafodelista"/>
        <w:spacing w:line="360" w:lineRule="auto"/>
        <w:ind w:left="567"/>
        <w:jc w:val="both"/>
        <w:rPr>
          <w:rFonts w:ascii="Palatino Linotype" w:hAnsi="Palatino Linotype" w:cs="Arial"/>
          <w:i/>
          <w:color w:val="000000" w:themeColor="text1"/>
          <w:sz w:val="22"/>
          <w:szCs w:val="22"/>
        </w:rPr>
      </w:pPr>
      <w:r w:rsidRPr="00D97D8E">
        <w:rPr>
          <w:rFonts w:ascii="Palatino Linotype" w:hAnsi="Palatino Linotype" w:cs="Arial"/>
          <w:i/>
          <w:color w:val="000000" w:themeColor="text1"/>
          <w:sz w:val="22"/>
          <w:szCs w:val="22"/>
        </w:rPr>
        <w:t>Los servidores públicos deberán transparentar sus acciones así como garantizar y respetar el derecho de acceso a la información pública.”</w:t>
      </w:r>
    </w:p>
    <w:p w14:paraId="06AB8B63" w14:textId="77777777" w:rsidR="00E74B41" w:rsidRPr="00D97D8E" w:rsidRDefault="00E74B41" w:rsidP="002A6959">
      <w:pPr>
        <w:pStyle w:val="Prrafodelista"/>
        <w:spacing w:line="360" w:lineRule="auto"/>
        <w:ind w:left="567"/>
        <w:jc w:val="both"/>
        <w:rPr>
          <w:rFonts w:ascii="Palatino Linotype" w:hAnsi="Palatino Linotype" w:cs="Arial"/>
          <w:b/>
          <w:i/>
          <w:color w:val="000000" w:themeColor="text1"/>
          <w:sz w:val="22"/>
          <w:szCs w:val="22"/>
        </w:rPr>
      </w:pPr>
      <w:r w:rsidRPr="00D97D8E">
        <w:rPr>
          <w:rFonts w:ascii="Palatino Linotype" w:hAnsi="Palatino Linotype" w:cs="Arial"/>
          <w:b/>
          <w:i/>
          <w:color w:val="000000" w:themeColor="text1"/>
          <w:sz w:val="22"/>
          <w:szCs w:val="22"/>
        </w:rPr>
        <w:t>(Énfasis añadido)</w:t>
      </w:r>
    </w:p>
    <w:p w14:paraId="7E0F0C42" w14:textId="77777777" w:rsidR="00E74B41" w:rsidRPr="00D97D8E" w:rsidRDefault="00E74B41" w:rsidP="00E74B41">
      <w:pPr>
        <w:spacing w:line="360" w:lineRule="auto"/>
        <w:jc w:val="both"/>
        <w:rPr>
          <w:rFonts w:ascii="Palatino Linotype" w:hAnsi="Palatino Linotype" w:cs="Arial"/>
          <w:color w:val="000000" w:themeColor="text1"/>
          <w:sz w:val="22"/>
          <w:szCs w:val="22"/>
        </w:rPr>
      </w:pPr>
    </w:p>
    <w:p w14:paraId="68F5A000" w14:textId="77777777" w:rsidR="002A6959" w:rsidRDefault="00E74B41" w:rsidP="002A6959">
      <w:pPr>
        <w:pStyle w:val="Prrafodelista"/>
        <w:numPr>
          <w:ilvl w:val="0"/>
          <w:numId w:val="32"/>
        </w:numPr>
        <w:spacing w:line="360" w:lineRule="auto"/>
        <w:ind w:left="0" w:firstLine="0"/>
        <w:jc w:val="both"/>
        <w:rPr>
          <w:rFonts w:ascii="Palatino Linotype" w:hAnsi="Palatino Linotype" w:cs="Arial"/>
          <w:color w:val="000000" w:themeColor="text1"/>
        </w:rPr>
      </w:pPr>
      <w:r w:rsidRPr="00E74B41">
        <w:rPr>
          <w:rFonts w:ascii="Palatino Linotype" w:hAnsi="Palatino Linotype" w:cs="Arial"/>
          <w:color w:val="000000" w:themeColor="text1"/>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A91F609" w14:textId="77777777" w:rsidR="002A6959" w:rsidRDefault="002A6959" w:rsidP="002A6959">
      <w:pPr>
        <w:pStyle w:val="Prrafodelista"/>
        <w:spacing w:line="360" w:lineRule="auto"/>
        <w:ind w:left="0"/>
        <w:jc w:val="both"/>
        <w:rPr>
          <w:rFonts w:ascii="Palatino Linotype" w:hAnsi="Palatino Linotype" w:cs="Arial"/>
          <w:color w:val="000000" w:themeColor="text1"/>
        </w:rPr>
      </w:pPr>
    </w:p>
    <w:p w14:paraId="746A8804" w14:textId="6E72780F" w:rsidR="00E74B41" w:rsidRDefault="00E74B41" w:rsidP="002A6959">
      <w:pPr>
        <w:pStyle w:val="Prrafodelista"/>
        <w:numPr>
          <w:ilvl w:val="0"/>
          <w:numId w:val="32"/>
        </w:numPr>
        <w:spacing w:line="360" w:lineRule="auto"/>
        <w:ind w:left="0" w:firstLine="0"/>
        <w:jc w:val="both"/>
        <w:rPr>
          <w:rFonts w:ascii="Palatino Linotype" w:hAnsi="Palatino Linotype" w:cs="Arial"/>
          <w:color w:val="000000" w:themeColor="text1"/>
        </w:rPr>
      </w:pPr>
      <w:r w:rsidRPr="002A6959">
        <w:rPr>
          <w:rFonts w:ascii="Palatino Linotype" w:hAnsi="Palatino Linotype" w:cs="Arial"/>
          <w:color w:val="000000" w:themeColor="text1"/>
        </w:rPr>
        <w:t>Por l</w:t>
      </w:r>
      <w:r w:rsidR="001F62B0">
        <w:rPr>
          <w:rFonts w:ascii="Palatino Linotype" w:hAnsi="Palatino Linotype" w:cs="Arial"/>
          <w:color w:val="000000" w:themeColor="text1"/>
        </w:rPr>
        <w:t>o anterior, es de referir que, la</w:t>
      </w:r>
      <w:r w:rsidRPr="002A6959">
        <w:rPr>
          <w:rFonts w:ascii="Palatino Linotype" w:hAnsi="Palatino Linotype" w:cs="Arial"/>
          <w:color w:val="000000" w:themeColor="text1"/>
        </w:rPr>
        <w:t xml:space="preserve"> </w:t>
      </w:r>
      <w:r w:rsidR="001F62B0" w:rsidRPr="001F62B0">
        <w:rPr>
          <w:rFonts w:ascii="Palatino Linotype" w:hAnsi="Palatino Linotype" w:cs="Arial"/>
          <w:b/>
          <w:color w:val="000000" w:themeColor="text1"/>
        </w:rPr>
        <w:t>Secretaría del Medio Ambiente</w:t>
      </w:r>
      <w:r w:rsidRPr="002A6959">
        <w:rPr>
          <w:rFonts w:ascii="Palatino Linotype" w:hAnsi="Palatino Linotype" w:cs="Arial"/>
          <w:color w:val="000000" w:themeColor="text1"/>
        </w:rPr>
        <w:t xml:space="preserve">, al ser un Sujeto Obligado comprendido por la Legislación Local en materia de Transparencia, </w:t>
      </w:r>
      <w:r w:rsidRPr="002A6959">
        <w:rPr>
          <w:rFonts w:ascii="Palatino Linotype" w:hAnsi="Palatino Linotype" w:cs="Arial"/>
          <w:color w:val="000000" w:themeColor="text1"/>
        </w:rPr>
        <w:lastRenderedPageBreak/>
        <w:t>se encuentra obligado a hacer pública toda aquella información que genere, administre o posea.</w:t>
      </w:r>
    </w:p>
    <w:p w14:paraId="296BFF7A" w14:textId="77777777" w:rsidR="006C5798" w:rsidRPr="006C5798" w:rsidRDefault="006C5798" w:rsidP="006C5798">
      <w:pPr>
        <w:pStyle w:val="Prrafodelista"/>
        <w:rPr>
          <w:rFonts w:ascii="Palatino Linotype" w:hAnsi="Palatino Linotype" w:cs="Arial"/>
          <w:color w:val="000000" w:themeColor="text1"/>
        </w:rPr>
      </w:pPr>
    </w:p>
    <w:p w14:paraId="2D7152CF" w14:textId="56AA8CF4" w:rsidR="006C5798" w:rsidRDefault="00016603" w:rsidP="00016603">
      <w:pPr>
        <w:pStyle w:val="Prrafodelista"/>
        <w:spacing w:line="360" w:lineRule="auto"/>
        <w:ind w:left="0"/>
        <w:jc w:val="both"/>
        <w:rPr>
          <w:rFonts w:ascii="Palatino Linotype" w:hAnsi="Palatino Linotype" w:cs="Arial"/>
          <w:b/>
          <w:color w:val="000000" w:themeColor="text1"/>
        </w:rPr>
      </w:pPr>
      <w:r w:rsidRPr="00016603">
        <w:rPr>
          <w:rFonts w:ascii="Palatino Linotype" w:hAnsi="Palatino Linotype" w:cs="Arial"/>
          <w:b/>
          <w:color w:val="000000" w:themeColor="text1"/>
        </w:rPr>
        <w:t>II. D</w:t>
      </w:r>
      <w:r w:rsidR="00AB24C6">
        <w:rPr>
          <w:rFonts w:ascii="Palatino Linotype" w:hAnsi="Palatino Linotype" w:cs="Arial"/>
          <w:b/>
          <w:color w:val="000000" w:themeColor="text1"/>
        </w:rPr>
        <w:t>e la información requerida</w:t>
      </w:r>
      <w:r>
        <w:rPr>
          <w:rFonts w:ascii="Palatino Linotype" w:hAnsi="Palatino Linotype" w:cs="Arial"/>
          <w:b/>
          <w:color w:val="000000" w:themeColor="text1"/>
        </w:rPr>
        <w:t>.</w:t>
      </w:r>
    </w:p>
    <w:p w14:paraId="67EE5B75" w14:textId="77777777" w:rsidR="00AB24C6" w:rsidRPr="00016603" w:rsidRDefault="00AB24C6" w:rsidP="00016603">
      <w:pPr>
        <w:pStyle w:val="Prrafodelista"/>
        <w:spacing w:line="360" w:lineRule="auto"/>
        <w:ind w:left="0"/>
        <w:jc w:val="both"/>
        <w:rPr>
          <w:rFonts w:ascii="Palatino Linotype" w:hAnsi="Palatino Linotype" w:cs="Arial"/>
          <w:b/>
          <w:color w:val="000000" w:themeColor="text1"/>
        </w:rPr>
      </w:pPr>
    </w:p>
    <w:p w14:paraId="378165A0" w14:textId="081B40F0" w:rsidR="008F712B" w:rsidRDefault="008F712B" w:rsidP="008F712B">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6C315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w:t>
      </w:r>
      <w:r>
        <w:rPr>
          <w:rFonts w:ascii="Palatino Linotype" w:eastAsia="Calibri" w:hAnsi="Palatino Linotype" w:cs="Arial"/>
        </w:rPr>
        <w:t>información sobre convenios firmados por la Secretaría del Medio Ambiente.</w:t>
      </w:r>
    </w:p>
    <w:p w14:paraId="7A24785F" w14:textId="77777777" w:rsidR="008F712B" w:rsidRDefault="008F712B" w:rsidP="008F712B">
      <w:pPr>
        <w:pStyle w:val="Prrafodelista"/>
        <w:tabs>
          <w:tab w:val="left" w:pos="567"/>
        </w:tabs>
        <w:spacing w:line="360" w:lineRule="auto"/>
        <w:ind w:left="0"/>
        <w:jc w:val="both"/>
        <w:rPr>
          <w:rFonts w:ascii="Palatino Linotype" w:eastAsia="Calibri" w:hAnsi="Palatino Linotype" w:cs="Arial"/>
        </w:rPr>
      </w:pPr>
    </w:p>
    <w:p w14:paraId="582E28D2" w14:textId="20D6A1F0" w:rsidR="008F712B" w:rsidRPr="00D97D8E" w:rsidRDefault="008F712B" w:rsidP="008F712B">
      <w:pPr>
        <w:pStyle w:val="Prrafodelista"/>
        <w:numPr>
          <w:ilvl w:val="0"/>
          <w:numId w:val="32"/>
        </w:numPr>
        <w:spacing w:line="360" w:lineRule="auto"/>
        <w:ind w:left="0" w:firstLine="0"/>
        <w:jc w:val="both"/>
        <w:rPr>
          <w:rFonts w:ascii="Palatino Linotype" w:hAnsi="Palatino Linotype" w:cs="Arial"/>
          <w:color w:val="000000" w:themeColor="text1"/>
        </w:rPr>
      </w:pPr>
      <w:r w:rsidRPr="00AF2D78">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no negó contar con la información, sino por el contrario, asumió </w:t>
      </w:r>
      <w:r>
        <w:rPr>
          <w:rFonts w:ascii="Palatino Linotype" w:eastAsia="Calibri" w:hAnsi="Palatino Linotype" w:cs="Arial"/>
        </w:rPr>
        <w:t>generarla, administrarla y poseerla, tan es así que proporcionó parte de la información requerida.</w:t>
      </w:r>
    </w:p>
    <w:p w14:paraId="1B2DA097" w14:textId="77777777" w:rsidR="00D97D8E" w:rsidRPr="00D97D8E" w:rsidRDefault="00D97D8E" w:rsidP="00D97D8E">
      <w:pPr>
        <w:pStyle w:val="Prrafodelista"/>
        <w:rPr>
          <w:rFonts w:ascii="Palatino Linotype" w:hAnsi="Palatino Linotype" w:cs="Arial"/>
          <w:color w:val="000000" w:themeColor="text1"/>
        </w:rPr>
      </w:pPr>
    </w:p>
    <w:p w14:paraId="2F7AF59F" w14:textId="77777777" w:rsidR="00D97D8E" w:rsidRPr="00D97D8E" w:rsidRDefault="00D97D8E" w:rsidP="00D97D8E">
      <w:pPr>
        <w:spacing w:line="360" w:lineRule="auto"/>
        <w:jc w:val="both"/>
        <w:rPr>
          <w:rFonts w:ascii="Palatino Linotype" w:hAnsi="Palatino Linotype" w:cs="Arial"/>
          <w:color w:val="000000" w:themeColor="text1"/>
        </w:rPr>
      </w:pPr>
    </w:p>
    <w:p w14:paraId="63768271" w14:textId="77777777" w:rsidR="008F712B" w:rsidRDefault="00016603"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Debemos precisar que los requerimientos formulados por el particular van encaminados a requerir </w:t>
      </w:r>
      <w:r w:rsidR="008F712B">
        <w:rPr>
          <w:rFonts w:ascii="Palatino Linotype" w:hAnsi="Palatino Linotype" w:cs="Arial"/>
          <w:color w:val="000000" w:themeColor="text1"/>
        </w:rPr>
        <w:t>la siguiente información:</w:t>
      </w:r>
    </w:p>
    <w:p w14:paraId="7751987E" w14:textId="77777777" w:rsidR="008F712B" w:rsidRPr="00D97D8E" w:rsidRDefault="008F712B" w:rsidP="008F712B">
      <w:pPr>
        <w:pStyle w:val="Prrafodelista"/>
        <w:spacing w:line="360" w:lineRule="auto"/>
        <w:ind w:left="0"/>
        <w:jc w:val="both"/>
        <w:rPr>
          <w:rFonts w:ascii="Palatino Linotype" w:hAnsi="Palatino Linotype" w:cs="Arial"/>
          <w:color w:val="000000" w:themeColor="text1"/>
          <w:sz w:val="22"/>
        </w:rPr>
      </w:pPr>
    </w:p>
    <w:p w14:paraId="5B941E44" w14:textId="77777777" w:rsidR="008F712B" w:rsidRPr="00D97D8E" w:rsidRDefault="008F712B" w:rsidP="008F712B">
      <w:pPr>
        <w:pStyle w:val="Prrafodelista"/>
        <w:numPr>
          <w:ilvl w:val="0"/>
          <w:numId w:val="46"/>
        </w:numPr>
        <w:spacing w:line="360" w:lineRule="auto"/>
        <w:jc w:val="both"/>
        <w:rPr>
          <w:rFonts w:ascii="Palatino Linotype" w:hAnsi="Palatino Linotype" w:cs="Arial"/>
          <w:color w:val="000000" w:themeColor="text1"/>
          <w:sz w:val="22"/>
          <w:szCs w:val="22"/>
        </w:rPr>
      </w:pPr>
      <w:r w:rsidRPr="00D97D8E">
        <w:rPr>
          <w:rFonts w:ascii="Palatino Linotype" w:hAnsi="Palatino Linotype" w:cs="Arial"/>
          <w:color w:val="000000" w:themeColor="text1"/>
          <w:sz w:val="22"/>
          <w:szCs w:val="22"/>
        </w:rPr>
        <w:t>Total de convenios firmados por la Secretaria del Medio Ambiente con otras entidades públicas o privadas en el periodo de gobierno  del 2005 a 2017.</w:t>
      </w:r>
    </w:p>
    <w:p w14:paraId="356A6194" w14:textId="56AF8DC6" w:rsidR="008F712B" w:rsidRDefault="008F712B"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Si bien, la información requerida versa sobre el mismo tema, es conveniente analizar las solicitudes de acceso a la información de forma individual, esto derivado de la temporalidad requerida y por la respuesta emitida por el Sujeto Obligado.</w:t>
      </w:r>
    </w:p>
    <w:p w14:paraId="2E142A82" w14:textId="77777777" w:rsidR="008F712B" w:rsidRPr="00D97D8E" w:rsidRDefault="008F712B" w:rsidP="008F712B">
      <w:pPr>
        <w:pStyle w:val="Prrafodelista"/>
        <w:spacing w:line="360" w:lineRule="auto"/>
        <w:ind w:left="0"/>
        <w:jc w:val="both"/>
        <w:rPr>
          <w:rFonts w:ascii="Palatino Linotype" w:hAnsi="Palatino Linotype" w:cs="Arial"/>
          <w:color w:val="000000" w:themeColor="text1"/>
          <w:sz w:val="22"/>
        </w:rPr>
      </w:pPr>
    </w:p>
    <w:p w14:paraId="650F421C" w14:textId="1E0C0514" w:rsidR="008F712B" w:rsidRPr="00D97D8E" w:rsidRDefault="008F712B" w:rsidP="008F712B">
      <w:pPr>
        <w:pStyle w:val="Prrafodelista"/>
        <w:numPr>
          <w:ilvl w:val="2"/>
          <w:numId w:val="32"/>
        </w:numPr>
        <w:spacing w:line="360" w:lineRule="auto"/>
        <w:ind w:left="993" w:hanging="426"/>
        <w:jc w:val="both"/>
        <w:rPr>
          <w:rFonts w:ascii="Palatino Linotype" w:hAnsi="Palatino Linotype" w:cs="Arial"/>
          <w:b/>
          <w:color w:val="000000" w:themeColor="text1"/>
          <w:sz w:val="22"/>
        </w:rPr>
      </w:pPr>
      <w:r w:rsidRPr="00D97D8E">
        <w:rPr>
          <w:rFonts w:ascii="Palatino Linotype" w:hAnsi="Palatino Linotype" w:cs="Arial"/>
          <w:b/>
          <w:color w:val="000000" w:themeColor="text1"/>
          <w:sz w:val="22"/>
        </w:rPr>
        <w:t>Recurso de revisión 13329/INFOEM/IP/RR/2022.</w:t>
      </w:r>
    </w:p>
    <w:p w14:paraId="156828C8" w14:textId="77777777" w:rsidR="008F712B" w:rsidRPr="008F712B" w:rsidRDefault="008F712B" w:rsidP="008F712B">
      <w:pPr>
        <w:pStyle w:val="Prrafodelista"/>
        <w:rPr>
          <w:rFonts w:ascii="Palatino Linotype" w:hAnsi="Palatino Linotype" w:cs="Arial"/>
          <w:color w:val="000000" w:themeColor="text1"/>
        </w:rPr>
      </w:pPr>
    </w:p>
    <w:p w14:paraId="61095635" w14:textId="5FD97BCB" w:rsidR="008F712B" w:rsidRPr="00256E0B" w:rsidRDefault="008F712B"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56E0B">
        <w:rPr>
          <w:rFonts w:ascii="Palatino Linotype" w:hAnsi="Palatino Linotype" w:cs="Arial"/>
          <w:color w:val="000000" w:themeColor="text1"/>
        </w:rPr>
        <w:t>El particular solicitó convenios firmados por la Secretaría del Medio Ambiente del periodo comprendido del 2005 al 2011.</w:t>
      </w:r>
    </w:p>
    <w:p w14:paraId="1A0610C0" w14:textId="77777777" w:rsidR="008F712B" w:rsidRPr="00256E0B" w:rsidRDefault="008F712B" w:rsidP="008F712B">
      <w:pPr>
        <w:pStyle w:val="Prrafodelista"/>
        <w:spacing w:line="360" w:lineRule="auto"/>
        <w:ind w:left="0"/>
        <w:jc w:val="both"/>
        <w:rPr>
          <w:rFonts w:ascii="Palatino Linotype" w:hAnsi="Palatino Linotype" w:cs="Arial"/>
          <w:color w:val="000000" w:themeColor="text1"/>
        </w:rPr>
      </w:pPr>
    </w:p>
    <w:p w14:paraId="49E63BDC" w14:textId="77777777" w:rsidR="00B75387" w:rsidRPr="00256E0B" w:rsidRDefault="00B75387" w:rsidP="00B75387">
      <w:pPr>
        <w:pStyle w:val="Prrafodelista"/>
        <w:numPr>
          <w:ilvl w:val="0"/>
          <w:numId w:val="32"/>
        </w:numPr>
        <w:spacing w:line="360" w:lineRule="auto"/>
        <w:ind w:left="0" w:firstLine="0"/>
        <w:jc w:val="both"/>
        <w:rPr>
          <w:rFonts w:ascii="Palatino Linotype" w:hAnsi="Palatino Linotype" w:cs="Arial"/>
          <w:color w:val="000000" w:themeColor="text1"/>
        </w:rPr>
      </w:pPr>
      <w:r w:rsidRPr="00256E0B">
        <w:rPr>
          <w:rFonts w:ascii="Palatino Linotype" w:eastAsia="Calibri" w:hAnsi="Palatino Linotype" w:cs="Arial"/>
        </w:rPr>
        <w:t>El Sujeto Obligado en respuesta manifestó que es información que no existe en sus archivos, a través del documento denominado ACTA 22 SE CT.pdf se contiene el Acta de la Vigésima Segunda Sesión Extraordinaria del año 2022 del Comité de Transparencia de la Secretaría del Medio Ambiente, en la cual se enlista en el punto 9 del orden del día la solicitud 00303/SMA/IP/2022 petición realizada por la Coordinación Jurídica y de Igualdad de Género para declarar la inexistencia de la información requerida, haciendo énfasis que de la lectura de los oficios 21205000-237/2011 y 212050000-576/2013 se acredita que por la antigüedad y los tiempos de conservación, la documentación de trámite concluido correspondiente a los periodos 2003-2009 y 2008-2011, generada por la Coordinación Jurídica, fue transferida al Archivo General del Poder Ejecutivo, razón por la cual, después de realizar una búsqueda exhaustiva y razonable de la información, no existe documento alguno relativo a posibles Convenios suscritos por la Secretaría en el periodo requerido por el Particular. En consecuencia, a través del acuerdo No. CT-SMA/22-E/2022/007, por unanimidad de votos el Comité de Transparencia CONFIRMÓ la inexistencia de la información.</w:t>
      </w:r>
    </w:p>
    <w:p w14:paraId="4B64D34E" w14:textId="4246E7AB"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lastRenderedPageBreak/>
        <w:t>En el mismo sentido y, a efecto de sustentar lo dicho en al acta del Comité de Transparencia, el Sujeto Obligado adjuntó los oficios 21205000-237/2011 y 212050000-576/2013, en los cuales, medularmente refieren que toda la información de trámite concluido generada por la Coordinación Jurídica correspondiente a los periodos 2003-2009 y 2008-2011 fue remitida al archivo general del Poder Ejecutivo.</w:t>
      </w:r>
    </w:p>
    <w:p w14:paraId="760B3C69" w14:textId="77777777" w:rsidR="00B75387" w:rsidRPr="00256E0B" w:rsidRDefault="00B75387" w:rsidP="00B75387">
      <w:pPr>
        <w:pStyle w:val="Prrafodelista"/>
        <w:rPr>
          <w:rFonts w:ascii="Palatino Linotype" w:eastAsia="Calibri" w:hAnsi="Palatino Linotype" w:cs="Arial"/>
        </w:rPr>
      </w:pPr>
    </w:p>
    <w:p w14:paraId="2819899F"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t>Dicho lo anterior, el particular se inconformó por lo siguiente:</w:t>
      </w:r>
    </w:p>
    <w:p w14:paraId="76C16DCD" w14:textId="77777777" w:rsidR="00B75387" w:rsidRPr="00256E0B" w:rsidRDefault="00B75387" w:rsidP="00B75387">
      <w:pPr>
        <w:pStyle w:val="Prrafodelista"/>
        <w:rPr>
          <w:rFonts w:ascii="Palatino Linotype" w:eastAsia="Calibri" w:hAnsi="Palatino Linotype" w:cs="Arial"/>
        </w:rPr>
      </w:pPr>
    </w:p>
    <w:p w14:paraId="759E57E4" w14:textId="77777777" w:rsidR="00B75387" w:rsidRPr="00256E0B" w:rsidRDefault="00B75387" w:rsidP="00B75387">
      <w:pPr>
        <w:ind w:left="567" w:right="758"/>
        <w:jc w:val="both"/>
        <w:rPr>
          <w:rFonts w:ascii="Palatino Linotype" w:eastAsia="Times New Roman" w:hAnsi="Palatino Linotype" w:cs="Times New Roman"/>
          <w:i/>
          <w:sz w:val="40"/>
          <w:lang w:eastAsia="es-MX"/>
        </w:rPr>
      </w:pPr>
      <w:r w:rsidRPr="00256E0B">
        <w:rPr>
          <w:rFonts w:ascii="Palatino Linotype" w:eastAsia="Times New Roman" w:hAnsi="Palatino Linotype" w:cs="Times New Roman"/>
          <w:i/>
          <w:sz w:val="22"/>
          <w:szCs w:val="14"/>
          <w:lang w:eastAsia="es-MX"/>
        </w:rPr>
        <w:t>“ANEXAN DOS OFICIOS PERO AHI NO SE EXPLICA EN QUE ARCHIVO SE ENVIARN LOS DOCUMENTOS DE CONVENIOS AL ARCHIVO GENERAL”</w:t>
      </w:r>
    </w:p>
    <w:p w14:paraId="569EC0EF" w14:textId="77777777" w:rsidR="00B75387" w:rsidRPr="00256E0B" w:rsidRDefault="00B75387" w:rsidP="00B75387">
      <w:pPr>
        <w:pStyle w:val="Prrafodelista"/>
        <w:tabs>
          <w:tab w:val="left" w:pos="567"/>
        </w:tabs>
        <w:spacing w:line="360" w:lineRule="auto"/>
        <w:ind w:left="0"/>
        <w:jc w:val="both"/>
        <w:rPr>
          <w:rFonts w:ascii="Palatino Linotype" w:eastAsia="Calibri" w:hAnsi="Palatino Linotype" w:cs="Arial"/>
        </w:rPr>
      </w:pPr>
    </w:p>
    <w:p w14:paraId="235C7B73"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MS Mincho" w:hAnsi="Palatino Linotype"/>
        </w:rPr>
        <w:t xml:space="preserve">Ahora bien, como se observa, el Recurrente únicamente mostró su inconformidad porque los dos oficios no explican en qué archivo enviaron los documentos de convenios al archivo general, es decir, el particular no muestra inconformad por la inexistencia de la información, por ende, </w:t>
      </w:r>
      <w:r w:rsidRPr="00256E0B">
        <w:rPr>
          <w:rFonts w:ascii="Palatino Linotype" w:eastAsia="Calibri" w:hAnsi="Palatino Linotype" w:cs="Arial"/>
        </w:rPr>
        <w:t>dicho rubros que no se recurrieron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DF8B076" w14:textId="77777777" w:rsidR="00B75387" w:rsidRPr="00256E0B" w:rsidRDefault="00B75387" w:rsidP="00B75387">
      <w:pPr>
        <w:autoSpaceDE w:val="0"/>
        <w:autoSpaceDN w:val="0"/>
        <w:adjustRightInd w:val="0"/>
        <w:spacing w:before="240" w:after="360"/>
        <w:ind w:left="851" w:right="900"/>
        <w:jc w:val="both"/>
        <w:rPr>
          <w:rFonts w:ascii="Palatino Linotype" w:eastAsia="Calibri" w:hAnsi="Palatino Linotype" w:cs="Arial"/>
          <w:i/>
          <w:sz w:val="22"/>
        </w:rPr>
      </w:pPr>
      <w:r w:rsidRPr="00256E0B">
        <w:rPr>
          <w:rFonts w:ascii="Palatino Linotype" w:eastAsia="Calibri" w:hAnsi="Palatino Linotype" w:cs="Arial"/>
          <w:b/>
          <w:i/>
          <w:sz w:val="22"/>
        </w:rPr>
        <w:t xml:space="preserve">“REVISIÓN EN AMPARO. LOS RESOLUTIVOS NO COMBATIDOS DEBEN DECLARARSE FIRMES. </w:t>
      </w:r>
      <w:r w:rsidRPr="00256E0B">
        <w:rPr>
          <w:rFonts w:ascii="Palatino Linotype" w:eastAsia="Calibri" w:hAnsi="Palatino Linotype" w:cs="Arial"/>
          <w:bCs/>
          <w:i/>
          <w:iCs/>
          <w:sz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sidRPr="00256E0B">
        <w:rPr>
          <w:rFonts w:ascii="Palatino Linotype" w:eastAsia="Calibri" w:hAnsi="Palatino Linotype" w:cs="Arial"/>
          <w:bCs/>
          <w:i/>
          <w:iCs/>
          <w:sz w:val="22"/>
        </w:rPr>
        <w:lastRenderedPageBreak/>
        <w:t>reflejarse en la parte considerativa y en los resolutivos debe confirmarse la sentencia recurrida en la parte correspondiente.”</w:t>
      </w:r>
    </w:p>
    <w:p w14:paraId="389675DC" w14:textId="77777777" w:rsidR="00B75387" w:rsidRPr="00256E0B" w:rsidRDefault="00B75387" w:rsidP="00B75387">
      <w:pPr>
        <w:pStyle w:val="Prrafodelista"/>
        <w:numPr>
          <w:ilvl w:val="0"/>
          <w:numId w:val="32"/>
        </w:numPr>
        <w:spacing w:before="240" w:after="240" w:line="360" w:lineRule="auto"/>
        <w:ind w:left="0" w:firstLine="0"/>
        <w:jc w:val="both"/>
        <w:rPr>
          <w:rFonts w:ascii="Palatino Linotype" w:eastAsia="Arial Unicode MS" w:hAnsi="Palatino Linotype" w:cs="Arial"/>
        </w:rPr>
      </w:pPr>
      <w:r w:rsidRPr="00256E0B">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7F344E56" w14:textId="77777777" w:rsidR="00B75387" w:rsidRPr="00256E0B" w:rsidRDefault="00B75387" w:rsidP="00B75387">
      <w:pPr>
        <w:pStyle w:val="Prrafodelista"/>
        <w:spacing w:before="240" w:after="240" w:line="360" w:lineRule="auto"/>
        <w:ind w:left="0"/>
        <w:jc w:val="both"/>
        <w:rPr>
          <w:rFonts w:ascii="Palatino Linotype" w:eastAsia="Arial Unicode MS" w:hAnsi="Palatino Linotype" w:cs="Arial"/>
        </w:rPr>
      </w:pPr>
    </w:p>
    <w:p w14:paraId="14AE3C25" w14:textId="77777777" w:rsidR="00B75387" w:rsidRPr="00256E0B" w:rsidRDefault="00B75387" w:rsidP="00B75387">
      <w:pPr>
        <w:pStyle w:val="Prrafodelista"/>
        <w:numPr>
          <w:ilvl w:val="0"/>
          <w:numId w:val="32"/>
        </w:numPr>
        <w:spacing w:before="240" w:after="240" w:line="360" w:lineRule="auto"/>
        <w:ind w:left="0" w:firstLine="0"/>
        <w:jc w:val="both"/>
        <w:rPr>
          <w:rFonts w:ascii="Palatino Linotype" w:eastAsia="Arial Unicode MS" w:hAnsi="Palatino Linotype" w:cs="Arial"/>
        </w:rPr>
      </w:pPr>
      <w:r w:rsidRPr="00256E0B">
        <w:rPr>
          <w:rFonts w:ascii="Palatino Linotype" w:eastAsia="Arial Unicode MS" w:hAnsi="Palatino Linotype" w:cs="Arial"/>
        </w:rPr>
        <w:t xml:space="preserve">Sirve de sustento a lo anterior por analogía la tesis jurisprudencial número </w:t>
      </w:r>
      <w:r w:rsidRPr="00256E0B">
        <w:rPr>
          <w:rFonts w:ascii="Palatino Linotype" w:eastAsia="Calibri" w:hAnsi="Palatino Linotype" w:cs="Arial"/>
        </w:rPr>
        <w:t>VI.3o.C. J/60, publicada en el Semanario Judicial de la Federación y su Gaceta bajo el número de registro 176,608 que a la letra dice:</w:t>
      </w:r>
    </w:p>
    <w:p w14:paraId="7B461780" w14:textId="77777777" w:rsidR="00B75387" w:rsidRPr="00256E0B" w:rsidRDefault="00B75387" w:rsidP="00B75387">
      <w:pPr>
        <w:pStyle w:val="Prrafodelista"/>
        <w:rPr>
          <w:rFonts w:ascii="Palatino Linotype" w:eastAsia="Arial Unicode MS" w:hAnsi="Palatino Linotype" w:cs="Arial"/>
        </w:rPr>
      </w:pPr>
    </w:p>
    <w:p w14:paraId="4B009551" w14:textId="77777777" w:rsidR="00B75387" w:rsidRPr="00D97D8E" w:rsidRDefault="00B75387" w:rsidP="00B75387">
      <w:pPr>
        <w:pStyle w:val="Prrafodelista"/>
        <w:spacing w:line="360" w:lineRule="auto"/>
        <w:ind w:left="567" w:right="616"/>
        <w:jc w:val="both"/>
        <w:rPr>
          <w:rFonts w:ascii="Palatino Linotype" w:hAnsi="Palatino Linotype" w:cs="Arial"/>
          <w:i/>
          <w:sz w:val="22"/>
        </w:rPr>
      </w:pPr>
      <w:r w:rsidRPr="00D97D8E">
        <w:rPr>
          <w:rFonts w:ascii="Palatino Linotype" w:hAnsi="Palatino Linotype" w:cs="Arial"/>
          <w:b/>
          <w:bCs/>
          <w:i/>
          <w:caps/>
          <w:sz w:val="22"/>
        </w:rPr>
        <w:t xml:space="preserve">“ACTOS CONSENTIDOS. SON LOS QUE NO SE IMPUGNAN MEDIANTE EL RECURSO IDÓNEO. </w:t>
      </w:r>
      <w:r w:rsidRPr="00D97D8E">
        <w:rPr>
          <w:rFonts w:ascii="Palatino Linotype" w:hAnsi="Palatino Linotype" w:cs="Arial"/>
          <w:i/>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06D1C2A" w14:textId="77777777" w:rsidR="00B75387" w:rsidRPr="00D97D8E" w:rsidRDefault="00B75387" w:rsidP="00B75387">
      <w:pPr>
        <w:pStyle w:val="Prrafodelista"/>
        <w:spacing w:line="360" w:lineRule="auto"/>
        <w:ind w:left="0" w:right="616"/>
        <w:jc w:val="both"/>
        <w:rPr>
          <w:rFonts w:ascii="Palatino Linotype" w:eastAsia="MS Mincho" w:hAnsi="Palatino Linotype"/>
          <w:sz w:val="22"/>
        </w:rPr>
      </w:pPr>
    </w:p>
    <w:p w14:paraId="24DE6C00" w14:textId="77777777" w:rsidR="00B75387" w:rsidRPr="00256E0B" w:rsidRDefault="00B75387" w:rsidP="00B75387">
      <w:pPr>
        <w:pStyle w:val="Prrafodelista"/>
        <w:numPr>
          <w:ilvl w:val="0"/>
          <w:numId w:val="32"/>
        </w:numPr>
        <w:spacing w:line="360" w:lineRule="auto"/>
        <w:ind w:left="0" w:right="49" w:firstLine="0"/>
        <w:jc w:val="both"/>
        <w:rPr>
          <w:rFonts w:ascii="Palatino Linotype" w:eastAsia="MS Mincho" w:hAnsi="Palatino Linotype"/>
        </w:rPr>
      </w:pPr>
      <w:r w:rsidRPr="00256E0B">
        <w:rPr>
          <w:rFonts w:ascii="Palatino Linotype" w:eastAsia="MS Mincho" w:hAnsi="Palatino Linotype"/>
        </w:rPr>
        <w:t>En consecuencia, el análisis del presente asunto se centrará únicamente a verificar los agravios del particular.</w:t>
      </w:r>
    </w:p>
    <w:p w14:paraId="03E1EF7B" w14:textId="77777777" w:rsidR="00B75387" w:rsidRPr="00256E0B" w:rsidRDefault="00B75387" w:rsidP="00B75387">
      <w:pPr>
        <w:pStyle w:val="Prrafodelista"/>
        <w:tabs>
          <w:tab w:val="left" w:pos="567"/>
        </w:tabs>
        <w:spacing w:line="360" w:lineRule="auto"/>
        <w:ind w:left="0"/>
        <w:jc w:val="both"/>
        <w:rPr>
          <w:rFonts w:ascii="Palatino Linotype" w:eastAsia="Calibri" w:hAnsi="Palatino Linotype" w:cs="Arial"/>
        </w:rPr>
      </w:pPr>
    </w:p>
    <w:p w14:paraId="0DACECFF" w14:textId="77777777" w:rsidR="00B75387" w:rsidRPr="00256E0B" w:rsidRDefault="00B75387" w:rsidP="00B75387">
      <w:pPr>
        <w:pStyle w:val="Prrafodelista"/>
        <w:numPr>
          <w:ilvl w:val="0"/>
          <w:numId w:val="32"/>
        </w:numPr>
        <w:spacing w:line="360" w:lineRule="auto"/>
        <w:ind w:left="0" w:firstLine="0"/>
        <w:jc w:val="both"/>
        <w:rPr>
          <w:rFonts w:ascii="Palatino Linotype" w:eastAsia="Calibri" w:hAnsi="Palatino Linotype" w:cs="Arial"/>
        </w:rPr>
      </w:pPr>
      <w:r w:rsidRPr="00256E0B">
        <w:rPr>
          <w:rFonts w:ascii="Palatino Linotype" w:hAnsi="Palatino Linotype" w:cs="Arial"/>
          <w:color w:val="000000"/>
        </w:rPr>
        <w:t>Es necesario traer a contexto los artículos 4 y 12, de la Ley de Transparencia y Acceso a la Información Pública del Estado de México y Municipios, los cuales establecen lo siguiente:</w:t>
      </w:r>
    </w:p>
    <w:p w14:paraId="063C38FD"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lastRenderedPageBreak/>
        <w:t xml:space="preserve">Artículo 4. </w:t>
      </w:r>
      <w:r w:rsidRPr="00256E0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F62E74C"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040F4"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p>
    <w:p w14:paraId="41D88B29"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2B5F786A"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Arial"/>
          <w:i/>
          <w:color w:val="000000"/>
          <w:sz w:val="28"/>
        </w:rPr>
      </w:pPr>
    </w:p>
    <w:p w14:paraId="089B5028"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t xml:space="preserve">Artículo 12. </w:t>
      </w:r>
      <w:r w:rsidRPr="00256E0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495EB33F"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b/>
          <w:i/>
          <w:sz w:val="22"/>
        </w:rPr>
      </w:pPr>
      <w:r w:rsidRPr="00256E0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256E0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510F51E0" w14:textId="77777777" w:rsidR="00B75387" w:rsidRPr="00256E0B" w:rsidRDefault="00B75387" w:rsidP="00B75387">
      <w:pPr>
        <w:autoSpaceDE w:val="0"/>
        <w:autoSpaceDN w:val="0"/>
        <w:adjustRightInd w:val="0"/>
        <w:spacing w:line="360" w:lineRule="auto"/>
        <w:ind w:left="567" w:right="567"/>
        <w:jc w:val="both"/>
        <w:rPr>
          <w:rFonts w:ascii="Palatino Linotype" w:hAnsi="Palatino Linotype" w:cs="Bookman Old Style"/>
          <w:i/>
          <w:sz w:val="22"/>
        </w:rPr>
      </w:pPr>
    </w:p>
    <w:p w14:paraId="53C4DDFC" w14:textId="77777777" w:rsidR="00B75387" w:rsidRPr="00256E0B" w:rsidRDefault="00B75387" w:rsidP="00B75387">
      <w:pPr>
        <w:pStyle w:val="Prrafodelista"/>
        <w:numPr>
          <w:ilvl w:val="0"/>
          <w:numId w:val="32"/>
        </w:numPr>
        <w:tabs>
          <w:tab w:val="left" w:pos="851"/>
        </w:tabs>
        <w:spacing w:line="360" w:lineRule="auto"/>
        <w:ind w:left="0" w:right="49" w:firstLine="0"/>
        <w:jc w:val="both"/>
        <w:rPr>
          <w:rFonts w:ascii="Palatino Linotype" w:hAnsi="Palatino Linotype"/>
          <w:lang w:val="es-ES"/>
        </w:rPr>
      </w:pPr>
      <w:r w:rsidRPr="00256E0B">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56E0B">
        <w:rPr>
          <w:rStyle w:val="Refdenotaalpie"/>
          <w:lang w:val="es-ES"/>
        </w:rPr>
        <w:footnoteReference w:id="1"/>
      </w:r>
      <w:r w:rsidRPr="00256E0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asimismo, impera la obligatoriedad de entregar los documentos que obren en sus archivos en el estado en el que se encuentren, sin que exista la obligación de elaborar documentos conforme a las necesidades de los particulares.</w:t>
      </w:r>
    </w:p>
    <w:p w14:paraId="4284DDB2" w14:textId="77777777" w:rsidR="00B75387" w:rsidRPr="00256E0B" w:rsidRDefault="00B75387" w:rsidP="00B75387">
      <w:pPr>
        <w:pStyle w:val="Prrafodelista"/>
        <w:tabs>
          <w:tab w:val="left" w:pos="851"/>
        </w:tabs>
        <w:spacing w:line="360" w:lineRule="auto"/>
        <w:ind w:left="0" w:right="49"/>
        <w:jc w:val="both"/>
        <w:rPr>
          <w:rFonts w:ascii="Palatino Linotype" w:hAnsi="Palatino Linotype"/>
          <w:lang w:val="es-ES"/>
        </w:rPr>
      </w:pPr>
    </w:p>
    <w:p w14:paraId="7E39C4A3" w14:textId="77777777" w:rsidR="00B75387" w:rsidRPr="00256E0B" w:rsidRDefault="00B75387" w:rsidP="00B75387">
      <w:pPr>
        <w:pStyle w:val="Prrafodelista"/>
        <w:numPr>
          <w:ilvl w:val="0"/>
          <w:numId w:val="32"/>
        </w:numPr>
        <w:tabs>
          <w:tab w:val="left" w:pos="0"/>
        </w:tabs>
        <w:spacing w:line="360" w:lineRule="auto"/>
        <w:ind w:left="0" w:right="49" w:firstLine="0"/>
        <w:jc w:val="both"/>
        <w:rPr>
          <w:rFonts w:ascii="Palatino Linotype" w:hAnsi="Palatino Linotype"/>
        </w:rPr>
      </w:pPr>
      <w:r w:rsidRPr="00256E0B">
        <w:rPr>
          <w:rFonts w:ascii="Palatino Linotype" w:hAnsi="Palatino Linotype" w:cs="Arial"/>
        </w:rPr>
        <w:t xml:space="preserve">Robustece lo anteriormente expuesto el Criterio 09-10, emitido por </w:t>
      </w:r>
      <w:r w:rsidRPr="00256E0B">
        <w:rPr>
          <w:rFonts w:ascii="Palatino Linotype" w:eastAsia="Arial Unicode MS" w:hAnsi="Palatino Linotype" w:cs="Arial"/>
        </w:rPr>
        <w:t xml:space="preserve">el Pleno del entonces </w:t>
      </w:r>
      <w:r w:rsidRPr="00256E0B">
        <w:rPr>
          <w:rFonts w:ascii="Palatino Linotype" w:eastAsia="Arial Unicode MS" w:hAnsi="Palatino Linotype" w:cs="Arial"/>
          <w:bCs/>
        </w:rPr>
        <w:t xml:space="preserve">Instituto Federal de Acceso a la Información y Protección de Datos, </w:t>
      </w:r>
      <w:r w:rsidRPr="00256E0B">
        <w:rPr>
          <w:rFonts w:ascii="Palatino Linotype" w:eastAsia="Arial Unicode MS" w:hAnsi="Palatino Linotype" w:cs="Arial"/>
        </w:rPr>
        <w:t>ahora Instituto Nacional de Transparencia, Acceso a la Información y Protección de Datos Personales,</w:t>
      </w:r>
      <w:r w:rsidRPr="00256E0B">
        <w:rPr>
          <w:rFonts w:ascii="Palatino Linotype" w:hAnsi="Palatino Linotype"/>
          <w:bCs/>
        </w:rPr>
        <w:t xml:space="preserve"> que dice:</w:t>
      </w:r>
      <w:r w:rsidRPr="00256E0B">
        <w:rPr>
          <w:rFonts w:ascii="Palatino Linotype" w:hAnsi="Palatino Linotype"/>
          <w:b/>
          <w:bCs/>
        </w:rPr>
        <w:t xml:space="preserve"> </w:t>
      </w:r>
    </w:p>
    <w:p w14:paraId="09398C4B" w14:textId="77777777" w:rsidR="00B75387" w:rsidRPr="00256E0B" w:rsidRDefault="00B75387" w:rsidP="00B75387">
      <w:pPr>
        <w:pStyle w:val="Prrafodelista"/>
        <w:rPr>
          <w:rFonts w:ascii="Palatino Linotype" w:hAnsi="Palatino Linotype"/>
        </w:rPr>
      </w:pPr>
    </w:p>
    <w:p w14:paraId="7FC7BC16"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b/>
          <w:i/>
          <w:sz w:val="22"/>
          <w:szCs w:val="22"/>
        </w:rPr>
        <w:t>Las dependencias y entidades no están obligadas a generar documentos ad hoc para responder una solicitud de acceso a la información.</w:t>
      </w:r>
      <w:r w:rsidRPr="00256E0B">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w:t>
      </w:r>
      <w:r w:rsidRPr="00256E0B">
        <w:rPr>
          <w:rFonts w:ascii="Palatino Linotype" w:hAnsi="Palatino Linotype" w:cs="Arial"/>
          <w:i/>
          <w:sz w:val="22"/>
          <w:szCs w:val="22"/>
        </w:rPr>
        <w:lastRenderedPageBreak/>
        <w:t>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C878397"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Expedientes:</w:t>
      </w:r>
    </w:p>
    <w:p w14:paraId="65D00B66"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0438/08 Pemex Exploración y Producción – Alonso Lujambio Irazábal</w:t>
      </w:r>
    </w:p>
    <w:p w14:paraId="79523632"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1751/09 Laboratorios de Biológicos y Reactivos de México S.A. de C.V. –</w:t>
      </w:r>
    </w:p>
    <w:p w14:paraId="61F61CD0"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María Marván Laborde</w:t>
      </w:r>
    </w:p>
    <w:p w14:paraId="39BC531F"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2868/09 Consejo Nacional de Ciencia y Tecnología – Jacqueline Peschard</w:t>
      </w:r>
    </w:p>
    <w:p w14:paraId="08CD93E6"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Mariscal</w:t>
      </w:r>
    </w:p>
    <w:p w14:paraId="51AF848B"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5160/09 Secretaría de Hacienda y Crédito Público – Ángel Trinidad Zaldívar</w:t>
      </w:r>
    </w:p>
    <w:p w14:paraId="557CA5DB" w14:textId="77777777" w:rsidR="00B75387" w:rsidRPr="00256E0B" w:rsidRDefault="00B75387" w:rsidP="00B75387">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0304/10 Instituto Nacional de Cancerología – Jacqueline Peschard Mariscal</w:t>
      </w:r>
    </w:p>
    <w:p w14:paraId="29F3A8D6" w14:textId="77777777" w:rsidR="00B75387" w:rsidRPr="00256E0B" w:rsidRDefault="00B75387" w:rsidP="00B75387">
      <w:pPr>
        <w:pStyle w:val="Prrafodelista"/>
        <w:tabs>
          <w:tab w:val="left" w:pos="851"/>
        </w:tabs>
        <w:spacing w:line="360" w:lineRule="auto"/>
        <w:ind w:left="0" w:right="49"/>
        <w:jc w:val="both"/>
        <w:rPr>
          <w:rFonts w:ascii="Palatino Linotype" w:hAnsi="Palatino Linotype"/>
          <w:lang w:val="es-ES"/>
        </w:rPr>
      </w:pPr>
    </w:p>
    <w:p w14:paraId="03A0F143"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t xml:space="preserve">Dicho lo anterior, retomando el agravio del particular, es de señalar que se inconforma porque los </w:t>
      </w:r>
      <w:r w:rsidRPr="00256E0B">
        <w:rPr>
          <w:rFonts w:ascii="Palatino Linotype" w:eastAsia="Calibri" w:hAnsi="Palatino Linotype" w:cs="Arial"/>
          <w:b/>
        </w:rPr>
        <w:t xml:space="preserve">oficios proporcionados no explican en qué archivo, entendiendo este término como documento, expediente o legajo fue que enviaron los convenios ahora requeridos. </w:t>
      </w:r>
    </w:p>
    <w:p w14:paraId="505450CF" w14:textId="77777777" w:rsidR="00B75387" w:rsidRPr="00256E0B" w:rsidRDefault="00B75387" w:rsidP="00B75387">
      <w:pPr>
        <w:pStyle w:val="Prrafodelista"/>
        <w:tabs>
          <w:tab w:val="left" w:pos="567"/>
        </w:tabs>
        <w:spacing w:line="360" w:lineRule="auto"/>
        <w:ind w:left="0"/>
        <w:jc w:val="both"/>
        <w:rPr>
          <w:rFonts w:ascii="Palatino Linotype" w:eastAsia="Calibri" w:hAnsi="Palatino Linotype" w:cs="Arial"/>
        </w:rPr>
      </w:pPr>
    </w:p>
    <w:p w14:paraId="4DACFB40"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t>Es así que, el agravio del particular debe ser analizado desde el punto de vista de tres vertientes que se relacionan. La primera fue analizada con anterioridad, al referir que los Sujetos Obligados únicamente proporcionarán la información que obre en sus archivos y en el estado en que se encuentre, por lo que no se cuenta con la obligación de generar un documento que atienda los intereses del particular, explicando en qué archivo del inventario referido es que se encontraban los convenios celebrados por la Secretaría.</w:t>
      </w:r>
    </w:p>
    <w:p w14:paraId="406209E7"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lastRenderedPageBreak/>
        <w:t xml:space="preserve">La segunda vertiente es que al solicitar a través del recurso de revisión que el documento debe contener </w:t>
      </w:r>
      <w:r w:rsidRPr="00256E0B">
        <w:rPr>
          <w:rFonts w:ascii="Palatino Linotype" w:eastAsia="Calibri" w:hAnsi="Palatino Linotype" w:cs="Arial"/>
          <w:b/>
        </w:rPr>
        <w:t>una explicación</w:t>
      </w:r>
      <w:r w:rsidRPr="00256E0B">
        <w:rPr>
          <w:rFonts w:ascii="Palatino Linotype" w:eastAsia="Calibri" w:hAnsi="Palatino Linotype" w:cs="Arial"/>
        </w:rPr>
        <w:t>, e</w:t>
      </w:r>
      <w:r w:rsidRPr="00256E0B">
        <w:rPr>
          <w:rFonts w:ascii="Palatino Linotype" w:hAnsi="Palatino Linotype" w:cs="Arial"/>
        </w:rPr>
        <w:t>ste Órgano Garante observó que la manifestación, no constituye un derecho de acceso a la información pública, debido a que el particular formuló un requerimiento que obliga al Sujeto Obligado a realizar un juicio de valor,</w:t>
      </w:r>
      <w:r w:rsidRPr="00256E0B">
        <w:rPr>
          <w:rFonts w:ascii="Palatino Linotype" w:hAnsi="Palatino Linotype" w:cs="Arial"/>
          <w:szCs w:val="20"/>
        </w:rPr>
        <w:t xml:space="preserve"> es decir, dicha información no consta en documento alguno derivado del ejercicio de facultades, atribuciones o competencias del </w:t>
      </w:r>
      <w:r w:rsidRPr="00256E0B">
        <w:rPr>
          <w:rFonts w:ascii="Palatino Linotype" w:hAnsi="Palatino Linotype" w:cs="Arial"/>
          <w:b/>
          <w:szCs w:val="20"/>
        </w:rPr>
        <w:t>SUJETO OBLIGADO</w:t>
      </w:r>
      <w:r w:rsidRPr="00256E0B">
        <w:rPr>
          <w:rFonts w:ascii="Palatino Linotype" w:hAnsi="Palatino Linotype" w:cs="Arial"/>
          <w:szCs w:val="20"/>
        </w:rPr>
        <w:t>, o bien, dentro de una base de datos o medio electrónico, que éste tenga obligación de generar, poseer y administrar.</w:t>
      </w:r>
    </w:p>
    <w:p w14:paraId="0C22C7DA" w14:textId="77777777" w:rsidR="00B75387" w:rsidRPr="00256E0B" w:rsidRDefault="00B75387" w:rsidP="00B75387">
      <w:pPr>
        <w:pStyle w:val="Prrafodelista"/>
        <w:spacing w:line="360" w:lineRule="auto"/>
        <w:ind w:left="0"/>
        <w:jc w:val="both"/>
        <w:rPr>
          <w:rFonts w:ascii="Palatino Linotype" w:eastAsia="MS Mincho" w:hAnsi="Palatino Linotype"/>
        </w:rPr>
      </w:pPr>
    </w:p>
    <w:p w14:paraId="2D59AB65" w14:textId="77777777" w:rsidR="00B75387" w:rsidRPr="00D97D8E" w:rsidRDefault="00B75387" w:rsidP="00B75387">
      <w:pPr>
        <w:pStyle w:val="Prrafodelista"/>
        <w:numPr>
          <w:ilvl w:val="0"/>
          <w:numId w:val="32"/>
        </w:numPr>
        <w:spacing w:line="360" w:lineRule="auto"/>
        <w:ind w:left="0" w:firstLine="0"/>
        <w:jc w:val="both"/>
        <w:rPr>
          <w:rFonts w:ascii="Palatino Linotype" w:eastAsia="MS Mincho" w:hAnsi="Palatino Linotype"/>
        </w:rPr>
      </w:pPr>
      <w:r w:rsidRPr="00256E0B">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14:paraId="6D45CFED" w14:textId="77777777" w:rsidR="00D97D8E" w:rsidRPr="00D97D8E" w:rsidRDefault="00D97D8E" w:rsidP="00D97D8E">
      <w:pPr>
        <w:pStyle w:val="Prrafodelista"/>
        <w:rPr>
          <w:rFonts w:ascii="Palatino Linotype" w:eastAsia="MS Mincho" w:hAnsi="Palatino Linotype"/>
        </w:rPr>
      </w:pPr>
    </w:p>
    <w:p w14:paraId="25EF6D6E" w14:textId="77777777" w:rsidR="00D97D8E" w:rsidRPr="00D97D8E" w:rsidRDefault="00D97D8E" w:rsidP="00D97D8E">
      <w:pPr>
        <w:spacing w:line="360" w:lineRule="auto"/>
        <w:jc w:val="both"/>
        <w:rPr>
          <w:rFonts w:ascii="Palatino Linotype" w:eastAsia="MS Mincho" w:hAnsi="Palatino Linotype"/>
        </w:rPr>
      </w:pPr>
    </w:p>
    <w:p w14:paraId="7F264467" w14:textId="77777777" w:rsidR="00B75387" w:rsidRPr="00256E0B" w:rsidRDefault="00B75387" w:rsidP="00B75387">
      <w:pPr>
        <w:pStyle w:val="Prrafodelista"/>
        <w:numPr>
          <w:ilvl w:val="0"/>
          <w:numId w:val="32"/>
        </w:numPr>
        <w:spacing w:line="360" w:lineRule="auto"/>
        <w:ind w:left="0" w:firstLine="0"/>
        <w:jc w:val="both"/>
        <w:rPr>
          <w:rFonts w:ascii="Palatino Linotype" w:eastAsia="MS Mincho" w:hAnsi="Palatino Linotype"/>
        </w:rPr>
      </w:pPr>
      <w:r w:rsidRPr="00256E0B">
        <w:rPr>
          <w:rFonts w:ascii="Palatino Linotype" w:hAnsi="Palatino Linotype" w:cs="Arial"/>
        </w:rPr>
        <w:t xml:space="preserve">Por lo que respecta a la definición de Derecho de Petición, el Maestro Ignacio Burgoa Orihuela refiere: </w:t>
      </w:r>
    </w:p>
    <w:p w14:paraId="7A1B209F" w14:textId="77777777" w:rsidR="00B75387" w:rsidRPr="00256E0B" w:rsidRDefault="00B75387" w:rsidP="00B75387">
      <w:pPr>
        <w:tabs>
          <w:tab w:val="left" w:pos="9214"/>
        </w:tabs>
        <w:spacing w:line="360" w:lineRule="auto"/>
        <w:ind w:left="709" w:right="709"/>
        <w:jc w:val="both"/>
        <w:rPr>
          <w:rFonts w:ascii="Palatino Linotype" w:hAnsi="Palatino Linotype"/>
          <w:sz w:val="22"/>
          <w:szCs w:val="22"/>
          <w:lang w:eastAsia="es-MX"/>
        </w:rPr>
      </w:pPr>
      <w:r w:rsidRPr="00256E0B">
        <w:rPr>
          <w:rFonts w:ascii="Palatino Linotype" w:hAnsi="Palatino Linotype"/>
          <w:i/>
          <w:sz w:val="22"/>
          <w:szCs w:val="22"/>
          <w:lang w:eastAsia="es-MX"/>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sidRPr="00256E0B">
        <w:rPr>
          <w:rFonts w:ascii="Palatino Linotype" w:hAnsi="Palatino Linotype"/>
          <w:sz w:val="22"/>
          <w:szCs w:val="22"/>
          <w:lang w:eastAsia="es-MX"/>
        </w:rPr>
        <w:t>(Sic)</w:t>
      </w:r>
    </w:p>
    <w:p w14:paraId="7DBF61AE" w14:textId="77777777" w:rsidR="00B75387" w:rsidRPr="00256E0B" w:rsidRDefault="00B75387" w:rsidP="00B75387">
      <w:pPr>
        <w:tabs>
          <w:tab w:val="left" w:pos="9214"/>
        </w:tabs>
        <w:spacing w:line="360" w:lineRule="auto"/>
        <w:ind w:right="709"/>
        <w:jc w:val="both"/>
        <w:rPr>
          <w:rFonts w:ascii="Palatino Linotype" w:hAnsi="Palatino Linotype"/>
          <w:i/>
          <w:sz w:val="22"/>
          <w:szCs w:val="22"/>
          <w:lang w:eastAsia="es-MX"/>
        </w:rPr>
      </w:pPr>
    </w:p>
    <w:p w14:paraId="32133C09" w14:textId="77777777" w:rsidR="00B75387" w:rsidRPr="00256E0B" w:rsidRDefault="00B75387" w:rsidP="00B75387">
      <w:pPr>
        <w:pStyle w:val="Prrafodelista"/>
        <w:numPr>
          <w:ilvl w:val="0"/>
          <w:numId w:val="32"/>
        </w:numPr>
        <w:autoSpaceDE w:val="0"/>
        <w:autoSpaceDN w:val="0"/>
        <w:adjustRightInd w:val="0"/>
        <w:spacing w:before="120" w:line="360" w:lineRule="auto"/>
        <w:ind w:left="0" w:firstLine="0"/>
        <w:jc w:val="both"/>
        <w:rPr>
          <w:rFonts w:ascii="Palatino Linotype" w:hAnsi="Palatino Linotype" w:cs="Arial"/>
        </w:rPr>
      </w:pPr>
      <w:r w:rsidRPr="00256E0B">
        <w:rPr>
          <w:rFonts w:ascii="Palatino Linotype" w:hAnsi="Palatino Linotype" w:cs="Arial"/>
        </w:rPr>
        <w:t xml:space="preserve">Por su parte, David Cienfuegos Salgado, concibe al derecho de petición como: </w:t>
      </w:r>
    </w:p>
    <w:p w14:paraId="26F2E76F" w14:textId="77777777" w:rsidR="00B75387" w:rsidRPr="00256E0B" w:rsidRDefault="00B75387" w:rsidP="00B75387">
      <w:pPr>
        <w:tabs>
          <w:tab w:val="left" w:pos="9214"/>
        </w:tabs>
        <w:spacing w:line="360" w:lineRule="auto"/>
        <w:ind w:left="709" w:right="709"/>
        <w:jc w:val="both"/>
        <w:rPr>
          <w:rFonts w:ascii="Palatino Linotype" w:hAnsi="Palatino Linotype"/>
          <w:sz w:val="22"/>
          <w:szCs w:val="22"/>
          <w:lang w:eastAsia="es-MX"/>
        </w:rPr>
      </w:pPr>
      <w:r w:rsidRPr="00256E0B">
        <w:rPr>
          <w:rFonts w:ascii="Palatino Linotype" w:hAnsi="Palatino Linotype"/>
          <w:i/>
          <w:sz w:val="22"/>
          <w:szCs w:val="22"/>
          <w:lang w:eastAsia="es-MX"/>
        </w:rPr>
        <w:t xml:space="preserve">“… el derecho de toda persona a ser escuchado por quienes ejercen el poder público...” </w:t>
      </w:r>
      <w:r w:rsidRPr="00256E0B">
        <w:rPr>
          <w:rFonts w:ascii="Palatino Linotype" w:hAnsi="Palatino Linotype"/>
          <w:sz w:val="22"/>
          <w:szCs w:val="22"/>
          <w:lang w:eastAsia="es-MX"/>
        </w:rPr>
        <w:t xml:space="preserve">(Sic) </w:t>
      </w:r>
    </w:p>
    <w:p w14:paraId="13EFD069" w14:textId="77777777" w:rsidR="00B75387" w:rsidRPr="00256E0B" w:rsidRDefault="00B75387" w:rsidP="00B75387">
      <w:pPr>
        <w:pStyle w:val="Prrafodelista"/>
        <w:numPr>
          <w:ilvl w:val="0"/>
          <w:numId w:val="32"/>
        </w:numPr>
        <w:autoSpaceDE w:val="0"/>
        <w:autoSpaceDN w:val="0"/>
        <w:adjustRightInd w:val="0"/>
        <w:spacing w:before="120" w:line="360" w:lineRule="auto"/>
        <w:ind w:left="0" w:firstLine="0"/>
        <w:jc w:val="both"/>
        <w:rPr>
          <w:rFonts w:ascii="Palatino Linotype" w:hAnsi="Palatino Linotype" w:cs="Arial"/>
        </w:rPr>
      </w:pPr>
      <w:r w:rsidRPr="00256E0B">
        <w:rPr>
          <w:rFonts w:ascii="Palatino Linotype" w:hAnsi="Palatino Linotype" w:cs="Arial"/>
        </w:rPr>
        <w:lastRenderedPageBreak/>
        <w:t xml:space="preserve">A este respecto, para diferenciar el derecho de petición del derecho de acceso a la información, resulta conducente señalar que José Guadalupe Robles, conceptualiza al derecho a la información como: </w:t>
      </w:r>
    </w:p>
    <w:p w14:paraId="721B1712" w14:textId="77777777" w:rsidR="00B75387" w:rsidRPr="00256E0B" w:rsidRDefault="00B75387" w:rsidP="00B75387">
      <w:pPr>
        <w:pStyle w:val="Prrafodelista"/>
        <w:autoSpaceDE w:val="0"/>
        <w:autoSpaceDN w:val="0"/>
        <w:adjustRightInd w:val="0"/>
        <w:spacing w:before="120" w:line="360" w:lineRule="auto"/>
        <w:ind w:left="0"/>
        <w:jc w:val="both"/>
        <w:rPr>
          <w:rFonts w:ascii="Palatino Linotype" w:hAnsi="Palatino Linotype" w:cs="Arial"/>
        </w:rPr>
      </w:pPr>
    </w:p>
    <w:p w14:paraId="1450FFF5" w14:textId="77777777" w:rsidR="00B75387" w:rsidRPr="00256E0B" w:rsidRDefault="00B75387" w:rsidP="00B75387">
      <w:pPr>
        <w:tabs>
          <w:tab w:val="left" w:pos="9214"/>
        </w:tabs>
        <w:spacing w:line="360" w:lineRule="auto"/>
        <w:ind w:left="709" w:right="709"/>
        <w:jc w:val="both"/>
        <w:rPr>
          <w:rFonts w:ascii="Palatino Linotype" w:hAnsi="Palatino Linotype"/>
          <w:i/>
          <w:sz w:val="22"/>
          <w:szCs w:val="22"/>
          <w:lang w:eastAsia="es-MX"/>
        </w:rPr>
      </w:pPr>
      <w:r w:rsidRPr="00256E0B">
        <w:rPr>
          <w:rFonts w:ascii="Palatino Linotype" w:hAnsi="Palatino Linotype"/>
          <w:i/>
          <w:sz w:val="22"/>
          <w:szCs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256E0B">
        <w:rPr>
          <w:rFonts w:ascii="Palatino Linotype" w:hAnsi="Palatino Linotype"/>
          <w:sz w:val="22"/>
          <w:szCs w:val="22"/>
          <w:lang w:eastAsia="es-MX"/>
        </w:rPr>
        <w:t>(Sic)</w:t>
      </w:r>
      <w:r w:rsidRPr="00256E0B">
        <w:rPr>
          <w:rFonts w:ascii="Palatino Linotype" w:hAnsi="Palatino Linotype"/>
          <w:i/>
          <w:sz w:val="22"/>
          <w:szCs w:val="22"/>
          <w:lang w:eastAsia="es-MX"/>
        </w:rPr>
        <w:t xml:space="preserve"> </w:t>
      </w:r>
    </w:p>
    <w:p w14:paraId="02781B92" w14:textId="77777777" w:rsidR="00B75387" w:rsidRPr="00256E0B" w:rsidRDefault="00B75387" w:rsidP="00B75387">
      <w:pPr>
        <w:tabs>
          <w:tab w:val="left" w:pos="567"/>
        </w:tabs>
        <w:spacing w:line="360" w:lineRule="auto"/>
        <w:jc w:val="both"/>
        <w:rPr>
          <w:rFonts w:ascii="Palatino Linotype" w:eastAsia="Calibri" w:hAnsi="Palatino Linotype" w:cs="Arial"/>
        </w:rPr>
      </w:pPr>
    </w:p>
    <w:p w14:paraId="7979941F" w14:textId="77777777" w:rsidR="00B75387" w:rsidRPr="00D97D8E" w:rsidRDefault="00B75387" w:rsidP="00D97D8E">
      <w:pPr>
        <w:rPr>
          <w:rFonts w:ascii="Palatino Linotype" w:eastAsia="Calibri" w:hAnsi="Palatino Linotype" w:cs="Arial"/>
        </w:rPr>
      </w:pPr>
    </w:p>
    <w:p w14:paraId="48346EC9"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t>En síntesis, lo expuesto en el recurso de revisión corresponde a un derecho de petición que, derivado de su naturaleza, no puede ser analizado a través del ejercicio del derecho de acceso a la información pública.</w:t>
      </w:r>
    </w:p>
    <w:p w14:paraId="1E8AE2DF" w14:textId="77777777" w:rsidR="00B75387" w:rsidRPr="00256E0B" w:rsidRDefault="00B75387" w:rsidP="00B75387">
      <w:pPr>
        <w:pStyle w:val="Prrafodelista"/>
        <w:tabs>
          <w:tab w:val="left" w:pos="567"/>
        </w:tabs>
        <w:spacing w:line="360" w:lineRule="auto"/>
        <w:ind w:left="0"/>
        <w:jc w:val="both"/>
        <w:rPr>
          <w:rFonts w:ascii="Palatino Linotype" w:eastAsia="Calibri" w:hAnsi="Palatino Linotype" w:cs="Arial"/>
        </w:rPr>
      </w:pPr>
    </w:p>
    <w:p w14:paraId="512E5449" w14:textId="77777777" w:rsidR="00B75387" w:rsidRPr="00256E0B" w:rsidRDefault="00B75387" w:rsidP="00B75387">
      <w:pPr>
        <w:pStyle w:val="Prrafodelista"/>
        <w:numPr>
          <w:ilvl w:val="0"/>
          <w:numId w:val="32"/>
        </w:numPr>
        <w:tabs>
          <w:tab w:val="left" w:pos="567"/>
        </w:tabs>
        <w:spacing w:line="360" w:lineRule="auto"/>
        <w:ind w:left="0" w:firstLine="0"/>
        <w:jc w:val="both"/>
        <w:rPr>
          <w:rFonts w:ascii="Palatino Linotype" w:eastAsia="Calibri" w:hAnsi="Palatino Linotype" w:cs="Arial"/>
        </w:rPr>
      </w:pPr>
      <w:r w:rsidRPr="00256E0B">
        <w:rPr>
          <w:rFonts w:ascii="Palatino Linotype" w:eastAsia="Calibri" w:hAnsi="Palatino Linotype" w:cs="Arial"/>
        </w:rPr>
        <w:t>Y, por último, la tercera vertiente, se deriva del hecho que, conocida la respuesta, el Particular señaló que no contiene una explicación, lo cual se configura como un requerimiento adicional de información que no fue planteado desde la solicitud de origen.</w:t>
      </w:r>
    </w:p>
    <w:p w14:paraId="79645519" w14:textId="77777777" w:rsidR="00B75387" w:rsidRPr="00256E0B" w:rsidRDefault="00B75387" w:rsidP="00B75387">
      <w:pPr>
        <w:pStyle w:val="Prrafodelista"/>
        <w:tabs>
          <w:tab w:val="left" w:pos="567"/>
        </w:tabs>
        <w:spacing w:line="360" w:lineRule="auto"/>
        <w:ind w:left="0"/>
        <w:jc w:val="both"/>
        <w:rPr>
          <w:rFonts w:ascii="Palatino Linotype" w:eastAsia="Calibri" w:hAnsi="Palatino Linotype" w:cs="Arial"/>
        </w:rPr>
      </w:pPr>
    </w:p>
    <w:p w14:paraId="1921A575" w14:textId="77777777" w:rsidR="00B75387" w:rsidRPr="00256E0B" w:rsidRDefault="00B75387" w:rsidP="00B75387">
      <w:pPr>
        <w:pStyle w:val="Prrafodelista"/>
        <w:numPr>
          <w:ilvl w:val="0"/>
          <w:numId w:val="32"/>
        </w:numPr>
        <w:spacing w:line="360" w:lineRule="auto"/>
        <w:ind w:left="0" w:right="-93" w:firstLine="0"/>
        <w:jc w:val="both"/>
        <w:rPr>
          <w:rFonts w:ascii="Palatino Linotype" w:eastAsia="Calibri" w:hAnsi="Palatino Linotype" w:cs="Tahoma"/>
          <w:bCs/>
          <w:lang w:eastAsia="en-US"/>
        </w:rPr>
      </w:pPr>
      <w:r w:rsidRPr="00256E0B">
        <w:rPr>
          <w:rFonts w:ascii="Palatino Linotype" w:hAnsi="Palatino Linotype"/>
          <w:lang w:val="es-ES"/>
        </w:rPr>
        <w:t xml:space="preserve">Ante dicha situación, es necesario señalar que </w:t>
      </w:r>
      <w:r w:rsidRPr="00256E0B">
        <w:rPr>
          <w:rFonts w:ascii="Palatino Linotype" w:hAnsi="Palatino Linotype"/>
          <w:color w:val="222222"/>
          <w:lang w:val="es-ES" w:eastAsia="es-MX"/>
        </w:rPr>
        <w:t>el sistema de medios de impugnación en nuestro país se centra en el análisis de </w:t>
      </w:r>
      <w:r w:rsidRPr="00256E0B">
        <w:rPr>
          <w:rFonts w:ascii="Palatino Linotype" w:hAnsi="Palatino Linotype"/>
          <w:color w:val="222222"/>
          <w:u w:val="single"/>
          <w:lang w:val="es-ES" w:eastAsia="es-MX"/>
        </w:rPr>
        <w:t>los agravios o motivos de inconformidad</w:t>
      </w:r>
      <w:r w:rsidRPr="00256E0B">
        <w:rPr>
          <w:rFonts w:ascii="Palatino Linotype" w:hAnsi="Palatino Linotype"/>
          <w:color w:val="222222"/>
          <w:lang w:val="es-ES" w:eastAsia="es-MX"/>
        </w:rPr>
        <w:t>, los que </w:t>
      </w:r>
      <w:r w:rsidRPr="00256E0B">
        <w:rPr>
          <w:rFonts w:ascii="Palatino Linotype" w:hAnsi="Palatino Linotype"/>
          <w:color w:val="222222"/>
          <w:u w:val="single"/>
          <w:lang w:val="es-ES" w:eastAsia="es-MX"/>
        </w:rPr>
        <w:t>deben tener relación directa con el acto de autoridad que lo motiva</w:t>
      </w:r>
      <w:r w:rsidRPr="00256E0B">
        <w:rPr>
          <w:rFonts w:ascii="Palatino Linotype" w:hAnsi="Palatino Linotype"/>
          <w:color w:val="222222"/>
          <w:lang w:val="es-ES" w:eastAsia="es-MX"/>
        </w:rPr>
        <w:t xml:space="preserve">. En materia de transparencia, los motivos de la inconformidad deben versar sobre la respuesta de información proporcionada por los sujetos obligados o la </w:t>
      </w:r>
      <w:r w:rsidRPr="00256E0B">
        <w:rPr>
          <w:rFonts w:ascii="Palatino Linotype" w:hAnsi="Palatino Linotype"/>
          <w:lang w:val="es-ES" w:eastAsia="es-MX"/>
        </w:rPr>
        <w:lastRenderedPageBreak/>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3AD53945" w14:textId="77777777" w:rsidR="00B75387" w:rsidRPr="00256E0B" w:rsidRDefault="00B75387" w:rsidP="00B75387">
      <w:pPr>
        <w:pStyle w:val="Prrafodelista"/>
        <w:ind w:left="0"/>
        <w:rPr>
          <w:rFonts w:ascii="Palatino Linotype" w:eastAsia="Calibri" w:hAnsi="Palatino Linotype" w:cs="Tahoma"/>
          <w:bCs/>
          <w:lang w:eastAsia="en-US"/>
        </w:rPr>
      </w:pPr>
    </w:p>
    <w:p w14:paraId="2102D5A6" w14:textId="77777777" w:rsidR="00B75387" w:rsidRPr="00256E0B" w:rsidRDefault="00B75387" w:rsidP="00B75387">
      <w:pPr>
        <w:pStyle w:val="Prrafodelista"/>
        <w:numPr>
          <w:ilvl w:val="0"/>
          <w:numId w:val="32"/>
        </w:numPr>
        <w:spacing w:line="360" w:lineRule="auto"/>
        <w:ind w:left="0" w:right="-93" w:firstLine="0"/>
        <w:jc w:val="both"/>
        <w:rPr>
          <w:rFonts w:ascii="Palatino Linotype" w:eastAsia="Calibri" w:hAnsi="Palatino Linotype" w:cs="Tahoma"/>
          <w:bCs/>
          <w:lang w:eastAsia="en-US"/>
        </w:rPr>
      </w:pPr>
      <w:r w:rsidRPr="00256E0B">
        <w:rPr>
          <w:rFonts w:ascii="Palatino Linotype" w:hAnsi="Palatino Linotype"/>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04CB0305" w14:textId="77777777" w:rsidR="00B75387" w:rsidRPr="00D97D8E" w:rsidRDefault="00B75387" w:rsidP="00B75387">
      <w:pPr>
        <w:pStyle w:val="Prrafodelista"/>
        <w:ind w:left="0"/>
        <w:rPr>
          <w:rFonts w:ascii="Palatino Linotype" w:hAnsi="Palatino Linotype"/>
          <w:sz w:val="22"/>
          <w:szCs w:val="22"/>
          <w:lang w:val="es-ES"/>
        </w:rPr>
      </w:pPr>
    </w:p>
    <w:p w14:paraId="7B3F95C1" w14:textId="77777777" w:rsidR="00B75387" w:rsidRPr="00D97D8E" w:rsidRDefault="00B75387" w:rsidP="00B75387">
      <w:pPr>
        <w:pStyle w:val="Prrafodelista"/>
        <w:tabs>
          <w:tab w:val="left" w:pos="851"/>
        </w:tabs>
        <w:ind w:left="567" w:right="567"/>
        <w:jc w:val="both"/>
        <w:rPr>
          <w:rFonts w:ascii="Palatino Linotype" w:hAnsi="Palatino Linotype" w:cs="Bookman Old Style"/>
          <w:i/>
          <w:sz w:val="22"/>
          <w:szCs w:val="22"/>
        </w:rPr>
      </w:pPr>
      <w:r w:rsidRPr="00D97D8E">
        <w:rPr>
          <w:rFonts w:ascii="Palatino Linotype" w:hAnsi="Palatino Linotype" w:cs="Bookman Old Style,Bold"/>
          <w:b/>
          <w:bCs/>
          <w:i/>
          <w:sz w:val="22"/>
          <w:szCs w:val="22"/>
        </w:rPr>
        <w:t xml:space="preserve">Artículo 191. </w:t>
      </w:r>
      <w:r w:rsidRPr="00D97D8E">
        <w:rPr>
          <w:rFonts w:ascii="Palatino Linotype" w:hAnsi="Palatino Linotype" w:cs="Bookman Old Style"/>
          <w:i/>
          <w:sz w:val="22"/>
          <w:szCs w:val="22"/>
        </w:rPr>
        <w:t>El recurso será desechado por improcedente cuando:</w:t>
      </w:r>
    </w:p>
    <w:p w14:paraId="5160FD21" w14:textId="77777777" w:rsidR="00B75387" w:rsidRPr="00D97D8E" w:rsidRDefault="00B75387" w:rsidP="00B75387">
      <w:pPr>
        <w:pStyle w:val="Prrafodelista"/>
        <w:tabs>
          <w:tab w:val="left" w:pos="851"/>
        </w:tabs>
        <w:ind w:left="567" w:right="567"/>
        <w:jc w:val="both"/>
        <w:rPr>
          <w:rFonts w:ascii="Palatino Linotype" w:hAnsi="Palatino Linotype" w:cs="Bookman Old Style"/>
          <w:i/>
          <w:sz w:val="22"/>
          <w:szCs w:val="22"/>
        </w:rPr>
      </w:pPr>
      <w:r w:rsidRPr="00D97D8E">
        <w:rPr>
          <w:rFonts w:ascii="Palatino Linotype" w:hAnsi="Palatino Linotype" w:cs="Bookman Old Style"/>
          <w:i/>
          <w:sz w:val="22"/>
          <w:szCs w:val="22"/>
        </w:rPr>
        <w:t>…</w:t>
      </w:r>
    </w:p>
    <w:p w14:paraId="10DBCA1C" w14:textId="77777777" w:rsidR="00B75387" w:rsidRPr="00D97D8E" w:rsidRDefault="00B75387" w:rsidP="00B75387">
      <w:pPr>
        <w:autoSpaceDE w:val="0"/>
        <w:autoSpaceDN w:val="0"/>
        <w:adjustRightInd w:val="0"/>
        <w:ind w:left="567" w:right="567"/>
        <w:rPr>
          <w:rFonts w:ascii="Palatino Linotype" w:hAnsi="Palatino Linotype"/>
          <w:i/>
          <w:sz w:val="22"/>
          <w:szCs w:val="22"/>
          <w:lang w:val="es-ES"/>
        </w:rPr>
      </w:pPr>
      <w:r w:rsidRPr="00D97D8E">
        <w:rPr>
          <w:rFonts w:ascii="Palatino Linotype" w:hAnsi="Palatino Linotype" w:cs="Bookman Old Style,Bold"/>
          <w:b/>
          <w:bCs/>
          <w:i/>
          <w:sz w:val="22"/>
          <w:szCs w:val="22"/>
        </w:rPr>
        <w:t xml:space="preserve">VII. </w:t>
      </w:r>
      <w:r w:rsidRPr="00D97D8E">
        <w:rPr>
          <w:rFonts w:ascii="Palatino Linotype" w:hAnsi="Palatino Linotype" w:cs="Bookman Old Style"/>
          <w:i/>
          <w:sz w:val="22"/>
          <w:szCs w:val="22"/>
        </w:rPr>
        <w:t>El recurrente amplíe su solicitud en el recurso de revisión, únicamente respecto de los nuevos contenidos.</w:t>
      </w:r>
    </w:p>
    <w:p w14:paraId="5AE555F5" w14:textId="77777777" w:rsidR="00B75387" w:rsidRPr="00D97D8E" w:rsidRDefault="00B75387" w:rsidP="00B75387">
      <w:pPr>
        <w:pStyle w:val="Prrafodelista"/>
        <w:tabs>
          <w:tab w:val="left" w:pos="851"/>
        </w:tabs>
        <w:spacing w:line="360" w:lineRule="auto"/>
        <w:ind w:left="0" w:right="49"/>
        <w:jc w:val="both"/>
        <w:rPr>
          <w:rFonts w:ascii="Palatino Linotype" w:hAnsi="Palatino Linotype"/>
          <w:sz w:val="22"/>
          <w:szCs w:val="22"/>
          <w:lang w:val="es-ES"/>
        </w:rPr>
      </w:pPr>
    </w:p>
    <w:p w14:paraId="2B1F8447" w14:textId="77777777" w:rsidR="00B75387" w:rsidRPr="00256E0B" w:rsidRDefault="00B75387" w:rsidP="00B75387">
      <w:pPr>
        <w:pStyle w:val="Prrafodelista"/>
        <w:numPr>
          <w:ilvl w:val="0"/>
          <w:numId w:val="32"/>
        </w:numPr>
        <w:tabs>
          <w:tab w:val="left" w:pos="851"/>
        </w:tabs>
        <w:spacing w:line="360" w:lineRule="auto"/>
        <w:ind w:left="0" w:right="49" w:firstLine="0"/>
        <w:jc w:val="both"/>
        <w:rPr>
          <w:rFonts w:ascii="Palatino Linotype" w:hAnsi="Palatino Linotype"/>
          <w:lang w:val="es-ES"/>
        </w:rPr>
      </w:pPr>
      <w:r w:rsidRPr="00256E0B">
        <w:rPr>
          <w:rFonts w:ascii="Palatino Linotype" w:hAnsi="Palatino Linotype"/>
          <w:color w:val="222222"/>
          <w:lang w:val="es-ES" w:eastAsia="es-MX"/>
        </w:rPr>
        <w:t>Por lo anterior, resulta improcedente parcialmente el referido acto impugnado, toda vez que</w:t>
      </w:r>
      <w:r w:rsidRPr="00256E0B">
        <w:rPr>
          <w:rFonts w:ascii="Palatino Linotype" w:hAnsi="Palatino Linotype"/>
          <w:color w:val="000000"/>
          <w:lang w:eastAsia="es-MX"/>
        </w:rPr>
        <w:t> la ahora recurrente se excede dentro de su inconformidad respecto a lo requerido originalmente en la solicitud de información, siendo el caso que pretende ampliar lo solicitado de origen añadiendo lo relativo a la autorización de cambio de uso de suelo. Lo que hace que se surta lo que en la teoría jurídica se le denomina como </w:t>
      </w:r>
      <w:r w:rsidRPr="00256E0B">
        <w:rPr>
          <w:rFonts w:ascii="Palatino Linotype" w:hAnsi="Palatino Linotype"/>
          <w:b/>
          <w:bCs/>
          <w:color w:val="000000"/>
          <w:lang w:eastAsia="es-MX"/>
        </w:rPr>
        <w:t>plus petitio</w:t>
      </w:r>
      <w:r w:rsidRPr="00256E0B">
        <w:rPr>
          <w:rFonts w:ascii="Palatino Linotype" w:hAnsi="Palatino Linotype"/>
          <w:color w:val="000000"/>
          <w:lang w:eastAsia="es-MX"/>
        </w:rPr>
        <w:t>.</w:t>
      </w:r>
    </w:p>
    <w:p w14:paraId="1D19184B" w14:textId="77777777" w:rsidR="00B75387" w:rsidRDefault="00B75387" w:rsidP="00B75387">
      <w:pPr>
        <w:pStyle w:val="Prrafodelista"/>
        <w:spacing w:line="360" w:lineRule="auto"/>
        <w:ind w:left="0"/>
        <w:jc w:val="both"/>
        <w:rPr>
          <w:rFonts w:ascii="Palatino Linotype" w:hAnsi="Palatino Linotype" w:cs="Arial"/>
          <w:color w:val="000000" w:themeColor="text1"/>
        </w:rPr>
      </w:pPr>
    </w:p>
    <w:p w14:paraId="66C5B60F" w14:textId="53CB2A88" w:rsidR="00B75387" w:rsidRPr="00B75387" w:rsidRDefault="00B75387" w:rsidP="00B75387">
      <w:pPr>
        <w:pStyle w:val="Prrafodelista"/>
        <w:numPr>
          <w:ilvl w:val="0"/>
          <w:numId w:val="48"/>
        </w:numPr>
        <w:spacing w:line="360" w:lineRule="auto"/>
        <w:jc w:val="both"/>
        <w:rPr>
          <w:rFonts w:ascii="Palatino Linotype" w:hAnsi="Palatino Linotype" w:cs="Arial"/>
          <w:b/>
          <w:color w:val="000000" w:themeColor="text1"/>
        </w:rPr>
      </w:pPr>
      <w:r w:rsidRPr="00B75387">
        <w:rPr>
          <w:rFonts w:ascii="Palatino Linotype" w:hAnsi="Palatino Linotype" w:cs="Arial"/>
          <w:b/>
          <w:color w:val="000000" w:themeColor="text1"/>
        </w:rPr>
        <w:t>Actualización del sobreseimiento.</w:t>
      </w:r>
    </w:p>
    <w:p w14:paraId="664573FA" w14:textId="3A06AB5E" w:rsidR="00B75387" w:rsidRPr="00B75387" w:rsidRDefault="00B75387" w:rsidP="00B75387">
      <w:pPr>
        <w:pStyle w:val="Prrafodelista"/>
        <w:numPr>
          <w:ilvl w:val="0"/>
          <w:numId w:val="32"/>
        </w:numPr>
        <w:spacing w:line="360" w:lineRule="auto"/>
        <w:ind w:left="0" w:firstLine="0"/>
        <w:jc w:val="both"/>
        <w:rPr>
          <w:rFonts w:ascii="Palatino Linotype" w:hAnsi="Palatino Linotype" w:cs="Arial"/>
          <w:color w:val="000000" w:themeColor="text1"/>
        </w:rPr>
      </w:pPr>
      <w:r w:rsidRPr="00B75387">
        <w:rPr>
          <w:rFonts w:ascii="Palatino Linotype" w:hAnsi="Palatino Linotype" w:cs="Arial"/>
          <w:lang w:val="es-ES_tradnl"/>
        </w:rPr>
        <w:lastRenderedPageBreak/>
        <w:t>En ese sentido</w:t>
      </w:r>
      <w:r w:rsidRPr="00B75387">
        <w:rPr>
          <w:rFonts w:ascii="Palatino Linotype" w:eastAsia="MS Mincho" w:hAnsi="Palatino Linotype" w:cs="Arial"/>
          <w:lang w:val="es-ES_tradnl"/>
        </w:rPr>
        <w:t xml:space="preserve">, y si bien 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B75387">
        <w:rPr>
          <w:rFonts w:ascii="Palatino Linotype" w:eastAsia="MS Mincho" w:hAnsi="Palatino Linotype" w:cs="Arial"/>
          <w:b/>
          <w:lang w:val="es-ES_tradnl"/>
        </w:rPr>
        <w:t>SUJETO OBLIGADO</w:t>
      </w:r>
      <w:r w:rsidRPr="00B75387">
        <w:rPr>
          <w:rFonts w:ascii="Palatino Linotype" w:eastAsia="MS Mincho" w:hAnsi="Palatino Linotype" w:cs="Arial"/>
          <w:lang w:val="es-ES_tradnl"/>
        </w:rPr>
        <w:t xml:space="preserve">, lo cierto, es que este Órgano Garante advierte que </w:t>
      </w:r>
      <w:r w:rsidRPr="00B75387">
        <w:rPr>
          <w:rFonts w:ascii="Palatino Linotype" w:hAnsi="Palatino Linotype"/>
          <w:color w:val="000000" w:themeColor="text1"/>
        </w:rPr>
        <w:t xml:space="preserve">se actualiza la causal de sobreseimiento prevista en la fracción IV del artículo 192 </w:t>
      </w:r>
      <w:r w:rsidRPr="00B75387">
        <w:rPr>
          <w:rFonts w:ascii="Palatino Linotype" w:hAnsi="Palatino Linotype" w:cs="Arial"/>
          <w:lang w:val="es-ES_tradnl"/>
        </w:rPr>
        <w:t xml:space="preserve">de la </w:t>
      </w:r>
      <w:r w:rsidRPr="00B75387">
        <w:rPr>
          <w:rFonts w:ascii="Palatino Linotype" w:hAnsi="Palatino Linotype"/>
        </w:rPr>
        <w:t>Ley de Transparencia y Acceso a la Información Pública del Estado de México y Municipios en relació</w:t>
      </w:r>
      <w:r>
        <w:rPr>
          <w:rFonts w:ascii="Palatino Linotype" w:hAnsi="Palatino Linotype"/>
        </w:rPr>
        <w:t>n con el artículo 191 fracción VII</w:t>
      </w:r>
      <w:r w:rsidRPr="00B75387">
        <w:rPr>
          <w:rFonts w:ascii="Palatino Linotype" w:hAnsi="Palatino Linotype"/>
        </w:rPr>
        <w:t>, como se expone a continuación:</w:t>
      </w:r>
    </w:p>
    <w:p w14:paraId="117F2E84" w14:textId="77777777" w:rsidR="00B75387" w:rsidRPr="00B653DC" w:rsidRDefault="00B75387" w:rsidP="00B75387">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sz w:val="22"/>
        </w:rPr>
      </w:pPr>
      <w:r w:rsidRPr="00B653DC">
        <w:rPr>
          <w:rFonts w:ascii="Palatino Linotype" w:eastAsia="MS Mincho" w:hAnsi="Palatino Linotype" w:cs="Arial"/>
          <w:b/>
          <w:i/>
          <w:sz w:val="22"/>
        </w:rPr>
        <w:t>“Artículo 191</w:t>
      </w:r>
      <w:r w:rsidRPr="00B653DC">
        <w:rPr>
          <w:rFonts w:ascii="Palatino Linotype" w:eastAsia="MS Mincho" w:hAnsi="Palatino Linotype" w:cs="Arial"/>
          <w:i/>
          <w:sz w:val="22"/>
        </w:rPr>
        <w:t>. El recurso será desechado por improcedente cuando:</w:t>
      </w:r>
    </w:p>
    <w:p w14:paraId="5728389F" w14:textId="77777777" w:rsidR="00B75387" w:rsidRPr="00B653DC" w:rsidRDefault="00B75387" w:rsidP="00B75387">
      <w:pPr>
        <w:tabs>
          <w:tab w:val="left" w:pos="284"/>
          <w:tab w:val="left" w:pos="426"/>
          <w:tab w:val="left" w:pos="720"/>
        </w:tabs>
        <w:spacing w:before="240" w:after="240" w:line="360" w:lineRule="auto"/>
        <w:ind w:left="720" w:right="1008"/>
        <w:contextualSpacing/>
        <w:jc w:val="both"/>
        <w:rPr>
          <w:rFonts w:ascii="Palatino Linotype" w:eastAsia="MS Mincho" w:hAnsi="Palatino Linotype" w:cs="Arial"/>
          <w:i/>
          <w:sz w:val="22"/>
        </w:rPr>
      </w:pPr>
      <w:r w:rsidRPr="00B653DC">
        <w:rPr>
          <w:rFonts w:ascii="Palatino Linotype" w:eastAsia="MS Mincho" w:hAnsi="Palatino Linotype" w:cs="Arial"/>
          <w:i/>
          <w:sz w:val="22"/>
        </w:rPr>
        <w:t>(…)</w:t>
      </w:r>
    </w:p>
    <w:p w14:paraId="12DC3638" w14:textId="21BA52DA" w:rsidR="00B75387" w:rsidRDefault="00B75387" w:rsidP="00B75387">
      <w:pPr>
        <w:tabs>
          <w:tab w:val="left" w:pos="720"/>
        </w:tabs>
        <w:spacing w:line="360" w:lineRule="auto"/>
        <w:ind w:left="720" w:right="1008"/>
        <w:jc w:val="both"/>
        <w:rPr>
          <w:rFonts w:ascii="Palatino Linotype" w:eastAsia="MS Mincho" w:hAnsi="Palatino Linotype" w:cs="Arial"/>
          <w:i/>
          <w:sz w:val="22"/>
        </w:rPr>
      </w:pPr>
      <w:r w:rsidRPr="00B75387">
        <w:rPr>
          <w:rFonts w:ascii="Palatino Linotype" w:eastAsia="MS Mincho" w:hAnsi="Palatino Linotype" w:cs="Arial"/>
          <w:i/>
          <w:sz w:val="22"/>
        </w:rPr>
        <w:t>VII. El recurrente amplíe su solicitud en el recurso de revisión, únicamente respecto de los nuevos</w:t>
      </w:r>
      <w:r>
        <w:rPr>
          <w:rFonts w:ascii="Palatino Linotype" w:eastAsia="MS Mincho" w:hAnsi="Palatino Linotype" w:cs="Arial"/>
          <w:i/>
          <w:sz w:val="22"/>
        </w:rPr>
        <w:t xml:space="preserve"> </w:t>
      </w:r>
      <w:r w:rsidRPr="00B75387">
        <w:rPr>
          <w:rFonts w:ascii="Palatino Linotype" w:eastAsia="MS Mincho" w:hAnsi="Palatino Linotype" w:cs="Arial"/>
          <w:i/>
          <w:sz w:val="22"/>
        </w:rPr>
        <w:t>contenidos.</w:t>
      </w:r>
    </w:p>
    <w:p w14:paraId="0409472C" w14:textId="77777777" w:rsidR="00B75387" w:rsidRPr="00B653DC" w:rsidRDefault="00B75387" w:rsidP="00B75387">
      <w:pPr>
        <w:tabs>
          <w:tab w:val="left" w:pos="720"/>
        </w:tabs>
        <w:spacing w:line="360" w:lineRule="auto"/>
        <w:ind w:left="720" w:right="1008"/>
        <w:jc w:val="both"/>
        <w:rPr>
          <w:rFonts w:ascii="Palatino Linotype" w:hAnsi="Palatino Linotype"/>
          <w:i/>
          <w:color w:val="000000" w:themeColor="text1"/>
          <w:sz w:val="22"/>
        </w:rPr>
      </w:pPr>
    </w:p>
    <w:p w14:paraId="2518AEEE" w14:textId="77777777" w:rsidR="00B75387" w:rsidRPr="00B653DC" w:rsidRDefault="00B75387" w:rsidP="00B75387">
      <w:pPr>
        <w:tabs>
          <w:tab w:val="left" w:pos="720"/>
        </w:tabs>
        <w:spacing w:line="360" w:lineRule="auto"/>
        <w:ind w:left="720" w:right="1008"/>
        <w:jc w:val="both"/>
        <w:rPr>
          <w:rFonts w:ascii="Palatino Linotype" w:hAnsi="Palatino Linotype" w:cs="Arial"/>
          <w:i/>
          <w:sz w:val="22"/>
        </w:rPr>
      </w:pPr>
      <w:r w:rsidRPr="00B653DC">
        <w:rPr>
          <w:rFonts w:ascii="Palatino Linotype" w:hAnsi="Palatino Linotype" w:cs="Arial"/>
          <w:i/>
          <w:sz w:val="22"/>
        </w:rPr>
        <w:t>“</w:t>
      </w:r>
      <w:r w:rsidRPr="00B653DC">
        <w:rPr>
          <w:rFonts w:ascii="Palatino Linotype" w:hAnsi="Palatino Linotype" w:cs="Arial"/>
          <w:b/>
          <w:i/>
          <w:sz w:val="22"/>
        </w:rPr>
        <w:t>Artículo 192</w:t>
      </w:r>
      <w:r w:rsidRPr="00B653DC">
        <w:rPr>
          <w:rFonts w:ascii="Palatino Linotype" w:hAnsi="Palatino Linotype" w:cs="Arial"/>
          <w:i/>
          <w:sz w:val="22"/>
        </w:rPr>
        <w:t>. El recurso será sobreseído, en todo o en parte, cuando una vez admitido, se actualicen alguno de los siguientes supuestos:</w:t>
      </w:r>
    </w:p>
    <w:p w14:paraId="3EFB96DC" w14:textId="77777777" w:rsidR="00B75387" w:rsidRPr="00B653DC" w:rsidRDefault="00B75387" w:rsidP="00B75387">
      <w:pPr>
        <w:tabs>
          <w:tab w:val="left" w:pos="720"/>
        </w:tabs>
        <w:spacing w:line="360" w:lineRule="auto"/>
        <w:ind w:left="720" w:right="1008"/>
        <w:jc w:val="both"/>
        <w:rPr>
          <w:rFonts w:ascii="Palatino Linotype" w:hAnsi="Palatino Linotype" w:cs="Arial"/>
          <w:i/>
          <w:sz w:val="22"/>
        </w:rPr>
      </w:pPr>
      <w:r w:rsidRPr="00B653DC">
        <w:rPr>
          <w:rFonts w:ascii="Palatino Linotype" w:hAnsi="Palatino Linotype" w:cs="Arial"/>
          <w:i/>
          <w:sz w:val="22"/>
        </w:rPr>
        <w:t>(…)</w:t>
      </w:r>
    </w:p>
    <w:p w14:paraId="54D74AD1" w14:textId="77777777" w:rsidR="00B75387" w:rsidRPr="00B653DC" w:rsidRDefault="00B75387" w:rsidP="00B75387">
      <w:pPr>
        <w:tabs>
          <w:tab w:val="left" w:pos="720"/>
        </w:tabs>
        <w:spacing w:line="360" w:lineRule="auto"/>
        <w:ind w:left="720" w:right="1008"/>
        <w:jc w:val="both"/>
        <w:rPr>
          <w:rFonts w:ascii="Palatino Linotype" w:hAnsi="Palatino Linotype" w:cs="Arial"/>
          <w:i/>
          <w:sz w:val="22"/>
        </w:rPr>
      </w:pPr>
      <w:r w:rsidRPr="00B653DC">
        <w:rPr>
          <w:rFonts w:ascii="Palatino Linotype" w:hAnsi="Palatino Linotype" w:cs="Arial"/>
          <w:i/>
          <w:sz w:val="22"/>
        </w:rPr>
        <w:t>IV. Admitido el recurso de revisión, aparezca alguna causal de improcedencia en los términos de la presente Ley; y</w:t>
      </w:r>
    </w:p>
    <w:p w14:paraId="625E060C" w14:textId="77777777" w:rsidR="00B75387" w:rsidRPr="00B653DC" w:rsidRDefault="00B75387" w:rsidP="00B75387">
      <w:pPr>
        <w:tabs>
          <w:tab w:val="left" w:pos="720"/>
        </w:tabs>
        <w:spacing w:line="360" w:lineRule="auto"/>
        <w:ind w:left="720" w:right="1008"/>
        <w:jc w:val="both"/>
        <w:rPr>
          <w:rFonts w:ascii="Palatino Linotype" w:hAnsi="Palatino Linotype" w:cs="Arial"/>
          <w:i/>
          <w:sz w:val="22"/>
        </w:rPr>
      </w:pPr>
      <w:r w:rsidRPr="00B653DC">
        <w:rPr>
          <w:rFonts w:ascii="Palatino Linotype" w:hAnsi="Palatino Linotype" w:cs="Arial"/>
          <w:b/>
          <w:i/>
          <w:sz w:val="22"/>
        </w:rPr>
        <w:t>(…)”</w:t>
      </w:r>
    </w:p>
    <w:p w14:paraId="4C1AD732" w14:textId="77777777" w:rsidR="00B75387" w:rsidRPr="009B4B64" w:rsidRDefault="00B75387" w:rsidP="00B75387">
      <w:pPr>
        <w:spacing w:line="360" w:lineRule="auto"/>
        <w:ind w:left="851" w:right="1134"/>
        <w:jc w:val="both"/>
        <w:rPr>
          <w:rFonts w:ascii="Palatino Linotype" w:hAnsi="Palatino Linotype" w:cs="Arial"/>
          <w:i/>
        </w:rPr>
      </w:pPr>
    </w:p>
    <w:p w14:paraId="3CBE7507" w14:textId="4A52D16C" w:rsidR="00B75387" w:rsidRDefault="00B75387" w:rsidP="00B75387">
      <w:pPr>
        <w:pStyle w:val="Prrafodelista"/>
        <w:numPr>
          <w:ilvl w:val="0"/>
          <w:numId w:val="32"/>
        </w:numPr>
        <w:spacing w:line="360" w:lineRule="auto"/>
        <w:ind w:left="0" w:firstLine="0"/>
        <w:contextualSpacing w:val="0"/>
        <w:jc w:val="both"/>
        <w:rPr>
          <w:rFonts w:ascii="Palatino Linotype" w:eastAsia="Arial Unicode MS" w:hAnsi="Palatino Linotype" w:cs="Arial"/>
        </w:rPr>
      </w:pPr>
      <w:r w:rsidRPr="00B653DC">
        <w:rPr>
          <w:rFonts w:ascii="Palatino Linotype" w:eastAsia="Arial Unicode MS" w:hAnsi="Palatino Linotype" w:cs="Arial"/>
        </w:rPr>
        <w:t>Así, es importante destacar que los motivos de inconformidad no actualizan la procedencia de  alguna causal de procedencia enlistada en el artículo 179 de la Ley de Transparencia Estatal, como a continuación se observa:</w:t>
      </w:r>
    </w:p>
    <w:p w14:paraId="1670C0B6"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lastRenderedPageBreak/>
        <w:t>Artículo 179. El recurso de revisión es un medio de protección que la Ley otorga a los particulares,</w:t>
      </w:r>
      <w:r>
        <w:rPr>
          <w:rFonts w:ascii="Palatino Linotype" w:hAnsi="Palatino Linotype"/>
          <w:i/>
          <w:sz w:val="22"/>
        </w:rPr>
        <w:t xml:space="preserve"> </w:t>
      </w:r>
      <w:r w:rsidRPr="00B653DC">
        <w:rPr>
          <w:rFonts w:ascii="Palatino Linotype" w:hAnsi="Palatino Linotype"/>
          <w:i/>
          <w:sz w:val="22"/>
        </w:rPr>
        <w:t>para hacer valer su derecho de acceso a la información pública, y procederá en contra de las siguientes</w:t>
      </w:r>
      <w:r>
        <w:rPr>
          <w:rFonts w:ascii="Palatino Linotype" w:hAnsi="Palatino Linotype"/>
          <w:i/>
          <w:sz w:val="22"/>
        </w:rPr>
        <w:t xml:space="preserve"> </w:t>
      </w:r>
      <w:r w:rsidRPr="00B653DC">
        <w:rPr>
          <w:rFonts w:ascii="Palatino Linotype" w:hAnsi="Palatino Linotype"/>
          <w:i/>
          <w:sz w:val="22"/>
        </w:rPr>
        <w:t>causas:</w:t>
      </w:r>
    </w:p>
    <w:p w14:paraId="7E9DB817"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I. La negativa a la información solicitada;</w:t>
      </w:r>
    </w:p>
    <w:p w14:paraId="03AC507B"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II. La clasificación de la información;</w:t>
      </w:r>
    </w:p>
    <w:p w14:paraId="0498378F"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III. La declaración de inexistencia de la información;</w:t>
      </w:r>
    </w:p>
    <w:p w14:paraId="5E981741"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IV. La declaración de incompetencia por el sujeto obligado;</w:t>
      </w:r>
    </w:p>
    <w:p w14:paraId="0BC0FC32"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V. La entrega de información incompleta;</w:t>
      </w:r>
    </w:p>
    <w:p w14:paraId="0597CD01"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VI. La entrega de información que no corresponda con lo solicitado;</w:t>
      </w:r>
    </w:p>
    <w:p w14:paraId="2BA053BD"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VII. La falta de respuesta a una solicitud de acceso a la información;</w:t>
      </w:r>
    </w:p>
    <w:p w14:paraId="40B9523A"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VIII. La notificación, entrega o puesta a disposición de información en una modalidad o formato distinto</w:t>
      </w:r>
      <w:r>
        <w:rPr>
          <w:rFonts w:ascii="Palatino Linotype" w:hAnsi="Palatino Linotype"/>
          <w:i/>
          <w:sz w:val="22"/>
        </w:rPr>
        <w:t xml:space="preserve"> </w:t>
      </w:r>
      <w:r w:rsidRPr="00B653DC">
        <w:rPr>
          <w:rFonts w:ascii="Palatino Linotype" w:hAnsi="Palatino Linotype"/>
          <w:i/>
          <w:sz w:val="22"/>
        </w:rPr>
        <w:t>al solicitado;</w:t>
      </w:r>
    </w:p>
    <w:p w14:paraId="2094495F"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IX. La entrega o puesta a disposición de información en un formato incomprensible y/o no accesible</w:t>
      </w:r>
      <w:r>
        <w:rPr>
          <w:rFonts w:ascii="Palatino Linotype" w:hAnsi="Palatino Linotype"/>
          <w:i/>
          <w:sz w:val="22"/>
        </w:rPr>
        <w:t xml:space="preserve"> </w:t>
      </w:r>
      <w:r w:rsidRPr="00B653DC">
        <w:rPr>
          <w:rFonts w:ascii="Palatino Linotype" w:hAnsi="Palatino Linotype"/>
          <w:i/>
          <w:sz w:val="22"/>
        </w:rPr>
        <w:t>para el solicitante;</w:t>
      </w:r>
    </w:p>
    <w:p w14:paraId="73CF943B"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X. Los costos o tiempos de entrega de la información;</w:t>
      </w:r>
    </w:p>
    <w:p w14:paraId="7D7689A6"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XI. La falta de trámite a una solicitud;</w:t>
      </w:r>
    </w:p>
    <w:p w14:paraId="478BAD00"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XII. La negativa a permitir la consulta directa de la información;</w:t>
      </w:r>
    </w:p>
    <w:p w14:paraId="5478B10A"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XIII. La falta, deficiencia o insuficiencia de la fundamentación y/o motivación en la respuesta; y</w:t>
      </w:r>
    </w:p>
    <w:p w14:paraId="352CB6E2"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XIV. La orientación a un trámite específico.</w:t>
      </w:r>
    </w:p>
    <w:p w14:paraId="0F70C54F" w14:textId="77777777" w:rsidR="00B75387" w:rsidRPr="00B653DC" w:rsidRDefault="00B75387" w:rsidP="00B75387">
      <w:pPr>
        <w:pStyle w:val="Textonotapie"/>
        <w:spacing w:line="360" w:lineRule="auto"/>
        <w:ind w:left="567" w:right="822"/>
        <w:rPr>
          <w:rFonts w:ascii="Palatino Linotype" w:hAnsi="Palatino Linotype"/>
          <w:i/>
          <w:sz w:val="22"/>
        </w:rPr>
      </w:pPr>
      <w:r w:rsidRPr="00B653DC">
        <w:rPr>
          <w:rFonts w:ascii="Palatino Linotype" w:hAnsi="Palatino Linotype"/>
          <w:i/>
          <w:sz w:val="22"/>
        </w:rPr>
        <w:t>La respuesta que den los sujetos obligados derivada de la resolución a un recurso de revisión que</w:t>
      </w:r>
      <w:r>
        <w:rPr>
          <w:rFonts w:ascii="Palatino Linotype" w:hAnsi="Palatino Linotype"/>
          <w:i/>
          <w:sz w:val="22"/>
        </w:rPr>
        <w:t xml:space="preserve"> </w:t>
      </w:r>
      <w:r w:rsidRPr="00B653DC">
        <w:rPr>
          <w:rFonts w:ascii="Palatino Linotype" w:hAnsi="Palatino Linotype"/>
          <w:i/>
          <w:sz w:val="22"/>
        </w:rPr>
        <w:t>proceda por las causales señaladas en las fracciones IV, VII, IX, X, XI y XII es susceptible de ser</w:t>
      </w:r>
      <w:r>
        <w:rPr>
          <w:rFonts w:ascii="Palatino Linotype" w:hAnsi="Palatino Linotype"/>
          <w:i/>
          <w:sz w:val="22"/>
        </w:rPr>
        <w:t xml:space="preserve"> </w:t>
      </w:r>
      <w:r w:rsidRPr="00B653DC">
        <w:rPr>
          <w:rFonts w:ascii="Palatino Linotype" w:hAnsi="Palatino Linotype"/>
          <w:i/>
          <w:sz w:val="22"/>
        </w:rPr>
        <w:t>impugnada de nueva cuenta, mediante recurso de revisión, ante el Instituto.</w:t>
      </w:r>
    </w:p>
    <w:p w14:paraId="744E2CEE" w14:textId="77777777" w:rsidR="00B75387" w:rsidRDefault="00B75387" w:rsidP="00B75387">
      <w:pPr>
        <w:pStyle w:val="Prrafodelista"/>
        <w:spacing w:line="360" w:lineRule="auto"/>
        <w:ind w:left="0"/>
        <w:contextualSpacing w:val="0"/>
        <w:jc w:val="both"/>
        <w:rPr>
          <w:rFonts w:ascii="Palatino Linotype" w:eastAsia="Arial Unicode MS" w:hAnsi="Palatino Linotype" w:cs="Arial"/>
        </w:rPr>
      </w:pPr>
    </w:p>
    <w:p w14:paraId="586BB279" w14:textId="77777777" w:rsidR="00B75387" w:rsidRDefault="00B75387" w:rsidP="00B75387">
      <w:pPr>
        <w:numPr>
          <w:ilvl w:val="0"/>
          <w:numId w:val="32"/>
        </w:numPr>
        <w:spacing w:line="360" w:lineRule="auto"/>
        <w:ind w:left="0" w:firstLine="0"/>
        <w:jc w:val="both"/>
        <w:rPr>
          <w:rFonts w:ascii="Palatino Linotype" w:eastAsia="Arial Unicode MS" w:hAnsi="Palatino Linotype" w:cs="Arial"/>
        </w:rPr>
      </w:pPr>
      <w:r w:rsidRPr="00B653DC">
        <w:rPr>
          <w:rFonts w:ascii="Palatino Linotype" w:eastAsia="Arial Unicode MS" w:hAnsi="Palatino Linotype" w:cs="Arial"/>
        </w:rPr>
        <w:lastRenderedPageBreak/>
        <w:t>De lo anterior, podemos advertir que el motivo de inconformidad es inoperante, en atención a que, en materia de Acceso a la Información Pública, los motivos de la inconformidad deben versar sobre las respuestas proporcionada</w:t>
      </w:r>
      <w:r>
        <w:rPr>
          <w:rFonts w:ascii="Palatino Linotype" w:eastAsia="Arial Unicode MS" w:hAnsi="Palatino Linotype" w:cs="Arial"/>
        </w:rPr>
        <w:t>s</w:t>
      </w:r>
      <w:r w:rsidRPr="00B653DC">
        <w:rPr>
          <w:rFonts w:ascii="Palatino Linotype" w:eastAsia="Arial Unicode MS" w:hAnsi="Palatino Linotype" w:cs="Arial"/>
        </w:rPr>
        <w:t xml:space="preserve"> por los Sujetos Obligados o la negativa de entrega de la misma, derivada de la solicitud de información pública. De este modo, en los motivos de inconformidad los recurrentes deben manifestar en forma general y llana la causa de pedir.</w:t>
      </w:r>
    </w:p>
    <w:p w14:paraId="70BE21C1" w14:textId="77777777" w:rsidR="00B75387" w:rsidRDefault="00B75387" w:rsidP="00B75387">
      <w:pPr>
        <w:spacing w:line="360" w:lineRule="auto"/>
        <w:jc w:val="both"/>
        <w:rPr>
          <w:rFonts w:ascii="Palatino Linotype" w:eastAsia="Arial Unicode MS" w:hAnsi="Palatino Linotype" w:cs="Arial"/>
        </w:rPr>
      </w:pPr>
    </w:p>
    <w:p w14:paraId="1DF69F6F" w14:textId="77777777" w:rsidR="00B75387" w:rsidRDefault="00B75387" w:rsidP="00B75387">
      <w:pPr>
        <w:numPr>
          <w:ilvl w:val="0"/>
          <w:numId w:val="32"/>
        </w:numPr>
        <w:spacing w:line="360" w:lineRule="auto"/>
        <w:ind w:left="0" w:firstLine="0"/>
        <w:jc w:val="both"/>
        <w:rPr>
          <w:rFonts w:ascii="Palatino Linotype" w:eastAsia="Arial Unicode MS" w:hAnsi="Palatino Linotype" w:cs="Arial"/>
        </w:rPr>
      </w:pPr>
      <w:r>
        <w:rPr>
          <w:rFonts w:ascii="Palatino Linotype" w:eastAsia="Arial Unicode MS" w:hAnsi="Palatino Linotype" w:cs="Arial"/>
        </w:rPr>
        <w:t>En consecuencia, al estar en presencia de una ampliación a los requerimientos iniciales, es que se actualiza una causal de desechamiento por improcedente, en términos del artículo 191, fracción VII de la Ley de Transparencia y Acceso a la Información Pública del Estado de México y Municipios.</w:t>
      </w:r>
    </w:p>
    <w:p w14:paraId="0BFB50B0" w14:textId="77777777" w:rsidR="00B75387" w:rsidRDefault="00B75387" w:rsidP="00B75387">
      <w:pPr>
        <w:pStyle w:val="Prrafodelista"/>
        <w:rPr>
          <w:rFonts w:ascii="Palatino Linotype" w:hAnsi="Palatino Linotype" w:cs="Arial"/>
          <w:b/>
          <w:color w:val="000000"/>
        </w:rPr>
      </w:pPr>
    </w:p>
    <w:p w14:paraId="436AFDBF" w14:textId="77777777" w:rsidR="00526A4D" w:rsidRPr="00D97D8E" w:rsidRDefault="00B75387" w:rsidP="00526A4D">
      <w:pPr>
        <w:numPr>
          <w:ilvl w:val="0"/>
          <w:numId w:val="32"/>
        </w:numPr>
        <w:spacing w:line="360" w:lineRule="auto"/>
        <w:ind w:left="0" w:firstLine="0"/>
        <w:jc w:val="both"/>
        <w:rPr>
          <w:rFonts w:ascii="Palatino Linotype" w:eastAsia="Arial Unicode MS" w:hAnsi="Palatino Linotype" w:cs="Arial"/>
        </w:rPr>
      </w:pPr>
      <w:r w:rsidRPr="00D97D8E">
        <w:rPr>
          <w:rFonts w:ascii="Palatino Linotype" w:hAnsi="Palatino Linotype" w:cs="Arial"/>
          <w:color w:val="000000"/>
        </w:rPr>
        <w:t xml:space="preserve">Así, es posible determinar que son improcedentes e inoperantes los motivos de inconformidad aducidos por el RECURRENTE, toda vez que no se advierte que tengan por objeto combatir la respuesta otorgada por el SUEJTO OBLIGADO. </w:t>
      </w:r>
    </w:p>
    <w:p w14:paraId="523C01D7" w14:textId="77777777" w:rsidR="00526A4D" w:rsidRDefault="00526A4D" w:rsidP="00526A4D">
      <w:pPr>
        <w:pStyle w:val="Prrafodelista"/>
        <w:rPr>
          <w:rFonts w:ascii="Palatino Linotype" w:hAnsi="Palatino Linotype" w:cs="Arial"/>
          <w:color w:val="000000"/>
        </w:rPr>
      </w:pPr>
    </w:p>
    <w:p w14:paraId="7EACB128" w14:textId="77777777" w:rsidR="00526A4D" w:rsidRPr="00526A4D" w:rsidRDefault="00B75387" w:rsidP="00526A4D">
      <w:pPr>
        <w:numPr>
          <w:ilvl w:val="0"/>
          <w:numId w:val="32"/>
        </w:numPr>
        <w:spacing w:line="360" w:lineRule="auto"/>
        <w:ind w:left="0" w:firstLine="0"/>
        <w:jc w:val="both"/>
        <w:rPr>
          <w:rFonts w:ascii="Palatino Linotype" w:eastAsia="Arial Unicode MS" w:hAnsi="Palatino Linotype" w:cs="Arial"/>
        </w:rPr>
      </w:pPr>
      <w:r w:rsidRPr="00526A4D">
        <w:rPr>
          <w:rFonts w:ascii="Palatino Linotype" w:hAnsi="Palatino Linotype" w:cs="Arial"/>
          <w:color w:val="000000"/>
        </w:rPr>
        <w:t>De lo anterior, se advierte que los motivos o razones de inconformidad no guardan relación ni con la solicitud de acceso a la información, ni con la respuesta emitida por el Sujeto Obligado, en consecuencia, no hay relación con los agravios, determinándose improcedentes.</w:t>
      </w:r>
    </w:p>
    <w:p w14:paraId="430A9F72" w14:textId="77777777" w:rsidR="00526A4D" w:rsidRDefault="00526A4D" w:rsidP="00526A4D">
      <w:pPr>
        <w:pStyle w:val="Prrafodelista"/>
        <w:rPr>
          <w:rFonts w:ascii="Palatino Linotype" w:hAnsi="Palatino Linotype" w:cs="Arial"/>
          <w:color w:val="000000"/>
        </w:rPr>
      </w:pPr>
    </w:p>
    <w:p w14:paraId="70D5636B" w14:textId="421537CE" w:rsidR="00B75387" w:rsidRPr="00526A4D" w:rsidRDefault="00B75387" w:rsidP="00526A4D">
      <w:pPr>
        <w:numPr>
          <w:ilvl w:val="0"/>
          <w:numId w:val="32"/>
        </w:numPr>
        <w:spacing w:line="360" w:lineRule="auto"/>
        <w:ind w:left="0" w:firstLine="0"/>
        <w:jc w:val="both"/>
        <w:rPr>
          <w:rFonts w:ascii="Palatino Linotype" w:eastAsia="Arial Unicode MS" w:hAnsi="Palatino Linotype" w:cs="Arial"/>
        </w:rPr>
      </w:pPr>
      <w:r w:rsidRPr="00526A4D">
        <w:rPr>
          <w:rFonts w:ascii="Palatino Linotype" w:hAnsi="Palatino Linotype" w:cs="Arial"/>
          <w:color w:val="000000"/>
        </w:rPr>
        <w:t xml:space="preserve">Sirve de sustento </w:t>
      </w:r>
      <w:r w:rsidRPr="00526A4D">
        <w:rPr>
          <w:rFonts w:ascii="Palatino Linotype" w:hAnsi="Palatino Linotype"/>
          <w:color w:val="000000"/>
          <w:lang w:eastAsia="es-MX"/>
        </w:rPr>
        <w:t>la Jurisprudencia No. 29 visible a foja 19 del Apéndice al Semanario Judicial de la Federación 1917-1995, Torno VI, Materia Común, Primera Parte, Tesis de la Suprema Corte de Justicia, que contiene:</w:t>
      </w:r>
    </w:p>
    <w:p w14:paraId="4553F4FC" w14:textId="77777777" w:rsidR="00B75387" w:rsidRDefault="00B75387" w:rsidP="00B75387">
      <w:pPr>
        <w:shd w:val="clear" w:color="auto" w:fill="FFFFFF"/>
        <w:spacing w:before="240" w:after="240" w:line="360" w:lineRule="atLeast"/>
        <w:ind w:left="567" w:right="567"/>
        <w:jc w:val="both"/>
        <w:rPr>
          <w:rFonts w:ascii="Palatino Linotype" w:hAnsi="Palatino Linotype"/>
          <w:i/>
          <w:iCs/>
          <w:color w:val="000000"/>
          <w:sz w:val="22"/>
          <w:szCs w:val="22"/>
        </w:rPr>
      </w:pPr>
      <w:r w:rsidRPr="00B9068E">
        <w:rPr>
          <w:rFonts w:ascii="Palatino Linotype" w:hAnsi="Palatino Linotype"/>
          <w:b/>
          <w:bCs/>
          <w:i/>
          <w:iCs/>
          <w:color w:val="000000"/>
          <w:sz w:val="22"/>
          <w:szCs w:val="22"/>
        </w:rPr>
        <w:lastRenderedPageBreak/>
        <w:t>AGRAVIOS EN LA REVISION. DEBEN ESTAR EN RELACION DIRECTA CON LOS FUNDAMENTOS Y CONSIDERACIONES DE LA SENTENCIA</w:t>
      </w:r>
      <w:r w:rsidRPr="00B9068E">
        <w:rPr>
          <w:rFonts w:ascii="Palatino Linotype" w:hAnsi="Palatino Linotype"/>
          <w:i/>
          <w:iCs/>
          <w:color w:val="000000"/>
          <w:sz w:val="22"/>
          <w:szCs w:val="22"/>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14:paraId="40EA3DCA" w14:textId="77777777" w:rsidR="00B75387" w:rsidRPr="00F06E5B" w:rsidRDefault="00B75387" w:rsidP="00B75387">
      <w:pPr>
        <w:pStyle w:val="Prrafodelista"/>
        <w:rPr>
          <w:rFonts w:ascii="Palatino Linotype" w:hAnsi="Palatino Linotype" w:cs="Arial"/>
          <w:color w:val="000000"/>
        </w:rPr>
      </w:pPr>
    </w:p>
    <w:p w14:paraId="081FD0E1" w14:textId="574E30F0" w:rsidR="00B75387" w:rsidRPr="00526A4D" w:rsidRDefault="00B75387" w:rsidP="00526A4D">
      <w:pPr>
        <w:pStyle w:val="Prrafodelista"/>
        <w:numPr>
          <w:ilvl w:val="0"/>
          <w:numId w:val="32"/>
        </w:numPr>
        <w:spacing w:line="360" w:lineRule="auto"/>
        <w:ind w:left="0" w:right="49" w:firstLine="0"/>
        <w:jc w:val="both"/>
        <w:rPr>
          <w:rFonts w:ascii="Palatino Linotype" w:hAnsi="Palatino Linotype" w:cs="Arial"/>
          <w:color w:val="000000"/>
        </w:rPr>
      </w:pPr>
      <w:r w:rsidRPr="00526A4D">
        <w:rPr>
          <w:rFonts w:ascii="Palatino Linotype" w:eastAsia="Calibri" w:hAnsi="Palatino Linotype" w:cs="Arial"/>
        </w:rPr>
        <w:t>No obstante, a efecto de no vulnerar los derechos del particular, este Órgano Garante deja a salvo sus derechos para que, si así lo desea, presente una nueva solicitud de acceso a la información requiriendo información que sea de su interés.</w:t>
      </w:r>
    </w:p>
    <w:p w14:paraId="5BEF63BE" w14:textId="77777777" w:rsidR="00B75387" w:rsidRDefault="00B75387" w:rsidP="00B75387">
      <w:pPr>
        <w:pStyle w:val="Prrafodelista"/>
        <w:spacing w:line="360" w:lineRule="auto"/>
        <w:ind w:left="0"/>
        <w:jc w:val="both"/>
        <w:rPr>
          <w:rFonts w:ascii="Palatino Linotype" w:hAnsi="Palatino Linotype" w:cs="Arial"/>
          <w:color w:val="000000" w:themeColor="text1"/>
        </w:rPr>
      </w:pPr>
    </w:p>
    <w:p w14:paraId="6889DE1D" w14:textId="16B18F82" w:rsidR="00B75387" w:rsidRPr="00D54740" w:rsidRDefault="00526A4D" w:rsidP="00526A4D">
      <w:pPr>
        <w:pStyle w:val="Prrafodelista"/>
        <w:spacing w:line="360" w:lineRule="auto"/>
        <w:ind w:left="0"/>
        <w:jc w:val="both"/>
        <w:rPr>
          <w:rFonts w:ascii="Palatino Linotype" w:hAnsi="Palatino Linotype" w:cs="Arial"/>
          <w:b/>
          <w:color w:val="000000" w:themeColor="text1"/>
        </w:rPr>
      </w:pPr>
      <w:r w:rsidRPr="00D54740">
        <w:rPr>
          <w:rFonts w:ascii="Palatino Linotype" w:hAnsi="Palatino Linotype" w:cs="Arial"/>
          <w:b/>
          <w:color w:val="000000" w:themeColor="text1"/>
        </w:rPr>
        <w:t>b) Recurso de revisión 13328/INFOEM/IP/RR/2022</w:t>
      </w:r>
    </w:p>
    <w:p w14:paraId="0C1AF54D" w14:textId="77777777" w:rsidR="00B75387" w:rsidRDefault="00B75387" w:rsidP="00526A4D">
      <w:pPr>
        <w:pStyle w:val="Prrafodelista"/>
        <w:spacing w:line="360" w:lineRule="auto"/>
        <w:ind w:left="0"/>
        <w:jc w:val="both"/>
        <w:rPr>
          <w:rFonts w:ascii="Palatino Linotype" w:hAnsi="Palatino Linotype" w:cs="Arial"/>
          <w:color w:val="000000" w:themeColor="text1"/>
        </w:rPr>
      </w:pPr>
    </w:p>
    <w:p w14:paraId="52DC84DE" w14:textId="76165028" w:rsidR="00B75387" w:rsidRPr="00B75387" w:rsidRDefault="00526A4D" w:rsidP="00B75387">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En este caso en particular, el Sujeto Obligado solicitó lo siguiente:</w:t>
      </w:r>
    </w:p>
    <w:p w14:paraId="71A2168F" w14:textId="77777777" w:rsidR="00B75387" w:rsidRPr="00B75387" w:rsidRDefault="00B75387" w:rsidP="00526A4D">
      <w:pPr>
        <w:pStyle w:val="Prrafodelista"/>
        <w:spacing w:line="360" w:lineRule="auto"/>
        <w:jc w:val="both"/>
        <w:rPr>
          <w:rFonts w:ascii="Palatino Linotype" w:hAnsi="Palatino Linotype" w:cs="Arial"/>
          <w:color w:val="000000" w:themeColor="text1"/>
        </w:rPr>
      </w:pPr>
    </w:p>
    <w:p w14:paraId="0B9CDAF1" w14:textId="6ECB2532" w:rsidR="00526A4D" w:rsidRPr="00526A4D" w:rsidRDefault="00526A4D" w:rsidP="00526A4D">
      <w:pPr>
        <w:pStyle w:val="Prrafodelista"/>
        <w:numPr>
          <w:ilvl w:val="0"/>
          <w:numId w:val="46"/>
        </w:numPr>
        <w:spacing w:line="360" w:lineRule="auto"/>
        <w:ind w:left="567"/>
        <w:jc w:val="both"/>
        <w:rPr>
          <w:rFonts w:ascii="Palatino Linotype" w:eastAsia="Times New Roman" w:hAnsi="Palatino Linotype" w:cs="Times New Roman"/>
          <w:i/>
          <w:sz w:val="40"/>
          <w:lang w:eastAsia="es-MX"/>
        </w:rPr>
      </w:pPr>
      <w:r w:rsidRPr="00526A4D">
        <w:rPr>
          <w:rFonts w:ascii="Palatino Linotype" w:eastAsia="Times New Roman" w:hAnsi="Palatino Linotype" w:cs="Times New Roman"/>
          <w:i/>
          <w:sz w:val="22"/>
          <w:szCs w:val="14"/>
          <w:lang w:eastAsia="es-MX"/>
        </w:rPr>
        <w:t>Total de convenios firmados por la Secretaria del Medio Ambiente con otras entidades públicas o privadas en el periodo de Gobierno 2011 a 2017 durante la administración del Dr. Eruviel Ávila Villegas</w:t>
      </w:r>
      <w:r>
        <w:rPr>
          <w:rFonts w:ascii="Palatino Linotype" w:eastAsia="Times New Roman" w:hAnsi="Palatino Linotype" w:cs="Times New Roman"/>
          <w:i/>
          <w:sz w:val="22"/>
          <w:szCs w:val="14"/>
          <w:lang w:eastAsia="es-MX"/>
        </w:rPr>
        <w:t>.</w:t>
      </w:r>
    </w:p>
    <w:p w14:paraId="04C3B397" w14:textId="77777777" w:rsidR="008F712B" w:rsidRDefault="008F712B" w:rsidP="00526A4D">
      <w:pPr>
        <w:pStyle w:val="Prrafodelista"/>
        <w:spacing w:line="360" w:lineRule="auto"/>
        <w:ind w:left="0"/>
        <w:jc w:val="both"/>
        <w:rPr>
          <w:rFonts w:ascii="Palatino Linotype" w:hAnsi="Palatino Linotype" w:cs="Arial"/>
          <w:color w:val="000000" w:themeColor="text1"/>
        </w:rPr>
      </w:pPr>
    </w:p>
    <w:p w14:paraId="0018FEEF" w14:textId="01415DCD" w:rsidR="00526A4D" w:rsidRDefault="00526A4D"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En respuesta, a través del documento adjunto, se entrega una captura de pantalla que corresponde a solicitud diversa. Sin embargo, en la descripción del apartado de respuesta, el Sujeto Obligado mencionó:</w:t>
      </w:r>
    </w:p>
    <w:p w14:paraId="43B82849" w14:textId="77777777" w:rsidR="00526A4D" w:rsidRDefault="00526A4D" w:rsidP="00526A4D">
      <w:pPr>
        <w:pStyle w:val="Prrafodelista"/>
        <w:spacing w:line="360" w:lineRule="auto"/>
        <w:ind w:left="0"/>
        <w:jc w:val="both"/>
        <w:rPr>
          <w:rFonts w:ascii="Palatino Linotype" w:hAnsi="Palatino Linotype" w:cs="Arial"/>
          <w:color w:val="000000" w:themeColor="text1"/>
        </w:rPr>
      </w:pPr>
    </w:p>
    <w:p w14:paraId="0AEE55CF" w14:textId="7594FF6A" w:rsidR="00526A4D" w:rsidRPr="00526A4D" w:rsidRDefault="00526A4D" w:rsidP="00526A4D">
      <w:pPr>
        <w:pStyle w:val="Prrafodelista"/>
        <w:spacing w:line="360" w:lineRule="auto"/>
        <w:ind w:left="567" w:right="616"/>
        <w:jc w:val="both"/>
        <w:rPr>
          <w:rFonts w:ascii="Palatino Linotype" w:hAnsi="Palatino Linotype" w:cs="Arial"/>
          <w:i/>
          <w:color w:val="000000" w:themeColor="text1"/>
          <w:sz w:val="32"/>
        </w:rPr>
      </w:pPr>
      <w:r>
        <w:rPr>
          <w:rFonts w:ascii="Palatino Linotype" w:hAnsi="Palatino Linotype"/>
          <w:i/>
          <w:color w:val="000000"/>
          <w:sz w:val="22"/>
          <w:szCs w:val="18"/>
        </w:rPr>
        <w:lastRenderedPageBreak/>
        <w:t>“…</w:t>
      </w:r>
      <w:r w:rsidRPr="00526A4D">
        <w:rPr>
          <w:rFonts w:ascii="Palatino Linotype" w:hAnsi="Palatino Linotype"/>
          <w:i/>
          <w:color w:val="000000"/>
          <w:sz w:val="22"/>
          <w:szCs w:val="18"/>
        </w:rPr>
        <w:t xml:space="preserve"> Al respecto, con fundamento en lo señalado en los artículos 12, 18 y 59 de la Ley de Transparencia y Acceso a la Información Pública del Estado de México y Municipios, me permito informarle que, </w:t>
      </w:r>
      <w:r w:rsidRPr="00526A4D">
        <w:rPr>
          <w:rFonts w:ascii="Palatino Linotype" w:hAnsi="Palatino Linotype"/>
          <w:b/>
          <w:i/>
          <w:color w:val="000000"/>
          <w:sz w:val="22"/>
          <w:szCs w:val="18"/>
          <w:u w:val="single"/>
        </w:rPr>
        <w:t>de acuerdo a la información que obra en los archivos de este servidor público habilitado, se registra un total de 67 Convenios suscritos en el periodo requerido por el solicitante; la vigencia de la totalidad de esos convenios ha concluido</w:t>
      </w:r>
      <w:r w:rsidRPr="00526A4D">
        <w:rPr>
          <w:rFonts w:ascii="Palatino Linotype" w:hAnsi="Palatino Linotype"/>
          <w:i/>
          <w:color w:val="000000"/>
          <w:sz w:val="22"/>
          <w:szCs w:val="18"/>
        </w:rPr>
        <w:t>. No obstante, cabe señalar que no corresponde a las atribuciones de esta Coordinación el resguardo o tenencia de los Convenios que, en ejercicio de sus atribuciones, proponen o suscriben las diversas unidades administrativas sustantivas de este Sujeto Obligado, razón por la cual en los archivos de este Servidor Público Habilitado, no se cuenta con información referente a todos los Convenios que pudiera haber suscrito la Secretaría con instituciones públicas o privadas, en el periodo solicitado. De ser el caso, la información podría estar en poder de otro u otros servidores públicos habilitados como serían las unidades administrativas proponentes o, de la Unidad de Información, Planeación, Programación y Evaluación (UIPPE), ya que de conformidad con lo dispuesto en los artículos 20 fracción VI y 41 de la Ley de Planeación del Estado de México y Municipios, le corresponde a la UIPPE, a las unidades administrativas y servidores públicos involucrados en los convenios respectivos, el seguimiento y evaluación de la ejecución de las acciones derivadas de los mismos.</w:t>
      </w:r>
      <w:r>
        <w:rPr>
          <w:rFonts w:ascii="Palatino Linotype" w:hAnsi="Palatino Linotype"/>
          <w:i/>
          <w:color w:val="000000"/>
          <w:sz w:val="22"/>
          <w:szCs w:val="18"/>
        </w:rPr>
        <w:t xml:space="preserve">” </w:t>
      </w:r>
    </w:p>
    <w:p w14:paraId="745EAA9B" w14:textId="77777777" w:rsidR="00526A4D" w:rsidRDefault="00526A4D" w:rsidP="00526A4D">
      <w:pPr>
        <w:pStyle w:val="Prrafodelista"/>
        <w:spacing w:line="360" w:lineRule="auto"/>
        <w:ind w:left="0"/>
        <w:jc w:val="both"/>
        <w:rPr>
          <w:rFonts w:ascii="Palatino Linotype" w:hAnsi="Palatino Linotype" w:cs="Arial"/>
          <w:color w:val="000000" w:themeColor="text1"/>
        </w:rPr>
      </w:pPr>
    </w:p>
    <w:p w14:paraId="063FB3DD" w14:textId="282609B4" w:rsidR="00526A4D" w:rsidRDefault="00526A4D" w:rsidP="00E74B41">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Por su parte, el Recurrente se inconformó señalando los siguientes </w:t>
      </w:r>
      <w:r w:rsidR="00D97D8E">
        <w:rPr>
          <w:rFonts w:ascii="Palatino Linotype" w:hAnsi="Palatino Linotype" w:cs="Arial"/>
          <w:color w:val="000000" w:themeColor="text1"/>
        </w:rPr>
        <w:t>agravios</w:t>
      </w:r>
      <w:r>
        <w:rPr>
          <w:rFonts w:ascii="Palatino Linotype" w:hAnsi="Palatino Linotype" w:cs="Arial"/>
          <w:color w:val="000000" w:themeColor="text1"/>
        </w:rPr>
        <w:t>:</w:t>
      </w:r>
    </w:p>
    <w:p w14:paraId="5760C05B" w14:textId="150CC49E" w:rsidR="00526A4D" w:rsidRPr="00891D7C" w:rsidRDefault="00891D7C" w:rsidP="00891D7C">
      <w:pPr>
        <w:pStyle w:val="Prrafodelista"/>
        <w:numPr>
          <w:ilvl w:val="0"/>
          <w:numId w:val="46"/>
        </w:numPr>
        <w:ind w:right="616"/>
        <w:jc w:val="both"/>
        <w:rPr>
          <w:rFonts w:ascii="Palatino Linotype" w:eastAsia="Times New Roman" w:hAnsi="Palatino Linotype" w:cs="Times New Roman"/>
          <w:i/>
          <w:sz w:val="22"/>
          <w:szCs w:val="14"/>
          <w:lang w:eastAsia="es-MX"/>
        </w:rPr>
      </w:pPr>
      <w:r w:rsidRPr="00891D7C">
        <w:rPr>
          <w:rFonts w:ascii="Palatino Linotype" w:eastAsia="Times New Roman" w:hAnsi="Palatino Linotype" w:cs="Times New Roman"/>
          <w:i/>
          <w:sz w:val="22"/>
          <w:szCs w:val="14"/>
          <w:lang w:eastAsia="es-MX"/>
        </w:rPr>
        <w:t xml:space="preserve">Responde que de acuerdo a la ley tienen archivos de 67 convenios firmados que la vigencia ya con clullo que no corresponde el resguardo de los convenios y que la informacion la tienen otros servidores publicos abilitados, </w:t>
      </w:r>
    </w:p>
    <w:p w14:paraId="4BB102E1" w14:textId="767A0DB8" w:rsidR="00891D7C" w:rsidRPr="00891D7C" w:rsidRDefault="00891D7C" w:rsidP="00891D7C">
      <w:pPr>
        <w:pStyle w:val="Prrafodelista"/>
        <w:numPr>
          <w:ilvl w:val="0"/>
          <w:numId w:val="46"/>
        </w:numPr>
        <w:ind w:right="616"/>
        <w:jc w:val="both"/>
        <w:rPr>
          <w:rFonts w:ascii="Palatino Linotype" w:eastAsia="Times New Roman" w:hAnsi="Palatino Linotype" w:cs="Times New Roman"/>
          <w:i/>
          <w:sz w:val="22"/>
          <w:szCs w:val="14"/>
          <w:lang w:eastAsia="es-MX"/>
        </w:rPr>
      </w:pPr>
      <w:r w:rsidRPr="00891D7C">
        <w:rPr>
          <w:rFonts w:ascii="Palatino Linotype" w:eastAsia="Times New Roman" w:hAnsi="Palatino Linotype" w:cs="Times New Roman"/>
          <w:i/>
          <w:sz w:val="22"/>
          <w:szCs w:val="14"/>
          <w:lang w:eastAsia="es-MX"/>
        </w:rPr>
        <w:t>Quiero</w:t>
      </w:r>
      <w:r>
        <w:rPr>
          <w:rFonts w:ascii="Palatino Linotype" w:eastAsia="Times New Roman" w:hAnsi="Palatino Linotype" w:cs="Times New Roman"/>
          <w:i/>
          <w:sz w:val="22"/>
          <w:szCs w:val="14"/>
          <w:lang w:eastAsia="es-MX"/>
        </w:rPr>
        <w:t xml:space="preserve"> sabes a quien me dirijo</w:t>
      </w:r>
    </w:p>
    <w:p w14:paraId="3581F127" w14:textId="6C3D039E" w:rsidR="00526A4D" w:rsidRPr="00891D7C" w:rsidRDefault="00891D7C" w:rsidP="00891D7C">
      <w:pPr>
        <w:pStyle w:val="Prrafodelista"/>
        <w:numPr>
          <w:ilvl w:val="0"/>
          <w:numId w:val="46"/>
        </w:numPr>
        <w:ind w:right="616"/>
        <w:jc w:val="both"/>
        <w:rPr>
          <w:rFonts w:ascii="Palatino Linotype" w:eastAsia="Times New Roman" w:hAnsi="Palatino Linotype" w:cs="Times New Roman"/>
          <w:i/>
          <w:sz w:val="22"/>
          <w:szCs w:val="14"/>
          <w:lang w:eastAsia="es-MX"/>
        </w:rPr>
      </w:pPr>
      <w:r w:rsidRPr="00891D7C">
        <w:rPr>
          <w:rFonts w:ascii="Palatino Linotype" w:eastAsia="Times New Roman" w:hAnsi="Palatino Linotype" w:cs="Times New Roman"/>
          <w:i/>
          <w:sz w:val="22"/>
          <w:szCs w:val="14"/>
          <w:lang w:eastAsia="es-MX"/>
        </w:rPr>
        <w:t xml:space="preserve">El listado de los que tienen la ifoermación para solicitarla </w:t>
      </w:r>
    </w:p>
    <w:p w14:paraId="082338F8" w14:textId="2BDEA9BB" w:rsidR="00526A4D" w:rsidRPr="00891D7C" w:rsidRDefault="00891D7C" w:rsidP="00891D7C">
      <w:pPr>
        <w:pStyle w:val="Prrafodelista"/>
        <w:numPr>
          <w:ilvl w:val="0"/>
          <w:numId w:val="46"/>
        </w:numPr>
        <w:ind w:right="616"/>
        <w:jc w:val="both"/>
        <w:rPr>
          <w:rFonts w:ascii="Palatino Linotype" w:eastAsia="Times New Roman" w:hAnsi="Palatino Linotype" w:cs="Times New Roman"/>
          <w:i/>
          <w:sz w:val="22"/>
          <w:szCs w:val="14"/>
          <w:lang w:eastAsia="es-MX"/>
        </w:rPr>
      </w:pPr>
      <w:r w:rsidRPr="00891D7C">
        <w:rPr>
          <w:rFonts w:ascii="Palatino Linotype" w:eastAsia="Times New Roman" w:hAnsi="Palatino Linotype" w:cs="Times New Roman"/>
          <w:i/>
          <w:sz w:val="22"/>
          <w:szCs w:val="14"/>
          <w:lang w:eastAsia="es-MX"/>
        </w:rPr>
        <w:t>Como la solicito</w:t>
      </w:r>
    </w:p>
    <w:p w14:paraId="5E3829FD" w14:textId="3243CED3" w:rsidR="00526A4D" w:rsidRPr="00891D7C" w:rsidRDefault="00891D7C" w:rsidP="00891D7C">
      <w:pPr>
        <w:pStyle w:val="Prrafodelista"/>
        <w:numPr>
          <w:ilvl w:val="0"/>
          <w:numId w:val="46"/>
        </w:numPr>
        <w:ind w:right="616"/>
        <w:jc w:val="both"/>
        <w:rPr>
          <w:rFonts w:ascii="Palatino Linotype" w:eastAsia="Times New Roman" w:hAnsi="Palatino Linotype" w:cs="Times New Roman"/>
          <w:i/>
          <w:sz w:val="40"/>
          <w:lang w:eastAsia="es-MX"/>
        </w:rPr>
      </w:pPr>
      <w:r w:rsidRPr="00891D7C">
        <w:rPr>
          <w:rFonts w:ascii="Palatino Linotype" w:eastAsia="Times New Roman" w:hAnsi="Palatino Linotype" w:cs="Times New Roman"/>
          <w:i/>
          <w:sz w:val="22"/>
          <w:szCs w:val="14"/>
          <w:lang w:eastAsia="es-MX"/>
        </w:rPr>
        <w:t>Entronces quein le da seguimiento a las supuestas acciones derivadas de los convenios</w:t>
      </w:r>
    </w:p>
    <w:p w14:paraId="0C017E75" w14:textId="77777777" w:rsidR="00891D7C" w:rsidRDefault="00891D7C" w:rsidP="00891D7C">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lastRenderedPageBreak/>
        <w:t>Hasta lo expuesto en este punto, se aprecia que, el Sujeto Obligado por si mismo, asumió que la información correspondiente a los 67 convenios referidos en respuesta no corresponden a toda la información, ya que el área que dio respuesta a la solicitud señaló que no administra todos los convenios que pudieran llegar a celebrar las demás áreas administrativas.</w:t>
      </w:r>
    </w:p>
    <w:p w14:paraId="7B3E8A8F" w14:textId="77777777" w:rsidR="00891D7C" w:rsidRDefault="00891D7C" w:rsidP="00891D7C">
      <w:pPr>
        <w:pStyle w:val="Prrafodelista"/>
        <w:spacing w:line="360" w:lineRule="auto"/>
        <w:ind w:left="0"/>
        <w:jc w:val="both"/>
        <w:rPr>
          <w:rFonts w:ascii="Palatino Linotype" w:hAnsi="Palatino Linotype" w:cs="Arial"/>
          <w:color w:val="000000" w:themeColor="text1"/>
        </w:rPr>
      </w:pPr>
    </w:p>
    <w:p w14:paraId="714949F5" w14:textId="77777777" w:rsidR="00891D7C" w:rsidRDefault="00891D7C" w:rsidP="00891D7C">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rPr>
        <w:t>En ese sentido, es necesario enfatizar que, l</w:t>
      </w:r>
      <w:r w:rsidRPr="00891D7C">
        <w:rPr>
          <w:rFonts w:ascii="Palatino Linotype" w:hAnsi="Palatino Linotype" w:cs="Arial"/>
          <w:color w:val="000000"/>
        </w:rPr>
        <w:t xml:space="preserve">as autoridades </w:t>
      </w:r>
      <w:r w:rsidRPr="00891D7C">
        <w:rPr>
          <w:rFonts w:ascii="Palatino Linotype" w:eastAsia="Calibri" w:hAnsi="Palatino Linotype"/>
          <w:i/>
          <w:lang w:val="es-ES"/>
        </w:rPr>
        <w:t xml:space="preserve">en el ámbito de sus atribuciones, de promover, respetar, proteger y </w:t>
      </w:r>
      <w:r w:rsidRPr="00891D7C">
        <w:rPr>
          <w:rFonts w:ascii="Palatino Linotype" w:eastAsia="Calibri" w:hAnsi="Palatino Linotype"/>
          <w:b/>
          <w:i/>
          <w:lang w:val="es-ES"/>
        </w:rPr>
        <w:t>garantizar</w:t>
      </w:r>
      <w:r w:rsidRPr="00891D7C">
        <w:rPr>
          <w:rFonts w:ascii="Palatino Linotype" w:eastAsia="Calibri" w:hAnsi="Palatino Linotype"/>
          <w:i/>
          <w:lang w:val="es-ES"/>
        </w:rPr>
        <w:t xml:space="preserve"> los derechos humanos. </w:t>
      </w:r>
      <w:r w:rsidRPr="00891D7C">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891D7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5F527E">
        <w:rPr>
          <w:rStyle w:val="Refdenotaalpie"/>
          <w:i/>
        </w:rPr>
        <w:footnoteReference w:id="2"/>
      </w:r>
      <w:r w:rsidRPr="00891D7C">
        <w:rPr>
          <w:rFonts w:ascii="Palatino Linotype" w:hAnsi="Palatino Linotype"/>
          <w:i/>
        </w:rPr>
        <w:t xml:space="preserve">, </w:t>
      </w:r>
      <w:r w:rsidRPr="00891D7C">
        <w:rPr>
          <w:rFonts w:ascii="Palatino Linotype" w:hAnsi="Palatino Linotype"/>
        </w:rPr>
        <w:t>asimismo establece</w:t>
      </w:r>
      <w:r w:rsidRPr="00891D7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EC990F0" w14:textId="77777777" w:rsidR="00891D7C" w:rsidRPr="00891D7C" w:rsidRDefault="00891D7C" w:rsidP="00891D7C">
      <w:pPr>
        <w:pStyle w:val="Prrafodelista"/>
        <w:rPr>
          <w:rFonts w:ascii="Palatino Linotype" w:hAnsi="Palatino Linotype"/>
        </w:rPr>
      </w:pPr>
    </w:p>
    <w:p w14:paraId="4108C389" w14:textId="77777777" w:rsidR="00891D7C" w:rsidRDefault="00891D7C" w:rsidP="00891D7C">
      <w:pPr>
        <w:pStyle w:val="Prrafodelista"/>
        <w:numPr>
          <w:ilvl w:val="0"/>
          <w:numId w:val="32"/>
        </w:numPr>
        <w:spacing w:line="360" w:lineRule="auto"/>
        <w:ind w:left="0" w:firstLine="0"/>
        <w:jc w:val="both"/>
        <w:rPr>
          <w:rFonts w:ascii="Palatino Linotype" w:hAnsi="Palatino Linotype" w:cs="Arial"/>
          <w:color w:val="000000" w:themeColor="text1"/>
        </w:rPr>
      </w:pPr>
      <w:r w:rsidRPr="00891D7C">
        <w:rPr>
          <w:rFonts w:ascii="Palatino Linotype" w:hAnsi="Palatino Linotype"/>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w:t>
      </w:r>
      <w:r w:rsidRPr="00891D7C">
        <w:rPr>
          <w:rFonts w:ascii="Palatino Linotype" w:hAnsi="Palatino Linotype"/>
        </w:rPr>
        <w:lastRenderedPageBreak/>
        <w:t>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7176B3D7" w14:textId="77777777" w:rsidR="00891D7C" w:rsidRPr="00891D7C" w:rsidRDefault="00891D7C" w:rsidP="00891D7C">
      <w:pPr>
        <w:pStyle w:val="Prrafodelista"/>
        <w:rPr>
          <w:rFonts w:ascii="Palatino Linotype" w:hAnsi="Palatino Linotype"/>
        </w:rPr>
      </w:pPr>
    </w:p>
    <w:p w14:paraId="5D6FA7D9" w14:textId="77777777" w:rsidR="00891D7C" w:rsidRDefault="00891D7C" w:rsidP="00891D7C">
      <w:pPr>
        <w:pStyle w:val="Prrafodelista"/>
        <w:numPr>
          <w:ilvl w:val="0"/>
          <w:numId w:val="32"/>
        </w:numPr>
        <w:spacing w:line="360" w:lineRule="auto"/>
        <w:ind w:left="0" w:firstLine="0"/>
        <w:jc w:val="both"/>
        <w:rPr>
          <w:rFonts w:ascii="Palatino Linotype" w:hAnsi="Palatino Linotype" w:cs="Arial"/>
          <w:color w:val="000000" w:themeColor="text1"/>
        </w:rPr>
      </w:pPr>
      <w:r w:rsidRPr="00891D7C">
        <w:rPr>
          <w:rFonts w:ascii="Palatino Linotype" w:hAnsi="Palatino Linotype"/>
        </w:rPr>
        <w:t xml:space="preserve">Es así que, su obligación es </w:t>
      </w:r>
      <w:r w:rsidRPr="00891D7C">
        <w:rPr>
          <w:rFonts w:ascii="Palatino Linotype" w:hAnsi="Palatino Linotype"/>
          <w:i/>
        </w:rPr>
        <w:t>realizar, con efectividad, los trámites internos necesarios para la atención de las solicitudes de información</w:t>
      </w:r>
      <w:r w:rsidRPr="009B41B6">
        <w:rPr>
          <w:rStyle w:val="Refdenotaalpie"/>
        </w:rPr>
        <w:footnoteReference w:id="3"/>
      </w:r>
      <w:r w:rsidRPr="00891D7C">
        <w:rPr>
          <w:rFonts w:ascii="Palatino Linotype" w:hAnsi="Palatino Linotype"/>
        </w:rPr>
        <w:t>, es decir, deben otorgar respuestas concisas, contundentes y sobre todo que den la certeza de los actos que realizan.</w:t>
      </w:r>
    </w:p>
    <w:p w14:paraId="1EACAD91" w14:textId="77777777" w:rsidR="00891D7C" w:rsidRPr="00891D7C" w:rsidRDefault="00891D7C" w:rsidP="00891D7C">
      <w:pPr>
        <w:pStyle w:val="Prrafodelista"/>
        <w:rPr>
          <w:rFonts w:ascii="Palatino Linotype" w:hAnsi="Palatino Linotype"/>
          <w:lang w:val="es-ES"/>
        </w:rPr>
      </w:pPr>
    </w:p>
    <w:p w14:paraId="19B38F06" w14:textId="1F87253F" w:rsidR="00891D7C" w:rsidRPr="00891D7C" w:rsidRDefault="00891D7C" w:rsidP="00891D7C">
      <w:pPr>
        <w:pStyle w:val="Prrafodelista"/>
        <w:numPr>
          <w:ilvl w:val="0"/>
          <w:numId w:val="32"/>
        </w:numPr>
        <w:spacing w:line="360" w:lineRule="auto"/>
        <w:ind w:left="0" w:firstLine="0"/>
        <w:jc w:val="both"/>
        <w:rPr>
          <w:rFonts w:ascii="Palatino Linotype" w:hAnsi="Palatino Linotype" w:cs="Arial"/>
          <w:color w:val="000000" w:themeColor="text1"/>
        </w:rPr>
      </w:pPr>
      <w:r w:rsidRPr="00891D7C">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r w:rsidRPr="00891D7C">
        <w:rPr>
          <w:rFonts w:ascii="Palatino Linotype" w:hAnsi="Palatino Linotype"/>
          <w:lang w:eastAsia="en-US"/>
        </w:rPr>
        <w:t xml:space="preserve">Debiendo cumplir con lo dispuesto en el artículo 162, mismo del que se inserta su contenido: </w:t>
      </w:r>
    </w:p>
    <w:p w14:paraId="18828B97" w14:textId="77777777" w:rsidR="00891D7C" w:rsidRPr="00C971AF" w:rsidRDefault="00891D7C" w:rsidP="00891D7C">
      <w:pPr>
        <w:pStyle w:val="Prrafodelista"/>
        <w:rPr>
          <w:rFonts w:ascii="Palatino Linotype" w:hAnsi="Palatino Linotype"/>
          <w:lang w:eastAsia="en-US"/>
        </w:rPr>
      </w:pPr>
    </w:p>
    <w:p w14:paraId="6331E48B" w14:textId="77777777" w:rsidR="00891D7C" w:rsidRPr="00DE0C45" w:rsidRDefault="00891D7C" w:rsidP="00891D7C">
      <w:pPr>
        <w:autoSpaceDE w:val="0"/>
        <w:autoSpaceDN w:val="0"/>
        <w:adjustRightInd w:val="0"/>
        <w:spacing w:line="360" w:lineRule="auto"/>
        <w:ind w:left="567" w:right="567"/>
        <w:jc w:val="both"/>
        <w:rPr>
          <w:rFonts w:ascii="Palatino Linotype" w:hAnsi="Palatino Linotype"/>
          <w:i/>
          <w:sz w:val="28"/>
          <w:lang w:eastAsia="en-US"/>
        </w:rPr>
      </w:pPr>
      <w:r w:rsidRPr="00DE0C45">
        <w:rPr>
          <w:rFonts w:ascii="Palatino Linotype" w:hAnsi="Palatino Linotype" w:cs="Bookman Old Style,Bold"/>
          <w:b/>
          <w:bCs/>
          <w:i/>
          <w:sz w:val="22"/>
        </w:rPr>
        <w:t xml:space="preserve">Artículo 162. </w:t>
      </w:r>
      <w:r w:rsidRPr="00DE0C45">
        <w:rPr>
          <w:rFonts w:ascii="Palatino Linotype" w:hAnsi="Palatino Linotype" w:cs="Bookman Old Style"/>
          <w:i/>
          <w:sz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C199FD7" w14:textId="77777777" w:rsidR="00891D7C" w:rsidRPr="00565E3E" w:rsidRDefault="00891D7C" w:rsidP="00891D7C">
      <w:pPr>
        <w:pStyle w:val="Prrafodelista"/>
        <w:spacing w:line="360" w:lineRule="auto"/>
        <w:ind w:left="0"/>
        <w:jc w:val="both"/>
        <w:rPr>
          <w:rFonts w:ascii="Palatino Linotype" w:hAnsi="Palatino Linotype"/>
          <w:lang w:eastAsia="en-US"/>
        </w:rPr>
      </w:pPr>
      <w:r>
        <w:rPr>
          <w:rFonts w:ascii="Palatino Linotype" w:hAnsi="Palatino Linotype"/>
          <w:lang w:eastAsia="en-US"/>
        </w:rPr>
        <w:t xml:space="preserve"> </w:t>
      </w:r>
    </w:p>
    <w:p w14:paraId="1FA0DA26" w14:textId="77777777" w:rsidR="00891D7C" w:rsidRDefault="00891D7C" w:rsidP="00891D7C">
      <w:pPr>
        <w:pStyle w:val="Prrafodelista"/>
        <w:numPr>
          <w:ilvl w:val="0"/>
          <w:numId w:val="32"/>
        </w:numPr>
        <w:spacing w:line="360" w:lineRule="auto"/>
        <w:ind w:left="0" w:firstLine="0"/>
        <w:jc w:val="both"/>
        <w:rPr>
          <w:rFonts w:ascii="Palatino Linotype" w:hAnsi="Palatino Linotype"/>
          <w:lang w:eastAsia="en-US"/>
        </w:rPr>
      </w:pPr>
      <w:r w:rsidRPr="009B41B6">
        <w:rPr>
          <w:rFonts w:ascii="Palatino Linotype" w:hAnsi="Palatino Linotype"/>
          <w:lang w:eastAsia="en-US"/>
        </w:rPr>
        <w:t>Las unidades de transparencia deberán turnar las solicitudes de acceso a la información a las áreas correspondientes para que estas a su vez, manifestarán lo conducente.</w:t>
      </w:r>
    </w:p>
    <w:p w14:paraId="6860528F" w14:textId="77777777" w:rsidR="00891D7C" w:rsidRDefault="00891D7C" w:rsidP="00891D7C">
      <w:pPr>
        <w:pStyle w:val="Prrafodelista"/>
        <w:spacing w:line="360" w:lineRule="auto"/>
        <w:ind w:left="0"/>
        <w:jc w:val="both"/>
        <w:rPr>
          <w:rFonts w:ascii="Palatino Linotype" w:hAnsi="Palatino Linotype"/>
          <w:lang w:eastAsia="en-US"/>
        </w:rPr>
      </w:pPr>
    </w:p>
    <w:p w14:paraId="538CF009" w14:textId="77777777" w:rsidR="00891D7C" w:rsidRDefault="00891D7C" w:rsidP="00891D7C">
      <w:pPr>
        <w:pStyle w:val="Prrafodelista"/>
        <w:numPr>
          <w:ilvl w:val="0"/>
          <w:numId w:val="32"/>
        </w:numPr>
        <w:spacing w:line="360" w:lineRule="auto"/>
        <w:ind w:left="0" w:firstLine="0"/>
        <w:jc w:val="both"/>
        <w:rPr>
          <w:rFonts w:ascii="Palatino Linotype" w:hAnsi="Palatino Linotype"/>
          <w:lang w:eastAsia="en-US"/>
        </w:rPr>
      </w:pPr>
      <w:r w:rsidRPr="00891D7C">
        <w:rPr>
          <w:rFonts w:ascii="Palatino Linotype" w:hAnsi="Palatino Linotype"/>
          <w:lang w:eastAsia="en-US"/>
        </w:rPr>
        <w:lastRenderedPageBreak/>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14:paraId="454D10AF" w14:textId="77777777" w:rsidR="00891D7C" w:rsidRPr="00891D7C" w:rsidRDefault="00891D7C" w:rsidP="00891D7C">
      <w:pPr>
        <w:pStyle w:val="Prrafodelista"/>
        <w:rPr>
          <w:rFonts w:ascii="Palatino Linotype" w:hAnsi="Palatino Linotype"/>
          <w:lang w:eastAsia="en-US"/>
        </w:rPr>
      </w:pPr>
    </w:p>
    <w:p w14:paraId="55C812C0" w14:textId="77777777" w:rsidR="00891D7C" w:rsidRDefault="00891D7C" w:rsidP="00891D7C">
      <w:pPr>
        <w:pStyle w:val="Prrafodelista"/>
        <w:numPr>
          <w:ilvl w:val="0"/>
          <w:numId w:val="32"/>
        </w:numPr>
        <w:spacing w:line="360" w:lineRule="auto"/>
        <w:ind w:left="0" w:firstLine="0"/>
        <w:jc w:val="both"/>
        <w:rPr>
          <w:rFonts w:ascii="Palatino Linotype" w:hAnsi="Palatino Linotype"/>
          <w:lang w:eastAsia="en-US"/>
        </w:rPr>
      </w:pPr>
      <w:r w:rsidRPr="00891D7C">
        <w:rPr>
          <w:rFonts w:ascii="Palatino Linotype" w:hAnsi="Palatino Linotype"/>
          <w:lang w:eastAsia="en-US"/>
        </w:rPr>
        <w:t>La falta de carteo o turno de las Unidades de Transparencia a las diferentes áreas que integran la estructura orgánica de los Sujetos Obligados, podrían causar una afectación o restricción al derecho ejercido por los particulares.</w:t>
      </w:r>
    </w:p>
    <w:p w14:paraId="2625018B" w14:textId="77777777" w:rsidR="00891D7C" w:rsidRPr="00891D7C" w:rsidRDefault="00891D7C" w:rsidP="00891D7C">
      <w:pPr>
        <w:pStyle w:val="Prrafodelista"/>
        <w:rPr>
          <w:rFonts w:ascii="Palatino Linotype" w:hAnsi="Palatino Linotype"/>
          <w:lang w:eastAsia="en-US"/>
        </w:rPr>
      </w:pPr>
    </w:p>
    <w:p w14:paraId="79FE96F8" w14:textId="77777777" w:rsidR="00891D7C" w:rsidRDefault="00891D7C" w:rsidP="00891D7C">
      <w:pPr>
        <w:pStyle w:val="Prrafodelista"/>
        <w:numPr>
          <w:ilvl w:val="0"/>
          <w:numId w:val="32"/>
        </w:numPr>
        <w:spacing w:line="360" w:lineRule="auto"/>
        <w:ind w:left="0" w:firstLine="0"/>
        <w:jc w:val="both"/>
        <w:rPr>
          <w:rFonts w:ascii="Palatino Linotype" w:hAnsi="Palatino Linotype"/>
          <w:lang w:eastAsia="en-US"/>
        </w:rPr>
      </w:pPr>
      <w:r w:rsidRPr="00891D7C">
        <w:rPr>
          <w:rFonts w:ascii="Palatino Linotype" w:hAnsi="Palatino Linotype"/>
          <w:lang w:eastAsia="en-US"/>
        </w:rPr>
        <w:t>Es necesario que los Sujetos Obligados, a efecto de brindar certeza jurídica y correcta tutela al derecho accionado por los particulares realicen una correcta búsqueda en todas las áreas que de acuerdo a sus funciones atribuciones y competencias deban generar, administrar y poseer la información de interés para los particulares.</w:t>
      </w:r>
    </w:p>
    <w:p w14:paraId="12890777" w14:textId="77777777" w:rsidR="00891D7C" w:rsidRPr="00891D7C" w:rsidRDefault="00891D7C" w:rsidP="00891D7C">
      <w:pPr>
        <w:pStyle w:val="Prrafodelista"/>
        <w:rPr>
          <w:rFonts w:ascii="Palatino Linotype" w:hAnsi="Palatino Linotype"/>
          <w:lang w:eastAsia="en-US"/>
        </w:rPr>
      </w:pPr>
    </w:p>
    <w:p w14:paraId="4993E22E" w14:textId="51507427" w:rsidR="00891D7C" w:rsidRPr="00891D7C" w:rsidRDefault="00891D7C" w:rsidP="00891D7C">
      <w:pPr>
        <w:pStyle w:val="Prrafodelista"/>
        <w:numPr>
          <w:ilvl w:val="0"/>
          <w:numId w:val="32"/>
        </w:numPr>
        <w:spacing w:line="360" w:lineRule="auto"/>
        <w:ind w:left="0" w:firstLine="0"/>
        <w:jc w:val="both"/>
        <w:rPr>
          <w:rFonts w:ascii="Palatino Linotype" w:hAnsi="Palatino Linotype"/>
          <w:lang w:eastAsia="en-US"/>
        </w:rPr>
      </w:pPr>
      <w:r w:rsidRPr="00891D7C">
        <w:rPr>
          <w:rFonts w:ascii="Palatino Linotype" w:hAnsi="Palatino Linotype"/>
          <w:lang w:eastAsia="en-US"/>
        </w:rPr>
        <w:t xml:space="preserve">Situación que </w:t>
      </w:r>
      <w:r>
        <w:rPr>
          <w:rFonts w:ascii="Palatino Linotype" w:hAnsi="Palatino Linotype"/>
          <w:lang w:eastAsia="en-US"/>
        </w:rPr>
        <w:t xml:space="preserve">no ocurrió </w:t>
      </w:r>
      <w:r w:rsidRPr="00891D7C">
        <w:rPr>
          <w:rFonts w:ascii="Palatino Linotype" w:hAnsi="Palatino Linotype"/>
          <w:lang w:eastAsia="en-US"/>
        </w:rPr>
        <w:t xml:space="preserve">en el presente asunto en particular, toda vez que el Titular de la Unidad de Transparencia turnó la solicitud a la </w:t>
      </w:r>
      <w:r>
        <w:rPr>
          <w:rFonts w:ascii="Palatino Linotype" w:hAnsi="Palatino Linotype"/>
          <w:lang w:eastAsia="en-US"/>
        </w:rPr>
        <w:t>Coordinación Jurídica y de Igualdad de Género y no así a las demás áreas que de acuerdo a sus funciones, atribuciones y competencias puedan generar, administrar o poseer información relativa a Convenios.</w:t>
      </w:r>
    </w:p>
    <w:p w14:paraId="77FE70E1" w14:textId="77777777" w:rsidR="00891D7C" w:rsidRDefault="00891D7C" w:rsidP="00891D7C">
      <w:pPr>
        <w:pStyle w:val="Prrafodelista"/>
        <w:spacing w:line="360" w:lineRule="auto"/>
        <w:ind w:left="0"/>
        <w:jc w:val="both"/>
        <w:rPr>
          <w:rFonts w:ascii="Palatino Linotype" w:hAnsi="Palatino Linotype" w:cs="Arial"/>
          <w:color w:val="000000" w:themeColor="text1"/>
        </w:rPr>
      </w:pPr>
    </w:p>
    <w:p w14:paraId="77336EB6" w14:textId="0177D7CA" w:rsidR="00891D7C" w:rsidRPr="00256E0B" w:rsidRDefault="00891D7C" w:rsidP="00E74B41">
      <w:pPr>
        <w:pStyle w:val="Prrafodelista"/>
        <w:numPr>
          <w:ilvl w:val="0"/>
          <w:numId w:val="32"/>
        </w:numPr>
        <w:spacing w:line="360" w:lineRule="auto"/>
        <w:ind w:left="0" w:firstLine="0"/>
        <w:jc w:val="both"/>
        <w:rPr>
          <w:rFonts w:ascii="Palatino Linotype" w:hAnsi="Palatino Linotype" w:cs="Arial"/>
          <w:b/>
          <w:color w:val="000000" w:themeColor="text1"/>
          <w:u w:val="single"/>
        </w:rPr>
      </w:pPr>
      <w:r>
        <w:rPr>
          <w:rFonts w:ascii="Palatino Linotype" w:hAnsi="Palatino Linotype" w:cs="Arial"/>
          <w:color w:val="000000" w:themeColor="text1"/>
        </w:rPr>
        <w:lastRenderedPageBreak/>
        <w:t xml:space="preserve">No obstante, a través del informe justificado, manifestó que, en respuesta se proporcionó la información que se tenía hasta ese momento en la Unidad de Transparencia, sin embargo, se determinó ampliar la búsqueda de la información en aquellas áreas administrativas a través de los servidores públicos habilitados. </w:t>
      </w:r>
      <w:r w:rsidRPr="00891D7C">
        <w:rPr>
          <w:rFonts w:ascii="Palatino Linotype" w:hAnsi="Palatino Linotype" w:cs="Arial"/>
          <w:b/>
          <w:color w:val="000000" w:themeColor="text1"/>
          <w:u w:val="single"/>
        </w:rPr>
        <w:t>De la nueva búsqueda se obtuvo que existen en total 424 convenios de coordinación y colaboración suscritos con instituciones de los sectores público, privado y social.</w:t>
      </w:r>
      <w:r w:rsidR="00274E40">
        <w:rPr>
          <w:rFonts w:ascii="Palatino Linotype" w:hAnsi="Palatino Linotype" w:cs="Arial"/>
          <w:b/>
          <w:color w:val="000000" w:themeColor="text1"/>
          <w:u w:val="single"/>
        </w:rPr>
        <w:t xml:space="preserve"> </w:t>
      </w:r>
      <w:r w:rsidR="00274E40" w:rsidRPr="00256E0B">
        <w:rPr>
          <w:rFonts w:ascii="Palatino Linotype" w:hAnsi="Palatino Linotype" w:cs="Arial"/>
          <w:color w:val="000000" w:themeColor="text1"/>
        </w:rPr>
        <w:t>En el mismo sentido, remite el documento electrónico denominado convenios firmados 11-1726-08-2022-161331 (1).pdf, que tiene por título “Convenios firmados por la Secretaría del Medio Ambiente durante el periodo 2011-2017</w:t>
      </w:r>
      <w:r w:rsidR="00256E0B">
        <w:rPr>
          <w:rFonts w:ascii="Palatino Linotype" w:hAnsi="Palatino Linotype" w:cs="Arial"/>
          <w:color w:val="000000" w:themeColor="text1"/>
        </w:rPr>
        <w:t xml:space="preserve"> que se integra por 8 páginas en las que enlista 86 convenios con nombre, unidad administrativa y fecha. Asimismo, indica que hay 8 Convenios de concertación con los Consejos Municipales y Protección a la Biodiversidad y Desarrollo Sostenible; 93 Convenios de Coordinación para la instalación de ecotecnias en localidades rurales de muy alta, alta, media y baja marginación; 235 Convenios de Coordinación para la operación del Sistema Estatal de Atención a la Denuncia Ciudadana en Materia Ambiental (ECOTEL) y 2 Convenios de Coordinación para la operación de los Centros de Educación Ambiental y Cambio Climático, dando un total de 424 convenios; se inserta imagen de referencia:</w:t>
      </w:r>
    </w:p>
    <w:p w14:paraId="6D9E0A31" w14:textId="77777777" w:rsidR="00256E0B" w:rsidRDefault="00256E0B" w:rsidP="00256E0B">
      <w:pPr>
        <w:pStyle w:val="Prrafodelista"/>
        <w:spacing w:line="360" w:lineRule="auto"/>
        <w:ind w:left="0"/>
        <w:jc w:val="both"/>
        <w:rPr>
          <w:rFonts w:ascii="Palatino Linotype" w:hAnsi="Palatino Linotype" w:cs="Arial"/>
          <w:color w:val="000000" w:themeColor="text1"/>
        </w:rPr>
      </w:pPr>
    </w:p>
    <w:p w14:paraId="62F9E147" w14:textId="258A3786" w:rsidR="00256E0B" w:rsidRPr="00891D7C" w:rsidRDefault="00256E0B" w:rsidP="00256E0B">
      <w:pPr>
        <w:pStyle w:val="Prrafodelista"/>
        <w:spacing w:line="360" w:lineRule="auto"/>
        <w:ind w:left="0"/>
        <w:jc w:val="both"/>
        <w:rPr>
          <w:rFonts w:ascii="Palatino Linotype" w:hAnsi="Palatino Linotype" w:cs="Arial"/>
          <w:b/>
          <w:color w:val="000000" w:themeColor="text1"/>
          <w:u w:val="single"/>
        </w:rPr>
      </w:pPr>
      <w:r w:rsidRPr="00256E0B">
        <w:rPr>
          <w:rFonts w:ascii="Palatino Linotype" w:hAnsi="Palatino Linotype" w:cs="Arial"/>
          <w:b/>
          <w:noProof/>
          <w:color w:val="000000" w:themeColor="text1"/>
          <w:u w:val="single"/>
          <w:lang w:eastAsia="es-MX"/>
        </w:rPr>
        <w:lastRenderedPageBreak/>
        <w:drawing>
          <wp:inline distT="0" distB="0" distL="0" distR="0" wp14:anchorId="4280E792" wp14:editId="085197B1">
            <wp:extent cx="5612130" cy="40017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001770"/>
                    </a:xfrm>
                    <a:prstGeom prst="rect">
                      <a:avLst/>
                    </a:prstGeom>
                  </pic:spPr>
                </pic:pic>
              </a:graphicData>
            </a:graphic>
          </wp:inline>
        </w:drawing>
      </w:r>
    </w:p>
    <w:p w14:paraId="0B2B373A" w14:textId="77777777" w:rsidR="00891D7C" w:rsidRDefault="00891D7C" w:rsidP="00891D7C">
      <w:pPr>
        <w:pStyle w:val="Prrafodelista"/>
        <w:spacing w:line="360" w:lineRule="auto"/>
        <w:ind w:left="0"/>
        <w:jc w:val="both"/>
        <w:rPr>
          <w:rFonts w:ascii="Palatino Linotype" w:hAnsi="Palatino Linotype" w:cs="Arial"/>
          <w:color w:val="000000" w:themeColor="text1"/>
        </w:rPr>
      </w:pPr>
    </w:p>
    <w:p w14:paraId="1BEDCB03" w14:textId="3679849E" w:rsidR="0099326C" w:rsidRDefault="00256E0B" w:rsidP="00891D7C">
      <w:pPr>
        <w:pStyle w:val="Prrafodelista"/>
        <w:spacing w:line="360" w:lineRule="auto"/>
        <w:ind w:left="0"/>
        <w:jc w:val="both"/>
        <w:rPr>
          <w:rFonts w:ascii="Palatino Linotype" w:hAnsi="Palatino Linotype" w:cs="Arial"/>
          <w:color w:val="000000" w:themeColor="text1"/>
        </w:rPr>
      </w:pPr>
      <w:r w:rsidRPr="00256E0B">
        <w:rPr>
          <w:rFonts w:ascii="Palatino Linotype" w:hAnsi="Palatino Linotype" w:cs="Arial"/>
          <w:noProof/>
          <w:color w:val="000000" w:themeColor="text1"/>
          <w:lang w:eastAsia="es-MX"/>
        </w:rPr>
        <w:lastRenderedPageBreak/>
        <w:drawing>
          <wp:inline distT="0" distB="0" distL="0" distR="0" wp14:anchorId="6EE17D55" wp14:editId="3343D89D">
            <wp:extent cx="5612130" cy="44170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417060"/>
                    </a:xfrm>
                    <a:prstGeom prst="rect">
                      <a:avLst/>
                    </a:prstGeom>
                  </pic:spPr>
                </pic:pic>
              </a:graphicData>
            </a:graphic>
          </wp:inline>
        </w:drawing>
      </w:r>
    </w:p>
    <w:p w14:paraId="300C5236" w14:textId="57E28F4E" w:rsidR="00256E0B" w:rsidRPr="00256E0B" w:rsidRDefault="00256E0B" w:rsidP="00256E0B">
      <w:pPr>
        <w:pStyle w:val="Prrafodelista"/>
        <w:numPr>
          <w:ilvl w:val="0"/>
          <w:numId w:val="32"/>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 xml:space="preserve">Entonces, al haber remitido mediante informe justificado la totalidad de los convenios que ha firmado la Secretaría del Medio Ambiente en el periodo temporal correspondiente 2011 a 2017, </w:t>
      </w:r>
      <w:r w:rsidRPr="00256E0B">
        <w:rPr>
          <w:rFonts w:ascii="Palatino Linotype" w:hAnsi="Palatino Linotype"/>
          <w:lang w:eastAsia="en-US"/>
        </w:rPr>
        <w:t xml:space="preserve">es que </w:t>
      </w:r>
      <w:r w:rsidRPr="00256E0B">
        <w:rPr>
          <w:rFonts w:ascii="Palatino Linotype" w:hAnsi="Palatino Linotype"/>
          <w:lang w:val="es-ES"/>
        </w:rPr>
        <w:t>debemos</w:t>
      </w:r>
      <w:r w:rsidRPr="00256E0B">
        <w:rPr>
          <w:rFonts w:ascii="Palatino Linotype" w:hAnsi="Palatino Linotype"/>
          <w:i/>
          <w:lang w:val="es-ES"/>
        </w:rPr>
        <w:t xml:space="preserve"> </w:t>
      </w:r>
      <w:r w:rsidRPr="00256E0B">
        <w:rPr>
          <w:rFonts w:ascii="Palatino Linotype" w:hAnsi="Palatino Linotype" w:cs="Arial"/>
          <w:szCs w:val="20"/>
        </w:rPr>
        <w:t>hacer referencia a l</w:t>
      </w:r>
      <w:r w:rsidRPr="00256E0B">
        <w:rPr>
          <w:rFonts w:ascii="Palatino Linotype" w:hAnsi="Palatino Linotype"/>
        </w:rPr>
        <w:t>a presunción de veracidad</w:t>
      </w:r>
      <w:r w:rsidRPr="0040362C">
        <w:rPr>
          <w:rStyle w:val="Refdenotaalpie"/>
        </w:rPr>
        <w:footnoteReference w:id="4"/>
      </w:r>
      <w:r w:rsidRPr="00256E0B">
        <w:rPr>
          <w:rFonts w:ascii="Palatino Linotype" w:hAnsi="Palatino Linotype"/>
        </w:rPr>
        <w:t xml:space="preserve"> supone una declaración </w:t>
      </w:r>
      <w:r w:rsidRPr="00256E0B">
        <w:rPr>
          <w:rFonts w:ascii="Palatino Linotype" w:hAnsi="Palatino Linotype"/>
          <w:i/>
        </w:rPr>
        <w:t>iurus tantum</w:t>
      </w:r>
      <w:r w:rsidRPr="00256E0B">
        <w:rPr>
          <w:rFonts w:ascii="Palatino Linotype" w:hAnsi="Palatino Linotype"/>
        </w:rPr>
        <w:t xml:space="preserve"> ya que admite prueba en contra, </w:t>
      </w:r>
      <w:r w:rsidRPr="00256E0B">
        <w:rPr>
          <w:rFonts w:ascii="Palatino Linotype" w:hAnsi="Palatino Linotype"/>
        </w:rPr>
        <w:lastRenderedPageBreak/>
        <w:t>por lo que este Órgano no está facultado para pronunciarse sobre la veracidad de la información entregada.</w:t>
      </w:r>
    </w:p>
    <w:p w14:paraId="468B0F11" w14:textId="77777777" w:rsidR="00256E0B" w:rsidRPr="00256E0B" w:rsidRDefault="00256E0B" w:rsidP="00256E0B">
      <w:pPr>
        <w:pStyle w:val="Prrafodelista"/>
        <w:spacing w:line="360" w:lineRule="auto"/>
        <w:ind w:left="0"/>
        <w:jc w:val="both"/>
        <w:rPr>
          <w:rFonts w:ascii="Palatino Linotype" w:hAnsi="Palatino Linotype" w:cs="Arial"/>
          <w:color w:val="000000" w:themeColor="text1"/>
        </w:rPr>
      </w:pPr>
    </w:p>
    <w:p w14:paraId="545DC19F" w14:textId="5A5A6EB6" w:rsidR="00256E0B" w:rsidRPr="00256E0B" w:rsidRDefault="00256E0B" w:rsidP="00256E0B">
      <w:pPr>
        <w:pStyle w:val="Prrafodelista"/>
        <w:numPr>
          <w:ilvl w:val="0"/>
          <w:numId w:val="32"/>
        </w:numPr>
        <w:spacing w:line="360" w:lineRule="auto"/>
        <w:ind w:left="0" w:firstLine="0"/>
        <w:jc w:val="both"/>
        <w:rPr>
          <w:rFonts w:ascii="Palatino Linotype" w:hAnsi="Palatino Linotype" w:cs="Arial"/>
          <w:color w:val="000000" w:themeColor="text1"/>
        </w:rPr>
      </w:pPr>
      <w:r w:rsidRPr="00256E0B">
        <w:rPr>
          <w:rFonts w:ascii="Palatino Linotype" w:hAnsi="Palatino Linotype"/>
        </w:rPr>
        <w:t>Sirve de apoyo a lo anterior por analogía el criterio 31-10 emitido por el entonces Instituto Federal de Acceso a la Información y Protección de Datos, que a la letra dice:</w:t>
      </w:r>
    </w:p>
    <w:p w14:paraId="2BD9D504" w14:textId="77777777" w:rsidR="00256E0B" w:rsidRPr="00804F21" w:rsidRDefault="00256E0B" w:rsidP="00256E0B">
      <w:pPr>
        <w:pStyle w:val="Prrafodelista"/>
        <w:tabs>
          <w:tab w:val="left" w:pos="1740"/>
        </w:tabs>
        <w:rPr>
          <w:rFonts w:ascii="Palatino Linotype" w:hAnsi="Palatino Linotype"/>
        </w:rPr>
      </w:pPr>
      <w:r>
        <w:rPr>
          <w:rFonts w:ascii="Palatino Linotype" w:hAnsi="Palatino Linotype"/>
        </w:rPr>
        <w:tab/>
      </w:r>
    </w:p>
    <w:p w14:paraId="5ECDD5A4" w14:textId="77777777" w:rsidR="00256E0B" w:rsidRPr="00804F21" w:rsidRDefault="00256E0B" w:rsidP="00256E0B">
      <w:pPr>
        <w:autoSpaceDE w:val="0"/>
        <w:autoSpaceDN w:val="0"/>
        <w:adjustRightInd w:val="0"/>
        <w:spacing w:line="360" w:lineRule="auto"/>
        <w:ind w:left="567" w:right="567"/>
        <w:jc w:val="both"/>
        <w:rPr>
          <w:rFonts w:ascii="Palatino Linotype" w:hAnsi="Palatino Linotype"/>
          <w:i/>
          <w:iCs/>
          <w:sz w:val="22"/>
        </w:rPr>
      </w:pPr>
      <w:r w:rsidRPr="00804F21">
        <w:rPr>
          <w:rFonts w:ascii="Palatino Linotype" w:hAnsi="Palatino Linotype"/>
          <w:b/>
          <w:i/>
          <w:iCs/>
          <w:sz w:val="22"/>
        </w:rPr>
        <w:t>El Instituto Federal de Acceso a la Información y Protección de Datos </w:t>
      </w:r>
      <w:r w:rsidRPr="00804F21">
        <w:rPr>
          <w:rFonts w:ascii="Palatino Linotype" w:hAnsi="Palatino Linotype"/>
          <w:b/>
          <w:bCs/>
          <w:i/>
          <w:iCs/>
          <w:sz w:val="22"/>
        </w:rPr>
        <w:t>no cuenta con facultades para pronunciarse respecto de la veracidad de los documentos proporcionados por los sujetos obligados.</w:t>
      </w:r>
      <w:r w:rsidRPr="00804F21">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989D098" w14:textId="1047927C" w:rsidR="00256E0B" w:rsidRPr="00256E0B" w:rsidRDefault="00256E0B" w:rsidP="00256E0B">
      <w:pPr>
        <w:pStyle w:val="Prrafodelista"/>
        <w:numPr>
          <w:ilvl w:val="0"/>
          <w:numId w:val="32"/>
        </w:numPr>
        <w:shd w:val="clear" w:color="auto" w:fill="FFFFFF"/>
        <w:tabs>
          <w:tab w:val="left" w:pos="284"/>
        </w:tabs>
        <w:spacing w:before="240" w:after="240" w:line="360" w:lineRule="auto"/>
        <w:ind w:left="0" w:right="49" w:firstLine="0"/>
        <w:jc w:val="both"/>
        <w:rPr>
          <w:rFonts w:ascii="Palatino Linotype" w:hAnsi="Palatino Linotype" w:cs="Arial"/>
          <w:color w:val="000000"/>
          <w:lang w:val="es-ES_tradnl"/>
        </w:rPr>
      </w:pPr>
      <w:r w:rsidRPr="00F56297">
        <w:rPr>
          <w:rFonts w:ascii="Palatino Linotype" w:hAnsi="Palatino Linotype" w:cs="Arial"/>
          <w:color w:val="000000"/>
        </w:rPr>
        <w:t>Este Órgano Garante carece de facultades para dudar de la veracidad sobre la información proporcionada por el Sujeto Obligado, en consecuencia, debe declararse atendido dicho requerimiento.</w:t>
      </w:r>
      <w:r>
        <w:rPr>
          <w:rFonts w:ascii="Palatino Linotype" w:hAnsi="Palatino Linotype" w:cs="Arial"/>
          <w:color w:val="000000"/>
        </w:rPr>
        <w:t xml:space="preserve"> </w:t>
      </w:r>
    </w:p>
    <w:p w14:paraId="2C73F03F" w14:textId="77777777" w:rsidR="00256E0B" w:rsidRPr="00F56297" w:rsidRDefault="00256E0B" w:rsidP="00256E0B">
      <w:pPr>
        <w:pStyle w:val="Prrafodelista"/>
        <w:shd w:val="clear" w:color="auto" w:fill="FFFFFF"/>
        <w:tabs>
          <w:tab w:val="left" w:pos="284"/>
        </w:tabs>
        <w:spacing w:before="240" w:after="240" w:line="360" w:lineRule="auto"/>
        <w:ind w:left="0" w:right="49"/>
        <w:jc w:val="both"/>
        <w:rPr>
          <w:rFonts w:ascii="Palatino Linotype" w:hAnsi="Palatino Linotype" w:cs="Arial"/>
          <w:color w:val="000000"/>
          <w:lang w:val="es-ES_tradnl"/>
        </w:rPr>
      </w:pPr>
    </w:p>
    <w:p w14:paraId="57140CCB" w14:textId="3D73CFDE" w:rsidR="00256E0B" w:rsidRPr="00256E0B" w:rsidRDefault="00256E0B" w:rsidP="00256E0B">
      <w:pPr>
        <w:pStyle w:val="Prrafodelista"/>
        <w:numPr>
          <w:ilvl w:val="0"/>
          <w:numId w:val="50"/>
        </w:numPr>
        <w:tabs>
          <w:tab w:val="left" w:pos="284"/>
        </w:tabs>
        <w:spacing w:line="360" w:lineRule="auto"/>
        <w:ind w:right="49"/>
        <w:jc w:val="both"/>
        <w:rPr>
          <w:rFonts w:ascii="Palatino Linotype" w:hAnsi="Palatino Linotype" w:cs="Arial"/>
          <w:b/>
          <w:color w:val="000000"/>
          <w:lang w:val="es-ES_tradnl"/>
        </w:rPr>
      </w:pPr>
      <w:r w:rsidRPr="00256E0B">
        <w:rPr>
          <w:rFonts w:ascii="Palatino Linotype" w:hAnsi="Palatino Linotype" w:cs="Arial"/>
          <w:b/>
          <w:color w:val="000000"/>
          <w:lang w:val="es-ES_tradnl"/>
        </w:rPr>
        <w:t xml:space="preserve"> Actualización del sobreseimiento.</w:t>
      </w:r>
    </w:p>
    <w:p w14:paraId="04F7F193" w14:textId="77777777" w:rsidR="00256E0B" w:rsidRPr="00F56297" w:rsidRDefault="00256E0B" w:rsidP="00256E0B">
      <w:pPr>
        <w:pStyle w:val="Prrafodelista"/>
        <w:numPr>
          <w:ilvl w:val="0"/>
          <w:numId w:val="32"/>
        </w:numPr>
        <w:spacing w:before="240" w:after="240" w:line="360" w:lineRule="auto"/>
        <w:ind w:left="0" w:firstLine="0"/>
        <w:jc w:val="both"/>
        <w:rPr>
          <w:rFonts w:ascii="Palatino Linotype" w:hAnsi="Palatino Linotype" w:cs="Arial"/>
        </w:rPr>
      </w:pPr>
      <w:r w:rsidRPr="00F56297">
        <w:rPr>
          <w:rFonts w:ascii="Palatino Linotype" w:hAnsi="Palatino Linotype" w:cs="Arial"/>
        </w:rPr>
        <w:lastRenderedPageBreak/>
        <w:t>El presente asunto en particular actualiza el supuesto que contempla el artículo 192 fracción III de la Ley de Transparencia y Acceso a la Información Pública del Estado de México y Municipios, el cual refiere los siguiente:</w:t>
      </w:r>
    </w:p>
    <w:p w14:paraId="36FB46C1" w14:textId="77777777" w:rsidR="00256E0B" w:rsidRPr="001E3212" w:rsidRDefault="00256E0B" w:rsidP="00256E0B">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Bold"/>
          <w:b/>
          <w:bCs/>
          <w:i/>
          <w:sz w:val="22"/>
          <w:lang w:eastAsia="en-US"/>
        </w:rPr>
        <w:t xml:space="preserve">Artículo 192. </w:t>
      </w:r>
      <w:r w:rsidRPr="001E3212">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60D63659" w14:textId="77777777" w:rsidR="00256E0B" w:rsidRPr="001E3212" w:rsidRDefault="00256E0B" w:rsidP="00256E0B">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
          <w:i/>
          <w:sz w:val="22"/>
          <w:lang w:eastAsia="en-US"/>
        </w:rPr>
        <w:t>…</w:t>
      </w:r>
    </w:p>
    <w:p w14:paraId="14EFE52D" w14:textId="77777777" w:rsidR="00256E0B" w:rsidRDefault="00256E0B" w:rsidP="00256E0B">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sidRPr="001E3212">
        <w:rPr>
          <w:rFonts w:ascii="Palatino Linotype" w:eastAsiaTheme="minorHAnsi" w:hAnsi="Palatino Linotype" w:cs="Bookman Old Style,Bold"/>
          <w:b/>
          <w:bCs/>
          <w:i/>
          <w:sz w:val="22"/>
          <w:lang w:eastAsia="en-US"/>
        </w:rPr>
        <w:t xml:space="preserve">III. </w:t>
      </w:r>
      <w:r w:rsidRPr="001E3212">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5237B7F4" w14:textId="77777777" w:rsidR="00256E0B" w:rsidRPr="001E3212" w:rsidRDefault="00256E0B" w:rsidP="00256E0B">
      <w:pPr>
        <w:autoSpaceDE w:val="0"/>
        <w:autoSpaceDN w:val="0"/>
        <w:adjustRightInd w:val="0"/>
        <w:spacing w:line="360" w:lineRule="auto"/>
        <w:ind w:left="567" w:right="567"/>
        <w:jc w:val="both"/>
        <w:rPr>
          <w:rFonts w:ascii="Palatino Linotype" w:eastAsiaTheme="minorHAnsi" w:hAnsi="Palatino Linotype" w:cs="Bookman Old Style"/>
          <w:i/>
          <w:sz w:val="22"/>
          <w:lang w:eastAsia="en-US"/>
        </w:rPr>
      </w:pPr>
      <w:r>
        <w:rPr>
          <w:rFonts w:ascii="Palatino Linotype" w:eastAsiaTheme="minorHAnsi" w:hAnsi="Palatino Linotype" w:cs="Bookman Old Style,Bold"/>
          <w:b/>
          <w:bCs/>
          <w:i/>
          <w:sz w:val="22"/>
          <w:lang w:eastAsia="en-US"/>
        </w:rPr>
        <w:t>…</w:t>
      </w:r>
    </w:p>
    <w:p w14:paraId="3E98E5DB" w14:textId="77777777" w:rsidR="00256E0B" w:rsidRPr="00F56297" w:rsidRDefault="00256E0B" w:rsidP="00256E0B">
      <w:pPr>
        <w:pStyle w:val="Prrafodelista"/>
        <w:numPr>
          <w:ilvl w:val="0"/>
          <w:numId w:val="32"/>
        </w:numPr>
        <w:spacing w:before="240" w:after="240" w:line="360" w:lineRule="auto"/>
        <w:ind w:left="0" w:firstLine="0"/>
        <w:jc w:val="both"/>
        <w:rPr>
          <w:rFonts w:ascii="Palatino Linotype" w:eastAsia="Calibri" w:hAnsi="Palatino Linotype" w:cs="Arial"/>
          <w:lang w:val="es-ES"/>
        </w:rPr>
      </w:pPr>
      <w:r w:rsidRPr="00F56297">
        <w:rPr>
          <w:rFonts w:ascii="Palatino Linotype" w:hAnsi="Palatino Linotype" w:cs="Arial"/>
        </w:rPr>
        <w:t xml:space="preserve">Para los efectos de esta resolución, es oportuno precisar los alcances jurídicos de la fracción III de la disposición legal transcrita. Así, procede el sobreseimiento del recurso de revisión cuando el </w:t>
      </w:r>
      <w:r w:rsidRPr="00F56297">
        <w:rPr>
          <w:rFonts w:ascii="Palatino Linotype" w:hAnsi="Palatino Linotype" w:cs="Arial"/>
          <w:b/>
        </w:rPr>
        <w:t>SUJETO OBLIGADO</w:t>
      </w:r>
      <w:r w:rsidRPr="00F56297">
        <w:rPr>
          <w:rFonts w:ascii="Palatino Linotype" w:hAnsi="Palatino Linotype" w:cs="Arial"/>
        </w:rPr>
        <w:t>:</w:t>
      </w:r>
    </w:p>
    <w:p w14:paraId="0AB6D0B6" w14:textId="77777777" w:rsidR="00256E0B" w:rsidRPr="00D97D8E" w:rsidRDefault="00256E0B" w:rsidP="00256E0B">
      <w:pPr>
        <w:pStyle w:val="Prrafodelista"/>
        <w:spacing w:before="240" w:after="240" w:line="360" w:lineRule="auto"/>
        <w:ind w:left="0"/>
        <w:jc w:val="both"/>
        <w:rPr>
          <w:rFonts w:ascii="Palatino Linotype" w:eastAsia="Calibri" w:hAnsi="Palatino Linotype" w:cs="Arial"/>
          <w:sz w:val="22"/>
          <w:lang w:val="es-ES"/>
        </w:rPr>
      </w:pPr>
    </w:p>
    <w:p w14:paraId="22719AE7" w14:textId="77777777" w:rsidR="00256E0B" w:rsidRPr="00D97D8E" w:rsidRDefault="00256E0B" w:rsidP="00256E0B">
      <w:pPr>
        <w:pStyle w:val="Prrafodelista"/>
        <w:numPr>
          <w:ilvl w:val="0"/>
          <w:numId w:val="49"/>
        </w:numPr>
        <w:spacing w:before="240" w:after="240" w:line="360" w:lineRule="auto"/>
        <w:ind w:left="567" w:right="567" w:firstLine="0"/>
        <w:jc w:val="both"/>
        <w:rPr>
          <w:rFonts w:ascii="Palatino Linotype" w:hAnsi="Palatino Linotype" w:cs="Arial"/>
          <w:sz w:val="22"/>
        </w:rPr>
      </w:pPr>
      <w:r w:rsidRPr="00D97D8E">
        <w:rPr>
          <w:rFonts w:ascii="Palatino Linotype" w:hAnsi="Palatino Linotype" w:cs="Arial"/>
          <w:b/>
          <w:sz w:val="22"/>
        </w:rPr>
        <w:t>Modifique el acto impugnado:</w:t>
      </w:r>
      <w:r w:rsidRPr="00D97D8E">
        <w:rPr>
          <w:rFonts w:ascii="Palatino Linotype" w:hAnsi="Palatino Linotype" w:cs="Arial"/>
          <w:sz w:val="22"/>
        </w:rPr>
        <w:t xml:space="preserve"> Se actualiza cuando el </w:t>
      </w:r>
      <w:r w:rsidRPr="00D97D8E">
        <w:rPr>
          <w:rFonts w:ascii="Palatino Linotype" w:hAnsi="Palatino Linotype" w:cs="Arial"/>
          <w:b/>
          <w:sz w:val="22"/>
        </w:rPr>
        <w:t>SUJETO OBLIGADO</w:t>
      </w:r>
      <w:r w:rsidRPr="00D97D8E">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7B506003" w14:textId="77777777" w:rsidR="00256E0B" w:rsidRPr="00D97D8E" w:rsidRDefault="00256E0B" w:rsidP="00256E0B">
      <w:pPr>
        <w:pStyle w:val="Prrafodelista"/>
        <w:numPr>
          <w:ilvl w:val="0"/>
          <w:numId w:val="49"/>
        </w:numPr>
        <w:spacing w:before="240" w:after="240" w:line="360" w:lineRule="auto"/>
        <w:ind w:left="567" w:right="616" w:firstLine="0"/>
        <w:jc w:val="both"/>
        <w:rPr>
          <w:rFonts w:ascii="Palatino Linotype" w:hAnsi="Palatino Linotype" w:cs="Arial"/>
          <w:sz w:val="22"/>
        </w:rPr>
      </w:pPr>
      <w:r w:rsidRPr="00D97D8E">
        <w:rPr>
          <w:rFonts w:ascii="Palatino Linotype" w:hAnsi="Palatino Linotype" w:cs="Arial"/>
          <w:b/>
          <w:sz w:val="22"/>
        </w:rPr>
        <w:t>Revoque el acto impugnado:</w:t>
      </w:r>
      <w:r w:rsidRPr="00D97D8E">
        <w:rPr>
          <w:rFonts w:ascii="Palatino Linotype" w:hAnsi="Palatino Linotype" w:cs="Arial"/>
          <w:sz w:val="22"/>
        </w:rPr>
        <w:t xml:space="preserve"> En este supuesto, el </w:t>
      </w:r>
      <w:r w:rsidRPr="00D97D8E">
        <w:rPr>
          <w:rFonts w:ascii="Palatino Linotype" w:hAnsi="Palatino Linotype" w:cs="Arial"/>
          <w:b/>
          <w:sz w:val="22"/>
        </w:rPr>
        <w:t>SUJETO OBLIGADO</w:t>
      </w:r>
      <w:r w:rsidRPr="00D97D8E">
        <w:rPr>
          <w:rFonts w:ascii="Palatino Linotype" w:hAnsi="Palatino Linotype" w:cs="Arial"/>
          <w:sz w:val="22"/>
        </w:rPr>
        <w:t xml:space="preserve"> deja sin efectos la primera respuesta y en su lugar emite otra que satisfaga lo solicitado por el particular en un primer momento.</w:t>
      </w:r>
    </w:p>
    <w:p w14:paraId="558059F6" w14:textId="77777777" w:rsidR="00256E0B" w:rsidRPr="00D97D8E" w:rsidRDefault="00256E0B" w:rsidP="00256E0B">
      <w:pPr>
        <w:pStyle w:val="Prrafodelista"/>
        <w:spacing w:before="240" w:after="240" w:line="360" w:lineRule="auto"/>
        <w:ind w:left="567" w:right="616"/>
        <w:jc w:val="both"/>
        <w:rPr>
          <w:rFonts w:ascii="Palatino Linotype" w:hAnsi="Palatino Linotype" w:cs="Arial"/>
          <w:sz w:val="22"/>
        </w:rPr>
      </w:pPr>
    </w:p>
    <w:p w14:paraId="38080A69" w14:textId="77777777"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cs="Arial"/>
        </w:rPr>
        <w:t>Las consecuencias jurídicas de esta modificación o revocación es que el recurso de revisión interpuesto quede sin efectos o sin materia.</w:t>
      </w:r>
    </w:p>
    <w:p w14:paraId="27842208" w14:textId="77777777" w:rsidR="00256E0B" w:rsidRPr="00A354C3" w:rsidRDefault="00256E0B" w:rsidP="00256E0B">
      <w:pPr>
        <w:pStyle w:val="Prrafodelista"/>
        <w:spacing w:before="240" w:after="240" w:line="360" w:lineRule="auto"/>
        <w:ind w:left="0" w:right="49"/>
        <w:jc w:val="both"/>
        <w:rPr>
          <w:rFonts w:ascii="Palatino Linotype" w:hAnsi="Palatino Linotype"/>
        </w:rPr>
      </w:pPr>
    </w:p>
    <w:p w14:paraId="131A561D" w14:textId="081B2B19"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cs="Arial"/>
        </w:rPr>
        <w:lastRenderedPageBreak/>
        <w:t xml:space="preserve">En el presente asunto, con la información enviada a través del informe de justificación, </w:t>
      </w:r>
      <w:r w:rsidRPr="00A354C3">
        <w:rPr>
          <w:rFonts w:ascii="Palatino Linotype" w:hAnsi="Palatino Linotype" w:cs="Arial"/>
          <w:b/>
        </w:rPr>
        <w:t>modificó</w:t>
      </w:r>
      <w:r w:rsidRPr="00A354C3">
        <w:rPr>
          <w:rFonts w:ascii="Palatino Linotype" w:hAnsi="Palatino Linotype" w:cs="Arial"/>
        </w:rPr>
        <w:t xml:space="preserve"> la respuesta y el acto que le dio origen al recurso de revisión, lo que trae como consecuencia que el mismo quede sin materia, actualizándose de este modo, la hipótesis jurídica contenida en la fracción III del citado artículo.</w:t>
      </w:r>
    </w:p>
    <w:p w14:paraId="74665BC4" w14:textId="77777777" w:rsidR="00256E0B" w:rsidRPr="00A354C3" w:rsidRDefault="00256E0B" w:rsidP="00256E0B">
      <w:pPr>
        <w:pStyle w:val="Prrafodelista"/>
        <w:rPr>
          <w:rFonts w:ascii="Palatino Linotype" w:hAnsi="Palatino Linotype"/>
        </w:rPr>
      </w:pPr>
    </w:p>
    <w:p w14:paraId="15DB681D" w14:textId="46F19E85"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rPr>
        <w:t>Es decir, el recurrente se inconformó por</w:t>
      </w:r>
      <w:r>
        <w:rPr>
          <w:rFonts w:ascii="Palatino Linotype" w:hAnsi="Palatino Linotype"/>
        </w:rPr>
        <w:t>que no entregaron la totalidad de los convenios, haciendo referencia que sólo son 67</w:t>
      </w:r>
      <w:r w:rsidRPr="00A354C3">
        <w:rPr>
          <w:rFonts w:ascii="Palatino Linotype" w:hAnsi="Palatino Linotype"/>
        </w:rPr>
        <w:t>, lo cual se subsana a través del informe justificado, ya que existe un pronunciamiento por parte del Sujeto Obligado</w:t>
      </w:r>
      <w:r>
        <w:rPr>
          <w:rFonts w:ascii="Palatino Linotype" w:hAnsi="Palatino Linotype"/>
        </w:rPr>
        <w:t xml:space="preserve"> en el que se proporcionan 424 convenios celebrados en la temporalidad requerida, atendiendo los requerimientos iniciales.</w:t>
      </w:r>
    </w:p>
    <w:p w14:paraId="1D35E865" w14:textId="15512425" w:rsidR="00256E0B" w:rsidRPr="005E14F9" w:rsidRDefault="00256E0B" w:rsidP="00256E0B">
      <w:pPr>
        <w:pStyle w:val="Prrafodelista"/>
        <w:tabs>
          <w:tab w:val="left" w:pos="1698"/>
        </w:tabs>
        <w:ind w:left="0"/>
        <w:rPr>
          <w:rFonts w:ascii="Palatino Linotype" w:hAnsi="Palatino Linotype"/>
        </w:rPr>
      </w:pPr>
      <w:r>
        <w:rPr>
          <w:rFonts w:ascii="Palatino Linotype" w:hAnsi="Palatino Linotype"/>
        </w:rPr>
        <w:tab/>
      </w:r>
    </w:p>
    <w:p w14:paraId="38212596" w14:textId="77777777" w:rsidR="00256E0B"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rPr>
        <w:t>De lo anterior, se aprecia que el documento que remitió el Sujeto Obligado a través de su informe justificado, atiende los motivos o razones de inconformidad y los requerimientos iniciales formulados en la solicitud.</w:t>
      </w:r>
    </w:p>
    <w:p w14:paraId="22B3B625" w14:textId="77777777" w:rsidR="00256E0B" w:rsidRPr="00256E0B" w:rsidRDefault="00256E0B" w:rsidP="00256E0B">
      <w:pPr>
        <w:pStyle w:val="Prrafodelista"/>
        <w:rPr>
          <w:rFonts w:ascii="Palatino Linotype" w:hAnsi="Palatino Linotype"/>
        </w:rPr>
      </w:pPr>
    </w:p>
    <w:p w14:paraId="6AABBC7D" w14:textId="77777777"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cs="Arial"/>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A354C3">
        <w:rPr>
          <w:rFonts w:ascii="Palatino Linotype" w:hAnsi="Palatino Linotype" w:cs="Arial"/>
          <w:b/>
        </w:rPr>
        <w:t>Sujetos Obligados</w:t>
      </w:r>
      <w:r w:rsidRPr="00A354C3">
        <w:rPr>
          <w:rFonts w:ascii="Palatino Linotype" w:hAnsi="Palatino Linotype" w:cs="Arial"/>
        </w:rPr>
        <w:t xml:space="preserve"> o la negativa de entrega de la misma, derivada de la solicitud de información pública.</w:t>
      </w:r>
    </w:p>
    <w:p w14:paraId="596AEECF" w14:textId="77777777" w:rsidR="00256E0B" w:rsidRPr="00A354C3" w:rsidRDefault="00256E0B" w:rsidP="00256E0B">
      <w:pPr>
        <w:pStyle w:val="Prrafodelista"/>
        <w:spacing w:before="240" w:after="240" w:line="360" w:lineRule="auto"/>
        <w:ind w:left="0" w:right="49"/>
        <w:jc w:val="both"/>
        <w:rPr>
          <w:rFonts w:ascii="Palatino Linotype" w:hAnsi="Palatino Linotype"/>
        </w:rPr>
      </w:pPr>
    </w:p>
    <w:p w14:paraId="76586E83" w14:textId="77777777"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cs="Arial"/>
        </w:rPr>
        <w:t>De este modo, p</w:t>
      </w:r>
      <w:r w:rsidRPr="00A354C3">
        <w:rPr>
          <w:rFonts w:ascii="Palatino Linotype" w:hAnsi="Palatino Linotype"/>
        </w:rPr>
        <w:t xml:space="preserve">ara que se actualice el sobreseimiento de un recurso de revisión, el </w:t>
      </w:r>
      <w:r w:rsidRPr="00A354C3">
        <w:rPr>
          <w:rFonts w:ascii="Palatino Linotype" w:hAnsi="Palatino Linotype"/>
          <w:b/>
        </w:rPr>
        <w:t>SUJETO OBLIGADO</w:t>
      </w:r>
      <w:r w:rsidRPr="00A354C3">
        <w:rPr>
          <w:rFonts w:ascii="Palatino Linotype" w:hAnsi="Palatino Linotype"/>
        </w:rPr>
        <w:t xml:space="preserve"> puede entregar o completar la información al momento de rendir su informe justificado o dentro de los siete días previstos para </w:t>
      </w:r>
      <w:r w:rsidRPr="00A354C3">
        <w:rPr>
          <w:rFonts w:ascii="Palatino Linotype" w:hAnsi="Palatino Linotype"/>
        </w:rPr>
        <w:lastRenderedPageBreak/>
        <w:t>manifestar lo que a su derecho convenga, con la finalidad de que se sea resarcido el derecho de acceso a la información pública de la persona y haciendo cesar toda controversia</w:t>
      </w:r>
    </w:p>
    <w:p w14:paraId="39948656" w14:textId="77777777" w:rsidR="00256E0B" w:rsidRPr="00A354C3" w:rsidRDefault="00256E0B" w:rsidP="00256E0B">
      <w:pPr>
        <w:pStyle w:val="Prrafodelista"/>
        <w:ind w:left="0"/>
        <w:rPr>
          <w:rFonts w:ascii="Palatino Linotype" w:hAnsi="Palatino Linotype"/>
        </w:rPr>
      </w:pPr>
    </w:p>
    <w:p w14:paraId="11F256B4" w14:textId="77777777"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rPr>
      </w:pPr>
      <w:r w:rsidRPr="00A354C3">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8F4F97B" w14:textId="77777777" w:rsidR="00256E0B" w:rsidRPr="001E3212" w:rsidRDefault="00256E0B" w:rsidP="00256E0B">
      <w:pPr>
        <w:spacing w:line="360" w:lineRule="auto"/>
        <w:ind w:left="567" w:right="567"/>
        <w:jc w:val="both"/>
        <w:rPr>
          <w:rFonts w:ascii="Palatino Linotype" w:hAnsi="Palatino Linotype" w:cs="Arial"/>
          <w:i/>
          <w:sz w:val="22"/>
        </w:rPr>
      </w:pPr>
      <w:r w:rsidRPr="001E3212">
        <w:rPr>
          <w:rFonts w:ascii="Palatino Linotype" w:hAnsi="Palatino Linotype" w:cs="Arial"/>
          <w:b/>
          <w:i/>
          <w:sz w:val="22"/>
        </w:rPr>
        <w:t>SOBRESEIMIENTO EN EL JUICIO DE AMPARO DIRECTO. IMPIDE EL ESTUDIO DE LAS VIOLACIONES PROCESALES PLANTEADAS EN LOS CONCEPTOS DE VIOLACIÓN.</w:t>
      </w:r>
      <w:r w:rsidRPr="001E3212">
        <w:rPr>
          <w:rFonts w:ascii="Palatino Linotype" w:hAnsi="Palatino Linotype" w:cs="Arial"/>
          <w:i/>
          <w:sz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09139F1B" w14:textId="77777777" w:rsidR="00256E0B" w:rsidRPr="001E3212" w:rsidRDefault="00256E0B" w:rsidP="00256E0B">
      <w:pPr>
        <w:spacing w:line="360" w:lineRule="auto"/>
        <w:ind w:left="567" w:right="567"/>
        <w:jc w:val="both"/>
        <w:rPr>
          <w:rFonts w:ascii="Palatino Linotype" w:hAnsi="Palatino Linotype" w:cs="Arial"/>
          <w:i/>
          <w:sz w:val="22"/>
        </w:rPr>
      </w:pPr>
      <w:r w:rsidRPr="001E3212">
        <w:rPr>
          <w:rFonts w:ascii="Palatino Linotype" w:hAnsi="Palatino Linotype" w:cs="Arial"/>
          <w:i/>
          <w:sz w:val="22"/>
        </w:rPr>
        <w:t>SEPTIMO TRIBUNAL COLEGIADO EN MATERIA CIVIL DEL PRIMER CIRCUITO</w:t>
      </w:r>
    </w:p>
    <w:p w14:paraId="50CB83DB" w14:textId="77777777" w:rsidR="00256E0B" w:rsidRPr="00A40364" w:rsidRDefault="00256E0B" w:rsidP="00256E0B">
      <w:pPr>
        <w:spacing w:line="360" w:lineRule="auto"/>
        <w:ind w:left="567" w:right="567"/>
        <w:jc w:val="both"/>
        <w:rPr>
          <w:rFonts w:ascii="Palatino Linotype" w:hAnsi="Palatino Linotype" w:cs="Arial"/>
          <w:i/>
        </w:rPr>
      </w:pPr>
      <w:r w:rsidRPr="001E3212">
        <w:rPr>
          <w:rFonts w:ascii="Palatino Linotype" w:hAnsi="Palatino Linotype" w:cs="Arial"/>
          <w:i/>
          <w:sz w:val="22"/>
        </w:rPr>
        <w:t>Amparo directo 699/2008. Mariana Leticia González Steele. 13 de noviembre de 2008. Unanimidad de votos. Ponente: Sara Judith Montalvo Trejo. Secretario: Arnulfo Mateos García.”</w:t>
      </w:r>
    </w:p>
    <w:p w14:paraId="2A8E597A" w14:textId="77777777" w:rsidR="00256E0B" w:rsidRPr="00A354C3" w:rsidRDefault="00256E0B" w:rsidP="00256E0B">
      <w:pPr>
        <w:pStyle w:val="Prrafodelista"/>
        <w:numPr>
          <w:ilvl w:val="0"/>
          <w:numId w:val="32"/>
        </w:numPr>
        <w:spacing w:before="240" w:after="240" w:line="360" w:lineRule="auto"/>
        <w:ind w:left="0" w:right="49" w:firstLine="0"/>
        <w:jc w:val="both"/>
        <w:rPr>
          <w:rFonts w:ascii="Palatino Linotype" w:hAnsi="Palatino Linotype"/>
          <w:lang w:val="es-ES"/>
        </w:rPr>
      </w:pPr>
      <w:r w:rsidRPr="00A354C3">
        <w:rPr>
          <w:rFonts w:ascii="Palatino Linotype" w:hAnsi="Palatino Linotype" w:cs="Arial"/>
        </w:rPr>
        <w:t xml:space="preserve">Bajo esas consideraciones, se afirma que en el recurso de revisión sujeto a estudio se actualiza la hipótesis jurídica citada, toda vez que quedó probado que el </w:t>
      </w:r>
      <w:r w:rsidRPr="00A354C3">
        <w:rPr>
          <w:rFonts w:ascii="Palatino Linotype" w:hAnsi="Palatino Linotype" w:cs="Arial"/>
          <w:b/>
        </w:rPr>
        <w:lastRenderedPageBreak/>
        <w:t>SUJETO OBLIGADO</w:t>
      </w:r>
      <w:r w:rsidRPr="00A354C3">
        <w:rPr>
          <w:rFonts w:ascii="Palatino Linotype" w:hAnsi="Palatino Linotype" w:cs="Arial"/>
        </w:rPr>
        <w:t xml:space="preserve"> mediante un acto posterior como lo es el Informe justificado proporcionó la información necesaria para dejar sin</w:t>
      </w:r>
      <w:r>
        <w:rPr>
          <w:rFonts w:ascii="Palatino Linotype" w:hAnsi="Palatino Linotype" w:cs="Arial"/>
        </w:rPr>
        <w:t xml:space="preserve"> materia el recurso de revisión.</w:t>
      </w:r>
    </w:p>
    <w:p w14:paraId="22347811" w14:textId="77777777" w:rsidR="00256E0B" w:rsidRDefault="00256E0B" w:rsidP="00891D7C">
      <w:pPr>
        <w:pStyle w:val="Prrafodelista"/>
        <w:spacing w:line="360" w:lineRule="auto"/>
        <w:ind w:left="0"/>
        <w:jc w:val="both"/>
        <w:rPr>
          <w:rFonts w:ascii="Palatino Linotype" w:hAnsi="Palatino Linotype" w:cs="Arial"/>
          <w:color w:val="000000" w:themeColor="text1"/>
        </w:rPr>
      </w:pPr>
    </w:p>
    <w:p w14:paraId="31F28CB4" w14:textId="4D832470" w:rsidR="002D0FD5" w:rsidRPr="002D0FD5" w:rsidRDefault="002D0FD5" w:rsidP="002D0FD5">
      <w:pPr>
        <w:pStyle w:val="Prrafodelista"/>
        <w:numPr>
          <w:ilvl w:val="0"/>
          <w:numId w:val="32"/>
        </w:numPr>
        <w:tabs>
          <w:tab w:val="left" w:pos="426"/>
        </w:tabs>
        <w:autoSpaceDE w:val="0"/>
        <w:autoSpaceDN w:val="0"/>
        <w:adjustRightInd w:val="0"/>
        <w:spacing w:line="360" w:lineRule="auto"/>
        <w:ind w:left="0" w:right="-28" w:firstLine="0"/>
        <w:jc w:val="both"/>
        <w:rPr>
          <w:rFonts w:ascii="Palatino Linotype" w:hAnsi="Palatino Linotype"/>
          <w:i/>
          <w:iCs/>
        </w:rPr>
      </w:pPr>
      <w:r w:rsidRPr="002D0FD5">
        <w:rPr>
          <w:rFonts w:ascii="Palatino Linotype" w:hAnsi="Palatino Linotype" w:cs="Arial"/>
          <w:color w:val="222222"/>
          <w:lang w:eastAsia="es-MX"/>
        </w:rPr>
        <w:t xml:space="preserve">Por lo anteriormente expuesto y fundado, este </w:t>
      </w:r>
      <w:r w:rsidRPr="002D0FD5">
        <w:rPr>
          <w:rFonts w:ascii="Palatino Linotype" w:hAnsi="Palatino Linotype" w:cs="Arial"/>
          <w:b/>
          <w:bCs/>
          <w:color w:val="222222"/>
          <w:lang w:eastAsia="es-MX"/>
        </w:rPr>
        <w:t>ÓRGANO GARANTE</w:t>
      </w:r>
      <w:r w:rsidRPr="002D0FD5">
        <w:rPr>
          <w:rFonts w:ascii="Palatino Linotype" w:hAnsi="Palatino Linotype" w:cs="Arial"/>
          <w:color w:val="222222"/>
          <w:lang w:eastAsia="es-MX"/>
        </w:rPr>
        <w:t xml:space="preserve"> emite los siguientes:</w:t>
      </w:r>
    </w:p>
    <w:p w14:paraId="6DA09CAA" w14:textId="77777777" w:rsidR="00E74B41" w:rsidRPr="00736D6D" w:rsidRDefault="00E74B41" w:rsidP="00736D6D">
      <w:pPr>
        <w:pStyle w:val="Prrafodelista"/>
        <w:spacing w:line="360" w:lineRule="auto"/>
        <w:ind w:left="0"/>
        <w:jc w:val="center"/>
        <w:rPr>
          <w:rFonts w:ascii="Palatino Linotype" w:hAnsi="Palatino Linotype" w:cs="Arial"/>
          <w:b/>
          <w:color w:val="000000" w:themeColor="text1"/>
        </w:rPr>
      </w:pPr>
      <w:r w:rsidRPr="00736D6D">
        <w:rPr>
          <w:rFonts w:ascii="Palatino Linotype" w:hAnsi="Palatino Linotype" w:cs="Arial"/>
          <w:b/>
          <w:color w:val="000000" w:themeColor="text1"/>
        </w:rPr>
        <w:t>R E S O L U T I V O S</w:t>
      </w:r>
    </w:p>
    <w:p w14:paraId="45A72164" w14:textId="77777777" w:rsidR="00E74B41" w:rsidRPr="00E74B41" w:rsidRDefault="00E74B41" w:rsidP="00E74B41">
      <w:pPr>
        <w:spacing w:line="360" w:lineRule="auto"/>
        <w:jc w:val="both"/>
        <w:rPr>
          <w:rFonts w:ascii="Palatino Linotype" w:hAnsi="Palatino Linotype" w:cs="Arial"/>
          <w:color w:val="000000" w:themeColor="text1"/>
        </w:rPr>
      </w:pPr>
    </w:p>
    <w:p w14:paraId="4E96CAA5" w14:textId="1ADD207D" w:rsidR="00256E0B" w:rsidRDefault="00256E0B" w:rsidP="00256E0B">
      <w:pPr>
        <w:spacing w:line="360" w:lineRule="auto"/>
        <w:jc w:val="both"/>
        <w:rPr>
          <w:rFonts w:ascii="Palatino Linotype" w:hAnsi="Palatino Linotype"/>
        </w:rPr>
      </w:pPr>
      <w:r w:rsidRPr="00A354C3">
        <w:rPr>
          <w:rFonts w:ascii="Palatino Linotype" w:hAnsi="Palatino Linotype"/>
          <w:b/>
          <w:lang w:val="es-ES_tradnl"/>
        </w:rPr>
        <w:t xml:space="preserve">PRIMERO. </w:t>
      </w:r>
      <w:r w:rsidRPr="00A354C3">
        <w:rPr>
          <w:rFonts w:ascii="Palatino Linotype" w:hAnsi="Palatino Linotype"/>
        </w:rPr>
        <w:t xml:space="preserve">Se </w:t>
      </w:r>
      <w:r w:rsidRPr="00A354C3">
        <w:rPr>
          <w:rFonts w:ascii="Palatino Linotype" w:hAnsi="Palatino Linotype"/>
          <w:b/>
        </w:rPr>
        <w:t>SOBRESEE</w:t>
      </w:r>
      <w:r w:rsidRPr="00A354C3">
        <w:rPr>
          <w:rFonts w:ascii="Palatino Linotype" w:hAnsi="Palatino Linotype"/>
        </w:rPr>
        <w:t xml:space="preserve"> el recurso de revisión número </w:t>
      </w:r>
      <w:r>
        <w:rPr>
          <w:rFonts w:ascii="Palatino Linotype" w:eastAsia="Calibri" w:hAnsi="Palatino Linotype" w:cs="Tahoma"/>
          <w:b/>
          <w:lang w:eastAsia="en-US"/>
        </w:rPr>
        <w:t>13328</w:t>
      </w:r>
      <w:r w:rsidRPr="00A354C3">
        <w:rPr>
          <w:rFonts w:ascii="Palatino Linotype" w:eastAsia="Calibri" w:hAnsi="Palatino Linotype" w:cs="Tahoma"/>
          <w:b/>
          <w:lang w:eastAsia="en-US"/>
        </w:rPr>
        <w:t>/INFOEM/IP/RR/202</w:t>
      </w:r>
      <w:r>
        <w:rPr>
          <w:rFonts w:ascii="Palatino Linotype" w:eastAsia="Calibri" w:hAnsi="Palatino Linotype" w:cs="Tahoma"/>
          <w:b/>
          <w:lang w:eastAsia="en-US"/>
        </w:rPr>
        <w:t>2</w:t>
      </w:r>
      <w:r w:rsidR="003A3E96">
        <w:rPr>
          <w:rFonts w:ascii="Palatino Linotype" w:eastAsia="Calibri" w:hAnsi="Palatino Linotype" w:cs="Tahoma"/>
          <w:b/>
          <w:lang w:eastAsia="en-US"/>
        </w:rPr>
        <w:t>,</w:t>
      </w:r>
      <w:r w:rsidRPr="00A354C3">
        <w:rPr>
          <w:rFonts w:ascii="Palatino Linotype" w:hAnsi="Palatino Linotype"/>
        </w:rPr>
        <w:t xml:space="preserve"> porque al modificar la respuesta a través del informe justificado, el recurso de revisión quedó sin materia, conforme la fracción III del artículo 192 de la Ley de Transparencia y Acceso a la Información Pública del Estado de México y Municipios, en términos del </w:t>
      </w:r>
      <w:r w:rsidR="003A3E96">
        <w:rPr>
          <w:rFonts w:ascii="Palatino Linotype" w:hAnsi="Palatino Linotype"/>
          <w:b/>
        </w:rPr>
        <w:t>c</w:t>
      </w:r>
      <w:r w:rsidRPr="00A354C3">
        <w:rPr>
          <w:rFonts w:ascii="Palatino Linotype" w:hAnsi="Palatino Linotype"/>
          <w:b/>
        </w:rPr>
        <w:t>onsiderando TERCERO</w:t>
      </w:r>
      <w:r w:rsidRPr="00A354C3">
        <w:rPr>
          <w:rFonts w:ascii="Palatino Linotype" w:hAnsi="Palatino Linotype"/>
        </w:rPr>
        <w:t xml:space="preserve"> de la presente resolución.</w:t>
      </w:r>
    </w:p>
    <w:p w14:paraId="58EA078F" w14:textId="77777777" w:rsidR="00256E0B" w:rsidRDefault="00256E0B" w:rsidP="00256E0B">
      <w:pPr>
        <w:spacing w:line="360" w:lineRule="auto"/>
        <w:jc w:val="both"/>
        <w:rPr>
          <w:rFonts w:ascii="Palatino Linotype" w:hAnsi="Palatino Linotype"/>
        </w:rPr>
      </w:pPr>
    </w:p>
    <w:p w14:paraId="66131AE6" w14:textId="59E3B859" w:rsidR="00256E0B" w:rsidRDefault="00256E0B" w:rsidP="00256E0B">
      <w:pPr>
        <w:spacing w:line="360" w:lineRule="auto"/>
        <w:jc w:val="both"/>
        <w:rPr>
          <w:rFonts w:ascii="Palatino Linotype" w:hAnsi="Palatino Linotype"/>
        </w:rPr>
      </w:pPr>
      <w:r w:rsidRPr="00256E0B">
        <w:rPr>
          <w:rFonts w:ascii="Palatino Linotype" w:hAnsi="Palatino Linotype"/>
          <w:b/>
        </w:rPr>
        <w:t>SEGUNDO.</w:t>
      </w:r>
      <w:r>
        <w:rPr>
          <w:rFonts w:ascii="Palatino Linotype" w:hAnsi="Palatino Linotype"/>
        </w:rPr>
        <w:t xml:space="preserve"> </w:t>
      </w:r>
      <w:r w:rsidRPr="00A354C3">
        <w:rPr>
          <w:rFonts w:ascii="Palatino Linotype" w:hAnsi="Palatino Linotype"/>
        </w:rPr>
        <w:t xml:space="preserve">Se </w:t>
      </w:r>
      <w:r w:rsidRPr="00A354C3">
        <w:rPr>
          <w:rFonts w:ascii="Palatino Linotype" w:hAnsi="Palatino Linotype"/>
          <w:b/>
        </w:rPr>
        <w:t>SOBRESEE</w:t>
      </w:r>
      <w:r w:rsidRPr="00A354C3">
        <w:rPr>
          <w:rFonts w:ascii="Palatino Linotype" w:hAnsi="Palatino Linotype"/>
        </w:rPr>
        <w:t xml:space="preserve"> el recurso de revisión número </w:t>
      </w:r>
      <w:r>
        <w:rPr>
          <w:rFonts w:ascii="Palatino Linotype" w:eastAsia="Calibri" w:hAnsi="Palatino Linotype" w:cs="Tahoma"/>
          <w:b/>
          <w:lang w:eastAsia="en-US"/>
        </w:rPr>
        <w:t>13329</w:t>
      </w:r>
      <w:r w:rsidRPr="00A354C3">
        <w:rPr>
          <w:rFonts w:ascii="Palatino Linotype" w:eastAsia="Calibri" w:hAnsi="Palatino Linotype" w:cs="Tahoma"/>
          <w:b/>
          <w:lang w:eastAsia="en-US"/>
        </w:rPr>
        <w:t>/INFOEM/IP/RR/202</w:t>
      </w:r>
      <w:r>
        <w:rPr>
          <w:rFonts w:ascii="Palatino Linotype" w:eastAsia="Calibri" w:hAnsi="Palatino Linotype" w:cs="Tahoma"/>
          <w:b/>
          <w:lang w:eastAsia="en-US"/>
        </w:rPr>
        <w:t>2</w:t>
      </w:r>
      <w:r w:rsidR="003A3E96">
        <w:rPr>
          <w:rFonts w:ascii="Palatino Linotype" w:eastAsia="Calibri" w:hAnsi="Palatino Linotype" w:cs="Tahoma"/>
          <w:b/>
          <w:lang w:eastAsia="en-US"/>
        </w:rPr>
        <w:t>,</w:t>
      </w:r>
      <w:r>
        <w:rPr>
          <w:rFonts w:ascii="Palatino Linotype" w:eastAsia="Calibri" w:hAnsi="Palatino Linotype" w:cs="Tahoma"/>
          <w:b/>
          <w:lang w:eastAsia="en-US"/>
        </w:rPr>
        <w:t xml:space="preserve"> </w:t>
      </w:r>
      <w:r w:rsidRPr="00256E0B">
        <w:rPr>
          <w:rFonts w:ascii="Palatino Linotype" w:eastAsia="Calibri" w:hAnsi="Palatino Linotype" w:cs="Tahoma"/>
          <w:lang w:eastAsia="en-US"/>
        </w:rPr>
        <w:t xml:space="preserve">conforme al artículo 192, fracción IV, en relación con el artículo 191, fracción VII </w:t>
      </w:r>
      <w:r w:rsidRPr="008306E4">
        <w:rPr>
          <w:rFonts w:ascii="Palatino Linotype" w:hAnsi="Palatino Linotype"/>
        </w:rPr>
        <w:t>de la Ley de Transparencia y Acceso a la Información Pública del Estado de México</w:t>
      </w:r>
      <w:r w:rsidR="003A3E96">
        <w:rPr>
          <w:rFonts w:ascii="Palatino Linotype" w:hAnsi="Palatino Linotype"/>
        </w:rPr>
        <w:t xml:space="preserve"> y Municipios, en términos del c</w:t>
      </w:r>
      <w:r w:rsidRPr="008306E4">
        <w:rPr>
          <w:rFonts w:ascii="Palatino Linotype" w:hAnsi="Palatino Linotype"/>
        </w:rPr>
        <w:t xml:space="preserve">onsiderando </w:t>
      </w:r>
      <w:r w:rsidRPr="008306E4">
        <w:rPr>
          <w:rFonts w:ascii="Palatino Linotype" w:hAnsi="Palatino Linotype"/>
          <w:b/>
        </w:rPr>
        <w:t>TERCERO</w:t>
      </w:r>
      <w:r w:rsidRPr="008306E4">
        <w:rPr>
          <w:rFonts w:ascii="Palatino Linotype" w:hAnsi="Palatino Linotype"/>
        </w:rPr>
        <w:t xml:space="preserve"> de la presente resolución.</w:t>
      </w:r>
    </w:p>
    <w:p w14:paraId="2530D2DD" w14:textId="4FE20818" w:rsidR="00256E0B" w:rsidRPr="00256E0B" w:rsidRDefault="00256E0B" w:rsidP="00256E0B">
      <w:pPr>
        <w:spacing w:line="360" w:lineRule="auto"/>
        <w:jc w:val="both"/>
        <w:rPr>
          <w:rFonts w:ascii="Palatino Linotype" w:eastAsia="Calibri" w:hAnsi="Palatino Linotype" w:cs="Tahoma"/>
          <w:b/>
          <w:lang w:eastAsia="en-US"/>
        </w:rPr>
      </w:pPr>
      <w:r w:rsidRPr="00A354C3">
        <w:rPr>
          <w:rFonts w:ascii="Palatino Linotype" w:hAnsi="Palatino Linotype"/>
        </w:rPr>
        <w:t xml:space="preserve"> </w:t>
      </w:r>
    </w:p>
    <w:p w14:paraId="09E8F077" w14:textId="77777777" w:rsidR="00256E0B" w:rsidRPr="00A354C3" w:rsidRDefault="00256E0B" w:rsidP="00256E0B">
      <w:pPr>
        <w:spacing w:line="360" w:lineRule="auto"/>
        <w:jc w:val="both"/>
        <w:rPr>
          <w:rFonts w:ascii="Palatino Linotype" w:hAnsi="Palatino Linotype"/>
          <w:lang w:val="es-ES_tradnl"/>
        </w:rPr>
      </w:pPr>
    </w:p>
    <w:p w14:paraId="485DB483" w14:textId="3D83099F" w:rsidR="00256E0B" w:rsidRPr="00A354C3" w:rsidRDefault="00256E0B" w:rsidP="00256E0B">
      <w:pPr>
        <w:spacing w:line="360" w:lineRule="auto"/>
        <w:jc w:val="both"/>
        <w:rPr>
          <w:rFonts w:ascii="Palatino Linotype" w:eastAsia="Calibri" w:hAnsi="Palatino Linotype" w:cs="Arial"/>
          <w:b/>
          <w:bCs/>
        </w:rPr>
      </w:pPr>
      <w:r>
        <w:rPr>
          <w:rFonts w:ascii="Palatino Linotype" w:eastAsia="Calibri" w:hAnsi="Palatino Linotype" w:cs="Arial"/>
          <w:b/>
          <w:bCs/>
        </w:rPr>
        <w:t>TERCER</w:t>
      </w:r>
      <w:r w:rsidRPr="00A354C3">
        <w:rPr>
          <w:rFonts w:ascii="Palatino Linotype" w:eastAsia="Calibri" w:hAnsi="Palatino Linotype" w:cs="Arial"/>
          <w:b/>
          <w:bCs/>
        </w:rPr>
        <w:t xml:space="preserve">O. Notifíquese </w:t>
      </w:r>
      <w:r w:rsidRPr="00A354C3">
        <w:rPr>
          <w:rFonts w:ascii="Palatino Linotype" w:eastAsia="Calibri" w:hAnsi="Palatino Linotype" w:cs="Arial"/>
          <w:bCs/>
        </w:rPr>
        <w:t xml:space="preserve">a través del Sistema de Acceso a la Información Mexiquense </w:t>
      </w:r>
      <w:r w:rsidRPr="00A354C3">
        <w:rPr>
          <w:rFonts w:ascii="Palatino Linotype" w:eastAsia="Calibri" w:hAnsi="Palatino Linotype" w:cs="Arial"/>
          <w:b/>
          <w:bCs/>
        </w:rPr>
        <w:t xml:space="preserve">(SAIMEX) </w:t>
      </w:r>
      <w:r w:rsidRPr="00A354C3">
        <w:rPr>
          <w:rFonts w:ascii="Palatino Linotype" w:eastAsia="Calibri" w:hAnsi="Palatino Linotype" w:cs="Arial"/>
          <w:bCs/>
        </w:rPr>
        <w:t>la presente resolución a la Titular de la Unidad de Transparencia del</w:t>
      </w:r>
      <w:r w:rsidRPr="00A354C3">
        <w:rPr>
          <w:rFonts w:ascii="Palatino Linotype" w:eastAsia="Calibri" w:hAnsi="Palatino Linotype" w:cs="Arial"/>
          <w:b/>
          <w:bCs/>
        </w:rPr>
        <w:t xml:space="preserve"> SUJETO OBLIGADO. </w:t>
      </w:r>
    </w:p>
    <w:p w14:paraId="4DE2D0AB" w14:textId="77777777" w:rsidR="00256E0B" w:rsidRPr="00A354C3" w:rsidRDefault="00256E0B" w:rsidP="00256E0B">
      <w:pPr>
        <w:spacing w:line="360" w:lineRule="auto"/>
        <w:jc w:val="both"/>
        <w:rPr>
          <w:rFonts w:ascii="Palatino Linotype" w:eastAsia="Calibri" w:hAnsi="Palatino Linotype" w:cs="Arial"/>
          <w:b/>
          <w:bCs/>
        </w:rPr>
      </w:pPr>
    </w:p>
    <w:p w14:paraId="116C0A1D" w14:textId="590552AB" w:rsidR="00256E0B" w:rsidRPr="00A354C3" w:rsidRDefault="00256E0B" w:rsidP="00256E0B">
      <w:pPr>
        <w:spacing w:line="360" w:lineRule="auto"/>
        <w:jc w:val="both"/>
        <w:rPr>
          <w:rFonts w:ascii="Palatino Linotype" w:hAnsi="Palatino Linotype"/>
          <w:color w:val="222222"/>
          <w:lang w:eastAsia="es-MX"/>
        </w:rPr>
      </w:pPr>
      <w:r>
        <w:rPr>
          <w:rFonts w:ascii="Palatino Linotype" w:hAnsi="Palatino Linotype" w:cs="Arial"/>
          <w:b/>
          <w:lang w:val="es-ES_tradnl"/>
        </w:rPr>
        <w:t>CUARTO</w:t>
      </w:r>
      <w:r w:rsidRPr="00A354C3">
        <w:rPr>
          <w:rFonts w:ascii="Palatino Linotype" w:hAnsi="Palatino Linotype" w:cs="Arial"/>
          <w:b/>
          <w:lang w:val="es-ES_tradnl"/>
        </w:rPr>
        <w:t xml:space="preserve">. </w:t>
      </w:r>
      <w:r w:rsidRPr="00A354C3">
        <w:rPr>
          <w:rFonts w:ascii="Palatino Linotype" w:hAnsi="Palatino Linotype"/>
          <w:b/>
          <w:bCs/>
          <w:color w:val="222222"/>
        </w:rPr>
        <w:t xml:space="preserve">Notifíquese </w:t>
      </w:r>
      <w:r w:rsidRPr="00A354C3">
        <w:rPr>
          <w:rFonts w:ascii="Palatino Linotype" w:hAnsi="Palatino Linotype"/>
          <w:bCs/>
          <w:color w:val="222222"/>
        </w:rPr>
        <w:t xml:space="preserve">al </w:t>
      </w:r>
      <w:r w:rsidRPr="00A354C3">
        <w:rPr>
          <w:rFonts w:ascii="Palatino Linotype" w:hAnsi="Palatino Linotype"/>
          <w:b/>
          <w:lang w:val="es-ES_tradnl"/>
        </w:rPr>
        <w:t xml:space="preserve">RECURRENTE </w:t>
      </w:r>
      <w:r w:rsidRPr="00A354C3">
        <w:rPr>
          <w:rFonts w:ascii="Palatino Linotype" w:eastAsia="Calibri" w:hAnsi="Palatino Linotype" w:cs="Arial"/>
          <w:bCs/>
        </w:rPr>
        <w:t xml:space="preserve">a través del Sistema de Acceso a la Información Mexiquense </w:t>
      </w:r>
      <w:r w:rsidRPr="00A354C3">
        <w:rPr>
          <w:rFonts w:ascii="Palatino Linotype" w:eastAsia="Calibri" w:hAnsi="Palatino Linotype" w:cs="Arial"/>
          <w:b/>
          <w:bCs/>
        </w:rPr>
        <w:t xml:space="preserve">(SAIMEX) </w:t>
      </w:r>
      <w:r w:rsidRPr="00A354C3">
        <w:rPr>
          <w:rFonts w:ascii="Palatino Linotype" w:hAnsi="Palatino Linotype"/>
          <w:color w:val="222222"/>
          <w:lang w:eastAsia="es-MX"/>
        </w:rPr>
        <w:t>la presente resolución.</w:t>
      </w:r>
    </w:p>
    <w:p w14:paraId="78CCB3C7" w14:textId="77777777" w:rsidR="00256E0B" w:rsidRPr="00A354C3" w:rsidRDefault="00256E0B" w:rsidP="00256E0B">
      <w:pPr>
        <w:spacing w:line="360" w:lineRule="auto"/>
        <w:jc w:val="both"/>
        <w:rPr>
          <w:rFonts w:ascii="Palatino Linotype" w:hAnsi="Palatino Linotype"/>
          <w:color w:val="222222"/>
          <w:lang w:eastAsia="es-MX"/>
        </w:rPr>
      </w:pPr>
    </w:p>
    <w:p w14:paraId="6019D0CD" w14:textId="55218443" w:rsidR="00256E0B" w:rsidRDefault="00256E0B" w:rsidP="00256E0B">
      <w:pPr>
        <w:spacing w:line="360" w:lineRule="auto"/>
        <w:contextualSpacing/>
        <w:jc w:val="both"/>
        <w:rPr>
          <w:rFonts w:ascii="Palatino Linotype" w:eastAsia="MS Mincho" w:hAnsi="Palatino Linotype"/>
        </w:rPr>
      </w:pPr>
      <w:r>
        <w:rPr>
          <w:rFonts w:ascii="Palatino Linotype" w:eastAsia="MS Mincho" w:hAnsi="Palatino Linotype"/>
          <w:b/>
        </w:rPr>
        <w:t>QUINTO</w:t>
      </w:r>
      <w:r w:rsidRPr="00A354C3">
        <w:rPr>
          <w:rFonts w:ascii="Palatino Linotype" w:eastAsia="MS Mincho" w:hAnsi="Palatino Linotype"/>
          <w:b/>
        </w:rPr>
        <w:t>.</w:t>
      </w:r>
      <w:r w:rsidRPr="00A354C3">
        <w:rPr>
          <w:rFonts w:ascii="Palatino Linotype" w:eastAsia="MS Mincho" w:hAnsi="Palatino Linotype"/>
        </w:rPr>
        <w:t xml:space="preserve"> Se hace del conocimiento del </w:t>
      </w:r>
      <w:r w:rsidRPr="00A354C3">
        <w:rPr>
          <w:rFonts w:ascii="Palatino Linotype" w:hAnsi="Palatino Linotype"/>
          <w:b/>
          <w:lang w:val="es-ES_tradnl"/>
        </w:rPr>
        <w:t xml:space="preserve">RECURRENTE </w:t>
      </w:r>
      <w:r w:rsidRPr="00A354C3">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A354C3">
        <w:rPr>
          <w:rFonts w:ascii="Palatino Linotype" w:eastAsia="MS Mincho" w:hAnsi="Palatino Linotype"/>
          <w:bCs/>
        </w:rPr>
        <w:t xml:space="preserve">vía juicio de amparo </w:t>
      </w:r>
      <w:r w:rsidRPr="00A354C3">
        <w:rPr>
          <w:rFonts w:ascii="Palatino Linotype" w:eastAsia="MS Mincho" w:hAnsi="Palatino Linotype"/>
        </w:rPr>
        <w:t>en los términos de las leyes aplicables.</w:t>
      </w:r>
    </w:p>
    <w:p w14:paraId="5487CD0E" w14:textId="77777777" w:rsidR="003A3E96" w:rsidRPr="003A3E96" w:rsidRDefault="003A3E96" w:rsidP="003A3E96">
      <w:pPr>
        <w:spacing w:before="240" w:after="240" w:line="360" w:lineRule="auto"/>
        <w:ind w:firstLine="1"/>
        <w:jc w:val="both"/>
        <w:rPr>
          <w:rFonts w:ascii="Palatino Linotype" w:hAnsi="Palatino Linotype"/>
          <w:smallCaps/>
        </w:rPr>
      </w:pPr>
      <w:bookmarkStart w:id="1" w:name="_Hlk129792997"/>
      <w:r w:rsidRPr="003A3E96">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TRES (03) DE OCTUBRE DE DOS MIL VEINTITRÉS, ANTE EL SECRETARIO TÉCNICO DEL PLENO ALEXIS TAPIA RAMÍREZ. </w:t>
      </w:r>
      <w:bookmarkEnd w:id="1"/>
    </w:p>
    <w:p w14:paraId="4654240F" w14:textId="77777777" w:rsidR="00E74B41" w:rsidRPr="00E74B41" w:rsidRDefault="00E74B41" w:rsidP="00E74B41">
      <w:pPr>
        <w:spacing w:line="360" w:lineRule="auto"/>
        <w:jc w:val="both"/>
        <w:rPr>
          <w:rFonts w:ascii="Palatino Linotype" w:hAnsi="Palatino Linotype" w:cs="Arial"/>
          <w:color w:val="000000" w:themeColor="text1"/>
        </w:rPr>
      </w:pPr>
    </w:p>
    <w:p w14:paraId="24F84066" w14:textId="77777777" w:rsidR="00E74B41" w:rsidRPr="00E74B41" w:rsidRDefault="00E74B41" w:rsidP="00E74B41">
      <w:pPr>
        <w:spacing w:line="360" w:lineRule="auto"/>
        <w:jc w:val="both"/>
        <w:rPr>
          <w:rFonts w:ascii="Palatino Linotype" w:hAnsi="Palatino Linotype" w:cs="Arial"/>
          <w:color w:val="000000" w:themeColor="text1"/>
        </w:rPr>
      </w:pPr>
    </w:p>
    <w:p w14:paraId="62CB4093" w14:textId="77777777" w:rsidR="00E74B41" w:rsidRPr="00E74B41" w:rsidRDefault="00E74B41" w:rsidP="00E74B41">
      <w:pPr>
        <w:spacing w:line="360" w:lineRule="auto"/>
        <w:jc w:val="both"/>
        <w:rPr>
          <w:rFonts w:ascii="Palatino Linotype" w:hAnsi="Palatino Linotype" w:cs="Arial"/>
          <w:color w:val="000000" w:themeColor="text1"/>
        </w:rPr>
      </w:pPr>
    </w:p>
    <w:p w14:paraId="2A793819" w14:textId="77777777" w:rsidR="00E74B41" w:rsidRPr="00E74B41" w:rsidRDefault="00E74B41" w:rsidP="00E74B41">
      <w:pPr>
        <w:spacing w:line="360" w:lineRule="auto"/>
        <w:jc w:val="both"/>
        <w:rPr>
          <w:rFonts w:ascii="Palatino Linotype" w:hAnsi="Palatino Linotype" w:cs="Arial"/>
          <w:color w:val="000000" w:themeColor="text1"/>
        </w:rPr>
      </w:pPr>
    </w:p>
    <w:p w14:paraId="0769D1C1" w14:textId="77777777" w:rsidR="00E74B41" w:rsidRPr="00E74B41" w:rsidRDefault="00E74B41" w:rsidP="00E74B41">
      <w:pPr>
        <w:spacing w:line="360" w:lineRule="auto"/>
        <w:jc w:val="both"/>
        <w:rPr>
          <w:rFonts w:ascii="Palatino Linotype" w:hAnsi="Palatino Linotype" w:cs="Arial"/>
          <w:color w:val="000000" w:themeColor="text1"/>
        </w:rPr>
      </w:pPr>
    </w:p>
    <w:p w14:paraId="01A09536" w14:textId="77777777" w:rsidR="00E74B41" w:rsidRPr="00E74B41" w:rsidRDefault="00E74B41" w:rsidP="00E74B41">
      <w:pPr>
        <w:spacing w:line="360" w:lineRule="auto"/>
        <w:jc w:val="both"/>
        <w:rPr>
          <w:rFonts w:ascii="Palatino Linotype" w:hAnsi="Palatino Linotype" w:cs="Arial"/>
          <w:color w:val="000000" w:themeColor="text1"/>
        </w:rPr>
      </w:pPr>
    </w:p>
    <w:p w14:paraId="0888DFA9" w14:textId="77777777" w:rsidR="00E74B41" w:rsidRPr="00E74B41" w:rsidRDefault="00E74B41" w:rsidP="00E74B41">
      <w:pPr>
        <w:spacing w:line="360" w:lineRule="auto"/>
        <w:jc w:val="both"/>
        <w:rPr>
          <w:rFonts w:ascii="Palatino Linotype" w:hAnsi="Palatino Linotype" w:cs="Arial"/>
          <w:color w:val="000000" w:themeColor="text1"/>
        </w:rPr>
      </w:pPr>
    </w:p>
    <w:p w14:paraId="05F8FBDD" w14:textId="77777777" w:rsidR="00E74B41" w:rsidRPr="00E74B41" w:rsidRDefault="00E74B41" w:rsidP="00E74B41">
      <w:pPr>
        <w:spacing w:line="360" w:lineRule="auto"/>
        <w:jc w:val="both"/>
        <w:rPr>
          <w:rFonts w:ascii="Palatino Linotype" w:hAnsi="Palatino Linotype" w:cs="Arial"/>
          <w:color w:val="000000" w:themeColor="text1"/>
        </w:rPr>
      </w:pPr>
    </w:p>
    <w:p w14:paraId="3BE3055F" w14:textId="77777777" w:rsidR="00E74B41" w:rsidRPr="00E74B41" w:rsidRDefault="00E74B41" w:rsidP="00E74B41">
      <w:pPr>
        <w:spacing w:line="360" w:lineRule="auto"/>
        <w:jc w:val="both"/>
        <w:rPr>
          <w:rFonts w:ascii="Palatino Linotype" w:hAnsi="Palatino Linotype" w:cs="Arial"/>
          <w:color w:val="000000" w:themeColor="text1"/>
        </w:rPr>
      </w:pPr>
    </w:p>
    <w:p w14:paraId="7EFA4F21" w14:textId="31E3F54F" w:rsidR="00895335" w:rsidRPr="00E74B41" w:rsidRDefault="00895335" w:rsidP="00E74B41">
      <w:pPr>
        <w:spacing w:line="360" w:lineRule="auto"/>
        <w:jc w:val="both"/>
        <w:rPr>
          <w:rFonts w:ascii="Palatino Linotype" w:hAnsi="Palatino Linotype" w:cs="Arial"/>
          <w:color w:val="000000" w:themeColor="text1"/>
        </w:rPr>
      </w:pPr>
    </w:p>
    <w:sectPr w:rsidR="00895335" w:rsidRPr="00E74B41" w:rsidSect="008E4483">
      <w:headerReference w:type="default" r:id="rId10"/>
      <w:footerReference w:type="default" r:id="rId11"/>
      <w:headerReference w:type="first" r:id="rId12"/>
      <w:footerReference w:type="first" r:id="rId13"/>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9B5D1" w14:textId="77777777" w:rsidR="008217A7" w:rsidRDefault="008217A7" w:rsidP="00587366">
      <w:r>
        <w:separator/>
      </w:r>
    </w:p>
  </w:endnote>
  <w:endnote w:type="continuationSeparator" w:id="0">
    <w:p w14:paraId="14359E31" w14:textId="77777777" w:rsidR="008217A7" w:rsidRDefault="008217A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B75387" w:rsidRPr="00883450" w:rsidRDefault="00B7538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D19B7">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D19B7">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47B193F0" w:rsidR="00B75387" w:rsidRDefault="00B75387">
    <w:pPr>
      <w:pStyle w:val="Piedepgina"/>
    </w:pPr>
  </w:p>
  <w:p w14:paraId="748CF3BF" w14:textId="77777777" w:rsidR="00B75387" w:rsidRDefault="00B753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B75387" w:rsidRPr="00883450" w:rsidRDefault="00B7538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D19B7" w:rsidRPr="007D19B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D19B7" w:rsidRPr="007D19B7">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0A9A2B26" w:rsidR="00B75387" w:rsidRPr="00883450" w:rsidRDefault="00B75387">
    <w:pPr>
      <w:pStyle w:val="Piedepgina"/>
      <w:rPr>
        <w:rFonts w:ascii="Palatino Linotype" w:hAnsi="Palatino Linotype"/>
        <w:sz w:val="22"/>
        <w:szCs w:val="22"/>
      </w:rPr>
    </w:pPr>
  </w:p>
  <w:p w14:paraId="3196E709" w14:textId="77777777" w:rsidR="00B75387" w:rsidRDefault="00B753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7C454" w14:textId="77777777" w:rsidR="008217A7" w:rsidRDefault="008217A7" w:rsidP="00587366">
      <w:r>
        <w:separator/>
      </w:r>
    </w:p>
  </w:footnote>
  <w:footnote w:type="continuationSeparator" w:id="0">
    <w:p w14:paraId="2651A83B" w14:textId="77777777" w:rsidR="008217A7" w:rsidRDefault="008217A7" w:rsidP="00587366">
      <w:r>
        <w:continuationSeparator/>
      </w:r>
    </w:p>
  </w:footnote>
  <w:footnote w:id="1">
    <w:p w14:paraId="73225D53" w14:textId="77777777" w:rsidR="00B75387" w:rsidRDefault="00B75387" w:rsidP="00B75387">
      <w:pPr>
        <w:pStyle w:val="Textonotapie"/>
      </w:pPr>
      <w:r>
        <w:rPr>
          <w:rStyle w:val="Refdenotaalpie"/>
        </w:rPr>
        <w:footnoteRef/>
      </w:r>
      <w:r>
        <w:t xml:space="preserve"> Ley de Transparencia y Acceso a la Información Pública del Estado de México y Municipios. Artículo 9. …</w:t>
      </w:r>
    </w:p>
    <w:p w14:paraId="08632893" w14:textId="77777777" w:rsidR="00B75387" w:rsidRDefault="00B75387" w:rsidP="00B75387">
      <w:pPr>
        <w:pStyle w:val="Textonotapie"/>
      </w:pPr>
      <w:r>
        <w:t>II. Eficacia: Obligación del Instituto para tutelar, de manera efectiva, el derecho de acceso a la información;</w:t>
      </w:r>
    </w:p>
    <w:p w14:paraId="5F1846C6" w14:textId="77777777" w:rsidR="00B75387" w:rsidRDefault="00B75387" w:rsidP="00B75387">
      <w:pPr>
        <w:pStyle w:val="Textonotapie"/>
      </w:pPr>
      <w:r>
        <w:t xml:space="preserve">… </w:t>
      </w:r>
    </w:p>
  </w:footnote>
  <w:footnote w:id="2">
    <w:p w14:paraId="4958E570" w14:textId="77777777" w:rsidR="00891D7C" w:rsidRDefault="00891D7C" w:rsidP="00891D7C">
      <w:pPr>
        <w:pStyle w:val="Textonotapie"/>
      </w:pPr>
      <w:r>
        <w:rPr>
          <w:rStyle w:val="Refdenotaalpie"/>
        </w:rPr>
        <w:footnoteRef/>
      </w:r>
      <w:r>
        <w:t xml:space="preserve"> Artículo 150. Ley de Transparencia y Acceso a la Información Pública del Estado de México y Municipios.</w:t>
      </w:r>
    </w:p>
    <w:p w14:paraId="7266D4A6" w14:textId="77777777" w:rsidR="00891D7C" w:rsidRDefault="00891D7C" w:rsidP="00891D7C">
      <w:pPr>
        <w:pStyle w:val="Textonotapie"/>
      </w:pPr>
      <w:r>
        <w:t>Artículo 151. Ibídem.</w:t>
      </w:r>
    </w:p>
  </w:footnote>
  <w:footnote w:id="3">
    <w:p w14:paraId="6DF8D1C6" w14:textId="77777777" w:rsidR="00891D7C" w:rsidRDefault="00891D7C" w:rsidP="00891D7C">
      <w:pPr>
        <w:pStyle w:val="Textonotapie"/>
      </w:pPr>
      <w:r>
        <w:rPr>
          <w:rStyle w:val="Refdenotaalpie"/>
        </w:rPr>
        <w:footnoteRef/>
      </w:r>
      <w:r>
        <w:t xml:space="preserve"> Fracción IV. Artículo 53. Ibídem.</w:t>
      </w:r>
    </w:p>
  </w:footnote>
  <w:footnote w:id="4">
    <w:p w14:paraId="63BAA14E" w14:textId="77777777" w:rsidR="00256E0B" w:rsidRPr="00952F10" w:rsidRDefault="00256E0B" w:rsidP="00256E0B">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09CB1650" w14:textId="77777777" w:rsidR="00256E0B" w:rsidRDefault="00256E0B" w:rsidP="00256E0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75387" w:rsidRPr="00025127" w14:paraId="07F2896E" w14:textId="77777777" w:rsidTr="00FA0F09">
      <w:trPr>
        <w:trHeight w:val="138"/>
        <w:jc w:val="right"/>
      </w:trPr>
      <w:tc>
        <w:tcPr>
          <w:tcW w:w="3260" w:type="dxa"/>
          <w:vAlign w:val="center"/>
        </w:tcPr>
        <w:p w14:paraId="4A5B1974" w14:textId="44CA9AFE" w:rsidR="00B75387" w:rsidRPr="00025127" w:rsidRDefault="00B7538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2AAB0E2" w:rsidR="00B75387" w:rsidRPr="00D97D8E" w:rsidRDefault="00B75387" w:rsidP="00D97D8E">
          <w:pPr>
            <w:pStyle w:val="Encabezado"/>
            <w:rPr>
              <w:rFonts w:ascii="Palatino Linotype" w:hAnsi="Palatino Linotype"/>
              <w:sz w:val="22"/>
              <w:szCs w:val="22"/>
            </w:rPr>
          </w:pPr>
          <w:r w:rsidRPr="00D97D8E">
            <w:rPr>
              <w:rFonts w:ascii="Palatino Linotype" w:eastAsia="Calibri" w:hAnsi="Palatino Linotype" w:cs="Arial"/>
              <w:sz w:val="22"/>
              <w:lang w:val="es-ES"/>
            </w:rPr>
            <w:t>13328</w:t>
          </w:r>
          <w:r w:rsidRPr="00D97D8E">
            <w:rPr>
              <w:rFonts w:ascii="Palatino Linotype" w:hAnsi="Palatino Linotype"/>
              <w:sz w:val="22"/>
              <w:szCs w:val="22"/>
            </w:rPr>
            <w:t xml:space="preserve">/INFOEM/IP/RR/2022 y </w:t>
          </w:r>
          <w:r w:rsidR="00D97D8E" w:rsidRPr="00D97D8E">
            <w:rPr>
              <w:rFonts w:ascii="Palatino Linotype" w:hAnsi="Palatino Linotype"/>
              <w:sz w:val="22"/>
              <w:szCs w:val="22"/>
            </w:rPr>
            <w:t>A</w:t>
          </w:r>
          <w:r w:rsidRPr="00D97D8E">
            <w:rPr>
              <w:rFonts w:ascii="Palatino Linotype" w:hAnsi="Palatino Linotype"/>
              <w:sz w:val="22"/>
              <w:szCs w:val="22"/>
            </w:rPr>
            <w:t>cumulado</w:t>
          </w:r>
        </w:p>
      </w:tc>
    </w:tr>
    <w:tr w:rsidR="00B75387" w:rsidRPr="00025127" w14:paraId="1B5D8690" w14:textId="77777777" w:rsidTr="00FA0F09">
      <w:trPr>
        <w:trHeight w:val="233"/>
        <w:jc w:val="right"/>
      </w:trPr>
      <w:tc>
        <w:tcPr>
          <w:tcW w:w="3260" w:type="dxa"/>
          <w:vAlign w:val="center"/>
        </w:tcPr>
        <w:p w14:paraId="3903F2C6" w14:textId="22D569F8" w:rsidR="00B75387" w:rsidRPr="00025127" w:rsidRDefault="00B75387"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FFA06CD" w:rsidR="00B75387" w:rsidRPr="00D97D8E" w:rsidRDefault="00B75387" w:rsidP="003F2810">
          <w:pPr>
            <w:pStyle w:val="Encabezado"/>
            <w:jc w:val="both"/>
            <w:rPr>
              <w:rFonts w:ascii="Palatino Linotype" w:hAnsi="Palatino Linotype"/>
              <w:sz w:val="22"/>
              <w:szCs w:val="22"/>
            </w:rPr>
          </w:pPr>
          <w:r w:rsidRPr="00D97D8E">
            <w:rPr>
              <w:rFonts w:ascii="Palatino Linotype" w:hAnsi="Palatino Linotype" w:cs="Arial"/>
              <w:color w:val="000000" w:themeColor="text1"/>
              <w:sz w:val="22"/>
            </w:rPr>
            <w:t>Secretaría del Medio Ambiente</w:t>
          </w:r>
        </w:p>
      </w:tc>
    </w:tr>
    <w:tr w:rsidR="00B75387" w:rsidRPr="00025127" w14:paraId="095EB01B" w14:textId="77777777" w:rsidTr="00FA0F09">
      <w:trPr>
        <w:trHeight w:val="321"/>
        <w:jc w:val="right"/>
      </w:trPr>
      <w:tc>
        <w:tcPr>
          <w:tcW w:w="3260" w:type="dxa"/>
          <w:vAlign w:val="center"/>
        </w:tcPr>
        <w:p w14:paraId="6E000A51" w14:textId="05E1861A" w:rsidR="00B75387" w:rsidRPr="00025127" w:rsidRDefault="00B7538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75387" w:rsidRPr="00D97D8E" w:rsidRDefault="00B75387" w:rsidP="00472C41">
          <w:pPr>
            <w:pStyle w:val="Encabezado"/>
            <w:rPr>
              <w:rFonts w:ascii="Palatino Linotype" w:hAnsi="Palatino Linotype"/>
              <w:sz w:val="22"/>
              <w:szCs w:val="22"/>
            </w:rPr>
          </w:pPr>
          <w:r w:rsidRPr="00D97D8E">
            <w:rPr>
              <w:rFonts w:ascii="Palatino Linotype" w:hAnsi="Palatino Linotype"/>
              <w:sz w:val="22"/>
              <w:szCs w:val="22"/>
            </w:rPr>
            <w:t>María del Rosario Mejía Ayala</w:t>
          </w:r>
        </w:p>
      </w:tc>
    </w:tr>
  </w:tbl>
  <w:p w14:paraId="1096C1B8" w14:textId="2BA8EB40" w:rsidR="00B75387" w:rsidRDefault="00B75387"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p w14:paraId="1C9CCA6F" w14:textId="77777777" w:rsidR="00B75387" w:rsidRDefault="00B753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B75387" w:rsidRDefault="008217A7"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B7538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75387" w:rsidRPr="00D97D8E" w14:paraId="0A3256F2" w14:textId="77777777" w:rsidTr="006E6B65">
      <w:trPr>
        <w:trHeight w:val="138"/>
        <w:jc w:val="right"/>
      </w:trPr>
      <w:tc>
        <w:tcPr>
          <w:tcW w:w="3261" w:type="dxa"/>
          <w:vAlign w:val="center"/>
        </w:tcPr>
        <w:p w14:paraId="3D80769D" w14:textId="316F11F8" w:rsidR="00B75387" w:rsidRPr="00743FFA" w:rsidRDefault="00B75387"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41896180" w:rsidR="00B75387" w:rsidRPr="00D97D8E" w:rsidRDefault="00B75387" w:rsidP="001F62B0">
          <w:pPr>
            <w:pStyle w:val="Encabezado"/>
            <w:rPr>
              <w:rFonts w:ascii="Palatino Linotype" w:hAnsi="Palatino Linotype"/>
              <w:sz w:val="22"/>
              <w:szCs w:val="22"/>
            </w:rPr>
          </w:pPr>
          <w:r w:rsidRPr="00D97D8E">
            <w:rPr>
              <w:rFonts w:ascii="Palatino Linotype" w:eastAsia="Calibri" w:hAnsi="Palatino Linotype" w:cs="Arial"/>
              <w:sz w:val="22"/>
              <w:lang w:val="es-ES"/>
            </w:rPr>
            <w:t>13328</w:t>
          </w:r>
          <w:r w:rsidRPr="00D97D8E">
            <w:rPr>
              <w:rFonts w:ascii="Palatino Linotype" w:hAnsi="Palatino Linotype"/>
              <w:sz w:val="22"/>
              <w:szCs w:val="22"/>
            </w:rPr>
            <w:t>/INFOEM/IP/RR/202</w:t>
          </w:r>
          <w:r w:rsidR="00D97D8E">
            <w:rPr>
              <w:rFonts w:ascii="Palatino Linotype" w:hAnsi="Palatino Linotype"/>
              <w:sz w:val="22"/>
              <w:szCs w:val="22"/>
            </w:rPr>
            <w:t>2 y A</w:t>
          </w:r>
          <w:r w:rsidRPr="00D97D8E">
            <w:rPr>
              <w:rFonts w:ascii="Palatino Linotype" w:hAnsi="Palatino Linotype"/>
              <w:sz w:val="22"/>
              <w:szCs w:val="22"/>
            </w:rPr>
            <w:t>cumulados</w:t>
          </w:r>
        </w:p>
      </w:tc>
    </w:tr>
    <w:tr w:rsidR="00B75387" w:rsidRPr="00D97D8E" w14:paraId="128C8B3C" w14:textId="77777777" w:rsidTr="006E6B65">
      <w:trPr>
        <w:trHeight w:val="233"/>
        <w:jc w:val="right"/>
      </w:trPr>
      <w:tc>
        <w:tcPr>
          <w:tcW w:w="3261" w:type="dxa"/>
          <w:vAlign w:val="center"/>
        </w:tcPr>
        <w:p w14:paraId="483E3371" w14:textId="66B1BC74" w:rsidR="00B75387" w:rsidRPr="00743FFA" w:rsidRDefault="00B75387"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77DDE96E" w:rsidR="00B75387" w:rsidRPr="00D97D8E" w:rsidRDefault="007D19B7" w:rsidP="00736D6D">
          <w:pPr>
            <w:pStyle w:val="Encabezado"/>
            <w:ind w:right="-107"/>
            <w:rPr>
              <w:rFonts w:ascii="Palatino Linotype" w:hAnsi="Palatino Linotype"/>
              <w:sz w:val="22"/>
              <w:szCs w:val="22"/>
            </w:rPr>
          </w:pPr>
          <w:r>
            <w:rPr>
              <w:rFonts w:ascii="Palatino Linotype" w:hAnsi="Palatino Linotype"/>
              <w:sz w:val="22"/>
              <w:szCs w:val="22"/>
            </w:rPr>
            <w:t>XXX XXX</w:t>
          </w:r>
        </w:p>
      </w:tc>
    </w:tr>
    <w:tr w:rsidR="00B75387" w:rsidRPr="00D97D8E" w14:paraId="41BE0704" w14:textId="77777777" w:rsidTr="006E6B65">
      <w:trPr>
        <w:trHeight w:val="321"/>
        <w:jc w:val="right"/>
      </w:trPr>
      <w:tc>
        <w:tcPr>
          <w:tcW w:w="3261" w:type="dxa"/>
          <w:vAlign w:val="center"/>
        </w:tcPr>
        <w:p w14:paraId="34C64148" w14:textId="10C6C8A9" w:rsidR="00B75387" w:rsidRPr="00743FFA" w:rsidRDefault="00B75387"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3A2E9F37" w:rsidR="00B75387" w:rsidRPr="00D97D8E" w:rsidRDefault="00B75387" w:rsidP="001F62B0">
          <w:pPr>
            <w:pStyle w:val="Encabezado"/>
            <w:jc w:val="both"/>
            <w:rPr>
              <w:rFonts w:ascii="Palatino Linotype" w:hAnsi="Palatino Linotype"/>
              <w:sz w:val="22"/>
              <w:szCs w:val="22"/>
            </w:rPr>
          </w:pPr>
          <w:r w:rsidRPr="00D97D8E">
            <w:rPr>
              <w:rFonts w:ascii="Palatino Linotype" w:hAnsi="Palatino Linotype" w:cs="Arial"/>
              <w:color w:val="000000" w:themeColor="text1"/>
              <w:sz w:val="22"/>
            </w:rPr>
            <w:t>Secretaría del Medio Ambiente</w:t>
          </w:r>
        </w:p>
      </w:tc>
    </w:tr>
    <w:tr w:rsidR="00B75387" w:rsidRPr="00D97D8E" w14:paraId="0C8B6193" w14:textId="77777777" w:rsidTr="006E6B65">
      <w:trPr>
        <w:trHeight w:val="321"/>
        <w:jc w:val="right"/>
      </w:trPr>
      <w:tc>
        <w:tcPr>
          <w:tcW w:w="3261" w:type="dxa"/>
          <w:vAlign w:val="center"/>
        </w:tcPr>
        <w:p w14:paraId="321FFAFF" w14:textId="0E8C2CE7" w:rsidR="00B75387" w:rsidRPr="00743FFA" w:rsidRDefault="00B75387"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B75387" w:rsidRPr="00D97D8E" w:rsidRDefault="00B75387" w:rsidP="00B44F9F">
          <w:pPr>
            <w:pStyle w:val="Encabezado"/>
            <w:ind w:left="33"/>
            <w:rPr>
              <w:rFonts w:ascii="Palatino Linotype" w:hAnsi="Palatino Linotype"/>
              <w:sz w:val="22"/>
              <w:szCs w:val="22"/>
            </w:rPr>
          </w:pPr>
          <w:r w:rsidRPr="00D97D8E">
            <w:rPr>
              <w:rFonts w:ascii="Palatino Linotype" w:hAnsi="Palatino Linotype"/>
              <w:sz w:val="22"/>
              <w:szCs w:val="22"/>
            </w:rPr>
            <w:t>María del Rosario Mejía Ayala</w:t>
          </w:r>
        </w:p>
      </w:tc>
    </w:tr>
  </w:tbl>
  <w:p w14:paraId="156B5574" w14:textId="3EA5B995" w:rsidR="00B75387" w:rsidRDefault="00B75387" w:rsidP="00472C41">
    <w:pPr>
      <w:pStyle w:val="Encabezado"/>
      <w:tabs>
        <w:tab w:val="clear" w:pos="4252"/>
        <w:tab w:val="clear" w:pos="8504"/>
        <w:tab w:val="left" w:pos="3103"/>
      </w:tabs>
    </w:pPr>
  </w:p>
  <w:p w14:paraId="44236E57" w14:textId="77777777" w:rsidR="00B75387" w:rsidRDefault="00B753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131486"/>
    <w:multiLevelType w:val="hybridMultilevel"/>
    <w:tmpl w:val="BA5E2F40"/>
    <w:lvl w:ilvl="0" w:tplc="92B82F92">
      <w:start w:val="1"/>
      <w:numFmt w:val="upperRoman"/>
      <w:lvlText w:val="%1."/>
      <w:lvlJc w:val="left"/>
      <w:pPr>
        <w:ind w:left="1080" w:hanging="720"/>
      </w:pPr>
      <w:rPr>
        <w:rFonts w:hint="default"/>
      </w:rPr>
    </w:lvl>
    <w:lvl w:ilvl="1" w:tplc="2F005A4C">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63FF5"/>
    <w:multiLevelType w:val="hybridMultilevel"/>
    <w:tmpl w:val="9710D17C"/>
    <w:lvl w:ilvl="0" w:tplc="30D84C38">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6C3163"/>
    <w:multiLevelType w:val="hybridMultilevel"/>
    <w:tmpl w:val="67A20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177527"/>
    <w:multiLevelType w:val="hybridMultilevel"/>
    <w:tmpl w:val="563A6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FA0554"/>
    <w:multiLevelType w:val="hybridMultilevel"/>
    <w:tmpl w:val="C8DE9EEC"/>
    <w:lvl w:ilvl="0" w:tplc="4EAEC67A">
      <w:start w:val="9"/>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3313ED6"/>
    <w:multiLevelType w:val="hybridMultilevel"/>
    <w:tmpl w:val="894A5AE2"/>
    <w:lvl w:ilvl="0" w:tplc="3CF84C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EE4AEB"/>
    <w:multiLevelType w:val="hybridMultilevel"/>
    <w:tmpl w:val="D0B449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124DB8"/>
    <w:multiLevelType w:val="hybridMultilevel"/>
    <w:tmpl w:val="DFF2E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3B0D2EB3"/>
    <w:multiLevelType w:val="hybridMultilevel"/>
    <w:tmpl w:val="A378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4"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5F43D2"/>
    <w:multiLevelType w:val="hybridMultilevel"/>
    <w:tmpl w:val="2280F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52A53BE1"/>
    <w:multiLevelType w:val="hybridMultilevel"/>
    <w:tmpl w:val="C5A4A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87378C3"/>
    <w:multiLevelType w:val="hybridMultilevel"/>
    <w:tmpl w:val="3D86D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B516F2"/>
    <w:multiLevelType w:val="hybridMultilevel"/>
    <w:tmpl w:val="57CEE782"/>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5"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1C78A5"/>
    <w:multiLevelType w:val="hybridMultilevel"/>
    <w:tmpl w:val="BDBC52D6"/>
    <w:lvl w:ilvl="0" w:tplc="550881A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72880CF3"/>
    <w:multiLevelType w:val="hybridMultilevel"/>
    <w:tmpl w:val="A5D68BC4"/>
    <w:lvl w:ilvl="0" w:tplc="80A4A6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EF5EBF"/>
    <w:multiLevelType w:val="hybridMultilevel"/>
    <w:tmpl w:val="1C182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3"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44" w15:restartNumberingAfterBreak="0">
    <w:nsid w:val="78D022B6"/>
    <w:multiLevelType w:val="hybridMultilevel"/>
    <w:tmpl w:val="8B7A418E"/>
    <w:lvl w:ilvl="0" w:tplc="7C16F7A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15:restartNumberingAfterBreak="0">
    <w:nsid w:val="7BBC2C8A"/>
    <w:multiLevelType w:val="hybridMultilevel"/>
    <w:tmpl w:val="CB865AD4"/>
    <w:lvl w:ilvl="0" w:tplc="B4E415D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8"/>
  </w:num>
  <w:num w:numId="2">
    <w:abstractNumId w:val="28"/>
  </w:num>
  <w:num w:numId="3">
    <w:abstractNumId w:val="0"/>
  </w:num>
  <w:num w:numId="4">
    <w:abstractNumId w:val="18"/>
  </w:num>
  <w:num w:numId="5">
    <w:abstractNumId w:val="7"/>
  </w:num>
  <w:num w:numId="6">
    <w:abstractNumId w:val="22"/>
  </w:num>
  <w:num w:numId="7">
    <w:abstractNumId w:val="35"/>
  </w:num>
  <w:num w:numId="8">
    <w:abstractNumId w:val="19"/>
  </w:num>
  <w:num w:numId="9">
    <w:abstractNumId w:val="34"/>
  </w:num>
  <w:num w:numId="10">
    <w:abstractNumId w:val="41"/>
  </w:num>
  <w:num w:numId="11">
    <w:abstractNumId w:val="31"/>
  </w:num>
  <w:num w:numId="12">
    <w:abstractNumId w:val="42"/>
  </w:num>
  <w:num w:numId="13">
    <w:abstractNumId w:val="25"/>
  </w:num>
  <w:num w:numId="14">
    <w:abstractNumId w:val="10"/>
  </w:num>
  <w:num w:numId="15">
    <w:abstractNumId w:val="23"/>
  </w:num>
  <w:num w:numId="16">
    <w:abstractNumId w:val="8"/>
  </w:num>
  <w:num w:numId="17">
    <w:abstractNumId w:val="37"/>
  </w:num>
  <w:num w:numId="18">
    <w:abstractNumId w:val="27"/>
  </w:num>
  <w:num w:numId="19">
    <w:abstractNumId w:val="15"/>
  </w:num>
  <w:num w:numId="20">
    <w:abstractNumId w:val="16"/>
  </w:num>
  <w:num w:numId="21">
    <w:abstractNumId w:val="18"/>
  </w:num>
  <w:num w:numId="22">
    <w:abstractNumId w:val="11"/>
  </w:num>
  <w:num w:numId="23">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3"/>
  </w:num>
  <w:num w:numId="26">
    <w:abstractNumId w:val="24"/>
  </w:num>
  <w:num w:numId="27">
    <w:abstractNumId w:val="32"/>
  </w:num>
  <w:num w:numId="28">
    <w:abstractNumId w:val="40"/>
  </w:num>
  <w:num w:numId="29">
    <w:abstractNumId w:val="3"/>
  </w:num>
  <w:num w:numId="30">
    <w:abstractNumId w:val="36"/>
  </w:num>
  <w:num w:numId="31">
    <w:abstractNumId w:val="38"/>
  </w:num>
  <w:num w:numId="32">
    <w:abstractNumId w:val="9"/>
  </w:num>
  <w:num w:numId="33">
    <w:abstractNumId w:val="13"/>
  </w:num>
  <w:num w:numId="34">
    <w:abstractNumId w:val="1"/>
  </w:num>
  <w:num w:numId="35">
    <w:abstractNumId w:val="17"/>
  </w:num>
  <w:num w:numId="36">
    <w:abstractNumId w:val="6"/>
  </w:num>
  <w:num w:numId="37">
    <w:abstractNumId w:val="26"/>
  </w:num>
  <w:num w:numId="38">
    <w:abstractNumId w:val="2"/>
  </w:num>
  <w:num w:numId="39">
    <w:abstractNumId w:val="30"/>
  </w:num>
  <w:num w:numId="40">
    <w:abstractNumId w:val="4"/>
  </w:num>
  <w:num w:numId="41">
    <w:abstractNumId w:val="39"/>
  </w:num>
  <w:num w:numId="42">
    <w:abstractNumId w:val="29"/>
  </w:num>
  <w:num w:numId="43">
    <w:abstractNumId w:val="14"/>
  </w:num>
  <w:num w:numId="44">
    <w:abstractNumId w:val="21"/>
  </w:num>
  <w:num w:numId="45">
    <w:abstractNumId w:val="20"/>
  </w:num>
  <w:num w:numId="46">
    <w:abstractNumId w:val="45"/>
  </w:num>
  <w:num w:numId="47">
    <w:abstractNumId w:val="44"/>
  </w:num>
  <w:num w:numId="48">
    <w:abstractNumId w:val="33"/>
  </w:num>
  <w:num w:numId="49">
    <w:abstractNumId w:val="46"/>
  </w:num>
  <w:num w:numId="5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62C3"/>
    <w:rsid w:val="00016603"/>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341CB"/>
    <w:rsid w:val="0004072A"/>
    <w:rsid w:val="0004193F"/>
    <w:rsid w:val="00041DCC"/>
    <w:rsid w:val="00042380"/>
    <w:rsid w:val="00044DB9"/>
    <w:rsid w:val="0004686A"/>
    <w:rsid w:val="000468E2"/>
    <w:rsid w:val="00046CEE"/>
    <w:rsid w:val="000478BA"/>
    <w:rsid w:val="0005081C"/>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1169"/>
    <w:rsid w:val="0008230A"/>
    <w:rsid w:val="00082D11"/>
    <w:rsid w:val="00082E28"/>
    <w:rsid w:val="000834FE"/>
    <w:rsid w:val="0008465D"/>
    <w:rsid w:val="00084E31"/>
    <w:rsid w:val="0008542A"/>
    <w:rsid w:val="00086AD0"/>
    <w:rsid w:val="00087CFE"/>
    <w:rsid w:val="00090D6F"/>
    <w:rsid w:val="00091221"/>
    <w:rsid w:val="00091C2C"/>
    <w:rsid w:val="00091F3E"/>
    <w:rsid w:val="000921BF"/>
    <w:rsid w:val="00092253"/>
    <w:rsid w:val="000929FF"/>
    <w:rsid w:val="00093FB4"/>
    <w:rsid w:val="00093FC7"/>
    <w:rsid w:val="000953E2"/>
    <w:rsid w:val="00095BB9"/>
    <w:rsid w:val="0009663D"/>
    <w:rsid w:val="000A0A85"/>
    <w:rsid w:val="000A26B8"/>
    <w:rsid w:val="000A2D61"/>
    <w:rsid w:val="000A371F"/>
    <w:rsid w:val="000A3F90"/>
    <w:rsid w:val="000A4554"/>
    <w:rsid w:val="000A45FD"/>
    <w:rsid w:val="000A4E44"/>
    <w:rsid w:val="000A556A"/>
    <w:rsid w:val="000A6696"/>
    <w:rsid w:val="000A76EC"/>
    <w:rsid w:val="000A77ED"/>
    <w:rsid w:val="000A7BFC"/>
    <w:rsid w:val="000B020C"/>
    <w:rsid w:val="000B0370"/>
    <w:rsid w:val="000B0ACA"/>
    <w:rsid w:val="000B5AB1"/>
    <w:rsid w:val="000B5D79"/>
    <w:rsid w:val="000B6D31"/>
    <w:rsid w:val="000B750B"/>
    <w:rsid w:val="000B79B1"/>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D2"/>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6DA"/>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97B34"/>
    <w:rsid w:val="001A032D"/>
    <w:rsid w:val="001A0C28"/>
    <w:rsid w:val="001A138D"/>
    <w:rsid w:val="001A2857"/>
    <w:rsid w:val="001A2A89"/>
    <w:rsid w:val="001A2C62"/>
    <w:rsid w:val="001A3634"/>
    <w:rsid w:val="001A41D0"/>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62B0"/>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20A"/>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37E5A"/>
    <w:rsid w:val="002408D7"/>
    <w:rsid w:val="002426EA"/>
    <w:rsid w:val="00244458"/>
    <w:rsid w:val="00244476"/>
    <w:rsid w:val="00244D58"/>
    <w:rsid w:val="00245797"/>
    <w:rsid w:val="002457CF"/>
    <w:rsid w:val="00250126"/>
    <w:rsid w:val="002507D8"/>
    <w:rsid w:val="00252A20"/>
    <w:rsid w:val="00252B41"/>
    <w:rsid w:val="00254362"/>
    <w:rsid w:val="0025524F"/>
    <w:rsid w:val="00256E0B"/>
    <w:rsid w:val="00257E5F"/>
    <w:rsid w:val="00260C1D"/>
    <w:rsid w:val="00261001"/>
    <w:rsid w:val="002610BD"/>
    <w:rsid w:val="002610D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40"/>
    <w:rsid w:val="00274ED2"/>
    <w:rsid w:val="0027504E"/>
    <w:rsid w:val="00275260"/>
    <w:rsid w:val="002765F2"/>
    <w:rsid w:val="00277A35"/>
    <w:rsid w:val="00280994"/>
    <w:rsid w:val="00280E3F"/>
    <w:rsid w:val="00280F05"/>
    <w:rsid w:val="00281DE0"/>
    <w:rsid w:val="0028248C"/>
    <w:rsid w:val="002826FF"/>
    <w:rsid w:val="00285BA4"/>
    <w:rsid w:val="00286DDB"/>
    <w:rsid w:val="002871EB"/>
    <w:rsid w:val="002918C3"/>
    <w:rsid w:val="00293711"/>
    <w:rsid w:val="002948C4"/>
    <w:rsid w:val="00294B11"/>
    <w:rsid w:val="002977BE"/>
    <w:rsid w:val="00297E45"/>
    <w:rsid w:val="002A2099"/>
    <w:rsid w:val="002A20E7"/>
    <w:rsid w:val="002A222E"/>
    <w:rsid w:val="002A229B"/>
    <w:rsid w:val="002A29B8"/>
    <w:rsid w:val="002A35B6"/>
    <w:rsid w:val="002A4172"/>
    <w:rsid w:val="002A43A4"/>
    <w:rsid w:val="002A4516"/>
    <w:rsid w:val="002A54DE"/>
    <w:rsid w:val="002A6959"/>
    <w:rsid w:val="002A7A1C"/>
    <w:rsid w:val="002A7DEF"/>
    <w:rsid w:val="002A7FAB"/>
    <w:rsid w:val="002B085C"/>
    <w:rsid w:val="002B1AE9"/>
    <w:rsid w:val="002B2278"/>
    <w:rsid w:val="002B284F"/>
    <w:rsid w:val="002B2A2E"/>
    <w:rsid w:val="002B2F59"/>
    <w:rsid w:val="002B309C"/>
    <w:rsid w:val="002B4D21"/>
    <w:rsid w:val="002B6B2C"/>
    <w:rsid w:val="002B7A58"/>
    <w:rsid w:val="002C0074"/>
    <w:rsid w:val="002C0159"/>
    <w:rsid w:val="002C0804"/>
    <w:rsid w:val="002C0DC5"/>
    <w:rsid w:val="002C1007"/>
    <w:rsid w:val="002C2460"/>
    <w:rsid w:val="002C2D44"/>
    <w:rsid w:val="002C4715"/>
    <w:rsid w:val="002C4780"/>
    <w:rsid w:val="002C47ED"/>
    <w:rsid w:val="002C484A"/>
    <w:rsid w:val="002C4DBD"/>
    <w:rsid w:val="002C543B"/>
    <w:rsid w:val="002C570D"/>
    <w:rsid w:val="002C6561"/>
    <w:rsid w:val="002C6DB3"/>
    <w:rsid w:val="002D0E3D"/>
    <w:rsid w:val="002D0FD5"/>
    <w:rsid w:val="002D10C8"/>
    <w:rsid w:val="002D147E"/>
    <w:rsid w:val="002D1A38"/>
    <w:rsid w:val="002D1A9E"/>
    <w:rsid w:val="002D1AA7"/>
    <w:rsid w:val="002D1EBB"/>
    <w:rsid w:val="002D28CB"/>
    <w:rsid w:val="002D2E16"/>
    <w:rsid w:val="002D356E"/>
    <w:rsid w:val="002D35AE"/>
    <w:rsid w:val="002D373C"/>
    <w:rsid w:val="002D65BC"/>
    <w:rsid w:val="002D6CF5"/>
    <w:rsid w:val="002D7079"/>
    <w:rsid w:val="002E0259"/>
    <w:rsid w:val="002E126F"/>
    <w:rsid w:val="002E160F"/>
    <w:rsid w:val="002E191E"/>
    <w:rsid w:val="002E1C05"/>
    <w:rsid w:val="002E2FCB"/>
    <w:rsid w:val="002E3FAE"/>
    <w:rsid w:val="002E482C"/>
    <w:rsid w:val="002E5399"/>
    <w:rsid w:val="002E5A0B"/>
    <w:rsid w:val="002E5C0D"/>
    <w:rsid w:val="002E6295"/>
    <w:rsid w:val="002E6531"/>
    <w:rsid w:val="002E66CA"/>
    <w:rsid w:val="002E689B"/>
    <w:rsid w:val="002E6B5A"/>
    <w:rsid w:val="002E6CFE"/>
    <w:rsid w:val="002E6D27"/>
    <w:rsid w:val="002E74CE"/>
    <w:rsid w:val="002E76FD"/>
    <w:rsid w:val="002E77D0"/>
    <w:rsid w:val="002E7AD0"/>
    <w:rsid w:val="002F0AA9"/>
    <w:rsid w:val="002F0EDC"/>
    <w:rsid w:val="002F1781"/>
    <w:rsid w:val="002F1871"/>
    <w:rsid w:val="002F3672"/>
    <w:rsid w:val="002F37C1"/>
    <w:rsid w:val="002F478D"/>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7B8"/>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B6"/>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37EDC"/>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4DAC"/>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084"/>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3E96"/>
    <w:rsid w:val="003A40C9"/>
    <w:rsid w:val="003A4320"/>
    <w:rsid w:val="003A6080"/>
    <w:rsid w:val="003A6417"/>
    <w:rsid w:val="003A65FE"/>
    <w:rsid w:val="003A6A5A"/>
    <w:rsid w:val="003A7221"/>
    <w:rsid w:val="003A730E"/>
    <w:rsid w:val="003B08F5"/>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810"/>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62CB"/>
    <w:rsid w:val="004078C8"/>
    <w:rsid w:val="004102DE"/>
    <w:rsid w:val="00412696"/>
    <w:rsid w:val="00412E24"/>
    <w:rsid w:val="004130AB"/>
    <w:rsid w:val="00413D35"/>
    <w:rsid w:val="004147B1"/>
    <w:rsid w:val="0041537B"/>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49"/>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5E0B"/>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A7CCE"/>
    <w:rsid w:val="004B05A5"/>
    <w:rsid w:val="004B0EB6"/>
    <w:rsid w:val="004B176B"/>
    <w:rsid w:val="004B293C"/>
    <w:rsid w:val="004B2A69"/>
    <w:rsid w:val="004B2CE4"/>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59F1"/>
    <w:rsid w:val="004F663C"/>
    <w:rsid w:val="004F766F"/>
    <w:rsid w:val="004F785F"/>
    <w:rsid w:val="004F78B7"/>
    <w:rsid w:val="004F7944"/>
    <w:rsid w:val="00500224"/>
    <w:rsid w:val="00501073"/>
    <w:rsid w:val="00501B93"/>
    <w:rsid w:val="005029D4"/>
    <w:rsid w:val="005041C2"/>
    <w:rsid w:val="00504A4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6A4D"/>
    <w:rsid w:val="00527495"/>
    <w:rsid w:val="00527E7A"/>
    <w:rsid w:val="00531594"/>
    <w:rsid w:val="00534A71"/>
    <w:rsid w:val="00534DA2"/>
    <w:rsid w:val="00537E2C"/>
    <w:rsid w:val="00540208"/>
    <w:rsid w:val="0054098C"/>
    <w:rsid w:val="00542797"/>
    <w:rsid w:val="00542B3A"/>
    <w:rsid w:val="00542F60"/>
    <w:rsid w:val="00544ADC"/>
    <w:rsid w:val="00544B9C"/>
    <w:rsid w:val="00544E13"/>
    <w:rsid w:val="00544EC9"/>
    <w:rsid w:val="00545B93"/>
    <w:rsid w:val="00546FBD"/>
    <w:rsid w:val="00547349"/>
    <w:rsid w:val="00547377"/>
    <w:rsid w:val="00550AD3"/>
    <w:rsid w:val="0055159A"/>
    <w:rsid w:val="005516E0"/>
    <w:rsid w:val="00551A9B"/>
    <w:rsid w:val="005520BF"/>
    <w:rsid w:val="00552213"/>
    <w:rsid w:val="0055252F"/>
    <w:rsid w:val="005526F4"/>
    <w:rsid w:val="0055407C"/>
    <w:rsid w:val="00554D65"/>
    <w:rsid w:val="0055544F"/>
    <w:rsid w:val="00555A48"/>
    <w:rsid w:val="00556A93"/>
    <w:rsid w:val="00556B04"/>
    <w:rsid w:val="00556F72"/>
    <w:rsid w:val="00556F82"/>
    <w:rsid w:val="00557EDF"/>
    <w:rsid w:val="00560C00"/>
    <w:rsid w:val="00561ED1"/>
    <w:rsid w:val="00562B0A"/>
    <w:rsid w:val="00562CCE"/>
    <w:rsid w:val="00562E2B"/>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29C"/>
    <w:rsid w:val="00590892"/>
    <w:rsid w:val="00590EF2"/>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6AEB"/>
    <w:rsid w:val="005A786F"/>
    <w:rsid w:val="005B0765"/>
    <w:rsid w:val="005B13E4"/>
    <w:rsid w:val="005B169C"/>
    <w:rsid w:val="005B2DD1"/>
    <w:rsid w:val="005B3A49"/>
    <w:rsid w:val="005B42D8"/>
    <w:rsid w:val="005B6ADF"/>
    <w:rsid w:val="005B773D"/>
    <w:rsid w:val="005B77C2"/>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C43"/>
    <w:rsid w:val="005F0E6C"/>
    <w:rsid w:val="005F1362"/>
    <w:rsid w:val="005F1655"/>
    <w:rsid w:val="005F1BAD"/>
    <w:rsid w:val="005F235E"/>
    <w:rsid w:val="005F29F1"/>
    <w:rsid w:val="005F36DB"/>
    <w:rsid w:val="005F396F"/>
    <w:rsid w:val="005F487C"/>
    <w:rsid w:val="005F53A4"/>
    <w:rsid w:val="005F5FE1"/>
    <w:rsid w:val="005F62B2"/>
    <w:rsid w:val="005F6B71"/>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272"/>
    <w:rsid w:val="00622B06"/>
    <w:rsid w:val="00624425"/>
    <w:rsid w:val="00625136"/>
    <w:rsid w:val="006257C2"/>
    <w:rsid w:val="00625B2B"/>
    <w:rsid w:val="00626056"/>
    <w:rsid w:val="00627163"/>
    <w:rsid w:val="0063034E"/>
    <w:rsid w:val="00631C43"/>
    <w:rsid w:val="00632D28"/>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0A92"/>
    <w:rsid w:val="00662C69"/>
    <w:rsid w:val="006633C0"/>
    <w:rsid w:val="00663470"/>
    <w:rsid w:val="00663CC7"/>
    <w:rsid w:val="00663F82"/>
    <w:rsid w:val="0066458B"/>
    <w:rsid w:val="006646C6"/>
    <w:rsid w:val="00664805"/>
    <w:rsid w:val="00664FB5"/>
    <w:rsid w:val="006656FD"/>
    <w:rsid w:val="006674A0"/>
    <w:rsid w:val="0067174C"/>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6DC"/>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0B97"/>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E85"/>
    <w:rsid w:val="006C0F87"/>
    <w:rsid w:val="006C1BCA"/>
    <w:rsid w:val="006C26B3"/>
    <w:rsid w:val="006C2FEE"/>
    <w:rsid w:val="006C339C"/>
    <w:rsid w:val="006C50B1"/>
    <w:rsid w:val="006C50C2"/>
    <w:rsid w:val="006C563A"/>
    <w:rsid w:val="006C5798"/>
    <w:rsid w:val="006C6C8C"/>
    <w:rsid w:val="006C6E1A"/>
    <w:rsid w:val="006D24C4"/>
    <w:rsid w:val="006D27EF"/>
    <w:rsid w:val="006D425C"/>
    <w:rsid w:val="006D52D1"/>
    <w:rsid w:val="006D5F9D"/>
    <w:rsid w:val="006D6C17"/>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077E1"/>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D6D"/>
    <w:rsid w:val="00736F44"/>
    <w:rsid w:val="007374F9"/>
    <w:rsid w:val="00737E75"/>
    <w:rsid w:val="00740BA4"/>
    <w:rsid w:val="00742486"/>
    <w:rsid w:val="00743FFA"/>
    <w:rsid w:val="0074433B"/>
    <w:rsid w:val="007446C2"/>
    <w:rsid w:val="0074573F"/>
    <w:rsid w:val="00745A57"/>
    <w:rsid w:val="0074628D"/>
    <w:rsid w:val="007469DE"/>
    <w:rsid w:val="007471EF"/>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08CB"/>
    <w:rsid w:val="007820F2"/>
    <w:rsid w:val="0078249C"/>
    <w:rsid w:val="0078254B"/>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3DF1"/>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63A"/>
    <w:rsid w:val="007C0CBC"/>
    <w:rsid w:val="007C255D"/>
    <w:rsid w:val="007C37D2"/>
    <w:rsid w:val="007C3985"/>
    <w:rsid w:val="007C48DB"/>
    <w:rsid w:val="007C5B45"/>
    <w:rsid w:val="007C6110"/>
    <w:rsid w:val="007C6AE2"/>
    <w:rsid w:val="007C7154"/>
    <w:rsid w:val="007D0C01"/>
    <w:rsid w:val="007D0CA5"/>
    <w:rsid w:val="007D19B7"/>
    <w:rsid w:val="007D26D2"/>
    <w:rsid w:val="007D2922"/>
    <w:rsid w:val="007D2DBC"/>
    <w:rsid w:val="007D36A7"/>
    <w:rsid w:val="007D3FBD"/>
    <w:rsid w:val="007D49A0"/>
    <w:rsid w:val="007D586E"/>
    <w:rsid w:val="007D74D9"/>
    <w:rsid w:val="007D7CA5"/>
    <w:rsid w:val="007D7EF3"/>
    <w:rsid w:val="007E0553"/>
    <w:rsid w:val="007E0C6A"/>
    <w:rsid w:val="007E13D1"/>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17A7"/>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3C5"/>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70D"/>
    <w:rsid w:val="00860A1E"/>
    <w:rsid w:val="0086119E"/>
    <w:rsid w:val="00861622"/>
    <w:rsid w:val="00861A41"/>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C3"/>
    <w:rsid w:val="00882FEA"/>
    <w:rsid w:val="0088320F"/>
    <w:rsid w:val="00883450"/>
    <w:rsid w:val="0088398C"/>
    <w:rsid w:val="00885A71"/>
    <w:rsid w:val="00885C6E"/>
    <w:rsid w:val="00886776"/>
    <w:rsid w:val="00886AF2"/>
    <w:rsid w:val="0088743F"/>
    <w:rsid w:val="0088798B"/>
    <w:rsid w:val="0089067B"/>
    <w:rsid w:val="00890700"/>
    <w:rsid w:val="00891D7C"/>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0B8"/>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6F9A"/>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12B"/>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4F9E"/>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3A3"/>
    <w:rsid w:val="009868A1"/>
    <w:rsid w:val="00990EE2"/>
    <w:rsid w:val="009916D2"/>
    <w:rsid w:val="009917E9"/>
    <w:rsid w:val="009918B3"/>
    <w:rsid w:val="009918B7"/>
    <w:rsid w:val="009918C6"/>
    <w:rsid w:val="0099229C"/>
    <w:rsid w:val="0099326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D7223"/>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71A"/>
    <w:rsid w:val="00A40951"/>
    <w:rsid w:val="00A42161"/>
    <w:rsid w:val="00A42475"/>
    <w:rsid w:val="00A42869"/>
    <w:rsid w:val="00A4351E"/>
    <w:rsid w:val="00A4379F"/>
    <w:rsid w:val="00A4434D"/>
    <w:rsid w:val="00A44C1A"/>
    <w:rsid w:val="00A45039"/>
    <w:rsid w:val="00A454E0"/>
    <w:rsid w:val="00A454E6"/>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6B9"/>
    <w:rsid w:val="00A66AE9"/>
    <w:rsid w:val="00A67428"/>
    <w:rsid w:val="00A70C6A"/>
    <w:rsid w:val="00A70CF3"/>
    <w:rsid w:val="00A7155E"/>
    <w:rsid w:val="00A73C34"/>
    <w:rsid w:val="00A74E17"/>
    <w:rsid w:val="00A74EDE"/>
    <w:rsid w:val="00A763AE"/>
    <w:rsid w:val="00A76619"/>
    <w:rsid w:val="00A766D5"/>
    <w:rsid w:val="00A766FE"/>
    <w:rsid w:val="00A76B0D"/>
    <w:rsid w:val="00A76BED"/>
    <w:rsid w:val="00A77F48"/>
    <w:rsid w:val="00A80223"/>
    <w:rsid w:val="00A8037C"/>
    <w:rsid w:val="00A816EE"/>
    <w:rsid w:val="00A81AB5"/>
    <w:rsid w:val="00A82724"/>
    <w:rsid w:val="00A82C5A"/>
    <w:rsid w:val="00A837E2"/>
    <w:rsid w:val="00A83DDE"/>
    <w:rsid w:val="00A83FF6"/>
    <w:rsid w:val="00A84120"/>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4C6"/>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2C87"/>
    <w:rsid w:val="00B04E10"/>
    <w:rsid w:val="00B055B9"/>
    <w:rsid w:val="00B06C7E"/>
    <w:rsid w:val="00B113F9"/>
    <w:rsid w:val="00B13243"/>
    <w:rsid w:val="00B13511"/>
    <w:rsid w:val="00B13D85"/>
    <w:rsid w:val="00B154C4"/>
    <w:rsid w:val="00B16296"/>
    <w:rsid w:val="00B16954"/>
    <w:rsid w:val="00B16CC7"/>
    <w:rsid w:val="00B17748"/>
    <w:rsid w:val="00B1786A"/>
    <w:rsid w:val="00B206D6"/>
    <w:rsid w:val="00B206D8"/>
    <w:rsid w:val="00B20C75"/>
    <w:rsid w:val="00B2215F"/>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7BC"/>
    <w:rsid w:val="00B67B71"/>
    <w:rsid w:val="00B71F08"/>
    <w:rsid w:val="00B73838"/>
    <w:rsid w:val="00B7421A"/>
    <w:rsid w:val="00B74366"/>
    <w:rsid w:val="00B75387"/>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33A7"/>
    <w:rsid w:val="00BA4F66"/>
    <w:rsid w:val="00BA54A2"/>
    <w:rsid w:val="00BA619F"/>
    <w:rsid w:val="00BA6D15"/>
    <w:rsid w:val="00BA7079"/>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165B"/>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6DBF"/>
    <w:rsid w:val="00C274FD"/>
    <w:rsid w:val="00C2753C"/>
    <w:rsid w:val="00C275CF"/>
    <w:rsid w:val="00C27ABF"/>
    <w:rsid w:val="00C3086E"/>
    <w:rsid w:val="00C3133F"/>
    <w:rsid w:val="00C315FB"/>
    <w:rsid w:val="00C31713"/>
    <w:rsid w:val="00C317BD"/>
    <w:rsid w:val="00C31862"/>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6533"/>
    <w:rsid w:val="00C4712A"/>
    <w:rsid w:val="00C47468"/>
    <w:rsid w:val="00C47CDC"/>
    <w:rsid w:val="00C47E36"/>
    <w:rsid w:val="00C50570"/>
    <w:rsid w:val="00C50A2B"/>
    <w:rsid w:val="00C51671"/>
    <w:rsid w:val="00C51673"/>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E4B"/>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2DD4"/>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5E5E"/>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C734D"/>
    <w:rsid w:val="00CD16D8"/>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472"/>
    <w:rsid w:val="00D02F72"/>
    <w:rsid w:val="00D030AB"/>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06F"/>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5462C"/>
    <w:rsid w:val="00D54740"/>
    <w:rsid w:val="00D60582"/>
    <w:rsid w:val="00D61222"/>
    <w:rsid w:val="00D63800"/>
    <w:rsid w:val="00D63990"/>
    <w:rsid w:val="00D64226"/>
    <w:rsid w:val="00D65068"/>
    <w:rsid w:val="00D65243"/>
    <w:rsid w:val="00D658A1"/>
    <w:rsid w:val="00D65BBD"/>
    <w:rsid w:val="00D66DC3"/>
    <w:rsid w:val="00D67E99"/>
    <w:rsid w:val="00D71057"/>
    <w:rsid w:val="00D71DEF"/>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217"/>
    <w:rsid w:val="00D963CC"/>
    <w:rsid w:val="00D97D8E"/>
    <w:rsid w:val="00DA0168"/>
    <w:rsid w:val="00DA1630"/>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B4C"/>
    <w:rsid w:val="00E32BCD"/>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884"/>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67434"/>
    <w:rsid w:val="00E7041F"/>
    <w:rsid w:val="00E7063D"/>
    <w:rsid w:val="00E71329"/>
    <w:rsid w:val="00E71633"/>
    <w:rsid w:val="00E7206F"/>
    <w:rsid w:val="00E7218C"/>
    <w:rsid w:val="00E72689"/>
    <w:rsid w:val="00E72894"/>
    <w:rsid w:val="00E730AA"/>
    <w:rsid w:val="00E74B41"/>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A7B1A"/>
    <w:rsid w:val="00EB02F9"/>
    <w:rsid w:val="00EB0C63"/>
    <w:rsid w:val="00EB0DF0"/>
    <w:rsid w:val="00EB1A2C"/>
    <w:rsid w:val="00EB1D4C"/>
    <w:rsid w:val="00EB1DDA"/>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0229"/>
    <w:rsid w:val="00ED07A7"/>
    <w:rsid w:val="00ED2270"/>
    <w:rsid w:val="00ED2AB9"/>
    <w:rsid w:val="00ED3818"/>
    <w:rsid w:val="00ED3B1D"/>
    <w:rsid w:val="00ED512E"/>
    <w:rsid w:val="00ED7544"/>
    <w:rsid w:val="00EE0293"/>
    <w:rsid w:val="00EE03EC"/>
    <w:rsid w:val="00EE048D"/>
    <w:rsid w:val="00EE0ACB"/>
    <w:rsid w:val="00EE107C"/>
    <w:rsid w:val="00EE1450"/>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0E76"/>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728"/>
    <w:rsid w:val="00F10D6B"/>
    <w:rsid w:val="00F12C08"/>
    <w:rsid w:val="00F12CDC"/>
    <w:rsid w:val="00F13E45"/>
    <w:rsid w:val="00F147C6"/>
    <w:rsid w:val="00F15830"/>
    <w:rsid w:val="00F20933"/>
    <w:rsid w:val="00F21705"/>
    <w:rsid w:val="00F22774"/>
    <w:rsid w:val="00F231FC"/>
    <w:rsid w:val="00F24AB7"/>
    <w:rsid w:val="00F2518D"/>
    <w:rsid w:val="00F25211"/>
    <w:rsid w:val="00F2567E"/>
    <w:rsid w:val="00F25E84"/>
    <w:rsid w:val="00F26068"/>
    <w:rsid w:val="00F2706D"/>
    <w:rsid w:val="00F2723F"/>
    <w:rsid w:val="00F27ADB"/>
    <w:rsid w:val="00F31178"/>
    <w:rsid w:val="00F325F9"/>
    <w:rsid w:val="00F32971"/>
    <w:rsid w:val="00F33A7A"/>
    <w:rsid w:val="00F3400B"/>
    <w:rsid w:val="00F35C44"/>
    <w:rsid w:val="00F36DEE"/>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2F2"/>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6DF7"/>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6A11"/>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467"/>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character" w:styleId="Referenciasutil">
    <w:name w:val="Subtle Reference"/>
    <w:basedOn w:val="Fuentedeprrafopredeter"/>
    <w:uiPriority w:val="31"/>
    <w:qFormat/>
    <w:rsid w:val="003A3E9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2">
      <w:bodyDiv w:val="1"/>
      <w:marLeft w:val="0"/>
      <w:marRight w:val="0"/>
      <w:marTop w:val="0"/>
      <w:marBottom w:val="0"/>
      <w:divBdr>
        <w:top w:val="none" w:sz="0" w:space="0" w:color="auto"/>
        <w:left w:val="none" w:sz="0" w:space="0" w:color="auto"/>
        <w:bottom w:val="none" w:sz="0" w:space="0" w:color="auto"/>
        <w:right w:val="none" w:sz="0" w:space="0" w:color="auto"/>
      </w:divBdr>
    </w:div>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452738">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0294912">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7987922">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2692601">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77370888">
      <w:bodyDiv w:val="1"/>
      <w:marLeft w:val="0"/>
      <w:marRight w:val="0"/>
      <w:marTop w:val="0"/>
      <w:marBottom w:val="0"/>
      <w:divBdr>
        <w:top w:val="none" w:sz="0" w:space="0" w:color="auto"/>
        <w:left w:val="none" w:sz="0" w:space="0" w:color="auto"/>
        <w:bottom w:val="none" w:sz="0" w:space="0" w:color="auto"/>
        <w:right w:val="none" w:sz="0" w:space="0" w:color="auto"/>
      </w:divBdr>
    </w:div>
    <w:div w:id="287050797">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884759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301706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15128765">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79618573">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434405">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599873625">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841747">
      <w:bodyDiv w:val="1"/>
      <w:marLeft w:val="0"/>
      <w:marRight w:val="0"/>
      <w:marTop w:val="0"/>
      <w:marBottom w:val="0"/>
      <w:divBdr>
        <w:top w:val="none" w:sz="0" w:space="0" w:color="auto"/>
        <w:left w:val="none" w:sz="0" w:space="0" w:color="auto"/>
        <w:bottom w:val="none" w:sz="0" w:space="0" w:color="auto"/>
        <w:right w:val="none" w:sz="0" w:space="0" w:color="auto"/>
      </w:divBdr>
    </w:div>
    <w:div w:id="643655286">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624788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59253386">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2673820">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044201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20427301">
      <w:bodyDiv w:val="1"/>
      <w:marLeft w:val="0"/>
      <w:marRight w:val="0"/>
      <w:marTop w:val="0"/>
      <w:marBottom w:val="0"/>
      <w:divBdr>
        <w:top w:val="none" w:sz="0" w:space="0" w:color="auto"/>
        <w:left w:val="none" w:sz="0" w:space="0" w:color="auto"/>
        <w:bottom w:val="none" w:sz="0" w:space="0" w:color="auto"/>
        <w:right w:val="none" w:sz="0" w:space="0" w:color="auto"/>
      </w:divBdr>
    </w:div>
    <w:div w:id="1042094852">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63288616">
      <w:bodyDiv w:val="1"/>
      <w:marLeft w:val="0"/>
      <w:marRight w:val="0"/>
      <w:marTop w:val="0"/>
      <w:marBottom w:val="0"/>
      <w:divBdr>
        <w:top w:val="none" w:sz="0" w:space="0" w:color="auto"/>
        <w:left w:val="none" w:sz="0" w:space="0" w:color="auto"/>
        <w:bottom w:val="none" w:sz="0" w:space="0" w:color="auto"/>
        <w:right w:val="none" w:sz="0" w:space="0" w:color="auto"/>
      </w:divBdr>
    </w:div>
    <w:div w:id="1066688314">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256688">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71321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07568550">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06950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283656903">
      <w:bodyDiv w:val="1"/>
      <w:marLeft w:val="0"/>
      <w:marRight w:val="0"/>
      <w:marTop w:val="0"/>
      <w:marBottom w:val="0"/>
      <w:divBdr>
        <w:top w:val="none" w:sz="0" w:space="0" w:color="auto"/>
        <w:left w:val="none" w:sz="0" w:space="0" w:color="auto"/>
        <w:bottom w:val="none" w:sz="0" w:space="0" w:color="auto"/>
        <w:right w:val="none" w:sz="0" w:space="0" w:color="auto"/>
      </w:divBdr>
    </w:div>
    <w:div w:id="129652541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4991339">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63763729">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1946140">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0080597">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0801569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29829394">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42009467">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04915728">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49615202">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1801055">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11943435">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0850346">
      <w:bodyDiv w:val="1"/>
      <w:marLeft w:val="0"/>
      <w:marRight w:val="0"/>
      <w:marTop w:val="0"/>
      <w:marBottom w:val="0"/>
      <w:divBdr>
        <w:top w:val="none" w:sz="0" w:space="0" w:color="auto"/>
        <w:left w:val="none" w:sz="0" w:space="0" w:color="auto"/>
        <w:bottom w:val="none" w:sz="0" w:space="0" w:color="auto"/>
        <w:right w:val="none" w:sz="0" w:space="0" w:color="auto"/>
      </w:divBdr>
    </w:div>
    <w:div w:id="1842043922">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1916692">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0164618">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3197053">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6378696">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7126400">
      <w:bodyDiv w:val="1"/>
      <w:marLeft w:val="0"/>
      <w:marRight w:val="0"/>
      <w:marTop w:val="0"/>
      <w:marBottom w:val="0"/>
      <w:divBdr>
        <w:top w:val="none" w:sz="0" w:space="0" w:color="auto"/>
        <w:left w:val="none" w:sz="0" w:space="0" w:color="auto"/>
        <w:bottom w:val="none" w:sz="0" w:space="0" w:color="auto"/>
        <w:right w:val="none" w:sz="0" w:space="0" w:color="auto"/>
      </w:divBdr>
    </w:div>
    <w:div w:id="2046830118">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64B50-2418-4958-96F3-55D33789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12232</Words>
  <Characters>67280</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2023-09-28T17:30:00Z</dcterms:created>
  <dcterms:modified xsi:type="dcterms:W3CDTF">2023-10-13T18:16:00Z</dcterms:modified>
</cp:coreProperties>
</file>