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DF458" w14:textId="77777777" w:rsidR="006F6FA1" w:rsidRPr="00F90EFE" w:rsidRDefault="00953B10">
      <w:pPr>
        <w:spacing w:before="240" w:after="240" w:line="360" w:lineRule="auto"/>
        <w:jc w:val="both"/>
        <w:rPr>
          <w:rFonts w:ascii="Palatino Linotype" w:eastAsia="Palatino Linotype" w:hAnsi="Palatino Linotype" w:cs="Palatino Linotype"/>
        </w:rPr>
      </w:pPr>
      <w:bookmarkStart w:id="0" w:name="_GoBack"/>
      <w:bookmarkEnd w:id="0"/>
      <w:r w:rsidRPr="00F90EF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F90EFE">
        <w:rPr>
          <w:rFonts w:ascii="Palatino Linotype" w:eastAsia="Palatino Linotype" w:hAnsi="Palatino Linotype" w:cs="Palatino Linotype"/>
          <w:b/>
        </w:rPr>
        <w:t>primero de febrero del dos mil veintitrés</w:t>
      </w:r>
      <w:r w:rsidRPr="00F90EFE">
        <w:rPr>
          <w:rFonts w:ascii="Palatino Linotype" w:eastAsia="Palatino Linotype" w:hAnsi="Palatino Linotype" w:cs="Palatino Linotype"/>
        </w:rPr>
        <w:t>.</w:t>
      </w:r>
    </w:p>
    <w:p w14:paraId="61D38ABD"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b/>
        </w:rPr>
        <w:t>Visto</w:t>
      </w:r>
      <w:r w:rsidRPr="00F90EFE">
        <w:rPr>
          <w:rFonts w:ascii="Palatino Linotype" w:eastAsia="Palatino Linotype" w:hAnsi="Palatino Linotype" w:cs="Palatino Linotype"/>
        </w:rPr>
        <w:t xml:space="preserve"> el expediente formado con motivo del recurso de revisión </w:t>
      </w:r>
      <w:r w:rsidRPr="00F90EFE">
        <w:rPr>
          <w:rFonts w:ascii="Palatino Linotype" w:eastAsia="Palatino Linotype" w:hAnsi="Palatino Linotype" w:cs="Palatino Linotype"/>
          <w:b/>
        </w:rPr>
        <w:t>13429/INFOEM/IP/RR/2022</w:t>
      </w:r>
      <w:r w:rsidRPr="00F90EFE">
        <w:rPr>
          <w:rFonts w:ascii="Palatino Linotype" w:eastAsia="Palatino Linotype" w:hAnsi="Palatino Linotype" w:cs="Palatino Linotype"/>
        </w:rPr>
        <w:t xml:space="preserve">, interpuesto por </w:t>
      </w:r>
      <w:r w:rsidRPr="00F90EFE">
        <w:rPr>
          <w:rFonts w:ascii="Palatino Linotype" w:eastAsia="Palatino Linotype" w:hAnsi="Palatino Linotype" w:cs="Palatino Linotype"/>
          <w:b/>
        </w:rPr>
        <w:t>un particular de manera anónima</w:t>
      </w:r>
      <w:r w:rsidRPr="00F90EFE">
        <w:rPr>
          <w:rFonts w:ascii="Palatino Linotype" w:eastAsia="Palatino Linotype" w:hAnsi="Palatino Linotype" w:cs="Palatino Linotype"/>
        </w:rPr>
        <w:t>,</w:t>
      </w:r>
      <w:r w:rsidRPr="00F90EFE">
        <w:rPr>
          <w:rFonts w:ascii="Palatino Linotype" w:eastAsia="Palatino Linotype" w:hAnsi="Palatino Linotype" w:cs="Palatino Linotype"/>
          <w:b/>
        </w:rPr>
        <w:t xml:space="preserve"> </w:t>
      </w:r>
      <w:r w:rsidRPr="00F90EFE">
        <w:rPr>
          <w:rFonts w:ascii="Palatino Linotype" w:eastAsia="Palatino Linotype" w:hAnsi="Palatino Linotype" w:cs="Palatino Linotype"/>
        </w:rPr>
        <w:t>en lo sucesivo</w:t>
      </w:r>
      <w:r w:rsidRPr="00F90EFE">
        <w:rPr>
          <w:rFonts w:ascii="Palatino Linotype" w:eastAsia="Palatino Linotype" w:hAnsi="Palatino Linotype" w:cs="Palatino Linotype"/>
          <w:b/>
        </w:rPr>
        <w:t xml:space="preserve"> la parte</w:t>
      </w:r>
      <w:r w:rsidRPr="00F90EFE">
        <w:rPr>
          <w:rFonts w:ascii="Palatino Linotype" w:eastAsia="Palatino Linotype" w:hAnsi="Palatino Linotype" w:cs="Palatino Linotype"/>
        </w:rPr>
        <w:t xml:space="preserve"> </w:t>
      </w:r>
      <w:r w:rsidRPr="00F90EFE">
        <w:rPr>
          <w:rFonts w:ascii="Palatino Linotype" w:eastAsia="Palatino Linotype" w:hAnsi="Palatino Linotype" w:cs="Palatino Linotype"/>
          <w:b/>
        </w:rPr>
        <w:t>Recurrente,</w:t>
      </w:r>
      <w:r w:rsidRPr="00F90EFE">
        <w:rPr>
          <w:rFonts w:ascii="Palatino Linotype" w:eastAsia="Palatino Linotype" w:hAnsi="Palatino Linotype" w:cs="Palatino Linotype"/>
        </w:rPr>
        <w:t xml:space="preserve"> en contra de la respuesta del </w:t>
      </w:r>
      <w:r w:rsidRPr="00F90EFE">
        <w:rPr>
          <w:rFonts w:ascii="Palatino Linotype" w:eastAsia="Palatino Linotype" w:hAnsi="Palatino Linotype" w:cs="Palatino Linotype"/>
          <w:b/>
        </w:rPr>
        <w:t xml:space="preserve">Ayuntamiento de Toluca, </w:t>
      </w:r>
      <w:r w:rsidRPr="00F90EFE">
        <w:rPr>
          <w:rFonts w:ascii="Palatino Linotype" w:eastAsia="Palatino Linotype" w:hAnsi="Palatino Linotype" w:cs="Palatino Linotype"/>
        </w:rPr>
        <w:t xml:space="preserve">en lo sucesivo el </w:t>
      </w:r>
      <w:r w:rsidRPr="00F90EFE">
        <w:rPr>
          <w:rFonts w:ascii="Palatino Linotype" w:eastAsia="Palatino Linotype" w:hAnsi="Palatino Linotype" w:cs="Palatino Linotype"/>
          <w:b/>
        </w:rPr>
        <w:t xml:space="preserve">Sujeto Obligado, </w:t>
      </w:r>
      <w:r w:rsidRPr="00F90EFE">
        <w:rPr>
          <w:rFonts w:ascii="Palatino Linotype" w:eastAsia="Palatino Linotype" w:hAnsi="Palatino Linotype" w:cs="Palatino Linotype"/>
        </w:rPr>
        <w:t xml:space="preserve">se procede a dictar la presente resolución con base en los siguientes: </w:t>
      </w:r>
    </w:p>
    <w:p w14:paraId="0B7E6C66" w14:textId="77777777" w:rsidR="006F6FA1" w:rsidRPr="00F90EFE" w:rsidRDefault="00953B10">
      <w:pPr>
        <w:spacing w:before="240" w:after="240" w:line="360" w:lineRule="auto"/>
        <w:ind w:right="49"/>
        <w:jc w:val="center"/>
        <w:rPr>
          <w:rFonts w:ascii="Palatino Linotype" w:eastAsia="Palatino Linotype" w:hAnsi="Palatino Linotype" w:cs="Palatino Linotype"/>
          <w:b/>
          <w:sz w:val="28"/>
          <w:szCs w:val="28"/>
        </w:rPr>
      </w:pPr>
      <w:r w:rsidRPr="00F90EFE">
        <w:rPr>
          <w:rFonts w:ascii="Palatino Linotype" w:eastAsia="Palatino Linotype" w:hAnsi="Palatino Linotype" w:cs="Palatino Linotype"/>
          <w:b/>
        </w:rPr>
        <w:t>A N T E C E D E N T E S</w:t>
      </w:r>
    </w:p>
    <w:p w14:paraId="0C114293"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b/>
        </w:rPr>
        <w:t>1. Solicitud de acceso a la información.</w:t>
      </w:r>
      <w:r w:rsidRPr="00F90EFE">
        <w:rPr>
          <w:rFonts w:ascii="Palatino Linotype" w:eastAsia="Palatino Linotype" w:hAnsi="Palatino Linotype" w:cs="Palatino Linotype"/>
        </w:rPr>
        <w:t xml:space="preserve"> El </w:t>
      </w:r>
      <w:r w:rsidRPr="00F90EFE">
        <w:rPr>
          <w:rFonts w:ascii="Palatino Linotype" w:eastAsia="Palatino Linotype" w:hAnsi="Palatino Linotype" w:cs="Palatino Linotype"/>
          <w:b/>
        </w:rPr>
        <w:t>doce de julio de dos mil veintidós, la</w:t>
      </w:r>
      <w:r w:rsidRPr="00F90EFE">
        <w:rPr>
          <w:rFonts w:ascii="Palatino Linotype" w:eastAsia="Palatino Linotype" w:hAnsi="Palatino Linotype" w:cs="Palatino Linotype"/>
        </w:rPr>
        <w:t xml:space="preserve"> </w:t>
      </w:r>
      <w:r w:rsidRPr="00F90EFE">
        <w:rPr>
          <w:rFonts w:ascii="Palatino Linotype" w:eastAsia="Palatino Linotype" w:hAnsi="Palatino Linotype" w:cs="Palatino Linotype"/>
          <w:b/>
        </w:rPr>
        <w:t>parte Recurrente</w:t>
      </w:r>
      <w:r w:rsidRPr="00F90EFE">
        <w:rPr>
          <w:rFonts w:ascii="Palatino Linotype" w:eastAsia="Palatino Linotype" w:hAnsi="Palatino Linotype" w:cs="Palatino Linotype"/>
        </w:rPr>
        <w:t xml:space="preserve"> presentó a través de la Plataforma Nacional de Transparencia (PNT), que se encuentra vinculada al Sistema de Acceso a la Información Mexiquense, en lo subsecuente el </w:t>
      </w:r>
      <w:r w:rsidRPr="00F90EFE">
        <w:rPr>
          <w:rFonts w:ascii="Palatino Linotype" w:eastAsia="Palatino Linotype" w:hAnsi="Palatino Linotype" w:cs="Palatino Linotype"/>
          <w:b/>
        </w:rPr>
        <w:t>SAIMEX</w:t>
      </w:r>
      <w:r w:rsidRPr="00F90EFE">
        <w:rPr>
          <w:rFonts w:ascii="Palatino Linotype" w:eastAsia="Palatino Linotype" w:hAnsi="Palatino Linotype" w:cs="Palatino Linotype"/>
        </w:rPr>
        <w:t xml:space="preserve"> ante 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la solicitud de acceso a la información pública, a la que se le asignó el número</w:t>
      </w:r>
      <w:r w:rsidRPr="00F90EFE">
        <w:rPr>
          <w:rFonts w:ascii="Palatino Linotype" w:eastAsia="Palatino Linotype" w:hAnsi="Palatino Linotype" w:cs="Palatino Linotype"/>
          <w:b/>
        </w:rPr>
        <w:t xml:space="preserve">  01616/TOLUCA/IP/2022, </w:t>
      </w:r>
      <w:r w:rsidRPr="00F90EFE">
        <w:rPr>
          <w:rFonts w:ascii="Palatino Linotype" w:eastAsia="Palatino Linotype" w:hAnsi="Palatino Linotype" w:cs="Palatino Linotype"/>
        </w:rPr>
        <w:t xml:space="preserve">mediante la cual requirió la información siguiente: </w:t>
      </w:r>
    </w:p>
    <w:p w14:paraId="0D33B9C0"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i/>
          <w:sz w:val="22"/>
          <w:szCs w:val="22"/>
        </w:rPr>
        <w:t xml:space="preserve"> “Solicito los </w:t>
      </w:r>
      <w:r w:rsidRPr="00F90EFE">
        <w:rPr>
          <w:rFonts w:ascii="Palatino Linotype" w:eastAsia="Palatino Linotype" w:hAnsi="Palatino Linotype" w:cs="Palatino Linotype"/>
          <w:b/>
          <w:i/>
          <w:sz w:val="22"/>
          <w:szCs w:val="22"/>
          <w:u w:val="single"/>
        </w:rPr>
        <w:t>documentos</w:t>
      </w:r>
      <w:r w:rsidRPr="00F90EFE">
        <w:rPr>
          <w:rFonts w:ascii="Palatino Linotype" w:eastAsia="Palatino Linotype" w:hAnsi="Palatino Linotype" w:cs="Palatino Linotype"/>
          <w:b/>
          <w:i/>
          <w:sz w:val="22"/>
          <w:szCs w:val="22"/>
        </w:rPr>
        <w:t xml:space="preserve"> del proyecto denominado “Aplicación de la Convención de 2005: cada agente tiene un papel que desempeñar”, </w:t>
      </w:r>
      <w:r w:rsidRPr="00F90EFE">
        <w:rPr>
          <w:rFonts w:ascii="Palatino Linotype" w:eastAsia="Palatino Linotype" w:hAnsi="Palatino Linotype" w:cs="Palatino Linotype"/>
          <w:b/>
          <w:i/>
          <w:sz w:val="22"/>
          <w:szCs w:val="22"/>
          <w:u w:val="single"/>
        </w:rPr>
        <w:t>que presentaron al Fondo Internacional para la Diversidad Cultural (FIDC),</w:t>
      </w:r>
      <w:r w:rsidRPr="00F90EFE">
        <w:rPr>
          <w:rFonts w:ascii="Palatino Linotype" w:eastAsia="Palatino Linotype" w:hAnsi="Palatino Linotype" w:cs="Palatino Linotype"/>
          <w:b/>
          <w:i/>
          <w:sz w:val="22"/>
          <w:szCs w:val="22"/>
        </w:rPr>
        <w:t xml:space="preserve"> de la Organización de las Naciones Unidas para la Educación, la Ciencia y la Cultura (UNESCO)</w:t>
      </w:r>
      <w:r w:rsidRPr="00F90EFE">
        <w:rPr>
          <w:rFonts w:ascii="Palatino Linotype" w:eastAsia="Palatino Linotype" w:hAnsi="Palatino Linotype" w:cs="Palatino Linotype"/>
          <w:i/>
          <w:sz w:val="22"/>
          <w:szCs w:val="22"/>
        </w:rPr>
        <w:t xml:space="preserve">.” (Sic) </w:t>
      </w:r>
    </w:p>
    <w:p w14:paraId="1469C502"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b/>
        </w:rPr>
        <w:t>Modalidad de Entrega de la información:</w:t>
      </w:r>
      <w:r w:rsidRPr="00F90EFE">
        <w:rPr>
          <w:rFonts w:ascii="Palatino Linotype" w:eastAsia="Palatino Linotype" w:hAnsi="Palatino Linotype" w:cs="Palatino Linotype"/>
        </w:rPr>
        <w:t xml:space="preserve"> A través del </w:t>
      </w:r>
      <w:r w:rsidRPr="00F90EFE">
        <w:rPr>
          <w:rFonts w:ascii="Palatino Linotype" w:eastAsia="Palatino Linotype" w:hAnsi="Palatino Linotype" w:cs="Palatino Linotype"/>
          <w:b/>
        </w:rPr>
        <w:t>SAIMEX</w:t>
      </w:r>
      <w:r w:rsidRPr="00F90EFE">
        <w:rPr>
          <w:rFonts w:ascii="Palatino Linotype" w:eastAsia="Palatino Linotype" w:hAnsi="Palatino Linotype" w:cs="Palatino Linotype"/>
        </w:rPr>
        <w:t xml:space="preserve">. </w:t>
      </w:r>
    </w:p>
    <w:p w14:paraId="38B7916E"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noProof/>
          <w:lang w:val="es-MX"/>
        </w:rPr>
        <w:lastRenderedPageBreak/>
        <w:drawing>
          <wp:inline distT="0" distB="0" distL="0" distR="0" wp14:anchorId="2C0A790F" wp14:editId="28D30167">
            <wp:extent cx="5581015" cy="541020"/>
            <wp:effectExtent l="0" t="0" r="0" b="0"/>
            <wp:docPr id="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81015" cy="541020"/>
                    </a:xfrm>
                    <a:prstGeom prst="rect">
                      <a:avLst/>
                    </a:prstGeom>
                    <a:ln/>
                  </pic:spPr>
                </pic:pic>
              </a:graphicData>
            </a:graphic>
          </wp:inline>
        </w:drawing>
      </w:r>
    </w:p>
    <w:p w14:paraId="7552E92C" w14:textId="77777777" w:rsidR="006F6FA1" w:rsidRPr="00F90EFE" w:rsidRDefault="00953B10">
      <w:pPr>
        <w:spacing w:before="240" w:after="240" w:line="360" w:lineRule="auto"/>
        <w:ind w:right="49"/>
        <w:jc w:val="both"/>
        <w:rPr>
          <w:rFonts w:ascii="Palatino Linotype" w:eastAsia="Palatino Linotype" w:hAnsi="Palatino Linotype" w:cs="Palatino Linotype"/>
          <w:b/>
        </w:rPr>
      </w:pPr>
      <w:r w:rsidRPr="00F90EFE">
        <w:rPr>
          <w:rFonts w:ascii="Palatino Linotype" w:eastAsia="Palatino Linotype" w:hAnsi="Palatino Linotype" w:cs="Palatino Linotype"/>
          <w:b/>
        </w:rPr>
        <w:t xml:space="preserve">2. Respuesta a la solicitud de información. </w:t>
      </w:r>
      <w:r w:rsidRPr="00F90EFE">
        <w:rPr>
          <w:rFonts w:ascii="Palatino Linotype" w:eastAsia="Palatino Linotype" w:hAnsi="Palatino Linotype" w:cs="Palatino Linotype"/>
        </w:rPr>
        <w:t>El</w:t>
      </w:r>
      <w:r w:rsidRPr="00F90EFE">
        <w:rPr>
          <w:rFonts w:ascii="Palatino Linotype" w:eastAsia="Palatino Linotype" w:hAnsi="Palatino Linotype" w:cs="Palatino Linotype"/>
          <w:b/>
        </w:rPr>
        <w:t xml:space="preserve"> dieciséis de agosto de dos mil veintidós</w:t>
      </w:r>
      <w:r w:rsidRPr="00F90EFE">
        <w:rPr>
          <w:rFonts w:ascii="Palatino Linotype" w:eastAsia="Palatino Linotype" w:hAnsi="Palatino Linotype" w:cs="Palatino Linotype"/>
        </w:rPr>
        <w:t xml:space="preserve">, el </w:t>
      </w:r>
      <w:r w:rsidRPr="00F90EFE">
        <w:rPr>
          <w:rFonts w:ascii="Palatino Linotype" w:eastAsia="Palatino Linotype" w:hAnsi="Palatino Linotype" w:cs="Palatino Linotype"/>
          <w:b/>
        </w:rPr>
        <w:t xml:space="preserve">Sujeto Obligado </w:t>
      </w:r>
      <w:r w:rsidRPr="00F90EFE">
        <w:rPr>
          <w:rFonts w:ascii="Palatino Linotype" w:eastAsia="Palatino Linotype" w:hAnsi="Palatino Linotype" w:cs="Palatino Linotype"/>
        </w:rPr>
        <w:t xml:space="preserve">a través del SAIMEX notificó la respuesta a la solicitud de información sustancialmente en los siguientes términos: </w:t>
      </w:r>
    </w:p>
    <w:p w14:paraId="08C83061" w14:textId="77777777" w:rsidR="006F6FA1" w:rsidRPr="00F90EFE" w:rsidRDefault="00953B10">
      <w:pPr>
        <w:spacing w:before="240" w:after="240" w:line="276" w:lineRule="auto"/>
        <w:ind w:left="567" w:right="90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F4A23A" w14:textId="77777777" w:rsidR="006F6FA1" w:rsidRPr="00F90EFE" w:rsidRDefault="00953B10">
      <w:pPr>
        <w:spacing w:before="240" w:after="240" w:line="276" w:lineRule="auto"/>
        <w:ind w:left="567" w:right="90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En atención a la solicitud con folio 01616/TOLUCA/IP/2022, me permito adjuntar al presente la respuesta correspondiente. Sin más por el momento, reciba un saludo.</w:t>
      </w:r>
    </w:p>
    <w:p w14:paraId="7E004C41" w14:textId="77777777" w:rsidR="006F6FA1" w:rsidRPr="00F90EFE" w:rsidRDefault="00953B10">
      <w:pPr>
        <w:spacing w:before="240" w:after="240" w:line="276" w:lineRule="auto"/>
        <w:ind w:left="567" w:right="90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ATENTAMENTE</w:t>
      </w:r>
    </w:p>
    <w:p w14:paraId="6C7A5ADD" w14:textId="77777777" w:rsidR="006F6FA1" w:rsidRPr="00F90EFE" w:rsidRDefault="00953B10">
      <w:pPr>
        <w:spacing w:before="240" w:after="240" w:line="276" w:lineRule="auto"/>
        <w:ind w:left="567" w:right="90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Lic. Norma Sofía Pérez Martínez”</w:t>
      </w:r>
    </w:p>
    <w:p w14:paraId="2CFCCDCB" w14:textId="77777777" w:rsidR="006F6FA1" w:rsidRPr="00F90EFE" w:rsidRDefault="00953B10">
      <w:pPr>
        <w:spacing w:before="240" w:after="240" w:line="360" w:lineRule="auto"/>
        <w:ind w:left="567" w:right="900"/>
        <w:jc w:val="both"/>
        <w:rPr>
          <w:rFonts w:ascii="Palatino Linotype" w:eastAsia="Palatino Linotype" w:hAnsi="Palatino Linotype" w:cs="Palatino Linotype"/>
          <w:b/>
        </w:rPr>
      </w:pPr>
      <w:r w:rsidRPr="00F90EFE">
        <w:rPr>
          <w:rFonts w:ascii="Palatino Linotype" w:eastAsia="Palatino Linotype" w:hAnsi="Palatino Linotype" w:cs="Palatino Linotype"/>
          <w:b/>
        </w:rPr>
        <w:t>Archivos adjuntos:</w:t>
      </w:r>
    </w:p>
    <w:p w14:paraId="796FA1CF" w14:textId="77777777" w:rsidR="006F6FA1" w:rsidRPr="00F90EFE" w:rsidRDefault="00953B10">
      <w:pPr>
        <w:spacing w:before="240" w:after="240" w:line="360" w:lineRule="auto"/>
        <w:ind w:left="567" w:right="851"/>
        <w:jc w:val="both"/>
        <w:rPr>
          <w:rFonts w:ascii="Palatino Linotype" w:eastAsia="Palatino Linotype" w:hAnsi="Palatino Linotype" w:cs="Palatino Linotype"/>
        </w:rPr>
      </w:pPr>
      <w:r w:rsidRPr="00F90EFE">
        <w:rPr>
          <w:rFonts w:ascii="Palatino Linotype" w:eastAsia="Palatino Linotype" w:hAnsi="Palatino Linotype" w:cs="Palatino Linotype"/>
          <w:b/>
          <w:i/>
        </w:rPr>
        <w:t xml:space="preserve"> “Respuesta 01616_2022.pdf”: </w:t>
      </w:r>
      <w:r w:rsidRPr="00F90EFE">
        <w:rPr>
          <w:rFonts w:ascii="Palatino Linotype" w:eastAsia="Palatino Linotype" w:hAnsi="Palatino Linotype" w:cs="Palatino Linotype"/>
        </w:rPr>
        <w:t xml:space="preserve">Documento de dos fojas, mediante el cual la Titular de la Unidad de Transparencia, hace del conocimiento del solicitante que los servidores públicos habilitados de la Secretaría del Ayuntamiento, Dirección General del Medio Ambiente, Consejería Jurídica y Dirección General de Desarrollo Social informaron que derivado de una búsqueda exhaustiva y razonable, no localizaron información sobre dicho tópico. </w:t>
      </w:r>
    </w:p>
    <w:p w14:paraId="4A9F83D3" w14:textId="77777777" w:rsidR="006F6FA1" w:rsidRPr="00F90EFE" w:rsidRDefault="006F6FA1">
      <w:pPr>
        <w:spacing w:before="240" w:after="240" w:line="360" w:lineRule="auto"/>
        <w:ind w:left="567" w:right="900"/>
        <w:jc w:val="both"/>
        <w:rPr>
          <w:rFonts w:ascii="Palatino Linotype" w:eastAsia="Palatino Linotype" w:hAnsi="Palatino Linotype" w:cs="Palatino Linotype"/>
        </w:rPr>
      </w:pPr>
    </w:p>
    <w:p w14:paraId="649118C8" w14:textId="77777777" w:rsidR="006F6FA1" w:rsidRPr="00F90EFE" w:rsidRDefault="00953B10">
      <w:pPr>
        <w:spacing w:before="240" w:after="240" w:line="360" w:lineRule="auto"/>
        <w:ind w:left="567" w:right="900"/>
        <w:jc w:val="both"/>
        <w:rPr>
          <w:rFonts w:ascii="Palatino Linotype" w:eastAsia="Palatino Linotype" w:hAnsi="Palatino Linotype" w:cs="Palatino Linotype"/>
        </w:rPr>
      </w:pPr>
      <w:r w:rsidRPr="00F90EFE">
        <w:rPr>
          <w:rFonts w:ascii="Palatino Linotype" w:eastAsia="Palatino Linotype" w:hAnsi="Palatino Linotype" w:cs="Palatino Linotype"/>
          <w:noProof/>
          <w:lang w:val="es-MX"/>
        </w:rPr>
        <w:lastRenderedPageBreak/>
        <w:drawing>
          <wp:inline distT="0" distB="0" distL="0" distR="0" wp14:anchorId="41E994CD" wp14:editId="38FE41C8">
            <wp:extent cx="5581015" cy="6874510"/>
            <wp:effectExtent l="0" t="0" r="0" b="0"/>
            <wp:docPr id="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81015" cy="6874510"/>
                    </a:xfrm>
                    <a:prstGeom prst="rect">
                      <a:avLst/>
                    </a:prstGeom>
                    <a:ln/>
                  </pic:spPr>
                </pic:pic>
              </a:graphicData>
            </a:graphic>
          </wp:inline>
        </w:drawing>
      </w:r>
    </w:p>
    <w:p w14:paraId="2D709669" w14:textId="77777777" w:rsidR="006F6FA1" w:rsidRPr="00F90EFE" w:rsidRDefault="006F6FA1">
      <w:pPr>
        <w:spacing w:before="240" w:after="240" w:line="360" w:lineRule="auto"/>
        <w:ind w:left="567" w:right="900"/>
        <w:jc w:val="both"/>
        <w:rPr>
          <w:rFonts w:ascii="Palatino Linotype" w:eastAsia="Palatino Linotype" w:hAnsi="Palatino Linotype" w:cs="Palatino Linotype"/>
        </w:rPr>
      </w:pPr>
    </w:p>
    <w:p w14:paraId="5347073F" w14:textId="77777777" w:rsidR="006F6FA1" w:rsidRPr="00F90EFE" w:rsidRDefault="00953B10">
      <w:pPr>
        <w:spacing w:before="240" w:after="240" w:line="360" w:lineRule="auto"/>
        <w:ind w:left="567" w:right="284"/>
        <w:jc w:val="both"/>
        <w:rPr>
          <w:rFonts w:ascii="Palatino Linotype" w:eastAsia="Palatino Linotype" w:hAnsi="Palatino Linotype" w:cs="Palatino Linotype"/>
        </w:rPr>
      </w:pPr>
      <w:r w:rsidRPr="00F90EFE">
        <w:rPr>
          <w:noProof/>
          <w:lang w:val="es-MX"/>
        </w:rPr>
        <w:lastRenderedPageBreak/>
        <w:drawing>
          <wp:anchor distT="0" distB="0" distL="114300" distR="114300" simplePos="0" relativeHeight="251658240" behindDoc="0" locked="0" layoutInCell="1" hidden="0" allowOverlap="1" wp14:anchorId="0D2E702C" wp14:editId="49920BA5">
            <wp:simplePos x="0" y="0"/>
            <wp:positionH relativeFrom="column">
              <wp:posOffset>62866</wp:posOffset>
            </wp:positionH>
            <wp:positionV relativeFrom="paragraph">
              <wp:posOffset>22893</wp:posOffset>
            </wp:positionV>
            <wp:extent cx="5260267" cy="6248400"/>
            <wp:effectExtent l="0" t="0" r="0" b="0"/>
            <wp:wrapTopAndBottom distT="0" distB="0"/>
            <wp:docPr id="10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260267" cy="6248400"/>
                    </a:xfrm>
                    <a:prstGeom prst="rect">
                      <a:avLst/>
                    </a:prstGeom>
                    <a:ln/>
                  </pic:spPr>
                </pic:pic>
              </a:graphicData>
            </a:graphic>
          </wp:anchor>
        </w:drawing>
      </w:r>
    </w:p>
    <w:p w14:paraId="66EDD234" w14:textId="77777777" w:rsidR="006F6FA1" w:rsidRPr="00F90EFE" w:rsidRDefault="00953B10">
      <w:pPr>
        <w:spacing w:before="240" w:after="240" w:line="360" w:lineRule="auto"/>
        <w:ind w:right="284"/>
        <w:jc w:val="both"/>
        <w:rPr>
          <w:rFonts w:ascii="Palatino Linotype" w:eastAsia="Palatino Linotype" w:hAnsi="Palatino Linotype" w:cs="Palatino Linotype"/>
        </w:rPr>
      </w:pPr>
      <w:r w:rsidRPr="00F90EFE">
        <w:rPr>
          <w:rFonts w:ascii="Palatino Linotype" w:eastAsia="Palatino Linotype" w:hAnsi="Palatino Linotype" w:cs="Palatino Linotype"/>
          <w:b/>
        </w:rPr>
        <w:lastRenderedPageBreak/>
        <w:t xml:space="preserve">3. Interposición del recurso de revisión. </w:t>
      </w:r>
      <w:r w:rsidRPr="00F90EFE">
        <w:rPr>
          <w:rFonts w:ascii="Palatino Linotype" w:eastAsia="Palatino Linotype" w:hAnsi="Palatino Linotype" w:cs="Palatino Linotype"/>
        </w:rPr>
        <w:t xml:space="preserve">Inconforme con la respuesta, </w:t>
      </w:r>
      <w:r w:rsidRPr="00F90EFE">
        <w:rPr>
          <w:rFonts w:ascii="Palatino Linotype" w:eastAsia="Palatino Linotype" w:hAnsi="Palatino Linotype" w:cs="Palatino Linotype"/>
          <w:b/>
        </w:rPr>
        <w:t>la parte Recurrente</w:t>
      </w:r>
      <w:r w:rsidRPr="00F90EFE">
        <w:rPr>
          <w:rFonts w:ascii="Palatino Linotype" w:eastAsia="Palatino Linotype" w:hAnsi="Palatino Linotype" w:cs="Palatino Linotype"/>
        </w:rPr>
        <w:t xml:space="preserve"> interpuso el recurso de revisión materia del presente estudio el día </w:t>
      </w:r>
      <w:r w:rsidRPr="00F90EFE">
        <w:rPr>
          <w:rFonts w:ascii="Palatino Linotype" w:eastAsia="Palatino Linotype" w:hAnsi="Palatino Linotype" w:cs="Palatino Linotype"/>
          <w:b/>
        </w:rPr>
        <w:t>diecinueve de agosto de dos mil veintidós</w:t>
      </w:r>
      <w:r w:rsidRPr="00F90EFE">
        <w:rPr>
          <w:rFonts w:ascii="Palatino Linotype" w:eastAsia="Palatino Linotype" w:hAnsi="Palatino Linotype" w:cs="Palatino Linotype"/>
        </w:rPr>
        <w:t>,</w:t>
      </w:r>
      <w:r w:rsidRPr="00F90EFE">
        <w:rPr>
          <w:rFonts w:ascii="Palatino Linotype" w:eastAsia="Palatino Linotype" w:hAnsi="Palatino Linotype" w:cs="Palatino Linotype"/>
          <w:b/>
        </w:rPr>
        <w:t xml:space="preserve"> </w:t>
      </w:r>
      <w:r w:rsidRPr="00F90EFE">
        <w:rPr>
          <w:rFonts w:ascii="Palatino Linotype" w:eastAsia="Palatino Linotype" w:hAnsi="Palatino Linotype" w:cs="Palatino Linotype"/>
        </w:rPr>
        <w:t xml:space="preserve">en el que expresó lo siguiente: </w:t>
      </w:r>
    </w:p>
    <w:p w14:paraId="4CA5F852" w14:textId="77777777" w:rsidR="006F6FA1" w:rsidRPr="00F90EFE" w:rsidRDefault="00953B10">
      <w:pPr>
        <w:spacing w:before="240" w:after="240" w:line="360" w:lineRule="auto"/>
        <w:ind w:left="567" w:right="567"/>
        <w:jc w:val="both"/>
        <w:rPr>
          <w:rFonts w:ascii="Palatino Linotype" w:eastAsia="Palatino Linotype" w:hAnsi="Palatino Linotype" w:cs="Palatino Linotype"/>
        </w:rPr>
      </w:pPr>
      <w:r w:rsidRPr="00F90EFE">
        <w:rPr>
          <w:rFonts w:ascii="Palatino Linotype" w:eastAsia="Palatino Linotype" w:hAnsi="Palatino Linotype" w:cs="Palatino Linotype"/>
          <w:b/>
        </w:rPr>
        <w:t xml:space="preserve">a) Acto impugnado: </w:t>
      </w:r>
    </w:p>
    <w:p w14:paraId="16343D0E" w14:textId="77777777" w:rsidR="006F6FA1" w:rsidRPr="00F90EFE" w:rsidRDefault="00953B10">
      <w:pPr>
        <w:spacing w:before="240" w:after="240" w:line="360" w:lineRule="auto"/>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“negativa de información” (Sic)</w:t>
      </w:r>
    </w:p>
    <w:p w14:paraId="6D16FEB3" w14:textId="77777777" w:rsidR="006F6FA1" w:rsidRPr="00F90EFE" w:rsidRDefault="00953B10">
      <w:pPr>
        <w:spacing w:before="240" w:after="240" w:line="360" w:lineRule="auto"/>
        <w:ind w:left="567" w:right="851"/>
        <w:jc w:val="both"/>
        <w:rPr>
          <w:rFonts w:ascii="Palatino Linotype" w:eastAsia="Palatino Linotype" w:hAnsi="Palatino Linotype" w:cs="Palatino Linotype"/>
        </w:rPr>
      </w:pPr>
      <w:r w:rsidRPr="00F90EFE">
        <w:rPr>
          <w:rFonts w:ascii="Palatino Linotype" w:eastAsia="Palatino Linotype" w:hAnsi="Palatino Linotype" w:cs="Palatino Linotype"/>
          <w:b/>
        </w:rPr>
        <w:t>b) Razones o motivos de inconformidad</w:t>
      </w:r>
      <w:r w:rsidRPr="00F90EFE">
        <w:rPr>
          <w:rFonts w:ascii="Palatino Linotype" w:eastAsia="Palatino Linotype" w:hAnsi="Palatino Linotype" w:cs="Palatino Linotype"/>
        </w:rPr>
        <w:t xml:space="preserve">: </w:t>
      </w:r>
    </w:p>
    <w:p w14:paraId="26361735"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r w:rsidRPr="00F90EFE">
        <w:rPr>
          <w:rFonts w:ascii="Palatino Linotype" w:eastAsia="Palatino Linotype" w:hAnsi="Palatino Linotype" w:cs="Palatino Linotype"/>
          <w:b/>
          <w:i/>
          <w:sz w:val="22"/>
          <w:szCs w:val="22"/>
        </w:rPr>
        <w:t xml:space="preserve">se solicita información por que el proyecto fue aprobado por </w:t>
      </w:r>
      <w:proofErr w:type="spellStart"/>
      <w:r w:rsidRPr="00F90EFE">
        <w:rPr>
          <w:rFonts w:ascii="Palatino Linotype" w:eastAsia="Palatino Linotype" w:hAnsi="Palatino Linotype" w:cs="Palatino Linotype"/>
          <w:b/>
          <w:i/>
          <w:sz w:val="22"/>
          <w:szCs w:val="22"/>
        </w:rPr>
        <w:t>unesco</w:t>
      </w:r>
      <w:proofErr w:type="spellEnd"/>
      <w:r w:rsidRPr="00F90EFE">
        <w:rPr>
          <w:rFonts w:ascii="Palatino Linotype" w:eastAsia="Palatino Linotype" w:hAnsi="Palatino Linotype" w:cs="Palatino Linotype"/>
          <w:b/>
          <w:i/>
          <w:sz w:val="22"/>
          <w:szCs w:val="22"/>
        </w:rPr>
        <w:t xml:space="preserve"> y la respuesta no otorgan nada</w:t>
      </w:r>
      <w:r w:rsidRPr="00F90EFE">
        <w:rPr>
          <w:rFonts w:ascii="Palatino Linotype" w:eastAsia="Palatino Linotype" w:hAnsi="Palatino Linotype" w:cs="Palatino Linotype"/>
          <w:i/>
          <w:sz w:val="22"/>
          <w:szCs w:val="22"/>
        </w:rPr>
        <w:t>” (Sic) (Énfasis añadido)</w:t>
      </w:r>
    </w:p>
    <w:p w14:paraId="0425219A" w14:textId="77777777" w:rsidR="006F6FA1" w:rsidRPr="00F90EFE" w:rsidRDefault="00953B10">
      <w:pPr>
        <w:widowControl w:val="0"/>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b/>
        </w:rPr>
        <w:t>4. Turno</w:t>
      </w:r>
      <w:r w:rsidRPr="00F90EFE">
        <w:rPr>
          <w:rFonts w:ascii="Palatino Linotype" w:eastAsia="Palatino Linotype" w:hAnsi="Palatino Linotype" w:cs="Palatino Linotype"/>
          <w:b/>
          <w:sz w:val="28"/>
          <w:szCs w:val="28"/>
        </w:rPr>
        <w:t xml:space="preserve">. </w:t>
      </w:r>
      <w:r w:rsidRPr="00F90EF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F90EFE">
        <w:rPr>
          <w:rFonts w:ascii="Palatino Linotype" w:eastAsia="Palatino Linotype" w:hAnsi="Palatino Linotype" w:cs="Palatino Linotype"/>
          <w:b/>
        </w:rPr>
        <w:t>Comisionada</w:t>
      </w:r>
      <w:r w:rsidRPr="00F90EFE">
        <w:rPr>
          <w:rFonts w:ascii="Palatino Linotype" w:eastAsia="Palatino Linotype" w:hAnsi="Palatino Linotype" w:cs="Palatino Linotype"/>
        </w:rPr>
        <w:t xml:space="preserve"> </w:t>
      </w:r>
      <w:r w:rsidRPr="00F90EFE">
        <w:rPr>
          <w:rFonts w:ascii="Palatino Linotype" w:eastAsia="Palatino Linotype" w:hAnsi="Palatino Linotype" w:cs="Palatino Linotype"/>
          <w:b/>
        </w:rPr>
        <w:t>Guadalupe Ramírez Peña</w:t>
      </w:r>
      <w:r w:rsidRPr="00F90EFE">
        <w:rPr>
          <w:rFonts w:ascii="Palatino Linotype" w:eastAsia="Palatino Linotype" w:hAnsi="Palatino Linotype" w:cs="Palatino Linotype"/>
        </w:rPr>
        <w:t xml:space="preserve"> para su análisis, estudio, elaboración del proyecto y presentación ante el Pleno de este Instituto.</w:t>
      </w:r>
    </w:p>
    <w:p w14:paraId="1F86C027" w14:textId="77777777" w:rsidR="006F6FA1" w:rsidRPr="00F90EFE" w:rsidRDefault="00953B10">
      <w:pPr>
        <w:widowControl w:val="0"/>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b/>
        </w:rPr>
        <w:t>5.</w:t>
      </w:r>
      <w:r w:rsidRPr="00F90EFE">
        <w:rPr>
          <w:rFonts w:ascii="Palatino Linotype" w:eastAsia="Palatino Linotype" w:hAnsi="Palatino Linotype" w:cs="Palatino Linotype"/>
          <w:b/>
          <w:i/>
        </w:rPr>
        <w:t xml:space="preserve"> </w:t>
      </w:r>
      <w:r w:rsidRPr="00F90EFE">
        <w:rPr>
          <w:rFonts w:ascii="Palatino Linotype" w:eastAsia="Palatino Linotype" w:hAnsi="Palatino Linotype" w:cs="Palatino Linotype"/>
          <w:b/>
        </w:rPr>
        <w:t>Admisión del Recurso.</w:t>
      </w:r>
      <w:r w:rsidRPr="00F90EFE">
        <w:rPr>
          <w:rFonts w:ascii="Palatino Linotype" w:eastAsia="Palatino Linotype" w:hAnsi="Palatino Linotype" w:cs="Palatino Linotype"/>
        </w:rPr>
        <w:t xml:space="preserve"> El día</w:t>
      </w:r>
      <w:r w:rsidRPr="00F90EFE">
        <w:rPr>
          <w:rFonts w:ascii="Palatino Linotype" w:eastAsia="Palatino Linotype" w:hAnsi="Palatino Linotype" w:cs="Palatino Linotype"/>
          <w:b/>
        </w:rPr>
        <w:t xml:space="preserve"> veinticuatro de agosto de dos mil veintidós </w:t>
      </w:r>
      <w:r w:rsidRPr="00F90EFE">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0F865C48" w14:textId="77777777" w:rsidR="006F6FA1" w:rsidRPr="00F90EFE" w:rsidRDefault="00953B10">
      <w:pPr>
        <w:widowControl w:val="0"/>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b/>
        </w:rPr>
        <w:t>6. Manifestaciones</w:t>
      </w:r>
      <w:r w:rsidRPr="00F90EFE">
        <w:rPr>
          <w:rFonts w:ascii="Palatino Linotype" w:eastAsia="Palatino Linotype" w:hAnsi="Palatino Linotype" w:cs="Palatino Linotype"/>
        </w:rPr>
        <w:t xml:space="preserve">. De constancias del expediente electrónico del SAIMEX, se observa que particular, se tiene que el </w:t>
      </w:r>
      <w:r w:rsidRPr="00F90EFE">
        <w:rPr>
          <w:rFonts w:ascii="Palatino Linotype" w:eastAsia="Palatino Linotype" w:hAnsi="Palatino Linotype" w:cs="Palatino Linotype"/>
          <w:b/>
        </w:rPr>
        <w:t>veinticinco de agosto de dos mil veintidós</w:t>
      </w:r>
      <w:r w:rsidRPr="00F90EFE">
        <w:rPr>
          <w:rFonts w:ascii="Palatino Linotype" w:eastAsia="Palatino Linotype" w:hAnsi="Palatino Linotype" w:cs="Palatino Linotype"/>
        </w:rPr>
        <w:t xml:space="preserve"> </w:t>
      </w:r>
      <w:r w:rsidRPr="00F90EFE">
        <w:rPr>
          <w:rFonts w:ascii="Palatino Linotype" w:eastAsia="Palatino Linotype" w:hAnsi="Palatino Linotype" w:cs="Palatino Linotype"/>
        </w:rPr>
        <w:lastRenderedPageBreak/>
        <w:t xml:space="preserve">remitió los archivos electrónicos </w:t>
      </w:r>
      <w:r w:rsidRPr="00F90EFE">
        <w:rPr>
          <w:rFonts w:ascii="Palatino Linotype" w:eastAsia="Palatino Linotype" w:hAnsi="Palatino Linotype" w:cs="Palatino Linotype"/>
          <w:b/>
          <w:i/>
        </w:rPr>
        <w:t>“Informes Fondo Internacional para la Diversidad Cultural.zip” y “Manifestaciones.docx”,</w:t>
      </w:r>
      <w:r w:rsidRPr="00F90EFE">
        <w:rPr>
          <w:rFonts w:ascii="Palatino Linotype" w:eastAsia="Palatino Linotype" w:hAnsi="Palatino Linotype" w:cs="Palatino Linotype"/>
        </w:rPr>
        <w:t xml:space="preserve"> es de precisar que este último se encuentra duplicado en contenido pero se describen a continuación: </w:t>
      </w:r>
    </w:p>
    <w:p w14:paraId="308EEDE7" w14:textId="77777777" w:rsidR="006F6FA1" w:rsidRPr="00F90EFE" w:rsidRDefault="00953B10">
      <w:pPr>
        <w:widowControl w:val="0"/>
        <w:spacing w:before="240" w:after="240" w:line="360" w:lineRule="auto"/>
        <w:ind w:left="567" w:right="851"/>
        <w:jc w:val="both"/>
        <w:rPr>
          <w:rFonts w:ascii="Palatino Linotype" w:eastAsia="Palatino Linotype" w:hAnsi="Palatino Linotype" w:cs="Palatino Linotype"/>
        </w:rPr>
      </w:pPr>
      <w:r w:rsidRPr="00F90EFE">
        <w:rPr>
          <w:rFonts w:ascii="Palatino Linotype" w:eastAsia="Palatino Linotype" w:hAnsi="Palatino Linotype" w:cs="Palatino Linotype"/>
          <w:b/>
          <w:i/>
        </w:rPr>
        <w:t xml:space="preserve">“Informes Fondo Internacional para la Diversidad Cultural.zip”: </w:t>
      </w:r>
      <w:r w:rsidRPr="00F90EFE">
        <w:rPr>
          <w:rFonts w:ascii="Palatino Linotype" w:eastAsia="Palatino Linotype" w:hAnsi="Palatino Linotype" w:cs="Palatino Linotype"/>
        </w:rPr>
        <w:t>Carpeta comprimida que a su vez contiene los siguientes archivos:</w:t>
      </w:r>
    </w:p>
    <w:p w14:paraId="76499626" w14:textId="77777777" w:rsidR="006F6FA1" w:rsidRPr="00F90EFE" w:rsidRDefault="00953B10">
      <w:pPr>
        <w:widowControl w:val="0"/>
        <w:numPr>
          <w:ilvl w:val="0"/>
          <w:numId w:val="4"/>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sz w:val="22"/>
          <w:szCs w:val="22"/>
        </w:rPr>
      </w:pPr>
      <w:r w:rsidRPr="00F90EFE">
        <w:rPr>
          <w:rFonts w:ascii="Palatino Linotype" w:eastAsia="Palatino Linotype" w:hAnsi="Palatino Linotype" w:cs="Palatino Linotype"/>
          <w:sz w:val="22"/>
          <w:szCs w:val="22"/>
        </w:rPr>
        <w:t>Informe 2014. Fondo Internacional para la Diversidad Cultural Invirtiendo en creatividad</w:t>
      </w:r>
    </w:p>
    <w:p w14:paraId="00122AD7" w14:textId="77777777" w:rsidR="006F6FA1" w:rsidRPr="00F90EFE" w:rsidRDefault="00953B10">
      <w:pPr>
        <w:widowControl w:val="0"/>
        <w:numPr>
          <w:ilvl w:val="0"/>
          <w:numId w:val="4"/>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sz w:val="22"/>
          <w:szCs w:val="22"/>
        </w:rPr>
      </w:pPr>
      <w:r w:rsidRPr="00F90EFE">
        <w:rPr>
          <w:rFonts w:ascii="Palatino Linotype" w:eastAsia="Palatino Linotype" w:hAnsi="Palatino Linotype" w:cs="Palatino Linotype"/>
          <w:sz w:val="22"/>
          <w:szCs w:val="22"/>
        </w:rPr>
        <w:t>Informe 2017. Fondo Internacional para la Diversidad Cultural Invirtiendo en creatividad.</w:t>
      </w:r>
    </w:p>
    <w:p w14:paraId="54023779" w14:textId="77777777" w:rsidR="006F6FA1" w:rsidRPr="00F90EFE" w:rsidRDefault="00953B10">
      <w:pPr>
        <w:widowControl w:val="0"/>
        <w:numPr>
          <w:ilvl w:val="0"/>
          <w:numId w:val="4"/>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sz w:val="22"/>
          <w:szCs w:val="22"/>
        </w:rPr>
      </w:pPr>
      <w:r w:rsidRPr="00F90EFE">
        <w:rPr>
          <w:rFonts w:ascii="Palatino Linotype" w:eastAsia="Palatino Linotype" w:hAnsi="Palatino Linotype" w:cs="Palatino Linotype"/>
          <w:sz w:val="22"/>
          <w:szCs w:val="22"/>
        </w:rPr>
        <w:t>Fondo Internacional para la Diversidad Cultural Invirtiendo en creatividad. Transformando sociedades.</w:t>
      </w:r>
    </w:p>
    <w:p w14:paraId="7416EDBA" w14:textId="77777777" w:rsidR="006F6FA1" w:rsidRPr="00F90EFE" w:rsidRDefault="00953B10">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F90EFE">
        <w:rPr>
          <w:rFonts w:ascii="Palatino Linotype" w:eastAsia="Palatino Linotype" w:hAnsi="Palatino Linotype" w:cs="Palatino Linotype"/>
          <w:b/>
          <w:i/>
        </w:rPr>
        <w:t xml:space="preserve">“Manifestaciones.docx”: </w:t>
      </w:r>
      <w:r w:rsidRPr="00F90EFE">
        <w:rPr>
          <w:rFonts w:ascii="Palatino Linotype" w:eastAsia="Palatino Linotype" w:hAnsi="Palatino Linotype" w:cs="Palatino Linotype"/>
        </w:rPr>
        <w:t xml:space="preserve">Documento en Word, en el que se aprecian los siguientes pronunciamientos del particular. </w:t>
      </w:r>
      <w:r w:rsidRPr="00F90EFE">
        <w:rPr>
          <w:rFonts w:ascii="Palatino Linotype" w:eastAsia="Palatino Linotype" w:hAnsi="Palatino Linotype" w:cs="Palatino Linotype"/>
          <w:noProof/>
          <w:lang w:val="es-MX"/>
        </w:rPr>
        <w:lastRenderedPageBreak/>
        <w:drawing>
          <wp:inline distT="0" distB="0" distL="0" distR="0" wp14:anchorId="02D5939C" wp14:editId="568C72E8">
            <wp:extent cx="4751156" cy="5229029"/>
            <wp:effectExtent l="0" t="0" r="0" b="0"/>
            <wp:docPr id="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751156" cy="5229029"/>
                    </a:xfrm>
                    <a:prstGeom prst="rect">
                      <a:avLst/>
                    </a:prstGeom>
                    <a:ln/>
                  </pic:spPr>
                </pic:pic>
              </a:graphicData>
            </a:graphic>
          </wp:inline>
        </w:drawing>
      </w:r>
    </w:p>
    <w:p w14:paraId="2EAAFF11" w14:textId="77777777" w:rsidR="006F6FA1" w:rsidRPr="00F90EFE" w:rsidRDefault="00953B10">
      <w:pPr>
        <w:widowControl w:val="0"/>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Asimismo por cuanto hace al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se tiene que el </w:t>
      </w:r>
      <w:r w:rsidRPr="00F90EFE">
        <w:rPr>
          <w:rFonts w:ascii="Palatino Linotype" w:eastAsia="Palatino Linotype" w:hAnsi="Palatino Linotype" w:cs="Palatino Linotype"/>
          <w:b/>
        </w:rPr>
        <w:t>dos de septiembre de dos mil veintidós</w:t>
      </w:r>
      <w:r w:rsidRPr="00F90EFE">
        <w:rPr>
          <w:rFonts w:ascii="Palatino Linotype" w:eastAsia="Palatino Linotype" w:hAnsi="Palatino Linotype" w:cs="Palatino Linotype"/>
        </w:rPr>
        <w:t xml:space="preserve"> rindió su informe justificado mediante el archivo electrónico </w:t>
      </w:r>
      <w:r w:rsidRPr="00F90EFE">
        <w:rPr>
          <w:rFonts w:ascii="Palatino Linotype" w:eastAsia="Palatino Linotype" w:hAnsi="Palatino Linotype" w:cs="Palatino Linotype"/>
          <w:b/>
          <w:i/>
        </w:rPr>
        <w:t>“RR 13429.pdf”</w:t>
      </w:r>
      <w:r w:rsidRPr="00F90EFE">
        <w:rPr>
          <w:rFonts w:ascii="Palatino Linotype" w:eastAsia="Palatino Linotype" w:hAnsi="Palatino Linotype" w:cs="Palatino Linotype"/>
          <w:b/>
        </w:rPr>
        <w:t>,</w:t>
      </w:r>
      <w:r w:rsidRPr="00F90EFE">
        <w:rPr>
          <w:rFonts w:ascii="Palatino Linotype" w:eastAsia="Palatino Linotype" w:hAnsi="Palatino Linotype" w:cs="Palatino Linotype"/>
        </w:rPr>
        <w:t xml:space="preserve"> en el cual, 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medularmente ratifica su respuesta vertida inicialmente; es de precisar que esta información se puso a disposición de la parte Recurrente el </w:t>
      </w:r>
      <w:r w:rsidRPr="00F90EFE">
        <w:rPr>
          <w:rFonts w:ascii="Palatino Linotype" w:eastAsia="Palatino Linotype" w:hAnsi="Palatino Linotype" w:cs="Palatino Linotype"/>
          <w:b/>
        </w:rPr>
        <w:t>diecinueve de enero de dos mil veintitrés</w:t>
      </w:r>
      <w:r w:rsidRPr="00F90EFE">
        <w:rPr>
          <w:rFonts w:ascii="Palatino Linotype" w:eastAsia="Palatino Linotype" w:hAnsi="Palatino Linotype" w:cs="Palatino Linotype"/>
        </w:rPr>
        <w:t>, por acuerdo de la Comisionada Ponente.</w:t>
      </w:r>
    </w:p>
    <w:p w14:paraId="71080ACF" w14:textId="77777777" w:rsidR="006F6FA1" w:rsidRPr="00F90EFE" w:rsidRDefault="00953B10">
      <w:pPr>
        <w:widowControl w:val="0"/>
        <w:tabs>
          <w:tab w:val="left" w:pos="709"/>
        </w:tabs>
        <w:spacing w:before="240" w:after="240" w:line="360" w:lineRule="auto"/>
        <w:ind w:right="851"/>
        <w:jc w:val="both"/>
        <w:rPr>
          <w:rFonts w:ascii="Palatino Linotype" w:eastAsia="Palatino Linotype" w:hAnsi="Palatino Linotype" w:cs="Palatino Linotype"/>
        </w:rPr>
      </w:pPr>
      <w:r w:rsidRPr="00F90EFE">
        <w:rPr>
          <w:rFonts w:ascii="Palatino Linotype" w:eastAsia="Palatino Linotype" w:hAnsi="Palatino Linotype" w:cs="Palatino Linotype"/>
          <w:noProof/>
          <w:lang w:val="es-MX"/>
        </w:rPr>
        <w:lastRenderedPageBreak/>
        <w:drawing>
          <wp:inline distT="0" distB="0" distL="0" distR="0" wp14:anchorId="652100B4" wp14:editId="3E24E2BE">
            <wp:extent cx="5581015" cy="2293620"/>
            <wp:effectExtent l="0" t="0" r="0" b="0"/>
            <wp:docPr id="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581015" cy="2293620"/>
                    </a:xfrm>
                    <a:prstGeom prst="rect">
                      <a:avLst/>
                    </a:prstGeom>
                    <a:ln/>
                  </pic:spPr>
                </pic:pic>
              </a:graphicData>
            </a:graphic>
          </wp:inline>
        </w:drawing>
      </w:r>
    </w:p>
    <w:p w14:paraId="5C93AD05" w14:textId="77777777" w:rsidR="006F6FA1" w:rsidRPr="00F90EFE" w:rsidRDefault="00953B10">
      <w:pPr>
        <w:widowControl w:val="0"/>
        <w:tabs>
          <w:tab w:val="left" w:pos="709"/>
        </w:tabs>
        <w:spacing w:before="240" w:after="240" w:line="360" w:lineRule="auto"/>
        <w:jc w:val="both"/>
        <w:rPr>
          <w:rFonts w:ascii="Palatino Linotype" w:eastAsia="Palatino Linotype" w:hAnsi="Palatino Linotype" w:cs="Palatino Linotype"/>
          <w:b/>
          <w:i/>
        </w:rPr>
      </w:pPr>
      <w:r w:rsidRPr="00F90EFE">
        <w:rPr>
          <w:rFonts w:ascii="Palatino Linotype" w:eastAsia="Palatino Linotype" w:hAnsi="Palatino Linotype" w:cs="Palatino Linotype"/>
          <w:b/>
        </w:rPr>
        <w:t>7. Ampliación del plazo para emitir resolución.</w:t>
      </w:r>
      <w:r w:rsidRPr="00F90EFE">
        <w:rPr>
          <w:rFonts w:ascii="Palatino Linotype" w:eastAsia="Palatino Linotype" w:hAnsi="Palatino Linotype" w:cs="Palatino Linotype"/>
        </w:rPr>
        <w:t xml:space="preserve"> El </w:t>
      </w:r>
      <w:r w:rsidRPr="00F90EFE">
        <w:rPr>
          <w:rFonts w:ascii="Palatino Linotype" w:eastAsia="Palatino Linotype" w:hAnsi="Palatino Linotype" w:cs="Palatino Linotype"/>
          <w:b/>
        </w:rPr>
        <w:t>diecinueve de enero de dos mil veintitrés</w:t>
      </w:r>
      <w:r w:rsidRPr="00F90EFE">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861828B"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FD9CD49" w14:textId="77777777" w:rsidR="006F6FA1" w:rsidRPr="00F90EFE" w:rsidRDefault="006F6FA1">
      <w:pPr>
        <w:spacing w:line="360" w:lineRule="auto"/>
      </w:pPr>
    </w:p>
    <w:p w14:paraId="21A54B9A"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F90EFE">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5D5223DE" w14:textId="77777777" w:rsidR="006F6FA1" w:rsidRPr="00F90EFE" w:rsidRDefault="006F6FA1">
      <w:pPr>
        <w:spacing w:line="360" w:lineRule="auto"/>
      </w:pPr>
    </w:p>
    <w:p w14:paraId="3336DC15"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A5E2B3" w14:textId="77777777" w:rsidR="006F6FA1" w:rsidRPr="00F90EFE" w:rsidRDefault="006F6FA1">
      <w:pPr>
        <w:spacing w:line="360" w:lineRule="auto"/>
      </w:pPr>
    </w:p>
    <w:p w14:paraId="28F6DB66"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14BA0E3" w14:textId="77777777" w:rsidR="006F6FA1" w:rsidRPr="00F90EFE" w:rsidRDefault="006F6FA1">
      <w:pPr>
        <w:spacing w:line="360" w:lineRule="auto"/>
      </w:pPr>
    </w:p>
    <w:p w14:paraId="6D67ED38"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r w:rsidRPr="00F90EFE">
        <w:br/>
      </w:r>
    </w:p>
    <w:p w14:paraId="4704657E" w14:textId="77777777" w:rsidR="006F6FA1" w:rsidRPr="00F90EFE" w:rsidRDefault="00953B10">
      <w:pPr>
        <w:numPr>
          <w:ilvl w:val="0"/>
          <w:numId w:val="2"/>
        </w:numPr>
        <w:pBdr>
          <w:top w:val="nil"/>
          <w:left w:val="nil"/>
          <w:bottom w:val="nil"/>
          <w:right w:val="nil"/>
          <w:between w:val="nil"/>
        </w:pBdr>
        <w:spacing w:line="360" w:lineRule="auto"/>
        <w:ind w:left="567" w:right="567" w:hanging="141"/>
        <w:jc w:val="both"/>
      </w:pPr>
      <w:r w:rsidRPr="00F90EFE">
        <w:rPr>
          <w:rFonts w:ascii="Palatino Linotype" w:eastAsia="Palatino Linotype" w:hAnsi="Palatino Linotype" w:cs="Palatino Linotype"/>
          <w:b/>
        </w:rPr>
        <w:t>Complejidad del Asunto:</w:t>
      </w:r>
      <w:r w:rsidRPr="00F90EFE">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EB67F33" w14:textId="77777777" w:rsidR="006F6FA1" w:rsidRPr="00F90EFE" w:rsidRDefault="00953B10">
      <w:pPr>
        <w:numPr>
          <w:ilvl w:val="0"/>
          <w:numId w:val="2"/>
        </w:numPr>
        <w:pBdr>
          <w:top w:val="nil"/>
          <w:left w:val="nil"/>
          <w:bottom w:val="nil"/>
          <w:right w:val="nil"/>
          <w:between w:val="nil"/>
        </w:pBdr>
        <w:spacing w:line="360" w:lineRule="auto"/>
        <w:ind w:left="567" w:right="567" w:hanging="141"/>
        <w:jc w:val="both"/>
      </w:pPr>
      <w:r w:rsidRPr="00F90EFE">
        <w:rPr>
          <w:rFonts w:ascii="Palatino Linotype" w:eastAsia="Palatino Linotype" w:hAnsi="Palatino Linotype" w:cs="Palatino Linotype"/>
          <w:b/>
        </w:rPr>
        <w:t>Actividad Procesal del interesado</w:t>
      </w:r>
      <w:r w:rsidRPr="00F90EFE">
        <w:rPr>
          <w:rFonts w:ascii="Palatino Linotype" w:eastAsia="Palatino Linotype" w:hAnsi="Palatino Linotype" w:cs="Palatino Linotype"/>
        </w:rPr>
        <w:t>. Acciones u omisiones del interesado.</w:t>
      </w:r>
    </w:p>
    <w:p w14:paraId="0A3A74A3" w14:textId="77777777" w:rsidR="006F6FA1" w:rsidRPr="00F90EFE" w:rsidRDefault="00953B10">
      <w:pPr>
        <w:numPr>
          <w:ilvl w:val="0"/>
          <w:numId w:val="2"/>
        </w:numPr>
        <w:pBdr>
          <w:top w:val="nil"/>
          <w:left w:val="nil"/>
          <w:bottom w:val="nil"/>
          <w:right w:val="nil"/>
          <w:between w:val="nil"/>
        </w:pBdr>
        <w:spacing w:line="360" w:lineRule="auto"/>
        <w:ind w:left="567" w:right="567" w:hanging="141"/>
        <w:jc w:val="both"/>
      </w:pPr>
      <w:r w:rsidRPr="00F90EFE">
        <w:rPr>
          <w:rFonts w:ascii="Palatino Linotype" w:eastAsia="Palatino Linotype" w:hAnsi="Palatino Linotype" w:cs="Palatino Linotype"/>
          <w:b/>
        </w:rPr>
        <w:t>Conducta de la Autoridad:</w:t>
      </w:r>
      <w:r w:rsidRPr="00F90EFE">
        <w:rPr>
          <w:rFonts w:ascii="Palatino Linotype" w:eastAsia="Palatino Linotype" w:hAnsi="Palatino Linotype" w:cs="Palatino Linotype"/>
        </w:rPr>
        <w:t xml:space="preserve"> Las Acciones u omisiones realizadas en el procedimiento. Así como si la autoridad actuó con la debida diligencia.</w:t>
      </w:r>
    </w:p>
    <w:p w14:paraId="7F995206" w14:textId="77777777" w:rsidR="006F6FA1" w:rsidRPr="00F90EFE" w:rsidRDefault="00953B10">
      <w:pPr>
        <w:numPr>
          <w:ilvl w:val="0"/>
          <w:numId w:val="2"/>
        </w:numPr>
        <w:pBdr>
          <w:top w:val="nil"/>
          <w:left w:val="nil"/>
          <w:bottom w:val="nil"/>
          <w:right w:val="nil"/>
          <w:between w:val="nil"/>
        </w:pBdr>
        <w:spacing w:line="360" w:lineRule="auto"/>
        <w:ind w:left="567" w:right="567" w:hanging="141"/>
        <w:jc w:val="both"/>
      </w:pPr>
      <w:r w:rsidRPr="00F90EFE">
        <w:rPr>
          <w:rFonts w:ascii="Palatino Linotype" w:eastAsia="Palatino Linotype" w:hAnsi="Palatino Linotype" w:cs="Palatino Linotype"/>
          <w:b/>
        </w:rPr>
        <w:lastRenderedPageBreak/>
        <w:t>La afectación generada en la situación jurídica de la persona involucrada en el proceso:</w:t>
      </w:r>
      <w:r w:rsidRPr="00F90EFE">
        <w:rPr>
          <w:rFonts w:ascii="Palatino Linotype" w:eastAsia="Palatino Linotype" w:hAnsi="Palatino Linotype" w:cs="Palatino Linotype"/>
        </w:rPr>
        <w:t xml:space="preserve"> Violación a sus derechos humanos.</w:t>
      </w:r>
    </w:p>
    <w:p w14:paraId="37ECB4F4" w14:textId="77777777" w:rsidR="006F6FA1" w:rsidRPr="00F90EFE" w:rsidRDefault="006F6FA1">
      <w:pPr>
        <w:spacing w:line="360" w:lineRule="auto"/>
      </w:pPr>
    </w:p>
    <w:p w14:paraId="0EE6C963"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C89F26" w14:textId="77777777" w:rsidR="006F6FA1" w:rsidRPr="00F90EFE" w:rsidRDefault="006F6FA1">
      <w:pPr>
        <w:spacing w:line="360" w:lineRule="auto"/>
      </w:pPr>
    </w:p>
    <w:p w14:paraId="198E59E3"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90EF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90EFE">
        <w:rPr>
          <w:rFonts w:ascii="Palatino Linotype" w:eastAsia="Palatino Linotype" w:hAnsi="Palatino Linotype" w:cs="Palatino Linotype"/>
        </w:rPr>
        <w:t>, visible en la Gaceta del Seminario Judicial de la Federación con el registro digital 205635.</w:t>
      </w:r>
    </w:p>
    <w:p w14:paraId="051B0E38" w14:textId="77777777" w:rsidR="006F6FA1" w:rsidRPr="00F90EFE" w:rsidRDefault="006F6FA1">
      <w:pPr>
        <w:spacing w:line="360" w:lineRule="auto"/>
      </w:pPr>
    </w:p>
    <w:p w14:paraId="79FD2905"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F90EFE">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001BAB3E" w14:textId="77777777" w:rsidR="006F6FA1" w:rsidRPr="00F90EFE" w:rsidRDefault="006F6FA1">
      <w:pPr>
        <w:spacing w:line="360" w:lineRule="auto"/>
      </w:pPr>
    </w:p>
    <w:p w14:paraId="408517E8"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CF2E378" w14:textId="77777777" w:rsidR="006F6FA1" w:rsidRPr="00F90EFE" w:rsidRDefault="006F6FA1">
      <w:pPr>
        <w:spacing w:line="360" w:lineRule="auto"/>
      </w:pPr>
    </w:p>
    <w:p w14:paraId="1D0D3FB3"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 </w:t>
      </w:r>
      <w:r w:rsidRPr="00F90EFE">
        <w:rPr>
          <w:rFonts w:ascii="Palatino Linotype" w:eastAsia="Palatino Linotype" w:hAnsi="Palatino Linotype" w:cs="Palatino Linotype"/>
          <w:i/>
        </w:rPr>
        <w:t>“PLAZO RAZONABLE PARA RESOLVER. DIMENSIÓN Y EFECTOS DE ESTE CONCEPTO CUANDO SE ADUCE EXCESIVA CARGA DE TRABAJO.”</w:t>
      </w:r>
      <w:r w:rsidRPr="00F90EFE">
        <w:rPr>
          <w:rFonts w:ascii="Palatino Linotype" w:eastAsia="Palatino Linotype" w:hAnsi="Palatino Linotype" w:cs="Palatino Linotype"/>
        </w:rPr>
        <w:t xml:space="preserve"> consultable en el Seminario Judicial de la Federación y su gaceta, con el registro digital 2002351.</w:t>
      </w:r>
    </w:p>
    <w:p w14:paraId="205165FC" w14:textId="77777777" w:rsidR="006F6FA1" w:rsidRPr="00F90EFE" w:rsidRDefault="006F6FA1">
      <w:pPr>
        <w:spacing w:line="360" w:lineRule="auto"/>
      </w:pPr>
    </w:p>
    <w:p w14:paraId="6DC2319C"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i/>
        </w:rPr>
        <w:t>“PLAZO RAZONABLE PARA RESOLVER. CONCEPTO Y ELEMENTOS QUE LO INTEGRAN A LA LUZ DEL DERECHO INTERNACIONAL DE LOS DERECHOS HUMANOS.”</w:t>
      </w:r>
      <w:r w:rsidRPr="00F90EFE">
        <w:rPr>
          <w:rFonts w:ascii="Palatino Linotype" w:eastAsia="Palatino Linotype" w:hAnsi="Palatino Linotype" w:cs="Palatino Linotype"/>
        </w:rPr>
        <w:t>, visible en el Seminario Judicial de la Federación y su gaceta, con el registro digital 2002350.</w:t>
      </w:r>
    </w:p>
    <w:p w14:paraId="4DF62F4C" w14:textId="77777777" w:rsidR="006F6FA1" w:rsidRPr="00F90EFE" w:rsidRDefault="006F6FA1">
      <w:pPr>
        <w:spacing w:line="360" w:lineRule="auto"/>
      </w:pPr>
    </w:p>
    <w:p w14:paraId="788159BD" w14:textId="77777777" w:rsidR="006F6FA1" w:rsidRPr="00F90EFE" w:rsidRDefault="00953B10">
      <w:pPr>
        <w:pBdr>
          <w:top w:val="nil"/>
          <w:left w:val="nil"/>
          <w:bottom w:val="nil"/>
          <w:right w:val="nil"/>
          <w:between w:val="nil"/>
        </w:pBdr>
        <w:spacing w:line="360" w:lineRule="auto"/>
        <w:jc w:val="both"/>
      </w:pPr>
      <w:r w:rsidRPr="00F90EF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55C8D6A"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b/>
        </w:rPr>
        <w:t xml:space="preserve">9. Cierre de Instrucción. </w:t>
      </w:r>
      <w:r w:rsidRPr="00F90EFE">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w:t>
      </w:r>
      <w:r w:rsidRPr="00F90EFE">
        <w:rPr>
          <w:rFonts w:ascii="Palatino Linotype" w:eastAsia="Palatino Linotype" w:hAnsi="Palatino Linotype" w:cs="Palatino Linotype"/>
        </w:rPr>
        <w:lastRenderedPageBreak/>
        <w:t xml:space="preserve">Municipios, el día </w:t>
      </w:r>
      <w:r w:rsidRPr="00F90EFE">
        <w:rPr>
          <w:rFonts w:ascii="Palatino Linotype" w:eastAsia="Palatino Linotype" w:hAnsi="Palatino Linotype" w:cs="Palatino Linotype"/>
          <w:b/>
        </w:rPr>
        <w:t>veinticinco de enero de dos mil veintitrés</w:t>
      </w:r>
      <w:r w:rsidRPr="00F90EFE">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1AA9E8C3"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3533EBC" w14:textId="77777777" w:rsidR="006F6FA1" w:rsidRPr="00F90EFE" w:rsidRDefault="00953B10">
      <w:pPr>
        <w:spacing w:before="240" w:after="240" w:line="360" w:lineRule="auto"/>
        <w:ind w:right="49"/>
        <w:jc w:val="center"/>
        <w:rPr>
          <w:rFonts w:ascii="Palatino Linotype" w:eastAsia="Palatino Linotype" w:hAnsi="Palatino Linotype" w:cs="Palatino Linotype"/>
          <w:b/>
        </w:rPr>
      </w:pPr>
      <w:r w:rsidRPr="00F90EFE">
        <w:rPr>
          <w:rFonts w:ascii="Palatino Linotype" w:eastAsia="Palatino Linotype" w:hAnsi="Palatino Linotype" w:cs="Palatino Linotype"/>
          <w:b/>
        </w:rPr>
        <w:t>CONSIDERANDO</w:t>
      </w:r>
    </w:p>
    <w:p w14:paraId="2B9A671F"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b/>
        </w:rPr>
        <w:t>Primero.</w:t>
      </w:r>
      <w:r w:rsidRPr="00F90EFE">
        <w:rPr>
          <w:rFonts w:ascii="Palatino Linotype" w:eastAsia="Palatino Linotype" w:hAnsi="Palatino Linotype" w:cs="Palatino Linotype"/>
        </w:rPr>
        <w:t xml:space="preserve"> </w:t>
      </w:r>
      <w:r w:rsidRPr="00F90EFE">
        <w:rPr>
          <w:rFonts w:ascii="Palatino Linotype" w:eastAsia="Palatino Linotype" w:hAnsi="Palatino Linotype" w:cs="Palatino Linotype"/>
          <w:b/>
        </w:rPr>
        <w:t>Competencia.</w:t>
      </w:r>
      <w:r w:rsidRPr="00F90EFE">
        <w:rPr>
          <w:rFonts w:ascii="Palatino Linotype" w:eastAsia="Palatino Linotype" w:hAnsi="Palatino Linotype" w:cs="Palatino Linotype"/>
          <w:b/>
          <w:sz w:val="22"/>
          <w:szCs w:val="22"/>
        </w:rPr>
        <w:t xml:space="preserve"> </w:t>
      </w:r>
      <w:r w:rsidRPr="00F90EFE">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F90EFE">
        <w:rPr>
          <w:rFonts w:ascii="Palatino Linotype" w:eastAsia="Palatino Linotype" w:hAnsi="Palatino Linotype" w:cs="Palatino Linotype"/>
          <w:b/>
        </w:rPr>
        <w:t>la parte Recurrente</w:t>
      </w:r>
      <w:r w:rsidRPr="00F90EFE">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D72EC46"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b/>
        </w:rPr>
        <w:t xml:space="preserve">Segundo. Oportunidad y Procedibilidad. </w:t>
      </w:r>
      <w:r w:rsidRPr="00F90EFE">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w:t>
      </w:r>
      <w:r w:rsidRPr="00F90EFE">
        <w:rPr>
          <w:rFonts w:ascii="Palatino Linotype" w:eastAsia="Palatino Linotype" w:hAnsi="Palatino Linotype" w:cs="Palatino Linotype"/>
        </w:rPr>
        <w:lastRenderedPageBreak/>
        <w:t xml:space="preserve">que el presente medio de impugnación fue interpuesto dentro del plazo de quince días previsto en el primer artículo de referencia; toda vez que 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emitió su respuesta a la solicitud planteada por el solicitante en fecha </w:t>
      </w:r>
      <w:r w:rsidRPr="00F90EFE">
        <w:rPr>
          <w:rFonts w:ascii="Palatino Linotype" w:eastAsia="Palatino Linotype" w:hAnsi="Palatino Linotype" w:cs="Palatino Linotype"/>
          <w:b/>
        </w:rPr>
        <w:t>dieciséis de agosto del año dos mil veintidós</w:t>
      </w:r>
      <w:r w:rsidRPr="00F90EFE">
        <w:rPr>
          <w:rFonts w:ascii="Palatino Linotype" w:eastAsia="Palatino Linotype" w:hAnsi="Palatino Linotype" w:cs="Palatino Linotype"/>
        </w:rPr>
        <w:t xml:space="preserve"> y </w:t>
      </w:r>
      <w:r w:rsidRPr="00F90EFE">
        <w:rPr>
          <w:rFonts w:ascii="Palatino Linotype" w:eastAsia="Palatino Linotype" w:hAnsi="Palatino Linotype" w:cs="Palatino Linotype"/>
          <w:b/>
        </w:rPr>
        <w:t>la parte Recurrente</w:t>
      </w:r>
      <w:r w:rsidRPr="00F90EFE">
        <w:rPr>
          <w:rFonts w:ascii="Palatino Linotype" w:eastAsia="Palatino Linotype" w:hAnsi="Palatino Linotype" w:cs="Palatino Linotype"/>
        </w:rPr>
        <w:t xml:space="preserve"> presentó su recurso de revisión el </w:t>
      </w:r>
      <w:r w:rsidRPr="00F90EFE">
        <w:rPr>
          <w:rFonts w:ascii="Palatino Linotype" w:eastAsia="Palatino Linotype" w:hAnsi="Palatino Linotype" w:cs="Palatino Linotype"/>
          <w:b/>
        </w:rPr>
        <w:t>diecinueve de agosto de dos mil veintidós</w:t>
      </w:r>
      <w:r w:rsidRPr="00F90EFE">
        <w:rPr>
          <w:rFonts w:ascii="Palatino Linotype" w:eastAsia="Palatino Linotype" w:hAnsi="Palatino Linotype" w:cs="Palatino Linotype"/>
        </w:rPr>
        <w:t xml:space="preserve">, esto es al </w:t>
      </w:r>
      <w:r w:rsidRPr="00F90EFE">
        <w:rPr>
          <w:rFonts w:ascii="Palatino Linotype" w:eastAsia="Palatino Linotype" w:hAnsi="Palatino Linotype" w:cs="Palatino Linotype"/>
          <w:b/>
        </w:rPr>
        <w:t>tercer día hábil</w:t>
      </w:r>
      <w:r w:rsidRPr="00F90EFE">
        <w:rPr>
          <w:rFonts w:ascii="Palatino Linotype" w:eastAsia="Palatino Linotype" w:hAnsi="Palatino Linotype" w:cs="Palatino Linotype"/>
        </w:rPr>
        <w:t xml:space="preserve"> en el que tuvo conocimiento de la respuesta.</w:t>
      </w:r>
    </w:p>
    <w:p w14:paraId="1CDF2C5F" w14:textId="77777777" w:rsidR="006F6FA1" w:rsidRPr="00F90EFE" w:rsidRDefault="00953B1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Asimismo, por cuanto hace a la procedibilidad del  recurso de revisión, es de suma importancia señalar que </w:t>
      </w:r>
      <w:r w:rsidRPr="00F90EFE">
        <w:rPr>
          <w:rFonts w:ascii="Palatino Linotype" w:eastAsia="Palatino Linotype" w:hAnsi="Palatino Linotype" w:cs="Palatino Linotype"/>
          <w:b/>
        </w:rPr>
        <w:t>la parte Recurrente</w:t>
      </w:r>
      <w:r w:rsidRPr="00F90EFE">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B6046A" w14:textId="77777777" w:rsidR="006F6FA1" w:rsidRPr="00F90EFE" w:rsidRDefault="00953B1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9D4306C" w14:textId="77777777" w:rsidR="006F6FA1" w:rsidRPr="00F90EFE" w:rsidRDefault="00953B10">
      <w:pPr>
        <w:spacing w:before="240" w:after="240" w:line="360" w:lineRule="auto"/>
        <w:ind w:right="-93"/>
        <w:jc w:val="both"/>
        <w:rPr>
          <w:rFonts w:ascii="Palatino Linotype" w:eastAsia="Palatino Linotype" w:hAnsi="Palatino Linotype" w:cs="Palatino Linotype"/>
        </w:rPr>
      </w:pPr>
      <w:r w:rsidRPr="00F90EFE">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C5277E1"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lastRenderedPageBreak/>
        <w:t xml:space="preserve">Finalmente, se advierte que resulta procedente la interposición del recurso, según lo manifestado por </w:t>
      </w:r>
      <w:r w:rsidRPr="00F90EFE">
        <w:rPr>
          <w:rFonts w:ascii="Palatino Linotype" w:eastAsia="Palatino Linotype" w:hAnsi="Palatino Linotype" w:cs="Palatino Linotype"/>
          <w:b/>
        </w:rPr>
        <w:t>la parte Recurrente</w:t>
      </w:r>
      <w:r w:rsidRPr="00F90EFE">
        <w:rPr>
          <w:rFonts w:ascii="Palatino Linotype" w:eastAsia="Palatino Linotype" w:hAnsi="Palatino Linotype" w:cs="Palatino Linotype"/>
        </w:rPr>
        <w:t xml:space="preserve"> en sus motivos de inconformidad, de acuerdo al artículo 179, fracción I del ordenamiento legal citado, que a la letra dice: </w:t>
      </w:r>
    </w:p>
    <w:p w14:paraId="22CDA1A5" w14:textId="77777777" w:rsidR="006F6FA1" w:rsidRPr="00F90EFE" w:rsidRDefault="00953B10">
      <w:pPr>
        <w:spacing w:before="240" w:after="240" w:line="276" w:lineRule="auto"/>
        <w:ind w:left="567" w:right="90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“Artículo 179.</w:t>
      </w:r>
      <w:r w:rsidRPr="00F90EF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45BF058B" w14:textId="77777777" w:rsidR="006F6FA1" w:rsidRPr="00F90EFE" w:rsidRDefault="00953B10">
      <w:pPr>
        <w:spacing w:before="240" w:after="240" w:line="276" w:lineRule="auto"/>
        <w:ind w:left="567" w:right="900"/>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I. La negativa a la información solicitada;</w:t>
      </w:r>
      <w:r w:rsidRPr="00F90EFE">
        <w:rPr>
          <w:rFonts w:ascii="Palatino Linotype" w:eastAsia="Palatino Linotype" w:hAnsi="Palatino Linotype" w:cs="Palatino Linotype"/>
          <w:i/>
          <w:sz w:val="22"/>
          <w:szCs w:val="22"/>
        </w:rPr>
        <w:t>” </w:t>
      </w:r>
    </w:p>
    <w:p w14:paraId="4C446DBA" w14:textId="77777777" w:rsidR="006F6FA1" w:rsidRPr="00F90EFE" w:rsidRDefault="00953B10">
      <w:pPr>
        <w:spacing w:before="240" w:after="240" w:line="276" w:lineRule="auto"/>
        <w:ind w:right="615"/>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         (Énfasis añadido)</w:t>
      </w:r>
    </w:p>
    <w:p w14:paraId="7832564D"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b/>
        </w:rPr>
        <w:t xml:space="preserve">Tercero. Materia de la revisión. </w:t>
      </w:r>
      <w:r w:rsidRPr="00F90EF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90EF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90EFE">
        <w:rPr>
          <w:rFonts w:ascii="Palatino Linotype" w:eastAsia="Palatino Linotype" w:hAnsi="Palatino Linotype" w:cs="Palatino Linotype"/>
        </w:rPr>
        <w:t>de la parte Recurrente, o en su defecto, en caso de ser procedente, ordenar la entrega de información oportuna.</w:t>
      </w:r>
    </w:p>
    <w:p w14:paraId="3E25D118" w14:textId="77777777" w:rsidR="006F6FA1" w:rsidRPr="00F90EFE" w:rsidRDefault="00953B10">
      <w:pPr>
        <w:spacing w:before="240" w:after="240" w:line="360" w:lineRule="auto"/>
        <w:jc w:val="both"/>
        <w:rPr>
          <w:rFonts w:ascii="Palatino Linotype" w:eastAsia="Palatino Linotype" w:hAnsi="Palatino Linotype" w:cs="Palatino Linotype"/>
          <w:b/>
        </w:rPr>
      </w:pPr>
      <w:r w:rsidRPr="00F90EFE">
        <w:rPr>
          <w:rFonts w:ascii="Palatino Linotype" w:eastAsia="Palatino Linotype" w:hAnsi="Palatino Linotype" w:cs="Palatino Linotype"/>
          <w:b/>
        </w:rPr>
        <w:t xml:space="preserve">Cuarto. Estudio del asunto. </w:t>
      </w:r>
      <w:r w:rsidRPr="00F90EFE">
        <w:rPr>
          <w:rFonts w:ascii="Palatino Linotype" w:eastAsia="Palatino Linotype" w:hAnsi="Palatino Linotype" w:cs="Palatino Linotype"/>
        </w:rPr>
        <w:t xml:space="preserve">Antes de entrar al análisis de los pronunciamientos del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BD348C7" w14:textId="77777777" w:rsidR="006F6FA1" w:rsidRPr="00F90EFE" w:rsidRDefault="00953B1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F90EF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39BE9F1" w14:textId="77777777" w:rsidR="006F6FA1" w:rsidRPr="00F90EFE" w:rsidRDefault="00953B10">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F6A6865" w14:textId="77777777" w:rsidR="006F6FA1" w:rsidRPr="00F90EFE" w:rsidRDefault="00953B1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90EF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03393C2" w14:textId="77777777" w:rsidR="006F6FA1" w:rsidRPr="00F90EFE" w:rsidRDefault="00953B1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55B81B45" w14:textId="77777777" w:rsidR="006F6FA1" w:rsidRPr="00F90EFE" w:rsidRDefault="00953B10">
      <w:pPr>
        <w:spacing w:before="240" w:after="240" w:line="276" w:lineRule="auto"/>
        <w:ind w:left="851" w:right="90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“Artículo 6o.</w:t>
      </w:r>
    </w:p>
    <w:p w14:paraId="12FAFCD7" w14:textId="77777777" w:rsidR="006F6FA1" w:rsidRPr="00F90EFE" w:rsidRDefault="00953B10">
      <w:pPr>
        <w:spacing w:before="240" w:after="240" w:line="276" w:lineRule="auto"/>
        <w:ind w:left="851" w:right="90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41C26CA4" w14:textId="77777777" w:rsidR="006F6FA1" w:rsidRPr="00F90EFE" w:rsidRDefault="00953B10">
      <w:pPr>
        <w:spacing w:before="240" w:after="240" w:line="276" w:lineRule="auto"/>
        <w:ind w:left="851"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 xml:space="preserve">A. Para el ejercicio del derecho de acceso a la información, la Federación y </w:t>
      </w:r>
      <w:r w:rsidRPr="00F90EFE">
        <w:rPr>
          <w:rFonts w:ascii="Palatino Linotype" w:eastAsia="Palatino Linotype" w:hAnsi="Palatino Linotype" w:cs="Palatino Linotype"/>
          <w:b/>
          <w:i/>
          <w:sz w:val="22"/>
          <w:szCs w:val="22"/>
          <w:u w:val="single"/>
        </w:rPr>
        <w:t>las entidades federativas</w:t>
      </w:r>
      <w:r w:rsidRPr="00F90EFE">
        <w:rPr>
          <w:rFonts w:ascii="Palatino Linotype" w:eastAsia="Palatino Linotype" w:hAnsi="Palatino Linotype" w:cs="Palatino Linotype"/>
          <w:b/>
          <w:i/>
          <w:sz w:val="22"/>
          <w:szCs w:val="22"/>
        </w:rPr>
        <w:t>,</w:t>
      </w:r>
      <w:r w:rsidRPr="00F90EFE">
        <w:rPr>
          <w:rFonts w:ascii="Palatino Linotype" w:eastAsia="Palatino Linotype" w:hAnsi="Palatino Linotype" w:cs="Palatino Linotype"/>
          <w:i/>
          <w:sz w:val="22"/>
          <w:szCs w:val="22"/>
        </w:rPr>
        <w:t xml:space="preserve"> en el ámbito de sus respectivas competencias, se regirán por los siguientes principios y bases:</w:t>
      </w:r>
    </w:p>
    <w:p w14:paraId="5ACEB3AE" w14:textId="77777777" w:rsidR="006F6FA1" w:rsidRPr="00F90EFE" w:rsidRDefault="00953B10">
      <w:pPr>
        <w:spacing w:before="240" w:after="240" w:line="276" w:lineRule="auto"/>
        <w:ind w:left="851"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w:t>
      </w:r>
      <w:r w:rsidRPr="00F90EFE">
        <w:rPr>
          <w:rFonts w:ascii="Palatino Linotype" w:eastAsia="Palatino Linotype" w:hAnsi="Palatino Linotype" w:cs="Palatino Linotype"/>
          <w:b/>
          <w:i/>
          <w:sz w:val="22"/>
          <w:szCs w:val="22"/>
        </w:rPr>
        <w:t xml:space="preserve">I. </w:t>
      </w:r>
      <w:r w:rsidRPr="00F90EF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90EFE">
        <w:rPr>
          <w:rFonts w:ascii="Palatino Linotype" w:eastAsia="Palatino Linotype" w:hAnsi="Palatino Linotype" w:cs="Palatino Linotype"/>
          <w:i/>
          <w:sz w:val="22"/>
          <w:szCs w:val="22"/>
        </w:rPr>
        <w:t xml:space="preserve"> Ejecutivo, Legislativo </w:t>
      </w:r>
      <w:r w:rsidRPr="00F90EFE">
        <w:rPr>
          <w:rFonts w:ascii="Palatino Linotype" w:eastAsia="Palatino Linotype" w:hAnsi="Palatino Linotype" w:cs="Palatino Linotype"/>
          <w:b/>
          <w:i/>
          <w:sz w:val="22"/>
          <w:szCs w:val="22"/>
          <w:u w:val="single"/>
        </w:rPr>
        <w:t>y Judicial</w:t>
      </w:r>
      <w:r w:rsidRPr="00F90EF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90EFE">
        <w:rPr>
          <w:rFonts w:ascii="Palatino Linotype" w:eastAsia="Palatino Linotype" w:hAnsi="Palatino Linotype" w:cs="Palatino Linotype"/>
          <w:b/>
          <w:i/>
          <w:sz w:val="22"/>
          <w:szCs w:val="22"/>
        </w:rPr>
        <w:t>es pública y sólo podrá ser reservada temporalmente por razones de interés público y seguridad nacional,</w:t>
      </w:r>
      <w:r w:rsidRPr="00F90EFE">
        <w:rPr>
          <w:rFonts w:ascii="Palatino Linotype" w:eastAsia="Palatino Linotype" w:hAnsi="Palatino Linotype" w:cs="Palatino Linotype"/>
          <w:i/>
          <w:sz w:val="22"/>
          <w:szCs w:val="22"/>
        </w:rPr>
        <w:t xml:space="preserve"> en los términos que fijen las leyes. En la interpretación de </w:t>
      </w:r>
      <w:r w:rsidRPr="00F90EFE">
        <w:rPr>
          <w:rFonts w:ascii="Palatino Linotype" w:eastAsia="Palatino Linotype" w:hAnsi="Palatino Linotype" w:cs="Palatino Linotype"/>
          <w:i/>
          <w:sz w:val="22"/>
          <w:szCs w:val="22"/>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6D00DD3" w14:textId="77777777" w:rsidR="006F6FA1" w:rsidRPr="00F90EFE" w:rsidRDefault="00953B10">
      <w:pPr>
        <w:spacing w:before="240" w:after="240" w:line="276" w:lineRule="auto"/>
        <w:ind w:left="851"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i/>
          <w:sz w:val="22"/>
          <w:szCs w:val="22"/>
        </w:rPr>
        <w:t> </w:t>
      </w:r>
      <w:r w:rsidRPr="00F90EF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6AF3BE8" w14:textId="77777777" w:rsidR="006F6FA1" w:rsidRPr="00F90EFE" w:rsidRDefault="00953B10">
      <w:pPr>
        <w:spacing w:before="240" w:after="240" w:line="276" w:lineRule="auto"/>
        <w:ind w:left="851"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w:t>
      </w:r>
      <w:r w:rsidRPr="00F90EFE">
        <w:rPr>
          <w:rFonts w:ascii="Palatino Linotype" w:eastAsia="Palatino Linotype" w:hAnsi="Palatino Linotype" w:cs="Palatino Linotype"/>
          <w:b/>
          <w:i/>
          <w:sz w:val="22"/>
          <w:szCs w:val="22"/>
        </w:rPr>
        <w:t xml:space="preserve">III. </w:t>
      </w:r>
      <w:r w:rsidRPr="00F90EF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90EFE">
        <w:rPr>
          <w:rFonts w:ascii="Palatino Linotype" w:eastAsia="Palatino Linotype" w:hAnsi="Palatino Linotype" w:cs="Palatino Linotype"/>
          <w:i/>
          <w:sz w:val="22"/>
          <w:szCs w:val="22"/>
        </w:rPr>
        <w:t xml:space="preserve"> a sus datos personales o a la rectificación de éstos.</w:t>
      </w:r>
    </w:p>
    <w:p w14:paraId="7B9A0E77" w14:textId="77777777" w:rsidR="006F6FA1" w:rsidRPr="00F90EFE" w:rsidRDefault="00953B10">
      <w:pPr>
        <w:spacing w:before="240" w:after="240" w:line="276" w:lineRule="auto"/>
        <w:ind w:left="851"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w:t>
      </w:r>
      <w:r w:rsidRPr="00F90EFE">
        <w:rPr>
          <w:rFonts w:ascii="Palatino Linotype" w:eastAsia="Palatino Linotype" w:hAnsi="Palatino Linotype" w:cs="Palatino Linotype"/>
          <w:b/>
          <w:i/>
          <w:sz w:val="22"/>
          <w:szCs w:val="22"/>
        </w:rPr>
        <w:t xml:space="preserve">IV. </w:t>
      </w:r>
      <w:r w:rsidRPr="00F90EF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029ED9B" w14:textId="77777777" w:rsidR="006F6FA1" w:rsidRPr="00F90EFE" w:rsidRDefault="00953B10">
      <w:pPr>
        <w:spacing w:before="240" w:after="240" w:line="276" w:lineRule="auto"/>
        <w:ind w:left="851"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 xml:space="preserve">V. </w:t>
      </w:r>
      <w:r w:rsidRPr="00F90EF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38D2F3F" w14:textId="77777777" w:rsidR="006F6FA1" w:rsidRPr="00F90EFE" w:rsidRDefault="00953B10">
      <w:pPr>
        <w:spacing w:before="240" w:after="240" w:line="276" w:lineRule="auto"/>
        <w:ind w:left="851"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w:t>
      </w:r>
      <w:r w:rsidRPr="00F90EFE">
        <w:rPr>
          <w:rFonts w:ascii="Palatino Linotype" w:eastAsia="Palatino Linotype" w:hAnsi="Palatino Linotype" w:cs="Palatino Linotype"/>
          <w:b/>
          <w:i/>
          <w:sz w:val="22"/>
          <w:szCs w:val="22"/>
        </w:rPr>
        <w:t xml:space="preserve">VI. </w:t>
      </w:r>
      <w:r w:rsidRPr="00F90EF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A5A58DC" w14:textId="77777777" w:rsidR="006F6FA1" w:rsidRPr="00F90EFE" w:rsidRDefault="00953B10">
      <w:pPr>
        <w:spacing w:before="240" w:after="240" w:line="276" w:lineRule="auto"/>
        <w:ind w:left="851"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w:t>
      </w:r>
      <w:r w:rsidRPr="00F90EFE">
        <w:rPr>
          <w:rFonts w:ascii="Palatino Linotype" w:eastAsia="Palatino Linotype" w:hAnsi="Palatino Linotype" w:cs="Palatino Linotype"/>
          <w:b/>
          <w:i/>
          <w:sz w:val="22"/>
          <w:szCs w:val="22"/>
        </w:rPr>
        <w:t xml:space="preserve">VII. </w:t>
      </w:r>
      <w:r w:rsidRPr="00F90EF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70FA2A7"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w:t>
      </w:r>
      <w:r w:rsidRPr="00F90EFE">
        <w:rPr>
          <w:rFonts w:ascii="Palatino Linotype" w:eastAsia="Palatino Linotype" w:hAnsi="Palatino Linotype" w:cs="Palatino Linotype"/>
        </w:rPr>
        <w:lastRenderedPageBreak/>
        <w:t>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DDF9305" w14:textId="77777777" w:rsidR="006F6FA1" w:rsidRPr="00F90EFE" w:rsidRDefault="00953B10">
      <w:pPr>
        <w:spacing w:before="240" w:after="240" w:line="276" w:lineRule="auto"/>
        <w:ind w:left="709" w:right="76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r w:rsidRPr="00F90EFE">
        <w:rPr>
          <w:rFonts w:ascii="Palatino Linotype" w:eastAsia="Palatino Linotype" w:hAnsi="Palatino Linotype" w:cs="Palatino Linotype"/>
          <w:b/>
          <w:i/>
          <w:sz w:val="22"/>
          <w:szCs w:val="22"/>
        </w:rPr>
        <w:t>Artículo 4</w:t>
      </w:r>
      <w:r w:rsidRPr="00F90EF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518030E" w14:textId="77777777" w:rsidR="006F6FA1" w:rsidRPr="00F90EFE" w:rsidRDefault="00953B10">
      <w:pPr>
        <w:spacing w:before="240" w:after="240" w:line="276" w:lineRule="auto"/>
        <w:ind w:left="709" w:right="760"/>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539FA90" w14:textId="77777777" w:rsidR="006F6FA1" w:rsidRPr="00F90EFE" w:rsidRDefault="00953B10">
      <w:pPr>
        <w:spacing w:before="240" w:after="240" w:line="276" w:lineRule="auto"/>
        <w:ind w:left="709" w:right="76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2C4E5548"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42A855E" w14:textId="77777777" w:rsidR="006F6FA1" w:rsidRPr="00F90EFE" w:rsidRDefault="00953B10">
      <w:pPr>
        <w:spacing w:before="240" w:after="240" w:line="276" w:lineRule="auto"/>
        <w:ind w:left="567" w:right="758"/>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lastRenderedPageBreak/>
        <w:t>“</w:t>
      </w:r>
      <w:r w:rsidRPr="00F90EFE">
        <w:rPr>
          <w:rFonts w:ascii="Palatino Linotype" w:eastAsia="Palatino Linotype" w:hAnsi="Palatino Linotype" w:cs="Palatino Linotype"/>
          <w:b/>
          <w:i/>
          <w:sz w:val="22"/>
          <w:szCs w:val="22"/>
        </w:rPr>
        <w:t>Artículo 12</w:t>
      </w:r>
      <w:r w:rsidRPr="00F90EF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E4B5BA9" w14:textId="77777777" w:rsidR="006F6FA1" w:rsidRPr="00F90EFE" w:rsidRDefault="00953B10">
      <w:pPr>
        <w:spacing w:before="240" w:after="240" w:line="276" w:lineRule="auto"/>
        <w:ind w:left="567" w:right="758"/>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C084D8B"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F90EFE">
        <w:rPr>
          <w:rFonts w:ascii="Palatino Linotype" w:eastAsia="Palatino Linotype" w:hAnsi="Palatino Linotype" w:cs="Palatino Linotype"/>
          <w:b/>
        </w:rPr>
        <w:t xml:space="preserve"> </w:t>
      </w:r>
      <w:r w:rsidRPr="00F90EFE">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90EFE">
        <w:rPr>
          <w:rFonts w:ascii="Palatino Linotype" w:eastAsia="Palatino Linotype" w:hAnsi="Palatino Linotype" w:cs="Palatino Linotype"/>
          <w:i/>
        </w:rPr>
        <w:t>ad hoc</w:t>
      </w:r>
      <w:r w:rsidRPr="00F90EFE">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55939DBE" w14:textId="77777777" w:rsidR="006F6FA1" w:rsidRPr="00F90EFE" w:rsidRDefault="00953B10">
      <w:pPr>
        <w:spacing w:before="240" w:after="240" w:line="276" w:lineRule="auto"/>
        <w:ind w:left="567" w:right="567"/>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03/17</w:t>
      </w:r>
    </w:p>
    <w:p w14:paraId="1B177078" w14:textId="77777777" w:rsidR="006F6FA1" w:rsidRPr="00F90EFE" w:rsidRDefault="00953B10">
      <w:pPr>
        <w:spacing w:before="240" w:after="240" w:line="276" w:lineRule="auto"/>
        <w:ind w:left="567" w:right="567"/>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“NO EXISTE OBLIGACIÓN DE ELABORAR DOCUMENTOS AD HOC PARA ATENDER LAS SOLICITUDES DE ACCESO A LA INFORMACIÓN.</w:t>
      </w:r>
    </w:p>
    <w:p w14:paraId="6D427B64" w14:textId="77777777" w:rsidR="006F6FA1" w:rsidRPr="00F90EFE" w:rsidRDefault="00953B10">
      <w:pPr>
        <w:spacing w:before="240" w:after="240" w:line="276" w:lineRule="auto"/>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F90EFE">
        <w:rPr>
          <w:rFonts w:ascii="Palatino Linotype" w:eastAsia="Palatino Linotype" w:hAnsi="Palatino Linotype" w:cs="Palatino Linotype"/>
          <w:i/>
          <w:sz w:val="22"/>
          <w:szCs w:val="22"/>
        </w:rPr>
        <w:lastRenderedPageBreak/>
        <w:t>necesidad de elaborar documentos ad hoc para atender las solicitudes de información."(Sic)</w:t>
      </w:r>
    </w:p>
    <w:p w14:paraId="2A849654"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B87D6AE"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5439398"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sidRPr="00F90EFE">
        <w:rPr>
          <w:rFonts w:ascii="Palatino Linotype" w:eastAsia="Palatino Linotype" w:hAnsi="Palatino Linotype" w:cs="Palatino Linotype"/>
        </w:rPr>
        <w:lastRenderedPageBreak/>
        <w:t xml:space="preserve">electrónico, informático u holográfico de conformidad con el artículo 3, fracción XI de la Ley de la materia, el cual señala lo siguiente: </w:t>
      </w:r>
    </w:p>
    <w:p w14:paraId="6C822BDF" w14:textId="77777777" w:rsidR="006F6FA1" w:rsidRPr="00F90EFE" w:rsidRDefault="00953B10">
      <w:pPr>
        <w:spacing w:before="240" w:after="240" w:line="276" w:lineRule="auto"/>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r w:rsidRPr="00F90EFE">
        <w:rPr>
          <w:rFonts w:ascii="Palatino Linotype" w:eastAsia="Palatino Linotype" w:hAnsi="Palatino Linotype" w:cs="Palatino Linotype"/>
          <w:b/>
          <w:i/>
          <w:sz w:val="22"/>
          <w:szCs w:val="22"/>
        </w:rPr>
        <w:t xml:space="preserve">Artículo 3. </w:t>
      </w:r>
      <w:r w:rsidRPr="00F90EFE">
        <w:rPr>
          <w:rFonts w:ascii="Palatino Linotype" w:eastAsia="Palatino Linotype" w:hAnsi="Palatino Linotype" w:cs="Palatino Linotype"/>
          <w:i/>
          <w:sz w:val="22"/>
          <w:szCs w:val="22"/>
        </w:rPr>
        <w:t>Para los efectos de la presente Ley se entenderá por:</w:t>
      </w:r>
    </w:p>
    <w:p w14:paraId="58D9FB4D" w14:textId="77777777" w:rsidR="006F6FA1" w:rsidRPr="00F90EFE" w:rsidRDefault="00953B10">
      <w:pPr>
        <w:spacing w:before="240" w:after="240" w:line="276" w:lineRule="auto"/>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3D8AAB63" w14:textId="77777777" w:rsidR="006F6FA1" w:rsidRPr="00F90EFE" w:rsidRDefault="00953B10">
      <w:pPr>
        <w:spacing w:before="240" w:after="240" w:line="276" w:lineRule="auto"/>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XI. Documento:</w:t>
      </w:r>
      <w:r w:rsidRPr="00F90EF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90EFE">
        <w:rPr>
          <w:rFonts w:ascii="Palatino Linotype" w:eastAsia="Palatino Linotype" w:hAnsi="Palatino Linotype" w:cs="Palatino Linotype"/>
          <w:b/>
          <w:i/>
          <w:sz w:val="22"/>
          <w:szCs w:val="22"/>
        </w:rPr>
        <w:t>…</w:t>
      </w:r>
      <w:r w:rsidRPr="00F90EFE">
        <w:rPr>
          <w:rFonts w:ascii="Palatino Linotype" w:eastAsia="Palatino Linotype" w:hAnsi="Palatino Linotype" w:cs="Palatino Linotype"/>
          <w:i/>
          <w:sz w:val="22"/>
          <w:szCs w:val="22"/>
        </w:rPr>
        <w:t>” (Sic)</w:t>
      </w:r>
    </w:p>
    <w:p w14:paraId="0BDDDCD2"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96D0E53" w14:textId="77777777" w:rsidR="006F6FA1" w:rsidRPr="00F90EFE" w:rsidRDefault="00953B10">
      <w:pPr>
        <w:spacing w:before="240" w:after="240" w:line="276" w:lineRule="auto"/>
        <w:ind w:left="567" w:right="567"/>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sz w:val="22"/>
          <w:szCs w:val="22"/>
        </w:rPr>
        <w:t>“</w:t>
      </w:r>
      <w:r w:rsidRPr="00F90EFE">
        <w:rPr>
          <w:rFonts w:ascii="Palatino Linotype" w:eastAsia="Palatino Linotype" w:hAnsi="Palatino Linotype" w:cs="Palatino Linotype"/>
          <w:b/>
          <w:i/>
          <w:sz w:val="22"/>
          <w:szCs w:val="22"/>
        </w:rPr>
        <w:t>CRITERIO 0002-11</w:t>
      </w:r>
    </w:p>
    <w:p w14:paraId="47CB5C2B" w14:textId="77777777" w:rsidR="006F6FA1" w:rsidRPr="00F90EFE" w:rsidRDefault="00953B10">
      <w:pPr>
        <w:spacing w:before="240" w:after="240" w:line="276" w:lineRule="auto"/>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90EF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9BCB8A" w14:textId="77777777" w:rsidR="006F6FA1" w:rsidRPr="00F90EFE" w:rsidRDefault="00953B10">
      <w:pPr>
        <w:spacing w:before="240" w:after="240" w:line="276" w:lineRule="auto"/>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76DC58E0" w14:textId="77777777" w:rsidR="006F6FA1" w:rsidRPr="00F90EFE" w:rsidRDefault="00953B10">
      <w:pPr>
        <w:numPr>
          <w:ilvl w:val="0"/>
          <w:numId w:val="6"/>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7E4A9137" w14:textId="77777777" w:rsidR="006F6FA1" w:rsidRPr="00F90EFE" w:rsidRDefault="00953B10">
      <w:pPr>
        <w:numPr>
          <w:ilvl w:val="0"/>
          <w:numId w:val="6"/>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DB1F753" w14:textId="77777777" w:rsidR="006F6FA1" w:rsidRPr="00F90EFE" w:rsidRDefault="00953B10">
      <w:pPr>
        <w:spacing w:before="240" w:after="240" w:line="276" w:lineRule="auto"/>
        <w:ind w:left="567" w:right="567" w:hanging="284"/>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3) </w:t>
      </w:r>
      <w:r w:rsidRPr="00F90EFE">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7F69E6DE"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De ahí que 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F90EFE">
        <w:rPr>
          <w:rFonts w:ascii="Palatino Linotype" w:eastAsia="Palatino Linotype" w:hAnsi="Palatino Linotype" w:cs="Palatino Linotype"/>
          <w:vertAlign w:val="superscript"/>
        </w:rPr>
        <w:footnoteReference w:id="1"/>
      </w:r>
      <w:r w:rsidRPr="00F90EFE">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90EFE">
        <w:rPr>
          <w:rFonts w:ascii="Palatino Linotype" w:eastAsia="Palatino Linotype" w:hAnsi="Palatino Linotype" w:cs="Palatino Linotype"/>
          <w:vertAlign w:val="superscript"/>
        </w:rPr>
        <w:footnoteReference w:id="2"/>
      </w:r>
      <w:r w:rsidRPr="00F90EFE">
        <w:rPr>
          <w:rFonts w:ascii="Palatino Linotype" w:eastAsia="Palatino Linotype" w:hAnsi="Palatino Linotype" w:cs="Palatino Linotype"/>
        </w:rPr>
        <w:t>.</w:t>
      </w:r>
    </w:p>
    <w:p w14:paraId="1CCAC9F0"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Ahora bien, para profundizar en el estudio del presente asunto, es conveniente recordar que la parte solicitante requirió al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le proporcionara lo siguiente:</w:t>
      </w:r>
    </w:p>
    <w:p w14:paraId="2AB1B642" w14:textId="77777777" w:rsidR="006F6FA1" w:rsidRPr="00F90EFE" w:rsidRDefault="00953B10">
      <w:pPr>
        <w:numPr>
          <w:ilvl w:val="0"/>
          <w:numId w:val="5"/>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b/>
          <w:sz w:val="22"/>
          <w:szCs w:val="22"/>
        </w:rPr>
      </w:pPr>
      <w:r w:rsidRPr="00F90EFE">
        <w:rPr>
          <w:rFonts w:ascii="Palatino Linotype" w:eastAsia="Palatino Linotype" w:hAnsi="Palatino Linotype" w:cs="Palatino Linotype"/>
          <w:b/>
          <w:sz w:val="22"/>
          <w:szCs w:val="22"/>
        </w:rPr>
        <w:lastRenderedPageBreak/>
        <w:t>Los documentos del proyecto denominado “</w:t>
      </w:r>
      <w:r w:rsidRPr="00F90EFE">
        <w:rPr>
          <w:rFonts w:ascii="Palatino Linotype" w:eastAsia="Palatino Linotype" w:hAnsi="Palatino Linotype" w:cs="Palatino Linotype"/>
          <w:b/>
          <w:i/>
          <w:sz w:val="22"/>
          <w:szCs w:val="22"/>
        </w:rPr>
        <w:t>Aplicación de la Convención de 2005: cada agente tiene un papel que desempeñar</w:t>
      </w:r>
      <w:r w:rsidRPr="00F90EFE">
        <w:rPr>
          <w:rFonts w:ascii="Palatino Linotype" w:eastAsia="Palatino Linotype" w:hAnsi="Palatino Linotype" w:cs="Palatino Linotype"/>
          <w:b/>
          <w:sz w:val="22"/>
          <w:szCs w:val="22"/>
        </w:rPr>
        <w:t>”, que presentaron al Fondo Internacional para la Diversidad Cultural (FIDC), de la Organización de las Naciones Unidas para la Educación, la Ciencia y la Cultura (UNESCO)</w:t>
      </w:r>
    </w:p>
    <w:p w14:paraId="7EA9D30C" w14:textId="77777777" w:rsidR="006F6FA1" w:rsidRPr="00F90EFE" w:rsidRDefault="00953B10">
      <w:pPr>
        <w:spacing w:before="240" w:after="240" w:line="360" w:lineRule="auto"/>
        <w:jc w:val="both"/>
        <w:rPr>
          <w:rFonts w:ascii="Palatino Linotype" w:eastAsia="Palatino Linotype" w:hAnsi="Palatino Linotype" w:cs="Palatino Linotype"/>
          <w:b/>
          <w:sz w:val="22"/>
          <w:szCs w:val="22"/>
        </w:rPr>
      </w:pPr>
      <w:r w:rsidRPr="00F90EFE">
        <w:rPr>
          <w:rFonts w:ascii="Palatino Linotype" w:eastAsia="Palatino Linotype" w:hAnsi="Palatino Linotype" w:cs="Palatino Linotype"/>
        </w:rPr>
        <w:t xml:space="preserve">Al respecto, 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hizo del conocimiento del solicitante que los servidores públicos habilitados de la Secretaría del Ayuntamiento, Dirección General del Medio Ambiente, Consejería Jurídica y Dirección General de Desarrollo Social informaron que derivado de una búsqueda exhaustiva y razonable, </w:t>
      </w:r>
      <w:r w:rsidRPr="00F90EFE">
        <w:rPr>
          <w:rFonts w:ascii="Palatino Linotype" w:eastAsia="Palatino Linotype" w:hAnsi="Palatino Linotype" w:cs="Palatino Linotype"/>
          <w:b/>
        </w:rPr>
        <w:t xml:space="preserve">no localizaron información sobre dicho tópico. </w:t>
      </w:r>
    </w:p>
    <w:p w14:paraId="541261BA" w14:textId="77777777" w:rsidR="006F6FA1" w:rsidRPr="00F90EFE" w:rsidRDefault="00953B10">
      <w:pPr>
        <w:pBdr>
          <w:top w:val="nil"/>
          <w:left w:val="nil"/>
          <w:bottom w:val="nil"/>
          <w:right w:val="nil"/>
          <w:between w:val="nil"/>
        </w:pBdr>
        <w:tabs>
          <w:tab w:val="left" w:pos="7513"/>
        </w:tabs>
        <w:spacing w:before="240" w:after="240" w:line="360" w:lineRule="auto"/>
        <w:ind w:right="49"/>
        <w:jc w:val="both"/>
        <w:rPr>
          <w:rFonts w:ascii="Palatino Linotype" w:eastAsia="Palatino Linotype" w:hAnsi="Palatino Linotype" w:cs="Palatino Linotype"/>
          <w:i/>
        </w:rPr>
      </w:pPr>
      <w:r w:rsidRPr="00F90EFE">
        <w:rPr>
          <w:rFonts w:ascii="Palatino Linotype" w:eastAsia="Palatino Linotype" w:hAnsi="Palatino Linotype" w:cs="Palatino Linotype"/>
        </w:rPr>
        <w:t xml:space="preserve">Una vez conocida la respuesta a su solicitud de información, el particular interpuso el recurso de revisión que nos ocupa, expresando en sus razones o motivos de inconformidad, lo siguiente: </w:t>
      </w:r>
      <w:r w:rsidRPr="00F90EFE">
        <w:rPr>
          <w:rFonts w:ascii="Palatino Linotype" w:eastAsia="Palatino Linotype" w:hAnsi="Palatino Linotype" w:cs="Palatino Linotype"/>
          <w:i/>
        </w:rPr>
        <w:t>“</w:t>
      </w:r>
      <w:r w:rsidRPr="00F90EFE">
        <w:rPr>
          <w:rFonts w:ascii="Palatino Linotype" w:eastAsia="Palatino Linotype" w:hAnsi="Palatino Linotype" w:cs="Palatino Linotype"/>
          <w:b/>
          <w:i/>
        </w:rPr>
        <w:t xml:space="preserve">se solicita información por que el proyecto fue aprobado por </w:t>
      </w:r>
      <w:proofErr w:type="spellStart"/>
      <w:r w:rsidRPr="00F90EFE">
        <w:rPr>
          <w:rFonts w:ascii="Palatino Linotype" w:eastAsia="Palatino Linotype" w:hAnsi="Palatino Linotype" w:cs="Palatino Linotype"/>
          <w:b/>
          <w:i/>
        </w:rPr>
        <w:t>unesco</w:t>
      </w:r>
      <w:proofErr w:type="spellEnd"/>
      <w:r w:rsidRPr="00F90EFE">
        <w:rPr>
          <w:rFonts w:ascii="Palatino Linotype" w:eastAsia="Palatino Linotype" w:hAnsi="Palatino Linotype" w:cs="Palatino Linotype"/>
          <w:b/>
          <w:i/>
        </w:rPr>
        <w:t xml:space="preserve"> y la respuesta no otorgan nada</w:t>
      </w:r>
      <w:r w:rsidRPr="00F90EFE">
        <w:rPr>
          <w:rFonts w:ascii="Palatino Linotype" w:eastAsia="Palatino Linotype" w:hAnsi="Palatino Linotype" w:cs="Palatino Linotype"/>
          <w:i/>
        </w:rPr>
        <w:t xml:space="preserve">” (Sic) (Énfasis añadido) </w:t>
      </w:r>
    </w:p>
    <w:p w14:paraId="603C0BD6" w14:textId="77777777" w:rsidR="006F6FA1" w:rsidRPr="00F90EFE" w:rsidRDefault="00953B10">
      <w:pPr>
        <w:pBdr>
          <w:top w:val="nil"/>
          <w:left w:val="nil"/>
          <w:bottom w:val="nil"/>
          <w:right w:val="nil"/>
          <w:between w:val="nil"/>
        </w:pBdr>
        <w:tabs>
          <w:tab w:val="left" w:pos="7513"/>
        </w:tabs>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Posterior a la admisión del recurso de revisión que se resuelve, las partes remitieron sus manifestaciones, de las cuales se advierten los siguientes supuestos: </w:t>
      </w:r>
    </w:p>
    <w:p w14:paraId="7A9F06D3" w14:textId="77777777" w:rsidR="006F6FA1" w:rsidRPr="00F90EFE" w:rsidRDefault="00953B10">
      <w:pPr>
        <w:pBdr>
          <w:top w:val="nil"/>
          <w:left w:val="nil"/>
          <w:bottom w:val="nil"/>
          <w:right w:val="nil"/>
          <w:between w:val="nil"/>
        </w:pBdr>
        <w:tabs>
          <w:tab w:val="left" w:pos="7513"/>
        </w:tabs>
        <w:spacing w:before="240" w:after="240" w:line="360" w:lineRule="auto"/>
        <w:ind w:left="567" w:right="49"/>
        <w:jc w:val="both"/>
        <w:rPr>
          <w:rFonts w:ascii="Palatino Linotype" w:eastAsia="Palatino Linotype" w:hAnsi="Palatino Linotype" w:cs="Palatino Linotype"/>
          <w:b/>
        </w:rPr>
      </w:pPr>
      <w:r w:rsidRPr="00F90EFE">
        <w:rPr>
          <w:rFonts w:ascii="Palatino Linotype" w:eastAsia="Palatino Linotype" w:hAnsi="Palatino Linotype" w:cs="Palatino Linotype"/>
          <w:b/>
        </w:rPr>
        <w:t>Recurrente:</w:t>
      </w:r>
    </w:p>
    <w:p w14:paraId="41D5D70C" w14:textId="77777777" w:rsidR="006F6FA1" w:rsidRPr="00F90EFE" w:rsidRDefault="00953B10">
      <w:pPr>
        <w:widowControl w:val="0"/>
        <w:spacing w:before="240" w:after="240" w:line="360" w:lineRule="auto"/>
        <w:ind w:left="567" w:right="851"/>
        <w:jc w:val="both"/>
        <w:rPr>
          <w:rFonts w:ascii="Palatino Linotype" w:eastAsia="Palatino Linotype" w:hAnsi="Palatino Linotype" w:cs="Palatino Linotype"/>
        </w:rPr>
      </w:pPr>
      <w:r w:rsidRPr="00F90EFE">
        <w:rPr>
          <w:rFonts w:ascii="Palatino Linotype" w:eastAsia="Palatino Linotype" w:hAnsi="Palatino Linotype" w:cs="Palatino Linotype"/>
          <w:b/>
          <w:i/>
        </w:rPr>
        <w:t xml:space="preserve">“Informes Fondo Internacional para la Diversidad Cultural.zip”: </w:t>
      </w:r>
      <w:r w:rsidRPr="00F90EFE">
        <w:rPr>
          <w:rFonts w:ascii="Palatino Linotype" w:eastAsia="Palatino Linotype" w:hAnsi="Palatino Linotype" w:cs="Palatino Linotype"/>
        </w:rPr>
        <w:t>Carpeta comprimida que a su vez contiene los siguientes archivos:</w:t>
      </w:r>
    </w:p>
    <w:p w14:paraId="43A7ADB8" w14:textId="77777777" w:rsidR="006F6FA1" w:rsidRPr="00F90EFE" w:rsidRDefault="00953B10">
      <w:pPr>
        <w:widowControl w:val="0"/>
        <w:numPr>
          <w:ilvl w:val="0"/>
          <w:numId w:val="3"/>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sz w:val="22"/>
          <w:szCs w:val="22"/>
        </w:rPr>
      </w:pPr>
      <w:r w:rsidRPr="00F90EFE">
        <w:rPr>
          <w:rFonts w:ascii="Palatino Linotype" w:eastAsia="Palatino Linotype" w:hAnsi="Palatino Linotype" w:cs="Palatino Linotype"/>
          <w:sz w:val="22"/>
          <w:szCs w:val="22"/>
        </w:rPr>
        <w:t>Informe 2014. Fondo Internacional para la Diversidad Cultural Invirtiendo en creatividad</w:t>
      </w:r>
    </w:p>
    <w:p w14:paraId="12C034D4" w14:textId="77777777" w:rsidR="006F6FA1" w:rsidRPr="00F90EFE" w:rsidRDefault="00953B10">
      <w:pPr>
        <w:widowControl w:val="0"/>
        <w:numPr>
          <w:ilvl w:val="0"/>
          <w:numId w:val="3"/>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sz w:val="22"/>
          <w:szCs w:val="22"/>
        </w:rPr>
      </w:pPr>
      <w:r w:rsidRPr="00F90EFE">
        <w:rPr>
          <w:rFonts w:ascii="Palatino Linotype" w:eastAsia="Palatino Linotype" w:hAnsi="Palatino Linotype" w:cs="Palatino Linotype"/>
          <w:sz w:val="22"/>
          <w:szCs w:val="22"/>
        </w:rPr>
        <w:lastRenderedPageBreak/>
        <w:t>Informe 2017. Fondo Internacional para la Diversidad Cultural Invirtiendo en creatividad.</w:t>
      </w:r>
    </w:p>
    <w:p w14:paraId="72B75957" w14:textId="77777777" w:rsidR="006F6FA1" w:rsidRPr="00F90EFE" w:rsidRDefault="00953B10">
      <w:pPr>
        <w:widowControl w:val="0"/>
        <w:numPr>
          <w:ilvl w:val="0"/>
          <w:numId w:val="3"/>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sz w:val="22"/>
          <w:szCs w:val="22"/>
        </w:rPr>
      </w:pPr>
      <w:r w:rsidRPr="00F90EFE">
        <w:rPr>
          <w:rFonts w:ascii="Palatino Linotype" w:eastAsia="Palatino Linotype" w:hAnsi="Palatino Linotype" w:cs="Palatino Linotype"/>
          <w:sz w:val="22"/>
          <w:szCs w:val="22"/>
        </w:rPr>
        <w:t>Fondo Internacional para la Diversidad Cultural Invirtiendo en creatividad. Transformando sociedades.</w:t>
      </w:r>
    </w:p>
    <w:p w14:paraId="7EEB64E0" w14:textId="77777777" w:rsidR="006F6FA1" w:rsidRPr="00F90EFE" w:rsidRDefault="00953B10">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F90EFE">
        <w:rPr>
          <w:rFonts w:ascii="Palatino Linotype" w:eastAsia="Palatino Linotype" w:hAnsi="Palatino Linotype" w:cs="Palatino Linotype"/>
          <w:b/>
          <w:i/>
        </w:rPr>
        <w:t xml:space="preserve">“Manifestaciones.docx”: </w:t>
      </w:r>
      <w:r w:rsidRPr="00F90EFE">
        <w:rPr>
          <w:rFonts w:ascii="Palatino Linotype" w:eastAsia="Palatino Linotype" w:hAnsi="Palatino Linotype" w:cs="Palatino Linotype"/>
        </w:rPr>
        <w:t xml:space="preserve">Documento en Word, en el que se aprecian los siguientes pronunciamientos del particular. </w:t>
      </w:r>
    </w:p>
    <w:p w14:paraId="2789D266" w14:textId="77777777" w:rsidR="006F6FA1" w:rsidRPr="00F90EFE" w:rsidRDefault="00953B10">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“Reiteramos la solicitud para que nos otorguen una copia de la documentación del proyecto “Aplicación de la Convención de 2005: cada agente tiene un papel que desempeñar” que el Ayuntamiento de Toluca entregó para participar en el Fondo Internacional para la Diversidad Cultural, de UNESCO. Es el proyecto de esta dirección web:</w:t>
      </w:r>
      <w:hyperlink r:id="rId13">
        <w:r w:rsidRPr="00F90EFE">
          <w:rPr>
            <w:rFonts w:ascii="Palatino Linotype" w:eastAsia="Palatino Linotype" w:hAnsi="Palatino Linotype" w:cs="Palatino Linotype"/>
            <w:i/>
            <w:sz w:val="22"/>
            <w:szCs w:val="22"/>
            <w:u w:val="single"/>
          </w:rPr>
          <w:t>https://es.unesco.org/creativity/ifcd/projects/aplicacion-de-convencion-de-2005-cada-agente</w:t>
        </w:r>
      </w:hyperlink>
      <w:r w:rsidRPr="00F90EFE">
        <w:rPr>
          <w:rFonts w:ascii="Palatino Linotype" w:eastAsia="Palatino Linotype" w:hAnsi="Palatino Linotype" w:cs="Palatino Linotype"/>
          <w:i/>
          <w:sz w:val="22"/>
          <w:szCs w:val="22"/>
        </w:rPr>
        <w:t xml:space="preserve"> </w:t>
      </w:r>
    </w:p>
    <w:p w14:paraId="6D59519E" w14:textId="77777777" w:rsidR="006F6FA1" w:rsidRPr="00F90EFE" w:rsidRDefault="00953B10">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Según diversos informes de UNESCO, el Ayuntamiento de Toluca presentó el proyecto y recibieron 30,344 dólares estadounidenses para su implementación. </w:t>
      </w:r>
    </w:p>
    <w:p w14:paraId="169D0DF1" w14:textId="77777777" w:rsidR="006F6FA1" w:rsidRPr="00F90EFE" w:rsidRDefault="00953B10">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Los documentos que adjuntamos a la presente queja son los informes de dicho organismo internacional. Los registros de proyecto “Aplicación de la Convención de 2005: cada agente tiene un papel que desempeñar” se pueden encontrar en:</w:t>
      </w:r>
    </w:p>
    <w:p w14:paraId="222C8DA0" w14:textId="77777777" w:rsidR="006F6FA1" w:rsidRPr="00F90EFE" w:rsidRDefault="00953B10">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Página 40 del documento: Informe 2017. Fondo Internacional para la Diversidad Cultural Invirtiendo en creatividad. </w:t>
      </w:r>
    </w:p>
    <w:p w14:paraId="2241FA02" w14:textId="77777777" w:rsidR="006F6FA1" w:rsidRPr="00F90EFE" w:rsidRDefault="00953B10">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Página 34 del documento: Informe 2014. Fondo Internacional para la Diversidad Cultural Invirtiendo en creatividad</w:t>
      </w:r>
    </w:p>
    <w:p w14:paraId="5820F21F" w14:textId="77777777" w:rsidR="006F6FA1" w:rsidRPr="00F90EFE" w:rsidRDefault="00953B10">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Página 41 del documento: Fondo Internacional para la Diversidad Cultural Invirtiendo en creatividad. Transformando sociedades.</w:t>
      </w:r>
    </w:p>
    <w:p w14:paraId="02F56F79" w14:textId="77777777" w:rsidR="006F6FA1" w:rsidRPr="00F90EFE" w:rsidRDefault="00953B10">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Por ese motivo consideramos que la documentación del proyecto sí se encuentra en poder del Ayuntamiento de Toluca y debe ser entregada conforme a la presente solicitud de información pública.</w:t>
      </w:r>
    </w:p>
    <w:p w14:paraId="1CC23120" w14:textId="77777777" w:rsidR="006F6FA1" w:rsidRPr="00F90EFE" w:rsidRDefault="00953B10">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lastRenderedPageBreak/>
        <w:t>Solicito los documentos del proyecto denominado “Aplicación de la Convención de 2005: cada agente tiene un papel que desempeñar”, que presentaron al Fondo Internacional para la Diversidad Cultural (FIDC), de la Organización de las Naciones Unidas para la Educación, la Ciencia y la Cultura (UNESCO)</w:t>
      </w:r>
    </w:p>
    <w:p w14:paraId="60E36CFF" w14:textId="77777777" w:rsidR="006F6FA1" w:rsidRPr="00F90EFE" w:rsidRDefault="00953B10">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Es el proyecto de esta dirección web: </w:t>
      </w:r>
      <w:hyperlink r:id="rId14">
        <w:r w:rsidRPr="00F90EFE">
          <w:rPr>
            <w:rFonts w:ascii="Palatino Linotype" w:eastAsia="Palatino Linotype" w:hAnsi="Palatino Linotype" w:cs="Palatino Linotype"/>
            <w:i/>
            <w:sz w:val="22"/>
            <w:szCs w:val="22"/>
            <w:u w:val="single"/>
          </w:rPr>
          <w:t>https://es.unesco.org/creativity/ifcd/projects/aplicacion-de-convencion-de-2005-cada-agente</w:t>
        </w:r>
      </w:hyperlink>
      <w:r w:rsidRPr="00F90EFE">
        <w:rPr>
          <w:rFonts w:ascii="Palatino Linotype" w:eastAsia="Palatino Linotype" w:hAnsi="Palatino Linotype" w:cs="Palatino Linotype"/>
          <w:i/>
          <w:sz w:val="22"/>
          <w:szCs w:val="22"/>
        </w:rPr>
        <w:t>” (Sic)</w:t>
      </w:r>
    </w:p>
    <w:p w14:paraId="0FD95159" w14:textId="77777777" w:rsidR="006F6FA1" w:rsidRPr="00F90EFE" w:rsidRDefault="00953B10">
      <w:pPr>
        <w:widowControl w:val="0"/>
        <w:spacing w:before="240" w:after="240" w:line="360" w:lineRule="auto"/>
        <w:ind w:left="567" w:right="851"/>
        <w:jc w:val="both"/>
        <w:rPr>
          <w:rFonts w:ascii="Palatino Linotype" w:eastAsia="Palatino Linotype" w:hAnsi="Palatino Linotype" w:cs="Palatino Linotype"/>
          <w:b/>
        </w:rPr>
      </w:pPr>
      <w:r w:rsidRPr="00F90EFE">
        <w:rPr>
          <w:rFonts w:ascii="Palatino Linotype" w:eastAsia="Palatino Linotype" w:hAnsi="Palatino Linotype" w:cs="Palatino Linotype"/>
          <w:b/>
        </w:rPr>
        <w:t>Sujeto Obligado:</w:t>
      </w:r>
    </w:p>
    <w:p w14:paraId="1F128D97" w14:textId="77777777" w:rsidR="006F6FA1" w:rsidRPr="00F90EFE" w:rsidRDefault="00953B10">
      <w:pPr>
        <w:widowControl w:val="0"/>
        <w:spacing w:before="240" w:after="240" w:line="360" w:lineRule="auto"/>
        <w:ind w:left="567" w:right="851"/>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Remitió el archivo electrónico </w:t>
      </w:r>
      <w:r w:rsidRPr="00F90EFE">
        <w:rPr>
          <w:rFonts w:ascii="Palatino Linotype" w:eastAsia="Palatino Linotype" w:hAnsi="Palatino Linotype" w:cs="Palatino Linotype"/>
          <w:b/>
          <w:i/>
        </w:rPr>
        <w:t>“RR 13429.pdf”</w:t>
      </w:r>
      <w:r w:rsidRPr="00F90EFE">
        <w:rPr>
          <w:rFonts w:ascii="Palatino Linotype" w:eastAsia="Palatino Linotype" w:hAnsi="Palatino Linotype" w:cs="Palatino Linotype"/>
          <w:b/>
        </w:rPr>
        <w:t>,</w:t>
      </w:r>
      <w:r w:rsidRPr="00F90EFE">
        <w:rPr>
          <w:rFonts w:ascii="Palatino Linotype" w:eastAsia="Palatino Linotype" w:hAnsi="Palatino Linotype" w:cs="Palatino Linotype"/>
        </w:rPr>
        <w:t xml:space="preserve"> en el cual, 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medularmente ratifica su respuesta vertida inicialmente.</w:t>
      </w:r>
    </w:p>
    <w:p w14:paraId="25CE8D8F"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Teniendo en cuenta las posturas de las partes, conviene iniciar el presente análisis señalando que la </w:t>
      </w:r>
      <w:r w:rsidRPr="00F90EFE">
        <w:rPr>
          <w:rFonts w:ascii="Palatino Linotype" w:eastAsia="Palatino Linotype" w:hAnsi="Palatino Linotype" w:cs="Palatino Linotype"/>
          <w:b/>
        </w:rPr>
        <w:t>Convención sobre la protección y promoción de la diversidad de las expresiones culturales de 2005</w:t>
      </w:r>
      <w:r w:rsidRPr="00F90EFE">
        <w:rPr>
          <w:rFonts w:ascii="Palatino Linotype" w:eastAsia="Palatino Linotype" w:hAnsi="Palatino Linotype" w:cs="Palatino Linotype"/>
        </w:rPr>
        <w:t>, adoptada por México</w:t>
      </w:r>
      <w:r w:rsidR="00451449" w:rsidRPr="00F90EFE">
        <w:rPr>
          <w:rFonts w:ascii="Palatino Linotype" w:eastAsia="Palatino Linotype" w:hAnsi="Palatino Linotype" w:cs="Palatino Linotype"/>
        </w:rPr>
        <w:t xml:space="preserve"> por ser un Estado miembro de la UNESCO, </w:t>
      </w:r>
      <w:r w:rsidRPr="00F90EFE">
        <w:rPr>
          <w:rFonts w:ascii="Palatino Linotype" w:eastAsia="Palatino Linotype" w:hAnsi="Palatino Linotype" w:cs="Palatino Linotype"/>
        </w:rPr>
        <w:t xml:space="preserve">cuenta con los siguientes objetivos: </w:t>
      </w:r>
    </w:p>
    <w:p w14:paraId="0019672B"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  “Artículo 1 – Objetivos</w:t>
      </w:r>
    </w:p>
    <w:p w14:paraId="69978348"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Los objetivos de la presente Convención son:</w:t>
      </w:r>
    </w:p>
    <w:p w14:paraId="749456DE"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(a) proteger y promover la diversidad de las expresiones culturales;</w:t>
      </w:r>
    </w:p>
    <w:p w14:paraId="79D577D5"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(b) crear las condiciones para que las culturas puedan prosperar y mantener interacciones libremente de forma mutuamente provechosa;</w:t>
      </w:r>
    </w:p>
    <w:p w14:paraId="0D6329E2"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(c) fomentar el diálogo entre culturas a fin de garantizar intercambios culturales más amplios y equilibrados en el mundo en pro del respeto intercultural y una cultura de paz;</w:t>
      </w:r>
    </w:p>
    <w:p w14:paraId="304A6E30"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(d) fomentar la interculturalidad con el fin de desarrollar la interacción cultural, con el espíritu de construir puentes entre los pueblos;</w:t>
      </w:r>
    </w:p>
    <w:p w14:paraId="3271EBEC"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lastRenderedPageBreak/>
        <w:t xml:space="preserve">(e) promover el respeto de la diversidad de las expresiones culturales y hacer cobrar conciencia de su valor en el plano local, nacional e internacional; </w:t>
      </w:r>
    </w:p>
    <w:p w14:paraId="57749752"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(f) reafirmar la importancia del vínculo existente entre la cultura y el desarrollo para todos los países, en especial los países en desarrollo, y apoyar las actividades realizadas en el plano nacional e internacional para que se reconozca el auténtico valor de ese vínculo;</w:t>
      </w:r>
    </w:p>
    <w:p w14:paraId="2EDE15C8"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(g) reconocer la índole específica de las actividades y los bienes y servicios culturales en su calidad de portadores de identidad, valores y significado;</w:t>
      </w:r>
    </w:p>
    <w:p w14:paraId="18F67033"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(h) reiterar los derechos soberanos de los Estados a conservar, adoptar y aplicar las políticas y medidas que estimen necesarias para proteger y promover la diversidad de las expresiones culturales en sus respectivos territorios;</w:t>
      </w:r>
    </w:p>
    <w:p w14:paraId="413B2680"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(i) fortalecer la cooperación y solidaridad internacionales en un espíritu de colaboración, a fin de reforzar, en particular, las capacidades de los países en desarrollo con objeto de proteger y promover la diversidad de las expresiones culturales.</w:t>
      </w:r>
    </w:p>
    <w:p w14:paraId="1540CB67"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Para lograr el cumplimiento de estos objetivos, la Convención prevé que las partes apoyen para un desarrollo sostenible, a fin de propiciar el surgimiento de un sector cultural dinámico, para ello enlista una serie de medidas, de las cuales destaca el apoyo financiero:</w:t>
      </w:r>
    </w:p>
    <w:p w14:paraId="71C7EC28"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“Artículo 14 – Cooperación para el desarrollo </w:t>
      </w:r>
    </w:p>
    <w:p w14:paraId="1DBBAE26"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Las Partes se esforzarán por apoyar la cooperación para el desarrollo sostenible y la reducción de la pobreza, especialmente por lo que respecta a las necesidades específicas de los países en desarrollo, a fin de propiciar el surgimiento de un sector cultural dinámico por los siguientes medios, entre otros:</w:t>
      </w:r>
    </w:p>
    <w:p w14:paraId="4414A5C5"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672858B8"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(d) el apoyo financiero mediante:</w:t>
      </w:r>
    </w:p>
    <w:p w14:paraId="11E0891A"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lastRenderedPageBreak/>
        <w:t xml:space="preserve">(i) la creación de un Fondo Internacional para la Diversidad Cultural de conformidad con lo previsto en el Artículo 18;” </w:t>
      </w:r>
      <w:r w:rsidRPr="00F90EFE">
        <w:rPr>
          <w:rFonts w:ascii="Palatino Linotype" w:eastAsia="Palatino Linotype" w:hAnsi="Palatino Linotype" w:cs="Palatino Linotype"/>
          <w:i/>
          <w:sz w:val="22"/>
          <w:szCs w:val="22"/>
        </w:rPr>
        <w:t>(Sic) (Énfasis añadido)</w:t>
      </w:r>
    </w:p>
    <w:p w14:paraId="6DF86064"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El principal objetivo del Fondo </w:t>
      </w:r>
      <w:r w:rsidRPr="00F90EFE">
        <w:t xml:space="preserve"> </w:t>
      </w:r>
      <w:r w:rsidRPr="00F90EFE">
        <w:rPr>
          <w:rFonts w:ascii="Palatino Linotype" w:eastAsia="Palatino Linotype" w:hAnsi="Palatino Linotype" w:cs="Palatino Linotype"/>
        </w:rPr>
        <w:t xml:space="preserve">Internacional para la Diversidad Cultural (FIDC) es </w:t>
      </w:r>
      <w:r w:rsidRPr="00F90EFE">
        <w:rPr>
          <w:rFonts w:ascii="Palatino Linotype" w:eastAsia="Palatino Linotype" w:hAnsi="Palatino Linotype" w:cs="Palatino Linotype"/>
          <w:b/>
        </w:rPr>
        <w:t>invertir en proyectos que conduzcan a cambios estructurales mediante la introducción o la elaboración de políticas y estrategias que incidan de forma directa en la creación, la producción y la distribución de una diversidad de expresiones culturales y en el acceso a estas</w:t>
      </w:r>
      <w:r w:rsidRPr="00F90EFE">
        <w:rPr>
          <w:rFonts w:ascii="Palatino Linotype" w:eastAsia="Palatino Linotype" w:hAnsi="Palatino Linotype" w:cs="Palatino Linotype"/>
        </w:rPr>
        <w:t>, comprendidos los bienes, servicios y actividades culturales, así como reforzando las infraestructuras institucionales que se consideren necesarias para mantener la viabilidad de las industrias culturales a nivel local y regional.</w:t>
      </w:r>
    </w:p>
    <w:p w14:paraId="6C96D423"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Desde 2010, el FIDC ha financiado con más de </w:t>
      </w:r>
      <w:r w:rsidRPr="00F90EFE">
        <w:rPr>
          <w:rFonts w:ascii="Palatino Linotype" w:eastAsia="Palatino Linotype" w:hAnsi="Palatino Linotype" w:cs="Palatino Linotype"/>
          <w:b/>
        </w:rPr>
        <w:t>9.4 millones de dólares</w:t>
      </w:r>
      <w:r w:rsidRPr="00F90EFE">
        <w:rPr>
          <w:rFonts w:ascii="Palatino Linotype" w:eastAsia="Palatino Linotype" w:hAnsi="Palatino Linotype" w:cs="Palatino Linotype"/>
        </w:rPr>
        <w:t> estadounidenses </w:t>
      </w:r>
      <w:r w:rsidRPr="00F90EFE">
        <w:rPr>
          <w:rFonts w:ascii="Palatino Linotype" w:eastAsia="Palatino Linotype" w:hAnsi="Palatino Linotype" w:cs="Palatino Linotype"/>
          <w:b/>
        </w:rPr>
        <w:t>129</w:t>
      </w:r>
      <w:r w:rsidRPr="00F90EFE">
        <w:rPr>
          <w:rFonts w:ascii="Palatino Linotype" w:eastAsia="Palatino Linotype" w:hAnsi="Palatino Linotype" w:cs="Palatino Linotype"/>
        </w:rPr>
        <w:t> </w:t>
      </w:r>
      <w:r w:rsidRPr="00F90EFE">
        <w:rPr>
          <w:rFonts w:ascii="Palatino Linotype" w:eastAsia="Palatino Linotype" w:hAnsi="Palatino Linotype" w:cs="Palatino Linotype"/>
          <w:b/>
        </w:rPr>
        <w:t>proyectos</w:t>
      </w:r>
      <w:r w:rsidRPr="00F90EFE">
        <w:rPr>
          <w:rFonts w:ascii="Palatino Linotype" w:eastAsia="Palatino Linotype" w:hAnsi="Palatino Linotype" w:cs="Palatino Linotype"/>
        </w:rPr>
        <w:t> en</w:t>
      </w:r>
      <w:r w:rsidRPr="00F90EFE">
        <w:rPr>
          <w:rFonts w:ascii="Palatino Linotype" w:eastAsia="Palatino Linotype" w:hAnsi="Palatino Linotype" w:cs="Palatino Linotype"/>
          <w:b/>
        </w:rPr>
        <w:t> 65 países en desarrollo</w:t>
      </w:r>
      <w:r w:rsidRPr="00F90EFE">
        <w:rPr>
          <w:rFonts w:ascii="Palatino Linotype" w:eastAsia="Palatino Linotype" w:hAnsi="Palatino Linotype" w:cs="Palatino Linotype"/>
        </w:rPr>
        <w:t>, los cuales cubren una amplia gama de áreas tales como el desarrollo y aplicación de políticas culturales, el fortalecimiento de las capacidades de emprendedores culturales, el mapeo de industrias culturales y la creación de nuevos modelos de negocio en las industrias culturales.</w:t>
      </w:r>
    </w:p>
    <w:p w14:paraId="71552DA3"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Teniendo esto en cuenta, este Instituto consultó la liga electrónica </w:t>
      </w:r>
      <w:hyperlink r:id="rId15">
        <w:r w:rsidRPr="00F90EFE">
          <w:rPr>
            <w:rFonts w:ascii="Palatino Linotype" w:eastAsia="Palatino Linotype" w:hAnsi="Palatino Linotype" w:cs="Palatino Linotype"/>
            <w:u w:val="single"/>
          </w:rPr>
          <w:t>https://es.unesco.org/creativity/ifcd/projects</w:t>
        </w:r>
      </w:hyperlink>
      <w:r w:rsidRPr="00F90EFE">
        <w:rPr>
          <w:rFonts w:ascii="Palatino Linotype" w:eastAsia="Palatino Linotype" w:hAnsi="Palatino Linotype" w:cs="Palatino Linotype"/>
        </w:rPr>
        <w:t xml:space="preserve"> y al seleccionar los proyectos financiados por el Fondo  Internacional para la Diversidad Cultural (FIDC) en la región de América Latina y el Caribe, específicamente en México, se obtuvo lo siguiente: </w:t>
      </w:r>
    </w:p>
    <w:p w14:paraId="6BC4A7D8"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noProof/>
          <w:lang w:val="es-MX"/>
        </w:rPr>
        <w:lastRenderedPageBreak/>
        <w:drawing>
          <wp:inline distT="0" distB="0" distL="0" distR="0" wp14:anchorId="281B5556" wp14:editId="3BA59491">
            <wp:extent cx="5581015" cy="2225040"/>
            <wp:effectExtent l="19050" t="19050" r="19685" b="22860"/>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581015" cy="2225040"/>
                    </a:xfrm>
                    <a:prstGeom prst="rect">
                      <a:avLst/>
                    </a:prstGeom>
                    <a:ln>
                      <a:solidFill>
                        <a:schemeClr val="tx1"/>
                      </a:solidFill>
                    </a:ln>
                  </pic:spPr>
                </pic:pic>
              </a:graphicData>
            </a:graphic>
          </wp:inline>
        </w:drawing>
      </w:r>
    </w:p>
    <w:p w14:paraId="7267FD61" w14:textId="77777777" w:rsidR="006F6FA1" w:rsidRPr="00F90EFE" w:rsidRDefault="00953B10">
      <w:pPr>
        <w:spacing w:before="240" w:after="240" w:line="360" w:lineRule="auto"/>
        <w:jc w:val="center"/>
        <w:rPr>
          <w:rFonts w:ascii="Palatino Linotype" w:eastAsia="Palatino Linotype" w:hAnsi="Palatino Linotype" w:cs="Palatino Linotype"/>
        </w:rPr>
      </w:pPr>
      <w:r w:rsidRPr="00F90EFE">
        <w:rPr>
          <w:rFonts w:ascii="Palatino Linotype" w:eastAsia="Palatino Linotype" w:hAnsi="Palatino Linotype" w:cs="Palatino Linotype"/>
          <w:noProof/>
          <w:lang w:val="es-MX"/>
        </w:rPr>
        <w:lastRenderedPageBreak/>
        <w:drawing>
          <wp:inline distT="0" distB="0" distL="0" distR="0" wp14:anchorId="5A414DB9" wp14:editId="164FA440">
            <wp:extent cx="4498871" cy="7379533"/>
            <wp:effectExtent l="0" t="0" r="0"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498871" cy="7379533"/>
                    </a:xfrm>
                    <a:prstGeom prst="rect">
                      <a:avLst/>
                    </a:prstGeom>
                    <a:ln/>
                  </pic:spPr>
                </pic:pic>
              </a:graphicData>
            </a:graphic>
          </wp:inline>
        </w:drawing>
      </w:r>
      <w:r w:rsidRPr="00F90EFE">
        <w:rPr>
          <w:noProof/>
          <w:lang w:val="es-MX"/>
        </w:rPr>
        <mc:AlternateContent>
          <mc:Choice Requires="wps">
            <w:drawing>
              <wp:anchor distT="0" distB="0" distL="114300" distR="114300" simplePos="0" relativeHeight="251659264" behindDoc="0" locked="0" layoutInCell="1" hidden="0" allowOverlap="1" wp14:anchorId="085CF043" wp14:editId="7079F8FA">
                <wp:simplePos x="0" y="0"/>
                <wp:positionH relativeFrom="column">
                  <wp:posOffset>1917700</wp:posOffset>
                </wp:positionH>
                <wp:positionV relativeFrom="paragraph">
                  <wp:posOffset>5118100</wp:posOffset>
                </wp:positionV>
                <wp:extent cx="1666875" cy="2152650"/>
                <wp:effectExtent l="0" t="0" r="0" b="0"/>
                <wp:wrapNone/>
                <wp:docPr id="93" name="Rectángulo 93"/>
                <wp:cNvGraphicFramePr/>
                <a:graphic xmlns:a="http://schemas.openxmlformats.org/drawingml/2006/main">
                  <a:graphicData uri="http://schemas.microsoft.com/office/word/2010/wordprocessingShape">
                    <wps:wsp>
                      <wps:cNvSpPr/>
                      <wps:spPr>
                        <a:xfrm>
                          <a:off x="4531613" y="2722725"/>
                          <a:ext cx="1628775" cy="2114550"/>
                        </a:xfrm>
                        <a:prstGeom prst="rect">
                          <a:avLst/>
                        </a:prstGeom>
                        <a:noFill/>
                        <a:ln w="38100" cap="flat" cmpd="sng">
                          <a:solidFill>
                            <a:srgbClr val="00B050"/>
                          </a:solidFill>
                          <a:prstDash val="solid"/>
                          <a:round/>
                          <a:headEnd type="none" w="sm" len="sm"/>
                          <a:tailEnd type="none" w="sm" len="sm"/>
                        </a:ln>
                      </wps:spPr>
                      <wps:txbx>
                        <w:txbxContent>
                          <w:p w14:paraId="4E008918" w14:textId="77777777" w:rsidR="006F6FA1" w:rsidRDefault="006F6FA1">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93" o:spid="_x0000_s1026" style="position:absolute;left:0;text-align:left;margin-left:151pt;margin-top:403pt;width:131.25pt;height:1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" filled="f" strokecolor="#00b050" strokeweight="3pt">
                <v:stroke startarrowwidth="narrow" startarrowlength="short" endarrowwidth="narrow" endarrowlength="short" joinstyle="round"/>
                <v:textbox inset="2.53958mm,2.53958mm,2.53958mm,2.53958mm">
                  <w:txbxContent>
                    <w:p w:rsidR="006F6FA1" w:rsidRDefault="006F6FA1">
                      <w:pPr>
                        <w:textDirection w:val="btLr"/>
                      </w:pPr>
                    </w:p>
                  </w:txbxContent>
                </v:textbox>
              </v:rect>
            </w:pict>
          </mc:Fallback>
        </mc:AlternateContent>
      </w:r>
    </w:p>
    <w:p w14:paraId="1A707271" w14:textId="77777777" w:rsidR="006F6FA1" w:rsidRPr="00F90EFE" w:rsidRDefault="00451449">
      <w:pPr>
        <w:spacing w:before="240" w:after="240" w:line="360" w:lineRule="auto"/>
        <w:rPr>
          <w:rFonts w:ascii="Palatino Linotype" w:eastAsia="Palatino Linotype" w:hAnsi="Palatino Linotype" w:cs="Palatino Linotype"/>
        </w:rPr>
      </w:pPr>
      <w:r w:rsidRPr="00F90EFE">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2336" behindDoc="0" locked="0" layoutInCell="1" allowOverlap="1" wp14:anchorId="12518955" wp14:editId="5D0E34C1">
                <wp:simplePos x="0" y="0"/>
                <wp:positionH relativeFrom="column">
                  <wp:posOffset>1062989</wp:posOffset>
                </wp:positionH>
                <wp:positionV relativeFrom="paragraph">
                  <wp:posOffset>2593975</wp:posOffset>
                </wp:positionV>
                <wp:extent cx="1228725" cy="0"/>
                <wp:effectExtent l="38100" t="38100" r="66675" b="95250"/>
                <wp:wrapNone/>
                <wp:docPr id="1" name="Conector recto 1"/>
                <wp:cNvGraphicFramePr/>
                <a:graphic xmlns:a="http://schemas.openxmlformats.org/drawingml/2006/main">
                  <a:graphicData uri="http://schemas.microsoft.com/office/word/2010/wordprocessingShape">
                    <wps:wsp>
                      <wps:cNvCnPr/>
                      <wps:spPr>
                        <a:xfrm>
                          <a:off x="0" y="0"/>
                          <a:ext cx="1228725"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F60D2A"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3.7pt,204.25pt" to="180.4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" strokecolor="#00b050" strokeweight="2pt">
                <v:shadow on="t" color="black" opacity="24903f" origin=",.5" offset="0,.55556mm"/>
              </v:line>
            </w:pict>
          </mc:Fallback>
        </mc:AlternateContent>
      </w:r>
      <w:r w:rsidR="00953B10" w:rsidRPr="00F90EFE">
        <w:rPr>
          <w:rFonts w:ascii="Palatino Linotype" w:eastAsia="Palatino Linotype" w:hAnsi="Palatino Linotype" w:cs="Palatino Linotype"/>
          <w:noProof/>
          <w:lang w:val="es-MX"/>
        </w:rPr>
        <w:drawing>
          <wp:inline distT="0" distB="0" distL="0" distR="0" wp14:anchorId="050AB6C5" wp14:editId="07125134">
            <wp:extent cx="5581015" cy="5993130"/>
            <wp:effectExtent l="0" t="0" r="0" b="0"/>
            <wp:docPr id="1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581015" cy="5993130"/>
                    </a:xfrm>
                    <a:prstGeom prst="rect">
                      <a:avLst/>
                    </a:prstGeom>
                    <a:ln/>
                  </pic:spPr>
                </pic:pic>
              </a:graphicData>
            </a:graphic>
          </wp:inline>
        </w:drawing>
      </w:r>
      <w:r w:rsidR="00953B10" w:rsidRPr="00F90EFE">
        <w:rPr>
          <w:noProof/>
          <w:lang w:val="es-MX"/>
        </w:rPr>
        <mc:AlternateContent>
          <mc:Choice Requires="wps">
            <w:drawing>
              <wp:anchor distT="0" distB="0" distL="114300" distR="114300" simplePos="0" relativeHeight="251660288" behindDoc="0" locked="0" layoutInCell="1" hidden="0" allowOverlap="1" wp14:anchorId="64C1DCC1" wp14:editId="7C3EC009">
                <wp:simplePos x="0" y="0"/>
                <wp:positionH relativeFrom="column">
                  <wp:posOffset>1066800</wp:posOffset>
                </wp:positionH>
                <wp:positionV relativeFrom="paragraph">
                  <wp:posOffset>2590800</wp:posOffset>
                </wp:positionV>
                <wp:extent cx="0" cy="25400"/>
                <wp:effectExtent l="0" t="0" r="0" b="0"/>
                <wp:wrapNone/>
                <wp:docPr id="91" name="Conector recto de flecha 91"/>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25400" cap="flat" cmpd="sng">
                          <a:solidFill>
                            <a:srgbClr val="00B05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1066800</wp:posOffset>
                </wp:positionH>
                <wp:positionV relativeFrom="paragraph">
                  <wp:posOffset>2590800</wp:posOffset>
                </wp:positionV>
                <wp:extent cx="0" cy="25400"/>
                <wp:effectExtent b="0" l="0" r="0" t="0"/>
                <wp:wrapNone/>
                <wp:docPr id="91"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0" cy="25400"/>
                        </a:xfrm>
                        <a:prstGeom prst="rect"/>
                        <a:ln/>
                      </pic:spPr>
                    </pic:pic>
                  </a:graphicData>
                </a:graphic>
              </wp:anchor>
            </w:drawing>
          </mc:Fallback>
        </mc:AlternateContent>
      </w:r>
      <w:r w:rsidR="00953B10" w:rsidRPr="00F90EFE">
        <w:rPr>
          <w:noProof/>
          <w:lang w:val="es-MX"/>
        </w:rPr>
        <mc:AlternateContent>
          <mc:Choice Requires="wps">
            <w:drawing>
              <wp:anchor distT="0" distB="0" distL="114300" distR="114300" simplePos="0" relativeHeight="251661312" behindDoc="0" locked="0" layoutInCell="1" hidden="0" allowOverlap="1" wp14:anchorId="0E5A1701" wp14:editId="31312D0C">
                <wp:simplePos x="0" y="0"/>
                <wp:positionH relativeFrom="column">
                  <wp:posOffset>2895600</wp:posOffset>
                </wp:positionH>
                <wp:positionV relativeFrom="paragraph">
                  <wp:posOffset>1333500</wp:posOffset>
                </wp:positionV>
                <wp:extent cx="695325" cy="314325"/>
                <wp:effectExtent l="0" t="0" r="0" b="0"/>
                <wp:wrapNone/>
                <wp:docPr id="92" name="Rectángulo 92"/>
                <wp:cNvGraphicFramePr/>
                <a:graphic xmlns:a="http://schemas.openxmlformats.org/drawingml/2006/main">
                  <a:graphicData uri="http://schemas.microsoft.com/office/word/2010/wordprocessingShape">
                    <wps:wsp>
                      <wps:cNvSpPr/>
                      <wps:spPr>
                        <a:xfrm>
                          <a:off x="5017388" y="3641888"/>
                          <a:ext cx="657225" cy="276225"/>
                        </a:xfrm>
                        <a:prstGeom prst="rect">
                          <a:avLst/>
                        </a:prstGeom>
                        <a:noFill/>
                        <a:ln w="38100" cap="flat" cmpd="sng">
                          <a:solidFill>
                            <a:srgbClr val="00B050"/>
                          </a:solidFill>
                          <a:prstDash val="solid"/>
                          <a:round/>
                          <a:headEnd type="none" w="sm" len="sm"/>
                          <a:tailEnd type="none" w="sm" len="sm"/>
                        </a:ln>
                      </wps:spPr>
                      <wps:txbx>
                        <w:txbxContent>
                          <w:p w14:paraId="3CE2D737" w14:textId="77777777" w:rsidR="006F6FA1" w:rsidRDefault="006F6FA1">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92" o:spid="_x0000_s1027" style="position:absolute;margin-left:228pt;margin-top:105pt;width:54.7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" filled="f" strokecolor="#00b050" strokeweight="3pt">
                <v:stroke startarrowwidth="narrow" startarrowlength="short" endarrowwidth="narrow" endarrowlength="short" joinstyle="round"/>
                <v:textbox inset="2.53958mm,2.53958mm,2.53958mm,2.53958mm">
                  <w:txbxContent>
                    <w:p w:rsidR="006F6FA1" w:rsidRDefault="006F6FA1">
                      <w:pPr>
                        <w:textDirection w:val="btLr"/>
                      </w:pPr>
                    </w:p>
                  </w:txbxContent>
                </v:textbox>
              </v:rect>
            </w:pict>
          </mc:Fallback>
        </mc:AlternateContent>
      </w:r>
    </w:p>
    <w:p w14:paraId="66E32ACC"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noProof/>
          <w:lang w:val="es-MX"/>
        </w:rPr>
        <w:drawing>
          <wp:inline distT="0" distB="0" distL="0" distR="0" wp14:anchorId="4699FB3A" wp14:editId="1C47C00E">
            <wp:extent cx="5581015" cy="987425"/>
            <wp:effectExtent l="19050" t="19050" r="19685" b="22225"/>
            <wp:docPr id="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581015" cy="987425"/>
                    </a:xfrm>
                    <a:prstGeom prst="rect">
                      <a:avLst/>
                    </a:prstGeom>
                    <a:ln>
                      <a:solidFill>
                        <a:schemeClr val="tx1"/>
                      </a:solidFill>
                    </a:ln>
                  </pic:spPr>
                </pic:pic>
              </a:graphicData>
            </a:graphic>
          </wp:inline>
        </w:drawing>
      </w:r>
    </w:p>
    <w:p w14:paraId="33EDB478"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lastRenderedPageBreak/>
        <w:t>Asimismo, los informes 2014 y 2017 del Fondo Internacional para la Diversidad Cultural Invirtiendo en creatividad señalan que dicho proyecto fue presentado por el Ayuntamiento de Toluca para efecto de que el Fondo Internacional para la Diversidad Cultural (FIDC) lo financiara, situación que si aconteció pues como se visualiza en las capturas de pantalla</w:t>
      </w:r>
      <w:r w:rsidR="00451449" w:rsidRPr="00F90EFE">
        <w:rPr>
          <w:rFonts w:ascii="Palatino Linotype" w:eastAsia="Palatino Linotype" w:hAnsi="Palatino Linotype" w:cs="Palatino Linotype"/>
        </w:rPr>
        <w:t xml:space="preserve"> que anteceden</w:t>
      </w:r>
      <w:r w:rsidRPr="00F90EFE">
        <w:rPr>
          <w:rFonts w:ascii="Palatino Linotype" w:eastAsia="Palatino Linotype" w:hAnsi="Palatino Linotype" w:cs="Palatino Linotype"/>
        </w:rPr>
        <w:t xml:space="preserve">, el Ayuntamiento de Toluca recibió 30,344 dólares estadounidenses para llevar a cabo este proyecto que </w:t>
      </w:r>
      <w:r w:rsidR="007944FA" w:rsidRPr="00F90EFE">
        <w:rPr>
          <w:rFonts w:ascii="Palatino Linotype" w:eastAsia="Palatino Linotype" w:hAnsi="Palatino Linotype" w:cs="Palatino Linotype"/>
        </w:rPr>
        <w:t xml:space="preserve">comprendió durante abril de 2011 a abril de 2012 y </w:t>
      </w:r>
      <w:r w:rsidRPr="00F90EFE">
        <w:rPr>
          <w:rFonts w:ascii="Palatino Linotype" w:eastAsia="Palatino Linotype" w:hAnsi="Palatino Linotype" w:cs="Palatino Linotype"/>
        </w:rPr>
        <w:t xml:space="preserve">tuvo como principales actividades: la organización del encuentro U40 </w:t>
      </w:r>
      <w:proofErr w:type="spellStart"/>
      <w:r w:rsidRPr="00F90EFE">
        <w:rPr>
          <w:rFonts w:ascii="Palatino Linotype" w:eastAsia="Palatino Linotype" w:hAnsi="Palatino Linotype" w:cs="Palatino Linotype"/>
        </w:rPr>
        <w:t>Interaméricas</w:t>
      </w:r>
      <w:proofErr w:type="spellEnd"/>
      <w:r w:rsidRPr="00F90EFE">
        <w:rPr>
          <w:rFonts w:ascii="Palatino Linotype" w:eastAsia="Palatino Linotype" w:hAnsi="Palatino Linotype" w:cs="Palatino Linotype"/>
        </w:rPr>
        <w:t xml:space="preserve"> por la Diversidad Cultural 2011, la constitución de un comité encargado de difundir las expresiones culturales creadas en el distrito de Toluca y la elaboración de un documento con las propuestas concretas sobre la aplicación de la Convención.</w:t>
      </w:r>
    </w:p>
    <w:p w14:paraId="413129B3" w14:textId="77777777" w:rsidR="007944FA" w:rsidRPr="00F90EFE" w:rsidRDefault="007944FA" w:rsidP="007944FA">
      <w:pPr>
        <w:spacing w:line="360" w:lineRule="auto"/>
        <w:jc w:val="both"/>
        <w:rPr>
          <w:rFonts w:ascii="Palatino Linotype" w:eastAsia="Palatino Linotype" w:hAnsi="Palatino Linotype" w:cs="Palatino Linotype"/>
          <w:lang w:eastAsia="es-ES"/>
        </w:rPr>
      </w:pPr>
      <w:r w:rsidRPr="00F90EFE">
        <w:rPr>
          <w:rFonts w:ascii="Palatino Linotype" w:eastAsia="Palatino Linotype" w:hAnsi="Palatino Linotype" w:cs="Palatino Linotype"/>
          <w:lang w:eastAsia="es-ES"/>
        </w:rPr>
        <w:t xml:space="preserve">De tal suerte que con lo vertido anteriormente, podemos concluir que hay un indicio </w:t>
      </w:r>
      <w:r w:rsidRPr="00F90EFE">
        <w:rPr>
          <w:rFonts w:ascii="Palatino Linotype" w:eastAsia="Palatino Linotype" w:hAnsi="Palatino Linotype" w:cs="Palatino Linotype"/>
          <w:sz w:val="22"/>
          <w:szCs w:val="22"/>
        </w:rPr>
        <w:t>del proyecto</w:t>
      </w:r>
      <w:r w:rsidRPr="00F90EFE">
        <w:rPr>
          <w:rFonts w:ascii="Palatino Linotype" w:eastAsia="Palatino Linotype" w:hAnsi="Palatino Linotype" w:cs="Palatino Linotype"/>
          <w:b/>
          <w:sz w:val="22"/>
          <w:szCs w:val="22"/>
        </w:rPr>
        <w:t xml:space="preserve"> “</w:t>
      </w:r>
      <w:r w:rsidRPr="00F90EFE">
        <w:rPr>
          <w:rFonts w:ascii="Palatino Linotype" w:eastAsia="Palatino Linotype" w:hAnsi="Palatino Linotype" w:cs="Palatino Linotype"/>
          <w:b/>
          <w:sz w:val="22"/>
          <w:szCs w:val="22"/>
          <w:u w:val="single"/>
        </w:rPr>
        <w:t>Aplicación de la Convención de 2005: cada agente tiene un papel que desempeñar</w:t>
      </w:r>
      <w:r w:rsidRPr="00F90EFE">
        <w:rPr>
          <w:rFonts w:ascii="Palatino Linotype" w:eastAsia="Palatino Linotype" w:hAnsi="Palatino Linotype" w:cs="Palatino Linotype"/>
          <w:b/>
          <w:sz w:val="22"/>
          <w:szCs w:val="22"/>
        </w:rPr>
        <w:t>”</w:t>
      </w:r>
      <w:r w:rsidRPr="00F90EFE">
        <w:rPr>
          <w:rFonts w:ascii="Palatino Linotype" w:eastAsia="Palatino Linotype" w:hAnsi="Palatino Linotype" w:cs="Palatino Linotype"/>
          <w:lang w:eastAsia="es-ES"/>
        </w:rPr>
        <w:t>, por lo que estaríamos ante un hecho notorio, el cual se sustenta conforme a las siguientes tesis jurisprudenciales:</w:t>
      </w:r>
    </w:p>
    <w:p w14:paraId="16198428" w14:textId="77777777" w:rsidR="007944FA" w:rsidRPr="00F90EFE" w:rsidRDefault="007944FA" w:rsidP="007944FA">
      <w:pPr>
        <w:ind w:left="567" w:right="616"/>
        <w:jc w:val="center"/>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 xml:space="preserve"> “HECHOS NOTORIOS. CONCEPTOS GENERAL Y JURÍDICO</w:t>
      </w:r>
    </w:p>
    <w:p w14:paraId="6BEFBAFC" w14:textId="77777777" w:rsidR="007944FA" w:rsidRPr="00F90EFE" w:rsidRDefault="007944FA" w:rsidP="007944FA">
      <w:pPr>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 xml:space="preserve">Conforme al artículo </w:t>
      </w:r>
      <w:hyperlink r:id="rId22">
        <w:r w:rsidRPr="00F90EFE">
          <w:rPr>
            <w:rFonts w:ascii="Palatino Linotype" w:eastAsia="Palatino Linotype" w:hAnsi="Palatino Linotype" w:cs="Palatino Linotype"/>
            <w:b/>
            <w:i/>
            <w:sz w:val="22"/>
            <w:szCs w:val="22"/>
          </w:rPr>
          <w:t>88 del Código Federal de Procedimientos Civiles</w:t>
        </w:r>
      </w:hyperlink>
      <w:r w:rsidRPr="00F90EFE">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F90EFE">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F90EFE">
        <w:rPr>
          <w:rFonts w:ascii="Palatino Linotype" w:eastAsia="Palatino Linotype" w:hAnsi="Palatino Linotype" w:cs="Palatino Linotype"/>
          <w:b/>
          <w:i/>
          <w:sz w:val="22"/>
          <w:szCs w:val="22"/>
        </w:rPr>
        <w:t>, a las vicisitudes de la vida pública actual o a circunstancias comúnmente conocidas en un determinado lugar</w:t>
      </w:r>
      <w:r w:rsidRPr="00F90EFE">
        <w:rPr>
          <w:rFonts w:ascii="Palatino Linotype" w:eastAsia="Palatino Linotype" w:hAnsi="Palatino Linotype" w:cs="Palatino Linotype"/>
          <w:i/>
          <w:sz w:val="22"/>
          <w:szCs w:val="22"/>
        </w:rPr>
        <w:t xml:space="preserve">, </w:t>
      </w:r>
      <w:r w:rsidRPr="00F90EFE">
        <w:rPr>
          <w:rFonts w:ascii="Palatino Linotype" w:eastAsia="Palatino Linotype" w:hAnsi="Palatino Linotype" w:cs="Palatino Linotype"/>
          <w:b/>
          <w:i/>
          <w:sz w:val="22"/>
          <w:szCs w:val="22"/>
        </w:rPr>
        <w:t>de modo que toda persona de ese medio esté en condiciones de saberlo</w:t>
      </w:r>
      <w:r w:rsidRPr="00F90EFE">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6E5482F" w14:textId="77777777" w:rsidR="007944FA" w:rsidRPr="00F90EFE" w:rsidRDefault="007944FA" w:rsidP="007944FA">
      <w:pPr>
        <w:ind w:left="567" w:right="616"/>
        <w:rPr>
          <w:rFonts w:ascii="Palatino Linotype" w:eastAsia="Palatino Linotype" w:hAnsi="Palatino Linotype" w:cs="Palatino Linotype"/>
          <w:i/>
          <w:sz w:val="22"/>
          <w:szCs w:val="22"/>
        </w:rPr>
      </w:pPr>
    </w:p>
    <w:p w14:paraId="050F2FFC" w14:textId="77777777" w:rsidR="007944FA" w:rsidRPr="00F90EFE" w:rsidRDefault="007944FA" w:rsidP="007944FA">
      <w:pPr>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lastRenderedPageBreak/>
        <w:t>Controversia constitucional 24/2005. Cámara de Diputados del Congreso de la Unión. 9 de marzo de 2006. Once votos. Ponente: José Ramón Cossío Díaz. Secretarios: Raúl Manuel Mejía Garza y Laura Patricia Rojas Zamudio.</w:t>
      </w:r>
    </w:p>
    <w:p w14:paraId="32B08228" w14:textId="77777777" w:rsidR="007944FA" w:rsidRPr="00F90EFE" w:rsidRDefault="007944FA" w:rsidP="007944FA">
      <w:pPr>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387E076E" w14:textId="77777777" w:rsidR="007944FA" w:rsidRPr="00F90EFE" w:rsidRDefault="007944FA" w:rsidP="007944FA">
      <w:pPr>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55EFEB10" w14:textId="77777777" w:rsidR="007944FA" w:rsidRPr="00F90EFE" w:rsidRDefault="007944FA" w:rsidP="007944FA">
      <w:pPr>
        <w:ind w:left="567" w:right="616"/>
        <w:jc w:val="both"/>
        <w:rPr>
          <w:rFonts w:ascii="Palatino Linotype" w:eastAsia="Palatino Linotype" w:hAnsi="Palatino Linotype" w:cs="Palatino Linotype"/>
          <w:i/>
          <w:sz w:val="22"/>
          <w:szCs w:val="22"/>
        </w:rPr>
      </w:pPr>
    </w:p>
    <w:p w14:paraId="7019B86D" w14:textId="77777777" w:rsidR="007944FA" w:rsidRPr="00F90EFE" w:rsidRDefault="007944FA" w:rsidP="007944FA">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F90EFE">
        <w:rPr>
          <w:sz w:val="22"/>
          <w:szCs w:val="22"/>
        </w:rPr>
        <w:t xml:space="preserve"> </w:t>
      </w:r>
      <w:r w:rsidRPr="00F90EFE">
        <w:rPr>
          <w:rFonts w:ascii="Palatino Linotype" w:eastAsia="Palatino Linotype" w:hAnsi="Palatino Linotype" w:cs="Palatino Linotype"/>
          <w:b/>
          <w:i/>
          <w:sz w:val="22"/>
          <w:szCs w:val="22"/>
          <w:u w:val="single"/>
        </w:rPr>
        <w:t>Los datos publicados en documentos o páginas situados en redes informáticas constituyen un hecho notorio por formar parte del conocimiento público</w:t>
      </w:r>
      <w:r w:rsidRPr="00F90EFE">
        <w:rPr>
          <w:rFonts w:ascii="Palatino Linotype" w:eastAsia="Palatino Linotype" w:hAnsi="Palatino Linotype" w:cs="Palatino Linotype"/>
          <w:i/>
          <w:sz w:val="22"/>
          <w:szCs w:val="22"/>
        </w:rPr>
        <w:t xml:space="preserve">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F90EFE">
        <w:rPr>
          <w:rFonts w:ascii="Palatino Linotype" w:eastAsia="Palatino Linotype" w:hAnsi="Palatino Linotype" w:cs="Palatino Linotype"/>
          <w:i/>
          <w:sz w:val="22"/>
          <w:szCs w:val="22"/>
        </w:rPr>
        <w:t>Mardygras</w:t>
      </w:r>
      <w:proofErr w:type="spellEnd"/>
      <w:r w:rsidRPr="00F90EFE">
        <w:rPr>
          <w:rFonts w:ascii="Palatino Linotype" w:eastAsia="Palatino Linotype" w:hAnsi="Palatino Linotype" w:cs="Palatino Linotype"/>
          <w:i/>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w:t>
      </w:r>
      <w:r w:rsidRPr="00F90EFE">
        <w:rPr>
          <w:rFonts w:ascii="Palatino Linotype" w:eastAsia="Palatino Linotype" w:hAnsi="Palatino Linotype" w:cs="Palatino Linotype"/>
          <w:i/>
          <w:sz w:val="22"/>
          <w:szCs w:val="22"/>
        </w:rPr>
        <w:lastRenderedPageBreak/>
        <w:t xml:space="preserve">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F90EFE">
        <w:rPr>
          <w:rFonts w:ascii="Palatino Linotype" w:eastAsia="Palatino Linotype" w:hAnsi="Palatino Linotype" w:cs="Palatino Linotype"/>
          <w:i/>
          <w:sz w:val="22"/>
          <w:szCs w:val="22"/>
        </w:rPr>
        <w:t>Pag</w:t>
      </w:r>
      <w:proofErr w:type="spellEnd"/>
      <w:r w:rsidRPr="00F90EFE">
        <w:rPr>
          <w:rFonts w:ascii="Palatino Linotype" w:eastAsia="Palatino Linotype" w:hAnsi="Palatino Linotype" w:cs="Palatino Linotype"/>
          <w:i/>
          <w:sz w:val="22"/>
          <w:szCs w:val="22"/>
        </w:rPr>
        <w:t>.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 (Sic) (Énfasis añadido)</w:t>
      </w:r>
    </w:p>
    <w:p w14:paraId="25C511DB" w14:textId="77777777" w:rsidR="006F6FA1" w:rsidRPr="00F90EFE" w:rsidRDefault="007944FA">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En este orden de ideas, es</w:t>
      </w:r>
      <w:r w:rsidR="00953B10" w:rsidRPr="00F90EFE">
        <w:rPr>
          <w:rFonts w:ascii="Palatino Linotype" w:eastAsia="Palatino Linotype" w:hAnsi="Palatino Linotype" w:cs="Palatino Linotype"/>
        </w:rPr>
        <w:t xml:space="preserve"> de precisar que para conseguir la financiación de los proyectos, deberá seguirse el siguiente procedimiento y adjuntar la documentación que a continuación se enlista: </w:t>
      </w:r>
    </w:p>
    <w:p w14:paraId="144AB389"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r w:rsidRPr="00F90EFE">
        <w:rPr>
          <w:rFonts w:ascii="Palatino Linotype" w:eastAsia="Palatino Linotype" w:hAnsi="Palatino Linotype" w:cs="Palatino Linotype"/>
          <w:b/>
          <w:i/>
          <w:sz w:val="22"/>
          <w:szCs w:val="22"/>
        </w:rPr>
        <w:t>Procedimiento de presentación de las solicitudes de financiación</w:t>
      </w:r>
      <w:r w:rsidRPr="00F90EFE">
        <w:rPr>
          <w:rFonts w:ascii="Palatino Linotype" w:eastAsia="Palatino Linotype" w:hAnsi="Palatino Linotype" w:cs="Palatino Linotype"/>
          <w:i/>
          <w:sz w:val="22"/>
          <w:szCs w:val="22"/>
        </w:rPr>
        <w:t xml:space="preserve"> </w:t>
      </w:r>
    </w:p>
    <w:p w14:paraId="10D6525C"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13. En relación con el procedimiento de presentación de las solicitudes de financiación, se deberá tomar en consideración que: </w:t>
      </w:r>
    </w:p>
    <w:p w14:paraId="092240C2"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lastRenderedPageBreak/>
        <w:t xml:space="preserve">13.1 </w:t>
      </w:r>
      <w:proofErr w:type="spellStart"/>
      <w:r w:rsidRPr="00F90EFE">
        <w:rPr>
          <w:rFonts w:ascii="Palatino Linotype" w:eastAsia="Palatino Linotype" w:hAnsi="Palatino Linotype" w:cs="Palatino Linotype"/>
          <w:b/>
          <w:i/>
          <w:sz w:val="22"/>
          <w:szCs w:val="22"/>
        </w:rPr>
        <w:t>tla</w:t>
      </w:r>
      <w:proofErr w:type="spellEnd"/>
      <w:r w:rsidRPr="00F90EFE">
        <w:rPr>
          <w:rFonts w:ascii="Palatino Linotype" w:eastAsia="Palatino Linotype" w:hAnsi="Palatino Linotype" w:cs="Palatino Linotype"/>
          <w:b/>
          <w:i/>
          <w:sz w:val="22"/>
          <w:szCs w:val="22"/>
        </w:rPr>
        <w:t xml:space="preserve"> Secretaría abrirá la convocatoria de solicitudes de financiación en enero de cada año. Todas las solicitudes de financiación deberán obrar en poder de la Secretaría a más tardar el 15 de mayo</w:t>
      </w:r>
      <w:r w:rsidRPr="00F90EFE">
        <w:rPr>
          <w:rFonts w:ascii="Palatino Linotype" w:eastAsia="Palatino Linotype" w:hAnsi="Palatino Linotype" w:cs="Palatino Linotype"/>
          <w:i/>
          <w:sz w:val="22"/>
          <w:szCs w:val="22"/>
        </w:rPr>
        <w:t xml:space="preserve">. Las que se reciban después de esa fecha no se considerarán admisibles; </w:t>
      </w:r>
    </w:p>
    <w:p w14:paraId="021B01D6"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13.2 las solicitudes de financiación de las Partes y de las ONG se presentarán a la Secretaría por conducto de las comisiones nacionales u otras entidades oficiales designadas por las Partes, estas garantizarán la pertinencia de los proyectos y su adecuación a las necesidades y prioridades del país; </w:t>
      </w:r>
    </w:p>
    <w:p w14:paraId="61221A6C"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13.3 las solicitudes de financiación de las organizaciones no gubernamentales internacionales se presentarán directamente a la Secretaría con el aval por escrito de los beneficiarios en cuestión, para garantizar que a pertinencia de los proyectos y su adecuación a las necesidades y prioridades del beneficiario. Las solicitudes de financiación de las organizaciones no gubernamentales internacionales se deben presentar en un formulario independiente y deben demostrar que tienen una repercusión subregional, regional o interregional; </w:t>
      </w:r>
    </w:p>
    <w:p w14:paraId="745C9D77"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13.4 una vez recibidas las solicitudes, la Secretaría procederá a una evaluación técnica, con el fin de velar por que los expedientes estén completos, se ajusten a los ámbitos de intervención del FIDC y, por consiguiente, sean admisibles. Tras esta evaluación, la Secretaría remitirá los expedientes que haya considerado admisibles a los miembros del grupo de expertos para su evaluación. </w:t>
      </w:r>
    </w:p>
    <w:p w14:paraId="2011D538"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 xml:space="preserve">Formularios de solicitud de financiación </w:t>
      </w:r>
    </w:p>
    <w:p w14:paraId="672D89E7"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 xml:space="preserve">14. Para la solicitud de financiación se utilizarán los formularios oficiales, que son los que la Secretaría ha puesto a disposición de los interesados en el sitio web de la Convención de 2005. </w:t>
      </w:r>
    </w:p>
    <w:p w14:paraId="59104479"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 xml:space="preserve">15. Todas las solicitudes de financiación se presentarán a la Secretaría en francés o inglés y deberán incluir la información siguiente: </w:t>
      </w:r>
    </w:p>
    <w:p w14:paraId="601FC2D4"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 xml:space="preserve">15.1 información de antecedentes sobre el beneficiario, comprendidos su cometido y sus actividades, así como información biográfica acerca de los miembros del personal del proyecto; </w:t>
      </w:r>
    </w:p>
    <w:p w14:paraId="3D8215EF"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lastRenderedPageBreak/>
        <w:t xml:space="preserve">15.2 un resumen sucinto del proyecto; </w:t>
      </w:r>
    </w:p>
    <w:p w14:paraId="42904046"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 xml:space="preserve">15.3 una descripción del proyecto (título, objetivos mensurables a corto y largo plazo, contexto del país y evaluación de las necesidades, actividades y resultados esperados, comprendidos los efectos sociales, culturales y económicos, beneficiarios y alianzas); </w:t>
      </w:r>
    </w:p>
    <w:p w14:paraId="32FE9E17"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15.4 el nombre y la dirección del representante de la organización del beneficiario que asumirá la responsabilidad financiera y administrativa de la ejecución del proyecto;</w:t>
      </w:r>
    </w:p>
    <w:p w14:paraId="6D0397F8"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 xml:space="preserve">15.5 un plan de trabajo y un calendario; </w:t>
      </w:r>
    </w:p>
    <w:p w14:paraId="3DE9E71A"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 xml:space="preserve">15.6 medidas encaminadas a promover la sostenibilidad del proyecto propuesto; </w:t>
      </w:r>
    </w:p>
    <w:p w14:paraId="51539A66"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 xml:space="preserve">15.7 un presupuesto detallado, que comprenda el importe de la financiación solicitada al FIDC y las demás fuentes de financiación. </w:t>
      </w:r>
    </w:p>
    <w:p w14:paraId="0F571F9D"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 xml:space="preserve">En la medida de lo posible, se alienta tanto la autofinanciación como la cofinanciación. Los gastos generales relacionados con la ejecución del proyecto se limitarán como máximo al 30% del presupuesto total del proyecto; </w:t>
      </w:r>
    </w:p>
    <w:p w14:paraId="1C64745F"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u w:val="single"/>
        </w:rPr>
        <w:t>15.8 toda información relativa al estado de adelanto de solicitudes anteriores financiadas con cargo al FIDC</w:t>
      </w:r>
      <w:r w:rsidRPr="00F90EFE">
        <w:rPr>
          <w:rFonts w:ascii="Palatino Linotype" w:eastAsia="Palatino Linotype" w:hAnsi="Palatino Linotype" w:cs="Palatino Linotype"/>
          <w:i/>
          <w:sz w:val="22"/>
          <w:szCs w:val="22"/>
        </w:rPr>
        <w:t>.” (Sic)</w:t>
      </w:r>
    </w:p>
    <w:p w14:paraId="54D12C0A"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Como se puede visualizar de las citas realizadas, se advierte que efectivamente como señala el particular, 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sometió el proyecto denominado </w:t>
      </w:r>
      <w:r w:rsidRPr="00F90EFE">
        <w:rPr>
          <w:rFonts w:ascii="Palatino Linotype" w:eastAsia="Palatino Linotype" w:hAnsi="Palatino Linotype" w:cs="Palatino Linotype"/>
          <w:b/>
          <w:i/>
        </w:rPr>
        <w:t>“Aplicación de la Convención de 2005: cada agente tiene un papel que desempeñar”</w:t>
      </w:r>
      <w:r w:rsidRPr="00F90EFE">
        <w:rPr>
          <w:rFonts w:ascii="Palatino Linotype" w:eastAsia="Palatino Linotype" w:hAnsi="Palatino Linotype" w:cs="Palatino Linotype"/>
        </w:rPr>
        <w:t xml:space="preserve">, el cual fue financiado por el Fondo Internacional para la Diversidad Cultural (FIDC), de la Organización de las Naciones Unidas para la Educación, la Ciencia y la Cultura (UNESCO) y también se vislumbra que para obtener dicha financiación, </w:t>
      </w:r>
      <w:r w:rsidRPr="00F90EFE">
        <w:rPr>
          <w:rFonts w:ascii="Palatino Linotype" w:eastAsia="Palatino Linotype" w:hAnsi="Palatino Linotype" w:cs="Palatino Linotype"/>
        </w:rPr>
        <w:lastRenderedPageBreak/>
        <w:t>el Ayuntamiento de Toluca tuvo que remitir una serie de documentos, los cuales son coincidentes con el requerimiento de información del particular.</w:t>
      </w:r>
    </w:p>
    <w:p w14:paraId="77935911"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Bajo esta tesitura, debe resaltarse que en el caso concreto únicamente se pronunciaron los servidores públicos habilitados de la </w:t>
      </w:r>
      <w:r w:rsidRPr="00F90EFE">
        <w:rPr>
          <w:rFonts w:ascii="Palatino Linotype" w:eastAsia="Palatino Linotype" w:hAnsi="Palatino Linotype" w:cs="Palatino Linotype"/>
          <w:b/>
        </w:rPr>
        <w:t xml:space="preserve">Secretaría del Ayuntamiento, Dirección General del Medio Ambiente, Consejería Jurídica y Dirección General de Desarrollo Social, </w:t>
      </w:r>
      <w:r w:rsidRPr="00F90EFE">
        <w:rPr>
          <w:rFonts w:ascii="Palatino Linotype" w:eastAsia="Palatino Linotype" w:hAnsi="Palatino Linotype" w:cs="Palatino Linotype"/>
        </w:rPr>
        <w:t xml:space="preserve">lo cual no satisfizo el derecho de acceso el derecho de acceso a la información de </w:t>
      </w:r>
      <w:r w:rsidRPr="00F90EFE">
        <w:rPr>
          <w:rFonts w:ascii="Palatino Linotype" w:eastAsia="Palatino Linotype" w:hAnsi="Palatino Linotype" w:cs="Palatino Linotype"/>
          <w:b/>
        </w:rPr>
        <w:t>la parte</w:t>
      </w:r>
      <w:r w:rsidRPr="00F90EFE">
        <w:rPr>
          <w:rFonts w:ascii="Palatino Linotype" w:eastAsia="Palatino Linotype" w:hAnsi="Palatino Linotype" w:cs="Palatino Linotype"/>
        </w:rPr>
        <w:t xml:space="preserve"> </w:t>
      </w:r>
      <w:r w:rsidRPr="00F90EFE">
        <w:rPr>
          <w:rFonts w:ascii="Palatino Linotype" w:eastAsia="Palatino Linotype" w:hAnsi="Palatino Linotype" w:cs="Palatino Linotype"/>
          <w:b/>
        </w:rPr>
        <w:t>Recurrente</w:t>
      </w:r>
      <w:r w:rsidRPr="00F90EFE">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6ACCCE6B" w14:textId="77777777" w:rsidR="006F6FA1" w:rsidRPr="00F90EFE" w:rsidRDefault="00953B10">
      <w:pPr>
        <w:spacing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4E17D8C7" w14:textId="77777777" w:rsidR="006F6FA1" w:rsidRPr="00F90EFE" w:rsidRDefault="00953B10">
      <w:pPr>
        <w:spacing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03E43884" w14:textId="77777777" w:rsidR="006F6FA1" w:rsidRPr="00F90EFE" w:rsidRDefault="00953B10">
      <w:pPr>
        <w:spacing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lastRenderedPageBreak/>
        <w:t xml:space="preserve">Excepcionalmente, el plazo referido podrá ampliarse por siete días hábiles más, cuando existan razones fundadas y motivadas, a través del Comité de Transparencia; </w:t>
      </w:r>
    </w:p>
    <w:p w14:paraId="6558DAD8" w14:textId="77777777" w:rsidR="006F6FA1" w:rsidRPr="00F90EFE" w:rsidRDefault="00953B10">
      <w:pPr>
        <w:spacing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CD087D5" w14:textId="77777777" w:rsidR="006F6FA1" w:rsidRPr="00F90EFE" w:rsidRDefault="00953B10">
      <w:pPr>
        <w:spacing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6F7B76C" w14:textId="77777777" w:rsidR="006F6FA1" w:rsidRPr="00F90EFE" w:rsidRDefault="00953B10">
      <w:pPr>
        <w:spacing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84450D2"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En este orden de ideas, 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debió turnar la solicitud a las áreas competentes para conocer de la solicitud de información, como en el presen</w:t>
      </w:r>
      <w:r w:rsidR="00451449" w:rsidRPr="00F90EFE">
        <w:rPr>
          <w:rFonts w:ascii="Palatino Linotype" w:eastAsia="Palatino Linotype" w:hAnsi="Palatino Linotype" w:cs="Palatino Linotype"/>
        </w:rPr>
        <w:t>te caso se advierte que pudiera</w:t>
      </w:r>
      <w:r w:rsidRPr="00F90EFE">
        <w:rPr>
          <w:rFonts w:ascii="Palatino Linotype" w:eastAsia="Palatino Linotype" w:hAnsi="Palatino Linotype" w:cs="Palatino Linotype"/>
        </w:rPr>
        <w:t xml:space="preserve"> contar con la información, </w:t>
      </w:r>
      <w:r w:rsidRPr="00F90EFE">
        <w:rPr>
          <w:rFonts w:ascii="Palatino Linotype" w:eastAsia="Palatino Linotype" w:hAnsi="Palatino Linotype" w:cs="Palatino Linotype"/>
          <w:b/>
        </w:rPr>
        <w:t xml:space="preserve">la Coordinación de Cultura y </w:t>
      </w:r>
      <w:r w:rsidRPr="00F90EFE">
        <w:rPr>
          <w:rFonts w:ascii="Palatino Linotype" w:eastAsia="Palatino Linotype" w:hAnsi="Palatino Linotype" w:cs="Palatino Linotype"/>
          <w:b/>
        </w:rPr>
        <w:lastRenderedPageBreak/>
        <w:t>Turismo</w:t>
      </w:r>
      <w:r w:rsidRPr="00F90EFE">
        <w:rPr>
          <w:rFonts w:ascii="Palatino Linotype" w:eastAsia="Palatino Linotype" w:hAnsi="Palatino Linotype" w:cs="Palatino Linotype"/>
        </w:rPr>
        <w:t xml:space="preserve">, toda vez que como se vislumbrará en la siguiente cita al Manual de Organización de Presidencia Municipal, cuenta con las siguientes atribuciones: </w:t>
      </w:r>
    </w:p>
    <w:p w14:paraId="1FDD7709"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r w:rsidRPr="00F90EFE">
        <w:rPr>
          <w:rFonts w:ascii="Palatino Linotype" w:eastAsia="Palatino Linotype" w:hAnsi="Palatino Linotype" w:cs="Palatino Linotype"/>
          <w:b/>
          <w:i/>
          <w:sz w:val="22"/>
          <w:szCs w:val="22"/>
        </w:rPr>
        <w:t>200001000 Coordinación de Cultura y Turismo</w:t>
      </w:r>
      <w:r w:rsidRPr="00F90EFE">
        <w:rPr>
          <w:rFonts w:ascii="Palatino Linotype" w:eastAsia="Palatino Linotype" w:hAnsi="Palatino Linotype" w:cs="Palatino Linotype"/>
          <w:i/>
          <w:sz w:val="22"/>
          <w:szCs w:val="22"/>
        </w:rPr>
        <w:t xml:space="preserve"> </w:t>
      </w:r>
    </w:p>
    <w:p w14:paraId="0E2C5995"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Objetivo </w:t>
      </w:r>
    </w:p>
    <w:p w14:paraId="56755D47"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Planear, organizar, dirigir, coordinar y evaluar políticas públicas para la preservación, fomento, vinculación, difusión, democratización e impulso a la cultura, las artes y el turismo en el Municipio de Toluca</w:t>
      </w:r>
      <w:r w:rsidRPr="00F90EFE">
        <w:rPr>
          <w:rFonts w:ascii="Palatino Linotype" w:eastAsia="Palatino Linotype" w:hAnsi="Palatino Linotype" w:cs="Palatino Linotype"/>
          <w:i/>
          <w:sz w:val="22"/>
          <w:szCs w:val="22"/>
        </w:rPr>
        <w:t xml:space="preserve">, a través de la participación activa de la población, </w:t>
      </w:r>
      <w:r w:rsidRPr="00F90EFE">
        <w:rPr>
          <w:rFonts w:ascii="Palatino Linotype" w:eastAsia="Palatino Linotype" w:hAnsi="Palatino Linotype" w:cs="Palatino Linotype"/>
          <w:b/>
          <w:i/>
          <w:sz w:val="22"/>
          <w:szCs w:val="22"/>
        </w:rPr>
        <w:t>generando las condiciones necesarias para que las y los ciudadanos tengan libre acceso a actividades artísticas y culturales, dentro de un marco de respeto y tolerancia a la diversidad, fortaleciendo las tradiciones, la identidad e invitando a crear nuevas manifestaciones.</w:t>
      </w:r>
    </w:p>
    <w:p w14:paraId="6F8856D0"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Funciones:</w:t>
      </w:r>
    </w:p>
    <w:p w14:paraId="5C776A96"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 xml:space="preserve">1. Elaborar e implementar políticas públicas para la preservación, fomento, vinculación, difusión e impulso a la cultura, las artes y el turismo; </w:t>
      </w:r>
    </w:p>
    <w:p w14:paraId="6C40F49A"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2.</w:t>
      </w:r>
      <w:r w:rsidRPr="00F90EFE">
        <w:rPr>
          <w:rFonts w:ascii="Palatino Linotype" w:eastAsia="Palatino Linotype" w:hAnsi="Palatino Linotype" w:cs="Palatino Linotype"/>
          <w:b/>
          <w:i/>
          <w:sz w:val="22"/>
          <w:szCs w:val="22"/>
        </w:rPr>
        <w:t xml:space="preserve"> </w:t>
      </w:r>
      <w:r w:rsidRPr="00F90EFE">
        <w:rPr>
          <w:rFonts w:ascii="Palatino Linotype" w:eastAsia="Palatino Linotype" w:hAnsi="Palatino Linotype" w:cs="Palatino Linotype"/>
          <w:b/>
          <w:i/>
          <w:sz w:val="22"/>
          <w:szCs w:val="22"/>
          <w:u w:val="single"/>
        </w:rPr>
        <w:t>Planear, organizar, dirigir y evaluar programas y proyectos a efecto de fomentar y difundir las actividades artísticas culturales;</w:t>
      </w:r>
    </w:p>
    <w:p w14:paraId="12F4984E" w14:textId="77777777" w:rsidR="006F6FA1" w:rsidRPr="00F90EFE" w:rsidRDefault="00953B10">
      <w:pPr>
        <w:spacing w:before="240" w:after="240" w:line="276" w:lineRule="auto"/>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4C83B297"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 xml:space="preserve">7. Establecer y mantener los vínculos con el gobierno federal, estatal y municipal, así como con la iniciativa privada para celebrar convenios de desarrollo de proyectos culturales; </w:t>
      </w:r>
    </w:p>
    <w:p w14:paraId="736724EB"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8. Establecer comunicación con instituciones gubernamentales y no gubernamentales, para apoyar y estimular el talento artístico y fortalecer la integración de la comunidad;</w:t>
      </w:r>
    </w:p>
    <w:p w14:paraId="570031F2"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t>…</w:t>
      </w:r>
    </w:p>
    <w:p w14:paraId="3D890461" w14:textId="77777777" w:rsidR="006F6FA1" w:rsidRPr="00F90EFE" w:rsidRDefault="00953B10">
      <w:pPr>
        <w:spacing w:before="240" w:after="240" w:line="276" w:lineRule="auto"/>
        <w:ind w:left="567" w:right="851"/>
        <w:jc w:val="both"/>
        <w:rPr>
          <w:rFonts w:ascii="Palatino Linotype" w:eastAsia="Palatino Linotype" w:hAnsi="Palatino Linotype" w:cs="Palatino Linotype"/>
          <w:b/>
          <w:i/>
          <w:sz w:val="22"/>
          <w:szCs w:val="22"/>
        </w:rPr>
      </w:pPr>
      <w:r w:rsidRPr="00F90EFE">
        <w:rPr>
          <w:rFonts w:ascii="Palatino Linotype" w:eastAsia="Palatino Linotype" w:hAnsi="Palatino Linotype" w:cs="Palatino Linotype"/>
          <w:b/>
          <w:i/>
          <w:sz w:val="22"/>
          <w:szCs w:val="22"/>
        </w:rPr>
        <w:lastRenderedPageBreak/>
        <w:t xml:space="preserve">10. Diseñar, fomentar e impulsar actividades que fortalezcan y preserven la cultura en el municipio a través de la celebración de acuerdos con instituciones y organismos del sector público, privado y social de ámbito estatal, nacional o internacional;” </w:t>
      </w:r>
      <w:r w:rsidRPr="00F90EFE">
        <w:rPr>
          <w:rFonts w:ascii="Palatino Linotype" w:eastAsia="Palatino Linotype" w:hAnsi="Palatino Linotype" w:cs="Palatino Linotype"/>
          <w:i/>
          <w:sz w:val="22"/>
          <w:szCs w:val="22"/>
        </w:rPr>
        <w:t>(Sic) (Énfasis añadido)</w:t>
      </w:r>
    </w:p>
    <w:p w14:paraId="4C79D38E"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rPr>
        <w:t>De tal suerte que con la cita insertada anteriormente, se reitera que la Coordinación de Cultura y Turismo en la unidad administrativa competente para conocer de este proyecto que tiene como objetivo mejorar las condiciones de las expresiones culturales, toda vez que dentro de sus atribuciones se le delega la facultad de diseñar, fomentar e impulsar actividades que fortalezcan y preserven la cultura en el municipio a través de la celebración de acuerdos con instituciones y organismos del sector público, privado y social de ámbito estatal, nacional o internacional.</w:t>
      </w:r>
    </w:p>
    <w:p w14:paraId="78B5D203" w14:textId="77777777" w:rsidR="00451449" w:rsidRPr="00F90EFE" w:rsidRDefault="00953B10" w:rsidP="00451449">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Es por lo anterior que se determina que la entrega de los documentos presentados por el Sujeto Obligado al Fondo Internacional para la Diversidad Cultural (FIDC), de la Organización de las Naciones Unidas para la Educación, la Ciencia y la Cultura (UNESCO) para la financiación del proyecto “Aplicación de la Convención de 2005: cada agente</w:t>
      </w:r>
      <w:r w:rsidR="00451449" w:rsidRPr="00F90EFE">
        <w:rPr>
          <w:rFonts w:ascii="Palatino Linotype" w:eastAsia="Palatino Linotype" w:hAnsi="Palatino Linotype" w:cs="Palatino Linotype"/>
        </w:rPr>
        <w:t xml:space="preserve"> tiene un papel que desempeñar”, sin embargo, debemos recordar que dicho proyecto </w:t>
      </w:r>
      <w:r w:rsidR="007944FA" w:rsidRPr="00F90EFE">
        <w:rPr>
          <w:rFonts w:ascii="Palatino Linotype" w:eastAsia="Palatino Linotype" w:hAnsi="Palatino Linotype" w:cs="Palatino Linotype"/>
        </w:rPr>
        <w:t>comprendió durante abril de 2011 a abril de 2012</w:t>
      </w:r>
      <w:r w:rsidR="00451449" w:rsidRPr="00F90EFE">
        <w:rPr>
          <w:rFonts w:ascii="Palatino Linotype" w:eastAsia="Palatino Linotype" w:hAnsi="Palatino Linotype" w:cs="Palatino Linotype"/>
        </w:rPr>
        <w:t xml:space="preserve">, no obstante, resulta importante señalar que no se observa que se haya efectuado una búsqueda exhaustiva y razonable en sus archivos o en el archivo de concentración dada la temporalidad </w:t>
      </w:r>
      <w:r w:rsidR="007944FA" w:rsidRPr="00F90EFE">
        <w:rPr>
          <w:rFonts w:ascii="Palatino Linotype" w:eastAsia="Palatino Linotype" w:hAnsi="Palatino Linotype" w:cs="Palatino Linotype"/>
        </w:rPr>
        <w:t>de los requerimientos (2011-2012</w:t>
      </w:r>
      <w:r w:rsidR="00451449" w:rsidRPr="00F90EFE">
        <w:rPr>
          <w:rFonts w:ascii="Palatino Linotype" w:eastAsia="Palatino Linotype" w:hAnsi="Palatino Linotype" w:cs="Palatino Linotype"/>
        </w:rPr>
        <w:t>), por lo que no hay certeza de que efectivamente se haya re</w:t>
      </w:r>
      <w:r w:rsidR="007944FA" w:rsidRPr="00F90EFE">
        <w:rPr>
          <w:rFonts w:ascii="Palatino Linotype" w:eastAsia="Palatino Linotype" w:hAnsi="Palatino Linotype" w:cs="Palatino Linotype"/>
        </w:rPr>
        <w:t>alizado la búsqueda pertinente.</w:t>
      </w:r>
    </w:p>
    <w:p w14:paraId="7246BEB7" w14:textId="77777777" w:rsidR="00451449" w:rsidRPr="00F90EFE" w:rsidRDefault="00451449" w:rsidP="00451449">
      <w:pPr>
        <w:spacing w:before="8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Para ello es importante señalar los siguientes conceptos de acuerdo a los lineamientos para la Organización y Conservación de Archivos, emitidos por el Instituto Nacional de Acceso a la Información (INAI), cuyo objeto es “establecer las </w:t>
      </w:r>
      <w:r w:rsidRPr="00F90EFE">
        <w:rPr>
          <w:rFonts w:ascii="Palatino Linotype" w:eastAsia="Palatino Linotype" w:hAnsi="Palatino Linotype" w:cs="Palatino Linotype"/>
        </w:rPr>
        <w:lastRenderedPageBreak/>
        <w:t>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1F0F559D"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“Cuarto.</w:t>
      </w:r>
    </w:p>
    <w:p w14:paraId="2A542780"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797C2D91"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2BED0C3D"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14:paraId="3FFB3DAD"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2479F48F"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75A7DC33"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43B790F4"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7440C75D"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14:paraId="742D3C1C"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0667EBCC"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XLVIII. Transferencia documental: El traslado controlado y sistemático de expedientes de consulta esporádica de un archivo de trámite al archivo de concentración </w:t>
      </w:r>
      <w:r w:rsidRPr="00F90EFE">
        <w:rPr>
          <w:rFonts w:ascii="Palatino Linotype" w:eastAsia="Palatino Linotype" w:hAnsi="Palatino Linotype" w:cs="Palatino Linotype"/>
          <w:i/>
          <w:sz w:val="22"/>
          <w:szCs w:val="22"/>
        </w:rPr>
        <w:lastRenderedPageBreak/>
        <w:t>(transferencia primaria) y de expedientes que deben conservarse de manera permanente, del archivo de concentración al archivo histórico (transferencia secundaria);</w:t>
      </w:r>
    </w:p>
    <w:p w14:paraId="5BCD9AB1"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p>
    <w:p w14:paraId="79B4713B" w14:textId="77777777" w:rsidR="00451449" w:rsidRPr="00F90EFE" w:rsidRDefault="00451449" w:rsidP="00451449">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1A68EB15" w14:textId="77777777" w:rsidR="00451449" w:rsidRPr="00F90EFE" w:rsidRDefault="00451449" w:rsidP="00451449">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460F47D7" w14:textId="77777777" w:rsidR="00451449" w:rsidRPr="00F90EFE" w:rsidRDefault="00451449" w:rsidP="00451449">
      <w:pPr>
        <w:spacing w:before="240" w:after="240"/>
        <w:ind w:left="567" w:right="90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r w:rsidRPr="00F90EFE">
        <w:rPr>
          <w:rFonts w:ascii="Palatino Linotype" w:eastAsia="Palatino Linotype" w:hAnsi="Palatino Linotype" w:cs="Palatino Linotype"/>
          <w:b/>
          <w:i/>
          <w:sz w:val="22"/>
          <w:szCs w:val="22"/>
        </w:rPr>
        <w:t>Artículo 20.</w:t>
      </w:r>
      <w:r w:rsidRPr="00F90EFE">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5343DA52"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6D1B661C"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F90EFE">
        <w:rPr>
          <w:rFonts w:ascii="Palatino Linotype" w:eastAsia="Palatino Linotype" w:hAnsi="Palatino Linotype" w:cs="Palatino Linotype"/>
          <w:i/>
          <w:sz w:val="22"/>
          <w:szCs w:val="22"/>
        </w:rPr>
        <w:t>precaucional</w:t>
      </w:r>
      <w:proofErr w:type="spellEnd"/>
      <w:r w:rsidRPr="00F90EFE">
        <w:rPr>
          <w:rFonts w:ascii="Palatino Linotype" w:eastAsia="Palatino Linotype" w:hAnsi="Palatino Linotype" w:cs="Palatino Linotype"/>
          <w:i/>
          <w:sz w:val="22"/>
          <w:szCs w:val="22"/>
        </w:rPr>
        <w:t xml:space="preserve"> de éstos en el Archivo de Concentración.</w:t>
      </w:r>
    </w:p>
    <w:p w14:paraId="4F2936B5"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lastRenderedPageBreak/>
        <w:t xml:space="preserve">Para determinar el plazo de conservación </w:t>
      </w:r>
      <w:proofErr w:type="spellStart"/>
      <w:r w:rsidRPr="00F90EFE">
        <w:rPr>
          <w:rFonts w:ascii="Palatino Linotype" w:eastAsia="Palatino Linotype" w:hAnsi="Palatino Linotype" w:cs="Palatino Linotype"/>
          <w:i/>
          <w:sz w:val="22"/>
          <w:szCs w:val="22"/>
        </w:rPr>
        <w:t>precaucional</w:t>
      </w:r>
      <w:proofErr w:type="spellEnd"/>
      <w:r w:rsidRPr="00F90EFE">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7B24A560"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I. 6 años para expedientes con información administrativa;</w:t>
      </w:r>
    </w:p>
    <w:p w14:paraId="47E95C18" w14:textId="77777777" w:rsidR="00451449" w:rsidRPr="00F90EFE" w:rsidRDefault="00451449" w:rsidP="00451449">
      <w:pPr>
        <w:spacing w:before="240" w:after="240"/>
        <w:ind w:left="567" w:right="616"/>
        <w:jc w:val="both"/>
        <w:rPr>
          <w:rFonts w:ascii="Palatino Linotype" w:eastAsia="Palatino Linotype" w:hAnsi="Palatino Linotype" w:cs="Palatino Linotype"/>
          <w:b/>
          <w:i/>
          <w:sz w:val="22"/>
          <w:szCs w:val="22"/>
          <w:u w:val="single"/>
        </w:rPr>
      </w:pPr>
      <w:r w:rsidRPr="00F90EFE">
        <w:rPr>
          <w:rFonts w:ascii="Palatino Linotype" w:eastAsia="Palatino Linotype" w:hAnsi="Palatino Linotype" w:cs="Palatino Linotype"/>
          <w:b/>
          <w:i/>
          <w:sz w:val="22"/>
          <w:szCs w:val="22"/>
          <w:u w:val="single"/>
        </w:rPr>
        <w:t>II. 6 años como mínimo para expedientes con información fiscal y presupuestal contable;</w:t>
      </w:r>
    </w:p>
    <w:p w14:paraId="5E7EE73F"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III. 12 años como mínimo para expedientes con información jurídico-legal, obra pública y activo fijo; y</w:t>
      </w:r>
    </w:p>
    <w:p w14:paraId="457A569F"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0159D979" w14:textId="77777777" w:rsidR="00451449" w:rsidRPr="00F90EFE" w:rsidRDefault="00451449" w:rsidP="00451449">
      <w:pPr>
        <w:spacing w:before="240" w:after="240"/>
        <w:ind w:left="567" w:right="616"/>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F90EFE">
        <w:rPr>
          <w:rFonts w:ascii="Palatino Linotype" w:eastAsia="Palatino Linotype" w:hAnsi="Palatino Linotype" w:cs="Palatino Linotype"/>
          <w:i/>
          <w:sz w:val="22"/>
          <w:szCs w:val="22"/>
        </w:rPr>
        <w:t>precaucional</w:t>
      </w:r>
      <w:proofErr w:type="spellEnd"/>
      <w:r w:rsidRPr="00F90EFE">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6EF8A3E9" w14:textId="77777777" w:rsidR="00451449" w:rsidRPr="00F90EFE" w:rsidRDefault="00451449" w:rsidP="00451449">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F90EFE">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F90EFE">
        <w:rPr>
          <w:rFonts w:ascii="Palatino Linotype" w:eastAsia="Palatino Linotype" w:hAnsi="Palatino Linotype" w:cs="Palatino Linotype"/>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por lo</w:t>
      </w:r>
      <w:r w:rsidR="00BD14CB" w:rsidRPr="00F90EFE">
        <w:rPr>
          <w:rFonts w:ascii="Palatino Linotype" w:eastAsia="Palatino Linotype" w:hAnsi="Palatino Linotype" w:cs="Palatino Linotype"/>
        </w:rPr>
        <w:t xml:space="preserve"> que de no contar con evidencia solicitada</w:t>
      </w:r>
      <w:r w:rsidR="007B6DFA" w:rsidRPr="00F90EFE">
        <w:rPr>
          <w:rFonts w:ascii="Palatino Linotype" w:eastAsia="Palatino Linotype" w:hAnsi="Palatino Linotype" w:cs="Palatino Linotype"/>
        </w:rPr>
        <w:t>, por haber causado baja documental</w:t>
      </w:r>
      <w:r w:rsidR="00F7492C" w:rsidRPr="00F90EFE">
        <w:rPr>
          <w:rFonts w:ascii="Palatino Linotype" w:eastAsia="Palatino Linotype" w:hAnsi="Palatino Linotype" w:cs="Palatino Linotype"/>
        </w:rPr>
        <w:t xml:space="preserve"> o por cualquier otra circunstancia</w:t>
      </w:r>
      <w:r w:rsidR="007B6DFA" w:rsidRPr="00F90EFE">
        <w:rPr>
          <w:rFonts w:ascii="Palatino Linotype" w:eastAsia="Palatino Linotype" w:hAnsi="Palatino Linotype" w:cs="Palatino Linotype"/>
        </w:rPr>
        <w:t>,</w:t>
      </w:r>
      <w:r w:rsidRPr="00F90EFE">
        <w:rPr>
          <w:rFonts w:ascii="Palatino Linotype" w:eastAsia="Palatino Linotype" w:hAnsi="Palatino Linotype" w:cs="Palatino Linotype"/>
        </w:rPr>
        <w:t xml:space="preserve"> es procedente la declaratoria de inexistencia en términos de los </w:t>
      </w:r>
      <w:r w:rsidRPr="00F90EFE">
        <w:rPr>
          <w:rFonts w:ascii="Palatino Linotype" w:eastAsia="Palatino Linotype" w:hAnsi="Palatino Linotype" w:cs="Palatino Linotype"/>
        </w:rPr>
        <w:lastRenderedPageBreak/>
        <w:t>artículos 49, fracciones II y XIII, 169 y 170 de la Ley de Transparencia y Acceso a la Información Pública de</w:t>
      </w:r>
      <w:r w:rsidR="00BD14CB" w:rsidRPr="00F90EFE">
        <w:rPr>
          <w:rFonts w:ascii="Palatino Linotype" w:eastAsia="Palatino Linotype" w:hAnsi="Palatino Linotype" w:cs="Palatino Linotype"/>
        </w:rPr>
        <w:t xml:space="preserve">l Estado de México y Municipios, </w:t>
      </w:r>
      <w:r w:rsidR="007B6DFA" w:rsidRPr="00F90EFE">
        <w:rPr>
          <w:rFonts w:ascii="Palatino Linotype" w:eastAsia="Palatino Linotype" w:hAnsi="Palatino Linotype" w:cs="Palatino Linotype"/>
        </w:rPr>
        <w:t xml:space="preserve">misma que </w:t>
      </w:r>
      <w:r w:rsidR="00F7492C" w:rsidRPr="00F90EFE">
        <w:rPr>
          <w:rFonts w:ascii="Palatino Linotype" w:eastAsia="Palatino Linotype" w:hAnsi="Palatino Linotype" w:cs="Palatino Linotype"/>
        </w:rPr>
        <w:t xml:space="preserve">en caso de que se haya actualizado la baja documental </w:t>
      </w:r>
      <w:r w:rsidR="007B6DFA" w:rsidRPr="00F90EFE">
        <w:rPr>
          <w:rFonts w:ascii="Palatino Linotype" w:eastAsia="Palatino Linotype" w:hAnsi="Palatino Linotype" w:cs="Palatino Linotype"/>
        </w:rPr>
        <w:t xml:space="preserve">deberá estar acompañada </w:t>
      </w:r>
      <w:r w:rsidR="00F7492C" w:rsidRPr="00F90EFE">
        <w:rPr>
          <w:rFonts w:ascii="Palatino Linotype" w:eastAsia="Palatino Linotype" w:hAnsi="Palatino Linotype" w:cs="Palatino Linotype"/>
        </w:rPr>
        <w:t xml:space="preserve">del acta correspondiente. </w:t>
      </w:r>
    </w:p>
    <w:p w14:paraId="53B5213F" w14:textId="77777777" w:rsidR="00451449" w:rsidRPr="00F90EFE" w:rsidRDefault="00451449" w:rsidP="00451449">
      <w:pPr>
        <w:spacing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66C96026" w14:textId="77777777" w:rsidR="00451449" w:rsidRPr="00F90EFE" w:rsidRDefault="00451449" w:rsidP="00451449">
      <w:pPr>
        <w:spacing w:line="360" w:lineRule="auto"/>
        <w:jc w:val="both"/>
        <w:rPr>
          <w:rFonts w:ascii="Palatino Linotype" w:eastAsia="Palatino Linotype" w:hAnsi="Palatino Linotype" w:cs="Palatino Linotype"/>
        </w:rPr>
      </w:pPr>
    </w:p>
    <w:p w14:paraId="567A9215"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“Artículo 47.</w:t>
      </w:r>
      <w:r w:rsidRPr="00F90EFE">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37430845"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21A11456"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El Comité de Transparencia adoptará sus resoluciones por mayoría de votos. En caso de empate, la o el Presidente tendrá voto de calidad. A sus sesiones podrán asistir como </w:t>
      </w:r>
      <w:r w:rsidRPr="00F90EFE">
        <w:rPr>
          <w:rFonts w:ascii="Palatino Linotype" w:eastAsia="Palatino Linotype" w:hAnsi="Palatino Linotype" w:cs="Palatino Linotype"/>
          <w:i/>
          <w:sz w:val="22"/>
          <w:szCs w:val="22"/>
        </w:rPr>
        <w:lastRenderedPageBreak/>
        <w:t>invitados aquellos que sus integrantes consideren necesarios, quienes tendrán voz pero no voto.</w:t>
      </w:r>
    </w:p>
    <w:p w14:paraId="3B95F5D8"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030527B4"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77D0DBC2"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228BAA9A"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631C8992"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58D685A5"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38D20274"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6BB4EB1D"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F90EFE">
        <w:rPr>
          <w:rFonts w:ascii="Palatino Linotype" w:eastAsia="Palatino Linotype" w:hAnsi="Palatino Linotype" w:cs="Palatino Linotype"/>
          <w:i/>
          <w:sz w:val="22"/>
          <w:szCs w:val="22"/>
          <w:u w:val="single"/>
        </w:rPr>
        <w:t>inexistencia</w:t>
      </w:r>
      <w:r w:rsidRPr="00F90EFE">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16ACA29C"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77E703E0"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r w:rsidRPr="00F90EFE">
        <w:rPr>
          <w:rFonts w:ascii="Palatino Linotype" w:eastAsia="Palatino Linotype" w:hAnsi="Palatino Linotype" w:cs="Palatino Linotype"/>
          <w:b/>
          <w:i/>
          <w:sz w:val="22"/>
          <w:szCs w:val="22"/>
        </w:rPr>
        <w:t>Artículo 49.</w:t>
      </w:r>
      <w:r w:rsidRPr="00F90EFE">
        <w:rPr>
          <w:rFonts w:ascii="Palatino Linotype" w:eastAsia="Palatino Linotype" w:hAnsi="Palatino Linotype" w:cs="Palatino Linotype"/>
          <w:i/>
          <w:sz w:val="22"/>
          <w:szCs w:val="22"/>
        </w:rPr>
        <w:t xml:space="preserve"> Los Comités de Transparencia tendrán las siguientes atribuciones:</w:t>
      </w:r>
    </w:p>
    <w:p w14:paraId="748C93F8"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50158B00"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F90EFE">
        <w:rPr>
          <w:rFonts w:ascii="Palatino Linotype" w:eastAsia="Palatino Linotype" w:hAnsi="Palatino Linotype" w:cs="Palatino Linotype"/>
          <w:i/>
          <w:sz w:val="22"/>
          <w:szCs w:val="22"/>
          <w:u w:val="single"/>
        </w:rPr>
        <w:t xml:space="preserve">declaración de inexistencia </w:t>
      </w:r>
      <w:r w:rsidRPr="00F90EFE">
        <w:rPr>
          <w:rFonts w:ascii="Palatino Linotype" w:eastAsia="Palatino Linotype" w:hAnsi="Palatino Linotype" w:cs="Palatino Linotype"/>
          <w:i/>
          <w:sz w:val="22"/>
          <w:szCs w:val="22"/>
        </w:rPr>
        <w:t>o de incompetencia realicen los titulares de las áreas de los sujetos obligados;</w:t>
      </w:r>
    </w:p>
    <w:p w14:paraId="65826D38"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57A4DE99" w14:textId="77777777" w:rsidR="00451449" w:rsidRPr="00F90EFE" w:rsidRDefault="00451449" w:rsidP="00451449">
      <w:pPr>
        <w:ind w:left="567" w:right="567"/>
        <w:jc w:val="both"/>
        <w:rPr>
          <w:rFonts w:ascii="Palatino Linotype" w:eastAsia="Palatino Linotype" w:hAnsi="Palatino Linotype" w:cs="Palatino Linotype"/>
          <w:i/>
        </w:rPr>
      </w:pPr>
      <w:r w:rsidRPr="00F90EFE">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 (Sic)</w:t>
      </w:r>
    </w:p>
    <w:p w14:paraId="6AFC8AF1" w14:textId="77777777" w:rsidR="00451449" w:rsidRPr="00F90EFE" w:rsidRDefault="00451449" w:rsidP="00451449">
      <w:pPr>
        <w:spacing w:line="360" w:lineRule="auto"/>
        <w:jc w:val="both"/>
        <w:rPr>
          <w:rFonts w:ascii="Palatino Linotype" w:eastAsia="Palatino Linotype" w:hAnsi="Palatino Linotype" w:cs="Palatino Linotype"/>
          <w:i/>
        </w:rPr>
      </w:pPr>
    </w:p>
    <w:p w14:paraId="756B26F3" w14:textId="77777777" w:rsidR="00451449" w:rsidRPr="00F90EFE" w:rsidRDefault="00451449" w:rsidP="00451449">
      <w:pPr>
        <w:spacing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2AC22B98" w14:textId="77777777" w:rsidR="00451449" w:rsidRPr="00F90EFE" w:rsidRDefault="00451449" w:rsidP="00451449">
      <w:pPr>
        <w:spacing w:line="360" w:lineRule="auto"/>
        <w:jc w:val="both"/>
        <w:rPr>
          <w:rFonts w:ascii="Palatino Linotype" w:eastAsia="Palatino Linotype" w:hAnsi="Palatino Linotype" w:cs="Palatino Linotype"/>
        </w:rPr>
      </w:pPr>
    </w:p>
    <w:p w14:paraId="760F2EAC"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“Artículo 169.</w:t>
      </w:r>
      <w:r w:rsidRPr="00F90EFE">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3F7E6F20"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7079F52A"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I. Analizará el caso y tomará las medidas necesarias para localizar la información;</w:t>
      </w:r>
    </w:p>
    <w:p w14:paraId="11BF4499"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71B74A44"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II. Expedirá una resolución que confirme la inexistencia del documento;</w:t>
      </w:r>
    </w:p>
    <w:p w14:paraId="1FA904BF"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3227D88C"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DAB3F70"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6DAD7796"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F90EFE">
        <w:rPr>
          <w:rFonts w:ascii="Palatino Linotype" w:eastAsia="Palatino Linotype" w:hAnsi="Palatino Linotype" w:cs="Palatino Linotype"/>
          <w:i/>
          <w:sz w:val="22"/>
          <w:szCs w:val="22"/>
        </w:rPr>
        <w:t>.</w:t>
      </w:r>
    </w:p>
    <w:p w14:paraId="32D1B5C5"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32371F35"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07B50987"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473B2848"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43851A63" w14:textId="77777777" w:rsidR="00451449" w:rsidRPr="00F90EFE" w:rsidRDefault="00451449" w:rsidP="00451449">
      <w:pPr>
        <w:ind w:left="567" w:right="567"/>
        <w:jc w:val="both"/>
        <w:rPr>
          <w:rFonts w:ascii="Palatino Linotype" w:eastAsia="Palatino Linotype" w:hAnsi="Palatino Linotype" w:cs="Palatino Linotype"/>
          <w:i/>
          <w:sz w:val="22"/>
          <w:szCs w:val="22"/>
        </w:rPr>
      </w:pPr>
    </w:p>
    <w:p w14:paraId="645225B3" w14:textId="77777777" w:rsidR="00451449" w:rsidRPr="00F90EFE" w:rsidRDefault="00451449" w:rsidP="00451449">
      <w:pPr>
        <w:ind w:left="567" w:right="567"/>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Artículo 170.</w:t>
      </w:r>
      <w:r w:rsidRPr="00F90EFE">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3E7D26C9" w14:textId="77777777" w:rsidR="00451449" w:rsidRPr="00F90EFE" w:rsidRDefault="00451449" w:rsidP="00451449">
      <w:pPr>
        <w:ind w:left="567" w:right="567"/>
        <w:jc w:val="both"/>
        <w:rPr>
          <w:rFonts w:ascii="Palatino Linotype" w:eastAsia="Palatino Linotype" w:hAnsi="Palatino Linotype" w:cs="Palatino Linotype"/>
        </w:rPr>
      </w:pPr>
    </w:p>
    <w:p w14:paraId="6245AFEE" w14:textId="77777777" w:rsidR="00451449" w:rsidRPr="00F90EFE" w:rsidRDefault="00451449" w:rsidP="00451449">
      <w:pPr>
        <w:spacing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267B1F2B" w14:textId="77777777" w:rsidR="00451449" w:rsidRPr="00F90EFE" w:rsidRDefault="00451449" w:rsidP="00451449">
      <w:pPr>
        <w:spacing w:line="360" w:lineRule="auto"/>
        <w:jc w:val="both"/>
        <w:rPr>
          <w:rFonts w:ascii="Palatino Linotype" w:eastAsia="Palatino Linotype" w:hAnsi="Palatino Linotype" w:cs="Palatino Linotype"/>
        </w:rPr>
      </w:pPr>
    </w:p>
    <w:p w14:paraId="5C678910" w14:textId="77777777" w:rsidR="00451449" w:rsidRPr="00F90EFE" w:rsidRDefault="00451449" w:rsidP="00451449">
      <w:pPr>
        <w:spacing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En ese contexto, de conformidad con los </w:t>
      </w:r>
      <w:r w:rsidRPr="00F90EFE">
        <w:rPr>
          <w:rFonts w:ascii="Palatino Linotype" w:eastAsia="Palatino Linotype" w:hAnsi="Palatino Linotype" w:cs="Palatino Linotype"/>
          <w:b/>
        </w:rPr>
        <w:t>criterios 12/10 y 04/19</w:t>
      </w:r>
      <w:r w:rsidRPr="00F90EFE">
        <w:rPr>
          <w:rFonts w:ascii="Palatino Linotype" w:eastAsia="Palatino Linotype" w:hAnsi="Palatino Linotype" w:cs="Palatino Linotype"/>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F90EFE">
        <w:rPr>
          <w:rFonts w:ascii="Palatino Linotype" w:eastAsia="Palatino Linotype" w:hAnsi="Palatino Linotype" w:cs="Palatino Linotype"/>
        </w:rPr>
        <w:lastRenderedPageBreak/>
        <w:t>elementos suficientes del carácter exhaustivo de la indagación realizada, a saber, los siguientes:</w:t>
      </w:r>
    </w:p>
    <w:p w14:paraId="0B021FDB" w14:textId="77777777" w:rsidR="00451449" w:rsidRPr="00F90EFE" w:rsidRDefault="00451449" w:rsidP="00451449">
      <w:pPr>
        <w:numPr>
          <w:ilvl w:val="0"/>
          <w:numId w:val="8"/>
        </w:numPr>
        <w:spacing w:after="160" w:line="360" w:lineRule="auto"/>
        <w:ind w:left="567" w:hanging="283"/>
        <w:jc w:val="both"/>
        <w:rPr>
          <w:rFonts w:ascii="Palatino Linotype" w:eastAsia="Palatino Linotype" w:hAnsi="Palatino Linotype" w:cs="Palatino Linotype"/>
        </w:rPr>
      </w:pPr>
      <w:r w:rsidRPr="00F90EFE">
        <w:rPr>
          <w:rFonts w:ascii="Palatino Linotype" w:eastAsia="Palatino Linotype" w:hAnsi="Palatino Linotype" w:cs="Palatino Linotype"/>
        </w:rPr>
        <w:t>Motivación por las que se buscó la información, en determinadas unidades administrativas;</w:t>
      </w:r>
    </w:p>
    <w:p w14:paraId="6B8CBD64" w14:textId="77777777" w:rsidR="00451449" w:rsidRPr="00F90EFE" w:rsidRDefault="00451449" w:rsidP="00451449">
      <w:pPr>
        <w:numPr>
          <w:ilvl w:val="0"/>
          <w:numId w:val="8"/>
        </w:numPr>
        <w:spacing w:after="160" w:line="360" w:lineRule="auto"/>
        <w:ind w:left="567" w:hanging="283"/>
        <w:jc w:val="both"/>
        <w:rPr>
          <w:rFonts w:ascii="Palatino Linotype" w:eastAsia="Palatino Linotype" w:hAnsi="Palatino Linotype" w:cs="Palatino Linotype"/>
        </w:rPr>
      </w:pPr>
      <w:r w:rsidRPr="00F90EFE">
        <w:rPr>
          <w:rFonts w:ascii="Palatino Linotype" w:eastAsia="Palatino Linotype" w:hAnsi="Palatino Linotype" w:cs="Palatino Linotype"/>
        </w:rPr>
        <w:t>Los criterios de búsqueda utilizados, y</w:t>
      </w:r>
    </w:p>
    <w:p w14:paraId="114AA54F" w14:textId="77777777" w:rsidR="00451449" w:rsidRPr="00F90EFE" w:rsidRDefault="00451449" w:rsidP="00451449">
      <w:pPr>
        <w:numPr>
          <w:ilvl w:val="0"/>
          <w:numId w:val="8"/>
        </w:numPr>
        <w:spacing w:after="160" w:line="360" w:lineRule="auto"/>
        <w:ind w:left="567" w:hanging="283"/>
        <w:jc w:val="both"/>
        <w:rPr>
          <w:rFonts w:ascii="Palatino Linotype" w:eastAsia="Palatino Linotype" w:hAnsi="Palatino Linotype" w:cs="Palatino Linotype"/>
        </w:rPr>
      </w:pPr>
      <w:r w:rsidRPr="00F90EFE">
        <w:rPr>
          <w:rFonts w:ascii="Palatino Linotype" w:eastAsia="Palatino Linotype" w:hAnsi="Palatino Linotype" w:cs="Palatino Linotype"/>
        </w:rPr>
        <w:t>Las circunstancias que fueron tomadas en cuenta.</w:t>
      </w:r>
    </w:p>
    <w:p w14:paraId="77B48477" w14:textId="77777777" w:rsidR="00451449" w:rsidRPr="00F90EFE" w:rsidRDefault="00451449" w:rsidP="00451449">
      <w:pPr>
        <w:pBdr>
          <w:top w:val="nil"/>
          <w:left w:val="nil"/>
          <w:bottom w:val="nil"/>
          <w:right w:val="nil"/>
          <w:between w:val="nil"/>
        </w:pBdr>
      </w:pPr>
    </w:p>
    <w:p w14:paraId="634AAEFB" w14:textId="77777777" w:rsidR="00451449" w:rsidRPr="00F90EFE" w:rsidRDefault="00451449" w:rsidP="00451449">
      <w:pPr>
        <w:spacing w:after="16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4327C6CC" w14:textId="77777777" w:rsidR="00451449" w:rsidRPr="00F90EFE" w:rsidRDefault="00451449" w:rsidP="00451449">
      <w:pPr>
        <w:numPr>
          <w:ilvl w:val="0"/>
          <w:numId w:val="7"/>
        </w:numPr>
        <w:spacing w:after="16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Las áreas donde se buscó la información;</w:t>
      </w:r>
    </w:p>
    <w:p w14:paraId="6802645C" w14:textId="77777777" w:rsidR="00451449" w:rsidRPr="00F90EFE" w:rsidRDefault="00451449" w:rsidP="00451449">
      <w:pPr>
        <w:numPr>
          <w:ilvl w:val="0"/>
          <w:numId w:val="7"/>
        </w:numPr>
        <w:spacing w:after="16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Tipo de archivos buscados (físicos o electrónicos);</w:t>
      </w:r>
    </w:p>
    <w:p w14:paraId="3ED11EF9" w14:textId="77777777" w:rsidR="00451449" w:rsidRPr="00F90EFE" w:rsidRDefault="00451449" w:rsidP="00451449">
      <w:pPr>
        <w:numPr>
          <w:ilvl w:val="0"/>
          <w:numId w:val="7"/>
        </w:numPr>
        <w:spacing w:after="16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Los criterios de búsqueda utilizados, y </w:t>
      </w:r>
    </w:p>
    <w:p w14:paraId="779E1277" w14:textId="77777777" w:rsidR="00451449" w:rsidRPr="00F90EFE" w:rsidRDefault="00451449" w:rsidP="00451449">
      <w:pPr>
        <w:numPr>
          <w:ilvl w:val="0"/>
          <w:numId w:val="7"/>
        </w:numPr>
        <w:spacing w:after="16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Las circunstancias que fueron tomadas en cuenta.</w:t>
      </w:r>
    </w:p>
    <w:p w14:paraId="06376189" w14:textId="77777777" w:rsidR="00451449" w:rsidRPr="00F90EFE" w:rsidRDefault="00451449" w:rsidP="007944FA">
      <w:pPr>
        <w:spacing w:after="16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 xml:space="preserve">En ese sentido, es conveniente ordenar una nueva búsqueda dentro del archivo de concentración para efecto de que se localicen los documentos </w:t>
      </w:r>
      <w:r w:rsidR="007944FA" w:rsidRPr="00F90EFE">
        <w:rPr>
          <w:rFonts w:ascii="Palatino Linotype" w:eastAsia="Palatino Linotype" w:hAnsi="Palatino Linotype" w:cs="Palatino Linotype"/>
        </w:rPr>
        <w:t>presentados por el Sujeto Obligado al Fondo Internacional para la Diversidad Cultural (FIDC), de la Organización de las Naciones Unidas para la Educación, la Ciencia y la Cultura (UNESCO) para la financiación del proyecto “Aplicación de la Convención de 2005: cada agente tiene un papel que desempeñar”</w:t>
      </w:r>
      <w:r w:rsidRPr="00F90EFE">
        <w:rPr>
          <w:rFonts w:ascii="Palatino Linotype" w:eastAsia="Palatino Linotype" w:hAnsi="Palatino Linotype" w:cs="Palatino Linotype"/>
        </w:rPr>
        <w:t>, no obstante, de ser el caso en el que no se cuente con la información, deberá hacerse entrega del acuerdo en el que se declare la inexistencia.</w:t>
      </w:r>
    </w:p>
    <w:p w14:paraId="15A57374"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lastRenderedPageBreak/>
        <w:t xml:space="preserve">En consecuencia, resulta procedente revocar la respuesta en términos de la fracción III del artículo 186 de la Ley de Transparencia y Acceso a la Información Pública del Estado de México y Municipios, a efectos de que el </w:t>
      </w:r>
      <w:r w:rsidRPr="00F90EFE">
        <w:rPr>
          <w:rFonts w:ascii="Palatino Linotype" w:eastAsia="Palatino Linotype" w:hAnsi="Palatino Linotype" w:cs="Palatino Linotype"/>
          <w:b/>
        </w:rPr>
        <w:t xml:space="preserve">Sujeto Obligado </w:t>
      </w:r>
      <w:r w:rsidRPr="00F90EFE">
        <w:rPr>
          <w:rFonts w:ascii="Palatino Linotype" w:eastAsia="Palatino Linotype" w:hAnsi="Palatino Linotype" w:cs="Palatino Linotype"/>
        </w:rPr>
        <w:t>entregue la información requerida en versión pública de ser procedente, tal como se detalla en el siguiente considerando.</w:t>
      </w:r>
    </w:p>
    <w:p w14:paraId="074AE2D7" w14:textId="77777777" w:rsidR="006F6FA1" w:rsidRPr="00F90EFE" w:rsidRDefault="00953B10">
      <w:pPr>
        <w:spacing w:before="240" w:after="240" w:line="360" w:lineRule="auto"/>
        <w:ind w:right="49"/>
        <w:jc w:val="both"/>
        <w:rPr>
          <w:rFonts w:ascii="Palatino Linotype" w:eastAsia="Palatino Linotype" w:hAnsi="Palatino Linotype" w:cs="Palatino Linotype"/>
        </w:rPr>
      </w:pPr>
      <w:r w:rsidRPr="00F90EFE">
        <w:rPr>
          <w:rFonts w:ascii="Palatino Linotype" w:eastAsia="Palatino Linotype" w:hAnsi="Palatino Linotype" w:cs="Palatino Linotype"/>
          <w:b/>
        </w:rPr>
        <w:t xml:space="preserve">Quinto. Versión Pública. </w:t>
      </w:r>
      <w:r w:rsidRPr="00F90EFE">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F90EFE">
        <w:rPr>
          <w:rFonts w:ascii="Palatino Linotype" w:eastAsia="Palatino Linotype" w:hAnsi="Palatino Linotype" w:cs="Palatino Linotype"/>
          <w:b/>
        </w:rPr>
        <w:t>Sujeto Obligado</w:t>
      </w:r>
      <w:r w:rsidRPr="00F90EFE">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EED0056" w14:textId="77777777" w:rsidR="006F6FA1" w:rsidRPr="00F90EFE" w:rsidRDefault="00953B10">
      <w:pPr>
        <w:spacing w:before="240" w:after="240" w:line="360" w:lineRule="auto"/>
        <w:ind w:right="50"/>
        <w:jc w:val="both"/>
        <w:rPr>
          <w:rFonts w:ascii="Palatino Linotype" w:eastAsia="Palatino Linotype" w:hAnsi="Palatino Linotype" w:cs="Palatino Linotype"/>
        </w:rPr>
      </w:pPr>
      <w:r w:rsidRPr="00F90EFE">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532BFDB" w14:textId="77777777" w:rsidR="006F6FA1" w:rsidRPr="00F90EFE" w:rsidRDefault="00953B10">
      <w:pPr>
        <w:spacing w:before="120" w:after="120"/>
        <w:ind w:left="567"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r w:rsidRPr="00F90EFE">
        <w:rPr>
          <w:rFonts w:ascii="Palatino Linotype" w:eastAsia="Palatino Linotype" w:hAnsi="Palatino Linotype" w:cs="Palatino Linotype"/>
          <w:b/>
          <w:i/>
          <w:sz w:val="22"/>
          <w:szCs w:val="22"/>
        </w:rPr>
        <w:t>Artículo 3</w:t>
      </w:r>
      <w:r w:rsidRPr="00F90EFE">
        <w:rPr>
          <w:rFonts w:ascii="Palatino Linotype" w:eastAsia="Palatino Linotype" w:hAnsi="Palatino Linotype" w:cs="Palatino Linotype"/>
          <w:i/>
          <w:sz w:val="22"/>
          <w:szCs w:val="22"/>
        </w:rPr>
        <w:t>. Para los efectos de la presente Ley se entenderá por:</w:t>
      </w:r>
    </w:p>
    <w:p w14:paraId="46F6FB84" w14:textId="77777777" w:rsidR="006F6FA1" w:rsidRPr="00F90EFE" w:rsidRDefault="00953B10">
      <w:pPr>
        <w:spacing w:before="120" w:after="120"/>
        <w:ind w:left="567"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0C1BD152" w14:textId="77777777" w:rsidR="006F6FA1" w:rsidRPr="00F90EFE" w:rsidRDefault="00953B10">
      <w:pPr>
        <w:spacing w:before="120" w:after="120"/>
        <w:ind w:left="567"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IX. Datos personales:</w:t>
      </w:r>
      <w:r w:rsidRPr="00F90EF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239EC84" w14:textId="77777777" w:rsidR="006F6FA1" w:rsidRPr="00F90EFE" w:rsidRDefault="00953B10">
      <w:pPr>
        <w:spacing w:before="120" w:after="120"/>
        <w:ind w:left="567"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lastRenderedPageBreak/>
        <w:t>XX. Información clasificada</w:t>
      </w:r>
      <w:r w:rsidRPr="00F90EFE">
        <w:rPr>
          <w:rFonts w:ascii="Palatino Linotype" w:eastAsia="Palatino Linotype" w:hAnsi="Palatino Linotype" w:cs="Palatino Linotype"/>
          <w:i/>
          <w:sz w:val="22"/>
          <w:szCs w:val="22"/>
        </w:rPr>
        <w:t>: Aquella considerada por la presente Ley como reservada o confidencial;</w:t>
      </w:r>
    </w:p>
    <w:p w14:paraId="2333407F" w14:textId="77777777" w:rsidR="006F6FA1" w:rsidRPr="00F90EFE" w:rsidRDefault="00953B10">
      <w:pPr>
        <w:spacing w:before="120" w:after="120"/>
        <w:ind w:left="567"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XXI. Información confidencial:</w:t>
      </w:r>
      <w:r w:rsidRPr="00F90EFE">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3E18FD" w14:textId="77777777" w:rsidR="006F6FA1" w:rsidRPr="00F90EFE" w:rsidRDefault="00953B10">
      <w:pPr>
        <w:spacing w:before="120" w:after="120"/>
        <w:ind w:left="567"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XLV. Versión pública:</w:t>
      </w:r>
      <w:r w:rsidRPr="00F90EF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9515502" w14:textId="77777777" w:rsidR="006F6FA1" w:rsidRPr="00F90EFE" w:rsidRDefault="00953B10">
      <w:pPr>
        <w:spacing w:before="120" w:after="120"/>
        <w:ind w:left="567"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70372948" w14:textId="77777777" w:rsidR="006F6FA1" w:rsidRPr="00F90EFE" w:rsidRDefault="00953B10">
      <w:pPr>
        <w:spacing w:before="120" w:after="120"/>
        <w:ind w:left="567"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 xml:space="preserve">Artículo 91. </w:t>
      </w:r>
      <w:r w:rsidRPr="00F90EF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F37AB8A"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 xml:space="preserve">Artículo 132. </w:t>
      </w:r>
      <w:r w:rsidRPr="00F90EFE">
        <w:rPr>
          <w:rFonts w:ascii="Palatino Linotype" w:eastAsia="Palatino Linotype" w:hAnsi="Palatino Linotype" w:cs="Palatino Linotype"/>
          <w:i/>
          <w:sz w:val="22"/>
          <w:szCs w:val="22"/>
        </w:rPr>
        <w:t>La clasificación de la información se llevará a cabo en el momento en que:</w:t>
      </w:r>
    </w:p>
    <w:p w14:paraId="65BC94B0"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w:t>
      </w:r>
      <w:r w:rsidRPr="00F90EFE">
        <w:rPr>
          <w:rFonts w:ascii="Palatino Linotype" w:eastAsia="Palatino Linotype" w:hAnsi="Palatino Linotype" w:cs="Palatino Linotype"/>
          <w:i/>
          <w:sz w:val="22"/>
          <w:szCs w:val="22"/>
        </w:rPr>
        <w:t>. Se reciba una solicitud de acceso a la información;</w:t>
      </w:r>
    </w:p>
    <w:p w14:paraId="0EA10FB0"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II</w:t>
      </w:r>
      <w:r w:rsidRPr="00F90EFE">
        <w:rPr>
          <w:rFonts w:ascii="Palatino Linotype" w:eastAsia="Palatino Linotype" w:hAnsi="Palatino Linotype" w:cs="Palatino Linotype"/>
          <w:i/>
          <w:sz w:val="22"/>
          <w:szCs w:val="22"/>
        </w:rPr>
        <w:t>. Se determine mediante resolución de autoridad competente; o</w:t>
      </w:r>
    </w:p>
    <w:p w14:paraId="53E38E0E"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III</w:t>
      </w:r>
      <w:r w:rsidRPr="00F90EFE">
        <w:rPr>
          <w:rFonts w:ascii="Palatino Linotype" w:eastAsia="Palatino Linotype" w:hAnsi="Palatino Linotype" w:cs="Palatino Linotype"/>
          <w:i/>
          <w:sz w:val="22"/>
          <w:szCs w:val="22"/>
        </w:rPr>
        <w:t>. Se generen versiones públicas para dar cumplimiento a las obligaciones de transparencia previstas en esta Ley.</w:t>
      </w:r>
    </w:p>
    <w:p w14:paraId="5BCD94FD"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p>
    <w:p w14:paraId="78D988F2"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Artículo 143</w:t>
      </w:r>
      <w:r w:rsidRPr="00F90EF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C67A05A"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w:t>
      </w:r>
      <w:r w:rsidRPr="00F90EF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E7F8106"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II.</w:t>
      </w:r>
      <w:r w:rsidRPr="00F90EF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C85A556"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III</w:t>
      </w:r>
      <w:r w:rsidRPr="00F90EFE">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E24AC21"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FEC70AB" w14:textId="77777777" w:rsidR="006F6FA1" w:rsidRPr="00F90EFE" w:rsidRDefault="00953B10">
      <w:pPr>
        <w:spacing w:before="120" w:after="12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CAAFB34"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673E4BD"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71B0165" w14:textId="77777777" w:rsidR="006F6FA1" w:rsidRPr="00F90EFE" w:rsidRDefault="00953B10">
      <w:pPr>
        <w:spacing w:before="120" w:after="120"/>
        <w:ind w:left="851"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w:t>
      </w:r>
      <w:r w:rsidRPr="00F90EFE">
        <w:rPr>
          <w:rFonts w:ascii="Palatino Linotype" w:eastAsia="Palatino Linotype" w:hAnsi="Palatino Linotype" w:cs="Palatino Linotype"/>
          <w:b/>
          <w:i/>
          <w:sz w:val="22"/>
          <w:szCs w:val="22"/>
        </w:rPr>
        <w:t>Quincuagésimo sexto</w:t>
      </w:r>
      <w:r w:rsidRPr="00F90EFE">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2117EA0" w14:textId="77777777" w:rsidR="006F6FA1" w:rsidRPr="00F90EFE" w:rsidRDefault="00953B10">
      <w:pPr>
        <w:spacing w:before="120" w:after="120"/>
        <w:ind w:left="851"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Quincuagésimo séptimo</w:t>
      </w:r>
      <w:r w:rsidRPr="00F90EF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4336810" w14:textId="77777777" w:rsidR="006F6FA1" w:rsidRPr="00F90EFE" w:rsidRDefault="00953B10">
      <w:pPr>
        <w:spacing w:before="120" w:after="120"/>
        <w:ind w:left="993"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w:t>
      </w:r>
      <w:r w:rsidRPr="00F90EF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32C008A" w14:textId="77777777" w:rsidR="006F6FA1" w:rsidRPr="00F90EFE" w:rsidRDefault="00953B10">
      <w:pPr>
        <w:spacing w:before="120" w:after="120"/>
        <w:ind w:left="993"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II.</w:t>
      </w:r>
      <w:r w:rsidRPr="00F90EFE">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A1D4FA0" w14:textId="77777777" w:rsidR="006F6FA1" w:rsidRPr="00F90EFE" w:rsidRDefault="00953B10">
      <w:pPr>
        <w:spacing w:before="120" w:after="120"/>
        <w:ind w:left="993"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t>III.</w:t>
      </w:r>
      <w:r w:rsidRPr="00F90EF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1848E62" w14:textId="77777777" w:rsidR="006F6FA1" w:rsidRPr="00F90EFE" w:rsidRDefault="00953B10">
      <w:pPr>
        <w:spacing w:before="120" w:after="120"/>
        <w:ind w:left="851"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35572D9A" w14:textId="77777777" w:rsidR="006F6FA1" w:rsidRPr="00F90EFE" w:rsidRDefault="00953B10">
      <w:pPr>
        <w:spacing w:before="120" w:after="120"/>
        <w:ind w:left="851" w:right="902"/>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b/>
          <w:i/>
          <w:sz w:val="22"/>
          <w:szCs w:val="22"/>
        </w:rPr>
        <w:lastRenderedPageBreak/>
        <w:t>Quincuagésimo octavo</w:t>
      </w:r>
      <w:r w:rsidRPr="00F90EFE">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C7D4B47"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DBDD6EF"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2"/>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F90EFE" w:rsidRPr="00F90EFE" w14:paraId="19F545B8" w14:textId="77777777">
        <w:tc>
          <w:tcPr>
            <w:tcW w:w="4253" w:type="dxa"/>
            <w:gridSpan w:val="2"/>
            <w:tcBorders>
              <w:top w:val="nil"/>
              <w:left w:val="nil"/>
              <w:right w:val="nil"/>
            </w:tcBorders>
          </w:tcPr>
          <w:p w14:paraId="16EB5748" w14:textId="77777777" w:rsidR="006F6FA1" w:rsidRPr="00F90EFE" w:rsidRDefault="00953B10">
            <w:pPr>
              <w:jc w:val="center"/>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5D80316F" w14:textId="77777777" w:rsidR="006F6FA1" w:rsidRPr="00F90EFE" w:rsidRDefault="00953B10">
            <w:pPr>
              <w:jc w:val="center"/>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Total</w:t>
            </w:r>
          </w:p>
        </w:tc>
      </w:tr>
      <w:tr w:rsidR="00F90EFE" w:rsidRPr="00F90EFE" w14:paraId="579DED15" w14:textId="77777777">
        <w:tc>
          <w:tcPr>
            <w:tcW w:w="1134" w:type="dxa"/>
          </w:tcPr>
          <w:p w14:paraId="718067E0" w14:textId="77777777" w:rsidR="006F6FA1" w:rsidRPr="00F90EFE" w:rsidRDefault="00953B10">
            <w:pPr>
              <w:jc w:val="center"/>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Concepto</w:t>
            </w:r>
          </w:p>
        </w:tc>
        <w:tc>
          <w:tcPr>
            <w:tcW w:w="3119" w:type="dxa"/>
          </w:tcPr>
          <w:p w14:paraId="661DF9E1" w14:textId="77777777" w:rsidR="006F6FA1" w:rsidRPr="00F90EFE" w:rsidRDefault="00953B10">
            <w:pPr>
              <w:jc w:val="center"/>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Dónde</w:t>
            </w:r>
          </w:p>
        </w:tc>
        <w:tc>
          <w:tcPr>
            <w:tcW w:w="1129" w:type="dxa"/>
          </w:tcPr>
          <w:p w14:paraId="2708102C" w14:textId="77777777" w:rsidR="006F6FA1" w:rsidRPr="00F90EFE" w:rsidRDefault="00953B10">
            <w:pPr>
              <w:jc w:val="center"/>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Concepto</w:t>
            </w:r>
          </w:p>
        </w:tc>
        <w:tc>
          <w:tcPr>
            <w:tcW w:w="3446" w:type="dxa"/>
          </w:tcPr>
          <w:p w14:paraId="7B611CE1" w14:textId="77777777" w:rsidR="006F6FA1" w:rsidRPr="00F90EFE" w:rsidRDefault="00953B10">
            <w:pPr>
              <w:jc w:val="center"/>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Dónde</w:t>
            </w:r>
          </w:p>
        </w:tc>
      </w:tr>
      <w:tr w:rsidR="00F90EFE" w:rsidRPr="00F90EFE" w14:paraId="0575C8A2" w14:textId="77777777">
        <w:tc>
          <w:tcPr>
            <w:tcW w:w="8828" w:type="dxa"/>
            <w:gridSpan w:val="4"/>
          </w:tcPr>
          <w:p w14:paraId="609D1685" w14:textId="77777777" w:rsidR="006F6FA1" w:rsidRPr="00F90EFE" w:rsidRDefault="00953B10">
            <w:pPr>
              <w:jc w:val="center"/>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Sello oficial o logotipo del sujeto obligado</w:t>
            </w:r>
          </w:p>
        </w:tc>
      </w:tr>
      <w:tr w:rsidR="00F90EFE" w:rsidRPr="00F90EFE" w14:paraId="154867F4" w14:textId="77777777">
        <w:tc>
          <w:tcPr>
            <w:tcW w:w="1134" w:type="dxa"/>
          </w:tcPr>
          <w:p w14:paraId="129E99F0"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Fecha de clasificación</w:t>
            </w:r>
          </w:p>
        </w:tc>
        <w:tc>
          <w:tcPr>
            <w:tcW w:w="3119" w:type="dxa"/>
          </w:tcPr>
          <w:p w14:paraId="698450AB"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1417B113"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Fecha de clasificación</w:t>
            </w:r>
          </w:p>
        </w:tc>
        <w:tc>
          <w:tcPr>
            <w:tcW w:w="3446" w:type="dxa"/>
          </w:tcPr>
          <w:p w14:paraId="6BF0F087"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90EFE" w:rsidRPr="00F90EFE" w14:paraId="3908D9D1" w14:textId="77777777">
        <w:tc>
          <w:tcPr>
            <w:tcW w:w="1134" w:type="dxa"/>
          </w:tcPr>
          <w:p w14:paraId="15C8A754"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Área</w:t>
            </w:r>
          </w:p>
        </w:tc>
        <w:tc>
          <w:tcPr>
            <w:tcW w:w="3119" w:type="dxa"/>
          </w:tcPr>
          <w:p w14:paraId="4DC7F105"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señalará el nombre del área del cual es titular quien clasifica.</w:t>
            </w:r>
          </w:p>
        </w:tc>
        <w:tc>
          <w:tcPr>
            <w:tcW w:w="1129" w:type="dxa"/>
          </w:tcPr>
          <w:p w14:paraId="0A762CCE"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Área</w:t>
            </w:r>
          </w:p>
        </w:tc>
        <w:tc>
          <w:tcPr>
            <w:tcW w:w="3446" w:type="dxa"/>
          </w:tcPr>
          <w:p w14:paraId="72A18218"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señalará el nombre del área de la cual es el titular quien clasifica.</w:t>
            </w:r>
          </w:p>
        </w:tc>
      </w:tr>
      <w:tr w:rsidR="00F90EFE" w:rsidRPr="00F90EFE" w14:paraId="79356C3F" w14:textId="77777777">
        <w:tc>
          <w:tcPr>
            <w:tcW w:w="1134" w:type="dxa"/>
          </w:tcPr>
          <w:p w14:paraId="2398ED96"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Información reservada</w:t>
            </w:r>
          </w:p>
        </w:tc>
        <w:tc>
          <w:tcPr>
            <w:tcW w:w="3119" w:type="dxa"/>
          </w:tcPr>
          <w:p w14:paraId="3CDF51FC"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E58F6C1"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Reservado</w:t>
            </w:r>
          </w:p>
        </w:tc>
        <w:tc>
          <w:tcPr>
            <w:tcW w:w="3446" w:type="dxa"/>
          </w:tcPr>
          <w:p w14:paraId="15FF2B86"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Leyenda de información RESERVADA.</w:t>
            </w:r>
          </w:p>
        </w:tc>
      </w:tr>
      <w:tr w:rsidR="00F90EFE" w:rsidRPr="00F90EFE" w14:paraId="5285FAD2" w14:textId="77777777">
        <w:tc>
          <w:tcPr>
            <w:tcW w:w="1134" w:type="dxa"/>
          </w:tcPr>
          <w:p w14:paraId="1186B269"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Fundamento legal</w:t>
            </w:r>
          </w:p>
        </w:tc>
        <w:tc>
          <w:tcPr>
            <w:tcW w:w="3119" w:type="dxa"/>
          </w:tcPr>
          <w:p w14:paraId="777733FE"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33128CE9"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Periodo de reserva</w:t>
            </w:r>
          </w:p>
        </w:tc>
        <w:tc>
          <w:tcPr>
            <w:tcW w:w="3446" w:type="dxa"/>
          </w:tcPr>
          <w:p w14:paraId="69B4A760"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90EFE" w:rsidRPr="00F90EFE" w14:paraId="2CBC8291" w14:textId="77777777">
        <w:tc>
          <w:tcPr>
            <w:tcW w:w="1134" w:type="dxa"/>
          </w:tcPr>
          <w:p w14:paraId="78F4282C"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Ampliación del periodo de reserva</w:t>
            </w:r>
          </w:p>
        </w:tc>
        <w:tc>
          <w:tcPr>
            <w:tcW w:w="3119" w:type="dxa"/>
          </w:tcPr>
          <w:p w14:paraId="49B610AD"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68AA9DE1"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Fundamento legal</w:t>
            </w:r>
          </w:p>
        </w:tc>
        <w:tc>
          <w:tcPr>
            <w:tcW w:w="3446" w:type="dxa"/>
          </w:tcPr>
          <w:p w14:paraId="7477A331"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90EFE" w:rsidRPr="00F90EFE" w14:paraId="48F089D4" w14:textId="77777777">
        <w:tc>
          <w:tcPr>
            <w:tcW w:w="1134" w:type="dxa"/>
          </w:tcPr>
          <w:p w14:paraId="56E9C094"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Confidencial</w:t>
            </w:r>
          </w:p>
        </w:tc>
        <w:tc>
          <w:tcPr>
            <w:tcW w:w="3119" w:type="dxa"/>
          </w:tcPr>
          <w:p w14:paraId="608DC7AE"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anotarán todas las páginas que lo conforman. Si el </w:t>
            </w:r>
            <w:r w:rsidRPr="00F90EFE">
              <w:rPr>
                <w:rFonts w:ascii="Palatino Linotype" w:eastAsia="Palatino Linotype" w:hAnsi="Palatino Linotype" w:cs="Palatino Linotype"/>
                <w:sz w:val="12"/>
                <w:szCs w:val="12"/>
              </w:rPr>
              <w:lastRenderedPageBreak/>
              <w:t>documento no contiene información confidencial, se tachará este apartado.</w:t>
            </w:r>
          </w:p>
        </w:tc>
        <w:tc>
          <w:tcPr>
            <w:tcW w:w="1129" w:type="dxa"/>
          </w:tcPr>
          <w:p w14:paraId="3A3236DA"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lastRenderedPageBreak/>
              <w:t>Ampliación del periodo de reserva</w:t>
            </w:r>
          </w:p>
        </w:tc>
        <w:tc>
          <w:tcPr>
            <w:tcW w:w="3446" w:type="dxa"/>
          </w:tcPr>
          <w:p w14:paraId="336F1E77"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90EFE" w:rsidRPr="00F90EFE" w14:paraId="09DFFAC8" w14:textId="77777777">
        <w:tc>
          <w:tcPr>
            <w:tcW w:w="1134" w:type="dxa"/>
          </w:tcPr>
          <w:p w14:paraId="4EE4789C"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lastRenderedPageBreak/>
              <w:t>Fundamento legal</w:t>
            </w:r>
          </w:p>
        </w:tc>
        <w:tc>
          <w:tcPr>
            <w:tcW w:w="3119" w:type="dxa"/>
          </w:tcPr>
          <w:p w14:paraId="2DF3D669"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E753689"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Confidencial</w:t>
            </w:r>
          </w:p>
        </w:tc>
        <w:tc>
          <w:tcPr>
            <w:tcW w:w="3446" w:type="dxa"/>
          </w:tcPr>
          <w:p w14:paraId="71BA0F0B"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Leyenda de información CONFIDENCIAL.</w:t>
            </w:r>
          </w:p>
        </w:tc>
      </w:tr>
      <w:tr w:rsidR="00F90EFE" w:rsidRPr="00F90EFE" w14:paraId="5C745885" w14:textId="77777777">
        <w:tc>
          <w:tcPr>
            <w:tcW w:w="1134" w:type="dxa"/>
          </w:tcPr>
          <w:p w14:paraId="70A47FC7"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Rúbrica del titular del área</w:t>
            </w:r>
          </w:p>
        </w:tc>
        <w:tc>
          <w:tcPr>
            <w:tcW w:w="3119" w:type="dxa"/>
          </w:tcPr>
          <w:p w14:paraId="71C6ED2D"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Rúbrica autógrafa de quien clasifica.</w:t>
            </w:r>
          </w:p>
        </w:tc>
        <w:tc>
          <w:tcPr>
            <w:tcW w:w="1129" w:type="dxa"/>
          </w:tcPr>
          <w:p w14:paraId="7785C929"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Fundamento legal</w:t>
            </w:r>
          </w:p>
        </w:tc>
        <w:tc>
          <w:tcPr>
            <w:tcW w:w="3446" w:type="dxa"/>
          </w:tcPr>
          <w:p w14:paraId="628326CC"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90EFE" w:rsidRPr="00F90EFE" w14:paraId="36F1FA8F" w14:textId="77777777">
        <w:tc>
          <w:tcPr>
            <w:tcW w:w="1134" w:type="dxa"/>
          </w:tcPr>
          <w:p w14:paraId="7674BC2E"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Fecha de desclasificación</w:t>
            </w:r>
          </w:p>
        </w:tc>
        <w:tc>
          <w:tcPr>
            <w:tcW w:w="3119" w:type="dxa"/>
          </w:tcPr>
          <w:p w14:paraId="7764370E"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anotará la fecha en que se desclasifica el documento.</w:t>
            </w:r>
          </w:p>
        </w:tc>
        <w:tc>
          <w:tcPr>
            <w:tcW w:w="1129" w:type="dxa"/>
          </w:tcPr>
          <w:p w14:paraId="5AA10826"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Rúbrica del titular del área</w:t>
            </w:r>
          </w:p>
        </w:tc>
        <w:tc>
          <w:tcPr>
            <w:tcW w:w="3446" w:type="dxa"/>
          </w:tcPr>
          <w:p w14:paraId="6EC28194"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Rúbrica autógrafa de quien clasifica.</w:t>
            </w:r>
          </w:p>
        </w:tc>
      </w:tr>
      <w:tr w:rsidR="00F90EFE" w:rsidRPr="00F90EFE" w14:paraId="551FD3DE" w14:textId="77777777">
        <w:tc>
          <w:tcPr>
            <w:tcW w:w="1134" w:type="dxa"/>
          </w:tcPr>
          <w:p w14:paraId="7C261A16"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Rúbrica y cargo del servidor público</w:t>
            </w:r>
          </w:p>
        </w:tc>
        <w:tc>
          <w:tcPr>
            <w:tcW w:w="3119" w:type="dxa"/>
          </w:tcPr>
          <w:p w14:paraId="5CC3AB89"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Rúbrica autógrafa de quien desclasifica.</w:t>
            </w:r>
          </w:p>
        </w:tc>
        <w:tc>
          <w:tcPr>
            <w:tcW w:w="1129" w:type="dxa"/>
          </w:tcPr>
          <w:p w14:paraId="59989630"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Fecha de desclasificación</w:t>
            </w:r>
          </w:p>
        </w:tc>
        <w:tc>
          <w:tcPr>
            <w:tcW w:w="3446" w:type="dxa"/>
          </w:tcPr>
          <w:p w14:paraId="4DC68D19"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Se anotará la fecha en que se desclasifica.</w:t>
            </w:r>
          </w:p>
        </w:tc>
      </w:tr>
      <w:tr w:rsidR="00F90EFE" w:rsidRPr="00F90EFE" w14:paraId="7EC5680E" w14:textId="77777777">
        <w:tc>
          <w:tcPr>
            <w:tcW w:w="1134" w:type="dxa"/>
          </w:tcPr>
          <w:p w14:paraId="410FD90B" w14:textId="77777777" w:rsidR="006F6FA1" w:rsidRPr="00F90EFE" w:rsidRDefault="006F6FA1">
            <w:pPr>
              <w:jc w:val="both"/>
              <w:rPr>
                <w:rFonts w:ascii="Palatino Linotype" w:eastAsia="Palatino Linotype" w:hAnsi="Palatino Linotype" w:cs="Palatino Linotype"/>
                <w:b/>
                <w:sz w:val="12"/>
                <w:szCs w:val="12"/>
              </w:rPr>
            </w:pPr>
          </w:p>
        </w:tc>
        <w:tc>
          <w:tcPr>
            <w:tcW w:w="3119" w:type="dxa"/>
          </w:tcPr>
          <w:p w14:paraId="18065C55" w14:textId="77777777" w:rsidR="006F6FA1" w:rsidRPr="00F90EFE" w:rsidRDefault="006F6FA1">
            <w:pPr>
              <w:jc w:val="both"/>
              <w:rPr>
                <w:rFonts w:ascii="Palatino Linotype" w:eastAsia="Palatino Linotype" w:hAnsi="Palatino Linotype" w:cs="Palatino Linotype"/>
                <w:sz w:val="12"/>
                <w:szCs w:val="12"/>
              </w:rPr>
            </w:pPr>
          </w:p>
        </w:tc>
        <w:tc>
          <w:tcPr>
            <w:tcW w:w="1129" w:type="dxa"/>
          </w:tcPr>
          <w:p w14:paraId="4710DA7B"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Partes o secciones reservadas o confidenciales</w:t>
            </w:r>
          </w:p>
        </w:tc>
        <w:tc>
          <w:tcPr>
            <w:tcW w:w="3446" w:type="dxa"/>
          </w:tcPr>
          <w:p w14:paraId="6C9A83F6"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 xml:space="preserve">En caso que una vez desclasificado el expediente, </w:t>
            </w:r>
            <w:proofErr w:type="spellStart"/>
            <w:r w:rsidRPr="00F90EFE">
              <w:rPr>
                <w:rFonts w:ascii="Palatino Linotype" w:eastAsia="Palatino Linotype" w:hAnsi="Palatino Linotype" w:cs="Palatino Linotype"/>
                <w:sz w:val="12"/>
                <w:szCs w:val="12"/>
              </w:rPr>
              <w:t>subsistanpartes</w:t>
            </w:r>
            <w:proofErr w:type="spellEnd"/>
            <w:r w:rsidRPr="00F90EFE">
              <w:rPr>
                <w:rFonts w:ascii="Palatino Linotype" w:eastAsia="Palatino Linotype" w:hAnsi="Palatino Linotype" w:cs="Palatino Linotype"/>
                <w:sz w:val="12"/>
                <w:szCs w:val="12"/>
              </w:rPr>
              <w:t xml:space="preserve"> o secciones del mismo reservadas o confidenciales, se señalará este hecho.</w:t>
            </w:r>
          </w:p>
        </w:tc>
      </w:tr>
      <w:tr w:rsidR="00F90EFE" w:rsidRPr="00F90EFE" w14:paraId="3FDD2CE3" w14:textId="77777777">
        <w:tc>
          <w:tcPr>
            <w:tcW w:w="1134" w:type="dxa"/>
          </w:tcPr>
          <w:p w14:paraId="7635CC4E" w14:textId="77777777" w:rsidR="006F6FA1" w:rsidRPr="00F90EFE" w:rsidRDefault="006F6FA1">
            <w:pPr>
              <w:jc w:val="both"/>
              <w:rPr>
                <w:rFonts w:ascii="Palatino Linotype" w:eastAsia="Palatino Linotype" w:hAnsi="Palatino Linotype" w:cs="Palatino Linotype"/>
                <w:b/>
                <w:sz w:val="12"/>
                <w:szCs w:val="12"/>
              </w:rPr>
            </w:pPr>
          </w:p>
        </w:tc>
        <w:tc>
          <w:tcPr>
            <w:tcW w:w="3119" w:type="dxa"/>
          </w:tcPr>
          <w:p w14:paraId="08EBC9D8" w14:textId="77777777" w:rsidR="006F6FA1" w:rsidRPr="00F90EFE" w:rsidRDefault="006F6FA1">
            <w:pPr>
              <w:jc w:val="both"/>
              <w:rPr>
                <w:rFonts w:ascii="Palatino Linotype" w:eastAsia="Palatino Linotype" w:hAnsi="Palatino Linotype" w:cs="Palatino Linotype"/>
                <w:sz w:val="12"/>
                <w:szCs w:val="12"/>
              </w:rPr>
            </w:pPr>
          </w:p>
        </w:tc>
        <w:tc>
          <w:tcPr>
            <w:tcW w:w="1129" w:type="dxa"/>
          </w:tcPr>
          <w:p w14:paraId="58AB2089" w14:textId="77777777" w:rsidR="006F6FA1" w:rsidRPr="00F90EFE" w:rsidRDefault="00953B10">
            <w:pPr>
              <w:jc w:val="both"/>
              <w:rPr>
                <w:rFonts w:ascii="Palatino Linotype" w:eastAsia="Palatino Linotype" w:hAnsi="Palatino Linotype" w:cs="Palatino Linotype"/>
                <w:b/>
                <w:sz w:val="12"/>
                <w:szCs w:val="12"/>
              </w:rPr>
            </w:pPr>
            <w:r w:rsidRPr="00F90EFE">
              <w:rPr>
                <w:rFonts w:ascii="Palatino Linotype" w:eastAsia="Palatino Linotype" w:hAnsi="Palatino Linotype" w:cs="Palatino Linotype"/>
                <w:b/>
                <w:sz w:val="12"/>
                <w:szCs w:val="12"/>
              </w:rPr>
              <w:t>Rúbrica y cargo del servidor público</w:t>
            </w:r>
          </w:p>
        </w:tc>
        <w:tc>
          <w:tcPr>
            <w:tcW w:w="3446" w:type="dxa"/>
          </w:tcPr>
          <w:p w14:paraId="380C0308" w14:textId="77777777" w:rsidR="006F6FA1" w:rsidRPr="00F90EFE" w:rsidRDefault="00953B10">
            <w:pPr>
              <w:jc w:val="both"/>
              <w:rPr>
                <w:rFonts w:ascii="Palatino Linotype" w:eastAsia="Palatino Linotype" w:hAnsi="Palatino Linotype" w:cs="Palatino Linotype"/>
                <w:sz w:val="12"/>
                <w:szCs w:val="12"/>
              </w:rPr>
            </w:pPr>
            <w:r w:rsidRPr="00F90EFE">
              <w:rPr>
                <w:rFonts w:ascii="Palatino Linotype" w:eastAsia="Palatino Linotype" w:hAnsi="Palatino Linotype" w:cs="Palatino Linotype"/>
                <w:sz w:val="12"/>
                <w:szCs w:val="12"/>
              </w:rPr>
              <w:t>Rúbrica autógrafa de quien desclasifica.</w:t>
            </w:r>
          </w:p>
        </w:tc>
      </w:tr>
    </w:tbl>
    <w:p w14:paraId="230FD848"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Así, con fundamento en lo prescrito en los artículos 5 párrafos trigésimo, trigésimo</w:t>
      </w:r>
    </w:p>
    <w:p w14:paraId="31E91780" w14:textId="77777777" w:rsidR="006F6FA1" w:rsidRPr="00F90EFE" w:rsidRDefault="00953B10">
      <w:pPr>
        <w:shd w:val="clear" w:color="auto" w:fill="FFFFFF"/>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56375F11" w14:textId="77777777" w:rsidR="006F6FA1" w:rsidRPr="00F90EFE" w:rsidRDefault="00953B10">
      <w:pPr>
        <w:numPr>
          <w:ilvl w:val="0"/>
          <w:numId w:val="1"/>
        </w:numPr>
        <w:spacing w:before="240" w:after="240" w:line="360" w:lineRule="auto"/>
        <w:ind w:left="284" w:hanging="426"/>
        <w:jc w:val="center"/>
        <w:rPr>
          <w:rFonts w:ascii="Palatino Linotype" w:eastAsia="Palatino Linotype" w:hAnsi="Palatino Linotype" w:cs="Palatino Linotype"/>
          <w:b/>
        </w:rPr>
      </w:pPr>
      <w:r w:rsidRPr="00F90EFE">
        <w:rPr>
          <w:rFonts w:ascii="Palatino Linotype" w:eastAsia="Palatino Linotype" w:hAnsi="Palatino Linotype" w:cs="Palatino Linotype"/>
          <w:b/>
        </w:rPr>
        <w:t>R E S U E L V E:</w:t>
      </w:r>
    </w:p>
    <w:p w14:paraId="2546F9A7" w14:textId="77777777" w:rsidR="006F6FA1" w:rsidRPr="00F90EFE" w:rsidRDefault="00953B10">
      <w:pPr>
        <w:spacing w:before="240" w:after="240" w:line="360" w:lineRule="auto"/>
        <w:jc w:val="both"/>
        <w:rPr>
          <w:rFonts w:ascii="Palatino Linotype" w:eastAsia="Palatino Linotype" w:hAnsi="Palatino Linotype" w:cs="Palatino Linotype"/>
          <w:b/>
        </w:rPr>
      </w:pPr>
      <w:bookmarkStart w:id="1" w:name="_heading=h.30j0zll" w:colFirst="0" w:colLast="0"/>
      <w:bookmarkEnd w:id="1"/>
      <w:r w:rsidRPr="00F90EFE">
        <w:rPr>
          <w:rFonts w:ascii="Palatino Linotype" w:eastAsia="Palatino Linotype" w:hAnsi="Palatino Linotype" w:cs="Palatino Linotype"/>
          <w:b/>
        </w:rPr>
        <w:t xml:space="preserve">Primero. </w:t>
      </w:r>
      <w:r w:rsidRPr="00F90EFE">
        <w:rPr>
          <w:rFonts w:ascii="Palatino Linotype" w:eastAsia="Palatino Linotype" w:hAnsi="Palatino Linotype" w:cs="Palatino Linotype"/>
        </w:rPr>
        <w:t>Resultan</w:t>
      </w:r>
      <w:r w:rsidRPr="00F90EFE">
        <w:rPr>
          <w:rFonts w:ascii="Palatino Linotype" w:eastAsia="Palatino Linotype" w:hAnsi="Palatino Linotype" w:cs="Palatino Linotype"/>
          <w:b/>
        </w:rPr>
        <w:t xml:space="preserve"> fundados </w:t>
      </w:r>
      <w:r w:rsidRPr="00F90EFE">
        <w:rPr>
          <w:rFonts w:ascii="Palatino Linotype" w:eastAsia="Palatino Linotype" w:hAnsi="Palatino Linotype" w:cs="Palatino Linotype"/>
        </w:rPr>
        <w:t xml:space="preserve">los motivos de inconformidad hechos valer por </w:t>
      </w:r>
      <w:r w:rsidRPr="00F90EFE">
        <w:rPr>
          <w:rFonts w:ascii="Palatino Linotype" w:eastAsia="Palatino Linotype" w:hAnsi="Palatino Linotype" w:cs="Palatino Linotype"/>
          <w:b/>
        </w:rPr>
        <w:t>la parte Recurrente</w:t>
      </w:r>
      <w:r w:rsidRPr="00F90EFE">
        <w:rPr>
          <w:rFonts w:ascii="Palatino Linotype" w:eastAsia="Palatino Linotype" w:hAnsi="Palatino Linotype" w:cs="Palatino Linotype"/>
        </w:rPr>
        <w:t xml:space="preserve"> en el recurso de revisión</w:t>
      </w:r>
      <w:r w:rsidRPr="00F90EFE">
        <w:rPr>
          <w:rFonts w:ascii="Palatino Linotype" w:eastAsia="Palatino Linotype" w:hAnsi="Palatino Linotype" w:cs="Palatino Linotype"/>
          <w:b/>
        </w:rPr>
        <w:t xml:space="preserve"> 13429/INFOEM/IP/RR/2022, </w:t>
      </w:r>
      <w:r w:rsidRPr="00F90EFE">
        <w:rPr>
          <w:rFonts w:ascii="Palatino Linotype" w:eastAsia="Palatino Linotype" w:hAnsi="Palatino Linotype" w:cs="Palatino Linotype"/>
        </w:rPr>
        <w:t>por lo que, en términos del</w:t>
      </w:r>
      <w:r w:rsidRPr="00F90EFE">
        <w:rPr>
          <w:rFonts w:ascii="Palatino Linotype" w:eastAsia="Palatino Linotype" w:hAnsi="Palatino Linotype" w:cs="Palatino Linotype"/>
          <w:b/>
        </w:rPr>
        <w:t xml:space="preserve"> Considerando Cuarto </w:t>
      </w:r>
      <w:r w:rsidRPr="00F90EFE">
        <w:rPr>
          <w:rFonts w:ascii="Palatino Linotype" w:eastAsia="Palatino Linotype" w:hAnsi="Palatino Linotype" w:cs="Palatino Linotype"/>
        </w:rPr>
        <w:t xml:space="preserve">de la presente resolución, se </w:t>
      </w:r>
      <w:r w:rsidRPr="00F90EFE">
        <w:rPr>
          <w:rFonts w:ascii="Palatino Linotype" w:eastAsia="Palatino Linotype" w:hAnsi="Palatino Linotype" w:cs="Palatino Linotype"/>
          <w:b/>
        </w:rPr>
        <w:t xml:space="preserve">REVOCA </w:t>
      </w:r>
      <w:r w:rsidRPr="00F90EFE">
        <w:rPr>
          <w:rFonts w:ascii="Palatino Linotype" w:eastAsia="Palatino Linotype" w:hAnsi="Palatino Linotype" w:cs="Palatino Linotype"/>
        </w:rPr>
        <w:t>la respuesta emitida por el</w:t>
      </w:r>
      <w:r w:rsidRPr="00F90EFE">
        <w:rPr>
          <w:rFonts w:ascii="Palatino Linotype" w:eastAsia="Palatino Linotype" w:hAnsi="Palatino Linotype" w:cs="Palatino Linotype"/>
          <w:b/>
        </w:rPr>
        <w:t xml:space="preserve"> Sujeto Obligado.</w:t>
      </w:r>
    </w:p>
    <w:p w14:paraId="2EE4336A" w14:textId="77777777" w:rsidR="006F6FA1" w:rsidRPr="00F90EFE" w:rsidRDefault="00953B10">
      <w:pPr>
        <w:spacing w:before="240" w:after="240" w:line="360" w:lineRule="auto"/>
        <w:jc w:val="both"/>
        <w:rPr>
          <w:rFonts w:ascii="Palatino Linotype" w:eastAsia="Palatino Linotype" w:hAnsi="Palatino Linotype" w:cs="Palatino Linotype"/>
          <w:b/>
        </w:rPr>
      </w:pPr>
      <w:r w:rsidRPr="00F90EFE">
        <w:rPr>
          <w:rFonts w:ascii="Palatino Linotype" w:eastAsia="Palatino Linotype" w:hAnsi="Palatino Linotype" w:cs="Palatino Linotype"/>
          <w:b/>
        </w:rPr>
        <w:t xml:space="preserve">Segundo. </w:t>
      </w:r>
      <w:r w:rsidRPr="00F90EFE">
        <w:rPr>
          <w:rFonts w:ascii="Palatino Linotype" w:eastAsia="Palatino Linotype" w:hAnsi="Palatino Linotype" w:cs="Palatino Linotype"/>
        </w:rPr>
        <w:t xml:space="preserve">Se </w:t>
      </w:r>
      <w:r w:rsidRPr="00F90EFE">
        <w:rPr>
          <w:rFonts w:ascii="Palatino Linotype" w:eastAsia="Palatino Linotype" w:hAnsi="Palatino Linotype" w:cs="Palatino Linotype"/>
          <w:b/>
        </w:rPr>
        <w:t>Ordena</w:t>
      </w:r>
      <w:r w:rsidRPr="00F90EFE">
        <w:rPr>
          <w:rFonts w:ascii="Palatino Linotype" w:eastAsia="Palatino Linotype" w:hAnsi="Palatino Linotype" w:cs="Palatino Linotype"/>
        </w:rPr>
        <w:t xml:space="preserve"> al </w:t>
      </w:r>
      <w:r w:rsidRPr="00F90EFE">
        <w:rPr>
          <w:rFonts w:ascii="Palatino Linotype" w:eastAsia="Palatino Linotype" w:hAnsi="Palatino Linotype" w:cs="Palatino Linotype"/>
          <w:b/>
        </w:rPr>
        <w:t xml:space="preserve">Sujeto Obligado, </w:t>
      </w:r>
      <w:r w:rsidRPr="00F90EFE">
        <w:rPr>
          <w:rFonts w:ascii="Palatino Linotype" w:eastAsia="Palatino Linotype" w:hAnsi="Palatino Linotype" w:cs="Palatino Linotype"/>
        </w:rPr>
        <w:t>que haga entrega</w:t>
      </w:r>
      <w:r w:rsidRPr="00F90EFE">
        <w:rPr>
          <w:rFonts w:ascii="Palatino Linotype" w:eastAsia="Palatino Linotype" w:hAnsi="Palatino Linotype" w:cs="Palatino Linotype"/>
          <w:b/>
        </w:rPr>
        <w:t xml:space="preserve"> vía SAIMEX, </w:t>
      </w:r>
      <w:r w:rsidRPr="00F90EFE">
        <w:rPr>
          <w:rFonts w:ascii="Palatino Linotype" w:eastAsia="Palatino Linotype" w:hAnsi="Palatino Linotype" w:cs="Palatino Linotype"/>
        </w:rPr>
        <w:t xml:space="preserve">en términos de los </w:t>
      </w:r>
      <w:r w:rsidRPr="00F90EFE">
        <w:rPr>
          <w:rFonts w:ascii="Palatino Linotype" w:eastAsia="Palatino Linotype" w:hAnsi="Palatino Linotype" w:cs="Palatino Linotype"/>
          <w:b/>
        </w:rPr>
        <w:t xml:space="preserve">Considerandos Cuarto y Quinto </w:t>
      </w:r>
      <w:r w:rsidRPr="00F90EFE">
        <w:rPr>
          <w:rFonts w:ascii="Palatino Linotype" w:eastAsia="Palatino Linotype" w:hAnsi="Palatino Linotype" w:cs="Palatino Linotype"/>
        </w:rPr>
        <w:t xml:space="preserve">de esta resolución a </w:t>
      </w:r>
      <w:r w:rsidRPr="00F90EFE">
        <w:rPr>
          <w:rFonts w:ascii="Palatino Linotype" w:eastAsia="Palatino Linotype" w:hAnsi="Palatino Linotype" w:cs="Palatino Linotype"/>
          <w:b/>
        </w:rPr>
        <w:t>la parte</w:t>
      </w:r>
      <w:r w:rsidRPr="00F90EFE">
        <w:rPr>
          <w:rFonts w:ascii="Palatino Linotype" w:eastAsia="Palatino Linotype" w:hAnsi="Palatino Linotype" w:cs="Palatino Linotype"/>
        </w:rPr>
        <w:t xml:space="preserve"> </w:t>
      </w:r>
      <w:r w:rsidRPr="00F90EFE">
        <w:rPr>
          <w:rFonts w:ascii="Palatino Linotype" w:eastAsia="Palatino Linotype" w:hAnsi="Palatino Linotype" w:cs="Palatino Linotype"/>
          <w:b/>
        </w:rPr>
        <w:t>Recurrente</w:t>
      </w:r>
      <w:r w:rsidRPr="00F90EFE">
        <w:rPr>
          <w:rFonts w:ascii="Palatino Linotype" w:eastAsia="Palatino Linotype" w:hAnsi="Palatino Linotype" w:cs="Palatino Linotype"/>
        </w:rPr>
        <w:t xml:space="preserve">, </w:t>
      </w:r>
      <w:r w:rsidRPr="00F90EFE">
        <w:rPr>
          <w:rFonts w:ascii="Palatino Linotype" w:eastAsia="Palatino Linotype" w:hAnsi="Palatino Linotype" w:cs="Palatino Linotype"/>
          <w:b/>
        </w:rPr>
        <w:t>previa búsqueda exhaustiva y razonable</w:t>
      </w:r>
      <w:r w:rsidRPr="00F90EFE">
        <w:rPr>
          <w:rFonts w:ascii="Palatino Linotype" w:eastAsia="Palatino Linotype" w:hAnsi="Palatino Linotype" w:cs="Palatino Linotype"/>
        </w:rPr>
        <w:t xml:space="preserve">, </w:t>
      </w:r>
      <w:r w:rsidRPr="00F90EFE">
        <w:rPr>
          <w:rFonts w:ascii="Palatino Linotype" w:eastAsia="Palatino Linotype" w:hAnsi="Palatino Linotype" w:cs="Palatino Linotype"/>
          <w:b/>
        </w:rPr>
        <w:t>en versión pública de ser procedente</w:t>
      </w:r>
      <w:r w:rsidRPr="00F90EFE">
        <w:rPr>
          <w:rFonts w:ascii="Palatino Linotype" w:eastAsia="Palatino Linotype" w:hAnsi="Palatino Linotype" w:cs="Palatino Linotype"/>
        </w:rPr>
        <w:t>, de lo siguiente:</w:t>
      </w:r>
      <w:r w:rsidRPr="00F90EFE">
        <w:rPr>
          <w:rFonts w:ascii="Palatino Linotype" w:eastAsia="Palatino Linotype" w:hAnsi="Palatino Linotype" w:cs="Palatino Linotype"/>
          <w:b/>
        </w:rPr>
        <w:t xml:space="preserve"> </w:t>
      </w:r>
    </w:p>
    <w:p w14:paraId="039548BF" w14:textId="77777777" w:rsidR="006F6FA1" w:rsidRPr="00F90EFE" w:rsidRDefault="00953B10">
      <w:pPr>
        <w:pBdr>
          <w:top w:val="nil"/>
          <w:left w:val="nil"/>
          <w:bottom w:val="nil"/>
          <w:right w:val="nil"/>
          <w:between w:val="nil"/>
        </w:pBdr>
        <w:spacing w:before="240" w:after="240"/>
        <w:ind w:left="567" w:right="709"/>
        <w:jc w:val="both"/>
        <w:rPr>
          <w:rFonts w:ascii="Palatino Linotype" w:eastAsia="Palatino Linotype" w:hAnsi="Palatino Linotype" w:cs="Palatino Linotype"/>
          <w:b/>
          <w:i/>
          <w:sz w:val="22"/>
          <w:szCs w:val="22"/>
        </w:rPr>
      </w:pPr>
      <w:bookmarkStart w:id="2" w:name="_heading=h.3znysh7" w:colFirst="0" w:colLast="0"/>
      <w:bookmarkEnd w:id="2"/>
      <w:r w:rsidRPr="00F90EFE">
        <w:rPr>
          <w:rFonts w:ascii="Palatino Linotype" w:eastAsia="Palatino Linotype" w:hAnsi="Palatino Linotype" w:cs="Palatino Linotype"/>
          <w:b/>
          <w:i/>
          <w:sz w:val="22"/>
          <w:szCs w:val="22"/>
        </w:rPr>
        <w:lastRenderedPageBreak/>
        <w:t>Documentos presentados por el Sujeto Obligado, al Fondo Internacional para la Diversidad Cultural (FIDC) para la financiación del proyecto “</w:t>
      </w:r>
      <w:r w:rsidRPr="00F90EFE">
        <w:rPr>
          <w:rFonts w:ascii="Palatino Linotype" w:eastAsia="Palatino Linotype" w:hAnsi="Palatino Linotype" w:cs="Palatino Linotype"/>
          <w:b/>
          <w:i/>
          <w:sz w:val="22"/>
          <w:szCs w:val="22"/>
          <w:u w:val="single"/>
        </w:rPr>
        <w:t>Aplicación de la Convención de 2005: cada agente tiene un papel que desempeñar</w:t>
      </w:r>
      <w:r w:rsidRPr="00F90EFE">
        <w:rPr>
          <w:rFonts w:ascii="Palatino Linotype" w:eastAsia="Palatino Linotype" w:hAnsi="Palatino Linotype" w:cs="Palatino Linotype"/>
          <w:b/>
          <w:i/>
          <w:sz w:val="22"/>
          <w:szCs w:val="22"/>
        </w:rPr>
        <w:t>”.</w:t>
      </w:r>
    </w:p>
    <w:p w14:paraId="111475B2" w14:textId="77777777" w:rsidR="006F6FA1" w:rsidRPr="00F90EFE" w:rsidRDefault="00953B10" w:rsidP="002A0B3C">
      <w:pPr>
        <w:pBdr>
          <w:top w:val="nil"/>
          <w:left w:val="nil"/>
          <w:bottom w:val="nil"/>
          <w:right w:val="nil"/>
          <w:between w:val="nil"/>
        </w:pBdr>
        <w:spacing w:before="240" w:after="240"/>
        <w:ind w:left="567" w:right="851"/>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De ser el caso en el que la entrega del documento se dé en versión pública, deberá emitir el Acuerdo del Comité de Transparencia en términos de la Ley de Transparencia y Acceso a la Información Pública del Estado de México y Municipios, en el que funde y motive las razones sobre los datos que se supriman o elimi</w:t>
      </w:r>
      <w:r w:rsidR="009A38C3" w:rsidRPr="00F90EFE">
        <w:rPr>
          <w:rFonts w:ascii="Palatino Linotype" w:eastAsia="Palatino Linotype" w:hAnsi="Palatino Linotype" w:cs="Palatino Linotype"/>
          <w:i/>
          <w:sz w:val="22"/>
          <w:szCs w:val="22"/>
        </w:rPr>
        <w:t>nen y se ponga a disposición de la parte</w:t>
      </w:r>
      <w:r w:rsidRPr="00F90EFE">
        <w:rPr>
          <w:rFonts w:ascii="Palatino Linotype" w:eastAsia="Palatino Linotype" w:hAnsi="Palatino Linotype" w:cs="Palatino Linotype"/>
          <w:i/>
          <w:sz w:val="22"/>
          <w:szCs w:val="22"/>
        </w:rPr>
        <w:t xml:space="preserve"> Recurrente.</w:t>
      </w:r>
    </w:p>
    <w:p w14:paraId="58F3EAE1" w14:textId="77777777" w:rsidR="007944FA" w:rsidRPr="00F90EFE" w:rsidRDefault="007944FA" w:rsidP="007944FA">
      <w:pPr>
        <w:tabs>
          <w:tab w:val="left" w:pos="720"/>
        </w:tabs>
        <w:spacing w:line="259" w:lineRule="auto"/>
        <w:ind w:left="567" w:right="900"/>
        <w:jc w:val="both"/>
        <w:rPr>
          <w:rFonts w:ascii="Palatino Linotype" w:eastAsia="Palatino Linotype" w:hAnsi="Palatino Linotype" w:cs="Palatino Linotype"/>
          <w:i/>
          <w:sz w:val="22"/>
          <w:szCs w:val="22"/>
        </w:rPr>
      </w:pPr>
      <w:r w:rsidRPr="00F90EFE">
        <w:rPr>
          <w:rFonts w:ascii="Palatino Linotype" w:eastAsia="Palatino Linotype" w:hAnsi="Palatino Linotype" w:cs="Palatino Linotype"/>
          <w:i/>
          <w:sz w:val="22"/>
          <w:szCs w:val="22"/>
        </w:rPr>
        <w:t xml:space="preserve">Para el caso </w:t>
      </w:r>
      <w:r w:rsidR="009A0B97" w:rsidRPr="00F90EFE">
        <w:rPr>
          <w:rFonts w:ascii="Palatino Linotype" w:eastAsia="Palatino Linotype" w:hAnsi="Palatino Linotype" w:cs="Palatino Linotype"/>
          <w:i/>
          <w:sz w:val="22"/>
          <w:szCs w:val="22"/>
        </w:rPr>
        <w:t>de que la información no obre</w:t>
      </w:r>
      <w:r w:rsidRPr="00F90EFE">
        <w:rPr>
          <w:rFonts w:ascii="Palatino Linotype" w:eastAsia="Palatino Linotype" w:hAnsi="Palatino Linotype" w:cs="Palatino Linotype"/>
          <w:i/>
          <w:sz w:val="22"/>
          <w:szCs w:val="22"/>
        </w:rPr>
        <w:t xml:space="preserve"> en sus archivos</w:t>
      </w:r>
      <w:r w:rsidR="008D4072" w:rsidRPr="00F90EFE">
        <w:rPr>
          <w:rFonts w:ascii="Palatino Linotype" w:eastAsia="Palatino Linotype" w:hAnsi="Palatino Linotype" w:cs="Palatino Linotype"/>
          <w:i/>
          <w:sz w:val="22"/>
          <w:szCs w:val="22"/>
        </w:rPr>
        <w:t xml:space="preserve">, deberá entregar </w:t>
      </w:r>
      <w:r w:rsidRPr="00F90EFE">
        <w:rPr>
          <w:rFonts w:ascii="Palatino Linotype" w:eastAsia="Palatino Linotype" w:hAnsi="Palatino Linotype" w:cs="Palatino Linotype"/>
          <w:i/>
          <w:sz w:val="22"/>
          <w:szCs w:val="22"/>
        </w:rPr>
        <w:t>el acuerdo de inexistencia de conformidad con lo establecido en los artículos 19, párrafo tercero y 169 de la Ley de Transparencia y Acceso a la Información Pública del Estado de México y Municipios.</w:t>
      </w:r>
    </w:p>
    <w:p w14:paraId="2086A2F1" w14:textId="77777777" w:rsidR="007944FA" w:rsidRPr="00F90EFE" w:rsidRDefault="007944FA" w:rsidP="00AA4A34">
      <w:pPr>
        <w:pBdr>
          <w:top w:val="nil"/>
          <w:left w:val="nil"/>
          <w:bottom w:val="nil"/>
          <w:right w:val="nil"/>
          <w:between w:val="nil"/>
        </w:pBdr>
        <w:spacing w:before="240" w:after="240"/>
        <w:ind w:right="709"/>
        <w:jc w:val="both"/>
        <w:rPr>
          <w:rFonts w:ascii="Palatino Linotype" w:eastAsia="Palatino Linotype" w:hAnsi="Palatino Linotype" w:cs="Palatino Linotype"/>
          <w:i/>
          <w:sz w:val="22"/>
          <w:szCs w:val="22"/>
        </w:rPr>
      </w:pPr>
    </w:p>
    <w:p w14:paraId="6825ABEC"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b/>
        </w:rPr>
        <w:t xml:space="preserve">Tercero. </w:t>
      </w:r>
      <w:r w:rsidRPr="00F90EFE">
        <w:rPr>
          <w:rFonts w:ascii="Palatino Linotype" w:eastAsia="Palatino Linotype" w:hAnsi="Palatino Linotype" w:cs="Palatino Linotype"/>
        </w:rPr>
        <w:t>Notifíquese vía</w:t>
      </w:r>
      <w:r w:rsidRPr="00F90EFE">
        <w:rPr>
          <w:rFonts w:ascii="Palatino Linotype" w:eastAsia="Palatino Linotype" w:hAnsi="Palatino Linotype" w:cs="Palatino Linotype"/>
          <w:b/>
        </w:rPr>
        <w:t xml:space="preserve"> Sistema de Acceso a la Información Mexiquense (SAIMEX), </w:t>
      </w:r>
      <w:r w:rsidRPr="00F90EFE">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08417BAB" w14:textId="77777777" w:rsidR="006F6FA1" w:rsidRPr="00F90EFE" w:rsidRDefault="00953B10">
      <w:pPr>
        <w:spacing w:before="240" w:after="240" w:line="360" w:lineRule="auto"/>
        <w:jc w:val="both"/>
        <w:rPr>
          <w:rFonts w:ascii="Palatino Linotype" w:eastAsia="Palatino Linotype" w:hAnsi="Palatino Linotype" w:cs="Palatino Linotype"/>
        </w:rPr>
      </w:pPr>
      <w:r w:rsidRPr="00F90EFE">
        <w:rPr>
          <w:rFonts w:ascii="Palatino Linotype" w:eastAsia="Palatino Linotype" w:hAnsi="Palatino Linotype" w:cs="Palatino Linotype"/>
          <w:b/>
        </w:rPr>
        <w:t xml:space="preserve">Cuarto. </w:t>
      </w:r>
      <w:r w:rsidRPr="00F90EFE">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31F70F" w14:textId="77777777" w:rsidR="006F6FA1" w:rsidRPr="00F90EFE" w:rsidRDefault="00E92D42">
      <w:pPr>
        <w:spacing w:before="240" w:after="240" w:line="360" w:lineRule="auto"/>
        <w:jc w:val="both"/>
        <w:rPr>
          <w:rFonts w:ascii="Palatino Linotype" w:eastAsia="Palatino Linotype" w:hAnsi="Palatino Linotype" w:cs="Palatino Linotype"/>
          <w:b/>
        </w:rPr>
      </w:pPr>
      <w:r w:rsidRPr="00F90EFE">
        <w:rPr>
          <w:rFonts w:ascii="Palatino Linotype" w:eastAsia="Palatino Linotype" w:hAnsi="Palatino Linotype" w:cs="Palatino Linotype"/>
          <w:b/>
        </w:rPr>
        <w:t>Quinto.  Notifíquese, a la parte R</w:t>
      </w:r>
      <w:r w:rsidR="00953B10" w:rsidRPr="00F90EFE">
        <w:rPr>
          <w:rFonts w:ascii="Palatino Linotype" w:eastAsia="Palatino Linotype" w:hAnsi="Palatino Linotype" w:cs="Palatino Linotype"/>
          <w:b/>
        </w:rPr>
        <w:t xml:space="preserve">ecurrente vía Sistema de Acceso a la Información Mexiquense (SAIMEX), </w:t>
      </w:r>
      <w:r w:rsidR="00953B10" w:rsidRPr="00F90EFE">
        <w:rPr>
          <w:rFonts w:ascii="Palatino Linotype" w:eastAsia="Palatino Linotype" w:hAnsi="Palatino Linotype" w:cs="Palatino Linotype"/>
        </w:rPr>
        <w:t xml:space="preserve">la presente resolución, así como, que de conformidad con </w:t>
      </w:r>
      <w:r w:rsidR="00953B10" w:rsidRPr="00F90EFE">
        <w:rPr>
          <w:rFonts w:ascii="Palatino Linotype" w:eastAsia="Palatino Linotype" w:hAnsi="Palatino Linotype" w:cs="Palatino Linotype"/>
        </w:rPr>
        <w:lastRenderedPageBreak/>
        <w:t>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R="00953B10" w:rsidRPr="00F90EFE">
        <w:rPr>
          <w:rFonts w:ascii="Palatino Linotype" w:eastAsia="Palatino Linotype" w:hAnsi="Palatino Linotype" w:cs="Palatino Linotype"/>
          <w:b/>
        </w:rPr>
        <w:t>.</w:t>
      </w:r>
    </w:p>
    <w:bookmarkStart w:id="3" w:name="_heading=h.1fob9te" w:colFirst="0" w:colLast="0"/>
    <w:bookmarkEnd w:id="3"/>
    <w:p w14:paraId="3EDFCD2C" w14:textId="435044DC" w:rsidR="006F6FA1" w:rsidRPr="00F90EFE" w:rsidRDefault="00AA4A34">
      <w:pPr>
        <w:spacing w:before="240" w:after="240" w:line="360" w:lineRule="auto"/>
        <w:jc w:val="both"/>
        <w:rPr>
          <w:rFonts w:ascii="Palatino Linotype" w:eastAsia="Palatino Linotype" w:hAnsi="Palatino Linotype" w:cs="Palatino Linotype"/>
        </w:rPr>
        <w:sectPr w:rsidR="006F6FA1" w:rsidRPr="00F90EFE">
          <w:headerReference w:type="default" r:id="rId23"/>
          <w:footerReference w:type="default" r:id="rId24"/>
          <w:headerReference w:type="first" r:id="rId25"/>
          <w:footerReference w:type="first" r:id="rId26"/>
          <w:pgSz w:w="12240" w:h="15840"/>
          <w:pgMar w:top="1417" w:right="1750" w:bottom="1417" w:left="1701" w:header="708" w:footer="708" w:gutter="0"/>
          <w:pgNumType w:start="1"/>
          <w:cols w:space="720"/>
          <w:titlePg/>
        </w:sectPr>
      </w:pPr>
      <w:r w:rsidRPr="00F90EFE">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079FA6B7" wp14:editId="12CB74DA">
                <wp:simplePos x="0" y="0"/>
                <wp:positionH relativeFrom="column">
                  <wp:posOffset>5714</wp:posOffset>
                </wp:positionH>
                <wp:positionV relativeFrom="paragraph">
                  <wp:posOffset>2646679</wp:posOffset>
                </wp:positionV>
                <wp:extent cx="5210175" cy="343852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210175" cy="3438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D668AE"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208.4pt" to="410.7pt,4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" strokecolor="black [3200]" strokeweight="2pt">
                <v:shadow on="t" color="black" opacity="24903f" origin=",.5" offset="0,.55556mm"/>
              </v:line>
            </w:pict>
          </mc:Fallback>
        </mc:AlternateContent>
      </w:r>
      <w:r w:rsidR="00953B10" w:rsidRPr="00F90EF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AC186F" w:rsidRPr="00F90EFE">
        <w:rPr>
          <w:rFonts w:ascii="Palatino Linotype" w:eastAsia="Palatino Linotype" w:hAnsi="Palatino Linotype" w:cs="Palatino Linotype"/>
        </w:rPr>
        <w:t xml:space="preserve">SHARON CRISTINA MORALES MARTÍNEZ,  </w:t>
      </w:r>
      <w:r w:rsidR="00953B10" w:rsidRPr="00F90EFE">
        <w:rPr>
          <w:rFonts w:ascii="Palatino Linotype" w:eastAsia="Palatino Linotype" w:hAnsi="Palatino Linotype" w:cs="Palatino Linotype"/>
        </w:rPr>
        <w:t>LUIS GUSTAVO PARRA NORIEGA Y GUADALUPE RAMÍREZ PEÑA; EN LA CUARTA SESIÓN ORDINARIA CELEBRADA EL PRIMERO DE FEBRERO DEL DOS MIL VEINTITRÉS, ANTE EL SECRETARIO TÉCNICO DEL PLENO, ALEXIS TAPIA RAMÍREZ.</w:t>
      </w:r>
    </w:p>
    <w:p w14:paraId="2ACED8D8" w14:textId="77777777" w:rsidR="006F6FA1" w:rsidRPr="00F90EFE" w:rsidRDefault="006F6FA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5C61915C" w14:textId="77777777" w:rsidR="006F6FA1" w:rsidRPr="00F90EFE" w:rsidRDefault="006F6FA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26126DC9" w14:textId="77777777" w:rsidR="006F6FA1" w:rsidRPr="00F90EFE" w:rsidRDefault="006F6FA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sectPr w:rsidR="006F6FA1" w:rsidRPr="00F90EFE">
      <w:headerReference w:type="first" r:id="rId2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92A40" w14:textId="77777777" w:rsidR="00366B6E" w:rsidRDefault="00366B6E">
      <w:r>
        <w:separator/>
      </w:r>
    </w:p>
  </w:endnote>
  <w:endnote w:type="continuationSeparator" w:id="0">
    <w:p w14:paraId="2A2F130C" w14:textId="77777777" w:rsidR="00366B6E" w:rsidRDefault="0036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altName w:val="Arial"/>
    <w:charset w:val="00"/>
    <w:family w:val="swiss"/>
    <w:pitch w:val="variable"/>
    <w:sig w:usb0="00000001"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B8863" w14:textId="77777777" w:rsidR="006F6FA1" w:rsidRDefault="00953B1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56F30">
      <w:rPr>
        <w:rFonts w:ascii="Arial" w:eastAsia="Arial" w:hAnsi="Arial" w:cs="Arial"/>
        <w:b/>
        <w:noProof/>
        <w:color w:val="000000"/>
        <w:sz w:val="20"/>
        <w:szCs w:val="20"/>
      </w:rPr>
      <w:t>19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56F30">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47DC1807" w14:textId="77777777" w:rsidR="006F6FA1" w:rsidRDefault="006F6FA1">
    <w:pPr>
      <w:pBdr>
        <w:top w:val="nil"/>
        <w:left w:val="nil"/>
        <w:bottom w:val="nil"/>
        <w:right w:val="nil"/>
        <w:between w:val="nil"/>
      </w:pBdr>
      <w:tabs>
        <w:tab w:val="center" w:pos="4252"/>
        <w:tab w:val="right" w:pos="8504"/>
      </w:tabs>
      <w:rPr>
        <w:color w:val="000000"/>
      </w:rPr>
    </w:pPr>
  </w:p>
  <w:p w14:paraId="6192AB1E" w14:textId="77777777" w:rsidR="006F6FA1" w:rsidRDefault="006F6FA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145AE" w14:textId="77777777" w:rsidR="006F6FA1" w:rsidRDefault="00953B1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56F3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56F30">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311AF0F0" w14:textId="77777777" w:rsidR="006F6FA1" w:rsidRDefault="006F6FA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AEEFE" w14:textId="77777777" w:rsidR="00366B6E" w:rsidRDefault="00366B6E">
      <w:r>
        <w:separator/>
      </w:r>
    </w:p>
  </w:footnote>
  <w:footnote w:type="continuationSeparator" w:id="0">
    <w:p w14:paraId="5F8D4653" w14:textId="77777777" w:rsidR="00366B6E" w:rsidRDefault="00366B6E">
      <w:r>
        <w:continuationSeparator/>
      </w:r>
    </w:p>
  </w:footnote>
  <w:footnote w:id="1">
    <w:p w14:paraId="0C9956F2" w14:textId="77777777" w:rsidR="006F6FA1" w:rsidRDefault="00953B1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1A9274D" w14:textId="77777777" w:rsidR="006F6FA1" w:rsidRDefault="00953B1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1D069" w14:textId="77777777" w:rsidR="006F6FA1" w:rsidRDefault="00953B1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20AACE5" wp14:editId="0E9780AC">
          <wp:simplePos x="0" y="0"/>
          <wp:positionH relativeFrom="column">
            <wp:posOffset>-1080128</wp:posOffset>
          </wp:positionH>
          <wp:positionV relativeFrom="paragraph">
            <wp:posOffset>-345433</wp:posOffset>
          </wp:positionV>
          <wp:extent cx="7635600" cy="9943200"/>
          <wp:effectExtent l="0" t="0" r="0" b="0"/>
          <wp:wrapNone/>
          <wp:docPr id="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746" w:type="dxa"/>
      <w:tblLayout w:type="fixed"/>
      <w:tblLook w:val="0400" w:firstRow="0" w:lastRow="0" w:firstColumn="0" w:lastColumn="0" w:noHBand="0" w:noVBand="1"/>
    </w:tblPr>
    <w:tblGrid>
      <w:gridCol w:w="2553"/>
      <w:gridCol w:w="3687"/>
    </w:tblGrid>
    <w:tr w:rsidR="006F6FA1" w14:paraId="0FB7271D" w14:textId="77777777">
      <w:tc>
        <w:tcPr>
          <w:tcW w:w="2553" w:type="dxa"/>
          <w:vAlign w:val="center"/>
        </w:tcPr>
        <w:p w14:paraId="76C532CB" w14:textId="77777777" w:rsidR="006F6FA1" w:rsidRDefault="00953B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063A901C" w14:textId="77777777" w:rsidR="006F6FA1" w:rsidRDefault="00953B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13429/INFOEM/IP/RR/2022</w:t>
          </w:r>
        </w:p>
      </w:tc>
    </w:tr>
    <w:tr w:rsidR="006F6FA1" w14:paraId="46A83082" w14:textId="77777777">
      <w:trPr>
        <w:trHeight w:val="228"/>
      </w:trPr>
      <w:tc>
        <w:tcPr>
          <w:tcW w:w="2553" w:type="dxa"/>
          <w:vAlign w:val="center"/>
        </w:tcPr>
        <w:p w14:paraId="00644C12" w14:textId="77777777" w:rsidR="006F6FA1" w:rsidRDefault="00953B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2C6FB6C" w14:textId="77777777" w:rsidR="006F6FA1" w:rsidRDefault="00953B10">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6F6FA1" w14:paraId="26A1F280" w14:textId="77777777">
      <w:tc>
        <w:tcPr>
          <w:tcW w:w="2553" w:type="dxa"/>
          <w:vAlign w:val="center"/>
        </w:tcPr>
        <w:p w14:paraId="3D59BE06" w14:textId="77777777" w:rsidR="006F6FA1" w:rsidRDefault="00953B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6DBBB01" w14:textId="77777777" w:rsidR="006F6FA1" w:rsidRDefault="00953B1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E0E9E0" w14:textId="77777777" w:rsidR="006F6FA1" w:rsidRDefault="00953B10">
    <w:pPr>
      <w:rPr>
        <w:rFonts w:ascii="Cambria" w:eastAsia="Cambria" w:hAnsi="Cambria" w:cs="Cambria"/>
        <w:color w:val="000000"/>
      </w:rPr>
    </w:pPr>
    <w:r>
      <w:rPr>
        <w:rFonts w:ascii="Cambria" w:eastAsia="Cambria" w:hAnsi="Cambria" w:cs="Cambria"/>
        <w:color w:val="000000"/>
      </w:rPr>
      <w:tab/>
    </w:r>
  </w:p>
  <w:p w14:paraId="2878F3E5" w14:textId="77777777" w:rsidR="006F6FA1" w:rsidRDefault="006F6FA1">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933C" w14:textId="77777777" w:rsidR="006F6FA1" w:rsidRDefault="00953B1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652FF1CA" wp14:editId="7B5BD222">
          <wp:simplePos x="0" y="0"/>
          <wp:positionH relativeFrom="column">
            <wp:posOffset>-1080127</wp:posOffset>
          </wp:positionH>
          <wp:positionV relativeFrom="paragraph">
            <wp:posOffset>-343527</wp:posOffset>
          </wp:positionV>
          <wp:extent cx="7635600" cy="9943200"/>
          <wp:effectExtent l="0" t="0" r="0" b="0"/>
          <wp:wrapNone/>
          <wp:docPr id="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685" w:type="dxa"/>
      <w:tblLayout w:type="fixed"/>
      <w:tblLook w:val="0400" w:firstRow="0" w:lastRow="0" w:firstColumn="0" w:lastColumn="0" w:noHBand="0" w:noVBand="1"/>
    </w:tblPr>
    <w:tblGrid>
      <w:gridCol w:w="2553"/>
      <w:gridCol w:w="3687"/>
    </w:tblGrid>
    <w:tr w:rsidR="006F6FA1" w14:paraId="7AED0753" w14:textId="77777777">
      <w:tc>
        <w:tcPr>
          <w:tcW w:w="2553" w:type="dxa"/>
          <w:vAlign w:val="center"/>
        </w:tcPr>
        <w:p w14:paraId="1D3A25FD" w14:textId="77777777" w:rsidR="006F6FA1" w:rsidRDefault="00953B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AD00F6F" w14:textId="77777777" w:rsidR="006F6FA1" w:rsidRDefault="00953B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13429/INFOEM/IP/RR/2022</w:t>
          </w:r>
        </w:p>
      </w:tc>
    </w:tr>
    <w:tr w:rsidR="006F6FA1" w14:paraId="1FCA4BB0" w14:textId="77777777">
      <w:tc>
        <w:tcPr>
          <w:tcW w:w="2553" w:type="dxa"/>
          <w:vAlign w:val="center"/>
        </w:tcPr>
        <w:p w14:paraId="723EF62F" w14:textId="77777777" w:rsidR="006F6FA1" w:rsidRDefault="00953B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74774CCD" w14:textId="77777777" w:rsidR="006F6FA1" w:rsidRDefault="006F6FA1">
          <w:pPr>
            <w:rPr>
              <w:rFonts w:ascii="Palatino Linotype" w:eastAsia="Palatino Linotype" w:hAnsi="Palatino Linotype" w:cs="Palatino Linotype"/>
              <w:b/>
              <w:sz w:val="22"/>
              <w:szCs w:val="22"/>
            </w:rPr>
          </w:pPr>
        </w:p>
      </w:tc>
    </w:tr>
    <w:tr w:rsidR="006F6FA1" w14:paraId="505FDC89" w14:textId="77777777">
      <w:trPr>
        <w:trHeight w:val="228"/>
      </w:trPr>
      <w:tc>
        <w:tcPr>
          <w:tcW w:w="2553" w:type="dxa"/>
          <w:vAlign w:val="center"/>
        </w:tcPr>
        <w:p w14:paraId="2EC6521D" w14:textId="77777777" w:rsidR="006F6FA1" w:rsidRDefault="00953B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948FEB3" w14:textId="77777777" w:rsidR="006F6FA1" w:rsidRDefault="00953B10">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6F6FA1" w14:paraId="1BEF0D84" w14:textId="77777777">
      <w:tc>
        <w:tcPr>
          <w:tcW w:w="2553" w:type="dxa"/>
          <w:vAlign w:val="center"/>
        </w:tcPr>
        <w:p w14:paraId="089C66DD" w14:textId="77777777" w:rsidR="006F6FA1" w:rsidRDefault="00953B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7322DFC2" w14:textId="77777777" w:rsidR="006F6FA1" w:rsidRDefault="00953B1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E63421" w14:textId="77777777" w:rsidR="006F6FA1" w:rsidRDefault="006F6FA1">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63B37" w14:textId="77777777" w:rsidR="006F6FA1" w:rsidRDefault="00953B1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21BA8686" w14:textId="77777777" w:rsidR="006F6FA1" w:rsidRDefault="006F6FA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81E19"/>
    <w:multiLevelType w:val="multilevel"/>
    <w:tmpl w:val="A5A8B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4EC2D30"/>
    <w:multiLevelType w:val="multilevel"/>
    <w:tmpl w:val="9D68050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08815C8"/>
    <w:multiLevelType w:val="multilevel"/>
    <w:tmpl w:val="826A9F0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E7355FA"/>
    <w:multiLevelType w:val="multilevel"/>
    <w:tmpl w:val="1FDE046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nsid w:val="521C3032"/>
    <w:multiLevelType w:val="multilevel"/>
    <w:tmpl w:val="42A87C8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571F0941"/>
    <w:multiLevelType w:val="multilevel"/>
    <w:tmpl w:val="864801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FAD3F7B"/>
    <w:multiLevelType w:val="multilevel"/>
    <w:tmpl w:val="275443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nsid w:val="7CEA6D42"/>
    <w:multiLevelType w:val="multilevel"/>
    <w:tmpl w:val="88DAAB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5"/>
  </w:num>
  <w:num w:numId="3">
    <w:abstractNumId w:val="4"/>
  </w:num>
  <w:num w:numId="4">
    <w:abstractNumId w:val="7"/>
  </w:num>
  <w:num w:numId="5">
    <w:abstractNumId w:val="0"/>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A1"/>
    <w:rsid w:val="00156F30"/>
    <w:rsid w:val="00217CCB"/>
    <w:rsid w:val="002A0B3C"/>
    <w:rsid w:val="00366B6E"/>
    <w:rsid w:val="003A5CE2"/>
    <w:rsid w:val="00451449"/>
    <w:rsid w:val="004B7287"/>
    <w:rsid w:val="0064486D"/>
    <w:rsid w:val="00670DD8"/>
    <w:rsid w:val="006F6FA1"/>
    <w:rsid w:val="007944FA"/>
    <w:rsid w:val="007B6DFA"/>
    <w:rsid w:val="008D4072"/>
    <w:rsid w:val="00953B10"/>
    <w:rsid w:val="00956E25"/>
    <w:rsid w:val="009A0B97"/>
    <w:rsid w:val="009A38C3"/>
    <w:rsid w:val="009E00E1"/>
    <w:rsid w:val="00AA4A34"/>
    <w:rsid w:val="00AC186F"/>
    <w:rsid w:val="00BD14CB"/>
    <w:rsid w:val="00D73773"/>
    <w:rsid w:val="00E92D42"/>
    <w:rsid w:val="00F7492C"/>
    <w:rsid w:val="00F90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72E16"/>
  <w15:docId w15:val="{B1E146A1-D7F1-41D9-83EE-4C3E1011C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6A4"/>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top w:w="0" w:type="dxa"/>
        <w:left w:w="108" w:type="dxa"/>
        <w:bottom w:w="0" w:type="dxa"/>
        <w:right w:w="108" w:type="dxa"/>
      </w:tblCellMar>
    </w:tblPr>
  </w:style>
  <w:style w:type="table" w:customStyle="1" w:styleId="15">
    <w:name w:val="15"/>
    <w:basedOn w:val="TableNormal10"/>
    <w:tblPr>
      <w:tblStyleRowBandSize w:val="1"/>
      <w:tblStyleColBandSize w:val="1"/>
      <w:tblCellMar>
        <w:top w:w="0" w:type="dxa"/>
        <w:left w:w="115" w:type="dxa"/>
        <w:bottom w:w="0" w:type="dxa"/>
        <w:right w:w="115" w:type="dxa"/>
      </w:tblCellMar>
    </w:tblPr>
  </w:style>
  <w:style w:type="table" w:customStyle="1" w:styleId="14">
    <w:name w:val="14"/>
    <w:basedOn w:val="TableNormal10"/>
    <w:tblPr>
      <w:tblStyleRowBandSize w:val="1"/>
      <w:tblStyleColBandSize w:val="1"/>
      <w:tblCellMar>
        <w:top w:w="0" w:type="dxa"/>
        <w:left w:w="115" w:type="dxa"/>
        <w:bottom w:w="0" w:type="dxa"/>
        <w:right w:w="115" w:type="dxa"/>
      </w:tblCellMar>
    </w:tblPr>
  </w:style>
  <w:style w:type="table" w:customStyle="1" w:styleId="13">
    <w:name w:val="13"/>
    <w:basedOn w:val="TableNormal10"/>
    <w:tblPr>
      <w:tblStyleRowBandSize w:val="1"/>
      <w:tblStyleColBandSize w:val="1"/>
      <w:tblCellMar>
        <w:top w:w="0" w:type="dxa"/>
        <w:left w:w="115" w:type="dxa"/>
        <w:bottom w:w="0" w:type="dxa"/>
        <w:right w:w="115" w:type="dxa"/>
      </w:tblCellMar>
    </w:tblPr>
  </w:style>
  <w:style w:type="table" w:customStyle="1" w:styleId="12">
    <w:name w:val="12"/>
    <w:basedOn w:val="TableNormal10"/>
    <w:tblPr>
      <w:tblStyleRowBandSize w:val="1"/>
      <w:tblStyleColBandSize w:val="1"/>
      <w:tblCellMar>
        <w:top w:w="0" w:type="dxa"/>
        <w:left w:w="115" w:type="dxa"/>
        <w:bottom w:w="0" w:type="dxa"/>
        <w:right w:w="115" w:type="dxa"/>
      </w:tblCellMar>
    </w:tblPr>
  </w:style>
  <w:style w:type="table" w:customStyle="1" w:styleId="11">
    <w:name w:val="11"/>
    <w:basedOn w:val="TableNormal2"/>
    <w:tblPr>
      <w:tblStyleRowBandSize w:val="1"/>
      <w:tblStyleColBandSize w:val="1"/>
      <w:tblCellMar>
        <w:top w:w="0" w:type="dxa"/>
        <w:left w:w="115" w:type="dxa"/>
        <w:bottom w:w="0" w:type="dxa"/>
        <w:right w:w="115" w:type="dxa"/>
      </w:tblCellMar>
    </w:tblPr>
  </w:style>
  <w:style w:type="table" w:customStyle="1" w:styleId="10">
    <w:name w:val="10"/>
    <w:basedOn w:val="TableNormal2"/>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B001C4"/>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9"/>
    <w:basedOn w:val="TableNormal3"/>
    <w:tblPr>
      <w:tblStyleRowBandSize w:val="1"/>
      <w:tblStyleColBandSize w:val="1"/>
      <w:tblCellMar>
        <w:top w:w="0" w:type="dxa"/>
        <w:left w:w="115" w:type="dxa"/>
        <w:bottom w:w="0" w:type="dxa"/>
        <w:right w:w="115" w:type="dxa"/>
      </w:tblCellMar>
    </w:tblPr>
  </w:style>
  <w:style w:type="table" w:customStyle="1" w:styleId="8">
    <w:name w:val="8"/>
    <w:basedOn w:val="TableNormal3"/>
    <w:tblPr>
      <w:tblStyleRowBandSize w:val="1"/>
      <w:tblStyleColBandSize w:val="1"/>
      <w:tblCellMar>
        <w:top w:w="0" w:type="dxa"/>
        <w:left w:w="115" w:type="dxa"/>
        <w:bottom w:w="0" w:type="dxa"/>
        <w:right w:w="115" w:type="dxa"/>
      </w:tblCellMar>
    </w:tblPr>
  </w:style>
  <w:style w:type="table" w:customStyle="1" w:styleId="7">
    <w:name w:val="7"/>
    <w:basedOn w:val="TableNormal3"/>
    <w:tblPr>
      <w:tblStyleRowBandSize w:val="1"/>
      <w:tblStyleColBandSize w:val="1"/>
      <w:tblCellMar>
        <w:top w:w="0" w:type="dxa"/>
        <w:left w:w="115" w:type="dxa"/>
        <w:bottom w:w="0" w:type="dxa"/>
        <w:right w:w="115" w:type="dxa"/>
      </w:tblCellMar>
    </w:tblPr>
  </w:style>
  <w:style w:type="table" w:customStyle="1" w:styleId="6">
    <w:name w:val="6"/>
    <w:basedOn w:val="TableNormal4"/>
    <w:tblPr>
      <w:tblStyleRowBandSize w:val="1"/>
      <w:tblStyleColBandSize w:val="1"/>
      <w:tblCellMar>
        <w:top w:w="0" w:type="dxa"/>
        <w:left w:w="115" w:type="dxa"/>
        <w:bottom w:w="0" w:type="dxa"/>
        <w:right w:w="115" w:type="dxa"/>
      </w:tblCellMar>
    </w:tblPr>
  </w:style>
  <w:style w:type="table" w:customStyle="1" w:styleId="5">
    <w:name w:val="5"/>
    <w:basedOn w:val="TableNormal4"/>
    <w:tblPr>
      <w:tblStyleRowBandSize w:val="1"/>
      <w:tblStyleColBandSize w:val="1"/>
      <w:tblCellMar>
        <w:top w:w="0" w:type="dxa"/>
        <w:left w:w="115" w:type="dxa"/>
        <w:bottom w:w="0" w:type="dxa"/>
        <w:right w:w="115" w:type="dxa"/>
      </w:tblCellMar>
    </w:tblPr>
  </w:style>
  <w:style w:type="table" w:customStyle="1" w:styleId="4">
    <w:name w:val="4"/>
    <w:basedOn w:val="TableNormal4"/>
    <w:tblPr>
      <w:tblStyleRowBandSize w:val="1"/>
      <w:tblStyleColBandSize w:val="1"/>
      <w:tblCellMar>
        <w:top w:w="0" w:type="dxa"/>
        <w:left w:w="115" w:type="dxa"/>
        <w:bottom w:w="0" w:type="dxa"/>
        <w:right w:w="115" w:type="dxa"/>
      </w:tblCellMar>
    </w:tblPr>
  </w:style>
  <w:style w:type="table" w:customStyle="1" w:styleId="3">
    <w:name w:val="3"/>
    <w:basedOn w:val="TableNormal5"/>
    <w:tblPr>
      <w:tblStyleRowBandSize w:val="1"/>
      <w:tblStyleColBandSize w:val="1"/>
      <w:tblCellMar>
        <w:top w:w="0" w:type="dxa"/>
        <w:left w:w="115" w:type="dxa"/>
        <w:bottom w:w="0" w:type="dxa"/>
        <w:right w:w="115" w:type="dxa"/>
      </w:tblCellMar>
    </w:tblPr>
  </w:style>
  <w:style w:type="table" w:customStyle="1" w:styleId="2">
    <w:name w:val="2"/>
    <w:basedOn w:val="TableNormal5"/>
    <w:tblPr>
      <w:tblStyleRowBandSize w:val="1"/>
      <w:tblStyleColBandSize w:val="1"/>
      <w:tblCellMar>
        <w:top w:w="0" w:type="dxa"/>
        <w:left w:w="115" w:type="dxa"/>
        <w:bottom w:w="0" w:type="dxa"/>
        <w:right w:w="115" w:type="dxa"/>
      </w:tblCellMar>
    </w:tblPr>
  </w:style>
  <w:style w:type="table" w:customStyle="1" w:styleId="1">
    <w:name w:val="1"/>
    <w:basedOn w:val="TableNormal5"/>
    <w:tblPr>
      <w:tblStyleRowBandSize w:val="1"/>
      <w:tblStyleColBandSize w:val="1"/>
      <w:tblCellMar>
        <w:top w:w="0" w:type="dxa"/>
        <w:left w:w="115" w:type="dxa"/>
        <w:bottom w:w="0" w:type="dxa"/>
        <w:right w:w="115"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unesco.org/creativity/ifcd/projects/aplicacion-de-convencion-de-2005-cada-agente"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unesco.org/creativity/ifcd/project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unesco.org/creativity/ifcd/projects/aplicacion-de-convencion-de-2005-cada-agente" TargetMode="External"/><Relationship Id="rId22" Type="http://schemas.openxmlformats.org/officeDocument/2006/relationships/hyperlink" Target="about:blank"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CPpkWnXb2aQmku/3Hk5oWWfywA==">AMUW2mVS87aZzDU6H8R6r/fvPySz0+E9DLi3BXj4xFUPo//Q+B6ywSYP01g+TGGETLg/fGYgQf/j6jDiUpnSe8Ic+53F1bzVjuLtqwjAODMsfH+RjvJjpZgT5lVy9YmyJlMUH6I/EG1dNf709ghhoARwwlcsR/TYnQ==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12256</Words>
  <Characters>67413</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2023-02-03T18:27:00Z</cp:lastPrinted>
  <dcterms:created xsi:type="dcterms:W3CDTF">2023-02-09T17:56:00Z</dcterms:created>
  <dcterms:modified xsi:type="dcterms:W3CDTF">2023-02-09T17:56:00Z</dcterms:modified>
</cp:coreProperties>
</file>