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veintiuno de junio de dos mil veintitrés</w:t>
      </w:r>
      <w:r>
        <w:rPr>
          <w:rFonts w:ascii="Palatino Linotype" w:eastAsia="Palatino Linotype" w:hAnsi="Palatino Linotype" w:cs="Palatino Linotype"/>
        </w:rPr>
        <w:t xml:space="preserve">. </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00294/INFOEM/IP/RR</w:t>
      </w:r>
      <w:r w:rsidRPr="009C1543">
        <w:rPr>
          <w:rFonts w:ascii="Palatino Linotype" w:eastAsia="Palatino Linotype" w:hAnsi="Palatino Linotype" w:cs="Palatino Linotype"/>
          <w:b/>
        </w:rPr>
        <w:t>/2023</w:t>
      </w:r>
      <w:r w:rsidRPr="009C1543">
        <w:rPr>
          <w:rFonts w:ascii="Palatino Linotype" w:eastAsia="Palatino Linotype" w:hAnsi="Palatino Linotype" w:cs="Palatino Linotype"/>
        </w:rPr>
        <w:t>,</w:t>
      </w:r>
      <w:r>
        <w:rPr>
          <w:rFonts w:ascii="Palatino Linotype" w:eastAsia="Palatino Linotype" w:hAnsi="Palatino Linotype" w:cs="Palatino Linotype"/>
        </w:rPr>
        <w:t xml:space="preserve"> por interpuesto por</w:t>
      </w:r>
      <w:r>
        <w:rPr>
          <w:rFonts w:ascii="Palatino Linotype" w:eastAsia="Palatino Linotype" w:hAnsi="Palatino Linotype" w:cs="Palatino Linotype"/>
          <w:b/>
        </w:rPr>
        <w:t xml:space="preserve"> un particular de manera anónima</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Servicios Educativos Integrados al Estado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68020A" w:rsidRDefault="00446715">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veintidós de noviembre del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00756/SEIEM/IP/2022, </w:t>
      </w:r>
      <w:r>
        <w:rPr>
          <w:rFonts w:ascii="Palatino Linotype" w:eastAsia="Palatino Linotype" w:hAnsi="Palatino Linotype" w:cs="Palatino Linotype"/>
        </w:rPr>
        <w:t xml:space="preserve">mediante la cual requirió la información siguiente: </w:t>
      </w:r>
    </w:p>
    <w:p w:rsidR="0068020A" w:rsidRDefault="00446715">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“De los servidores públicos VELASCO LEON IRAIS y VELASCO LEON GABRIEL, solicito </w:t>
      </w:r>
      <w:proofErr w:type="spellStart"/>
      <w:r>
        <w:rPr>
          <w:rFonts w:ascii="Palatino Linotype" w:eastAsia="Palatino Linotype" w:hAnsi="Palatino Linotype" w:cs="Palatino Linotype"/>
          <w:b/>
          <w:i/>
          <w:sz w:val="22"/>
          <w:szCs w:val="22"/>
          <w:u w:val="single"/>
        </w:rPr>
        <w:t>el.ofico</w:t>
      </w:r>
      <w:proofErr w:type="spellEnd"/>
      <w:r>
        <w:rPr>
          <w:rFonts w:ascii="Palatino Linotype" w:eastAsia="Palatino Linotype" w:hAnsi="Palatino Linotype" w:cs="Palatino Linotype"/>
          <w:b/>
          <w:i/>
          <w:sz w:val="22"/>
          <w:szCs w:val="22"/>
          <w:u w:val="single"/>
        </w:rPr>
        <w:t xml:space="preserve"> donde se establezcan sus funciones para 2022 y su </w:t>
      </w:r>
      <w:proofErr w:type="spellStart"/>
      <w:r>
        <w:rPr>
          <w:rFonts w:ascii="Palatino Linotype" w:eastAsia="Palatino Linotype" w:hAnsi="Palatino Linotype" w:cs="Palatino Linotype"/>
          <w:b/>
          <w:i/>
          <w:sz w:val="22"/>
          <w:szCs w:val="22"/>
          <w:u w:val="single"/>
        </w:rPr>
        <w:t>ofico</w:t>
      </w:r>
      <w:proofErr w:type="spellEnd"/>
      <w:r>
        <w:rPr>
          <w:rFonts w:ascii="Palatino Linotype" w:eastAsia="Palatino Linotype" w:hAnsi="Palatino Linotype" w:cs="Palatino Linotype"/>
          <w:b/>
          <w:i/>
          <w:sz w:val="22"/>
          <w:szCs w:val="22"/>
          <w:u w:val="single"/>
        </w:rPr>
        <w:t xml:space="preserve"> de adscripción</w:t>
      </w:r>
      <w:r>
        <w:rPr>
          <w:rFonts w:ascii="Palatino Linotype" w:eastAsia="Palatino Linotype" w:hAnsi="Palatino Linotype" w:cs="Palatino Linotype"/>
          <w:i/>
          <w:sz w:val="22"/>
          <w:szCs w:val="22"/>
        </w:rPr>
        <w:t xml:space="preserve">.” (Sic) </w:t>
      </w:r>
    </w:p>
    <w:p w:rsidR="0068020A" w:rsidRDefault="0068020A">
      <w:pPr>
        <w:spacing w:line="360" w:lineRule="auto"/>
        <w:jc w:val="both"/>
        <w:rPr>
          <w:rFonts w:ascii="Palatino Linotype" w:eastAsia="Palatino Linotype" w:hAnsi="Palatino Linotype" w:cs="Palatino Linotype"/>
        </w:rPr>
      </w:pP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68020A" w:rsidRDefault="0068020A">
      <w:pPr>
        <w:spacing w:line="360" w:lineRule="auto"/>
        <w:jc w:val="both"/>
        <w:rPr>
          <w:rFonts w:ascii="Palatino Linotype" w:eastAsia="Palatino Linotype" w:hAnsi="Palatino Linotype" w:cs="Palatino Linotype"/>
        </w:rPr>
      </w:pPr>
    </w:p>
    <w:p w:rsidR="0068020A" w:rsidRDefault="0044671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Solicitud de aclaración.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veintinueve de noviembre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requirió a la parte solicitante que aclarara su solicitud de información, medularmente en los siguientes términos: </w:t>
      </w:r>
    </w:p>
    <w:p w:rsidR="0068020A" w:rsidRDefault="00446715">
      <w:pPr>
        <w:spacing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rsidR="0068020A" w:rsidRDefault="00446715">
      <w:pPr>
        <w:spacing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adjunta requerimiento de aclaración presentada por el Servidor Público Habilitado.</w:t>
      </w:r>
    </w:p>
    <w:p w:rsidR="0068020A" w:rsidRDefault="00446715">
      <w:pPr>
        <w:spacing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68020A" w:rsidRDefault="00446715">
      <w:pPr>
        <w:spacing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68020A" w:rsidRDefault="00446715">
      <w:pPr>
        <w:spacing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Joaquín Raúl Benítez Vera”</w:t>
      </w:r>
    </w:p>
    <w:p w:rsidR="0068020A" w:rsidRDefault="00446715">
      <w:pPr>
        <w:spacing w:after="240"/>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Archivos adjuntos:</w:t>
      </w:r>
    </w:p>
    <w:p w:rsidR="0068020A" w:rsidRDefault="00446715">
      <w:pPr>
        <w:spacing w:after="240"/>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“Aclara Sol 756IP2022 DRMF.pdf”: </w:t>
      </w:r>
    </w:p>
    <w:p w:rsidR="0068020A" w:rsidRDefault="00446715">
      <w:pPr>
        <w:spacing w:after="240"/>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5129885" cy="6461984"/>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129885" cy="6461984"/>
                    </a:xfrm>
                    <a:prstGeom prst="rect">
                      <a:avLst/>
                    </a:prstGeom>
                    <a:ln/>
                  </pic:spPr>
                </pic:pic>
              </a:graphicData>
            </a:graphic>
          </wp:inline>
        </w:drawing>
      </w:r>
    </w:p>
    <w:p w:rsidR="0068020A" w:rsidRDefault="00446715">
      <w:pPr>
        <w:spacing w:after="240"/>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5453886" cy="6530717"/>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453886" cy="6530717"/>
                    </a:xfrm>
                    <a:prstGeom prst="rect">
                      <a:avLst/>
                    </a:prstGeom>
                    <a:ln/>
                  </pic:spPr>
                </pic:pic>
              </a:graphicData>
            </a:graphic>
          </wp:inline>
        </w:drawing>
      </w:r>
    </w:p>
    <w:p w:rsidR="0068020A" w:rsidRDefault="0068020A">
      <w:pPr>
        <w:spacing w:after="240"/>
        <w:ind w:left="567" w:right="900"/>
        <w:jc w:val="both"/>
        <w:rPr>
          <w:rFonts w:ascii="Palatino Linotype" w:eastAsia="Palatino Linotype" w:hAnsi="Palatino Linotype" w:cs="Palatino Linotype"/>
          <w:sz w:val="22"/>
          <w:szCs w:val="22"/>
        </w:rPr>
      </w:pPr>
    </w:p>
    <w:p w:rsidR="0068020A" w:rsidRDefault="0044671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Aclaración. </w:t>
      </w:r>
      <w:r>
        <w:rPr>
          <w:rFonts w:ascii="Palatino Linotype" w:eastAsia="Palatino Linotype" w:hAnsi="Palatino Linotype" w:cs="Palatino Linotype"/>
        </w:rPr>
        <w:t xml:space="preserve">El </w:t>
      </w:r>
      <w:r>
        <w:rPr>
          <w:rFonts w:ascii="Palatino Linotype" w:eastAsia="Palatino Linotype" w:hAnsi="Palatino Linotype" w:cs="Palatino Linotype"/>
          <w:b/>
        </w:rPr>
        <w:t>ocho de diciembre de dos mil veintidós</w:t>
      </w:r>
      <w:r>
        <w:rPr>
          <w:rFonts w:ascii="Palatino Linotype" w:eastAsia="Palatino Linotype" w:hAnsi="Palatino Linotype" w:cs="Palatino Linotype"/>
        </w:rPr>
        <w:t>, la parte solicitante desahogó el requerimiento de aclaración, medularmente en los siguientes términos:</w:t>
      </w:r>
    </w:p>
    <w:p w:rsidR="0068020A" w:rsidRDefault="00446715">
      <w:pPr>
        <w:spacing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spellStart"/>
      <w:r>
        <w:rPr>
          <w:rFonts w:ascii="Palatino Linotype" w:eastAsia="Palatino Linotype" w:hAnsi="Palatino Linotype" w:cs="Palatino Linotype"/>
          <w:i/>
          <w:sz w:val="22"/>
          <w:szCs w:val="22"/>
        </w:rPr>
        <w:t>eal</w:t>
      </w:r>
      <w:proofErr w:type="spellEnd"/>
      <w:r>
        <w:rPr>
          <w:rFonts w:ascii="Palatino Linotype" w:eastAsia="Palatino Linotype" w:hAnsi="Palatino Linotype" w:cs="Palatino Linotype"/>
          <w:i/>
          <w:sz w:val="22"/>
          <w:szCs w:val="22"/>
        </w:rPr>
        <w:t xml:space="preserve"> nombre correcto del </w:t>
      </w:r>
      <w:proofErr w:type="spellStart"/>
      <w:r>
        <w:rPr>
          <w:rFonts w:ascii="Palatino Linotype" w:eastAsia="Palatino Linotype" w:hAnsi="Palatino Linotype" w:cs="Palatino Linotype"/>
          <w:i/>
          <w:sz w:val="22"/>
          <w:szCs w:val="22"/>
        </w:rPr>
        <w:t>servidot</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publico</w:t>
      </w:r>
      <w:proofErr w:type="spellEnd"/>
      <w:r>
        <w:rPr>
          <w:rFonts w:ascii="Palatino Linotype" w:eastAsia="Palatino Linotype" w:hAnsi="Palatino Linotype" w:cs="Palatino Linotype"/>
          <w:i/>
          <w:sz w:val="22"/>
          <w:szCs w:val="22"/>
        </w:rPr>
        <w:t xml:space="preserve"> es VELASO LEON IRIS. Lis </w:t>
      </w:r>
      <w:proofErr w:type="spellStart"/>
      <w:r>
        <w:rPr>
          <w:rFonts w:ascii="Palatino Linotype" w:eastAsia="Palatino Linotype" w:hAnsi="Palatino Linotype" w:cs="Palatino Linotype"/>
          <w:i/>
          <w:sz w:val="22"/>
          <w:szCs w:val="22"/>
        </w:rPr>
        <w:t>demas</w:t>
      </w:r>
      <w:proofErr w:type="spellEnd"/>
      <w:r>
        <w:rPr>
          <w:rFonts w:ascii="Palatino Linotype" w:eastAsia="Palatino Linotype" w:hAnsi="Palatino Linotype" w:cs="Palatino Linotype"/>
          <w:i/>
          <w:sz w:val="22"/>
          <w:szCs w:val="22"/>
        </w:rPr>
        <w:t xml:space="preserve"> datos son claros y precisos” (Sic)</w:t>
      </w:r>
    </w:p>
    <w:p w:rsidR="0068020A" w:rsidRDefault="00446715">
      <w:pPr>
        <w:spacing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 xml:space="preserve">4.- Respuesta. </w:t>
      </w:r>
      <w:r>
        <w:rPr>
          <w:rFonts w:ascii="Palatino Linotype" w:eastAsia="Palatino Linotype" w:hAnsi="Palatino Linotype" w:cs="Palatino Linotype"/>
        </w:rPr>
        <w:t xml:space="preserve">El </w:t>
      </w:r>
      <w:r>
        <w:rPr>
          <w:rFonts w:ascii="Palatino Linotype" w:eastAsia="Palatino Linotype" w:hAnsi="Palatino Linotype" w:cs="Palatino Linotype"/>
          <w:b/>
          <w:color w:val="000000"/>
        </w:rPr>
        <w:t>diecisiete de enero de dos mil veintitrés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68020A" w:rsidRDefault="00446715">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8020A" w:rsidRDefault="00446715">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adjunta respuesta a la solicitud.</w:t>
      </w:r>
    </w:p>
    <w:p w:rsidR="0068020A" w:rsidRDefault="00446715">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68020A" w:rsidRDefault="00446715">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Lic. Joaquín Raúl Benítez Vera” </w:t>
      </w:r>
    </w:p>
    <w:p w:rsidR="0068020A" w:rsidRDefault="00446715">
      <w:pPr>
        <w:spacing w:before="240" w:after="240"/>
        <w:ind w:left="567" w:right="9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rsidR="0068020A" w:rsidRDefault="00446715">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“Sol 756SEIEMIP2022.pdf”: </w:t>
      </w:r>
      <w:r>
        <w:rPr>
          <w:rFonts w:ascii="Palatino Linotype" w:eastAsia="Palatino Linotype" w:hAnsi="Palatino Linotype" w:cs="Palatino Linotype"/>
          <w:sz w:val="22"/>
          <w:szCs w:val="22"/>
        </w:rPr>
        <w:t xml:space="preserve">Archivo que se compone de dos fojas, por las cuales, el Titular de la Unidad de Transparencia notifica a la parte solicitante, la respuesta a su solicitud de información. </w:t>
      </w:r>
    </w:p>
    <w:p w:rsidR="0068020A" w:rsidRDefault="00446715">
      <w:pPr>
        <w:spacing w:before="240" w:after="240"/>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lastRenderedPageBreak/>
        <w:drawing>
          <wp:inline distT="0" distB="0" distL="0" distR="0">
            <wp:extent cx="4976598" cy="6500962"/>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976598" cy="6500962"/>
                    </a:xfrm>
                    <a:prstGeom prst="rect">
                      <a:avLst/>
                    </a:prstGeom>
                    <a:ln/>
                  </pic:spPr>
                </pic:pic>
              </a:graphicData>
            </a:graphic>
          </wp:inline>
        </w:drawing>
      </w:r>
    </w:p>
    <w:p w:rsidR="0068020A" w:rsidRDefault="00446715">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proofErr w:type="spellStart"/>
      <w:r>
        <w:rPr>
          <w:rFonts w:ascii="Palatino Linotype" w:eastAsia="Palatino Linotype" w:hAnsi="Palatino Linotype" w:cs="Palatino Linotype"/>
          <w:b/>
          <w:i/>
          <w:sz w:val="22"/>
          <w:szCs w:val="22"/>
        </w:rPr>
        <w:t>Resp</w:t>
      </w:r>
      <w:proofErr w:type="spellEnd"/>
      <w:r>
        <w:rPr>
          <w:rFonts w:ascii="Palatino Linotype" w:eastAsia="Palatino Linotype" w:hAnsi="Palatino Linotype" w:cs="Palatino Linotype"/>
          <w:b/>
          <w:i/>
          <w:sz w:val="22"/>
          <w:szCs w:val="22"/>
        </w:rPr>
        <w:t xml:space="preserve"> Sol 756-22 DRMF.pdf”: </w:t>
      </w:r>
      <w:r>
        <w:rPr>
          <w:rFonts w:ascii="Palatino Linotype" w:eastAsia="Palatino Linotype" w:hAnsi="Palatino Linotype" w:cs="Palatino Linotype"/>
        </w:rPr>
        <w:t xml:space="preserve">Documento de dos hojas en el que la Directora de Recursos Materiales y Financieros, manifiesta que se </w:t>
      </w:r>
      <w:r>
        <w:rPr>
          <w:rFonts w:ascii="Palatino Linotype" w:eastAsia="Palatino Linotype" w:hAnsi="Palatino Linotype" w:cs="Palatino Linotype"/>
        </w:rPr>
        <w:lastRenderedPageBreak/>
        <w:t>adicionó un elemento nuevo en el requerimiento de información, ello en virtud de que refiere el apellido “VELASO”, reiterando que es el nombre correcto y que los datos requeridos son claros y precisos. Por otra parte refiere que no realiza corrección, ampliación, complemento o aclaración alguna sobre el periodo 2022 como fue solicitado anteriormente a fin de dar debida atención a la solicitud original.</w:t>
      </w:r>
    </w:p>
    <w:p w:rsidR="0068020A" w:rsidRDefault="00446715">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extent cx="4015007" cy="4866798"/>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015007" cy="4866798"/>
                    </a:xfrm>
                    <a:prstGeom prst="rect">
                      <a:avLst/>
                    </a:prstGeom>
                    <a:ln/>
                  </pic:spPr>
                </pic:pic>
              </a:graphicData>
            </a:graphic>
          </wp:inline>
        </w:drawing>
      </w:r>
    </w:p>
    <w:p w:rsidR="0068020A" w:rsidRDefault="00446715">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w:t>
      </w:r>
      <w:proofErr w:type="spellStart"/>
      <w:r>
        <w:rPr>
          <w:rFonts w:ascii="Palatino Linotype" w:eastAsia="Palatino Linotype" w:hAnsi="Palatino Linotype" w:cs="Palatino Linotype"/>
          <w:b/>
          <w:i/>
          <w:sz w:val="22"/>
          <w:szCs w:val="22"/>
        </w:rPr>
        <w:t>Resp</w:t>
      </w:r>
      <w:proofErr w:type="spellEnd"/>
      <w:r>
        <w:rPr>
          <w:rFonts w:ascii="Palatino Linotype" w:eastAsia="Palatino Linotype" w:hAnsi="Palatino Linotype" w:cs="Palatino Linotype"/>
          <w:b/>
          <w:i/>
          <w:sz w:val="22"/>
          <w:szCs w:val="22"/>
        </w:rPr>
        <w:t xml:space="preserve"> Sol 756-22 DSR.pdf”: </w:t>
      </w:r>
      <w:r>
        <w:rPr>
          <w:rFonts w:ascii="Palatino Linotype" w:eastAsia="Palatino Linotype" w:hAnsi="Palatino Linotype" w:cs="Palatino Linotype"/>
          <w:sz w:val="22"/>
          <w:szCs w:val="22"/>
        </w:rPr>
        <w:t xml:space="preserve">Oficio signado por el Director de Servicios Regionalizados y Servidor Público Habilitado, quien da respuesta a una solicitud de información diversa. </w:t>
      </w:r>
    </w:p>
    <w:p w:rsidR="0068020A" w:rsidRDefault="00446715">
      <w:pPr>
        <w:spacing w:before="240" w:after="240"/>
        <w:ind w:left="567"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extent cx="4116206" cy="5159462"/>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116206" cy="5159462"/>
                    </a:xfrm>
                    <a:prstGeom prst="rect">
                      <a:avLst/>
                    </a:prstGeom>
                    <a:ln/>
                  </pic:spPr>
                </pic:pic>
              </a:graphicData>
            </a:graphic>
          </wp:inline>
        </w:drawing>
      </w:r>
    </w:p>
    <w:p w:rsidR="0068020A" w:rsidRDefault="0044671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5. </w:t>
      </w:r>
      <w:r>
        <w:rPr>
          <w:rFonts w:ascii="Palatino Linotype" w:eastAsia="Palatino Linotype" w:hAnsi="Palatino Linotype" w:cs="Palatino Linotype"/>
          <w:b/>
        </w:rPr>
        <w:t xml:space="preserve">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diecisiete de enero de dos mil </w:t>
      </w:r>
      <w:r>
        <w:rPr>
          <w:rFonts w:ascii="Palatino Linotype" w:eastAsia="Palatino Linotype" w:hAnsi="Palatino Linotype" w:cs="Palatino Linotype"/>
          <w:b/>
        </w:rPr>
        <w:lastRenderedPageBreak/>
        <w:t>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68020A" w:rsidRDefault="0068020A">
      <w:pPr>
        <w:spacing w:before="240" w:after="240" w:line="360" w:lineRule="auto"/>
        <w:ind w:right="49"/>
        <w:jc w:val="both"/>
        <w:rPr>
          <w:rFonts w:ascii="Palatino Linotype" w:eastAsia="Palatino Linotype" w:hAnsi="Palatino Linotype" w:cs="Palatino Linotype"/>
        </w:rPr>
      </w:pPr>
    </w:p>
    <w:p w:rsidR="0068020A" w:rsidRDefault="00446715">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 Acto impugnado: </w:t>
      </w:r>
      <w:r>
        <w:rPr>
          <w:rFonts w:ascii="Palatino Linotype" w:eastAsia="Palatino Linotype" w:hAnsi="Palatino Linotype" w:cs="Palatino Linotype"/>
          <w:b/>
        </w:rPr>
        <w:tab/>
      </w:r>
    </w:p>
    <w:p w:rsidR="0068020A" w:rsidRDefault="00446715">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(Sic)</w:t>
      </w:r>
    </w:p>
    <w:p w:rsidR="0068020A" w:rsidRDefault="0068020A">
      <w:pPr>
        <w:ind w:left="851" w:right="902"/>
        <w:jc w:val="both"/>
        <w:rPr>
          <w:rFonts w:ascii="Palatino Linotype" w:eastAsia="Palatino Linotype" w:hAnsi="Palatino Linotype" w:cs="Palatino Linotype"/>
          <w:i/>
          <w:sz w:val="22"/>
          <w:szCs w:val="22"/>
        </w:rPr>
      </w:pP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w:t>
      </w:r>
    </w:p>
    <w:p w:rsidR="0068020A" w:rsidRDefault="00446715">
      <w:pPr>
        <w:ind w:left="567"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“no se </w:t>
      </w:r>
      <w:proofErr w:type="spellStart"/>
      <w:r>
        <w:rPr>
          <w:rFonts w:ascii="Palatino Linotype" w:eastAsia="Palatino Linotype" w:hAnsi="Palatino Linotype" w:cs="Palatino Linotype"/>
          <w:i/>
          <w:sz w:val="22"/>
          <w:szCs w:val="22"/>
        </w:rPr>
        <w:t>entrego</w:t>
      </w:r>
      <w:proofErr w:type="spellEnd"/>
      <w:r>
        <w:rPr>
          <w:rFonts w:ascii="Palatino Linotype" w:eastAsia="Palatino Linotype" w:hAnsi="Palatino Linotype" w:cs="Palatino Linotype"/>
          <w:i/>
          <w:sz w:val="22"/>
          <w:szCs w:val="22"/>
        </w:rPr>
        <w:t xml:space="preserve"> lo solicitado” (Sic) </w:t>
      </w:r>
    </w:p>
    <w:p w:rsidR="0068020A" w:rsidRDefault="0068020A">
      <w:pPr>
        <w:ind w:left="851" w:right="902"/>
        <w:jc w:val="both"/>
        <w:rPr>
          <w:rFonts w:ascii="Palatino Linotype" w:eastAsia="Palatino Linotype" w:hAnsi="Palatino Linotype" w:cs="Palatino Linotype"/>
          <w:i/>
          <w:sz w:val="22"/>
          <w:szCs w:val="22"/>
        </w:rPr>
      </w:pPr>
    </w:p>
    <w:p w:rsidR="0068020A" w:rsidRDefault="0068020A">
      <w:pPr>
        <w:ind w:right="902"/>
        <w:jc w:val="both"/>
        <w:rPr>
          <w:rFonts w:ascii="Palatino Linotype" w:eastAsia="Palatino Linotype" w:hAnsi="Palatino Linotype" w:cs="Palatino Linotype"/>
          <w:sz w:val="22"/>
          <w:szCs w:val="22"/>
        </w:rPr>
      </w:pPr>
    </w:p>
    <w:p w:rsidR="0068020A" w:rsidRDefault="00446715">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6. </w:t>
      </w:r>
      <w:r>
        <w:rPr>
          <w:rFonts w:ascii="Palatino Linotype" w:eastAsia="Palatino Linotype" w:hAnsi="Palatino Linotype" w:cs="Palatino Linotype"/>
          <w:b/>
        </w:rPr>
        <w:t xml:space="preserve">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68020A" w:rsidRDefault="0068020A">
      <w:pPr>
        <w:spacing w:line="360" w:lineRule="auto"/>
        <w:ind w:right="51"/>
        <w:jc w:val="both"/>
        <w:rPr>
          <w:rFonts w:ascii="Palatino Linotype" w:eastAsia="Palatino Linotype" w:hAnsi="Palatino Linotype" w:cs="Palatino Linotype"/>
        </w:rPr>
      </w:pPr>
    </w:p>
    <w:p w:rsidR="0068020A" w:rsidRDefault="0044671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7.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rPr>
        <w:t xml:space="preserve"> El</w:t>
      </w:r>
      <w:r>
        <w:rPr>
          <w:rFonts w:ascii="Palatino Linotype" w:eastAsia="Palatino Linotype" w:hAnsi="Palatino Linotype" w:cs="Palatino Linotype"/>
          <w:b/>
        </w:rPr>
        <w:t xml:space="preserve"> veinte de enero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68020A" w:rsidRDefault="00446715">
      <w:pPr>
        <w:spacing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color w:val="000000"/>
        </w:rPr>
        <w:lastRenderedPageBreak/>
        <w:t xml:space="preserve">8. </w:t>
      </w:r>
      <w:r>
        <w:rPr>
          <w:rFonts w:ascii="Palatino Linotype" w:eastAsia="Palatino Linotype" w:hAnsi="Palatino Linotype" w:cs="Palatino Linotype"/>
          <w:b/>
        </w:rPr>
        <w:t>Manifestaciones</w:t>
      </w:r>
      <w:r>
        <w:rPr>
          <w:rFonts w:ascii="Palatino Linotype" w:eastAsia="Palatino Linotype" w:hAnsi="Palatino Linotype" w:cs="Palatino Linotype"/>
        </w:rPr>
        <w:t xml:space="preserve">. De las constancias que obran en el expediente electrónico, se advierte que el </w:t>
      </w:r>
      <w:r>
        <w:rPr>
          <w:rFonts w:ascii="Palatino Linotype" w:eastAsia="Palatino Linotype" w:hAnsi="Palatino Linotype" w:cs="Palatino Linotype"/>
          <w:b/>
        </w:rPr>
        <w:t>treinta de enero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archivos electrónicos “</w:t>
      </w:r>
      <w:r>
        <w:rPr>
          <w:rFonts w:ascii="Palatino Linotype" w:eastAsia="Palatino Linotype" w:hAnsi="Palatino Linotype" w:cs="Palatino Linotype"/>
          <w:b/>
          <w:i/>
        </w:rPr>
        <w:t>Anexo RR 294IP2023.pdf” y “</w:t>
      </w:r>
      <w:proofErr w:type="spellStart"/>
      <w:r>
        <w:rPr>
          <w:rFonts w:ascii="Palatino Linotype" w:eastAsia="Palatino Linotype" w:hAnsi="Palatino Linotype" w:cs="Palatino Linotype"/>
          <w:b/>
          <w:i/>
        </w:rPr>
        <w:t>Inf</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Just</w:t>
      </w:r>
      <w:proofErr w:type="spellEnd"/>
      <w:r>
        <w:rPr>
          <w:rFonts w:ascii="Palatino Linotype" w:eastAsia="Palatino Linotype" w:hAnsi="Palatino Linotype" w:cs="Palatino Linotype"/>
          <w:b/>
          <w:i/>
        </w:rPr>
        <w:t xml:space="preserve"> 00294INFOEMIPRR2023.pdf”, </w:t>
      </w:r>
      <w:r>
        <w:rPr>
          <w:rFonts w:ascii="Palatino Linotype" w:eastAsia="Palatino Linotype" w:hAnsi="Palatino Linotype" w:cs="Palatino Linotype"/>
        </w:rPr>
        <w:t>los cuales contienen lo siguiente:</w:t>
      </w:r>
    </w:p>
    <w:p w:rsidR="0068020A" w:rsidRDefault="00446715">
      <w:pPr>
        <w:spacing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rPr>
        <w:t>Anexo RR 294IP2023.pdf”:</w:t>
      </w:r>
      <w:r>
        <w:rPr>
          <w:rFonts w:ascii="Palatino Linotype" w:eastAsia="Palatino Linotype" w:hAnsi="Palatino Linotype" w:cs="Palatino Linotype"/>
        </w:rPr>
        <w:t xml:space="preserve"> Archivo electrónico de tres páginas, en las que se advierten sustancialmente los siguientes pronunciamientos:</w:t>
      </w:r>
    </w:p>
    <w:p w:rsidR="0068020A" w:rsidRDefault="00446715">
      <w:pPr>
        <w:spacing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077534" cy="2229161"/>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077534" cy="2229161"/>
                    </a:xfrm>
                    <a:prstGeom prst="rect">
                      <a:avLst/>
                    </a:prstGeom>
                    <a:ln/>
                  </pic:spPr>
                </pic:pic>
              </a:graphicData>
            </a:graphic>
          </wp:inline>
        </w:drawing>
      </w:r>
    </w:p>
    <w:p w:rsidR="0068020A" w:rsidRDefault="00446715">
      <w:pPr>
        <w:spacing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165406" cy="4100575"/>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165406" cy="4100575"/>
                    </a:xfrm>
                    <a:prstGeom prst="rect">
                      <a:avLst/>
                    </a:prstGeom>
                    <a:ln/>
                  </pic:spPr>
                </pic:pic>
              </a:graphicData>
            </a:graphic>
          </wp:inline>
        </w:drawing>
      </w:r>
    </w:p>
    <w:p w:rsidR="0068020A" w:rsidRDefault="00446715">
      <w:pPr>
        <w:spacing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Inf</w:t>
      </w:r>
      <w:proofErr w:type="spellEnd"/>
      <w:r>
        <w:rPr>
          <w:rFonts w:ascii="Palatino Linotype" w:eastAsia="Palatino Linotype" w:hAnsi="Palatino Linotype" w:cs="Palatino Linotype"/>
          <w:b/>
          <w:i/>
        </w:rPr>
        <w:t xml:space="preserve"> </w:t>
      </w:r>
      <w:proofErr w:type="spellStart"/>
      <w:r>
        <w:rPr>
          <w:rFonts w:ascii="Palatino Linotype" w:eastAsia="Palatino Linotype" w:hAnsi="Palatino Linotype" w:cs="Palatino Linotype"/>
          <w:b/>
          <w:i/>
        </w:rPr>
        <w:t>Just</w:t>
      </w:r>
      <w:proofErr w:type="spellEnd"/>
      <w:r>
        <w:rPr>
          <w:rFonts w:ascii="Palatino Linotype" w:eastAsia="Palatino Linotype" w:hAnsi="Palatino Linotype" w:cs="Palatino Linotype"/>
          <w:b/>
          <w:i/>
        </w:rPr>
        <w:t xml:space="preserve"> 00294INFOEMIPRR2023.pdf”: </w:t>
      </w:r>
      <w:r>
        <w:rPr>
          <w:rFonts w:ascii="Palatino Linotype" w:eastAsia="Palatino Linotype" w:hAnsi="Palatino Linotype" w:cs="Palatino Linotype"/>
        </w:rPr>
        <w:t>Documento de tres fojas en el que medularmente ratifica la respuesta vertida inicialmente.</w:t>
      </w:r>
    </w:p>
    <w:p w:rsidR="0068020A" w:rsidRDefault="0044671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precisar que este documento se puso a disposición</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 xml:space="preserve">de la parte solicitante </w:t>
      </w:r>
      <w:r>
        <w:rPr>
          <w:rFonts w:ascii="Palatino Linotype" w:eastAsia="Palatino Linotype" w:hAnsi="Palatino Linotype" w:cs="Palatino Linotype"/>
        </w:rPr>
        <w:t xml:space="preserve">particular mediante acuerdo signado por la Comisionada Ponente el </w:t>
      </w:r>
      <w:r>
        <w:rPr>
          <w:rFonts w:ascii="Palatino Linotype" w:eastAsia="Palatino Linotype" w:hAnsi="Palatino Linotype" w:cs="Palatino Linotype"/>
          <w:b/>
        </w:rPr>
        <w:t>catorce de junio de dos mil veintitrés</w:t>
      </w:r>
      <w:r>
        <w:rPr>
          <w:rFonts w:ascii="Palatino Linotype" w:eastAsia="Palatino Linotype" w:hAnsi="Palatino Linotype" w:cs="Palatino Linotype"/>
        </w:rPr>
        <w:t xml:space="preserve">, asimismo por cuanto hace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tiene que fue omisa en emitir sus alegatos o cualquier manifestación que a su derecho conviniera, por lo que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w:t>
      </w:r>
    </w:p>
    <w:p w:rsidR="0068020A" w:rsidRDefault="0044671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2130" cy="2061210"/>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2130" cy="2061210"/>
                    </a:xfrm>
                    <a:prstGeom prst="rect">
                      <a:avLst/>
                    </a:prstGeom>
                    <a:ln/>
                  </pic:spPr>
                </pic:pic>
              </a:graphicData>
            </a:graphic>
          </wp:inline>
        </w:drawing>
      </w:r>
    </w:p>
    <w:p w:rsidR="0068020A" w:rsidRDefault="00446715">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9.- </w:t>
      </w:r>
      <w:r>
        <w:rPr>
          <w:rFonts w:ascii="Palatino Linotype" w:eastAsia="Palatino Linotype" w:hAnsi="Palatino Linotype" w:cs="Palatino Linotype"/>
          <w:b/>
        </w:rPr>
        <w:t>Ampliación del plazo para emitir resolución.</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quince de junio </w:t>
      </w:r>
      <w:r>
        <w:rPr>
          <w:rFonts w:ascii="Palatino Linotype" w:eastAsia="Palatino Linotype" w:hAnsi="Palatino Linotype" w:cs="Palatino Linotype"/>
          <w:b/>
        </w:rPr>
        <w:t>del año dos mil veintitrés</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68020A" w:rsidRDefault="0068020A">
      <w:pPr>
        <w:spacing w:line="360" w:lineRule="auto"/>
        <w:jc w:val="both"/>
        <w:rPr>
          <w:rFonts w:ascii="Palatino Linotype" w:eastAsia="Palatino Linotype" w:hAnsi="Palatino Linotype" w:cs="Palatino Linotype"/>
        </w:rPr>
      </w:pP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rsidR="0068020A" w:rsidRDefault="0068020A">
      <w:pPr>
        <w:spacing w:line="360" w:lineRule="auto"/>
        <w:jc w:val="both"/>
        <w:rPr>
          <w:rFonts w:ascii="Palatino Linotype" w:eastAsia="Palatino Linotype" w:hAnsi="Palatino Linotype" w:cs="Palatino Linotype"/>
        </w:rPr>
      </w:pP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8020A" w:rsidRDefault="0068020A">
      <w:pPr>
        <w:spacing w:line="360" w:lineRule="auto"/>
        <w:jc w:val="both"/>
        <w:rPr>
          <w:rFonts w:ascii="Palatino Linotype" w:eastAsia="Palatino Linotype" w:hAnsi="Palatino Linotype" w:cs="Palatino Linotype"/>
        </w:rPr>
      </w:pP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8020A" w:rsidRDefault="0068020A">
      <w:pPr>
        <w:spacing w:line="360" w:lineRule="auto"/>
        <w:jc w:val="both"/>
        <w:rPr>
          <w:rFonts w:ascii="Palatino Linotype" w:eastAsia="Palatino Linotype" w:hAnsi="Palatino Linotype" w:cs="Palatino Linotype"/>
        </w:rPr>
      </w:pPr>
    </w:p>
    <w:p w:rsidR="0068020A" w:rsidRDefault="00446715">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68020A" w:rsidRDefault="0068020A">
      <w:pPr>
        <w:spacing w:line="360" w:lineRule="auto"/>
        <w:jc w:val="both"/>
        <w:rPr>
          <w:rFonts w:ascii="Palatino Linotype" w:eastAsia="Palatino Linotype" w:hAnsi="Palatino Linotype" w:cs="Palatino Linotype"/>
        </w:rPr>
      </w:pPr>
    </w:p>
    <w:p w:rsidR="0068020A" w:rsidRDefault="00446715">
      <w:pPr>
        <w:numPr>
          <w:ilvl w:val="0"/>
          <w:numId w:val="3"/>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68020A" w:rsidRDefault="0068020A">
      <w:pPr>
        <w:spacing w:line="360" w:lineRule="auto"/>
        <w:ind w:left="567" w:right="900" w:hanging="141"/>
        <w:jc w:val="both"/>
        <w:rPr>
          <w:rFonts w:ascii="Palatino Linotype" w:eastAsia="Palatino Linotype" w:hAnsi="Palatino Linotype" w:cs="Palatino Linotype"/>
          <w:b/>
        </w:rPr>
      </w:pPr>
    </w:p>
    <w:p w:rsidR="0068020A" w:rsidRDefault="00446715">
      <w:pPr>
        <w:numPr>
          <w:ilvl w:val="0"/>
          <w:numId w:val="3"/>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lastRenderedPageBreak/>
        <w:t>Actividad Procesal del interesado.</w:t>
      </w:r>
      <w:r>
        <w:rPr>
          <w:rFonts w:ascii="Palatino Linotype" w:eastAsia="Palatino Linotype" w:hAnsi="Palatino Linotype" w:cs="Palatino Linotype"/>
        </w:rPr>
        <w:t xml:space="preserve"> Acciones u omisiones del interesado.</w:t>
      </w:r>
    </w:p>
    <w:p w:rsidR="0068020A" w:rsidRDefault="0068020A">
      <w:pPr>
        <w:spacing w:line="360" w:lineRule="auto"/>
        <w:ind w:left="567" w:right="900" w:hanging="141"/>
        <w:jc w:val="both"/>
        <w:rPr>
          <w:rFonts w:ascii="Palatino Linotype" w:eastAsia="Palatino Linotype" w:hAnsi="Palatino Linotype" w:cs="Palatino Linotype"/>
        </w:rPr>
      </w:pPr>
    </w:p>
    <w:p w:rsidR="0068020A" w:rsidRDefault="00446715">
      <w:pPr>
        <w:numPr>
          <w:ilvl w:val="0"/>
          <w:numId w:val="3"/>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rsidR="0068020A" w:rsidRDefault="0068020A">
      <w:pPr>
        <w:spacing w:line="360" w:lineRule="auto"/>
        <w:ind w:left="567" w:right="900" w:hanging="141"/>
        <w:rPr>
          <w:rFonts w:ascii="Palatino Linotype" w:eastAsia="Palatino Linotype" w:hAnsi="Palatino Linotype" w:cs="Palatino Linotype"/>
        </w:rPr>
      </w:pPr>
    </w:p>
    <w:p w:rsidR="0068020A" w:rsidRDefault="00446715">
      <w:p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Violación a sus derechos humanos.</w:t>
      </w:r>
    </w:p>
    <w:p w:rsidR="0068020A" w:rsidRDefault="0068020A">
      <w:pPr>
        <w:spacing w:line="360" w:lineRule="auto"/>
        <w:jc w:val="both"/>
        <w:rPr>
          <w:rFonts w:ascii="Palatino Linotype" w:eastAsia="Palatino Linotype" w:hAnsi="Palatino Linotype" w:cs="Palatino Linotype"/>
        </w:rPr>
      </w:pP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8020A" w:rsidRDefault="0068020A">
      <w:pPr>
        <w:spacing w:line="360" w:lineRule="auto"/>
        <w:jc w:val="both"/>
        <w:rPr>
          <w:rFonts w:ascii="Palatino Linotype" w:eastAsia="Palatino Linotype" w:hAnsi="Palatino Linotype" w:cs="Palatino Linotype"/>
        </w:rPr>
      </w:pPr>
    </w:p>
    <w:p w:rsidR="0068020A" w:rsidRDefault="00446715">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Pr>
          <w:rFonts w:ascii="Palatino Linotype" w:eastAsia="Palatino Linotype" w:hAnsi="Palatino Linotype" w:cs="Palatino Linotype"/>
          <w:i/>
        </w:rPr>
        <w:lastRenderedPageBreak/>
        <w:t>CARACTERÍSTICAS DEL CASO.”</w:t>
      </w:r>
      <w:r>
        <w:rPr>
          <w:rFonts w:ascii="Palatino Linotype" w:eastAsia="Palatino Linotype" w:hAnsi="Palatino Linotype" w:cs="Palatino Linotype"/>
        </w:rPr>
        <w:t>, visible en la Gaceta del Seminario Judicial de la Federación con el registro digital 205635.</w:t>
      </w:r>
    </w:p>
    <w:p w:rsidR="0068020A" w:rsidRDefault="0068020A">
      <w:pPr>
        <w:spacing w:line="360" w:lineRule="auto"/>
        <w:jc w:val="both"/>
        <w:rPr>
          <w:rFonts w:ascii="Palatino Linotype" w:eastAsia="Palatino Linotype" w:hAnsi="Palatino Linotype" w:cs="Palatino Linotype"/>
        </w:rPr>
      </w:pP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8020A" w:rsidRDefault="0068020A">
      <w:pPr>
        <w:spacing w:line="360" w:lineRule="auto"/>
        <w:jc w:val="both"/>
        <w:rPr>
          <w:rFonts w:ascii="Palatino Linotype" w:eastAsia="Palatino Linotype" w:hAnsi="Palatino Linotype" w:cs="Palatino Linotype"/>
        </w:rPr>
      </w:pP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68020A" w:rsidRDefault="0068020A">
      <w:pPr>
        <w:spacing w:line="360" w:lineRule="auto"/>
        <w:jc w:val="both"/>
        <w:rPr>
          <w:rFonts w:ascii="Palatino Linotype" w:eastAsia="Palatino Linotype" w:hAnsi="Palatino Linotype" w:cs="Palatino Linotype"/>
        </w:rPr>
      </w:pP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68020A" w:rsidRDefault="0068020A">
      <w:pPr>
        <w:spacing w:line="360" w:lineRule="auto"/>
        <w:jc w:val="both"/>
        <w:rPr>
          <w:rFonts w:ascii="Palatino Linotype" w:eastAsia="Palatino Linotype" w:hAnsi="Palatino Linotype" w:cs="Palatino Linotype"/>
          <w:b/>
        </w:rPr>
      </w:pP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lastRenderedPageBreak/>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68020A" w:rsidRDefault="0068020A">
      <w:pPr>
        <w:spacing w:line="360" w:lineRule="auto"/>
        <w:jc w:val="both"/>
        <w:rPr>
          <w:rFonts w:ascii="Palatino Linotype" w:eastAsia="Palatino Linotype" w:hAnsi="Palatino Linotype" w:cs="Palatino Linotype"/>
        </w:rPr>
      </w:pP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68020A" w:rsidRDefault="0068020A">
      <w:pPr>
        <w:spacing w:line="360" w:lineRule="auto"/>
        <w:jc w:val="both"/>
        <w:rPr>
          <w:rFonts w:ascii="Palatino Linotype" w:eastAsia="Palatino Linotype" w:hAnsi="Palatino Linotype" w:cs="Palatino Linotype"/>
        </w:rPr>
      </w:pPr>
    </w:p>
    <w:p w:rsidR="0068020A" w:rsidRDefault="0044671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10.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color w:val="000000"/>
        </w:rPr>
        <w:t xml:space="preserve">veinte de junio </w:t>
      </w:r>
      <w:r>
        <w:rPr>
          <w:rFonts w:ascii="Palatino Linotype" w:eastAsia="Palatino Linotype" w:hAnsi="Palatino Linotype" w:cs="Palatino Linotype"/>
          <w:b/>
        </w:rPr>
        <w:t>de dos mil veintitrés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68020A" w:rsidRDefault="00446715">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68020A" w:rsidRDefault="00446715">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 </w:t>
      </w:r>
      <w:r>
        <w:rPr>
          <w:rFonts w:ascii="Palatino Linotype" w:eastAsia="Palatino Linotype" w:hAnsi="Palatino Linotype" w:cs="Palatino Linotype"/>
        </w:rPr>
        <w:t xml:space="preserve">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68020A" w:rsidRDefault="00446715">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w:t>
      </w:r>
      <w:r>
        <w:rPr>
          <w:rFonts w:ascii="Palatino Linotype" w:eastAsia="Palatino Linotype" w:hAnsi="Palatino Linotype" w:cs="Palatino Linotype"/>
        </w:rPr>
        <w:lastRenderedPageBreak/>
        <w:t xml:space="preserve">interponer recurso de revisión de manera directa o por medios electrónicos dentro de los quince días hábiles siguientes a la fecha de notificación de la respuesta, en este sentido se advierte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dieciséis de enero de dos mil veintitrés,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 xml:space="preserve">diecisiete de enero de dos mil </w:t>
      </w:r>
      <w:r>
        <w:rPr>
          <w:rFonts w:ascii="Palatino Linotype" w:eastAsia="Palatino Linotype" w:hAnsi="Palatino Linotype" w:cs="Palatino Linotype"/>
          <w:b/>
          <w:color w:val="000000"/>
        </w:rPr>
        <w:t>veintitrés</w:t>
      </w:r>
      <w:r>
        <w:rPr>
          <w:rFonts w:ascii="Palatino Linotype" w:eastAsia="Palatino Linotype" w:hAnsi="Palatino Linotype" w:cs="Palatino Linotype"/>
          <w:color w:val="000000"/>
        </w:rPr>
        <w:t>;</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esto es, al </w:t>
      </w:r>
      <w:r>
        <w:rPr>
          <w:rFonts w:ascii="Palatino Linotype" w:eastAsia="Palatino Linotype" w:hAnsi="Palatino Linotype" w:cs="Palatino Linotype"/>
          <w:b/>
        </w:rPr>
        <w:t>primer día hábil</w:t>
      </w:r>
      <w:r>
        <w:rPr>
          <w:rFonts w:ascii="Palatino Linotype" w:eastAsia="Palatino Linotype" w:hAnsi="Palatino Linotype" w:cs="Palatino Linotype"/>
        </w:rPr>
        <w:t xml:space="preserve"> siguiente de aquel en que tuvo conocimiento de la respuesta impugnada.</w:t>
      </w:r>
    </w:p>
    <w:p w:rsidR="0068020A" w:rsidRDefault="0044671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al considerar la fecha en que se formuló la solicitud y la fecha en que respondió a 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rsidR="0068020A" w:rsidRDefault="0044671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omitió señalar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8020A" w:rsidRDefault="00446715">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también,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68020A" w:rsidRDefault="00446715">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la parte recurrente en sus razones o motivos de inconformidad, de acuerdo al artículo 179, </w:t>
      </w:r>
      <w:r>
        <w:rPr>
          <w:rFonts w:ascii="Palatino Linotype" w:eastAsia="Palatino Linotype" w:hAnsi="Palatino Linotype" w:cs="Palatino Linotype"/>
        </w:rPr>
        <w:t xml:space="preserve">fracción I de </w:t>
      </w:r>
      <w:r>
        <w:rPr>
          <w:rFonts w:ascii="Palatino Linotype" w:eastAsia="Palatino Linotype" w:hAnsi="Palatino Linotype" w:cs="Palatino Linotype"/>
          <w:color w:val="000000"/>
        </w:rPr>
        <w:t>la Ley de Transparencia y Acceso a la Información Pública del Estado de México y Municipios; que a la letra dice:</w:t>
      </w:r>
    </w:p>
    <w:p w:rsidR="0068020A" w:rsidRDefault="0044671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68020A" w:rsidRDefault="0044671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 La negativa a la información solicitada;</w:t>
      </w:r>
      <w:r>
        <w:rPr>
          <w:rFonts w:ascii="Palatino Linotype" w:eastAsia="Palatino Linotype" w:hAnsi="Palatino Linotype" w:cs="Palatino Linotype"/>
          <w:i/>
          <w:color w:val="000000"/>
          <w:sz w:val="22"/>
          <w:szCs w:val="22"/>
        </w:rPr>
        <w:t>” (Sic)</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o en su defecto, en caso de ser procedente, ordenar la entrega de información oportuna.</w:t>
      </w:r>
    </w:p>
    <w:p w:rsidR="0068020A" w:rsidRDefault="0044671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lastRenderedPageBreak/>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68020A" w:rsidRDefault="00446715">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68020A" w:rsidRDefault="00446715">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68020A" w:rsidRDefault="00446715">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68020A" w:rsidRDefault="00446715">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rsidR="0068020A" w:rsidRDefault="00446715">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rsidR="0068020A" w:rsidRDefault="00446715">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rsidR="0068020A" w:rsidRDefault="0044671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lastRenderedPageBreak/>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68020A" w:rsidRDefault="0044671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8020A" w:rsidRDefault="0044671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68020A" w:rsidRDefault="0044671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rsidR="0068020A" w:rsidRDefault="0044671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68020A" w:rsidRDefault="0044671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8020A" w:rsidRDefault="0044671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68020A" w:rsidRDefault="0044671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68020A" w:rsidRDefault="0044671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68020A" w:rsidRDefault="00446715">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68020A" w:rsidRDefault="00446715">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8020A" w:rsidRDefault="00446715">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rsidR="0068020A" w:rsidRDefault="0044671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lo precedente, se desprende que los Sujetos Obligados tiene la obligación o deber de atender las solicitudes de acceso a la información pública que se les hagan de su </w:t>
      </w:r>
      <w:r>
        <w:rPr>
          <w:rFonts w:ascii="Palatino Linotype" w:eastAsia="Palatino Linotype" w:hAnsi="Palatino Linotype" w:cs="Palatino Linotype"/>
          <w:color w:val="000000"/>
        </w:rPr>
        <w:lastRenderedPageBreak/>
        <w:t>conocimiento y proporcionar la información pública que obren en su poder como así lo establece el artículo 12 de la Ley de Transparencia y Acceso a la Información Pública del Estado de México y Municipios, el cual a la letra dice:</w:t>
      </w:r>
    </w:p>
    <w:p w:rsidR="0068020A" w:rsidRDefault="00446715">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68020A" w:rsidRDefault="00446715">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8020A" w:rsidRDefault="0044671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68020A" w:rsidRDefault="0044671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rsidR="0068020A" w:rsidRDefault="0044671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68020A" w:rsidRDefault="0044671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w:t>
      </w:r>
      <w:r>
        <w:rPr>
          <w:rFonts w:ascii="Palatino Linotype" w:eastAsia="Palatino Linotype" w:hAnsi="Palatino Linotype" w:cs="Palatino Linotype"/>
          <w:i/>
          <w:color w:val="000000"/>
          <w:sz w:val="22"/>
          <w:szCs w:val="22"/>
        </w:rPr>
        <w:lastRenderedPageBreak/>
        <w:t>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8020A" w:rsidRDefault="0044671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8020A" w:rsidRDefault="00446715">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8020A" w:rsidRDefault="0044671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Pr>
          <w:rFonts w:ascii="Palatino Linotype" w:eastAsia="Palatino Linotype" w:hAnsi="Palatino Linotype" w:cs="Palatino Linotype"/>
          <w:color w:val="000000"/>
        </w:rPr>
        <w:lastRenderedPageBreak/>
        <w:t>podrán estar en cualquier medio, sea escrito, impreso, sonoro, visual, electrónico, informático u holográfico de conformidad con el artículo 3, fracción XI de la Ley de la materia, el cual señala lo siguiente: </w:t>
      </w:r>
    </w:p>
    <w:p w:rsidR="0068020A" w:rsidRDefault="0044671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68020A" w:rsidRDefault="0044671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rsidR="0068020A" w:rsidRDefault="0044671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68020A" w:rsidRDefault="0044671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8020A" w:rsidRDefault="0044671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rsidR="0068020A" w:rsidRDefault="0044671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8020A" w:rsidRDefault="0044671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lastRenderedPageBreak/>
        <w:t>En consecuencia el acceso a la información se refiere a que se cumplan cualquiera de los siguientes tres supuestos:</w:t>
      </w:r>
    </w:p>
    <w:p w:rsidR="0068020A" w:rsidRDefault="00446715">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68020A" w:rsidRDefault="00446715">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68020A" w:rsidRDefault="00446715">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68020A" w:rsidRDefault="0044671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68020A" w:rsidRDefault="0044671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rsidR="0068020A" w:rsidRDefault="00446715">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De los servidores públicos Velasco León </w:t>
      </w:r>
      <w:proofErr w:type="spellStart"/>
      <w:r>
        <w:rPr>
          <w:rFonts w:ascii="Palatino Linotype" w:eastAsia="Palatino Linotype" w:hAnsi="Palatino Linotype" w:cs="Palatino Linotype"/>
          <w:b/>
          <w:color w:val="000000"/>
          <w:sz w:val="22"/>
          <w:szCs w:val="22"/>
        </w:rPr>
        <w:t>Irais</w:t>
      </w:r>
      <w:proofErr w:type="spellEnd"/>
      <w:r>
        <w:rPr>
          <w:rFonts w:ascii="Palatino Linotype" w:eastAsia="Palatino Linotype" w:hAnsi="Palatino Linotype" w:cs="Palatino Linotype"/>
          <w:b/>
          <w:color w:val="000000"/>
          <w:sz w:val="22"/>
          <w:szCs w:val="22"/>
        </w:rPr>
        <w:t xml:space="preserve"> y Velasco León Gabriel:</w:t>
      </w:r>
    </w:p>
    <w:p w:rsidR="0068020A" w:rsidRDefault="00446715">
      <w:pPr>
        <w:numPr>
          <w:ilvl w:val="0"/>
          <w:numId w:val="4"/>
        </w:numPr>
        <w:pBdr>
          <w:top w:val="nil"/>
          <w:left w:val="nil"/>
          <w:bottom w:val="nil"/>
          <w:right w:val="nil"/>
          <w:between w:val="nil"/>
        </w:pBdr>
        <w:spacing w:before="240" w:line="360" w:lineRule="auto"/>
        <w:ind w:left="567"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oficio donde se establezcan sus funciones para 2022 </w:t>
      </w:r>
    </w:p>
    <w:p w:rsidR="0068020A" w:rsidRDefault="00446715">
      <w:pPr>
        <w:numPr>
          <w:ilvl w:val="0"/>
          <w:numId w:val="4"/>
        </w:numPr>
        <w:pBdr>
          <w:top w:val="nil"/>
          <w:left w:val="nil"/>
          <w:bottom w:val="nil"/>
          <w:right w:val="nil"/>
          <w:between w:val="nil"/>
        </w:pBdr>
        <w:spacing w:after="240" w:line="360" w:lineRule="auto"/>
        <w:ind w:left="567"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de adscripción</w:t>
      </w:r>
    </w:p>
    <w:p w:rsidR="0068020A" w:rsidRDefault="00446715">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 vital importancia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requirió la aclaración a la parte solicitante para efecto de que corrigiera, ampliara y/o precisara lo referido en su solicitud, en virtud de las siguientes consideraciones: </w:t>
      </w:r>
    </w:p>
    <w:p w:rsidR="0068020A" w:rsidRDefault="00446715">
      <w:pPr>
        <w:spacing w:after="240"/>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extent cx="5453886" cy="4547486"/>
            <wp:effectExtent l="9525" t="9525" r="9525" b="9525"/>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t="30368"/>
                    <a:stretch>
                      <a:fillRect/>
                    </a:stretch>
                  </pic:blipFill>
                  <pic:spPr>
                    <a:xfrm>
                      <a:off x="0" y="0"/>
                      <a:ext cx="5453886" cy="4547486"/>
                    </a:xfrm>
                    <a:prstGeom prst="rect">
                      <a:avLst/>
                    </a:prstGeom>
                    <a:ln w="9525">
                      <a:solidFill>
                        <a:srgbClr val="000000"/>
                      </a:solidFill>
                      <a:prstDash val="solid"/>
                    </a:ln>
                  </pic:spPr>
                </pic:pic>
              </a:graphicData>
            </a:graphic>
          </wp:inline>
        </w:drawing>
      </w:r>
    </w:p>
    <w:p w:rsidR="0068020A" w:rsidRDefault="00446715">
      <w:pPr>
        <w:spacing w:after="240" w:line="360"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Dicha aclaración fue desahogada de la siguiente manera: </w:t>
      </w:r>
      <w:r>
        <w:rPr>
          <w:rFonts w:ascii="Palatino Linotype" w:eastAsia="Palatino Linotype" w:hAnsi="Palatino Linotype" w:cs="Palatino Linotype"/>
          <w:i/>
          <w:sz w:val="22"/>
          <w:szCs w:val="22"/>
        </w:rPr>
        <w:t>“</w:t>
      </w:r>
      <w:proofErr w:type="spellStart"/>
      <w:r>
        <w:rPr>
          <w:rFonts w:ascii="Palatino Linotype" w:eastAsia="Palatino Linotype" w:hAnsi="Palatino Linotype" w:cs="Palatino Linotype"/>
          <w:i/>
          <w:sz w:val="22"/>
          <w:szCs w:val="22"/>
        </w:rPr>
        <w:t>eal</w:t>
      </w:r>
      <w:proofErr w:type="spellEnd"/>
      <w:r>
        <w:rPr>
          <w:rFonts w:ascii="Palatino Linotype" w:eastAsia="Palatino Linotype" w:hAnsi="Palatino Linotype" w:cs="Palatino Linotype"/>
          <w:i/>
          <w:sz w:val="22"/>
          <w:szCs w:val="22"/>
        </w:rPr>
        <w:t xml:space="preserve"> nombre correcto del </w:t>
      </w:r>
      <w:proofErr w:type="spellStart"/>
      <w:r>
        <w:rPr>
          <w:rFonts w:ascii="Palatino Linotype" w:eastAsia="Palatino Linotype" w:hAnsi="Palatino Linotype" w:cs="Palatino Linotype"/>
          <w:i/>
          <w:sz w:val="22"/>
          <w:szCs w:val="22"/>
        </w:rPr>
        <w:t>servidot</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publico</w:t>
      </w:r>
      <w:proofErr w:type="spellEnd"/>
      <w:r>
        <w:rPr>
          <w:rFonts w:ascii="Palatino Linotype" w:eastAsia="Palatino Linotype" w:hAnsi="Palatino Linotype" w:cs="Palatino Linotype"/>
          <w:i/>
          <w:sz w:val="22"/>
          <w:szCs w:val="22"/>
        </w:rPr>
        <w:t xml:space="preserve"> es VELASO LEON </w:t>
      </w:r>
      <w:r>
        <w:rPr>
          <w:rFonts w:ascii="Palatino Linotype" w:eastAsia="Palatino Linotype" w:hAnsi="Palatino Linotype" w:cs="Palatino Linotype"/>
          <w:b/>
          <w:i/>
          <w:sz w:val="22"/>
          <w:szCs w:val="22"/>
          <w:u w:val="single"/>
        </w:rPr>
        <w:t>IRIS.</w:t>
      </w:r>
      <w:r>
        <w:rPr>
          <w:rFonts w:ascii="Palatino Linotype" w:eastAsia="Palatino Linotype" w:hAnsi="Palatino Linotype" w:cs="Palatino Linotype"/>
          <w:i/>
          <w:sz w:val="22"/>
          <w:szCs w:val="22"/>
        </w:rPr>
        <w:t xml:space="preserve"> Lis </w:t>
      </w:r>
      <w:proofErr w:type="spellStart"/>
      <w:r>
        <w:rPr>
          <w:rFonts w:ascii="Palatino Linotype" w:eastAsia="Palatino Linotype" w:hAnsi="Palatino Linotype" w:cs="Palatino Linotype"/>
          <w:i/>
          <w:sz w:val="22"/>
          <w:szCs w:val="22"/>
        </w:rPr>
        <w:t>demas</w:t>
      </w:r>
      <w:proofErr w:type="spellEnd"/>
      <w:r>
        <w:rPr>
          <w:rFonts w:ascii="Palatino Linotype" w:eastAsia="Palatino Linotype" w:hAnsi="Palatino Linotype" w:cs="Palatino Linotype"/>
          <w:i/>
          <w:sz w:val="22"/>
          <w:szCs w:val="22"/>
        </w:rPr>
        <w:t xml:space="preserve"> datos son claros y precisos” (Sic)</w:t>
      </w:r>
    </w:p>
    <w:p w:rsidR="0068020A" w:rsidRDefault="00446715">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en su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 la Directora de Recursos Materiales y Financieros, manifiesta que se adicionó un elemento </w:t>
      </w:r>
      <w:r>
        <w:rPr>
          <w:rFonts w:ascii="Palatino Linotype" w:eastAsia="Palatino Linotype" w:hAnsi="Palatino Linotype" w:cs="Palatino Linotype"/>
        </w:rPr>
        <w:lastRenderedPageBreak/>
        <w:t>nuevo en el requerimiento de información, ello en virtud de que refiere el apellido “VELASO”, reiterando que es el nombre correcto y que los datos requeridos son claros y precisos. Por otra parte refiere que no realiza corrección, ampliación, complemento o aclaración alguna sobre el periodo 2022 como fue solicitado anteriormente a fin de dar debida atención a la solicitud original.</w:t>
      </w:r>
    </w:p>
    <w:p w:rsidR="0068020A" w:rsidRDefault="00446715">
      <w:pPr>
        <w:spacing w:before="240" w:after="240" w:line="360" w:lineRule="auto"/>
        <w:ind w:right="49"/>
        <w:jc w:val="both"/>
        <w:rPr>
          <w:rFonts w:ascii="Palatino Linotype" w:eastAsia="Palatino Linotype" w:hAnsi="Palatino Linotype" w:cs="Palatino Linotype"/>
        </w:rPr>
      </w:pPr>
      <w:proofErr w:type="spellStart"/>
      <w:r>
        <w:rPr>
          <w:rFonts w:ascii="Palatino Linotype" w:eastAsia="Palatino Linotype" w:hAnsi="Palatino Linotype" w:cs="Palatino Linotype"/>
        </w:rPr>
        <w:t>Asismismo</w:t>
      </w:r>
      <w:proofErr w:type="spellEnd"/>
      <w:r>
        <w:rPr>
          <w:rFonts w:ascii="Palatino Linotype" w:eastAsia="Palatino Linotype" w:hAnsi="Palatino Linotype" w:cs="Palatino Linotype"/>
        </w:rPr>
        <w:t xml:space="preserve">, se advierte un oficio signado por el Director de Servicios Regionalizados y Servidor Público Habilitado, quien da respuesta a una solicitud de información diversa, tal como se apreció en los antecedentes del asunto. </w:t>
      </w:r>
    </w:p>
    <w:p w:rsidR="0068020A" w:rsidRDefault="00446715">
      <w:pPr>
        <w:spacing w:before="240" w:after="240" w:line="360" w:lineRule="auto"/>
        <w:ind w:right="-93"/>
        <w:jc w:val="both"/>
        <w:rPr>
          <w:rFonts w:ascii="Palatino Linotype" w:eastAsia="Palatino Linotype" w:hAnsi="Palatino Linotype" w:cs="Palatino Linotype"/>
          <w:i/>
        </w:rPr>
      </w:pPr>
      <w:r>
        <w:rPr>
          <w:rFonts w:ascii="Palatino Linotype" w:eastAsia="Palatino Linotype" w:hAnsi="Palatino Linotype" w:cs="Palatino Linotype"/>
        </w:rPr>
        <w:t xml:space="preserve">Una vez conocida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Pr>
          <w:rFonts w:ascii="Palatino Linotype" w:eastAsia="Palatino Linotype" w:hAnsi="Palatino Linotype" w:cs="Palatino Linotype"/>
          <w:i/>
        </w:rPr>
        <w:t xml:space="preserve">“no se </w:t>
      </w:r>
      <w:proofErr w:type="spellStart"/>
      <w:r>
        <w:rPr>
          <w:rFonts w:ascii="Palatino Linotype" w:eastAsia="Palatino Linotype" w:hAnsi="Palatino Linotype" w:cs="Palatino Linotype"/>
          <w:i/>
        </w:rPr>
        <w:t>entrego</w:t>
      </w:r>
      <w:proofErr w:type="spellEnd"/>
      <w:r>
        <w:rPr>
          <w:rFonts w:ascii="Palatino Linotype" w:eastAsia="Palatino Linotype" w:hAnsi="Palatino Linotype" w:cs="Palatino Linotype"/>
          <w:i/>
        </w:rPr>
        <w:t xml:space="preserve"> lo solicitado” (Sic</w:t>
      </w:r>
      <w:proofErr w:type="gramStart"/>
      <w:r>
        <w:rPr>
          <w:rFonts w:ascii="Palatino Linotype" w:eastAsia="Palatino Linotype" w:hAnsi="Palatino Linotype" w:cs="Palatino Linotype"/>
          <w:i/>
        </w:rPr>
        <w:t>) ,</w:t>
      </w:r>
      <w:proofErr w:type="gramEnd"/>
      <w:r>
        <w:rPr>
          <w:rFonts w:ascii="Palatino Linotype" w:eastAsia="Palatino Linotype" w:hAnsi="Palatino Linotype" w:cs="Palatino Linotype"/>
          <w:i/>
        </w:rPr>
        <w:t xml:space="preserve"> </w:t>
      </w:r>
      <w:r>
        <w:rPr>
          <w:rFonts w:ascii="Palatino Linotype" w:eastAsia="Palatino Linotype" w:hAnsi="Palatino Linotype" w:cs="Palatino Linotype"/>
        </w:rPr>
        <w:t>es decir, su inconformidad medularmente versa sobre la negativa a entregar la información.</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admitido el medio de impugnación que nos ocupa, se procedió a conjuntar el expediente electrónico, concediéndole a las partes un plazo de siete días para rendir sus alegatos, por lo que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en informe justificado, los siguientes pronunciamiento de la Directora de Recursos Materiales y Financieros, quien expresa sustancialmente lo siguiente:</w:t>
      </w:r>
    </w:p>
    <w:p w:rsidR="0068020A" w:rsidRDefault="00446715">
      <w:pPr>
        <w:spacing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077534" cy="2229161"/>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077534" cy="2229161"/>
                    </a:xfrm>
                    <a:prstGeom prst="rect">
                      <a:avLst/>
                    </a:prstGeom>
                    <a:ln/>
                  </pic:spPr>
                </pic:pic>
              </a:graphicData>
            </a:graphic>
          </wp:inline>
        </w:drawing>
      </w:r>
    </w:p>
    <w:p w:rsidR="0068020A" w:rsidRDefault="00446715">
      <w:pPr>
        <w:spacing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062438" cy="4100975"/>
            <wp:effectExtent l="0" t="0" r="0" b="0"/>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062438" cy="4100975"/>
                    </a:xfrm>
                    <a:prstGeom prst="rect">
                      <a:avLst/>
                    </a:prstGeom>
                    <a:ln/>
                  </pic:spPr>
                </pic:pic>
              </a:graphicData>
            </a:graphic>
          </wp:inline>
        </w:drawing>
      </w:r>
    </w:p>
    <w:p w:rsidR="0068020A" w:rsidRDefault="0068020A">
      <w:pPr>
        <w:spacing w:before="240" w:after="240"/>
        <w:ind w:right="902"/>
        <w:rPr>
          <w:rFonts w:ascii="Palatino Linotype" w:eastAsia="Palatino Linotype" w:hAnsi="Palatino Linotype" w:cs="Palatino Linotype"/>
        </w:rPr>
      </w:pPr>
    </w:p>
    <w:p w:rsidR="0068020A" w:rsidRDefault="00446715">
      <w:pPr>
        <w:pBdr>
          <w:top w:val="nil"/>
          <w:left w:val="nil"/>
          <w:bottom w:val="nil"/>
          <w:right w:val="nil"/>
          <w:between w:val="nil"/>
        </w:pBdr>
        <w:spacing w:line="360" w:lineRule="auto"/>
        <w:jc w:val="both"/>
        <w:rPr>
          <w:color w:val="000000"/>
        </w:rPr>
      </w:pPr>
      <w:bookmarkStart w:id="4" w:name="_heading=h.3rdcrjn" w:colFirst="0" w:colLast="0"/>
      <w:bookmarkEnd w:id="4"/>
      <w:r>
        <w:rPr>
          <w:rFonts w:ascii="Palatino Linotype" w:eastAsia="Palatino Linotype" w:hAnsi="Palatino Linotype" w:cs="Palatino Linotype"/>
          <w:color w:val="000000"/>
        </w:rPr>
        <w:lastRenderedPageBreak/>
        <w:t xml:space="preserve">Expuestas las posturas de las partes, resulta importante iniciar este análisis mencionando que en ejercicio de la facultad conferida en el artículo 159 primer párrafo de la Ley de Transparencia y Acceso a la Información Pública del Estado de México,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 la Titular de la Unidad de Transparencia, requirió a la persona solicitante al quinto día hábil posterior a la presentación de la solicitud, a efecto de que, dentro de los diez días hábiles siguientes, ampliara los datos de su solicitud a efecto de asegurar la continuidad del proceso de acceso a la información, debiendo especificar correctamente los elementos requeridos.</w:t>
      </w:r>
    </w:p>
    <w:p w:rsidR="0068020A" w:rsidRDefault="0044671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debe señalarse que la aclaración realizada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fue oportuna, toda vez que se dio dentro de los plazos establecidos por la normatividad, sin embargo, se estima que la respuesta otorgada de manera posterior no fue correcta, ello en virtud de que como se desprende de las capturas de pantalla insertadas con antelación, el fin específico de la aclaración era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corrigiera el nombre de la persona servidora pública, situación que efectivamente aconteció pues en la solicitud inicial refirió “VELASCO LEÓN IRAIS” y en el desahogo de la aclaración señaló que el nombre correcto era “VELASCO LEON IRIS”; en este sentido, se tiene que los apellidos fueron precisados desde el inicio y lo único que bastaba precisar era el nombre, lo cual, se insiste, ocurrió al momento de desahogar la aclaración, por lo que este Organismo Garante se estima que se contaban con elementos suficientes para atender la solicitud de información.</w:t>
      </w:r>
    </w:p>
    <w:p w:rsidR="0068020A" w:rsidRDefault="0044671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resulta importante precisar que la aclaración respecto de la temporalidad es un tanto excesiva, en virtud de que en la solicitud señala que </w:t>
      </w:r>
      <w:r>
        <w:rPr>
          <w:rFonts w:ascii="Palatino Linotype" w:eastAsia="Palatino Linotype" w:hAnsi="Palatino Linotype" w:cs="Palatino Linotype"/>
          <w:color w:val="000000"/>
        </w:rPr>
        <w:lastRenderedPageBreak/>
        <w:t xml:space="preserve">requiere las funciones para 2022, en ese sentido no era necesaria la aclaración pues se entiende que el requisito temporal se cubre del 1 de enero al 22 de noviembre de 2022, por lo que el actuar de este Sujeto Obligado evidentemente vulnera el derecho de acceso a la información pública de </w:t>
      </w:r>
      <w:r>
        <w:rPr>
          <w:rFonts w:ascii="Palatino Linotype" w:eastAsia="Palatino Linotype" w:hAnsi="Palatino Linotype" w:cs="Palatino Linotype"/>
          <w:b/>
          <w:color w:val="000000"/>
        </w:rPr>
        <w:t>la parte Recurrente.</w:t>
      </w:r>
    </w:p>
    <w:p w:rsidR="0068020A" w:rsidRDefault="0044671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Continuando con el análisis, es importante resaltar que de un análisis exhaustivo practicado a la respuesta, se advierte un soporte documental denominado </w:t>
      </w:r>
      <w:r>
        <w:rPr>
          <w:rFonts w:ascii="Palatino Linotype" w:eastAsia="Palatino Linotype" w:hAnsi="Palatino Linotype" w:cs="Palatino Linotype"/>
          <w:b/>
          <w:i/>
          <w:sz w:val="22"/>
          <w:szCs w:val="22"/>
        </w:rPr>
        <w:t>“</w:t>
      </w:r>
      <w:proofErr w:type="spellStart"/>
      <w:r>
        <w:rPr>
          <w:rFonts w:ascii="Palatino Linotype" w:eastAsia="Palatino Linotype" w:hAnsi="Palatino Linotype" w:cs="Palatino Linotype"/>
          <w:b/>
          <w:i/>
          <w:sz w:val="22"/>
          <w:szCs w:val="22"/>
        </w:rPr>
        <w:t>Resp</w:t>
      </w:r>
      <w:proofErr w:type="spellEnd"/>
      <w:r>
        <w:rPr>
          <w:rFonts w:ascii="Palatino Linotype" w:eastAsia="Palatino Linotype" w:hAnsi="Palatino Linotype" w:cs="Palatino Linotype"/>
          <w:b/>
          <w:i/>
          <w:sz w:val="22"/>
          <w:szCs w:val="22"/>
        </w:rPr>
        <w:t xml:space="preserve"> Sol 756-22 DSR.pdf”, </w:t>
      </w:r>
      <w:r>
        <w:rPr>
          <w:rFonts w:ascii="Palatino Linotype" w:eastAsia="Palatino Linotype" w:hAnsi="Palatino Linotype" w:cs="Palatino Linotype"/>
        </w:rPr>
        <w:t xml:space="preserve">en el que se da respuesta a una solicitud de información diversa, en tal contexto, se insiste que lo remitido no corresponde con lo solicitado, toda vez que las ligas electrónicas no nos dirige a la información requerida por el particular, por lo que, consecuentemente, no se puede afirmar que lo remitido, colma los requerimientos de información, y dadas las circunstancias en las que lo remitido no otorga un pronunciamiento puntual en los requerimientos de información, </w:t>
      </w:r>
      <w:r>
        <w:rPr>
          <w:rFonts w:ascii="Palatino Linotype" w:eastAsia="Palatino Linotype" w:hAnsi="Palatino Linotype" w:cs="Palatino Linotype"/>
          <w:color w:val="000000"/>
        </w:rPr>
        <w:t>se contraviene a los principios de congruencia y exhaustividad, como refuerzo de lo anterior</w:t>
      </w:r>
      <w:r>
        <w:rPr>
          <w:rFonts w:ascii="Palatino Linotype" w:eastAsia="Palatino Linotype" w:hAnsi="Palatino Linotype" w:cs="Palatino Linotype"/>
          <w:color w:val="000000"/>
          <w:u w:val="single"/>
        </w:rPr>
        <w:t xml:space="preserve">, resulta crucial el Criterio 02/17, emitido por el Pleno del </w:t>
      </w:r>
      <w:r>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68020A" w:rsidRDefault="00446715">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xml:space="preserve">. Por lo anterior, los sujetos obligados </w:t>
      </w:r>
      <w:r>
        <w:rPr>
          <w:rFonts w:ascii="Palatino Linotype" w:eastAsia="Palatino Linotype" w:hAnsi="Palatino Linotype" w:cs="Palatino Linotype"/>
          <w:i/>
          <w:color w:val="000000"/>
          <w:sz w:val="22"/>
          <w:szCs w:val="22"/>
        </w:rPr>
        <w:lastRenderedPageBreak/>
        <w:t>cumplirán con los principios de congruencia y exhaustividad, cuando las respuestas que emitan guarden una relación lógica con lo solicitado y atiendan de manera puntual y expresa, cada uno de los contenidos de información.” (Énfasis añadido)</w:t>
      </w:r>
    </w:p>
    <w:p w:rsidR="0068020A" w:rsidRDefault="00446715">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no pasa desapercibido para este Organismo Garante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 la Directora de Recursos Materiales y Financieros asumió contar con la información requerida, no obstante, también se aprecia otra área que pudiera contar con la información, la cual es </w:t>
      </w:r>
      <w:r>
        <w:rPr>
          <w:rFonts w:ascii="Palatino Linotype" w:eastAsia="Palatino Linotype" w:hAnsi="Palatino Linotype" w:cs="Palatino Linotype"/>
          <w:color w:val="000000"/>
        </w:rPr>
        <w:t>la Dirección de Administración y Desarrollo de Personal</w:t>
      </w:r>
      <w:r>
        <w:rPr>
          <w:rFonts w:ascii="Palatino Linotype" w:eastAsia="Palatino Linotype" w:hAnsi="Palatino Linotype" w:cs="Palatino Linotype"/>
        </w:rPr>
        <w:t xml:space="preserve">, quien a su vez cuenta con el Departamento de Registro y Archivo, ello en virtud de que conforme al Manual General de Organización de los  Servicios Educativos Integrados al Estado de México, cuentan con las siguientes atribuciones: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“210C0101230000L DIRECCIÓN DE ADMINISTRACIÓN Y DESARROLLO DE PERSONAL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OBJETIVO: Planear, organizar, dirigir, controlar y evaluar los procesos referentes a la administración de recursos humanos y desarrollo de personal, con la finalidad de gestionar los movimientos e incidencias de personal, el pago de remuneraciones, el registro y archivo de expedientes, la capacitación y el desarrollo de los recursos humanos y sus prestaciones, de conformidad con las disposiciones jurídicas aplicables.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FUNCIONES:</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020A" w:rsidRDefault="00446715">
      <w:pPr>
        <w:spacing w:before="240" w:after="240"/>
        <w:ind w:left="567" w:right="900"/>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Dirigir y supervisar el sistema de registro y archivo documental y digital del personal, que permita controlar los expedientes.</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210C0101230203L DEPARTAMENTO DE REGISTRO Y ARCHIVO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OBJETIVO: Integrar, actualizar y resguardar los expedientes del personal, así como organizar y operar el sistema de control de plazas, control presupuestal y de asistencia y puntualidad.</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FUNCIONES:</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w:t>
      </w:r>
      <w:r>
        <w:rPr>
          <w:rFonts w:ascii="Palatino Linotype" w:eastAsia="Palatino Linotype" w:hAnsi="Palatino Linotype" w:cs="Palatino Linotype"/>
          <w:b/>
          <w:i/>
          <w:sz w:val="22"/>
          <w:szCs w:val="22"/>
          <w:u w:val="single"/>
        </w:rPr>
        <w:t>Organizar, operar y controlar el sistema de registro y archivo documental y digital del personal con base en las disposiciones jurídicas aplicables</w:t>
      </w:r>
      <w:r>
        <w:rPr>
          <w:rFonts w:ascii="Palatino Linotype" w:eastAsia="Palatino Linotype" w:hAnsi="Palatino Linotype" w:cs="Palatino Linotype"/>
          <w:i/>
          <w:sz w:val="22"/>
          <w:szCs w:val="22"/>
        </w:rPr>
        <w:t xml:space="preserve">.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Organizar y controlar las acciones para la integración, clasificación, actualización y depuración de expedientes del personal.</w:t>
      </w:r>
      <w:r>
        <w:rPr>
          <w:rFonts w:ascii="Palatino Linotype" w:eastAsia="Palatino Linotype" w:hAnsi="Palatino Linotype" w:cs="Palatino Linotype"/>
          <w:i/>
          <w:sz w:val="22"/>
          <w:szCs w:val="22"/>
        </w:rPr>
        <w:t xml:space="preserve">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Operar y controlar el analítico de plazas conciliadas, de conformidad con las disposiciones jurídicas aplicables.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Validar la base de datos del Programa de Carrera Magisterial, conciliada por las autoridades competentes, de acuerdo con las disposiciones jurídicas aplicables.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Operar el sistema de control de asistencia y puntualidad del personal docente y de apoyo y asistencia a la educación, conforme a las disposiciones jurídicas aplicables. − Operar el desarrollo de los programas de </w:t>
      </w:r>
      <w:proofErr w:type="spellStart"/>
      <w:r>
        <w:rPr>
          <w:rFonts w:ascii="Palatino Linotype" w:eastAsia="Palatino Linotype" w:hAnsi="Palatino Linotype" w:cs="Palatino Linotype"/>
          <w:i/>
          <w:sz w:val="22"/>
          <w:szCs w:val="22"/>
        </w:rPr>
        <w:t>basificación</w:t>
      </w:r>
      <w:proofErr w:type="spellEnd"/>
      <w:r>
        <w:rPr>
          <w:rFonts w:ascii="Palatino Linotype" w:eastAsia="Palatino Linotype" w:hAnsi="Palatino Linotype" w:cs="Palatino Linotype"/>
          <w:i/>
          <w:sz w:val="22"/>
          <w:szCs w:val="22"/>
        </w:rPr>
        <w:t xml:space="preserve"> del personal, conforme a las disposiciones jurídicas aplicables.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Operar los movimientos de creación, cancelación, conversión, reubicación, transferencia, cambio de centro de trabajo y promoción, relativas a plazas federalizadas, conforme a las disposiciones jurídicas aplicables.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Validar en los formatos únicos de personal la asignación de plazas vacantes de nueva creación, definitivas y temporales, para el ingreso y promoción al servicio profesional docente, conforme a las disposiciones jurídicas aplicables.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Operar el proceso de filiación del personal que se incorpora al Organismo y, en su caso, autorizar las correcciones y actualizaciones correspondientes.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Elaborar Constancias de Servicios para el personal.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Operar el proceso de altas, bajas y cambios de salarios ante el ISSSTE, con base en las disposiciones jurídicas aplicables.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Validar las compatibilidades de empleos del personal, así como gestionar su autorización.</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Autorizar carta poder para la realización de trámites administrativos al personal que lo solicite.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Operar el proceso de pago de días económicos no disfrutados del personal docente y de apoyo y asistencia a la educación, con base a las disposiciones jurídicas aplicables.</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Operar y dar seguimiento al presupuesto federal y estatal, en materia de servicios personales.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Validar y tramitar los pagos derivados de la compensación adicional por trabajos específicos, conforme a las disposiciones jurídicas aplicables. </w:t>
      </w:r>
    </w:p>
    <w:p w:rsidR="0068020A" w:rsidRDefault="00446715">
      <w:pPr>
        <w:spacing w:before="240" w:after="240"/>
        <w:ind w:left="567"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Desarrollar las demás funciones inherentes al área de su competencia.”</w:t>
      </w:r>
    </w:p>
    <w:p w:rsidR="0068020A" w:rsidRDefault="00446715">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delimitado este aspecto,  resulta importante mencionar que como se precisó en líneas anteriores, el acceso a la información pública versa sobre documentos, en este caso, sobre oficios, por lo tanto, sirve citar por analogía los </w:t>
      </w:r>
      <w:r>
        <w:rPr>
          <w:rFonts w:ascii="Palatino Linotype" w:eastAsia="Palatino Linotype" w:hAnsi="Palatino Linotype" w:cs="Palatino Linotype"/>
          <w:b/>
        </w:rPr>
        <w:t>Lineamientos para el trámite de la correspondencia de las unidades orgánicas del Poder Ejecutivo</w:t>
      </w:r>
      <w:r>
        <w:rPr>
          <w:rFonts w:ascii="Palatino Linotype" w:eastAsia="Palatino Linotype" w:hAnsi="Palatino Linotype" w:cs="Palatino Linotype"/>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rsidR="0068020A" w:rsidRDefault="00446715">
      <w:pPr>
        <w:shd w:val="clear" w:color="auto" w:fill="FFFFFF"/>
        <w:spacing w:after="120" w:line="276" w:lineRule="auto"/>
        <w:ind w:left="851" w:right="851"/>
        <w:rPr>
          <w:rFonts w:ascii="Palatino Linotype" w:eastAsia="Palatino Linotype" w:hAnsi="Palatino Linotype" w:cs="Palatino Linotype"/>
          <w:sz w:val="22"/>
          <w:szCs w:val="22"/>
        </w:rPr>
      </w:pPr>
      <w:r>
        <w:rPr>
          <w:rFonts w:ascii="Palatino Linotype" w:eastAsia="Palatino Linotype" w:hAnsi="Palatino Linotype" w:cs="Palatino Linotype"/>
          <w:b/>
          <w:i/>
          <w:sz w:val="20"/>
          <w:szCs w:val="20"/>
        </w:rPr>
        <w:t>“</w:t>
      </w:r>
      <w:r>
        <w:rPr>
          <w:rFonts w:ascii="Palatino Linotype" w:eastAsia="Palatino Linotype" w:hAnsi="Palatino Linotype" w:cs="Palatino Linotype"/>
          <w:b/>
          <w:i/>
          <w:sz w:val="22"/>
          <w:szCs w:val="22"/>
        </w:rPr>
        <w:t>2. Objetivo</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Objetivo</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Proporcionar a las áreas de recepción y despacho de correspondencia de las unidades orgánicas del Poder Ejecutivo</w:t>
      </w:r>
      <w:r>
        <w:rPr>
          <w:rFonts w:ascii="Palatino Linotype" w:eastAsia="Palatino Linotype" w:hAnsi="Palatino Linotype" w:cs="Palatino Linotype"/>
          <w:i/>
          <w:sz w:val="22"/>
          <w:szCs w:val="22"/>
        </w:rPr>
        <w:t>, un instrumento técnico que les permita homogeneizar y </w:t>
      </w:r>
      <w:proofErr w:type="spellStart"/>
      <w:r>
        <w:rPr>
          <w:rFonts w:ascii="Palatino Linotype" w:eastAsia="Palatino Linotype" w:hAnsi="Palatino Linotype" w:cs="Palatino Linotype"/>
          <w:b/>
          <w:i/>
          <w:sz w:val="22"/>
          <w:szCs w:val="22"/>
          <w:u w:val="single"/>
        </w:rPr>
        <w:t>eficientar</w:t>
      </w:r>
      <w:proofErr w:type="spellEnd"/>
      <w:r>
        <w:rPr>
          <w:rFonts w:ascii="Palatino Linotype" w:eastAsia="Palatino Linotype" w:hAnsi="Palatino Linotype" w:cs="Palatino Linotype"/>
          <w:b/>
          <w:i/>
          <w:sz w:val="22"/>
          <w:szCs w:val="22"/>
          <w:u w:val="single"/>
        </w:rPr>
        <w:t xml:space="preserve"> los servicios de correspondencia, a fin de </w:t>
      </w:r>
      <w:r>
        <w:rPr>
          <w:rFonts w:ascii="Palatino Linotype" w:eastAsia="Palatino Linotype" w:hAnsi="Palatino Linotype" w:cs="Palatino Linotype"/>
          <w:b/>
          <w:i/>
          <w:sz w:val="22"/>
          <w:szCs w:val="22"/>
          <w:u w:val="single"/>
        </w:rPr>
        <w:lastRenderedPageBreak/>
        <w:t>agilizar la comunicación formal así como coadyuvar a la oportuna toma de decisiones por parte de los servidores públicos</w:t>
      </w:r>
      <w:r>
        <w:rPr>
          <w:rFonts w:ascii="Palatino Linotype" w:eastAsia="Palatino Linotype" w:hAnsi="Palatino Linotype" w:cs="Palatino Linotype"/>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Administración de documentos:</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u w:val="single"/>
        </w:rPr>
        <w:t>Conjunto de actividades vinculadas con la</w:t>
      </w:r>
      <w:r>
        <w:rPr>
          <w:rFonts w:ascii="Palatino Linotype" w:eastAsia="Palatino Linotype" w:hAnsi="Palatino Linotype" w:cs="Palatino Linotype"/>
          <w:i/>
          <w:sz w:val="22"/>
          <w:szCs w:val="22"/>
        </w:rPr>
        <w:t> generación, adquisición</w:t>
      </w:r>
      <w:r>
        <w:rPr>
          <w:rFonts w:ascii="Palatino Linotype" w:eastAsia="Palatino Linotype" w:hAnsi="Palatino Linotype" w:cs="Palatino Linotype"/>
          <w:b/>
          <w:i/>
          <w:sz w:val="22"/>
          <w:szCs w:val="22"/>
          <w:u w:val="single"/>
        </w:rPr>
        <w:t>, recepción</w:t>
      </w:r>
      <w:r>
        <w:rPr>
          <w:rFonts w:ascii="Palatino Linotype" w:eastAsia="Palatino Linotype" w:hAnsi="Palatino Linotype" w:cs="Palatino Linotype"/>
          <w:i/>
          <w:sz w:val="22"/>
          <w:szCs w:val="22"/>
        </w:rPr>
        <w:t>, control, circulación, reproducción, organización, conservación, custodia, restauración, valoración, selección, eliminación</w:t>
      </w:r>
      <w:r>
        <w:rPr>
          <w:rFonts w:ascii="Palatino Linotype" w:eastAsia="Palatino Linotype" w:hAnsi="Palatino Linotype" w:cs="Palatino Linotype"/>
          <w:b/>
          <w:i/>
          <w:sz w:val="22"/>
          <w:szCs w:val="22"/>
        </w:rPr>
        <w:t>, </w:t>
      </w:r>
      <w:r>
        <w:rPr>
          <w:rFonts w:ascii="Palatino Linotype" w:eastAsia="Palatino Linotype" w:hAnsi="Palatino Linotype" w:cs="Palatino Linotype"/>
          <w:b/>
          <w:i/>
          <w:sz w:val="22"/>
          <w:szCs w:val="22"/>
          <w:u w:val="single"/>
        </w:rPr>
        <w:t>uso y divulgación de los documentos.</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Circulación documental:</w:t>
      </w:r>
    </w:p>
    <w:p w:rsidR="0068020A" w:rsidRDefault="00446715">
      <w:pPr>
        <w:shd w:val="clear" w:color="auto" w:fill="FFFFFF"/>
        <w:spacing w:after="120" w:line="276" w:lineRule="auto"/>
        <w:ind w:left="851" w:right="851"/>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w:t>
      </w:r>
      <w:r>
        <w:rPr>
          <w:rFonts w:ascii="Palatino Linotype" w:eastAsia="Palatino Linotype" w:hAnsi="Palatino Linotype" w:cs="Palatino Linotype"/>
          <w:i/>
          <w:sz w:val="22"/>
          <w:szCs w:val="22"/>
        </w:rPr>
        <w:t>Tratamiento que se da al documento desde su generación hasta la conclusión del trámite y la determinación de su destino final.</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3. Conceptualización básica</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Circular:</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r>
        <w:rPr>
          <w:rFonts w:ascii="Palatino Linotype" w:eastAsia="Palatino Linotype" w:hAnsi="Palatino Linotype" w:cs="Palatino Linotype"/>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Control de correspondencia:</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Proceso mediante el cual se registran los documentos a través de sistemas manuales o automatizados, para garantizar su destino y dar continuidad a la tramitación de asuntos.</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Correspondencia oficial:</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Comunicaciones escritas que se producen, circulan y controlan entre las unidades orgánicas del Poder Ejecutivo Estatal.</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Documentación en trámite:</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r>
        <w:rPr>
          <w:rFonts w:ascii="Palatino Linotype" w:eastAsia="Palatino Linotype" w:hAnsi="Palatino Linotype" w:cs="Palatino Linotype"/>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Documento:</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r>
        <w:rPr>
          <w:rFonts w:ascii="Palatino Linotype" w:eastAsia="Palatino Linotype" w:hAnsi="Palatino Linotype" w:cs="Palatino Linotype"/>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Memorándum:</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Oficio:</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w:t>
      </w:r>
      <w:r>
        <w:rPr>
          <w:rFonts w:ascii="Palatino Linotype" w:eastAsia="Palatino Linotype" w:hAnsi="Palatino Linotype" w:cs="Palatino Linotype"/>
          <w:b/>
          <w:i/>
          <w:sz w:val="22"/>
          <w:szCs w:val="22"/>
        </w:rPr>
        <w:lastRenderedPageBreak/>
        <w:t>asuntos específicos relacionados con personas físicas o morales fuera del sector público. La información fluye en línea vertical ascendente o descendente y en forma horizontal</w:t>
      </w:r>
      <w:r>
        <w:rPr>
          <w:rFonts w:ascii="Palatino Linotype" w:eastAsia="Palatino Linotype" w:hAnsi="Palatino Linotype" w:cs="Palatino Linotype"/>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Producción de documentos:</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Es la generación de los documentos con el objeto de cumplir un trámite determinado, en el desarrollo de toda gestión, a partir del razonamiento de que su producción es necesaria y útil</w:t>
      </w:r>
      <w:r>
        <w:rPr>
          <w:rFonts w:ascii="Palatino Linotype" w:eastAsia="Palatino Linotype" w:hAnsi="Palatino Linotype" w:cs="Palatino Linotype"/>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Recepción de documentos:</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u w:val="single"/>
        </w:rPr>
        <w:t>Acción de recibir e ingresar los documentos </w:t>
      </w:r>
      <w:r>
        <w:rPr>
          <w:rFonts w:ascii="Palatino Linotype" w:eastAsia="Palatino Linotype" w:hAnsi="Palatino Linotype" w:cs="Palatino Linotype"/>
          <w:i/>
          <w:sz w:val="22"/>
          <w:szCs w:val="22"/>
        </w:rPr>
        <w:t>a las unidades orgánicas del Poder Ejecutivo Estatal </w:t>
      </w:r>
      <w:r>
        <w:rPr>
          <w:rFonts w:ascii="Palatino Linotype" w:eastAsia="Palatino Linotype" w:hAnsi="Palatino Linotype" w:cs="Palatino Linotype"/>
          <w:b/>
          <w:i/>
          <w:sz w:val="22"/>
          <w:szCs w:val="22"/>
          <w:u w:val="single"/>
        </w:rPr>
        <w:t>para su atención, custodia o circulación</w:t>
      </w:r>
      <w:r>
        <w:rPr>
          <w:rFonts w:ascii="Palatino Linotype" w:eastAsia="Palatino Linotype" w:hAnsi="Palatino Linotype" w:cs="Palatino Linotype"/>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4. Lineamientos generales</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68020A" w:rsidRDefault="00446715">
      <w:pPr>
        <w:shd w:val="clear" w:color="auto" w:fill="FFFFFF"/>
        <w:spacing w:after="120" w:line="276" w:lineRule="auto"/>
        <w:ind w:left="851" w:right="851"/>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2"/>
          <w:szCs w:val="22"/>
        </w:rPr>
        <w:t>4.2 </w:t>
      </w:r>
      <w:r>
        <w:rPr>
          <w:rFonts w:ascii="Palatino Linotype" w:eastAsia="Palatino Linotype" w:hAnsi="Palatino Linotype" w:cs="Palatino Linotype"/>
          <w:b/>
          <w:i/>
          <w:sz w:val="22"/>
          <w:szCs w:val="22"/>
        </w:rPr>
        <w:t>Las disposiciones establecidas en los presentes lineamientos son de </w:t>
      </w:r>
      <w:r>
        <w:rPr>
          <w:rFonts w:ascii="Palatino Linotype" w:eastAsia="Palatino Linotype" w:hAnsi="Palatino Linotype" w:cs="Palatino Linotype"/>
          <w:b/>
          <w:i/>
          <w:sz w:val="22"/>
          <w:szCs w:val="22"/>
          <w:u w:val="single"/>
        </w:rPr>
        <w:t>observancia obligatoria para las unidades orgánicas del Poder Ejecutivo Estatal</w:t>
      </w:r>
      <w:r>
        <w:rPr>
          <w:rFonts w:ascii="Palatino Linotype" w:eastAsia="Palatino Linotype" w:hAnsi="Palatino Linotype" w:cs="Palatino Linotype"/>
          <w:i/>
          <w:sz w:val="22"/>
          <w:szCs w:val="22"/>
          <w:u w:val="single"/>
        </w:rPr>
        <w:t>.</w:t>
      </w:r>
      <w:r>
        <w:rPr>
          <w:rFonts w:ascii="Palatino Linotype" w:eastAsia="Palatino Linotype" w:hAnsi="Palatino Linotype" w:cs="Palatino Linotype"/>
          <w:sz w:val="22"/>
          <w:szCs w:val="22"/>
        </w:rPr>
        <w:t>…</w:t>
      </w:r>
      <w:r>
        <w:rPr>
          <w:rFonts w:ascii="Palatino Linotype" w:eastAsia="Palatino Linotype" w:hAnsi="Palatino Linotype" w:cs="Palatino Linotype"/>
          <w:sz w:val="20"/>
          <w:szCs w:val="20"/>
        </w:rPr>
        <w:t>”</w:t>
      </w:r>
    </w:p>
    <w:p w:rsidR="0068020A" w:rsidRDefault="00446715">
      <w:pPr>
        <w:shd w:val="clear" w:color="auto" w:fill="FFFFFF"/>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De lo anteriormente vertido, se tiene que los documentos que sirven de comunicación entre las diferentes unidades administrativas de una institución pública pueden ser a través de circulares, memorándums u oficios, dependiendo de la información que se trata en cada uno de ellos.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w:t>
      </w:r>
      <w:r>
        <w:rPr>
          <w:rFonts w:ascii="Palatino Linotype" w:eastAsia="Palatino Linotype" w:hAnsi="Palatino Linotype" w:cs="Palatino Linotype"/>
          <w:b/>
        </w:rPr>
        <w:t xml:space="preserve">el oficio es el medio de comunicación formal que inicia una gestión, informa de un hecho </w:t>
      </w:r>
      <w:r>
        <w:rPr>
          <w:rFonts w:ascii="Palatino Linotype" w:eastAsia="Palatino Linotype" w:hAnsi="Palatino Linotype" w:cs="Palatino Linotype"/>
          <w:b/>
        </w:rPr>
        <w:lastRenderedPageBreak/>
        <w:t>relevante, regulariza una situación, transmite órdenes, lineamientos o instrucciones, o trata asuntos específicos relacionados con personas físicas o morales en el marco de sus actuaciones.</w:t>
      </w:r>
    </w:p>
    <w:p w:rsidR="0068020A" w:rsidRDefault="0044671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artículo 92 de la Ley de Transparencia Local, señala que las facultades de cada área constituyen una obligación de transparencia, sirve la siguiente </w:t>
      </w:r>
    </w:p>
    <w:p w:rsidR="0068020A" w:rsidRDefault="00446715">
      <w:pPr>
        <w:spacing w:before="240" w:after="240"/>
        <w:ind w:left="566" w:right="91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68020A" w:rsidRDefault="00446715">
      <w:pPr>
        <w:spacing w:before="240" w:after="240"/>
        <w:ind w:left="566" w:right="91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020A" w:rsidRDefault="00446715">
      <w:pPr>
        <w:spacing w:before="240" w:after="240"/>
        <w:ind w:left="566" w:right="91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Las facultades de cada área</w:t>
      </w:r>
      <w:r>
        <w:rPr>
          <w:rFonts w:ascii="Palatino Linotype" w:eastAsia="Palatino Linotype" w:hAnsi="Palatino Linotype" w:cs="Palatino Linotype"/>
          <w:i/>
          <w:sz w:val="22"/>
          <w:szCs w:val="22"/>
        </w:rPr>
        <w:t>;”</w:t>
      </w:r>
    </w:p>
    <w:p w:rsidR="0068020A" w:rsidRDefault="0044671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conclusión de todo lo planteado, es dable ordenar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posteriormente realizar la entrega del oficio u oficios de adscripción y oficio donde se establezcan sus funciones, del 1 de enero al 22 de noviembre de 2022 de los servidores públicos Velasco León Iris y Velasco León Gabriel, de ser procedente en versión pública, en términos del siguiente considerando</w:t>
      </w:r>
      <w:r>
        <w:rPr>
          <w:rFonts w:ascii="Palatino Linotype" w:eastAsia="Palatino Linotype" w:hAnsi="Palatino Linotype" w:cs="Palatino Linotype"/>
        </w:rPr>
        <w:t xml:space="preserve">, no obstante, debemos recordar que en las constancias que conforman el expediente electrónico, el Sujeto Obligado no se pronunció de manera puntual respecto de si la servidora pública “Velasco </w:t>
      </w:r>
      <w:proofErr w:type="spellStart"/>
      <w:r>
        <w:rPr>
          <w:rFonts w:ascii="Palatino Linotype" w:eastAsia="Palatino Linotype" w:hAnsi="Palatino Linotype" w:cs="Palatino Linotype"/>
        </w:rPr>
        <w:t>Leon</w:t>
      </w:r>
      <w:proofErr w:type="spellEnd"/>
      <w:r>
        <w:rPr>
          <w:rFonts w:ascii="Palatino Linotype" w:eastAsia="Palatino Linotype" w:hAnsi="Palatino Linotype" w:cs="Palatino Linotype"/>
        </w:rPr>
        <w:t xml:space="preserve"> Iris” existe dentro de los archivos del Sujeto Obligado, por lo que de ser  el caso en el  que no se llegara a localizar información por no haberse generado, bastará con que así se haga del conocimiento de la persona solicitante para tener por colmado su derecho de acceso a la información, en términos de lo dispuesto por el </w:t>
      </w:r>
      <w:r>
        <w:rPr>
          <w:rFonts w:ascii="Palatino Linotype" w:eastAsia="Palatino Linotype" w:hAnsi="Palatino Linotype" w:cs="Palatino Linotype"/>
        </w:rPr>
        <w:lastRenderedPageBreak/>
        <w:t>artículo 19, párrafo segundo de la Ley de Transparencia y Acceso a la Información Pública del Estado de México y Municipios, a saber:</w:t>
      </w:r>
    </w:p>
    <w:p w:rsidR="0068020A" w:rsidRDefault="0044671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w:t>
      </w:r>
    </w:p>
    <w:p w:rsidR="0068020A" w:rsidRDefault="00446715">
      <w:pP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68020A" w:rsidRDefault="00446715">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I de la Ley de Transparencia y Acceso a la Información Pública del Estado de México y Municipios que establecen:</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 Información clasificada</w:t>
      </w:r>
      <w:r>
        <w:rPr>
          <w:rFonts w:ascii="Palatino Linotype" w:eastAsia="Palatino Linotype" w:hAnsi="Palatino Linotype" w:cs="Palatino Linotype"/>
          <w:i/>
          <w:sz w:val="22"/>
          <w:szCs w:val="22"/>
        </w:rPr>
        <w:t>: Aquella considerada por la presente Ley como reservada o confidencial;</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68020A" w:rsidRDefault="00446715">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8020A" w:rsidRDefault="004467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w:t>
      </w:r>
      <w:r>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Pr>
          <w:rFonts w:ascii="Palatino Linotype" w:eastAsia="Palatino Linotype" w:hAnsi="Palatino Linotype" w:cs="Palatino Linotype"/>
        </w:rPr>
        <w:t xml:space="preserve"> señalan las formalidades que deberá llevar el acuerdo de clasificación que deberá emitir el </w:t>
      </w:r>
      <w:r>
        <w:rPr>
          <w:rFonts w:ascii="Palatino Linotype" w:eastAsia="Palatino Linotype" w:hAnsi="Palatino Linotype" w:cs="Palatino Linotype"/>
          <w:b/>
        </w:rPr>
        <w:t>Sujeto Obligado</w:t>
      </w:r>
      <w:r>
        <w:rPr>
          <w:rFonts w:ascii="Palatino Linotype" w:eastAsia="Palatino Linotype" w:hAnsi="Palatino Linotype" w:cs="Palatino Linotype"/>
        </w:rPr>
        <w:t>, siendo estas las siguientes:</w:t>
      </w:r>
    </w:p>
    <w:p w:rsidR="0068020A" w:rsidRDefault="0068020A">
      <w:pPr>
        <w:spacing w:line="360" w:lineRule="auto"/>
        <w:jc w:val="both"/>
        <w:rPr>
          <w:rFonts w:ascii="Palatino Linotype" w:eastAsia="Palatino Linotype" w:hAnsi="Palatino Linotype" w:cs="Palatino Linotype"/>
        </w:rPr>
      </w:pPr>
    </w:p>
    <w:p w:rsidR="0068020A" w:rsidRDefault="00446715">
      <w:pPr>
        <w:spacing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“CAPÍTULO VIII </w:t>
      </w:r>
    </w:p>
    <w:p w:rsidR="0068020A" w:rsidRDefault="00446715">
      <w:pPr>
        <w:spacing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LOS ELEMENTOS PARA LA CLASIFICACIÓN </w:t>
      </w:r>
    </w:p>
    <w:p w:rsidR="0068020A" w:rsidRDefault="00446715">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w:t>
      </w:r>
      <w:r>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68020A" w:rsidRDefault="00446715">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primero.</w:t>
      </w:r>
      <w:r>
        <w:rPr>
          <w:rFonts w:ascii="Palatino Linotype" w:eastAsia="Palatino Linotype" w:hAnsi="Palatino Linotype" w:cs="Palatino Linotype"/>
          <w:i/>
          <w:sz w:val="22"/>
          <w:szCs w:val="22"/>
        </w:rPr>
        <w:t xml:space="preserve"> Toda acta del Comité de Transparencia deberá contener: </w:t>
      </w:r>
    </w:p>
    <w:p w:rsidR="0068020A" w:rsidRDefault="00446715">
      <w:pPr>
        <w:numPr>
          <w:ilvl w:val="1"/>
          <w:numId w:val="2"/>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número de sesión y fecha; </w:t>
      </w:r>
    </w:p>
    <w:p w:rsidR="0068020A" w:rsidRDefault="00446715">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El nombre del área que solicitó la clasificación de información; </w:t>
      </w:r>
    </w:p>
    <w:p w:rsidR="0068020A" w:rsidRDefault="00446715">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fundamentación legal y motivación correspondiente; </w:t>
      </w:r>
    </w:p>
    <w:p w:rsidR="0068020A" w:rsidRDefault="00446715">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resolución o resoluciones aprobadas; y </w:t>
      </w:r>
    </w:p>
    <w:p w:rsidR="0068020A" w:rsidRDefault="00446715">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rúbrica o firma digital de cada integrante del Comité de Transparencia. </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Descripción de las partes o secciones reservadas, en caso de clasificación parcial; </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El periodo por el que mantendrá su clasificación y fecha de expiración; y </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Quincuagésimo segundo. </w:t>
      </w:r>
      <w:r>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Pr>
          <w:rFonts w:ascii="Palatino Linotype" w:eastAsia="Palatino Linotype" w:hAnsi="Palatino Linotype" w:cs="Palatino Linotype"/>
          <w:i/>
          <w:color w:val="000000"/>
          <w:sz w:val="22"/>
          <w:szCs w:val="22"/>
        </w:rPr>
        <w:t>sobreposición</w:t>
      </w:r>
      <w:proofErr w:type="spellEnd"/>
      <w:r>
        <w:rPr>
          <w:rFonts w:ascii="Palatino Linotype" w:eastAsia="Palatino Linotype" w:hAnsi="Palatino Linotype" w:cs="Palatino Linotype"/>
          <w:i/>
          <w:color w:val="000000"/>
          <w:sz w:val="22"/>
          <w:szCs w:val="22"/>
        </w:rPr>
        <w:t xml:space="preserve"> de contenido distinto al autorizado por el Comité.</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Fijar la fecha en que se elaboró la versión pública y la fecha en la cual el Comité de</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Transparencia confirmó dicha versión;</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Señalar las personas o instancias autorizadas a acceder a la información clasificada.</w:t>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los documentos de difusión electrónica, señalar en la primera hoja y en el nombre del archivo, que la versión pública corresponde a un documento que contiene información confidencial.</w:t>
      </w:r>
      <w:r>
        <w:rPr>
          <w:noProof/>
          <w:lang w:val="es-MX"/>
        </w:rPr>
        <w:drawing>
          <wp:anchor distT="0" distB="0" distL="114300" distR="114300" simplePos="0" relativeHeight="251658240" behindDoc="0" locked="0" layoutInCell="1" hidden="0" allowOverlap="1">
            <wp:simplePos x="0" y="0"/>
            <wp:positionH relativeFrom="column">
              <wp:posOffset>377190</wp:posOffset>
            </wp:positionH>
            <wp:positionV relativeFrom="paragraph">
              <wp:posOffset>798830</wp:posOffset>
            </wp:positionV>
            <wp:extent cx="4568190" cy="330200"/>
            <wp:effectExtent l="0" t="0" r="0" b="0"/>
            <wp:wrapTopAndBottom distT="0" dist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568190" cy="330200"/>
                    </a:xfrm>
                    <a:prstGeom prst="rect">
                      <a:avLst/>
                    </a:prstGeom>
                    <a:ln/>
                  </pic:spPr>
                </pic:pic>
              </a:graphicData>
            </a:graphic>
          </wp:anchor>
        </w:drawing>
      </w: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lang w:val="es-MX"/>
        </w:rPr>
        <w:drawing>
          <wp:inline distT="0" distB="0" distL="0" distR="0">
            <wp:extent cx="4576404" cy="5139653"/>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576404" cy="5139653"/>
                    </a:xfrm>
                    <a:prstGeom prst="rect">
                      <a:avLst/>
                    </a:prstGeom>
                    <a:ln/>
                  </pic:spPr>
                </pic:pic>
              </a:graphicData>
            </a:graphic>
          </wp:inline>
        </w:drawing>
      </w:r>
    </w:p>
    <w:p w:rsidR="0068020A" w:rsidRDefault="0068020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Quincuagésimo cuarto. </w:t>
      </w:r>
      <w:r>
        <w:rPr>
          <w:rFonts w:ascii="Palatino Linotype" w:eastAsia="Palatino Linotype" w:hAnsi="Palatino Linotype" w:cs="Palatino Linotype"/>
          <w:i/>
          <w:color w:val="000000"/>
          <w:sz w:val="22"/>
          <w:szCs w:val="22"/>
        </w:rPr>
        <w:t xml:space="preserve">Cuando el Comité de Transparencia confirme la clasificación de documentos reservados y/o confidenciales, sea total o parcialmente; se deberá anexar al expediente la resolución que determinó la clasificación o, en su </w:t>
      </w:r>
      <w:r>
        <w:rPr>
          <w:rFonts w:ascii="Palatino Linotype" w:eastAsia="Palatino Linotype" w:hAnsi="Palatino Linotype" w:cs="Palatino Linotype"/>
          <w:i/>
          <w:color w:val="000000"/>
          <w:sz w:val="22"/>
          <w:szCs w:val="22"/>
        </w:rPr>
        <w:lastRenderedPageBreak/>
        <w:t>defecto, identificar en la carátula del expediente del cual formen parte, la fecha y sesión del Comité de Transparencia en la que se confirmó dicha clasificación.</w:t>
      </w:r>
    </w:p>
    <w:p w:rsidR="0068020A" w:rsidRDefault="0068020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68020A" w:rsidRDefault="0044671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Quincuagésimo quinto. </w:t>
      </w:r>
      <w:r>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Pr>
          <w:rFonts w:ascii="Palatino Linotype" w:eastAsia="Palatino Linotype" w:hAnsi="Palatino Linotype" w:cs="Palatino Linotype"/>
          <w:i/>
          <w:color w:val="000000"/>
          <w:sz w:val="22"/>
          <w:szCs w:val="22"/>
        </w:rPr>
        <w:t>testado</w:t>
      </w:r>
      <w:proofErr w:type="spellEnd"/>
      <w:r>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todo lo expuesto que resulta procedente revocar la respuesta en términos de la fracción III del artículo 186 de la Ley de Transparencia y Acceso a la Información Pública del Estado de México y Municipios, a efectos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entregue la información requerida.</w:t>
      </w:r>
    </w:p>
    <w:p w:rsidR="0068020A" w:rsidRDefault="0044671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rsidR="0068020A" w:rsidRDefault="00446715">
      <w:pPr>
        <w:numPr>
          <w:ilvl w:val="0"/>
          <w:numId w:val="1"/>
        </w:numPr>
        <w:spacing w:after="240" w:line="360" w:lineRule="auto"/>
        <w:ind w:left="2552" w:hanging="140"/>
        <w:jc w:val="both"/>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00294/INFOEM/IP/RR/2023</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b/>
          <w:color w:val="FF0000"/>
        </w:rPr>
        <w:t xml:space="preserve"> </w:t>
      </w:r>
    </w:p>
    <w:p w:rsidR="0068020A" w:rsidRDefault="00446715">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a</w:t>
      </w:r>
      <w:r>
        <w:rPr>
          <w:rFonts w:ascii="Palatino Linotype" w:eastAsia="Palatino Linotype" w:hAnsi="Palatino Linotype" w:cs="Palatino Linotype"/>
          <w:b/>
        </w:rPr>
        <w:t xml:space="preserve"> la parte 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en versión pública de ser procedente</w:t>
      </w:r>
      <w:r>
        <w:rPr>
          <w:rFonts w:ascii="Palatino Linotype" w:eastAsia="Palatino Linotype" w:hAnsi="Palatino Linotype" w:cs="Palatino Linotype"/>
        </w:rPr>
        <w:t xml:space="preserve">, 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y Quinto de la presente resolución, lo siguiente: </w:t>
      </w:r>
    </w:p>
    <w:p w:rsidR="0068020A" w:rsidRDefault="00446715">
      <w:pPr>
        <w:pBdr>
          <w:top w:val="nil"/>
          <w:left w:val="nil"/>
          <w:bottom w:val="nil"/>
          <w:right w:val="nil"/>
          <w:between w:val="nil"/>
        </w:pBdr>
        <w:tabs>
          <w:tab w:val="left" w:pos="7655"/>
        </w:tabs>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Oficio u oficios de adscripción y oficio donde se establezcan sus funciones, del 1 de enero al 22 de noviembre de 2022 de los servidores públicos Velasco León Iris y Velasco León Gabriel. </w:t>
      </w:r>
    </w:p>
    <w:p w:rsidR="0068020A" w:rsidRDefault="0068020A">
      <w:pPr>
        <w:pBdr>
          <w:top w:val="nil"/>
          <w:left w:val="nil"/>
          <w:bottom w:val="nil"/>
          <w:right w:val="nil"/>
          <w:between w:val="nil"/>
        </w:pBdr>
        <w:tabs>
          <w:tab w:val="left" w:pos="7655"/>
        </w:tabs>
        <w:ind w:left="567" w:right="900"/>
        <w:jc w:val="both"/>
        <w:rPr>
          <w:rFonts w:ascii="Palatino Linotype" w:eastAsia="Palatino Linotype" w:hAnsi="Palatino Linotype" w:cs="Palatino Linotype"/>
          <w:b/>
          <w:i/>
          <w:color w:val="000000"/>
          <w:sz w:val="22"/>
          <w:szCs w:val="22"/>
        </w:rPr>
      </w:pPr>
      <w:bookmarkStart w:id="5" w:name="_heading=h.1fob9te" w:colFirst="0" w:colLast="0"/>
      <w:bookmarkEnd w:id="5"/>
    </w:p>
    <w:p w:rsidR="0068020A" w:rsidRDefault="00446715">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Pr>
          <w:rFonts w:ascii="Palatino Linotype" w:eastAsia="Palatino Linotype" w:hAnsi="Palatino Linotype" w:cs="Palatino Linotype"/>
          <w:b/>
          <w:i/>
          <w:color w:val="000000"/>
          <w:sz w:val="22"/>
          <w:szCs w:val="22"/>
        </w:rPr>
        <w:t>Recurrente</w:t>
      </w:r>
      <w:r>
        <w:rPr>
          <w:rFonts w:ascii="Palatino Linotype" w:eastAsia="Palatino Linotype" w:hAnsi="Palatino Linotype" w:cs="Palatino Linotype"/>
          <w:i/>
          <w:color w:val="000000"/>
          <w:sz w:val="22"/>
          <w:szCs w:val="22"/>
        </w:rPr>
        <w:t>.</w:t>
      </w:r>
    </w:p>
    <w:p w:rsidR="0068020A" w:rsidRDefault="00446715">
      <w:pPr>
        <w:tabs>
          <w:tab w:val="left" w:pos="7938"/>
        </w:tabs>
        <w:spacing w:after="120"/>
        <w:ind w:left="566"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supuesto que la información ordenada respecto de la servidora pública “Velasco León Iris” no obre en los archivos del Sujeto Obligado, en virtud de que dicha servidora pública no labora para el Sujeto Obligado, bastará con que así lo haga del conocimiento de la parte Recurrente, de manera fundada y motivada, en términos del </w:t>
      </w:r>
      <w:r>
        <w:rPr>
          <w:rFonts w:ascii="Palatino Linotype" w:eastAsia="Palatino Linotype" w:hAnsi="Palatino Linotype" w:cs="Palatino Linotype"/>
          <w:i/>
          <w:sz w:val="22"/>
          <w:szCs w:val="22"/>
        </w:rPr>
        <w:lastRenderedPageBreak/>
        <w:t>artículo 19, párraf</w:t>
      </w:r>
      <w:bookmarkStart w:id="6" w:name="_GoBack"/>
      <w:bookmarkEnd w:id="6"/>
      <w:r>
        <w:rPr>
          <w:rFonts w:ascii="Palatino Linotype" w:eastAsia="Palatino Linotype" w:hAnsi="Palatino Linotype" w:cs="Palatino Linotype"/>
          <w:i/>
          <w:sz w:val="22"/>
          <w:szCs w:val="22"/>
        </w:rPr>
        <w:t>o segundo de la Ley de Transparencia y Acceso a la Información Pública del Estado de México y Municipios, para tener por colmado el requerimiento de información.</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a</w:t>
      </w:r>
      <w:r>
        <w:rPr>
          <w:rFonts w:ascii="Palatino Linotype" w:eastAsia="Palatino Linotype" w:hAnsi="Palatino Linotype" w:cs="Palatino Linotype"/>
          <w:b/>
        </w:rPr>
        <w:t xml:space="preserve"> la parte 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68020A" w:rsidRDefault="004467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DE JUNIO DE DOS MIL VEINTITRÉS, ANTE LA COORDINADORA DE PROYECTOS CATALINA CAMARILLO ROSAS, EN SUPLENCIA DEL SECRETARIO TÉCNICO DEL PLENO ALEXIS TAPIA RAMÍREZ.</w:t>
      </w:r>
    </w:p>
    <w:p w:rsidR="0068020A" w:rsidRDefault="0068020A">
      <w:pPr>
        <w:spacing w:before="240" w:after="240" w:line="360" w:lineRule="auto"/>
        <w:jc w:val="both"/>
        <w:rPr>
          <w:rFonts w:ascii="Palatino Linotype" w:eastAsia="Palatino Linotype" w:hAnsi="Palatino Linotype" w:cs="Palatino Linotype"/>
        </w:rPr>
      </w:pPr>
      <w:bookmarkStart w:id="7" w:name="_heading=h.3znysh7" w:colFirst="0" w:colLast="0"/>
      <w:bookmarkEnd w:id="7"/>
    </w:p>
    <w:p w:rsidR="0068020A" w:rsidRDefault="0068020A">
      <w:pPr>
        <w:spacing w:before="240" w:after="240" w:line="360" w:lineRule="auto"/>
        <w:jc w:val="both"/>
        <w:rPr>
          <w:rFonts w:ascii="Palatino Linotype" w:eastAsia="Palatino Linotype" w:hAnsi="Palatino Linotype" w:cs="Palatino Linotype"/>
        </w:rPr>
      </w:pPr>
    </w:p>
    <w:p w:rsidR="0068020A" w:rsidRDefault="0068020A">
      <w:pPr>
        <w:spacing w:before="240" w:after="240" w:line="360" w:lineRule="auto"/>
        <w:jc w:val="both"/>
        <w:rPr>
          <w:rFonts w:ascii="Palatino Linotype" w:eastAsia="Palatino Linotype" w:hAnsi="Palatino Linotype" w:cs="Palatino Linotype"/>
        </w:rPr>
      </w:pPr>
    </w:p>
    <w:p w:rsidR="0068020A" w:rsidRDefault="0068020A">
      <w:pPr>
        <w:spacing w:before="240" w:after="240" w:line="360" w:lineRule="auto"/>
        <w:jc w:val="both"/>
        <w:rPr>
          <w:rFonts w:ascii="Palatino Linotype" w:eastAsia="Palatino Linotype" w:hAnsi="Palatino Linotype" w:cs="Palatino Linotype"/>
        </w:rPr>
      </w:pPr>
    </w:p>
    <w:p w:rsidR="0068020A" w:rsidRDefault="0068020A">
      <w:pPr>
        <w:spacing w:before="240" w:after="240" w:line="360" w:lineRule="auto"/>
        <w:jc w:val="both"/>
        <w:rPr>
          <w:rFonts w:ascii="Palatino Linotype" w:eastAsia="Palatino Linotype" w:hAnsi="Palatino Linotype" w:cs="Palatino Linotype"/>
        </w:rPr>
      </w:pPr>
    </w:p>
    <w:p w:rsidR="0068020A" w:rsidRDefault="0068020A">
      <w:pPr>
        <w:spacing w:before="240" w:after="240" w:line="360" w:lineRule="auto"/>
        <w:jc w:val="both"/>
        <w:rPr>
          <w:rFonts w:ascii="Palatino Linotype" w:eastAsia="Palatino Linotype" w:hAnsi="Palatino Linotype" w:cs="Palatino Linotype"/>
        </w:rPr>
      </w:pPr>
    </w:p>
    <w:p w:rsidR="0068020A" w:rsidRDefault="0068020A">
      <w:pPr>
        <w:spacing w:before="240" w:after="240" w:line="360" w:lineRule="auto"/>
        <w:jc w:val="both"/>
        <w:rPr>
          <w:rFonts w:ascii="Palatino Linotype" w:eastAsia="Palatino Linotype" w:hAnsi="Palatino Linotype" w:cs="Palatino Linotype"/>
        </w:rPr>
      </w:pPr>
    </w:p>
    <w:p w:rsidR="0068020A" w:rsidRDefault="0068020A">
      <w:pPr>
        <w:spacing w:before="240" w:after="240" w:line="360" w:lineRule="auto"/>
        <w:jc w:val="both"/>
        <w:rPr>
          <w:rFonts w:ascii="Palatino Linotype" w:eastAsia="Palatino Linotype" w:hAnsi="Palatino Linotype" w:cs="Palatino Linotype"/>
        </w:rPr>
      </w:pPr>
    </w:p>
    <w:p w:rsidR="0068020A" w:rsidRDefault="0068020A">
      <w:pPr>
        <w:spacing w:before="240" w:after="240" w:line="360" w:lineRule="auto"/>
        <w:jc w:val="both"/>
        <w:rPr>
          <w:rFonts w:ascii="Palatino Linotype" w:eastAsia="Palatino Linotype" w:hAnsi="Palatino Linotype" w:cs="Palatino Linotype"/>
        </w:rPr>
      </w:pPr>
    </w:p>
    <w:p w:rsidR="0068020A" w:rsidRDefault="0068020A">
      <w:pPr>
        <w:spacing w:before="240" w:after="240" w:line="360" w:lineRule="auto"/>
        <w:jc w:val="both"/>
        <w:rPr>
          <w:rFonts w:ascii="Palatino Linotype" w:eastAsia="Palatino Linotype" w:hAnsi="Palatino Linotype" w:cs="Palatino Linotype"/>
        </w:rPr>
      </w:pPr>
    </w:p>
    <w:p w:rsidR="0068020A" w:rsidRDefault="0068020A">
      <w:pPr>
        <w:spacing w:before="240" w:after="240" w:line="360" w:lineRule="auto"/>
        <w:jc w:val="both"/>
        <w:rPr>
          <w:rFonts w:ascii="Palatino Linotype" w:eastAsia="Palatino Linotype" w:hAnsi="Palatino Linotype" w:cs="Palatino Linotype"/>
        </w:rPr>
      </w:pPr>
    </w:p>
    <w:p w:rsidR="0068020A" w:rsidRDefault="0068020A">
      <w:pPr>
        <w:spacing w:before="240" w:after="240" w:line="360" w:lineRule="auto"/>
        <w:jc w:val="both"/>
        <w:rPr>
          <w:rFonts w:ascii="Palatino Linotype" w:eastAsia="Palatino Linotype" w:hAnsi="Palatino Linotype" w:cs="Palatino Linotype"/>
        </w:rPr>
      </w:pPr>
    </w:p>
    <w:p w:rsidR="0068020A" w:rsidRDefault="0068020A">
      <w:pPr>
        <w:spacing w:before="240" w:after="240" w:line="360" w:lineRule="auto"/>
        <w:jc w:val="both"/>
        <w:rPr>
          <w:rFonts w:ascii="Palatino Linotype" w:eastAsia="Palatino Linotype" w:hAnsi="Palatino Linotype" w:cs="Palatino Linotype"/>
        </w:rPr>
      </w:pPr>
    </w:p>
    <w:sectPr w:rsidR="0068020A">
      <w:headerReference w:type="default" r:id="rId18"/>
      <w:footerReference w:type="default" r:id="rId19"/>
      <w:headerReference w:type="first" r:id="rId20"/>
      <w:footerReference w:type="first" r:id="rId21"/>
      <w:pgSz w:w="12240" w:h="15840"/>
      <w:pgMar w:top="1985" w:right="1701" w:bottom="1701" w:left="1700"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715" w:rsidRDefault="00446715">
      <w:r>
        <w:separator/>
      </w:r>
    </w:p>
  </w:endnote>
  <w:endnote w:type="continuationSeparator" w:id="0">
    <w:p w:rsidR="00446715" w:rsidRDefault="00446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20A" w:rsidRDefault="0044671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C662A">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C662A">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rsidR="0068020A" w:rsidRDefault="0068020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20A" w:rsidRDefault="0044671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C662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C662A">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rsidR="0068020A" w:rsidRDefault="0068020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715" w:rsidRDefault="00446715">
      <w:r>
        <w:separator/>
      </w:r>
    </w:p>
  </w:footnote>
  <w:footnote w:type="continuationSeparator" w:id="0">
    <w:p w:rsidR="00446715" w:rsidRDefault="004467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20A" w:rsidRDefault="00446715">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-1127123</wp:posOffset>
          </wp:positionH>
          <wp:positionV relativeFrom="paragraph">
            <wp:posOffset>-344803</wp:posOffset>
          </wp:positionV>
          <wp:extent cx="7809865" cy="10165715"/>
          <wp:effectExtent l="0" t="0" r="0" b="0"/>
          <wp:wrapNone/>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68020A">
      <w:tc>
        <w:tcPr>
          <w:tcW w:w="2489" w:type="dxa"/>
          <w:shd w:val="clear" w:color="auto" w:fill="auto"/>
        </w:tcPr>
        <w:p w:rsidR="0068020A" w:rsidRDefault="004467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68020A" w:rsidRDefault="00446715">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00294/INFOEM/IP/RR/2023</w:t>
          </w:r>
        </w:p>
      </w:tc>
    </w:tr>
    <w:tr w:rsidR="0068020A">
      <w:trPr>
        <w:trHeight w:val="228"/>
      </w:trPr>
      <w:tc>
        <w:tcPr>
          <w:tcW w:w="2489" w:type="dxa"/>
          <w:shd w:val="clear" w:color="auto" w:fill="auto"/>
          <w:vAlign w:val="center"/>
        </w:tcPr>
        <w:p w:rsidR="0068020A" w:rsidRDefault="004467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68020A" w:rsidRDefault="00446715">
          <w:pPr>
            <w:ind w:left="-45" w:right="59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68020A">
      <w:tc>
        <w:tcPr>
          <w:tcW w:w="2489" w:type="dxa"/>
          <w:shd w:val="clear" w:color="auto" w:fill="auto"/>
          <w:vAlign w:val="center"/>
        </w:tcPr>
        <w:p w:rsidR="0068020A" w:rsidRDefault="0044671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68020A" w:rsidRDefault="00446715">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8020A" w:rsidRDefault="0044671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20A" w:rsidRDefault="0044671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-955673</wp:posOffset>
          </wp:positionH>
          <wp:positionV relativeFrom="paragraph">
            <wp:posOffset>-288923</wp:posOffset>
          </wp:positionV>
          <wp:extent cx="7809865" cy="10165715"/>
          <wp:effectExtent l="0" t="0" r="0" b="0"/>
          <wp:wrapNone/>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662" w:type="dxa"/>
      <w:tblInd w:w="3261" w:type="dxa"/>
      <w:tblLayout w:type="fixed"/>
      <w:tblLook w:val="0400" w:firstRow="0" w:lastRow="0" w:firstColumn="0" w:lastColumn="0" w:noHBand="0" w:noVBand="1"/>
    </w:tblPr>
    <w:tblGrid>
      <w:gridCol w:w="2551"/>
      <w:gridCol w:w="4111"/>
    </w:tblGrid>
    <w:tr w:rsidR="0068020A">
      <w:tc>
        <w:tcPr>
          <w:tcW w:w="2551" w:type="dxa"/>
          <w:shd w:val="clear" w:color="auto" w:fill="auto"/>
          <w:vAlign w:val="center"/>
        </w:tcPr>
        <w:p w:rsidR="0068020A" w:rsidRDefault="004467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rsidR="0068020A" w:rsidRDefault="0044671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00294/INFOEM/IP/RR/2023</w:t>
          </w:r>
        </w:p>
      </w:tc>
    </w:tr>
    <w:tr w:rsidR="0068020A">
      <w:trPr>
        <w:trHeight w:val="130"/>
      </w:trPr>
      <w:tc>
        <w:tcPr>
          <w:tcW w:w="2551" w:type="dxa"/>
          <w:shd w:val="clear" w:color="auto" w:fill="auto"/>
          <w:vAlign w:val="center"/>
        </w:tcPr>
        <w:p w:rsidR="0068020A" w:rsidRDefault="004467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rsidR="0068020A" w:rsidRDefault="0068020A">
          <w:pPr>
            <w:ind w:left="-45" w:right="176"/>
            <w:jc w:val="both"/>
            <w:rPr>
              <w:rFonts w:ascii="Palatino Linotype" w:eastAsia="Palatino Linotype" w:hAnsi="Palatino Linotype" w:cs="Palatino Linotype"/>
              <w:b/>
              <w:sz w:val="22"/>
              <w:szCs w:val="22"/>
            </w:rPr>
          </w:pPr>
        </w:p>
      </w:tc>
    </w:tr>
    <w:tr w:rsidR="0068020A">
      <w:trPr>
        <w:trHeight w:val="228"/>
      </w:trPr>
      <w:tc>
        <w:tcPr>
          <w:tcW w:w="2551" w:type="dxa"/>
          <w:shd w:val="clear" w:color="auto" w:fill="auto"/>
          <w:vAlign w:val="center"/>
        </w:tcPr>
        <w:p w:rsidR="0068020A" w:rsidRDefault="004467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rsidR="0068020A" w:rsidRDefault="00446715">
          <w:pPr>
            <w:ind w:left="-45" w:right="130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68020A">
      <w:tc>
        <w:tcPr>
          <w:tcW w:w="2551" w:type="dxa"/>
          <w:shd w:val="clear" w:color="auto" w:fill="auto"/>
          <w:vAlign w:val="center"/>
        </w:tcPr>
        <w:p w:rsidR="0068020A" w:rsidRDefault="004467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rsidR="0068020A" w:rsidRDefault="00446715">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8020A" w:rsidRDefault="0068020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457B0E"/>
    <w:multiLevelType w:val="multilevel"/>
    <w:tmpl w:val="589A73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4A3B0E05"/>
    <w:multiLevelType w:val="multilevel"/>
    <w:tmpl w:val="1EBA264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C865374"/>
    <w:multiLevelType w:val="multilevel"/>
    <w:tmpl w:val="88E8D2A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5D6E0C79"/>
    <w:multiLevelType w:val="multilevel"/>
    <w:tmpl w:val="7B248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7E0433E1"/>
    <w:multiLevelType w:val="multilevel"/>
    <w:tmpl w:val="F77E52B0"/>
    <w:lvl w:ilvl="0">
      <w:start w:val="1"/>
      <w:numFmt w:val="lowerLetter"/>
      <w:pStyle w:val="Listaconvietas3"/>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20A"/>
    <w:rsid w:val="001C5012"/>
    <w:rsid w:val="00446715"/>
    <w:rsid w:val="0068020A"/>
    <w:rsid w:val="008A0477"/>
    <w:rsid w:val="008C662A"/>
    <w:rsid w:val="009C15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044CF6-2FCD-4984-B763-3A8571EC9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29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d40s6ztJQeUi2Rm7yyxXnf0IA==">CgMxLjAyCGguZ2pkZ3hzMgloLjMwajB6bGwyCWguMnM4ZXlvMTIIaC50eWpjd3QyCWguM3JkY3JqbjIJaC4xZm9iOXRlMgloLjN6bnlzaDcyCWguM3pueXNoNzgAciExNDNfdGZjWEFpX3Q1SFVSeVlwV09CZGtkazF3TEpybFc=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9276</Words>
  <Characters>51019</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2023-06-23T17:36:00Z</cp:lastPrinted>
  <dcterms:created xsi:type="dcterms:W3CDTF">2023-06-28T23:31:00Z</dcterms:created>
  <dcterms:modified xsi:type="dcterms:W3CDTF">2023-06-28T23:31:00Z</dcterms:modified>
</cp:coreProperties>
</file>