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veintiuno de junio de dos mil veintitrés. </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b/>
        </w:rPr>
        <w:t>VISTO</w:t>
      </w:r>
      <w:r w:rsidRPr="00987EA2">
        <w:rPr>
          <w:rFonts w:ascii="Palatino Linotype" w:eastAsia="Palatino Linotype" w:hAnsi="Palatino Linotype" w:cs="Palatino Linotype"/>
        </w:rPr>
        <w:t xml:space="preserve"> el expediente formado con motivo del recurso de revisión </w:t>
      </w:r>
      <w:r w:rsidRPr="00987EA2">
        <w:rPr>
          <w:rFonts w:ascii="Palatino Linotype" w:eastAsia="Palatino Linotype" w:hAnsi="Palatino Linotype" w:cs="Palatino Linotype"/>
          <w:b/>
        </w:rPr>
        <w:t>15524/INFOEM/IP/RR/2022</w:t>
      </w:r>
      <w:r w:rsidRPr="00987EA2">
        <w:rPr>
          <w:rFonts w:ascii="Palatino Linotype" w:eastAsia="Palatino Linotype" w:hAnsi="Palatino Linotype" w:cs="Palatino Linotype"/>
        </w:rPr>
        <w:t xml:space="preserve">, interpuesto por quien dijo ser </w:t>
      </w:r>
      <w:r w:rsidR="00FB2AD2">
        <w:rPr>
          <w:rFonts w:ascii="Palatino Linotype" w:eastAsia="Palatino Linotype" w:hAnsi="Palatino Linotype" w:cs="Palatino Linotype"/>
          <w:b/>
        </w:rPr>
        <w:t>XXXXXXX XXXXXXXXXXXX</w:t>
      </w:r>
      <w:r w:rsidRPr="00987EA2">
        <w:rPr>
          <w:rFonts w:ascii="Palatino Linotype" w:eastAsia="Palatino Linotype" w:hAnsi="Palatino Linotype" w:cs="Palatino Linotype"/>
          <w:b/>
        </w:rPr>
        <w:t xml:space="preserve">, </w:t>
      </w:r>
      <w:r w:rsidRPr="00987EA2">
        <w:rPr>
          <w:rFonts w:ascii="Palatino Linotype" w:eastAsia="Palatino Linotype" w:hAnsi="Palatino Linotype" w:cs="Palatino Linotype"/>
        </w:rPr>
        <w:t>a quien en lo sucesivo se le referirá como</w:t>
      </w:r>
      <w:r w:rsidRPr="00987EA2">
        <w:rPr>
          <w:rFonts w:ascii="Palatino Linotype" w:eastAsia="Palatino Linotype" w:hAnsi="Palatino Linotype" w:cs="Palatino Linotype"/>
          <w:b/>
        </w:rPr>
        <w:t xml:space="preserve"> LA PARTE RECURRENTE,</w:t>
      </w:r>
      <w:r w:rsidRPr="00987EA2">
        <w:rPr>
          <w:rFonts w:ascii="Palatino Linotype" w:eastAsia="Palatino Linotype" w:hAnsi="Palatino Linotype" w:cs="Palatino Linotype"/>
        </w:rPr>
        <w:t xml:space="preserve"> en contra de la respuesta a su solicitud de folio </w:t>
      </w:r>
      <w:r w:rsidRPr="00987EA2">
        <w:rPr>
          <w:rFonts w:ascii="Palatino Linotype" w:eastAsia="Palatino Linotype" w:hAnsi="Palatino Linotype" w:cs="Palatino Linotype"/>
          <w:b/>
        </w:rPr>
        <w:t>00782/CUAUTIZC/IP/2022,</w:t>
      </w:r>
      <w:r w:rsidRPr="00987EA2">
        <w:rPr>
          <w:rFonts w:ascii="Palatino Linotype" w:eastAsia="Palatino Linotype" w:hAnsi="Palatino Linotype" w:cs="Palatino Linotype"/>
        </w:rPr>
        <w:t xml:space="preserve"> por parte del </w:t>
      </w:r>
      <w:r w:rsidRPr="00987EA2">
        <w:rPr>
          <w:rFonts w:ascii="Palatino Linotype" w:eastAsia="Palatino Linotype" w:hAnsi="Palatino Linotype" w:cs="Palatino Linotype"/>
          <w:b/>
        </w:rPr>
        <w:t xml:space="preserve">Ayuntamiento de Cuautitlán Izcalli, </w:t>
      </w:r>
      <w:r w:rsidRPr="00987EA2">
        <w:rPr>
          <w:rFonts w:ascii="Palatino Linotype" w:eastAsia="Palatino Linotype" w:hAnsi="Palatino Linotype" w:cs="Palatino Linotype"/>
        </w:rPr>
        <w:t xml:space="preserve">que en lo subsecuente se le denominará como </w:t>
      </w:r>
      <w:r w:rsidRPr="00987EA2">
        <w:rPr>
          <w:rFonts w:ascii="Palatino Linotype" w:eastAsia="Palatino Linotype" w:hAnsi="Palatino Linotype" w:cs="Palatino Linotype"/>
          <w:b/>
        </w:rPr>
        <w:t xml:space="preserve">EL SUJETO OBLIGADO, </w:t>
      </w:r>
      <w:r w:rsidRPr="00987EA2">
        <w:rPr>
          <w:rFonts w:ascii="Palatino Linotype" w:eastAsia="Palatino Linotype" w:hAnsi="Palatino Linotype" w:cs="Palatino Linotype"/>
        </w:rPr>
        <w:t xml:space="preserve">es que se procede a dictar la presente resolución con base en los siguientes: </w:t>
      </w:r>
    </w:p>
    <w:p w:rsidR="00B41D96" w:rsidRPr="00987EA2" w:rsidRDefault="00F611F2">
      <w:pPr>
        <w:numPr>
          <w:ilvl w:val="0"/>
          <w:numId w:val="9"/>
        </w:numPr>
        <w:pBdr>
          <w:top w:val="nil"/>
          <w:left w:val="nil"/>
          <w:bottom w:val="nil"/>
          <w:right w:val="nil"/>
          <w:between w:val="nil"/>
        </w:pBdr>
        <w:spacing w:line="360" w:lineRule="auto"/>
        <w:jc w:val="center"/>
        <w:rPr>
          <w:rFonts w:ascii="Palatino Linotype" w:eastAsia="Palatino Linotype" w:hAnsi="Palatino Linotype" w:cs="Palatino Linotype"/>
          <w:b/>
        </w:rPr>
      </w:pPr>
      <w:r w:rsidRPr="00987EA2">
        <w:rPr>
          <w:rFonts w:ascii="Palatino Linotype" w:eastAsia="Palatino Linotype" w:hAnsi="Palatino Linotype" w:cs="Palatino Linotype"/>
          <w:b/>
        </w:rPr>
        <w:t>A N T E C E D E N T E S</w:t>
      </w:r>
    </w:p>
    <w:p w:rsidR="00B41D96" w:rsidRPr="00987EA2" w:rsidRDefault="00B41D96">
      <w:pPr>
        <w:pBdr>
          <w:top w:val="nil"/>
          <w:left w:val="nil"/>
          <w:bottom w:val="nil"/>
          <w:right w:val="nil"/>
          <w:between w:val="nil"/>
        </w:pBdr>
        <w:spacing w:line="360" w:lineRule="auto"/>
        <w:ind w:left="360"/>
        <w:rPr>
          <w:rFonts w:ascii="Palatino Linotype" w:eastAsia="Palatino Linotype" w:hAnsi="Palatino Linotype" w:cs="Palatino Linotype"/>
          <w:b/>
        </w:rPr>
      </w:pPr>
    </w:p>
    <w:p w:rsidR="00B41D96" w:rsidRPr="00987EA2" w:rsidRDefault="00F611F2">
      <w:pPr>
        <w:spacing w:line="360" w:lineRule="auto"/>
        <w:jc w:val="both"/>
        <w:rPr>
          <w:rFonts w:ascii="Palatino Linotype" w:eastAsia="Palatino Linotype" w:hAnsi="Palatino Linotype" w:cs="Palatino Linotype"/>
        </w:rPr>
      </w:pPr>
      <w:bookmarkStart w:id="0" w:name="_heading=h.gjdgxs" w:colFirst="0" w:colLast="0"/>
      <w:bookmarkEnd w:id="0"/>
      <w:r w:rsidRPr="00987EA2">
        <w:rPr>
          <w:rFonts w:ascii="Palatino Linotype" w:eastAsia="Palatino Linotype" w:hAnsi="Palatino Linotype" w:cs="Palatino Linotype"/>
          <w:b/>
        </w:rPr>
        <w:t>1. Solicitud de acceso a la información.</w:t>
      </w:r>
      <w:r w:rsidRPr="00987EA2">
        <w:rPr>
          <w:rFonts w:ascii="Palatino Linotype" w:eastAsia="Palatino Linotype" w:hAnsi="Palatino Linotype" w:cs="Palatino Linotype"/>
        </w:rPr>
        <w:t xml:space="preserve"> Con fecha </w:t>
      </w:r>
      <w:r w:rsidRPr="00987EA2">
        <w:rPr>
          <w:rFonts w:ascii="Palatino Linotype" w:eastAsia="Palatino Linotype" w:hAnsi="Palatino Linotype" w:cs="Palatino Linotype"/>
          <w:b/>
        </w:rPr>
        <w:t>diecinueve de agosto de dos mil veintidós,</w:t>
      </w:r>
      <w:r w:rsidRPr="00987EA2">
        <w:rPr>
          <w:rFonts w:ascii="Palatino Linotype" w:eastAsia="Palatino Linotype" w:hAnsi="Palatino Linotype" w:cs="Palatino Linotype"/>
        </w:rPr>
        <w:t xml:space="preserve"> </w:t>
      </w:r>
      <w:r w:rsidRPr="00987EA2">
        <w:rPr>
          <w:rFonts w:ascii="Palatino Linotype" w:eastAsia="Palatino Linotype" w:hAnsi="Palatino Linotype" w:cs="Palatino Linotype"/>
          <w:b/>
        </w:rPr>
        <w:t xml:space="preserve">LA PARTE RECURRENTE </w:t>
      </w:r>
      <w:r w:rsidRPr="00987EA2">
        <w:rPr>
          <w:rFonts w:ascii="Palatino Linotype" w:eastAsia="Palatino Linotype" w:hAnsi="Palatino Linotype" w:cs="Palatino Linotype"/>
        </w:rPr>
        <w:t>presentó, través del Sistema de Acceso a la Información Mexiquense</w:t>
      </w:r>
      <w:r w:rsidRPr="00987EA2">
        <w:rPr>
          <w:rFonts w:ascii="Palatino Linotype" w:eastAsia="Palatino Linotype" w:hAnsi="Palatino Linotype" w:cs="Palatino Linotype"/>
          <w:vertAlign w:val="superscript"/>
        </w:rPr>
        <w:t xml:space="preserve"> </w:t>
      </w:r>
      <w:r w:rsidRPr="00987EA2">
        <w:rPr>
          <w:rFonts w:ascii="Palatino Linotype" w:eastAsia="Palatino Linotype" w:hAnsi="Palatino Linotype" w:cs="Palatino Linotype"/>
        </w:rPr>
        <w:t>(SAIMEX</w:t>
      </w:r>
      <w:r w:rsidRPr="00987EA2">
        <w:rPr>
          <w:rFonts w:ascii="Palatino Linotype" w:eastAsia="Palatino Linotype" w:hAnsi="Palatino Linotype" w:cs="Palatino Linotype"/>
          <w:b/>
        </w:rPr>
        <w:t>),</w:t>
      </w:r>
      <w:r w:rsidRPr="00987EA2">
        <w:rPr>
          <w:rFonts w:ascii="Palatino Linotype" w:eastAsia="Palatino Linotype" w:hAnsi="Palatino Linotype" w:cs="Palatino Linotype"/>
        </w:rPr>
        <w:t xml:space="preserve"> ante </w:t>
      </w:r>
      <w:r w:rsidRPr="00987EA2">
        <w:rPr>
          <w:rFonts w:ascii="Palatino Linotype" w:eastAsia="Palatino Linotype" w:hAnsi="Palatino Linotype" w:cs="Palatino Linotype"/>
          <w:b/>
        </w:rPr>
        <w:t>EL SUJETO OBLIGADO</w:t>
      </w:r>
      <w:r w:rsidRPr="00987EA2">
        <w:rPr>
          <w:rFonts w:ascii="Palatino Linotype" w:eastAsia="Palatino Linotype" w:hAnsi="Palatino Linotype" w:cs="Palatino Linotype"/>
        </w:rPr>
        <w:t xml:space="preserve">, la solicitud de acceso a la información pública </w:t>
      </w:r>
      <w:r w:rsidRPr="00987EA2">
        <w:rPr>
          <w:rFonts w:ascii="Palatino Linotype" w:eastAsia="Palatino Linotype" w:hAnsi="Palatino Linotype" w:cs="Palatino Linotype"/>
          <w:b/>
        </w:rPr>
        <w:t xml:space="preserve">00782/CUAUTIZC/IP/2022, </w:t>
      </w:r>
      <w:r w:rsidRPr="00987EA2">
        <w:rPr>
          <w:rFonts w:ascii="Palatino Linotype" w:eastAsia="Palatino Linotype" w:hAnsi="Palatino Linotype" w:cs="Palatino Linotype"/>
        </w:rPr>
        <w:t xml:space="preserve">mediante la cual requirió la información siguiente: </w:t>
      </w:r>
    </w:p>
    <w:p w:rsidR="00B41D96" w:rsidRPr="00987EA2" w:rsidRDefault="00B41D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 xml:space="preserve">“Solicito se me informe el número total de luminarias para alumbrado público que han sido instaladas entre el 1 de enero de 2022 y el 19 de agosto de 2022, las características de las luminarias instaladas y la distribución por colonia de las luminarias instaladas. Asimismo, se me informe cuántas luminarias han sido adquiridas en el periodo antes citado, el proveedor o los proveedores contratados para tal efecto, el costo unitario de las luminarias, una copia de la o las facturas emitidas por los proveedores por dichas adquisiciones, así como el monto erogado </w:t>
      </w:r>
      <w:r w:rsidRPr="00987EA2">
        <w:rPr>
          <w:rFonts w:ascii="Palatino Linotype" w:eastAsia="Palatino Linotype" w:hAnsi="Palatino Linotype" w:cs="Palatino Linotype"/>
          <w:i/>
          <w:sz w:val="22"/>
          <w:szCs w:val="22"/>
        </w:rPr>
        <w:lastRenderedPageBreak/>
        <w:t>por este concepto por parte de esta administración municipal, la procedencia de los recursos y su respectiva partida presupuestal.” (Sic)</w:t>
      </w:r>
    </w:p>
    <w:p w:rsidR="00B41D96" w:rsidRPr="00987EA2" w:rsidRDefault="00B41D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b/>
        </w:rPr>
        <w:t>Modalidad de Entrega:</w:t>
      </w:r>
      <w:r w:rsidRPr="00987EA2">
        <w:rPr>
          <w:rFonts w:ascii="Palatino Linotype" w:eastAsia="Palatino Linotype" w:hAnsi="Palatino Linotype" w:cs="Palatino Linotype"/>
        </w:rPr>
        <w:t xml:space="preserve"> A través de SAIMEX.</w:t>
      </w:r>
    </w:p>
    <w:p w:rsidR="00B41D96" w:rsidRPr="00987EA2" w:rsidRDefault="00B41D96">
      <w:pPr>
        <w:spacing w:line="360" w:lineRule="auto"/>
        <w:jc w:val="both"/>
        <w:rPr>
          <w:rFonts w:ascii="Palatino Linotype" w:eastAsia="Palatino Linotype" w:hAnsi="Palatino Linotype" w:cs="Palatino Linotype"/>
          <w:b/>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b/>
        </w:rPr>
        <w:t xml:space="preserve">2. Prórroga. </w:t>
      </w:r>
      <w:r w:rsidRPr="00987EA2">
        <w:rPr>
          <w:rFonts w:ascii="Palatino Linotype" w:eastAsia="Palatino Linotype" w:hAnsi="Palatino Linotype" w:cs="Palatino Linotype"/>
        </w:rPr>
        <w:t xml:space="preserve">Con fecha </w:t>
      </w:r>
      <w:r w:rsidRPr="00987EA2">
        <w:rPr>
          <w:rFonts w:ascii="Palatino Linotype" w:eastAsia="Palatino Linotype" w:hAnsi="Palatino Linotype" w:cs="Palatino Linotype"/>
          <w:b/>
        </w:rPr>
        <w:t xml:space="preserve">siete de septiembre de dos mil veintidós, </w:t>
      </w:r>
      <w:r w:rsidRPr="00987EA2">
        <w:rPr>
          <w:rFonts w:ascii="Palatino Linotype" w:eastAsia="Palatino Linotype" w:hAnsi="Palatino Linotype" w:cs="Palatino Linotype"/>
        </w:rPr>
        <w:t xml:space="preserve">se le notificó a la entonces persona solicitante la resolución del Comité de Transparencia del Ayuntamiento de Cuautitlán Izcalli de fecha treinta y uno de agosto de dos mil veintidós, mediante la cual se aprobó la ampliación del plazo legal para dar respuesta al requerimiento por siete días hábiles más. </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b/>
        </w:rPr>
        <w:t xml:space="preserve">3. Respuesta. </w:t>
      </w:r>
      <w:r w:rsidRPr="00987EA2">
        <w:rPr>
          <w:rFonts w:ascii="Palatino Linotype" w:eastAsia="Palatino Linotype" w:hAnsi="Palatino Linotype" w:cs="Palatino Linotype"/>
        </w:rPr>
        <w:t>Con fecha</w:t>
      </w:r>
      <w:r w:rsidRPr="00987EA2">
        <w:rPr>
          <w:rFonts w:ascii="Palatino Linotype" w:eastAsia="Palatino Linotype" w:hAnsi="Palatino Linotype" w:cs="Palatino Linotype"/>
          <w:b/>
        </w:rPr>
        <w:t xml:space="preserve"> veintiuno de septiembre de dos mil veintidós</w:t>
      </w:r>
      <w:r w:rsidRPr="00987EA2">
        <w:rPr>
          <w:rFonts w:ascii="Palatino Linotype" w:eastAsia="Palatino Linotype" w:hAnsi="Palatino Linotype" w:cs="Palatino Linotype"/>
        </w:rPr>
        <w:t xml:space="preserve">, </w:t>
      </w:r>
      <w:r w:rsidRPr="00987EA2">
        <w:rPr>
          <w:rFonts w:ascii="Palatino Linotype" w:eastAsia="Palatino Linotype" w:hAnsi="Palatino Linotype" w:cs="Palatino Linotype"/>
          <w:b/>
        </w:rPr>
        <w:t xml:space="preserve">EL SUJETO OBLIGADO </w:t>
      </w:r>
      <w:r w:rsidRPr="00987EA2">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B41D96" w:rsidRPr="00987EA2" w:rsidRDefault="00B41D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“Cuautitlán Izcalli, México a 21 de Septiembre de 2022</w:t>
      </w:r>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 xml:space="preserve">Nombre del solicitante: C. </w:t>
      </w:r>
      <w:r w:rsidR="00FB2AD2">
        <w:rPr>
          <w:rFonts w:ascii="Palatino Linotype" w:eastAsia="Palatino Linotype" w:hAnsi="Palatino Linotype" w:cs="Palatino Linotype"/>
          <w:i/>
          <w:sz w:val="22"/>
          <w:szCs w:val="22"/>
        </w:rPr>
        <w:t>XXXXXXXXXXX</w:t>
      </w:r>
      <w:bookmarkStart w:id="1" w:name="_GoBack"/>
      <w:bookmarkEnd w:id="1"/>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Folio de la solicitud: 00782/CUAUTIZC/IP/2022</w:t>
      </w:r>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LE RESPONDEN CADA UNA DE LAS SIGUIENTES UNIDADES ADMINISTRATIVAS QUE INTEGRAN ESTE SUJETO OBLIGADO: (1) DIRECCIÓN DE </w:t>
      </w:r>
      <w:r w:rsidRPr="00987EA2">
        <w:rPr>
          <w:rFonts w:ascii="Palatino Linotype" w:eastAsia="Palatino Linotype" w:hAnsi="Palatino Linotype" w:cs="Palatino Linotype"/>
          <w:i/>
          <w:sz w:val="22"/>
          <w:szCs w:val="22"/>
        </w:rPr>
        <w:lastRenderedPageBreak/>
        <w:t xml:space="preserve">ADMINISTRACIÓN Y (2) TESORERÍA MUNICIPAL: 1.- “5° de la Constitución Política del Estado Libre y Soberano de México; 12, 23 fracción IV, 24 fracción XI, 25 y 52 de la Ley de Transparencia y Acceso a la Información Pública del Estado de México y Municipios; y en relación a su solicitud de información con folio 00782/CUAUTIZC/IP/2022, turnada a través del Sistema de Acceso a la Información Mexiquense, en la que se solicitó: “Solicito se me informe el número total de luminarias para alumbrado público que han sido instaladas entre el 1 de enero de 2022 y el 19 de agosto de 2022, las características de las luminarias instaladas y la distribución por colonia de las luminarias instaladas. Asimismo, se me informe cuántas luminarias han sido adquiridas en el periodo antes citado, el proveedor o los proveedores contratados para tal efecto, el costo unitario de las luminarias, una copia de la o las facturas emitidas por los proveedores por dichas adquisiciones, así como el monto erogado por este concepto por parte de esta administración municipal, la procedencia de los recursos y su respectiva partida presupuestal.” (SIC). Al respecto dentro de las atribuciones del ámbito de competencia de esta Dirección de Administración, me permito adjuntar copia simple del oficio DA/SRM/JA/0371/2022, suscrito por la persona titular del Departamento de Adquisiciones, mediante el cual informa siguiente: Que después de realizar la revisión, verificación física y electrónica de la información y soporte documental que obra en sus archivos, no se cuenta con registro alguno de solicitud, ni se ha generado, poseído o administrado documento alguno relacionado con la adquisición de luminarias que pudiera atender los siguientes puntos requeridos en la solicitud en comento: Cuantas luminarias han sido adquiridas en el periodo 01 de enero 2022 y el 19 de agosto del 2022. El proveedor o los proveedores contratados para tal efecto. El costo unitario de las luminarias. Una copia de la o las facturas emitidas por los proveedores por dichas adquisiciones Por lo antes expuesto el Departamento de Adquisiciones se encuentra material y jurídicamente imposibilitado en proporcionar información al respecto. Por lo que, al no haber generado información relativa a lo solicitado, se advierte que no cabe el supuesto para justificar y comprobar una búsqueda minuciosa de la localización de la información solicitada, ya que, al no tener registro de la misma, es decir, que no se generó ningún tipo de documento relativo a lo solicitado por el ciudadano, no hay manera de realizar búsquedas que conduzcan a emitir una inexistencia de la información. Al efecto, sirve como sustento para robustecer lo aseverado en párrafo que antecede, el Criterio 0003-11 emitido por el Pleno del INFOEM, con rubro Inexistencia, Concepto de, en Materia de Transparencia, que señala que la inexistencia de la información en el derecho de acceso a la información pública conlleva necesariamente a los siguientes supuestos: a) La existencia previa de la documentación y la falta </w:t>
      </w:r>
      <w:r w:rsidRPr="00987EA2">
        <w:rPr>
          <w:rFonts w:ascii="Palatino Linotype" w:eastAsia="Palatino Linotype" w:hAnsi="Palatino Linotype" w:cs="Palatino Linotype"/>
          <w:i/>
          <w:sz w:val="22"/>
          <w:szCs w:val="22"/>
        </w:rPr>
        <w:lastRenderedPageBreak/>
        <w:t xml:space="preserve">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De lo anterior se colige que para justificar y comprobar que se hizo una búsqueda minuciosa para la localización de la información o en su defecto informar cuáles fueron las medidas que se tomaron por la posible “sustracción, destrucción o desaparición” de la documental referida, se tuvo que haber probado la existencia previa de la documentación y la falta posterior de la misma en los archivos del Sujeto Obligado, esto es, que la información se haya generado, poseído o administrado, cuestión que en el caso en particular no se actualizó, en virtud de que no se tiene registro de la información solicitada, es decir, que en ningún momento se generó, poseyó o administró la información que enuncia el peticionario. Por lo que este Sujeto Obligado no tiene la obligación de realizar una búsqueda minuciosa, ya que nunca se tuvo registro de la generación de información relativa al tema solicitado, y, por ende, no hay información que buscar. Continuando, conforme al inciso b del Criterio analizado se advierte que: b) En los casos en que por las atribuciones conferidas al Sujeto Obligado éste debió generar, administrar o poseer la información, pero en incumplimiento a la normatividad respectiva no llevó a cabo ninguna de esas acciones. Es así que nunca se tuvo registro, no se generó, administró o poseyó la información, por lo que este Sujeto Obligado no cuenta con la obligación de haber realizado manifestación respecto de documentales que jamás se generaron. Lo anterior se robustece con el diverso Criterio 07/2017 de la Segunda Época con rubro Casos en los que no es necesario que el Comité de Transparencia confirme formalmente la inexistencia de la información, emitido por el Pleno del Instituto de Transparencia, Acceso a la Información Pública y Protección de Datos Personales del Estado de México y Municipios, que a la letra enuncia: …no se tengan elementos de convicción que permitan suponer que ésta debe obrar en sus archivos, no será necesario que el Comité de Transparencia emita una resolución que confirme la inexistencia de la información. Así pues, de los archivos que obran en el Departamento de Adquisiciones, se desprende que, de la revisión, verificación física y electrónica de la información y soporte documental que se encuentra bajo su resguardo, no se encontró la generación de archivo y/o documento alguno relacionado a lo solicitado. Lo que permite afirmar la premisa asentada en el Criterio en cita, en el sentido de que efectivamente no se cuentan con elementos de convicción que permitan suponer que la información solicitada deba obrar en los archivos de esta Dependencia, toda vez que nunca fueron generados, poseídos o administrados documentos o constancias relacionadas con </w:t>
      </w:r>
      <w:r w:rsidRPr="00987EA2">
        <w:rPr>
          <w:rFonts w:ascii="Palatino Linotype" w:eastAsia="Palatino Linotype" w:hAnsi="Palatino Linotype" w:cs="Palatino Linotype"/>
          <w:i/>
          <w:sz w:val="22"/>
          <w:szCs w:val="22"/>
        </w:rPr>
        <w:lastRenderedPageBreak/>
        <w:t xml:space="preserve">el tema en cuestión, motivo por el cual esta dependencia se encuentra material y jurídicamente imposibilitado para emitir pronunciamiento al respecto.” SIC 2.- “Reciba un cordial saludo de quien suscribe, por este medio, en atención a la solicitud de información con número de folio 782/CUAUTIZC/IP/2022, recibida a través de la plataforma SAIMEX, que a la letra se transcribe: .“Solicito se me informe el número total de luminarias para alumbrado público que han sido instaladas entre el 1 de enero de 2022 y el 19 de agosto de 2022, las características de las luminarias instaladas y la distribución por colonia de las luminarias instaladas. Asimismo, se me informe cuántas luminarias han sido adquiridas en el periodo antes citado, el proveedor o los proveedores contratados para tal efecto, el costo unitario de las luminarias, una copia de la o las facturas emitidas por los proveedores por dichas adquisiciones, así como el monto erogado por este concepto por parte de esta administración municipal, la procedencia de los recursos y su respectiva partida presupuestal.” SIC Sobre el particular, con fundamento en los artículos 11 y 12 segundo párrafo de la Ley de Transparencia y Acceso a la Información Pública del Estado de México y Municipios, de conformidad con las facultades y atribuciones conferidas a esta Tesorería Municipal, hago de su conocimiento que una vez realizada una búsqueda exhaustiva y razonada de la información solicitada en el archivo de esta Tesorería y las áreas que la integran, se encontró que en el periodo referido no se generó información alguna por concepto de adquisición de luminarias; por lo anterior es sustancial señalar que, de conformidad con el criterio de interpretación 07/17 emitido por el Instituto Nacional de Acceso a la Información y Protección de Datos Personales (INAI), no es necesario que el Comité de Transparencia Confirme la inexistencia de dicha información. CRITERIO DE INTERPRETACIÓN INAI 07/17: 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Sin más por el momento, quedo de usted.” SIC De lo anteriormente expuesto y fundado a Usted, en términos de los artículos 11, 41, </w:t>
      </w:r>
      <w:r w:rsidRPr="00987EA2">
        <w:rPr>
          <w:rFonts w:ascii="Palatino Linotype" w:eastAsia="Palatino Linotype" w:hAnsi="Palatino Linotype" w:cs="Palatino Linotype"/>
          <w:i/>
          <w:sz w:val="22"/>
          <w:szCs w:val="22"/>
        </w:rPr>
        <w:lastRenderedPageBreak/>
        <w:t>46 y demás aplicables de la Ley de Transparencia y Acceso a la Información Pública del Estado de México y Municipios, a Usted pido se sirva tener a esta Coordinación de Transparencia por notificada en tiempo y forma la contestación a su solicitud de acceso a la información para los efectos legales correspondientes, a través del sistema denominado SAIMEX.</w:t>
      </w:r>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ATENTAMENTE</w:t>
      </w:r>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 xml:space="preserve">MTRA. MARÍA ISABEL CISNEROS MÁRQUEZ” (Sic) </w:t>
      </w:r>
    </w:p>
    <w:p w:rsidR="00B41D96" w:rsidRPr="00987EA2" w:rsidRDefault="00B41D96"/>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Además, adjuntó dos archivos denominados </w:t>
      </w:r>
      <w:r w:rsidRPr="00987EA2">
        <w:rPr>
          <w:rFonts w:ascii="Palatino Linotype" w:eastAsia="Palatino Linotype" w:hAnsi="Palatino Linotype" w:cs="Palatino Linotype"/>
          <w:i/>
        </w:rPr>
        <w:t>782.pdf</w:t>
      </w:r>
      <w:r w:rsidRPr="00987EA2">
        <w:rPr>
          <w:rFonts w:ascii="Palatino Linotype" w:eastAsia="Palatino Linotype" w:hAnsi="Palatino Linotype" w:cs="Palatino Linotype"/>
        </w:rPr>
        <w:t xml:space="preserve"> los cuales si bien comparten el nombre, pero no contenido, en consecuencia se describirán en el orden de prelación en el que aparecen en el SAIMEX. </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rPr>
      </w:pPr>
      <w:r w:rsidRPr="00987EA2">
        <w:rPr>
          <w:rFonts w:ascii="Palatino Linotype" w:eastAsia="Palatino Linotype" w:hAnsi="Palatino Linotype" w:cs="Palatino Linotype"/>
          <w:b/>
        </w:rPr>
        <w:t>782.pdf</w:t>
      </w: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Contiene el oficio </w:t>
      </w:r>
      <w:r w:rsidRPr="00987EA2">
        <w:rPr>
          <w:rFonts w:ascii="Palatino Linotype" w:eastAsia="Palatino Linotype" w:hAnsi="Palatino Linotype" w:cs="Palatino Linotype"/>
          <w:i/>
        </w:rPr>
        <w:t>DA/6368/2022</w:t>
      </w:r>
      <w:r w:rsidRPr="00987EA2">
        <w:rPr>
          <w:rFonts w:ascii="Palatino Linotype" w:eastAsia="Palatino Linotype" w:hAnsi="Palatino Linotype" w:cs="Palatino Linotype"/>
        </w:rPr>
        <w:t xml:space="preserve"> de fecha diecinueve de septiembre de dos mil veintidós, signado por la Dirección de Administración y que informa que el Departamento de Adquisiciones dependiente de esa Unidad Administrativa hizo de su conocimiento mediante el oficio </w:t>
      </w:r>
      <w:r w:rsidRPr="00987EA2">
        <w:rPr>
          <w:rFonts w:ascii="Palatino Linotype" w:eastAsia="Palatino Linotype" w:hAnsi="Palatino Linotype" w:cs="Palatino Linotype"/>
          <w:i/>
        </w:rPr>
        <w:t xml:space="preserve">DA/SRM/JA/0371/2022 </w:t>
      </w:r>
      <w:r w:rsidRPr="00987EA2">
        <w:rPr>
          <w:rFonts w:ascii="Palatino Linotype" w:eastAsia="Palatino Linotype" w:hAnsi="Palatino Linotype" w:cs="Palatino Linotype"/>
        </w:rPr>
        <w:t xml:space="preserve">que luego de realizar una revisión no se encontró documento alguno que contenga la información solicitada por la entonces parte solicitante. </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rPr>
      </w:pPr>
      <w:r w:rsidRPr="00987EA2">
        <w:rPr>
          <w:rFonts w:ascii="Palatino Linotype" w:eastAsia="Palatino Linotype" w:hAnsi="Palatino Linotype" w:cs="Palatino Linotype"/>
          <w:b/>
        </w:rPr>
        <w:t>782.pdf</w:t>
      </w:r>
    </w:p>
    <w:p w:rsidR="00B41D96" w:rsidRPr="00987EA2" w:rsidRDefault="00F611F2">
      <w:pPr>
        <w:spacing w:line="360" w:lineRule="auto"/>
        <w:jc w:val="both"/>
        <w:rPr>
          <w:rFonts w:ascii="Palatino Linotype" w:eastAsia="Palatino Linotype" w:hAnsi="Palatino Linotype" w:cs="Palatino Linotype"/>
          <w:i/>
        </w:rPr>
      </w:pPr>
      <w:r w:rsidRPr="00987EA2">
        <w:rPr>
          <w:rFonts w:ascii="Palatino Linotype" w:eastAsia="Palatino Linotype" w:hAnsi="Palatino Linotype" w:cs="Palatino Linotype"/>
        </w:rPr>
        <w:t xml:space="preserve">Contiene el oficio </w:t>
      </w:r>
      <w:r w:rsidRPr="00987EA2">
        <w:rPr>
          <w:rFonts w:ascii="Palatino Linotype" w:eastAsia="Palatino Linotype" w:hAnsi="Palatino Linotype" w:cs="Palatino Linotype"/>
          <w:i/>
        </w:rPr>
        <w:t xml:space="preserve">TM/3308/2022 </w:t>
      </w:r>
      <w:r w:rsidRPr="00987EA2">
        <w:rPr>
          <w:rFonts w:ascii="Palatino Linotype" w:eastAsia="Palatino Linotype" w:hAnsi="Palatino Linotype" w:cs="Palatino Linotype"/>
        </w:rPr>
        <w:t xml:space="preserve">de fecha veinte de septiembre de dos mil veintidós y el cual refiere que por parte de la Tesorería Municipal del Ayuntamiento de Cuautitlán Izcalli </w:t>
      </w:r>
      <w:r w:rsidRPr="00987EA2">
        <w:rPr>
          <w:rFonts w:ascii="Palatino Linotype" w:eastAsia="Palatino Linotype" w:hAnsi="Palatino Linotype" w:cs="Palatino Linotype"/>
          <w:i/>
        </w:rPr>
        <w:t>“… no se generó información alguna por concepto de luminarias, …” (Sic).</w:t>
      </w:r>
    </w:p>
    <w:p w:rsidR="00B41D96" w:rsidRPr="00987EA2" w:rsidRDefault="00B41D96">
      <w:pPr>
        <w:spacing w:line="360" w:lineRule="auto"/>
        <w:ind w:right="49"/>
        <w:jc w:val="both"/>
        <w:rPr>
          <w:rFonts w:ascii="Palatino Linotype" w:eastAsia="Palatino Linotype" w:hAnsi="Palatino Linotype" w:cs="Palatino Linotype"/>
          <w:b/>
        </w:rPr>
      </w:pPr>
    </w:p>
    <w:p w:rsidR="00B41D96" w:rsidRPr="00987EA2" w:rsidRDefault="00F611F2">
      <w:pPr>
        <w:spacing w:line="360" w:lineRule="auto"/>
        <w:ind w:right="49"/>
        <w:jc w:val="both"/>
        <w:rPr>
          <w:rFonts w:ascii="Palatino Linotype" w:eastAsia="Palatino Linotype" w:hAnsi="Palatino Linotype" w:cs="Palatino Linotype"/>
          <w:b/>
        </w:rPr>
      </w:pPr>
      <w:r w:rsidRPr="00987EA2">
        <w:rPr>
          <w:rFonts w:ascii="Palatino Linotype" w:eastAsia="Palatino Linotype" w:hAnsi="Palatino Linotype" w:cs="Palatino Linotype"/>
          <w:b/>
        </w:rPr>
        <w:lastRenderedPageBreak/>
        <w:t xml:space="preserve">4. Interposición del recurso de revisión. </w:t>
      </w:r>
      <w:r w:rsidRPr="00987EA2">
        <w:rPr>
          <w:rFonts w:ascii="Palatino Linotype" w:eastAsia="Palatino Linotype" w:hAnsi="Palatino Linotype" w:cs="Palatino Linotype"/>
        </w:rPr>
        <w:t xml:space="preserve">Inconforme con los términos de la respuesta emitida por parte del </w:t>
      </w:r>
      <w:r w:rsidRPr="00987EA2">
        <w:rPr>
          <w:rFonts w:ascii="Palatino Linotype" w:eastAsia="Palatino Linotype" w:hAnsi="Palatino Linotype" w:cs="Palatino Linotype"/>
          <w:b/>
        </w:rPr>
        <w:t>SUJETO OBLIGADO</w:t>
      </w:r>
      <w:r w:rsidRPr="00987EA2">
        <w:rPr>
          <w:rFonts w:ascii="Palatino Linotype" w:eastAsia="Palatino Linotype" w:hAnsi="Palatino Linotype" w:cs="Palatino Linotype"/>
        </w:rPr>
        <w:t xml:space="preserve">, el </w:t>
      </w:r>
      <w:r w:rsidRPr="00987EA2">
        <w:rPr>
          <w:rFonts w:ascii="Palatino Linotype" w:eastAsia="Palatino Linotype" w:hAnsi="Palatino Linotype" w:cs="Palatino Linotype"/>
          <w:b/>
        </w:rPr>
        <w:t>once de octubre de dos mil veintidós,</w:t>
      </w:r>
      <w:r w:rsidRPr="00987EA2">
        <w:rPr>
          <w:rFonts w:ascii="Palatino Linotype" w:eastAsia="Palatino Linotype" w:hAnsi="Palatino Linotype" w:cs="Palatino Linotype"/>
        </w:rPr>
        <w:t xml:space="preserve"> </w:t>
      </w:r>
      <w:r w:rsidRPr="00987EA2">
        <w:rPr>
          <w:rFonts w:ascii="Palatino Linotype" w:eastAsia="Palatino Linotype" w:hAnsi="Palatino Linotype" w:cs="Palatino Linotype"/>
          <w:b/>
        </w:rPr>
        <w:t>LA PARTE RECURRENTE</w:t>
      </w:r>
      <w:r w:rsidRPr="00987EA2">
        <w:rPr>
          <w:rFonts w:ascii="Palatino Linotype" w:eastAsia="Palatino Linotype" w:hAnsi="Palatino Linotype" w:cs="Palatino Linotype"/>
        </w:rPr>
        <w:t xml:space="preserve"> interpuso el recurso de revisión a través de SAIMEX</w:t>
      </w:r>
      <w:r w:rsidRPr="00987EA2">
        <w:rPr>
          <w:rFonts w:ascii="Palatino Linotype" w:eastAsia="Palatino Linotype" w:hAnsi="Palatino Linotype" w:cs="Palatino Linotype"/>
          <w:b/>
        </w:rPr>
        <w:t xml:space="preserve">, </w:t>
      </w:r>
      <w:r w:rsidRPr="00987EA2">
        <w:rPr>
          <w:rFonts w:ascii="Palatino Linotype" w:eastAsia="Palatino Linotype" w:hAnsi="Palatino Linotype" w:cs="Palatino Linotype"/>
        </w:rPr>
        <w:t>en donde se manifestó de la siguiente manera:</w:t>
      </w:r>
    </w:p>
    <w:p w:rsidR="00B41D96" w:rsidRPr="00987EA2" w:rsidRDefault="00B41D96">
      <w:pPr>
        <w:tabs>
          <w:tab w:val="left" w:pos="2745"/>
        </w:tabs>
        <w:spacing w:line="360" w:lineRule="auto"/>
        <w:jc w:val="both"/>
        <w:rPr>
          <w:rFonts w:ascii="Palatino Linotype" w:eastAsia="Palatino Linotype" w:hAnsi="Palatino Linotype" w:cs="Palatino Linotype"/>
          <w:b/>
        </w:rPr>
      </w:pPr>
    </w:p>
    <w:p w:rsidR="00B41D96" w:rsidRPr="00987EA2" w:rsidRDefault="00F611F2">
      <w:pPr>
        <w:tabs>
          <w:tab w:val="left" w:pos="2745"/>
        </w:tabs>
        <w:spacing w:line="360" w:lineRule="auto"/>
        <w:jc w:val="both"/>
        <w:rPr>
          <w:rFonts w:ascii="Palatino Linotype" w:eastAsia="Palatino Linotype" w:hAnsi="Palatino Linotype" w:cs="Palatino Linotype"/>
          <w:b/>
        </w:rPr>
      </w:pPr>
      <w:r w:rsidRPr="00987EA2">
        <w:rPr>
          <w:rFonts w:ascii="Palatino Linotype" w:eastAsia="Palatino Linotype" w:hAnsi="Palatino Linotype" w:cs="Palatino Linotype"/>
          <w:b/>
        </w:rPr>
        <w:t xml:space="preserve">Acto impugnado: </w:t>
      </w:r>
    </w:p>
    <w:p w:rsidR="00B41D96" w:rsidRPr="00987EA2" w:rsidRDefault="00B41D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“La Unidad de Transparencia da una respuesta parcial y errónea que no satisface la solicitud de mérito, al no entregar ninguna información al respecto.” (Sic)</w:t>
      </w:r>
    </w:p>
    <w:p w:rsidR="00B41D96" w:rsidRPr="00987EA2" w:rsidRDefault="00B41D96">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rsidR="00B41D96" w:rsidRPr="00987EA2" w:rsidRDefault="00F611F2">
      <w:pPr>
        <w:spacing w:line="360" w:lineRule="auto"/>
        <w:jc w:val="both"/>
        <w:rPr>
          <w:rFonts w:ascii="Palatino Linotype" w:eastAsia="Palatino Linotype" w:hAnsi="Palatino Linotype" w:cs="Palatino Linotype"/>
        </w:rPr>
      </w:pPr>
      <w:bookmarkStart w:id="2" w:name="_heading=h.30j0zll" w:colFirst="0" w:colLast="0"/>
      <w:bookmarkEnd w:id="2"/>
      <w:r w:rsidRPr="00987EA2">
        <w:rPr>
          <w:rFonts w:ascii="Palatino Linotype" w:eastAsia="Palatino Linotype" w:hAnsi="Palatino Linotype" w:cs="Palatino Linotype"/>
          <w:b/>
        </w:rPr>
        <w:t>Y razones o motivos de inconformidad</w:t>
      </w:r>
      <w:r w:rsidRPr="00987EA2">
        <w:rPr>
          <w:rFonts w:ascii="Palatino Linotype" w:eastAsia="Palatino Linotype" w:hAnsi="Palatino Linotype" w:cs="Palatino Linotype"/>
        </w:rPr>
        <w:t>:</w:t>
      </w:r>
    </w:p>
    <w:p w:rsidR="00B41D96" w:rsidRPr="00987EA2" w:rsidRDefault="00B41D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 xml:space="preserve">“La Unidad de Transparencia da respuesta a la solicitud de referencia con base en los argumentos establecidos en los oficios DA/6368/2022, DA/SRM/JA/0371/2022 y TM/3308/2022. Por lo cual, es menester señalar dos puntos, mismos que dan sustento a este recurso de revisión; PRIMERO.- </w:t>
      </w:r>
      <w:r w:rsidRPr="00987EA2">
        <w:rPr>
          <w:rFonts w:ascii="Palatino Linotype" w:eastAsia="Palatino Linotype" w:hAnsi="Palatino Linotype" w:cs="Palatino Linotype"/>
          <w:b/>
          <w:i/>
          <w:sz w:val="22"/>
          <w:szCs w:val="22"/>
        </w:rPr>
        <w:t>No obra constancia de que la autoridad responsable se haya encargado de derivar al área competente la parte de la solicitud de información que dice;</w:t>
      </w:r>
      <w:r w:rsidRPr="00987EA2">
        <w:rPr>
          <w:rFonts w:ascii="Palatino Linotype" w:eastAsia="Palatino Linotype" w:hAnsi="Palatino Linotype" w:cs="Palatino Linotype"/>
          <w:i/>
          <w:sz w:val="22"/>
          <w:szCs w:val="22"/>
        </w:rPr>
        <w:t xml:space="preserve"> "Solicito se me informe el número total de luminarias para alumbrado público que han sido instaladas entre el 1 de enero de 2022 y el 19 de agosto del 2022, las características de las luminarias instaladas y la distribución por colonia de las luminarias instaladas"(sic) O bien, tampoco obra constancia de actuación alguna donde se establezca que la Unidad de Transparencia haya encontrado la información solicitada sin derivar la solicitud, situación por la cual simplemente y llanamente </w:t>
      </w:r>
      <w:r w:rsidRPr="00987EA2">
        <w:rPr>
          <w:rFonts w:ascii="Palatino Linotype" w:eastAsia="Palatino Linotype" w:hAnsi="Palatino Linotype" w:cs="Palatino Linotype"/>
          <w:b/>
          <w:i/>
          <w:sz w:val="22"/>
          <w:szCs w:val="22"/>
        </w:rPr>
        <w:t>no se responde a esta parte de la solicitud de mérito</w:t>
      </w:r>
      <w:r w:rsidRPr="00987EA2">
        <w:rPr>
          <w:rFonts w:ascii="Palatino Linotype" w:eastAsia="Palatino Linotype" w:hAnsi="Palatino Linotype" w:cs="Palatino Linotype"/>
          <w:i/>
          <w:sz w:val="22"/>
          <w:szCs w:val="22"/>
        </w:rPr>
        <w:t xml:space="preserve">, vulnerandose el derecho colectivo de acceso a la información y la transparencia gubernamental. SEGUNDO.- Ahora bien, respecto a la información brindada por la Titular de la Unidad de Transparencia, en la misma se desprende que </w:t>
      </w:r>
      <w:r w:rsidRPr="00987EA2">
        <w:rPr>
          <w:rFonts w:ascii="Palatino Linotype" w:eastAsia="Palatino Linotype" w:hAnsi="Palatino Linotype" w:cs="Palatino Linotype"/>
          <w:b/>
          <w:i/>
          <w:sz w:val="22"/>
          <w:szCs w:val="22"/>
        </w:rPr>
        <w:t>no se agotó el principio de exhaustividad en la búsqueda de la información,</w:t>
      </w:r>
      <w:r w:rsidRPr="00987EA2">
        <w:rPr>
          <w:rFonts w:ascii="Palatino Linotype" w:eastAsia="Palatino Linotype" w:hAnsi="Palatino Linotype" w:cs="Palatino Linotype"/>
          <w:i/>
          <w:sz w:val="22"/>
          <w:szCs w:val="22"/>
        </w:rPr>
        <w:t xml:space="preserve"> respecto a la parte de la solicitud de información que se transcribe a continuación; "se me informe cuántas luminarias han sido adquiridas en el periodo antes citado, el proveedor o los proveedores contratados para tal efecto, el costo unitario de las luminarias, una copia de la o las facturas emitidas por los proveedores por dichas adquisiciones, así como el monto erogado por este concepto por parte de esta </w:t>
      </w:r>
      <w:r w:rsidRPr="00987EA2">
        <w:rPr>
          <w:rFonts w:ascii="Palatino Linotype" w:eastAsia="Palatino Linotype" w:hAnsi="Palatino Linotype" w:cs="Palatino Linotype"/>
          <w:i/>
          <w:sz w:val="22"/>
          <w:szCs w:val="22"/>
        </w:rPr>
        <w:lastRenderedPageBreak/>
        <w:t xml:space="preserve">administración municipal, la procedencia de los recursos y su respectiva partida presupuestal"(sic) Por lo cual, este recurrente expresa su inconformidad con la respuesta dada por la Titular de la Unidad de Transparencia, la cual se presume errónea y fuera de lugar, ya que la autoridad responsable aduciendo criterios jurídicos para justificar </w:t>
      </w:r>
      <w:r w:rsidRPr="00987EA2">
        <w:rPr>
          <w:rFonts w:ascii="Palatino Linotype" w:eastAsia="Palatino Linotype" w:hAnsi="Palatino Linotype" w:cs="Palatino Linotype"/>
          <w:b/>
          <w:i/>
          <w:sz w:val="22"/>
          <w:szCs w:val="22"/>
        </w:rPr>
        <w:t>la falta de búsqueda de la información solicitada,</w:t>
      </w:r>
      <w:r w:rsidRPr="00987EA2">
        <w:rPr>
          <w:rFonts w:ascii="Palatino Linotype" w:eastAsia="Palatino Linotype" w:hAnsi="Palatino Linotype" w:cs="Palatino Linotype"/>
          <w:i/>
          <w:sz w:val="22"/>
          <w:szCs w:val="22"/>
        </w:rPr>
        <w:t xml:space="preserve"> apoyándose en los argumentos establecidos en los oficios DA/6368/2022, DA/SRM/JA/0371/2022 y TM/3308/2022, sin observar que tales criterios no son aplicables toda vez que el argumento de "no hay información que buscar porque esta no existe", se contrapone a lo difundido a través de la Página Institucional de Facebook del Gobierno Municipal de Cuautitlán Izcalli, publicaciones que pueden consultarse a través de los siguientes links: 1.-https://www.facebook.com/101133868458773/posts/pfbid033vdZhUpFzYmAccdwybGjUdcdZedUUArTpfJb23juNLuUAQ8BjwrjAnb4KBRGTuk8l/ 2.-https://www.facebook.com/101133868458773/posts/pfbid0251D7WqBHP9em5VVhkUBX1NuNhuaxfCY63DXqu7nGsVe2wYyi7EjqC48ZddAdneDAl/ 3.- https://fb.watch/g5n3Gg3Nh8/ Entonces, tomando en cuenta las publicaciones en comento, solicito que se condene a la autoridad responsable a realizar la búsqueda exhaustiva de la información y dar respuesta a este recurrente en los términos de la solicitud realizada y no respondida conforme a la ley.” (Sic)</w:t>
      </w:r>
    </w:p>
    <w:p w:rsidR="00B41D96" w:rsidRPr="00987EA2" w:rsidRDefault="00B41D96">
      <w:pPr>
        <w:pBdr>
          <w:top w:val="nil"/>
          <w:left w:val="nil"/>
          <w:bottom w:val="nil"/>
          <w:right w:val="nil"/>
          <w:between w:val="nil"/>
        </w:pBdr>
        <w:ind w:right="864"/>
        <w:jc w:val="both"/>
        <w:rPr>
          <w:rFonts w:ascii="Palatino Linotype" w:eastAsia="Palatino Linotype" w:hAnsi="Palatino Linotype" w:cs="Palatino Linotype"/>
          <w:b/>
          <w:i/>
          <w:sz w:val="22"/>
          <w:szCs w:val="22"/>
        </w:rPr>
      </w:pPr>
    </w:p>
    <w:p w:rsidR="00B41D96" w:rsidRPr="00987EA2" w:rsidRDefault="00F611F2">
      <w:pPr>
        <w:pBdr>
          <w:top w:val="nil"/>
          <w:left w:val="nil"/>
          <w:bottom w:val="nil"/>
          <w:right w:val="nil"/>
          <w:between w:val="nil"/>
        </w:pBdr>
        <w:spacing w:line="360" w:lineRule="auto"/>
        <w:ind w:right="864"/>
        <w:jc w:val="both"/>
        <w:rPr>
          <w:rFonts w:ascii="Palatino Linotype" w:eastAsia="Palatino Linotype" w:hAnsi="Palatino Linotype" w:cs="Palatino Linotype"/>
        </w:rPr>
      </w:pPr>
      <w:r w:rsidRPr="00987EA2">
        <w:rPr>
          <w:rFonts w:ascii="Palatino Linotype" w:eastAsia="Palatino Linotype" w:hAnsi="Palatino Linotype" w:cs="Palatino Linotype"/>
        </w:rPr>
        <w:t>Ajuntó a su dicho los siguientes archivos:</w:t>
      </w:r>
    </w:p>
    <w:p w:rsidR="00B41D96" w:rsidRPr="00987EA2" w:rsidRDefault="00B41D96">
      <w:pPr>
        <w:pBdr>
          <w:top w:val="nil"/>
          <w:left w:val="nil"/>
          <w:bottom w:val="nil"/>
          <w:right w:val="nil"/>
          <w:between w:val="nil"/>
        </w:pBdr>
        <w:spacing w:line="360" w:lineRule="auto"/>
        <w:ind w:right="864"/>
        <w:jc w:val="both"/>
        <w:rPr>
          <w:rFonts w:ascii="Palatino Linotype" w:eastAsia="Palatino Linotype" w:hAnsi="Palatino Linotype" w:cs="Palatino Linotype"/>
        </w:rPr>
      </w:pPr>
    </w:p>
    <w:p w:rsidR="00B41D96" w:rsidRPr="00987EA2" w:rsidRDefault="00FB2AD2">
      <w:pPr>
        <w:numPr>
          <w:ilvl w:val="0"/>
          <w:numId w:val="5"/>
        </w:numPr>
        <w:spacing w:line="360" w:lineRule="auto"/>
        <w:rPr>
          <w:rFonts w:ascii="Palatino Linotype" w:eastAsia="Palatino Linotype" w:hAnsi="Palatino Linotype" w:cs="Palatino Linotype"/>
          <w:b/>
        </w:rPr>
      </w:pPr>
      <w:hyperlink r:id="rId8">
        <w:r w:rsidR="00F611F2" w:rsidRPr="00987EA2">
          <w:rPr>
            <w:rFonts w:ascii="Palatino Linotype" w:eastAsia="Palatino Linotype" w:hAnsi="Palatino Linotype" w:cs="Palatino Linotype"/>
            <w:b/>
          </w:rPr>
          <w:t>782.pdf</w:t>
        </w:r>
      </w:hyperlink>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Contiene el oficio </w:t>
      </w:r>
      <w:r w:rsidRPr="00987EA2">
        <w:rPr>
          <w:rFonts w:ascii="Palatino Linotype" w:eastAsia="Palatino Linotype" w:hAnsi="Palatino Linotype" w:cs="Palatino Linotype"/>
          <w:i/>
        </w:rPr>
        <w:t>DA/6368/2022</w:t>
      </w:r>
      <w:r w:rsidRPr="00987EA2">
        <w:rPr>
          <w:rFonts w:ascii="Palatino Linotype" w:eastAsia="Palatino Linotype" w:hAnsi="Palatino Linotype" w:cs="Palatino Linotype"/>
        </w:rPr>
        <w:t xml:space="preserve"> de la Dirección de Administración del Ayuntamiento de Cuautitlán Izcalli ya descrito en el Antecedente número tres de esta resolución. </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B2AD2">
      <w:pPr>
        <w:numPr>
          <w:ilvl w:val="0"/>
          <w:numId w:val="5"/>
        </w:numPr>
        <w:spacing w:line="360" w:lineRule="auto"/>
        <w:rPr>
          <w:rFonts w:ascii="Palatino Linotype" w:eastAsia="Palatino Linotype" w:hAnsi="Palatino Linotype" w:cs="Palatino Linotype"/>
          <w:b/>
        </w:rPr>
      </w:pPr>
      <w:hyperlink r:id="rId9">
        <w:r w:rsidR="00F611F2" w:rsidRPr="00987EA2">
          <w:rPr>
            <w:rFonts w:ascii="Palatino Linotype" w:eastAsia="Palatino Linotype" w:hAnsi="Palatino Linotype" w:cs="Palatino Linotype"/>
            <w:b/>
          </w:rPr>
          <w:t>IMG-20221011-WA0136.jpg</w:t>
        </w:r>
      </w:hyperlink>
    </w:p>
    <w:p w:rsidR="00B41D96" w:rsidRPr="00987EA2" w:rsidRDefault="00F611F2">
      <w:pPr>
        <w:spacing w:line="360" w:lineRule="auto"/>
        <w:jc w:val="center"/>
        <w:rPr>
          <w:rFonts w:ascii="Palatino Linotype" w:eastAsia="Palatino Linotype" w:hAnsi="Palatino Linotype" w:cs="Palatino Linotype"/>
          <w:b/>
        </w:rPr>
      </w:pPr>
      <w:r w:rsidRPr="00987EA2">
        <w:rPr>
          <w:rFonts w:ascii="Palatino Linotype" w:eastAsia="Palatino Linotype" w:hAnsi="Palatino Linotype" w:cs="Palatino Linotype"/>
          <w:b/>
          <w:noProof/>
        </w:rPr>
        <w:lastRenderedPageBreak/>
        <w:drawing>
          <wp:inline distT="0" distB="0" distL="0" distR="0">
            <wp:extent cx="4320363" cy="4988419"/>
            <wp:effectExtent l="0" t="0" r="0" b="0"/>
            <wp:docPr id="563968089" name="image11.jpg" descr="C:\Users\USUARIO\Downloads\IMG-20221011-WA0136 (2).jpg"/>
            <wp:cNvGraphicFramePr/>
            <a:graphic xmlns:a="http://schemas.openxmlformats.org/drawingml/2006/main">
              <a:graphicData uri="http://schemas.openxmlformats.org/drawingml/2006/picture">
                <pic:pic xmlns:pic="http://schemas.openxmlformats.org/drawingml/2006/picture">
                  <pic:nvPicPr>
                    <pic:cNvPr id="0" name="image11.jpg" descr="C:\Users\USUARIO\Downloads\IMG-20221011-WA0136 (2).jpg"/>
                    <pic:cNvPicPr preferRelativeResize="0"/>
                  </pic:nvPicPr>
                  <pic:blipFill>
                    <a:blip r:embed="rId10"/>
                    <a:srcRect/>
                    <a:stretch>
                      <a:fillRect/>
                    </a:stretch>
                  </pic:blipFill>
                  <pic:spPr>
                    <a:xfrm>
                      <a:off x="0" y="0"/>
                      <a:ext cx="4320363" cy="4988419"/>
                    </a:xfrm>
                    <a:prstGeom prst="rect">
                      <a:avLst/>
                    </a:prstGeom>
                    <a:ln/>
                  </pic:spPr>
                </pic:pic>
              </a:graphicData>
            </a:graphic>
          </wp:inline>
        </w:drawing>
      </w:r>
    </w:p>
    <w:p w:rsidR="00B41D96" w:rsidRPr="00987EA2" w:rsidRDefault="00FB2AD2">
      <w:pPr>
        <w:numPr>
          <w:ilvl w:val="0"/>
          <w:numId w:val="5"/>
        </w:numPr>
        <w:spacing w:line="360" w:lineRule="auto"/>
        <w:rPr>
          <w:rFonts w:ascii="Palatino Linotype" w:eastAsia="Palatino Linotype" w:hAnsi="Palatino Linotype" w:cs="Palatino Linotype"/>
          <w:b/>
        </w:rPr>
      </w:pPr>
      <w:hyperlink r:id="rId11">
        <w:r w:rsidR="00F611F2" w:rsidRPr="00987EA2">
          <w:rPr>
            <w:rFonts w:ascii="Palatino Linotype" w:eastAsia="Palatino Linotype" w:hAnsi="Palatino Linotype" w:cs="Palatino Linotype"/>
            <w:b/>
          </w:rPr>
          <w:t>782 (1).pdf</w:t>
        </w:r>
      </w:hyperlink>
    </w:p>
    <w:p w:rsidR="00B41D96" w:rsidRPr="00987EA2" w:rsidRDefault="00F611F2">
      <w:pPr>
        <w:spacing w:line="360" w:lineRule="auto"/>
        <w:rPr>
          <w:rFonts w:ascii="Palatino Linotype" w:eastAsia="Palatino Linotype" w:hAnsi="Palatino Linotype" w:cs="Palatino Linotype"/>
          <w:b/>
        </w:rPr>
      </w:pPr>
      <w:r w:rsidRPr="00987EA2">
        <w:rPr>
          <w:rFonts w:ascii="Palatino Linotype" w:eastAsia="Palatino Linotype" w:hAnsi="Palatino Linotype" w:cs="Palatino Linotype"/>
        </w:rPr>
        <w:t>Contiene el archivo</w:t>
      </w:r>
      <w:r w:rsidRPr="00987EA2">
        <w:rPr>
          <w:rFonts w:ascii="Palatino Linotype" w:eastAsia="Palatino Linotype" w:hAnsi="Palatino Linotype" w:cs="Palatino Linotype"/>
          <w:b/>
        </w:rPr>
        <w:t xml:space="preserve"> </w:t>
      </w:r>
      <w:r w:rsidRPr="00987EA2">
        <w:rPr>
          <w:rFonts w:ascii="Palatino Linotype" w:eastAsia="Palatino Linotype" w:hAnsi="Palatino Linotype" w:cs="Palatino Linotype"/>
          <w:i/>
        </w:rPr>
        <w:t xml:space="preserve">TM/3308/2022, </w:t>
      </w:r>
      <w:r w:rsidRPr="00987EA2">
        <w:rPr>
          <w:rFonts w:ascii="Palatino Linotype" w:eastAsia="Palatino Linotype" w:hAnsi="Palatino Linotype" w:cs="Palatino Linotype"/>
        </w:rPr>
        <w:t xml:space="preserve">también descrito en el Antecedente número tres de esta resolución. </w:t>
      </w:r>
    </w:p>
    <w:p w:rsidR="00B41D96" w:rsidRPr="00987EA2" w:rsidRDefault="00B41D96">
      <w:pPr>
        <w:spacing w:line="360" w:lineRule="auto"/>
        <w:rPr>
          <w:rFonts w:ascii="Palatino Linotype" w:eastAsia="Palatino Linotype" w:hAnsi="Palatino Linotype" w:cs="Palatino Linotype"/>
          <w:b/>
        </w:rPr>
      </w:pPr>
    </w:p>
    <w:p w:rsidR="00B41D96" w:rsidRPr="00987EA2" w:rsidRDefault="00FB2AD2">
      <w:pPr>
        <w:numPr>
          <w:ilvl w:val="0"/>
          <w:numId w:val="5"/>
        </w:numPr>
        <w:spacing w:line="360" w:lineRule="auto"/>
        <w:rPr>
          <w:rFonts w:ascii="Palatino Linotype" w:eastAsia="Palatino Linotype" w:hAnsi="Palatino Linotype" w:cs="Palatino Linotype"/>
          <w:b/>
        </w:rPr>
      </w:pPr>
      <w:hyperlink r:id="rId12">
        <w:r w:rsidR="00F611F2" w:rsidRPr="00987EA2">
          <w:rPr>
            <w:rFonts w:ascii="Palatino Linotype" w:eastAsia="Palatino Linotype" w:hAnsi="Palatino Linotype" w:cs="Palatino Linotype"/>
            <w:b/>
          </w:rPr>
          <w:t>IMG-20221011-WA0137.jpg</w:t>
        </w:r>
      </w:hyperlink>
    </w:p>
    <w:p w:rsidR="00B41D96" w:rsidRPr="00987EA2" w:rsidRDefault="00F611F2">
      <w:pPr>
        <w:spacing w:line="360" w:lineRule="auto"/>
        <w:jc w:val="center"/>
        <w:rPr>
          <w:rFonts w:ascii="Palatino Linotype" w:eastAsia="Palatino Linotype" w:hAnsi="Palatino Linotype" w:cs="Palatino Linotype"/>
          <w:b/>
        </w:rPr>
      </w:pPr>
      <w:r w:rsidRPr="00987EA2">
        <w:rPr>
          <w:rFonts w:ascii="Palatino Linotype" w:eastAsia="Palatino Linotype" w:hAnsi="Palatino Linotype" w:cs="Palatino Linotype"/>
          <w:b/>
          <w:noProof/>
        </w:rPr>
        <w:lastRenderedPageBreak/>
        <w:drawing>
          <wp:inline distT="0" distB="0" distL="0" distR="0">
            <wp:extent cx="2440542" cy="3421573"/>
            <wp:effectExtent l="0" t="0" r="0" b="0"/>
            <wp:docPr id="563968091" name="image2.jpg" descr="C:\Users\USUARIO\Downloads\IMG-20221011-WA0137 (2).jpg"/>
            <wp:cNvGraphicFramePr/>
            <a:graphic xmlns:a="http://schemas.openxmlformats.org/drawingml/2006/main">
              <a:graphicData uri="http://schemas.openxmlformats.org/drawingml/2006/picture">
                <pic:pic xmlns:pic="http://schemas.openxmlformats.org/drawingml/2006/picture">
                  <pic:nvPicPr>
                    <pic:cNvPr id="0" name="image2.jpg" descr="C:\Users\USUARIO\Downloads\IMG-20221011-WA0137 (2).jpg"/>
                    <pic:cNvPicPr preferRelativeResize="0"/>
                  </pic:nvPicPr>
                  <pic:blipFill>
                    <a:blip r:embed="rId13"/>
                    <a:srcRect/>
                    <a:stretch>
                      <a:fillRect/>
                    </a:stretch>
                  </pic:blipFill>
                  <pic:spPr>
                    <a:xfrm>
                      <a:off x="0" y="0"/>
                      <a:ext cx="2440542" cy="3421573"/>
                    </a:xfrm>
                    <a:prstGeom prst="rect">
                      <a:avLst/>
                    </a:prstGeom>
                    <a:ln/>
                  </pic:spPr>
                </pic:pic>
              </a:graphicData>
            </a:graphic>
          </wp:inline>
        </w:drawing>
      </w:r>
    </w:p>
    <w:p w:rsidR="00B41D96" w:rsidRPr="00987EA2" w:rsidRDefault="00B41D96">
      <w:pPr>
        <w:spacing w:line="360" w:lineRule="auto"/>
        <w:jc w:val="center"/>
        <w:rPr>
          <w:rFonts w:ascii="Palatino Linotype" w:eastAsia="Palatino Linotype" w:hAnsi="Palatino Linotype" w:cs="Palatino Linotype"/>
          <w:b/>
        </w:rPr>
      </w:pPr>
    </w:p>
    <w:p w:rsidR="00B41D96" w:rsidRPr="00987EA2" w:rsidRDefault="00FB2AD2">
      <w:pPr>
        <w:numPr>
          <w:ilvl w:val="0"/>
          <w:numId w:val="5"/>
        </w:numPr>
        <w:spacing w:line="360" w:lineRule="auto"/>
        <w:rPr>
          <w:rFonts w:ascii="Palatino Linotype" w:eastAsia="Palatino Linotype" w:hAnsi="Palatino Linotype" w:cs="Palatino Linotype"/>
          <w:b/>
        </w:rPr>
      </w:pPr>
      <w:hyperlink r:id="rId14">
        <w:r w:rsidR="00F611F2" w:rsidRPr="00987EA2">
          <w:rPr>
            <w:rFonts w:ascii="Palatino Linotype" w:eastAsia="Palatino Linotype" w:hAnsi="Palatino Linotype" w:cs="Palatino Linotype"/>
            <w:b/>
          </w:rPr>
          <w:t>IMG-20221011-WA0134.jpg</w:t>
        </w:r>
      </w:hyperlink>
    </w:p>
    <w:p w:rsidR="00B41D96" w:rsidRPr="00987EA2" w:rsidRDefault="00F611F2">
      <w:pPr>
        <w:spacing w:line="360" w:lineRule="auto"/>
        <w:jc w:val="center"/>
        <w:rPr>
          <w:rFonts w:ascii="Palatino Linotype" w:eastAsia="Palatino Linotype" w:hAnsi="Palatino Linotype" w:cs="Palatino Linotype"/>
          <w:b/>
        </w:rPr>
      </w:pPr>
      <w:r w:rsidRPr="00987EA2">
        <w:rPr>
          <w:rFonts w:ascii="Palatino Linotype" w:eastAsia="Palatino Linotype" w:hAnsi="Palatino Linotype" w:cs="Palatino Linotype"/>
          <w:b/>
          <w:noProof/>
        </w:rPr>
        <w:lastRenderedPageBreak/>
        <w:drawing>
          <wp:inline distT="0" distB="0" distL="0" distR="0">
            <wp:extent cx="2172083" cy="3298062"/>
            <wp:effectExtent l="0" t="0" r="0" b="0"/>
            <wp:docPr id="563968090" name="image15.jpg" descr="C:\Users\USUARIO\Downloads\IMG-20221011-WA0134 (2).jpg"/>
            <wp:cNvGraphicFramePr/>
            <a:graphic xmlns:a="http://schemas.openxmlformats.org/drawingml/2006/main">
              <a:graphicData uri="http://schemas.openxmlformats.org/drawingml/2006/picture">
                <pic:pic xmlns:pic="http://schemas.openxmlformats.org/drawingml/2006/picture">
                  <pic:nvPicPr>
                    <pic:cNvPr id="0" name="image15.jpg" descr="C:\Users\USUARIO\Downloads\IMG-20221011-WA0134 (2).jpg"/>
                    <pic:cNvPicPr preferRelativeResize="0"/>
                  </pic:nvPicPr>
                  <pic:blipFill>
                    <a:blip r:embed="rId15"/>
                    <a:srcRect/>
                    <a:stretch>
                      <a:fillRect/>
                    </a:stretch>
                  </pic:blipFill>
                  <pic:spPr>
                    <a:xfrm>
                      <a:off x="0" y="0"/>
                      <a:ext cx="2172083" cy="3298062"/>
                    </a:xfrm>
                    <a:prstGeom prst="rect">
                      <a:avLst/>
                    </a:prstGeom>
                    <a:ln/>
                  </pic:spPr>
                </pic:pic>
              </a:graphicData>
            </a:graphic>
          </wp:inline>
        </w:drawing>
      </w:r>
    </w:p>
    <w:p w:rsidR="00B41D96" w:rsidRPr="00987EA2" w:rsidRDefault="00F611F2">
      <w:pPr>
        <w:spacing w:line="360" w:lineRule="auto"/>
        <w:ind w:right="51"/>
        <w:jc w:val="both"/>
        <w:rPr>
          <w:rFonts w:ascii="Palatino Linotype" w:eastAsia="Palatino Linotype" w:hAnsi="Palatino Linotype" w:cs="Palatino Linotype"/>
          <w:b/>
        </w:rPr>
      </w:pPr>
      <w:r w:rsidRPr="00987EA2">
        <w:rPr>
          <w:rFonts w:ascii="Palatino Linotype" w:eastAsia="Palatino Linotype" w:hAnsi="Palatino Linotype" w:cs="Palatino Linotype"/>
          <w:b/>
        </w:rPr>
        <w:t xml:space="preserve">5. Turno. </w:t>
      </w:r>
      <w:r w:rsidRPr="00987EA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presente recurso de revisión se turnó por el sistema electrónico del Infoem, a la </w:t>
      </w:r>
      <w:r w:rsidRPr="00987EA2">
        <w:rPr>
          <w:rFonts w:ascii="Palatino Linotype" w:eastAsia="Palatino Linotype" w:hAnsi="Palatino Linotype" w:cs="Palatino Linotype"/>
          <w:b/>
        </w:rPr>
        <w:t xml:space="preserve">Comisionada Guadalupe Ramírez Peña, </w:t>
      </w:r>
      <w:r w:rsidRPr="00987EA2">
        <w:rPr>
          <w:rFonts w:ascii="Palatino Linotype" w:eastAsia="Palatino Linotype" w:hAnsi="Palatino Linotype" w:cs="Palatino Linotype"/>
        </w:rPr>
        <w:t>a efecto de que analizara sobre su admisión o su desechamiento.</w:t>
      </w:r>
    </w:p>
    <w:p w:rsidR="00B41D96" w:rsidRPr="00987EA2" w:rsidRDefault="00B41D96">
      <w:pPr>
        <w:spacing w:line="360" w:lineRule="auto"/>
        <w:jc w:val="both"/>
        <w:rPr>
          <w:rFonts w:ascii="Palatino Linotype" w:eastAsia="Palatino Linotype" w:hAnsi="Palatino Linotype" w:cs="Palatino Linotype"/>
          <w:b/>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b/>
        </w:rPr>
        <w:t>6. Admisión del Recurso de revisión.</w:t>
      </w:r>
      <w:r w:rsidRPr="00987EA2">
        <w:rPr>
          <w:rFonts w:ascii="Palatino Linotype" w:eastAsia="Palatino Linotype" w:hAnsi="Palatino Linotype" w:cs="Palatino Linotype"/>
        </w:rPr>
        <w:t xml:space="preserve"> Con fecha</w:t>
      </w:r>
      <w:r w:rsidRPr="00987EA2">
        <w:rPr>
          <w:rFonts w:ascii="Palatino Linotype" w:eastAsia="Palatino Linotype" w:hAnsi="Palatino Linotype" w:cs="Palatino Linotype"/>
          <w:b/>
        </w:rPr>
        <w:t xml:space="preserve"> catorce de octubre de dos mil veintidós, </w:t>
      </w:r>
      <w:r w:rsidRPr="00987EA2">
        <w:rPr>
          <w:rFonts w:ascii="Palatino Linotype" w:eastAsia="Palatino Linotype" w:hAnsi="Palatino Linotype" w:cs="Palatino Linotype"/>
        </w:rPr>
        <w:t xml:space="preserve">este Instituto de Transparencia, admitió a trámite el recurso de revisión, dando un plazo máximo de siete días hábiles para que las partes manifestaran lo que a su derecho resultara conveniente, ofrecieran pruebas, formularan alegatos y </w:t>
      </w:r>
      <w:r w:rsidRPr="00987EA2">
        <w:rPr>
          <w:rFonts w:ascii="Palatino Linotype" w:eastAsia="Palatino Linotype" w:hAnsi="Palatino Linotype" w:cs="Palatino Linotype"/>
          <w:b/>
        </w:rPr>
        <w:t xml:space="preserve">EL SUJETO OBLIGADO </w:t>
      </w:r>
      <w:r w:rsidRPr="00987EA2">
        <w:rPr>
          <w:rFonts w:ascii="Palatino Linotype" w:eastAsia="Palatino Linotype" w:hAnsi="Palatino Linotype" w:cs="Palatino Linotype"/>
        </w:rPr>
        <w:t>presentara su Informe Justificado.</w:t>
      </w:r>
    </w:p>
    <w:p w:rsidR="00B41D96" w:rsidRPr="00987EA2" w:rsidRDefault="00B41D96">
      <w:pPr>
        <w:spacing w:line="360" w:lineRule="auto"/>
        <w:jc w:val="both"/>
        <w:rPr>
          <w:rFonts w:ascii="Palatino Linotype" w:eastAsia="Palatino Linotype" w:hAnsi="Palatino Linotype" w:cs="Palatino Linotype"/>
          <w:b/>
        </w:rPr>
      </w:pPr>
      <w:bookmarkStart w:id="3" w:name="_heading=h.2s8eyo1" w:colFirst="0" w:colLast="0"/>
      <w:bookmarkEnd w:id="3"/>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b/>
        </w:rPr>
        <w:lastRenderedPageBreak/>
        <w:t>7. Manifestaciones</w:t>
      </w:r>
      <w:r w:rsidRPr="00987EA2">
        <w:rPr>
          <w:rFonts w:ascii="Palatino Linotype" w:eastAsia="Palatino Linotype" w:hAnsi="Palatino Linotype" w:cs="Palatino Linotype"/>
        </w:rPr>
        <w:t xml:space="preserve">. De las constancias que obran en el expediente electrónico del SAIMEX, se desprende que </w:t>
      </w:r>
      <w:r w:rsidRPr="00987EA2">
        <w:rPr>
          <w:rFonts w:ascii="Palatino Linotype" w:eastAsia="Palatino Linotype" w:hAnsi="Palatino Linotype" w:cs="Palatino Linotype"/>
          <w:b/>
        </w:rPr>
        <w:t>EL SUJETO OBLIGADO</w:t>
      </w:r>
      <w:r w:rsidRPr="00987EA2">
        <w:rPr>
          <w:rFonts w:ascii="Palatino Linotype" w:eastAsia="Palatino Linotype" w:hAnsi="Palatino Linotype" w:cs="Palatino Linotype"/>
        </w:rPr>
        <w:t xml:space="preserve"> rindió el Informe Justificado el </w:t>
      </w:r>
      <w:r w:rsidRPr="00987EA2">
        <w:rPr>
          <w:rFonts w:ascii="Palatino Linotype" w:eastAsia="Palatino Linotype" w:hAnsi="Palatino Linotype" w:cs="Palatino Linotype"/>
          <w:b/>
        </w:rPr>
        <w:t>veinticinco de octubre dos mil veintidós</w:t>
      </w:r>
      <w:r w:rsidRPr="00987EA2">
        <w:rPr>
          <w:rFonts w:ascii="Palatino Linotype" w:eastAsia="Palatino Linotype" w:hAnsi="Palatino Linotype" w:cs="Palatino Linotype"/>
        </w:rPr>
        <w:t xml:space="preserve">, mismo que fue hecho de conocimiento de </w:t>
      </w:r>
      <w:r w:rsidRPr="00987EA2">
        <w:rPr>
          <w:rFonts w:ascii="Palatino Linotype" w:eastAsia="Palatino Linotype" w:hAnsi="Palatino Linotype" w:cs="Palatino Linotype"/>
          <w:b/>
        </w:rPr>
        <w:t xml:space="preserve">LA PARTE RECURRENTE </w:t>
      </w:r>
      <w:r w:rsidRPr="00987EA2">
        <w:rPr>
          <w:rFonts w:ascii="Palatino Linotype" w:eastAsia="Palatino Linotype" w:hAnsi="Palatino Linotype" w:cs="Palatino Linotype"/>
        </w:rPr>
        <w:t xml:space="preserve">el pasado </w:t>
      </w:r>
      <w:r w:rsidRPr="00987EA2">
        <w:rPr>
          <w:rFonts w:ascii="Palatino Linotype" w:eastAsia="Palatino Linotype" w:hAnsi="Palatino Linotype" w:cs="Palatino Linotype"/>
          <w:b/>
        </w:rPr>
        <w:t>nueve de mayo de dos mil veintitrés,</w:t>
      </w:r>
      <w:r w:rsidRPr="00987EA2">
        <w:rPr>
          <w:rFonts w:ascii="Palatino Linotype" w:eastAsia="Palatino Linotype" w:hAnsi="Palatino Linotype" w:cs="Palatino Linotype"/>
        </w:rPr>
        <w:t xml:space="preserve"> para que en un plazo de tres días hábiles manifestara lo que considerara pertinente. </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b/>
        </w:rPr>
        <w:t>EL SUJETO OBLIGADO</w:t>
      </w:r>
      <w:r w:rsidRPr="00987EA2">
        <w:rPr>
          <w:rFonts w:ascii="Palatino Linotype" w:eastAsia="Palatino Linotype" w:hAnsi="Palatino Linotype" w:cs="Palatino Linotype"/>
        </w:rPr>
        <w:t xml:space="preserve"> en este acto procesal, haciendo uso de su derecho remitió el archivo </w:t>
      </w:r>
      <w:hyperlink r:id="rId16">
        <w:r w:rsidRPr="00987EA2">
          <w:rPr>
            <w:rFonts w:ascii="Palatino Linotype" w:eastAsia="Palatino Linotype" w:hAnsi="Palatino Linotype" w:cs="Palatino Linotype"/>
            <w:i/>
          </w:rPr>
          <w:t>INFORME JUSTIFICADO - 15524.pdf</w:t>
        </w:r>
      </w:hyperlink>
      <w:r w:rsidRPr="00987EA2">
        <w:t xml:space="preserve"> </w:t>
      </w:r>
      <w:r w:rsidRPr="00987EA2">
        <w:rPr>
          <w:rFonts w:ascii="Palatino Linotype" w:eastAsia="Palatino Linotype" w:hAnsi="Palatino Linotype" w:cs="Palatino Linotype"/>
        </w:rPr>
        <w:t xml:space="preserve">donde tres Unidades Administrativas informaron lo siguiente: </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La Dirección de Administración mediante el oficio </w:t>
      </w:r>
      <w:r w:rsidRPr="00987EA2">
        <w:rPr>
          <w:rFonts w:ascii="Palatino Linotype" w:eastAsia="Palatino Linotype" w:hAnsi="Palatino Linotype" w:cs="Palatino Linotype"/>
          <w:i/>
        </w:rPr>
        <w:t>DA/7318/2022</w:t>
      </w:r>
      <w:r w:rsidRPr="00987EA2">
        <w:rPr>
          <w:rFonts w:ascii="Palatino Linotype" w:eastAsia="Palatino Linotype" w:hAnsi="Palatino Linotype" w:cs="Palatino Linotype"/>
        </w:rPr>
        <w:t xml:space="preserve"> de fecha veintiuno de octubre de dos mil veintidós, ratificó la respuesta emitida por parte del Departamento de Adquisiciones. Mientras que como aportación novedosa, el Departamento de Licitaciones informó que es un área de nueva creación, sin embargo, refirió que las Unidades competentes para dar respuesta serían la Dirección de Servicios Públicos y la Tesorería Municipal. </w:t>
      </w:r>
    </w:p>
    <w:p w:rsidR="00B41D96" w:rsidRPr="00987EA2" w:rsidRDefault="00B41D96">
      <w:pPr>
        <w:pBdr>
          <w:top w:val="nil"/>
          <w:left w:val="nil"/>
          <w:bottom w:val="nil"/>
          <w:right w:val="nil"/>
          <w:between w:val="nil"/>
        </w:pBdr>
        <w:spacing w:line="360" w:lineRule="auto"/>
        <w:ind w:left="720"/>
        <w:jc w:val="both"/>
        <w:rPr>
          <w:rFonts w:ascii="Palatino Linotype" w:eastAsia="Palatino Linotype" w:hAnsi="Palatino Linotype" w:cs="Palatino Linotype"/>
        </w:rPr>
      </w:pPr>
    </w:p>
    <w:p w:rsidR="00B41D96" w:rsidRPr="00987EA2" w:rsidRDefault="00F611F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La Tesorería Municipal mediante el oficio </w:t>
      </w:r>
      <w:r w:rsidRPr="00987EA2">
        <w:rPr>
          <w:rFonts w:ascii="Palatino Linotype" w:eastAsia="Palatino Linotype" w:hAnsi="Palatino Linotype" w:cs="Palatino Linotype"/>
          <w:i/>
        </w:rPr>
        <w:t>TM/3829/2022</w:t>
      </w:r>
      <w:r w:rsidRPr="00987EA2">
        <w:rPr>
          <w:rFonts w:ascii="Palatino Linotype" w:eastAsia="Palatino Linotype" w:hAnsi="Palatino Linotype" w:cs="Palatino Linotype"/>
        </w:rPr>
        <w:t xml:space="preserve"> sin fecha, ratificó su respuesta emitida, y señaló que </w:t>
      </w:r>
      <w:r w:rsidRPr="00987EA2">
        <w:rPr>
          <w:rFonts w:ascii="Palatino Linotype" w:eastAsia="Palatino Linotype" w:hAnsi="Palatino Linotype" w:cs="Palatino Linotype"/>
          <w:b/>
        </w:rPr>
        <w:t>LA PARTE RECURRENTE</w:t>
      </w:r>
      <w:r w:rsidRPr="00987EA2">
        <w:rPr>
          <w:rFonts w:ascii="Palatino Linotype" w:eastAsia="Palatino Linotype" w:hAnsi="Palatino Linotype" w:cs="Palatino Linotype"/>
        </w:rPr>
        <w:t xml:space="preserve"> </w:t>
      </w:r>
      <w:r w:rsidRPr="00987EA2">
        <w:rPr>
          <w:rFonts w:ascii="Palatino Linotype" w:eastAsia="Palatino Linotype" w:hAnsi="Palatino Linotype" w:cs="Palatino Linotype"/>
          <w:i/>
        </w:rPr>
        <w:t>“… se encuentra impugnando la veracidad de la información que se le brindó…” (Sic)</w:t>
      </w:r>
      <w:r w:rsidRPr="00987EA2">
        <w:rPr>
          <w:rFonts w:ascii="Palatino Linotype" w:eastAsia="Palatino Linotype" w:hAnsi="Palatino Linotype" w:cs="Palatino Linotype"/>
        </w:rPr>
        <w:t>.</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Como una aportación novedosa, la Dirección de Servicios Públicos del Ayuntamiento de Cuautitlán Izcalli, informó mediante el oficio </w:t>
      </w:r>
      <w:r w:rsidRPr="00987EA2">
        <w:rPr>
          <w:rFonts w:ascii="Palatino Linotype" w:eastAsia="Palatino Linotype" w:hAnsi="Palatino Linotype" w:cs="Palatino Linotype"/>
          <w:i/>
        </w:rPr>
        <w:t>DSP/2822/2022</w:t>
      </w:r>
      <w:r w:rsidRPr="00987EA2">
        <w:rPr>
          <w:rFonts w:ascii="Palatino Linotype" w:eastAsia="Palatino Linotype" w:hAnsi="Palatino Linotype" w:cs="Palatino Linotype"/>
        </w:rPr>
        <w:t xml:space="preserve"> de fecha diecinueve de octubre de dos milo veintidós a </w:t>
      </w:r>
      <w:r w:rsidRPr="00987EA2">
        <w:rPr>
          <w:rFonts w:ascii="Palatino Linotype" w:eastAsia="Palatino Linotype" w:hAnsi="Palatino Linotype" w:cs="Palatino Linotype"/>
          <w:b/>
        </w:rPr>
        <w:t xml:space="preserve">LA </w:t>
      </w:r>
      <w:r w:rsidRPr="00987EA2">
        <w:rPr>
          <w:rFonts w:ascii="Palatino Linotype" w:eastAsia="Palatino Linotype" w:hAnsi="Palatino Linotype" w:cs="Palatino Linotype"/>
          <w:b/>
        </w:rPr>
        <w:lastRenderedPageBreak/>
        <w:t>PARTE RECURRENTE</w:t>
      </w:r>
      <w:r w:rsidRPr="00987EA2">
        <w:rPr>
          <w:rFonts w:ascii="Palatino Linotype" w:eastAsia="Palatino Linotype" w:hAnsi="Palatino Linotype" w:cs="Palatino Linotype"/>
        </w:rPr>
        <w:t xml:space="preserve"> que del primero de enero al diecinueve de agosto de dos mil veintidós, se instalaron ciento treinta y dos luminarias que se encontraban dentro del inventario entregado de la administración municipal del periodo dos mil diecinueve al dos mil veintiuno, y que además habían sido instaladas cinco mil sesenta y una, haciendo un total de cinco mil ciento noventa y tres luminarias instaladas en dicho periodo, con las siguientes características: </w:t>
      </w:r>
    </w:p>
    <w:p w:rsidR="00B41D96" w:rsidRPr="00987EA2" w:rsidRDefault="00F611F2">
      <w:pPr>
        <w:pBdr>
          <w:top w:val="nil"/>
          <w:left w:val="nil"/>
          <w:bottom w:val="nil"/>
          <w:right w:val="nil"/>
          <w:between w:val="nil"/>
        </w:pBdr>
        <w:spacing w:line="360" w:lineRule="auto"/>
        <w:ind w:left="720"/>
        <w:jc w:val="center"/>
        <w:rPr>
          <w:rFonts w:ascii="Palatino Linotype" w:eastAsia="Palatino Linotype" w:hAnsi="Palatino Linotype" w:cs="Palatino Linotype"/>
        </w:rPr>
      </w:pPr>
      <w:r w:rsidRPr="00987EA2">
        <w:rPr>
          <w:noProof/>
        </w:rPr>
        <w:drawing>
          <wp:inline distT="0" distB="0" distL="0" distR="0">
            <wp:extent cx="4483703" cy="1074544"/>
            <wp:effectExtent l="0" t="0" r="0" b="0"/>
            <wp:docPr id="56396809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l="1158" t="55247" r="54048" b="25667"/>
                    <a:stretch>
                      <a:fillRect/>
                    </a:stretch>
                  </pic:blipFill>
                  <pic:spPr>
                    <a:xfrm>
                      <a:off x="0" y="0"/>
                      <a:ext cx="4483703" cy="1074544"/>
                    </a:xfrm>
                    <a:prstGeom prst="rect">
                      <a:avLst/>
                    </a:prstGeom>
                    <a:ln/>
                  </pic:spPr>
                </pic:pic>
              </a:graphicData>
            </a:graphic>
          </wp:inline>
        </w:drawing>
      </w:r>
    </w:p>
    <w:p w:rsidR="00B41D96" w:rsidRPr="00987EA2" w:rsidRDefault="00F611F2">
      <w:pPr>
        <w:pBdr>
          <w:top w:val="nil"/>
          <w:left w:val="nil"/>
          <w:bottom w:val="nil"/>
          <w:right w:val="nil"/>
          <w:between w:val="nil"/>
        </w:pBdr>
        <w:spacing w:line="360" w:lineRule="auto"/>
        <w:ind w:left="720"/>
        <w:jc w:val="both"/>
        <w:rPr>
          <w:rFonts w:ascii="Palatino Linotype" w:eastAsia="Palatino Linotype" w:hAnsi="Palatino Linotype" w:cs="Palatino Linotype"/>
        </w:rPr>
      </w:pPr>
      <w:r w:rsidRPr="00987EA2">
        <w:rPr>
          <w:rFonts w:ascii="Palatino Linotype" w:eastAsia="Palatino Linotype" w:hAnsi="Palatino Linotype" w:cs="Palatino Linotype"/>
        </w:rPr>
        <w:t>Además refirió que adjuntaba a su dicho un listado de la distribución por colonias de las luminarias instaladas, sin embargo, no aparece ningún anexo.</w:t>
      </w:r>
    </w:p>
    <w:p w:rsidR="00B41D96" w:rsidRPr="00987EA2" w:rsidRDefault="00B41D96">
      <w:pPr>
        <w:spacing w:line="360" w:lineRule="auto"/>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Como se dijo, dichas consideraciones fueron hechas del conocimiento de </w:t>
      </w:r>
      <w:r w:rsidRPr="00987EA2">
        <w:rPr>
          <w:rFonts w:ascii="Palatino Linotype" w:eastAsia="Palatino Linotype" w:hAnsi="Palatino Linotype" w:cs="Palatino Linotype"/>
          <w:b/>
        </w:rPr>
        <w:t>LA PARTE RECURRENTE</w:t>
      </w:r>
      <w:r w:rsidRPr="00987EA2">
        <w:rPr>
          <w:rFonts w:ascii="Palatino Linotype" w:eastAsia="Palatino Linotype" w:hAnsi="Palatino Linotype" w:cs="Palatino Linotype"/>
        </w:rPr>
        <w:t xml:space="preserve"> para que ella pudiera realizar las manifestaciones que resultara pertinentes, sin embargo, decidió dejar de pronunciarse, tal y como consta a continuación: </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center"/>
        <w:rPr>
          <w:rFonts w:ascii="Palatino Linotype" w:eastAsia="Palatino Linotype" w:hAnsi="Palatino Linotype" w:cs="Palatino Linotype"/>
        </w:rPr>
      </w:pPr>
      <w:r w:rsidRPr="00987EA2">
        <w:rPr>
          <w:noProof/>
        </w:rPr>
        <w:lastRenderedPageBreak/>
        <w:drawing>
          <wp:inline distT="0" distB="0" distL="0" distR="0">
            <wp:extent cx="4316868" cy="2154671"/>
            <wp:effectExtent l="0" t="0" r="0" b="0"/>
            <wp:docPr id="5639680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l="9320" t="18779" r="13759" b="12962"/>
                    <a:stretch>
                      <a:fillRect/>
                    </a:stretch>
                  </pic:blipFill>
                  <pic:spPr>
                    <a:xfrm>
                      <a:off x="0" y="0"/>
                      <a:ext cx="4316868" cy="2154671"/>
                    </a:xfrm>
                    <a:prstGeom prst="rect">
                      <a:avLst/>
                    </a:prstGeom>
                    <a:ln/>
                  </pic:spPr>
                </pic:pic>
              </a:graphicData>
            </a:graphic>
          </wp:inline>
        </w:drawing>
      </w:r>
    </w:p>
    <w:p w:rsidR="00B41D96" w:rsidRPr="00987EA2" w:rsidRDefault="00B41D96">
      <w:pPr>
        <w:spacing w:line="360" w:lineRule="auto"/>
        <w:rPr>
          <w:rFonts w:ascii="Palatino Linotype" w:eastAsia="Palatino Linotype" w:hAnsi="Palatino Linotype" w:cs="Palatino Linotype"/>
        </w:rPr>
      </w:pPr>
    </w:p>
    <w:p w:rsidR="00B41D96" w:rsidRPr="00987EA2" w:rsidRDefault="00F611F2">
      <w:pPr>
        <w:widowControl w:val="0"/>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b/>
        </w:rPr>
        <w:t xml:space="preserve">8. Ampliación del plazo para emitir resolución. </w:t>
      </w:r>
      <w:r w:rsidRPr="00987EA2">
        <w:rPr>
          <w:rFonts w:ascii="Palatino Linotype" w:eastAsia="Palatino Linotype" w:hAnsi="Palatino Linotype" w:cs="Palatino Linotype"/>
        </w:rPr>
        <w:t xml:space="preserve">Fue el </w:t>
      </w:r>
      <w:r w:rsidRPr="00987EA2">
        <w:rPr>
          <w:rFonts w:ascii="Palatino Linotype" w:eastAsia="Palatino Linotype" w:hAnsi="Palatino Linotype" w:cs="Palatino Linotype"/>
          <w:b/>
        </w:rPr>
        <w:t>nueve de mayo de dos mil veintitrés</w:t>
      </w:r>
      <w:r w:rsidRPr="00987EA2">
        <w:rPr>
          <w:rFonts w:ascii="Palatino Linotype" w:eastAsia="Palatino Linotype" w:hAnsi="Palatino Linotype" w:cs="Palatino Linotype"/>
        </w:rPr>
        <w:t>, cuando este Instituto de Transparencia, Acceso a la Información Pública y Protección de Datos Personales del Estado de México y Municipios, con fundamento en el artículo 181, párrafo tercero, de la Ley de Transparencia y Acceso a la Información Pública del Estado de México y Municipios, determinó ampliar el plazo para emitir la presente resolución.</w:t>
      </w:r>
    </w:p>
    <w:p w:rsidR="00B41D96" w:rsidRPr="00987EA2" w:rsidRDefault="00B41D96">
      <w:pPr>
        <w:widowControl w:val="0"/>
        <w:spacing w:line="360" w:lineRule="auto"/>
        <w:jc w:val="both"/>
        <w:rPr>
          <w:rFonts w:ascii="Palatino Linotype" w:eastAsia="Palatino Linotype" w:hAnsi="Palatino Linotype" w:cs="Palatino Linotype"/>
        </w:rPr>
      </w:pPr>
    </w:p>
    <w:p w:rsidR="00B41D96" w:rsidRPr="00987EA2" w:rsidRDefault="00B41D96">
      <w:pPr>
        <w:widowControl w:val="0"/>
        <w:spacing w:line="360" w:lineRule="auto"/>
        <w:jc w:val="both"/>
        <w:rPr>
          <w:rFonts w:ascii="Palatino Linotype" w:eastAsia="Palatino Linotype" w:hAnsi="Palatino Linotype" w:cs="Palatino Linotype"/>
        </w:rPr>
      </w:pPr>
    </w:p>
    <w:p w:rsidR="00B41D96" w:rsidRPr="00987EA2" w:rsidRDefault="00F611F2">
      <w:pPr>
        <w:widowControl w:val="0"/>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incrementó aproximadamente un 300%, circunstancia atípica que ha rebasado las capacidades técnicas y humanas del personal encargado de la proyección de las resoluciones a dichos medios de impugnación.</w:t>
      </w:r>
    </w:p>
    <w:p w:rsidR="00B41D96" w:rsidRPr="00987EA2" w:rsidRDefault="00B41D96">
      <w:pPr>
        <w:widowControl w:val="0"/>
        <w:spacing w:line="360" w:lineRule="auto"/>
        <w:jc w:val="both"/>
        <w:rPr>
          <w:rFonts w:ascii="Palatino Linotype" w:eastAsia="Palatino Linotype" w:hAnsi="Palatino Linotype" w:cs="Palatino Linotype"/>
        </w:rPr>
      </w:pPr>
    </w:p>
    <w:p w:rsidR="00B41D96" w:rsidRPr="00987EA2" w:rsidRDefault="00F611F2">
      <w:pPr>
        <w:widowControl w:val="0"/>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B41D96" w:rsidRPr="00987EA2" w:rsidRDefault="00B41D96">
      <w:pPr>
        <w:widowControl w:val="0"/>
        <w:spacing w:line="360" w:lineRule="auto"/>
        <w:jc w:val="both"/>
        <w:rPr>
          <w:rFonts w:ascii="Palatino Linotype" w:eastAsia="Palatino Linotype" w:hAnsi="Palatino Linotype" w:cs="Palatino Linotype"/>
        </w:rPr>
      </w:pPr>
    </w:p>
    <w:p w:rsidR="00B41D96" w:rsidRPr="00987EA2" w:rsidRDefault="00F611F2">
      <w:pPr>
        <w:widowControl w:val="0"/>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B41D96" w:rsidRPr="00987EA2" w:rsidRDefault="00B41D96">
      <w:pPr>
        <w:widowControl w:val="0"/>
        <w:spacing w:line="360" w:lineRule="auto"/>
        <w:jc w:val="both"/>
        <w:rPr>
          <w:rFonts w:ascii="Palatino Linotype" w:eastAsia="Palatino Linotype" w:hAnsi="Palatino Linotype" w:cs="Palatino Linotype"/>
        </w:rPr>
      </w:pPr>
    </w:p>
    <w:p w:rsidR="00B41D96" w:rsidRPr="00987EA2" w:rsidRDefault="00F611F2">
      <w:pPr>
        <w:widowControl w:val="0"/>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B41D96" w:rsidRPr="00987EA2" w:rsidRDefault="00B41D96">
      <w:pPr>
        <w:widowControl w:val="0"/>
        <w:spacing w:line="360" w:lineRule="auto"/>
        <w:jc w:val="both"/>
        <w:rPr>
          <w:rFonts w:ascii="Palatino Linotype" w:eastAsia="Palatino Linotype" w:hAnsi="Palatino Linotype" w:cs="Palatino Linotype"/>
        </w:rPr>
      </w:pPr>
    </w:p>
    <w:p w:rsidR="00B41D96" w:rsidRPr="00987EA2" w:rsidRDefault="00F611F2">
      <w:pPr>
        <w:widowControl w:val="0"/>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B41D96" w:rsidRPr="00987EA2" w:rsidRDefault="00B41D96">
      <w:pPr>
        <w:widowControl w:val="0"/>
        <w:spacing w:line="360" w:lineRule="auto"/>
        <w:jc w:val="both"/>
        <w:rPr>
          <w:rFonts w:ascii="Palatino Linotype" w:eastAsia="Palatino Linotype" w:hAnsi="Palatino Linotype" w:cs="Palatino Linotype"/>
        </w:rPr>
      </w:pPr>
    </w:p>
    <w:p w:rsidR="00B41D96" w:rsidRPr="00987EA2" w:rsidRDefault="00F611F2">
      <w:pPr>
        <w:widowControl w:val="0"/>
        <w:numPr>
          <w:ilvl w:val="0"/>
          <w:numId w:val="10"/>
        </w:num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b/>
        </w:rPr>
        <w:t xml:space="preserve">Complejidad del Asunto: </w:t>
      </w:r>
      <w:r w:rsidRPr="00987EA2">
        <w:rPr>
          <w:rFonts w:ascii="Palatino Linotype" w:eastAsia="Palatino Linotype" w:hAnsi="Palatino Linotype" w:cs="Palatino Linotype"/>
        </w:rPr>
        <w:t xml:space="preserve">La complejidad de la prueba, la pluralidad de sujetos procesales, el tiempo transcurrido, las características y contexto del recurso. </w:t>
      </w:r>
    </w:p>
    <w:p w:rsidR="00B41D96" w:rsidRPr="00987EA2" w:rsidRDefault="00F611F2">
      <w:pPr>
        <w:widowControl w:val="0"/>
        <w:numPr>
          <w:ilvl w:val="0"/>
          <w:numId w:val="10"/>
        </w:num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b/>
        </w:rPr>
        <w:lastRenderedPageBreak/>
        <w:t>Actividad Procesal del interesado:</w:t>
      </w:r>
      <w:r w:rsidRPr="00987EA2">
        <w:rPr>
          <w:rFonts w:ascii="Palatino Linotype" w:eastAsia="Palatino Linotype" w:hAnsi="Palatino Linotype" w:cs="Palatino Linotype"/>
        </w:rPr>
        <w:t xml:space="preserve"> Acciones u omisiones del interesado.</w:t>
      </w:r>
    </w:p>
    <w:p w:rsidR="00B41D96" w:rsidRPr="00987EA2" w:rsidRDefault="00F611F2">
      <w:pPr>
        <w:widowControl w:val="0"/>
        <w:numPr>
          <w:ilvl w:val="0"/>
          <w:numId w:val="10"/>
        </w:num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b/>
        </w:rPr>
        <w:t>Conducta de la Autoridad:</w:t>
      </w:r>
      <w:r w:rsidRPr="00987EA2">
        <w:rPr>
          <w:rFonts w:ascii="Palatino Linotype" w:eastAsia="Palatino Linotype" w:hAnsi="Palatino Linotype" w:cs="Palatino Linotype"/>
        </w:rPr>
        <w:t xml:space="preserve"> Las Acciones u omisiones realizadas en el procedimiento. Así como si la autoridad actuó con la debida diligencia.</w:t>
      </w:r>
    </w:p>
    <w:p w:rsidR="00B41D96" w:rsidRPr="00987EA2" w:rsidRDefault="00F611F2">
      <w:pPr>
        <w:widowControl w:val="0"/>
        <w:numPr>
          <w:ilvl w:val="0"/>
          <w:numId w:val="10"/>
        </w:num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b/>
        </w:rPr>
        <w:t>La afectación generada en la situación jurídica de la persona involucrada en el proceso:</w:t>
      </w:r>
      <w:r w:rsidRPr="00987EA2">
        <w:rPr>
          <w:rFonts w:ascii="Palatino Linotype" w:eastAsia="Palatino Linotype" w:hAnsi="Palatino Linotype" w:cs="Palatino Linotype"/>
        </w:rPr>
        <w:t xml:space="preserve"> Violación a sus derechos humanos.</w:t>
      </w:r>
    </w:p>
    <w:p w:rsidR="00B41D96" w:rsidRPr="00987EA2" w:rsidRDefault="00B41D96">
      <w:pPr>
        <w:widowControl w:val="0"/>
        <w:spacing w:line="360" w:lineRule="auto"/>
        <w:jc w:val="both"/>
        <w:rPr>
          <w:rFonts w:ascii="Palatino Linotype" w:eastAsia="Palatino Linotype" w:hAnsi="Palatino Linotype" w:cs="Palatino Linotype"/>
        </w:rPr>
      </w:pPr>
    </w:p>
    <w:p w:rsidR="00B41D96" w:rsidRPr="00987EA2" w:rsidRDefault="00F611F2">
      <w:pPr>
        <w:widowControl w:val="0"/>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B41D96" w:rsidRPr="00987EA2" w:rsidRDefault="00B41D96">
      <w:pPr>
        <w:widowControl w:val="0"/>
        <w:spacing w:line="360" w:lineRule="auto"/>
        <w:jc w:val="both"/>
        <w:rPr>
          <w:rFonts w:ascii="Palatino Linotype" w:eastAsia="Palatino Linotype" w:hAnsi="Palatino Linotype" w:cs="Palatino Linotype"/>
        </w:rPr>
      </w:pPr>
    </w:p>
    <w:p w:rsidR="00B41D96" w:rsidRPr="00987EA2" w:rsidRDefault="00F611F2">
      <w:pPr>
        <w:widowControl w:val="0"/>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987EA2">
        <w:rPr>
          <w:rFonts w:ascii="Palatino Linotype" w:eastAsia="Palatino Linotype" w:hAnsi="Palatino Linotype" w:cs="Palatino Linotype"/>
          <w:b/>
          <w:i/>
        </w:rPr>
        <w:t>“TÉRMINOS PROCESALES. PARA DETERMINAR SI UN FUNCIONARIO JUDICIAL ACTUÓ INDEBIDAMENTE POR NO RESPETARLOS SE DEBE ATENDER AL PRESUPUESTO QUE CONSIDERÓ EL LEGISLADOR AL FIJARLOS Y LAS CARACTERÍSTICAS DEL CASO.”</w:t>
      </w:r>
      <w:r w:rsidRPr="00987EA2">
        <w:rPr>
          <w:rFonts w:ascii="Palatino Linotype" w:eastAsia="Palatino Linotype" w:hAnsi="Palatino Linotype" w:cs="Palatino Linotype"/>
          <w:b/>
        </w:rPr>
        <w:t>,</w:t>
      </w:r>
      <w:r w:rsidRPr="00987EA2">
        <w:rPr>
          <w:rFonts w:ascii="Palatino Linotype" w:eastAsia="Palatino Linotype" w:hAnsi="Palatino Linotype" w:cs="Palatino Linotype"/>
        </w:rPr>
        <w:t xml:space="preserve"> visible en la Gaceta del Seminario Judicial de la Federación con el registro digital 205635.</w:t>
      </w:r>
    </w:p>
    <w:p w:rsidR="00B41D96" w:rsidRPr="00987EA2" w:rsidRDefault="00F611F2">
      <w:pPr>
        <w:widowControl w:val="0"/>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sidRPr="00987EA2">
        <w:rPr>
          <w:rFonts w:ascii="Palatino Linotype" w:eastAsia="Palatino Linotype" w:hAnsi="Palatino Linotype" w:cs="Palatino Linotype"/>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B41D96" w:rsidRPr="00987EA2" w:rsidRDefault="00B41D96">
      <w:pPr>
        <w:widowControl w:val="0"/>
        <w:spacing w:line="360" w:lineRule="auto"/>
        <w:jc w:val="both"/>
        <w:rPr>
          <w:rFonts w:ascii="Palatino Linotype" w:eastAsia="Palatino Linotype" w:hAnsi="Palatino Linotype" w:cs="Palatino Linotype"/>
        </w:rPr>
      </w:pPr>
    </w:p>
    <w:p w:rsidR="00B41D96" w:rsidRPr="00987EA2" w:rsidRDefault="00F611F2">
      <w:pPr>
        <w:widowControl w:val="0"/>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B41D96" w:rsidRPr="00987EA2" w:rsidRDefault="00B41D96">
      <w:pPr>
        <w:widowControl w:val="0"/>
        <w:spacing w:line="360" w:lineRule="auto"/>
        <w:jc w:val="both"/>
        <w:rPr>
          <w:rFonts w:ascii="Palatino Linotype" w:eastAsia="Palatino Linotype" w:hAnsi="Palatino Linotype" w:cs="Palatino Linotype"/>
        </w:rPr>
      </w:pPr>
    </w:p>
    <w:p w:rsidR="00B41D96" w:rsidRPr="00987EA2" w:rsidRDefault="00F611F2">
      <w:pPr>
        <w:widowControl w:val="0"/>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b/>
          <w:i/>
        </w:rPr>
        <w:t>“PLAZO RAZONABLE PARA RESOLVER. DIMENSIÓN Y EFECTOS DE ESTE CONCEPTO CUANDO SE ADUCE EXCESIVA CARGA DE TRABAJO.”</w:t>
      </w:r>
      <w:r w:rsidRPr="00987EA2">
        <w:rPr>
          <w:rFonts w:ascii="Palatino Linotype" w:eastAsia="Palatino Linotype" w:hAnsi="Palatino Linotype" w:cs="Palatino Linotype"/>
        </w:rPr>
        <w:t xml:space="preserve"> consultable en el Seminario Judicial de la Federación y su gaceta, con el registro digital 2002351.</w:t>
      </w:r>
    </w:p>
    <w:p w:rsidR="00B41D96" w:rsidRPr="00987EA2" w:rsidRDefault="00B41D96">
      <w:pPr>
        <w:widowControl w:val="0"/>
        <w:spacing w:line="360" w:lineRule="auto"/>
        <w:jc w:val="both"/>
        <w:rPr>
          <w:rFonts w:ascii="Palatino Linotype" w:eastAsia="Palatino Linotype" w:hAnsi="Palatino Linotype" w:cs="Palatino Linotype"/>
        </w:rPr>
      </w:pPr>
    </w:p>
    <w:p w:rsidR="00B41D96" w:rsidRPr="00987EA2" w:rsidRDefault="00F611F2">
      <w:pPr>
        <w:widowControl w:val="0"/>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b/>
          <w:i/>
        </w:rPr>
        <w:t>“PLAZO RAZONABLE PARA RESOLVER. CONCEPTO Y ELEMENTOS QUE LO INTEGRAN A LA LUZ DEL DERECHO INTERNACIONAL DE LOS DERECHOS HUMANOS.”</w:t>
      </w:r>
      <w:r w:rsidRPr="00987EA2">
        <w:rPr>
          <w:rFonts w:ascii="Palatino Linotype" w:eastAsia="Palatino Linotype" w:hAnsi="Palatino Linotype" w:cs="Palatino Linotype"/>
          <w:b/>
        </w:rPr>
        <w:t>,</w:t>
      </w:r>
      <w:r w:rsidRPr="00987EA2">
        <w:rPr>
          <w:rFonts w:ascii="Palatino Linotype" w:eastAsia="Palatino Linotype" w:hAnsi="Palatino Linotype" w:cs="Palatino Linotype"/>
        </w:rPr>
        <w:t xml:space="preserve"> visible en el Seminario Judicial de la Federación y su gaceta, con el registro digital 2002350.</w:t>
      </w:r>
    </w:p>
    <w:p w:rsidR="00B41D96" w:rsidRPr="00987EA2" w:rsidRDefault="00F611F2">
      <w:pPr>
        <w:widowControl w:val="0"/>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B41D96" w:rsidRPr="00987EA2" w:rsidRDefault="00B41D96">
      <w:pPr>
        <w:widowControl w:val="0"/>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b/>
        </w:rPr>
        <w:lastRenderedPageBreak/>
        <w:t xml:space="preserve">9. Cierre de instrucción. </w:t>
      </w:r>
      <w:r w:rsidRPr="00987EA2">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987EA2">
        <w:rPr>
          <w:rFonts w:ascii="Palatino Linotype" w:eastAsia="Palatino Linotype" w:hAnsi="Palatino Linotype" w:cs="Palatino Linotype"/>
          <w:b/>
        </w:rPr>
        <w:t>dieciséis de mayo de dos mil veintitrés</w:t>
      </w:r>
      <w:r w:rsidRPr="00987EA2">
        <w:rPr>
          <w:rFonts w:ascii="Palatino Linotype" w:eastAsia="Palatino Linotype" w:hAnsi="Palatino Linotype" w:cs="Palatino Linotype"/>
        </w:rPr>
        <w:t xml:space="preserve">, la </w:t>
      </w:r>
      <w:r w:rsidRPr="00987EA2">
        <w:rPr>
          <w:rFonts w:ascii="Palatino Linotype" w:eastAsia="Palatino Linotype" w:hAnsi="Palatino Linotype" w:cs="Palatino Linotype"/>
          <w:b/>
        </w:rPr>
        <w:t>Comisionada Ponente</w:t>
      </w:r>
      <w:r w:rsidRPr="00987EA2">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y </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widowControl w:val="0"/>
        <w:numPr>
          <w:ilvl w:val="0"/>
          <w:numId w:val="9"/>
        </w:numPr>
        <w:pBdr>
          <w:top w:val="nil"/>
          <w:left w:val="nil"/>
          <w:bottom w:val="nil"/>
          <w:right w:val="nil"/>
          <w:between w:val="nil"/>
        </w:pBdr>
        <w:spacing w:line="360" w:lineRule="auto"/>
        <w:jc w:val="center"/>
        <w:rPr>
          <w:rFonts w:ascii="Palatino Linotype" w:eastAsia="Palatino Linotype" w:hAnsi="Palatino Linotype" w:cs="Palatino Linotype"/>
          <w:b/>
        </w:rPr>
      </w:pPr>
      <w:r w:rsidRPr="00987EA2">
        <w:rPr>
          <w:rFonts w:ascii="Palatino Linotype" w:eastAsia="Palatino Linotype" w:hAnsi="Palatino Linotype" w:cs="Palatino Linotype"/>
          <w:b/>
        </w:rPr>
        <w:t>C O N S I D E R A N D O:</w:t>
      </w:r>
    </w:p>
    <w:p w:rsidR="00B41D96" w:rsidRPr="00987EA2" w:rsidRDefault="00B41D96">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b/>
        </w:rPr>
        <w:t>PRIMERO. COMPETENCIA.</w:t>
      </w:r>
      <w:r w:rsidRPr="00987EA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w:t>
      </w:r>
      <w:r w:rsidRPr="00987EA2">
        <w:rPr>
          <w:rFonts w:ascii="Palatino Linotype" w:eastAsia="Palatino Linotype" w:hAnsi="Palatino Linotype" w:cs="Palatino Linotype"/>
        </w:rPr>
        <w:lastRenderedPageBreak/>
        <w:t>Información Pública y Protección de Datos Personales del Estado de México y Municipios.</w:t>
      </w:r>
    </w:p>
    <w:p w:rsidR="00B41D96" w:rsidRPr="00987EA2" w:rsidRDefault="00B41D96">
      <w:pPr>
        <w:spacing w:line="360" w:lineRule="auto"/>
        <w:jc w:val="both"/>
        <w:rPr>
          <w:rFonts w:ascii="Palatino Linotype" w:eastAsia="Palatino Linotype" w:hAnsi="Palatino Linotype" w:cs="Palatino Linotype"/>
          <w:b/>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b/>
        </w:rPr>
        <w:t>SEGUNDO. OPORTUNIDAD Y PROCEDIBILIDAD DEL RECURSO DE REVISIÓN</w:t>
      </w:r>
      <w:r w:rsidRPr="00987EA2">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bookmarkStart w:id="4" w:name="_heading=h.3znysh7" w:colFirst="0" w:colLast="0"/>
      <w:bookmarkEnd w:id="4"/>
      <w:r w:rsidRPr="00987EA2">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w:t>
      </w:r>
      <w:r w:rsidRPr="00987EA2">
        <w:rPr>
          <w:rFonts w:ascii="Palatino Linotype" w:eastAsia="Palatino Linotype" w:hAnsi="Palatino Linotype" w:cs="Palatino Linotype"/>
          <w:b/>
        </w:rPr>
        <w:t xml:space="preserve">EL SUJETO OBLIGADO </w:t>
      </w:r>
      <w:r w:rsidRPr="00987EA2">
        <w:rPr>
          <w:rFonts w:ascii="Palatino Linotype" w:eastAsia="Palatino Linotype" w:hAnsi="Palatino Linotype" w:cs="Palatino Linotype"/>
        </w:rPr>
        <w:t xml:space="preserve">remitió la respuesta a la solicitud de información el día </w:t>
      </w:r>
      <w:r w:rsidRPr="00987EA2">
        <w:rPr>
          <w:rFonts w:ascii="Palatino Linotype" w:eastAsia="Palatino Linotype" w:hAnsi="Palatino Linotype" w:cs="Palatino Linotype"/>
          <w:b/>
        </w:rPr>
        <w:t xml:space="preserve">veintiuno de septiembre de dos mil veintidós, </w:t>
      </w:r>
      <w:r w:rsidRPr="00987EA2">
        <w:rPr>
          <w:rFonts w:ascii="Palatino Linotype" w:eastAsia="Palatino Linotype" w:hAnsi="Palatino Linotype" w:cs="Palatino Linotype"/>
        </w:rPr>
        <w:t xml:space="preserve">mientras que el recurso de revisión interpuesto por </w:t>
      </w:r>
      <w:r w:rsidRPr="00987EA2">
        <w:rPr>
          <w:rFonts w:ascii="Palatino Linotype" w:eastAsia="Palatino Linotype" w:hAnsi="Palatino Linotype" w:cs="Palatino Linotype"/>
          <w:b/>
        </w:rPr>
        <w:t xml:space="preserve">LA PARTE RECURRENTE </w:t>
      </w:r>
      <w:r w:rsidRPr="00987EA2">
        <w:rPr>
          <w:rFonts w:ascii="Palatino Linotype" w:eastAsia="Palatino Linotype" w:hAnsi="Palatino Linotype" w:cs="Palatino Linotype"/>
        </w:rPr>
        <w:t xml:space="preserve">se tuvo por presentado el </w:t>
      </w:r>
      <w:r w:rsidRPr="00987EA2">
        <w:rPr>
          <w:rFonts w:ascii="Palatino Linotype" w:eastAsia="Palatino Linotype" w:hAnsi="Palatino Linotype" w:cs="Palatino Linotype"/>
          <w:b/>
        </w:rPr>
        <w:t>once de octubre de dos mil veintidós,</w:t>
      </w:r>
      <w:r w:rsidRPr="00987EA2">
        <w:rPr>
          <w:rFonts w:ascii="Palatino Linotype" w:eastAsia="Palatino Linotype" w:hAnsi="Palatino Linotype" w:cs="Palatino Linotype"/>
        </w:rPr>
        <w:t xml:space="preserve"> esto es al décimo cuarto día hábil siguiente de haber recibido la respuesta, por lo que se concluye que el presente recurso de revisión se encuentra dentro de los márgenes temporales previstos las disposiciones legales referidas.</w:t>
      </w:r>
    </w:p>
    <w:p w:rsidR="00B41D96" w:rsidRPr="00987EA2" w:rsidRDefault="00B41D96">
      <w:pPr>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w:t>
      </w:r>
      <w:r w:rsidRPr="00987EA2">
        <w:rPr>
          <w:rFonts w:ascii="Palatino Linotype" w:eastAsia="Palatino Linotype" w:hAnsi="Palatino Linotype" w:cs="Palatino Linotype"/>
        </w:rPr>
        <w:lastRenderedPageBreak/>
        <w:t>Municipios, en atención a que fue presentado mediante el formato visible en el SAIMEX.</w:t>
      </w:r>
    </w:p>
    <w:p w:rsidR="00B41D96" w:rsidRPr="00987EA2" w:rsidRDefault="00F611F2">
      <w:pPr>
        <w:spacing w:before="240" w:after="240"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Por otro lado, es de suma importancia mencionar que, si bien el</w:t>
      </w:r>
      <w:r w:rsidRPr="00987EA2">
        <w:rPr>
          <w:rFonts w:ascii="Palatino Linotype" w:eastAsia="Palatino Linotype" w:hAnsi="Palatino Linotype" w:cs="Palatino Linotype"/>
          <w:b/>
        </w:rPr>
        <w:t xml:space="preserve"> Recurrente</w:t>
      </w:r>
      <w:r w:rsidRPr="00987EA2">
        <w:rPr>
          <w:rFonts w:ascii="Palatino Linotype" w:eastAsia="Palatino Linotype" w:hAnsi="Palatino Linotype" w:cs="Palatino Linotype"/>
        </w:rPr>
        <w:t xml:space="preserv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B41D96" w:rsidRPr="00987EA2" w:rsidRDefault="00F611F2">
      <w:pPr>
        <w:spacing w:before="120" w:after="120" w:line="276" w:lineRule="auto"/>
        <w:ind w:left="851" w:right="902"/>
        <w:jc w:val="both"/>
        <w:rPr>
          <w:rFonts w:ascii="Palatino Linotype" w:eastAsia="Palatino Linotype" w:hAnsi="Palatino Linotype" w:cs="Palatino Linotype"/>
          <w:sz w:val="22"/>
          <w:szCs w:val="22"/>
        </w:rPr>
      </w:pPr>
      <w:r w:rsidRPr="00987EA2">
        <w:rPr>
          <w:rFonts w:ascii="Palatino Linotype" w:eastAsia="Palatino Linotype" w:hAnsi="Palatino Linotype" w:cs="Palatino Linotype"/>
          <w:i/>
          <w:sz w:val="22"/>
          <w:szCs w:val="22"/>
        </w:rPr>
        <w:t>"</w:t>
      </w:r>
      <w:r w:rsidRPr="00987EA2">
        <w:rPr>
          <w:rFonts w:ascii="Palatino Linotype" w:eastAsia="Palatino Linotype" w:hAnsi="Palatino Linotype" w:cs="Palatino Linotype"/>
          <w:b/>
          <w:i/>
          <w:sz w:val="22"/>
          <w:szCs w:val="22"/>
        </w:rPr>
        <w:t>Las solicitudes anónimas</w:t>
      </w:r>
      <w:r w:rsidRPr="00987EA2">
        <w:rPr>
          <w:rFonts w:ascii="Palatino Linotype" w:eastAsia="Palatino Linotype" w:hAnsi="Palatino Linotype" w:cs="Palatino Linotype"/>
          <w:i/>
          <w:sz w:val="22"/>
          <w:szCs w:val="22"/>
        </w:rPr>
        <w:t>, con nombre incompleto o seudónimo </w:t>
      </w:r>
      <w:r w:rsidRPr="00987EA2">
        <w:rPr>
          <w:rFonts w:ascii="Palatino Linotype" w:eastAsia="Palatino Linotype" w:hAnsi="Palatino Linotype" w:cs="Palatino Linotype"/>
          <w:b/>
          <w:i/>
          <w:sz w:val="22"/>
          <w:szCs w:val="22"/>
        </w:rPr>
        <w:t>serán procedentes para su trámite por parte del sujeto obligado ante quien se presente</w:t>
      </w:r>
      <w:r w:rsidRPr="00987EA2">
        <w:rPr>
          <w:rFonts w:ascii="Palatino Linotype" w:eastAsia="Palatino Linotype" w:hAnsi="Palatino Linotype" w:cs="Palatino Linotype"/>
          <w:i/>
          <w:sz w:val="22"/>
          <w:szCs w:val="22"/>
        </w:rPr>
        <w:t>. No podrá requerirse información adicional con motivo del nombre proporcionado por el solicitante."</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Finalmente, se advierte que resulta procedente la interposición del recurso, según lo manifestado por </w:t>
      </w:r>
      <w:r w:rsidRPr="00987EA2">
        <w:rPr>
          <w:rFonts w:ascii="Palatino Linotype" w:eastAsia="Palatino Linotype" w:hAnsi="Palatino Linotype" w:cs="Palatino Linotype"/>
          <w:b/>
        </w:rPr>
        <w:t>LA PARTE RECURRENTE</w:t>
      </w:r>
      <w:r w:rsidRPr="00987EA2">
        <w:rPr>
          <w:rFonts w:ascii="Palatino Linotype" w:eastAsia="Palatino Linotype" w:hAnsi="Palatino Linotype" w:cs="Palatino Linotype"/>
        </w:rPr>
        <w:t xml:space="preserve"> en sus motivos de inconformidad, de acuerdo al artículo 179, fracciones III y V del ordenamiento legal citado, que a la letra dice: </w:t>
      </w:r>
    </w:p>
    <w:p w:rsidR="00B41D96" w:rsidRPr="00987EA2" w:rsidRDefault="00B41D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Artículo 179. El recurso de revisión es un medio de protección que la Ley otorga a los particulares, para hacer valer su derecho de acceso a la información pública, y procederá en contra de las siguientes causas:</w:t>
      </w:r>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987EA2">
        <w:rPr>
          <w:rFonts w:ascii="Palatino Linotype" w:eastAsia="Palatino Linotype" w:hAnsi="Palatino Linotype" w:cs="Palatino Linotype"/>
          <w:b/>
          <w:i/>
          <w:sz w:val="22"/>
          <w:szCs w:val="22"/>
        </w:rPr>
        <w:t xml:space="preserve"> (…)</w:t>
      </w:r>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987EA2">
        <w:rPr>
          <w:rFonts w:ascii="Palatino Linotype" w:eastAsia="Palatino Linotype" w:hAnsi="Palatino Linotype" w:cs="Palatino Linotype"/>
          <w:b/>
          <w:i/>
          <w:sz w:val="22"/>
          <w:szCs w:val="22"/>
        </w:rPr>
        <w:t>III. La declaración de inexistencia de la información</w:t>
      </w:r>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987EA2">
        <w:rPr>
          <w:rFonts w:ascii="Palatino Linotype" w:eastAsia="Palatino Linotype" w:hAnsi="Palatino Linotype" w:cs="Palatino Linotype"/>
          <w:b/>
          <w:i/>
          <w:sz w:val="22"/>
          <w:szCs w:val="22"/>
        </w:rPr>
        <w:t>(…)</w:t>
      </w:r>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987EA2">
        <w:rPr>
          <w:rFonts w:ascii="Palatino Linotype" w:eastAsia="Palatino Linotype" w:hAnsi="Palatino Linotype" w:cs="Palatino Linotype"/>
          <w:b/>
          <w:i/>
          <w:sz w:val="22"/>
          <w:szCs w:val="22"/>
        </w:rPr>
        <w:t>V. La entrega de información incompleta;</w:t>
      </w:r>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987EA2">
        <w:rPr>
          <w:rFonts w:ascii="Palatino Linotype" w:eastAsia="Palatino Linotype" w:hAnsi="Palatino Linotype" w:cs="Palatino Linotype"/>
          <w:b/>
          <w:i/>
          <w:sz w:val="22"/>
          <w:szCs w:val="22"/>
        </w:rPr>
        <w:t xml:space="preserve"> (…)</w:t>
      </w:r>
    </w:p>
    <w:p w:rsidR="00B41D96" w:rsidRPr="00987EA2" w:rsidRDefault="00B41D96">
      <w:pPr>
        <w:spacing w:line="360" w:lineRule="auto"/>
        <w:jc w:val="both"/>
        <w:rPr>
          <w:rFonts w:ascii="Palatino Linotype" w:eastAsia="Palatino Linotype" w:hAnsi="Palatino Linotype" w:cs="Palatino Linotype"/>
          <w:i/>
          <w:sz w:val="22"/>
          <w:szCs w:val="22"/>
        </w:rPr>
      </w:pPr>
      <w:bookmarkStart w:id="5" w:name="_heading=h.2et92p0" w:colFirst="0" w:colLast="0"/>
      <w:bookmarkEnd w:id="5"/>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b/>
        </w:rPr>
        <w:lastRenderedPageBreak/>
        <w:t xml:space="preserve">TERCERO. MATERIA DE LA REVISIÓN. </w:t>
      </w:r>
      <w:r w:rsidRPr="00987EA2">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verificar si la respuesta otorgada por </w:t>
      </w:r>
      <w:r w:rsidRPr="00987EA2">
        <w:rPr>
          <w:rFonts w:ascii="Palatino Linotype" w:eastAsia="Palatino Linotype" w:hAnsi="Palatino Linotype" w:cs="Palatino Linotype"/>
          <w:b/>
        </w:rPr>
        <w:t>EL SUJETO OBLIGADO</w:t>
      </w:r>
      <w:r w:rsidRPr="00987EA2">
        <w:rPr>
          <w:rFonts w:ascii="Palatino Linotype" w:eastAsia="Palatino Linotype" w:hAnsi="Palatino Linotype" w:cs="Palatino Linotype"/>
        </w:rPr>
        <w:t xml:space="preserve"> es adecuada y suficiente para satisfacer el Derecho de Acceso a la Información Pública</w:t>
      </w:r>
      <w:r w:rsidRPr="00987EA2">
        <w:rPr>
          <w:rFonts w:ascii="Palatino Linotype" w:eastAsia="Palatino Linotype" w:hAnsi="Palatino Linotype" w:cs="Palatino Linotype"/>
          <w:b/>
        </w:rPr>
        <w:t xml:space="preserve"> </w:t>
      </w:r>
      <w:r w:rsidRPr="00987EA2">
        <w:rPr>
          <w:rFonts w:ascii="Palatino Linotype" w:eastAsia="Palatino Linotype" w:hAnsi="Palatino Linotype" w:cs="Palatino Linotype"/>
        </w:rPr>
        <w:t xml:space="preserve">de </w:t>
      </w:r>
      <w:r w:rsidRPr="00987EA2">
        <w:rPr>
          <w:rFonts w:ascii="Palatino Linotype" w:eastAsia="Palatino Linotype" w:hAnsi="Palatino Linotype" w:cs="Palatino Linotype"/>
          <w:b/>
        </w:rPr>
        <w:t>LA PARTE RECURRENTE</w:t>
      </w:r>
      <w:r w:rsidRPr="00987EA2">
        <w:rPr>
          <w:rFonts w:ascii="Palatino Linotype" w:eastAsia="Palatino Linotype" w:hAnsi="Palatino Linotype" w:cs="Palatino Linotype"/>
        </w:rPr>
        <w:t>, o en su defecto, en caso de ser procedente, ordenar la entrega de información oportuna.</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ind w:right="51"/>
        <w:jc w:val="both"/>
        <w:rPr>
          <w:rFonts w:ascii="Palatino Linotype" w:eastAsia="Palatino Linotype" w:hAnsi="Palatino Linotype" w:cs="Palatino Linotype"/>
          <w:b/>
        </w:rPr>
      </w:pPr>
      <w:r w:rsidRPr="00987EA2">
        <w:rPr>
          <w:rFonts w:ascii="Palatino Linotype" w:eastAsia="Palatino Linotype" w:hAnsi="Palatino Linotype" w:cs="Palatino Linotype"/>
          <w:b/>
        </w:rPr>
        <w:t xml:space="preserve">CUARTO. ESTUDIO DEL ASUNTO. </w:t>
      </w:r>
      <w:r w:rsidRPr="00987EA2">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B41D96" w:rsidRPr="00987EA2" w:rsidRDefault="00B41D96">
      <w:pPr>
        <w:tabs>
          <w:tab w:val="left" w:pos="709"/>
        </w:tabs>
        <w:ind w:left="851" w:right="616"/>
        <w:jc w:val="both"/>
        <w:rPr>
          <w:rFonts w:ascii="Palatino Linotype" w:eastAsia="Palatino Linotype" w:hAnsi="Palatino Linotype" w:cs="Palatino Linotype"/>
          <w:b/>
          <w:i/>
          <w:sz w:val="22"/>
          <w:szCs w:val="22"/>
          <w:u w:val="single"/>
        </w:rPr>
      </w:pPr>
    </w:p>
    <w:p w:rsidR="00B41D96" w:rsidRPr="00987EA2" w:rsidRDefault="00F611F2">
      <w:pPr>
        <w:tabs>
          <w:tab w:val="left" w:pos="709"/>
        </w:tabs>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987EA2">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B41D96" w:rsidRPr="00987EA2" w:rsidRDefault="00F611F2">
      <w:pPr>
        <w:tabs>
          <w:tab w:val="left" w:pos="709"/>
        </w:tabs>
        <w:ind w:left="851" w:right="616"/>
        <w:jc w:val="both"/>
        <w:rPr>
          <w:rFonts w:ascii="Palatino Linotype" w:eastAsia="Palatino Linotype" w:hAnsi="Palatino Linotype" w:cs="Palatino Linotype"/>
          <w:b/>
          <w:i/>
          <w:sz w:val="22"/>
          <w:szCs w:val="22"/>
        </w:rPr>
      </w:pPr>
      <w:r w:rsidRPr="00987EA2">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B41D96" w:rsidRPr="00987EA2" w:rsidRDefault="00F611F2">
      <w:pPr>
        <w:tabs>
          <w:tab w:val="left" w:pos="709"/>
        </w:tabs>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987EA2">
        <w:rPr>
          <w:rFonts w:ascii="Palatino Linotype" w:eastAsia="Palatino Linotype" w:hAnsi="Palatino Linotype" w:cs="Palatino Linotype"/>
          <w:i/>
          <w:sz w:val="22"/>
          <w:szCs w:val="22"/>
        </w:rPr>
        <w:t xml:space="preserve"> En consecuencia, el Estado </w:t>
      </w:r>
      <w:r w:rsidRPr="00987EA2">
        <w:rPr>
          <w:rFonts w:ascii="Palatino Linotype" w:eastAsia="Palatino Linotype" w:hAnsi="Palatino Linotype" w:cs="Palatino Linotype"/>
          <w:i/>
          <w:sz w:val="22"/>
          <w:szCs w:val="22"/>
        </w:rPr>
        <w:lastRenderedPageBreak/>
        <w:t>deberá prevenir, investigar, sancionar y reparar las violaciones a los derechos humanos, en los términos que establezca la ley</w:t>
      </w:r>
    </w:p>
    <w:p w:rsidR="00B41D96" w:rsidRPr="00987EA2" w:rsidRDefault="00F611F2">
      <w:pPr>
        <w:tabs>
          <w:tab w:val="left" w:pos="709"/>
        </w:tabs>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w:t>
      </w:r>
    </w:p>
    <w:p w:rsidR="00B41D96" w:rsidRPr="00987EA2" w:rsidRDefault="00B41D96">
      <w:pPr>
        <w:ind w:left="851" w:right="616"/>
        <w:jc w:val="both"/>
        <w:rPr>
          <w:rFonts w:ascii="Palatino Linotype" w:eastAsia="Palatino Linotype" w:hAnsi="Palatino Linotype" w:cs="Palatino Linotype"/>
          <w:b/>
          <w:i/>
          <w:sz w:val="22"/>
          <w:szCs w:val="22"/>
        </w:rPr>
      </w:pP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Artículo 6o.</w:t>
      </w: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w:t>
      </w: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 xml:space="preserve">A. Para el ejercicio del derecho de acceso a la información, la Federación y </w:t>
      </w:r>
      <w:r w:rsidRPr="00987EA2">
        <w:rPr>
          <w:rFonts w:ascii="Palatino Linotype" w:eastAsia="Palatino Linotype" w:hAnsi="Palatino Linotype" w:cs="Palatino Linotype"/>
          <w:b/>
          <w:i/>
          <w:sz w:val="22"/>
          <w:szCs w:val="22"/>
          <w:u w:val="single"/>
        </w:rPr>
        <w:t>las entidades federativas</w:t>
      </w:r>
      <w:r w:rsidRPr="00987EA2">
        <w:rPr>
          <w:rFonts w:ascii="Palatino Linotype" w:eastAsia="Palatino Linotype" w:hAnsi="Palatino Linotype" w:cs="Palatino Linotype"/>
          <w:b/>
          <w:i/>
          <w:sz w:val="22"/>
          <w:szCs w:val="22"/>
        </w:rPr>
        <w:t>,</w:t>
      </w:r>
      <w:r w:rsidRPr="00987EA2">
        <w:rPr>
          <w:rFonts w:ascii="Palatino Linotype" w:eastAsia="Palatino Linotype" w:hAnsi="Palatino Linotype" w:cs="Palatino Linotype"/>
          <w:i/>
          <w:sz w:val="22"/>
          <w:szCs w:val="22"/>
        </w:rPr>
        <w:t xml:space="preserve"> en el ámbito de sus respectivas competencias, se regirán por los siguientes principios y bases:</w:t>
      </w: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 xml:space="preserve">I. </w:t>
      </w:r>
      <w:r w:rsidRPr="00987EA2">
        <w:rPr>
          <w:rFonts w:ascii="Palatino Linotype" w:eastAsia="Palatino Linotype" w:hAnsi="Palatino Linotype" w:cs="Palatino Linotype"/>
          <w:b/>
          <w:i/>
          <w:sz w:val="22"/>
          <w:szCs w:val="22"/>
          <w:u w:val="single"/>
        </w:rPr>
        <w:t>Toda la información en posesión de cualquier autoridad, entidad, órgano y organismo de los Poderes</w:t>
      </w:r>
      <w:r w:rsidRPr="00987EA2">
        <w:rPr>
          <w:rFonts w:ascii="Palatino Linotype" w:eastAsia="Palatino Linotype" w:hAnsi="Palatino Linotype" w:cs="Palatino Linotype"/>
          <w:i/>
          <w:sz w:val="22"/>
          <w:szCs w:val="22"/>
        </w:rPr>
        <w:t xml:space="preserve"> Ejecutivo, Legislativo </w:t>
      </w:r>
      <w:r w:rsidRPr="00987EA2">
        <w:rPr>
          <w:rFonts w:ascii="Palatino Linotype" w:eastAsia="Palatino Linotype" w:hAnsi="Palatino Linotype" w:cs="Palatino Linotype"/>
          <w:b/>
          <w:i/>
          <w:sz w:val="22"/>
          <w:szCs w:val="22"/>
          <w:u w:val="single"/>
        </w:rPr>
        <w:t>y Judicial</w:t>
      </w:r>
      <w:r w:rsidRPr="00987EA2">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987EA2">
        <w:rPr>
          <w:rFonts w:ascii="Palatino Linotype" w:eastAsia="Palatino Linotype" w:hAnsi="Palatino Linotype" w:cs="Palatino Linotype"/>
          <w:b/>
          <w:i/>
          <w:sz w:val="22"/>
          <w:szCs w:val="22"/>
        </w:rPr>
        <w:t>es pública y sólo podrá ser reservada temporalmente por razones de interés público y seguridad nacional,</w:t>
      </w:r>
      <w:r w:rsidRPr="00987EA2">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 </w:t>
      </w:r>
    </w:p>
    <w:p w:rsidR="00B41D96" w:rsidRPr="00987EA2" w:rsidRDefault="00F611F2">
      <w:pPr>
        <w:ind w:left="851" w:right="616"/>
        <w:jc w:val="both"/>
        <w:rPr>
          <w:rFonts w:ascii="Palatino Linotype" w:eastAsia="Palatino Linotype" w:hAnsi="Palatino Linotype" w:cs="Palatino Linotype"/>
          <w:b/>
          <w:i/>
          <w:sz w:val="22"/>
          <w:szCs w:val="22"/>
        </w:rPr>
      </w:pPr>
      <w:r w:rsidRPr="00987EA2">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 </w:t>
      </w: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 xml:space="preserve">III. </w:t>
      </w:r>
      <w:r w:rsidRPr="00987EA2">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987EA2">
        <w:rPr>
          <w:rFonts w:ascii="Palatino Linotype" w:eastAsia="Palatino Linotype" w:hAnsi="Palatino Linotype" w:cs="Palatino Linotype"/>
          <w:i/>
          <w:sz w:val="22"/>
          <w:szCs w:val="22"/>
        </w:rPr>
        <w:t xml:space="preserve"> a sus datos personales o a la rectificación de éstos.</w:t>
      </w: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 </w:t>
      </w: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 xml:space="preserve">IV. </w:t>
      </w:r>
      <w:r w:rsidRPr="00987EA2">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B41D96" w:rsidRPr="00987EA2" w:rsidRDefault="00B41D96">
      <w:pPr>
        <w:ind w:left="851" w:right="616"/>
        <w:jc w:val="both"/>
        <w:rPr>
          <w:rFonts w:ascii="Palatino Linotype" w:eastAsia="Palatino Linotype" w:hAnsi="Palatino Linotype" w:cs="Palatino Linotype"/>
          <w:i/>
          <w:sz w:val="22"/>
          <w:szCs w:val="22"/>
        </w:rPr>
      </w:pP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 xml:space="preserve">V. </w:t>
      </w:r>
      <w:r w:rsidRPr="00987EA2">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 </w:t>
      </w: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lastRenderedPageBreak/>
        <w:t xml:space="preserve">VI. </w:t>
      </w:r>
      <w:r w:rsidRPr="00987EA2">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 </w:t>
      </w: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 xml:space="preserve">VII. </w:t>
      </w:r>
      <w:r w:rsidRPr="00987EA2">
        <w:rPr>
          <w:rFonts w:ascii="Palatino Linotype" w:eastAsia="Palatino Linotype" w:hAnsi="Palatino Linotype" w:cs="Palatino Linotype"/>
          <w:i/>
          <w:sz w:val="22"/>
          <w:szCs w:val="22"/>
        </w:rPr>
        <w:t xml:space="preserve">La inobservancia a las disposiciones en materia de acceso a la información pública será sancionada en los términos que dispongan las leyes. </w:t>
      </w: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 xml:space="preserve">[...] </w:t>
      </w:r>
    </w:p>
    <w:p w:rsidR="00B41D96" w:rsidRPr="00987EA2" w:rsidRDefault="00F611F2">
      <w:pPr>
        <w:ind w:left="851" w:right="616"/>
        <w:jc w:val="both"/>
        <w:rPr>
          <w:rFonts w:ascii="Palatino Linotype" w:eastAsia="Palatino Linotype" w:hAnsi="Palatino Linotype" w:cs="Palatino Linotype"/>
          <w:b/>
          <w:i/>
          <w:sz w:val="22"/>
          <w:szCs w:val="22"/>
        </w:rPr>
      </w:pPr>
      <w:r w:rsidRPr="00987EA2">
        <w:rPr>
          <w:rFonts w:ascii="Palatino Linotype" w:eastAsia="Palatino Linotype" w:hAnsi="Palatino Linotype" w:cs="Palatino Linotype"/>
          <w:b/>
          <w:i/>
          <w:sz w:val="22"/>
          <w:szCs w:val="22"/>
        </w:rPr>
        <w:t xml:space="preserve">Énfasis añadido </w:t>
      </w:r>
    </w:p>
    <w:p w:rsidR="00B41D96" w:rsidRPr="00987EA2" w:rsidRDefault="00B41D96">
      <w:pPr>
        <w:tabs>
          <w:tab w:val="left" w:pos="709"/>
        </w:tabs>
        <w:spacing w:line="360" w:lineRule="auto"/>
        <w:jc w:val="both"/>
        <w:rPr>
          <w:rFonts w:ascii="Palatino Linotype" w:eastAsia="Palatino Linotype" w:hAnsi="Palatino Linotype" w:cs="Palatino Linotype"/>
        </w:rPr>
      </w:pPr>
    </w:p>
    <w:p w:rsidR="00B41D96" w:rsidRPr="00987EA2" w:rsidRDefault="00F611F2">
      <w:pPr>
        <w:tabs>
          <w:tab w:val="left" w:pos="709"/>
        </w:tabs>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B41D96" w:rsidRPr="00987EA2" w:rsidRDefault="00B41D96">
      <w:pPr>
        <w:tabs>
          <w:tab w:val="left" w:pos="709"/>
        </w:tabs>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En primer lugar, es conveniente analizar si la respuesta del </w:t>
      </w:r>
      <w:r w:rsidRPr="00987EA2">
        <w:rPr>
          <w:rFonts w:ascii="Palatino Linotype" w:eastAsia="Palatino Linotype" w:hAnsi="Palatino Linotype" w:cs="Palatino Linotype"/>
          <w:b/>
        </w:rPr>
        <w:t>SUJETO OBLIGADO</w:t>
      </w:r>
      <w:r w:rsidRPr="00987EA2">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lastRenderedPageBreak/>
        <w:t>Artículo 4.</w:t>
      </w:r>
      <w:r w:rsidRPr="00987EA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987EA2">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987EA2">
        <w:rPr>
          <w:rFonts w:ascii="Palatino Linotype" w:eastAsia="Palatino Linotype" w:hAnsi="Palatino Linotype" w:cs="Palatino Linotype"/>
          <w:i/>
          <w:sz w:val="22"/>
          <w:szCs w:val="22"/>
        </w:rPr>
        <w:t>.</w:t>
      </w: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 xml:space="preserve">Énfasis añadido </w:t>
      </w:r>
    </w:p>
    <w:p w:rsidR="00B41D96" w:rsidRPr="00987EA2" w:rsidRDefault="00B41D96">
      <w:pPr>
        <w:ind w:left="851" w:right="760"/>
        <w:jc w:val="both"/>
        <w:rPr>
          <w:rFonts w:ascii="Palatino Linotype" w:eastAsia="Palatino Linotype" w:hAnsi="Palatino Linotype" w:cs="Palatino Linotype"/>
          <w:i/>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B41D96" w:rsidRPr="00987EA2" w:rsidRDefault="00B41D96">
      <w:pPr>
        <w:ind w:left="851" w:right="616"/>
        <w:jc w:val="both"/>
        <w:rPr>
          <w:rFonts w:ascii="Palatino Linotype" w:eastAsia="Palatino Linotype" w:hAnsi="Palatino Linotype" w:cs="Palatino Linotype"/>
          <w:b/>
          <w:i/>
          <w:sz w:val="22"/>
          <w:szCs w:val="22"/>
        </w:rPr>
      </w:pP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Artículo 12.-</w:t>
      </w:r>
      <w:r w:rsidRPr="00987EA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987EA2">
        <w:rPr>
          <w:rFonts w:ascii="Palatino Linotype" w:eastAsia="Palatino Linotype" w:hAnsi="Palatino Linotype" w:cs="Palatino Linotype"/>
          <w:i/>
          <w:sz w:val="22"/>
          <w:szCs w:val="22"/>
        </w:rPr>
        <w:t xml:space="preserve">. </w:t>
      </w:r>
      <w:r w:rsidRPr="00987EA2">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w:t>
      </w:r>
      <w:r w:rsidRPr="00987EA2">
        <w:rPr>
          <w:rFonts w:ascii="Palatino Linotype" w:eastAsia="Palatino Linotype" w:hAnsi="Palatino Linotype" w:cs="Palatino Linotype"/>
          <w:b/>
          <w:i/>
          <w:sz w:val="22"/>
          <w:szCs w:val="22"/>
        </w:rPr>
        <w:lastRenderedPageBreak/>
        <w:t>obligados a generarla, resumirla, efectuar cálculos o practicar investigaciones.</w:t>
      </w:r>
    </w:p>
    <w:p w:rsidR="00B41D96" w:rsidRPr="00987EA2" w:rsidRDefault="00F611F2">
      <w:pPr>
        <w:ind w:left="851" w:right="616"/>
        <w:jc w:val="both"/>
        <w:rPr>
          <w:rFonts w:ascii="Palatino Linotype" w:eastAsia="Palatino Linotype" w:hAnsi="Palatino Linotype" w:cs="Palatino Linotype"/>
          <w:b/>
          <w:i/>
          <w:sz w:val="22"/>
          <w:szCs w:val="22"/>
        </w:rPr>
      </w:pPr>
      <w:r w:rsidRPr="00987EA2">
        <w:rPr>
          <w:rFonts w:ascii="Palatino Linotype" w:eastAsia="Palatino Linotype" w:hAnsi="Palatino Linotype" w:cs="Palatino Linotype"/>
          <w:b/>
          <w:i/>
          <w:sz w:val="22"/>
          <w:szCs w:val="22"/>
        </w:rPr>
        <w:t xml:space="preserve">Énfasis añadido </w:t>
      </w:r>
    </w:p>
    <w:p w:rsidR="00B41D96" w:rsidRPr="00987EA2" w:rsidRDefault="00B41D96">
      <w:pPr>
        <w:spacing w:line="360" w:lineRule="auto"/>
        <w:ind w:right="-93"/>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ind w:right="49"/>
        <w:jc w:val="both"/>
        <w:rPr>
          <w:rFonts w:ascii="Palatino Linotype" w:eastAsia="Palatino Linotype" w:hAnsi="Palatino Linotype" w:cs="Palatino Linotype"/>
        </w:rPr>
      </w:pPr>
      <w:r w:rsidRPr="00987EA2">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la Persona Servidora Público Habilitada de cada Sujeto Obligado; como así se establece en la Ley de Transparencia y Acceso a la Información Pública del Estado de México y Municipios.</w:t>
      </w:r>
    </w:p>
    <w:p w:rsidR="00B41D96" w:rsidRPr="00987EA2" w:rsidRDefault="00B41D96">
      <w:pPr>
        <w:spacing w:line="360" w:lineRule="auto"/>
        <w:ind w:right="49"/>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Por otra parte, conviene mencionar que la Ley de Transparencia vigente en el Estado de México refiere: </w:t>
      </w:r>
    </w:p>
    <w:p w:rsidR="00B41D96" w:rsidRPr="00987EA2" w:rsidRDefault="00B41D96">
      <w:pPr>
        <w:ind w:left="851" w:right="616"/>
        <w:jc w:val="both"/>
        <w:rPr>
          <w:rFonts w:ascii="Palatino Linotype" w:eastAsia="Palatino Linotype" w:hAnsi="Palatino Linotype" w:cs="Palatino Linotype"/>
          <w:b/>
          <w:i/>
          <w:sz w:val="22"/>
          <w:szCs w:val="22"/>
        </w:rPr>
      </w:pP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Artículo 18.</w:t>
      </w:r>
      <w:r w:rsidRPr="00987EA2">
        <w:rPr>
          <w:rFonts w:ascii="Palatino Linotype" w:eastAsia="Palatino Linotype" w:hAnsi="Palatino Linotype" w:cs="Palatino Linotype"/>
          <w:i/>
          <w:sz w:val="22"/>
          <w:szCs w:val="22"/>
        </w:rPr>
        <w:t xml:space="preserve"> </w:t>
      </w:r>
      <w:r w:rsidRPr="00987EA2">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987EA2">
        <w:rPr>
          <w:rFonts w:ascii="Palatino Linotype" w:eastAsia="Palatino Linotype" w:hAnsi="Palatino Linotype" w:cs="Palatino Linotype"/>
          <w:i/>
          <w:sz w:val="22"/>
          <w:szCs w:val="22"/>
        </w:rPr>
        <w:t xml:space="preserve"> y reutilización de la información que generen.</w:t>
      </w:r>
    </w:p>
    <w:p w:rsidR="00B41D96" w:rsidRPr="00987EA2" w:rsidRDefault="00B41D96">
      <w:pPr>
        <w:ind w:left="851" w:right="616"/>
        <w:jc w:val="both"/>
        <w:rPr>
          <w:rFonts w:ascii="Palatino Linotype" w:eastAsia="Palatino Linotype" w:hAnsi="Palatino Linotype" w:cs="Palatino Linotype"/>
          <w:b/>
          <w:i/>
          <w:sz w:val="22"/>
          <w:szCs w:val="22"/>
        </w:rPr>
      </w:pP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lastRenderedPageBreak/>
        <w:t xml:space="preserve">Artículo 19. </w:t>
      </w:r>
      <w:r w:rsidRPr="00987EA2">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987EA2">
        <w:rPr>
          <w:rFonts w:ascii="Palatino Linotype" w:eastAsia="Palatino Linotype" w:hAnsi="Palatino Linotype" w:cs="Palatino Linotype"/>
          <w:i/>
          <w:sz w:val="22"/>
          <w:szCs w:val="22"/>
        </w:rPr>
        <w:t>.</w:t>
      </w:r>
    </w:p>
    <w:p w:rsidR="00B41D96" w:rsidRPr="00987EA2" w:rsidRDefault="00B41D96">
      <w:pPr>
        <w:ind w:left="851" w:right="616"/>
        <w:jc w:val="both"/>
        <w:rPr>
          <w:rFonts w:ascii="Palatino Linotype" w:eastAsia="Palatino Linotype" w:hAnsi="Palatino Linotype" w:cs="Palatino Linotype"/>
          <w:i/>
          <w:sz w:val="22"/>
          <w:szCs w:val="22"/>
        </w:rPr>
      </w:pP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rsidR="00B41D96" w:rsidRPr="00987EA2" w:rsidRDefault="00B41D96">
      <w:pPr>
        <w:ind w:left="851" w:right="616"/>
        <w:jc w:val="both"/>
        <w:rPr>
          <w:rFonts w:ascii="Palatino Linotype" w:eastAsia="Palatino Linotype" w:hAnsi="Palatino Linotype" w:cs="Palatino Linotype"/>
          <w:i/>
          <w:sz w:val="22"/>
          <w:szCs w:val="22"/>
        </w:rPr>
      </w:pP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B41D96" w:rsidRPr="00987EA2" w:rsidRDefault="00F611F2">
      <w:pPr>
        <w:ind w:left="851" w:right="616"/>
        <w:jc w:val="both"/>
        <w:rPr>
          <w:rFonts w:ascii="Palatino Linotype" w:eastAsia="Palatino Linotype" w:hAnsi="Palatino Linotype" w:cs="Palatino Linotype"/>
          <w:b/>
          <w:i/>
          <w:sz w:val="22"/>
          <w:szCs w:val="22"/>
        </w:rPr>
      </w:pPr>
      <w:r w:rsidRPr="00987EA2">
        <w:rPr>
          <w:rFonts w:ascii="Palatino Linotype" w:eastAsia="Palatino Linotype" w:hAnsi="Palatino Linotype" w:cs="Palatino Linotype"/>
          <w:b/>
          <w:i/>
          <w:sz w:val="22"/>
          <w:szCs w:val="22"/>
        </w:rPr>
        <w:t xml:space="preserve">Énfasis añadido </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w:t>
      </w:r>
      <w:r w:rsidRPr="00987EA2">
        <w:rPr>
          <w:rFonts w:ascii="Palatino Linotype" w:eastAsia="Palatino Linotype" w:hAnsi="Palatino Linotype" w:cs="Palatino Linotype"/>
          <w:b/>
        </w:rPr>
        <w:t>EL SUJETO OBLIGADO</w:t>
      </w:r>
      <w:r w:rsidRPr="00987EA2">
        <w:rPr>
          <w:rFonts w:ascii="Palatino Linotype" w:eastAsia="Palatino Linotype" w:hAnsi="Palatino Linotype" w:cs="Palatino Linotype"/>
        </w:rPr>
        <w:t xml:space="preserve">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w:t>
      </w:r>
      <w:r w:rsidRPr="00987EA2">
        <w:rPr>
          <w:rFonts w:ascii="Palatino Linotype" w:eastAsia="Palatino Linotype" w:hAnsi="Palatino Linotype" w:cs="Palatino Linotype"/>
        </w:rPr>
        <w:lastRenderedPageBreak/>
        <w:t xml:space="preserve">podrán estar en cualquier medio, sea escrito, impreso, sonoro, visual, electrónico, informático u holográfico de conformidad con el artículo 3, fracción XI de la Ley de la materia, el cual señala lo siguiente: </w:t>
      </w:r>
    </w:p>
    <w:p w:rsidR="00B41D96" w:rsidRPr="00987EA2" w:rsidRDefault="00B41D96">
      <w:pPr>
        <w:ind w:left="851" w:right="899"/>
        <w:jc w:val="both"/>
        <w:rPr>
          <w:rFonts w:ascii="Palatino Linotype" w:eastAsia="Palatino Linotype" w:hAnsi="Palatino Linotype" w:cs="Palatino Linotype"/>
          <w:i/>
          <w:sz w:val="22"/>
          <w:szCs w:val="22"/>
        </w:rPr>
      </w:pPr>
    </w:p>
    <w:p w:rsidR="00B41D96" w:rsidRPr="00987EA2" w:rsidRDefault="00F611F2">
      <w:pPr>
        <w:ind w:left="851" w:right="899"/>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 xml:space="preserve">Artículo 3. </w:t>
      </w:r>
      <w:r w:rsidRPr="00987EA2">
        <w:rPr>
          <w:rFonts w:ascii="Palatino Linotype" w:eastAsia="Palatino Linotype" w:hAnsi="Palatino Linotype" w:cs="Palatino Linotype"/>
          <w:i/>
          <w:sz w:val="22"/>
          <w:szCs w:val="22"/>
        </w:rPr>
        <w:t>Para los efectos de la presente Ley se entenderá por:</w:t>
      </w:r>
    </w:p>
    <w:p w:rsidR="00B41D96" w:rsidRPr="00987EA2" w:rsidRDefault="00F611F2">
      <w:pPr>
        <w:ind w:left="851" w:right="899"/>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w:t>
      </w: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XI. Documento:</w:t>
      </w:r>
      <w:r w:rsidRPr="00987EA2">
        <w:rPr>
          <w:rFonts w:ascii="Palatino Linotype" w:eastAsia="Palatino Linotype" w:hAnsi="Palatino Linotype" w:cs="Palatino Linotype"/>
          <w:i/>
          <w:sz w:val="22"/>
          <w:szCs w:val="22"/>
        </w:rPr>
        <w:t xml:space="preserve"> Los expedientes, reportes, estudios, actas</w:t>
      </w:r>
      <w:r w:rsidRPr="00987EA2">
        <w:rPr>
          <w:rFonts w:ascii="Palatino Linotype" w:eastAsia="Palatino Linotype" w:hAnsi="Palatino Linotype" w:cs="Palatino Linotype"/>
          <w:b/>
          <w:i/>
          <w:sz w:val="22"/>
          <w:szCs w:val="22"/>
        </w:rPr>
        <w:t>,</w:t>
      </w:r>
      <w:r w:rsidRPr="00987EA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w:t>
      </w:r>
      <w:r w:rsidRPr="00987EA2">
        <w:rPr>
          <w:rFonts w:ascii="Palatino Linotype" w:eastAsia="Palatino Linotype" w:hAnsi="Palatino Linotype" w:cs="Palatino Linotype"/>
          <w:b/>
          <w:i/>
          <w:sz w:val="22"/>
          <w:szCs w:val="22"/>
          <w:u w:val="single"/>
        </w:rPr>
        <w:t>registro que documente el ejercicio de las facultades, funciones y competencias de los sujetos obligados</w:t>
      </w:r>
      <w:r w:rsidRPr="00987EA2">
        <w:rPr>
          <w:rFonts w:ascii="Palatino Linotype" w:eastAsia="Palatino Linotype" w:hAnsi="Palatino Linotype" w:cs="Palatino Linotype"/>
          <w:i/>
          <w:sz w:val="22"/>
          <w:szCs w:val="22"/>
        </w:rPr>
        <w:t xml:space="preserve">, sus servidores públicos e integrantes, sin importar su fuente o fecha de elaboración. Los documentos podrán estar en cualquier medio, sea escrito, impreso, sonoro, visual, </w:t>
      </w:r>
      <w:r w:rsidRPr="00987EA2">
        <w:rPr>
          <w:rFonts w:ascii="Palatino Linotype" w:eastAsia="Palatino Linotype" w:hAnsi="Palatino Linotype" w:cs="Palatino Linotype"/>
          <w:b/>
          <w:i/>
          <w:sz w:val="22"/>
          <w:szCs w:val="22"/>
          <w:u w:val="single"/>
        </w:rPr>
        <w:t>electrónico, informático</w:t>
      </w:r>
      <w:r w:rsidRPr="00987EA2">
        <w:rPr>
          <w:rFonts w:ascii="Palatino Linotype" w:eastAsia="Palatino Linotype" w:hAnsi="Palatino Linotype" w:cs="Palatino Linotype"/>
          <w:i/>
          <w:sz w:val="22"/>
          <w:szCs w:val="22"/>
        </w:rPr>
        <w:t xml:space="preserve"> u holográfico</w:t>
      </w: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w:t>
      </w:r>
      <w:r w:rsidRPr="00987EA2">
        <w:rPr>
          <w:rFonts w:ascii="Palatino Linotype" w:eastAsia="Palatino Linotype" w:hAnsi="Palatino Linotype" w:cs="Palatino Linotype"/>
          <w:i/>
          <w:sz w:val="22"/>
          <w:szCs w:val="22"/>
        </w:rPr>
        <w:t>)</w:t>
      </w: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Énfasis añadido</w:t>
      </w:r>
    </w:p>
    <w:p w:rsidR="00B41D96" w:rsidRPr="00987EA2" w:rsidRDefault="00B41D96">
      <w:pPr>
        <w:ind w:left="851" w:right="899"/>
        <w:jc w:val="both"/>
        <w:rPr>
          <w:rFonts w:ascii="Palatino Linotype" w:eastAsia="Palatino Linotype" w:hAnsi="Palatino Linotype" w:cs="Palatino Linotype"/>
          <w:sz w:val="22"/>
          <w:szCs w:val="22"/>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B41D96" w:rsidRPr="00987EA2" w:rsidRDefault="00B41D96">
      <w:pPr>
        <w:ind w:left="851" w:right="899"/>
        <w:jc w:val="both"/>
        <w:rPr>
          <w:rFonts w:ascii="Palatino Linotype" w:eastAsia="Palatino Linotype" w:hAnsi="Palatino Linotype" w:cs="Palatino Linotype"/>
        </w:rPr>
      </w:pPr>
    </w:p>
    <w:p w:rsidR="00B41D96" w:rsidRPr="00987EA2" w:rsidRDefault="00F611F2">
      <w:pPr>
        <w:ind w:left="851" w:right="616"/>
        <w:jc w:val="both"/>
        <w:rPr>
          <w:rFonts w:ascii="Palatino Linotype" w:eastAsia="Palatino Linotype" w:hAnsi="Palatino Linotype" w:cs="Palatino Linotype"/>
          <w:b/>
          <w:i/>
          <w:sz w:val="22"/>
          <w:szCs w:val="22"/>
        </w:rPr>
      </w:pPr>
      <w:r w:rsidRPr="00987EA2">
        <w:rPr>
          <w:rFonts w:ascii="Palatino Linotype" w:eastAsia="Palatino Linotype" w:hAnsi="Palatino Linotype" w:cs="Palatino Linotype"/>
          <w:b/>
          <w:i/>
          <w:sz w:val="22"/>
          <w:szCs w:val="22"/>
        </w:rPr>
        <w:t>CRITERIO 0002-11</w:t>
      </w: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987EA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En consecuencia el acceso a la información se refiere a que se cumplan cualquiera de los siguientes tres supuestos:</w:t>
      </w: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lastRenderedPageBreak/>
        <w:t>1) Que se trate de información registrada en cualquier soporte documental, que en ejercicio de las atribuciones conferidas, sea generada por los Sujetos Obligados;</w:t>
      </w: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rsidR="00B41D96" w:rsidRPr="00987EA2" w:rsidRDefault="00F611F2">
      <w:pPr>
        <w:ind w:left="851" w:right="616"/>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De ahí que </w:t>
      </w:r>
      <w:r w:rsidRPr="00987EA2">
        <w:rPr>
          <w:rFonts w:ascii="Palatino Linotype" w:eastAsia="Palatino Linotype" w:hAnsi="Palatino Linotype" w:cs="Palatino Linotype"/>
          <w:b/>
        </w:rPr>
        <w:t>EL SUJETO OBLIGADO</w:t>
      </w:r>
      <w:r w:rsidRPr="00987EA2">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como pudiera tratarse de aquella relacionada con las obligaciones de transparencia señaladas en los artículos 92 y 100 de la Ley de la Materia.</w:t>
      </w:r>
    </w:p>
    <w:p w:rsidR="00B41D96" w:rsidRPr="00987EA2" w:rsidRDefault="00B41D96">
      <w:pPr>
        <w:spacing w:line="360" w:lineRule="auto"/>
        <w:ind w:right="51"/>
        <w:jc w:val="both"/>
        <w:rPr>
          <w:rFonts w:ascii="Palatino Linotype" w:eastAsia="Palatino Linotype" w:hAnsi="Palatino Linotype" w:cs="Palatino Linotype"/>
          <w:b/>
        </w:rPr>
      </w:pPr>
    </w:p>
    <w:p w:rsidR="00B41D96" w:rsidRPr="00987EA2" w:rsidRDefault="00F611F2">
      <w:pPr>
        <w:spacing w:line="360" w:lineRule="auto"/>
        <w:ind w:right="51"/>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Ahora bien, este Pleno centrará su atención en el análisis de la solicitud de información </w:t>
      </w:r>
      <w:r w:rsidRPr="00987EA2">
        <w:rPr>
          <w:rFonts w:ascii="Palatino Linotype" w:eastAsia="Palatino Linotype" w:hAnsi="Palatino Linotype" w:cs="Palatino Linotype"/>
          <w:b/>
        </w:rPr>
        <w:t> 00782/CUAUTIZC/IP/2022</w:t>
      </w:r>
      <w:r w:rsidRPr="00987EA2">
        <w:rPr>
          <w:rFonts w:ascii="Palatino Linotype" w:eastAsia="Palatino Linotype" w:hAnsi="Palatino Linotype" w:cs="Palatino Linotype"/>
        </w:rPr>
        <w:t xml:space="preserve">, tenemos que </w:t>
      </w:r>
      <w:r w:rsidRPr="00987EA2">
        <w:rPr>
          <w:rFonts w:ascii="Palatino Linotype" w:eastAsia="Palatino Linotype" w:hAnsi="Palatino Linotype" w:cs="Palatino Linotype"/>
          <w:b/>
        </w:rPr>
        <w:t>LA PARTE RECURRENTE</w:t>
      </w:r>
      <w:r w:rsidRPr="00987EA2">
        <w:rPr>
          <w:rFonts w:ascii="Palatino Linotype" w:eastAsia="Palatino Linotype" w:hAnsi="Palatino Linotype" w:cs="Palatino Linotype"/>
        </w:rPr>
        <w:t xml:space="preserve"> requirió al </w:t>
      </w:r>
      <w:r w:rsidRPr="00987EA2">
        <w:rPr>
          <w:rFonts w:ascii="Palatino Linotype" w:eastAsia="Palatino Linotype" w:hAnsi="Palatino Linotype" w:cs="Palatino Linotype"/>
          <w:b/>
        </w:rPr>
        <w:t xml:space="preserve">SUJETO OBLIGADO </w:t>
      </w:r>
      <w:r w:rsidRPr="00987EA2">
        <w:rPr>
          <w:rFonts w:ascii="Palatino Linotype" w:eastAsia="Palatino Linotype" w:hAnsi="Palatino Linotype" w:cs="Palatino Linotype"/>
        </w:rPr>
        <w:t xml:space="preserve">le proporcione del primero de enero al diecinueve de agosto de dos mil veintidós, lo siguiente: </w:t>
      </w:r>
    </w:p>
    <w:p w:rsidR="00B41D96" w:rsidRPr="00987EA2" w:rsidRDefault="00B41D96">
      <w:pPr>
        <w:spacing w:line="360" w:lineRule="auto"/>
        <w:ind w:right="51"/>
        <w:jc w:val="both"/>
        <w:rPr>
          <w:rFonts w:ascii="Palatino Linotype" w:eastAsia="Palatino Linotype" w:hAnsi="Palatino Linotype" w:cs="Palatino Linotype"/>
        </w:rPr>
      </w:pPr>
    </w:p>
    <w:p w:rsidR="00B41D96" w:rsidRPr="00987EA2" w:rsidRDefault="00B41D96">
      <w:pPr>
        <w:spacing w:line="360" w:lineRule="auto"/>
        <w:ind w:right="51"/>
        <w:jc w:val="both"/>
        <w:rPr>
          <w:rFonts w:ascii="Palatino Linotype" w:eastAsia="Palatino Linotype" w:hAnsi="Palatino Linotype" w:cs="Palatino Linotype"/>
        </w:rPr>
      </w:pPr>
    </w:p>
    <w:p w:rsidR="00B41D96" w:rsidRPr="00987EA2" w:rsidRDefault="00F611F2">
      <w:pPr>
        <w:numPr>
          <w:ilvl w:val="0"/>
          <w:numId w:val="8"/>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987EA2">
        <w:rPr>
          <w:rFonts w:ascii="Palatino Linotype" w:eastAsia="Palatino Linotype" w:hAnsi="Palatino Linotype" w:cs="Palatino Linotype"/>
        </w:rPr>
        <w:lastRenderedPageBreak/>
        <w:t xml:space="preserve">De las luminarias instaladas: </w:t>
      </w:r>
    </w:p>
    <w:p w:rsidR="00B41D96" w:rsidRPr="00987EA2" w:rsidRDefault="00F611F2">
      <w:pPr>
        <w:numPr>
          <w:ilvl w:val="0"/>
          <w:numId w:val="6"/>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Número total; </w:t>
      </w:r>
    </w:p>
    <w:p w:rsidR="00B41D96" w:rsidRPr="00987EA2" w:rsidRDefault="00F611F2">
      <w:pPr>
        <w:numPr>
          <w:ilvl w:val="0"/>
          <w:numId w:val="6"/>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Características; y, </w:t>
      </w:r>
    </w:p>
    <w:p w:rsidR="00B41D96" w:rsidRPr="00987EA2" w:rsidRDefault="00F611F2">
      <w:pPr>
        <w:numPr>
          <w:ilvl w:val="0"/>
          <w:numId w:val="6"/>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Distribución. </w:t>
      </w:r>
    </w:p>
    <w:p w:rsidR="00B41D96" w:rsidRPr="00987EA2" w:rsidRDefault="00B41D96">
      <w:pPr>
        <w:pBdr>
          <w:top w:val="nil"/>
          <w:left w:val="nil"/>
          <w:bottom w:val="nil"/>
          <w:right w:val="nil"/>
          <w:between w:val="nil"/>
        </w:pBdr>
        <w:spacing w:line="360" w:lineRule="auto"/>
        <w:rPr>
          <w:rFonts w:ascii="Palatino Linotype" w:eastAsia="Palatino Linotype" w:hAnsi="Palatino Linotype" w:cs="Palatino Linotype"/>
        </w:rPr>
      </w:pPr>
    </w:p>
    <w:p w:rsidR="00B41D96" w:rsidRPr="00987EA2" w:rsidRDefault="00F611F2">
      <w:pPr>
        <w:numPr>
          <w:ilvl w:val="0"/>
          <w:numId w:val="8"/>
        </w:numPr>
        <w:pBdr>
          <w:top w:val="nil"/>
          <w:left w:val="nil"/>
          <w:bottom w:val="nil"/>
          <w:right w:val="nil"/>
          <w:between w:val="nil"/>
        </w:pBdr>
        <w:spacing w:line="360" w:lineRule="auto"/>
        <w:rPr>
          <w:rFonts w:ascii="Palatino Linotype" w:eastAsia="Palatino Linotype" w:hAnsi="Palatino Linotype" w:cs="Palatino Linotype"/>
        </w:rPr>
      </w:pPr>
      <w:r w:rsidRPr="00987EA2">
        <w:rPr>
          <w:rFonts w:ascii="Palatino Linotype" w:eastAsia="Palatino Linotype" w:hAnsi="Palatino Linotype" w:cs="Palatino Linotype"/>
        </w:rPr>
        <w:t xml:space="preserve">De las luminarias adquiridas: </w:t>
      </w:r>
    </w:p>
    <w:p w:rsidR="00B41D96" w:rsidRPr="00987EA2" w:rsidRDefault="00F611F2">
      <w:pPr>
        <w:numPr>
          <w:ilvl w:val="0"/>
          <w:numId w:val="7"/>
        </w:numPr>
        <w:pBdr>
          <w:top w:val="nil"/>
          <w:left w:val="nil"/>
          <w:bottom w:val="nil"/>
          <w:right w:val="nil"/>
          <w:between w:val="nil"/>
        </w:pBdr>
        <w:spacing w:line="360" w:lineRule="auto"/>
        <w:rPr>
          <w:rFonts w:ascii="Palatino Linotype" w:eastAsia="Palatino Linotype" w:hAnsi="Palatino Linotype" w:cs="Palatino Linotype"/>
        </w:rPr>
      </w:pPr>
      <w:r w:rsidRPr="00987EA2">
        <w:rPr>
          <w:rFonts w:ascii="Palatino Linotype" w:eastAsia="Palatino Linotype" w:hAnsi="Palatino Linotype" w:cs="Palatino Linotype"/>
        </w:rPr>
        <w:t xml:space="preserve">Número; </w:t>
      </w:r>
    </w:p>
    <w:p w:rsidR="00B41D96" w:rsidRPr="00987EA2" w:rsidRDefault="00F611F2">
      <w:pPr>
        <w:numPr>
          <w:ilvl w:val="0"/>
          <w:numId w:val="7"/>
        </w:numPr>
        <w:pBdr>
          <w:top w:val="nil"/>
          <w:left w:val="nil"/>
          <w:bottom w:val="nil"/>
          <w:right w:val="nil"/>
          <w:between w:val="nil"/>
        </w:pBdr>
        <w:spacing w:line="360" w:lineRule="auto"/>
        <w:rPr>
          <w:rFonts w:ascii="Palatino Linotype" w:eastAsia="Palatino Linotype" w:hAnsi="Palatino Linotype" w:cs="Palatino Linotype"/>
        </w:rPr>
      </w:pPr>
      <w:r w:rsidRPr="00987EA2">
        <w:rPr>
          <w:rFonts w:ascii="Palatino Linotype" w:eastAsia="Palatino Linotype" w:hAnsi="Palatino Linotype" w:cs="Palatino Linotype"/>
        </w:rPr>
        <w:t>Proveedor o proveedores contratados;</w:t>
      </w:r>
    </w:p>
    <w:p w:rsidR="00B41D96" w:rsidRPr="00987EA2" w:rsidRDefault="00F611F2">
      <w:pPr>
        <w:numPr>
          <w:ilvl w:val="0"/>
          <w:numId w:val="7"/>
        </w:numPr>
        <w:pBdr>
          <w:top w:val="nil"/>
          <w:left w:val="nil"/>
          <w:bottom w:val="nil"/>
          <w:right w:val="nil"/>
          <w:between w:val="nil"/>
        </w:pBdr>
        <w:spacing w:line="360" w:lineRule="auto"/>
        <w:rPr>
          <w:rFonts w:ascii="Palatino Linotype" w:eastAsia="Palatino Linotype" w:hAnsi="Palatino Linotype" w:cs="Palatino Linotype"/>
        </w:rPr>
      </w:pPr>
      <w:r w:rsidRPr="00987EA2">
        <w:rPr>
          <w:rFonts w:ascii="Palatino Linotype" w:eastAsia="Palatino Linotype" w:hAnsi="Palatino Linotype" w:cs="Palatino Linotype"/>
        </w:rPr>
        <w:t>Costo unitario;</w:t>
      </w:r>
    </w:p>
    <w:p w:rsidR="00B41D96" w:rsidRPr="00987EA2" w:rsidRDefault="00F611F2">
      <w:pPr>
        <w:numPr>
          <w:ilvl w:val="0"/>
          <w:numId w:val="7"/>
        </w:numPr>
        <w:pBdr>
          <w:top w:val="nil"/>
          <w:left w:val="nil"/>
          <w:bottom w:val="nil"/>
          <w:right w:val="nil"/>
          <w:between w:val="nil"/>
        </w:pBdr>
        <w:spacing w:line="360" w:lineRule="auto"/>
        <w:rPr>
          <w:rFonts w:ascii="Palatino Linotype" w:eastAsia="Palatino Linotype" w:hAnsi="Palatino Linotype" w:cs="Palatino Linotype"/>
        </w:rPr>
      </w:pPr>
      <w:r w:rsidRPr="00987EA2">
        <w:rPr>
          <w:rFonts w:ascii="Palatino Linotype" w:eastAsia="Palatino Linotype" w:hAnsi="Palatino Linotype" w:cs="Palatino Linotype"/>
        </w:rPr>
        <w:t xml:space="preserve">Facturas; </w:t>
      </w:r>
    </w:p>
    <w:p w:rsidR="00B41D96" w:rsidRPr="00987EA2" w:rsidRDefault="00F611F2">
      <w:pPr>
        <w:numPr>
          <w:ilvl w:val="0"/>
          <w:numId w:val="7"/>
        </w:numPr>
        <w:pBdr>
          <w:top w:val="nil"/>
          <w:left w:val="nil"/>
          <w:bottom w:val="nil"/>
          <w:right w:val="nil"/>
          <w:between w:val="nil"/>
        </w:pBdr>
        <w:spacing w:line="360" w:lineRule="auto"/>
        <w:rPr>
          <w:rFonts w:ascii="Palatino Linotype" w:eastAsia="Palatino Linotype" w:hAnsi="Palatino Linotype" w:cs="Palatino Linotype"/>
        </w:rPr>
      </w:pPr>
      <w:r w:rsidRPr="00987EA2">
        <w:rPr>
          <w:rFonts w:ascii="Palatino Linotype" w:eastAsia="Palatino Linotype" w:hAnsi="Palatino Linotype" w:cs="Palatino Linotype"/>
        </w:rPr>
        <w:t xml:space="preserve">Monto erogado; </w:t>
      </w:r>
    </w:p>
    <w:p w:rsidR="00B41D96" w:rsidRPr="00987EA2" w:rsidRDefault="00F611F2">
      <w:pPr>
        <w:numPr>
          <w:ilvl w:val="0"/>
          <w:numId w:val="7"/>
        </w:numPr>
        <w:pBdr>
          <w:top w:val="nil"/>
          <w:left w:val="nil"/>
          <w:bottom w:val="nil"/>
          <w:right w:val="nil"/>
          <w:between w:val="nil"/>
        </w:pBdr>
        <w:spacing w:line="360" w:lineRule="auto"/>
        <w:rPr>
          <w:rFonts w:ascii="Palatino Linotype" w:eastAsia="Palatino Linotype" w:hAnsi="Palatino Linotype" w:cs="Palatino Linotype"/>
        </w:rPr>
      </w:pPr>
      <w:r w:rsidRPr="00987EA2">
        <w:rPr>
          <w:rFonts w:ascii="Palatino Linotype" w:eastAsia="Palatino Linotype" w:hAnsi="Palatino Linotype" w:cs="Palatino Linotype"/>
        </w:rPr>
        <w:t xml:space="preserve">Procedencia de los recursos; y, </w:t>
      </w:r>
    </w:p>
    <w:p w:rsidR="00B41D96" w:rsidRPr="00987EA2" w:rsidRDefault="00F611F2">
      <w:pPr>
        <w:numPr>
          <w:ilvl w:val="0"/>
          <w:numId w:val="7"/>
        </w:numPr>
        <w:pBdr>
          <w:top w:val="nil"/>
          <w:left w:val="nil"/>
          <w:bottom w:val="nil"/>
          <w:right w:val="nil"/>
          <w:between w:val="nil"/>
        </w:pBdr>
        <w:spacing w:line="360" w:lineRule="auto"/>
        <w:rPr>
          <w:rFonts w:ascii="Palatino Linotype" w:eastAsia="Palatino Linotype" w:hAnsi="Palatino Linotype" w:cs="Palatino Linotype"/>
        </w:rPr>
      </w:pPr>
      <w:r w:rsidRPr="00987EA2">
        <w:rPr>
          <w:rFonts w:ascii="Palatino Linotype" w:eastAsia="Palatino Linotype" w:hAnsi="Palatino Linotype" w:cs="Palatino Linotype"/>
        </w:rPr>
        <w:t xml:space="preserve">Partida presupuestal. </w:t>
      </w:r>
    </w:p>
    <w:p w:rsidR="00B41D96" w:rsidRPr="00987EA2" w:rsidRDefault="00B41D96">
      <w:pPr>
        <w:pBdr>
          <w:top w:val="nil"/>
          <w:left w:val="nil"/>
          <w:bottom w:val="nil"/>
          <w:right w:val="nil"/>
          <w:between w:val="nil"/>
        </w:pBdr>
        <w:spacing w:line="360" w:lineRule="auto"/>
        <w:jc w:val="both"/>
        <w:rPr>
          <w:rFonts w:ascii="Palatino Linotype" w:eastAsia="Palatino Linotype" w:hAnsi="Palatino Linotype" w:cs="Palatino Linotype"/>
        </w:rPr>
      </w:pPr>
    </w:p>
    <w:p w:rsidR="00B41D96" w:rsidRPr="00987EA2" w:rsidRDefault="00F611F2">
      <w:pPr>
        <w:pBdr>
          <w:top w:val="nil"/>
          <w:left w:val="nil"/>
          <w:bottom w:val="nil"/>
          <w:right w:val="nil"/>
          <w:between w:val="nil"/>
        </w:pBd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En su respuesta, </w:t>
      </w:r>
      <w:r w:rsidRPr="00987EA2">
        <w:rPr>
          <w:rFonts w:ascii="Palatino Linotype" w:eastAsia="Palatino Linotype" w:hAnsi="Palatino Linotype" w:cs="Palatino Linotype"/>
          <w:b/>
        </w:rPr>
        <w:t xml:space="preserve">EL SUJETO OBLIGADO </w:t>
      </w:r>
      <w:r w:rsidRPr="00987EA2">
        <w:rPr>
          <w:rFonts w:ascii="Palatino Linotype" w:eastAsia="Palatino Linotype" w:hAnsi="Palatino Linotype" w:cs="Palatino Linotype"/>
        </w:rPr>
        <w:t xml:space="preserve"> informó a la entonces persona solicitante que dentro del periodo solicitado no se había generado ninguna información al respecto, dicho que se sustenta con la propia respuesta del Departamento de Adquisiciones de la Dirección de Administración, y de la Tesorería Municipal. </w:t>
      </w:r>
    </w:p>
    <w:p w:rsidR="00B41D96" w:rsidRPr="00987EA2" w:rsidRDefault="00B41D96">
      <w:pPr>
        <w:pBdr>
          <w:top w:val="nil"/>
          <w:left w:val="nil"/>
          <w:bottom w:val="nil"/>
          <w:right w:val="nil"/>
          <w:between w:val="nil"/>
        </w:pBdr>
        <w:spacing w:line="360" w:lineRule="auto"/>
        <w:jc w:val="both"/>
        <w:rPr>
          <w:rFonts w:ascii="Palatino Linotype" w:eastAsia="Palatino Linotype" w:hAnsi="Palatino Linotype" w:cs="Palatino Linotype"/>
        </w:rPr>
      </w:pPr>
    </w:p>
    <w:p w:rsidR="00B41D96" w:rsidRPr="00987EA2" w:rsidRDefault="00F611F2">
      <w:pPr>
        <w:pBdr>
          <w:top w:val="nil"/>
          <w:left w:val="nil"/>
          <w:bottom w:val="nil"/>
          <w:right w:val="nil"/>
          <w:between w:val="nil"/>
        </w:pBd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En esos términos, es como la entonces parte solicitante accionó este medio de defensa señalando en términos generales que la información era insuficiente para satisfacer su Derecho en virtud de que existieron puntos que no se colmaron, como lo fueron los relativos a la cantidad de luminarias que se han instalado en el periodo del primero de enero al diecinueve de agosto del año dos mil veintidós, y es que </w:t>
      </w:r>
      <w:r w:rsidRPr="00987EA2">
        <w:rPr>
          <w:rFonts w:ascii="Palatino Linotype" w:eastAsia="Palatino Linotype" w:hAnsi="Palatino Linotype" w:cs="Palatino Linotype"/>
        </w:rPr>
        <w:lastRenderedPageBreak/>
        <w:t xml:space="preserve">efectivamente, de las constancias que integran a este expediente se resuelve que </w:t>
      </w:r>
      <w:r w:rsidRPr="00987EA2">
        <w:rPr>
          <w:rFonts w:ascii="Palatino Linotype" w:eastAsia="Palatino Linotype" w:hAnsi="Palatino Linotype" w:cs="Palatino Linotype"/>
          <w:b/>
        </w:rPr>
        <w:t>EL SUJETO OBLIGADO</w:t>
      </w:r>
      <w:r w:rsidRPr="00987EA2">
        <w:rPr>
          <w:rFonts w:ascii="Palatino Linotype" w:eastAsia="Palatino Linotype" w:hAnsi="Palatino Linotype" w:cs="Palatino Linotype"/>
        </w:rPr>
        <w:t xml:space="preserve"> sólo centró su atención en cuanto a la Dirección de Administración y la Tesorería Municipal, mismas que se pronunciaron por la adquisición de luminarias y se advierte que no se realizó la debida búsqueda exhaustiva. </w:t>
      </w:r>
    </w:p>
    <w:p w:rsidR="00B41D96" w:rsidRPr="00987EA2" w:rsidRDefault="00B41D96">
      <w:pPr>
        <w:pBdr>
          <w:top w:val="nil"/>
          <w:left w:val="nil"/>
          <w:bottom w:val="nil"/>
          <w:right w:val="nil"/>
          <w:between w:val="nil"/>
        </w:pBdr>
        <w:spacing w:line="360" w:lineRule="auto"/>
        <w:jc w:val="both"/>
        <w:rPr>
          <w:rFonts w:ascii="Palatino Linotype" w:eastAsia="Palatino Linotype" w:hAnsi="Palatino Linotype" w:cs="Palatino Linotype"/>
        </w:rPr>
      </w:pPr>
    </w:p>
    <w:p w:rsidR="00B41D96" w:rsidRPr="00987EA2" w:rsidRDefault="00F611F2">
      <w:pPr>
        <w:pBdr>
          <w:top w:val="nil"/>
          <w:left w:val="nil"/>
          <w:bottom w:val="nil"/>
          <w:right w:val="nil"/>
          <w:between w:val="nil"/>
        </w:pBd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Asimismo, manifestó  que el Ayuntamiento de Cuautitlán Izcalli informó mediante su página de Facebook que habían sido colocadas luminarias en el territorio municipal, y para causar certeza de su dicho adjuntó las capturas de pantalla que ya se insertaron en el antecedente número tres de este fallo, además unos links que dirigen a los sitios siguientes: </w:t>
      </w:r>
    </w:p>
    <w:p w:rsidR="00B41D96" w:rsidRPr="00987EA2" w:rsidRDefault="00B41D96">
      <w:pPr>
        <w:pBdr>
          <w:top w:val="nil"/>
          <w:left w:val="nil"/>
          <w:bottom w:val="nil"/>
          <w:right w:val="nil"/>
          <w:between w:val="nil"/>
        </w:pBdr>
        <w:spacing w:line="360" w:lineRule="auto"/>
        <w:jc w:val="both"/>
        <w:rPr>
          <w:rFonts w:ascii="Palatino Linotype" w:eastAsia="Palatino Linotype" w:hAnsi="Palatino Linotype" w:cs="Palatino Linotype"/>
        </w:rPr>
      </w:pPr>
    </w:p>
    <w:p w:rsidR="00B41D96" w:rsidRPr="00987EA2" w:rsidRDefault="00FB2AD2">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hyperlink r:id="rId19">
        <w:r w:rsidR="00F611F2" w:rsidRPr="00987EA2">
          <w:rPr>
            <w:rFonts w:ascii="Palatino Linotype" w:eastAsia="Palatino Linotype" w:hAnsi="Palatino Linotype" w:cs="Palatino Linotype"/>
            <w:u w:val="single"/>
          </w:rPr>
          <w:t>https://www.facebook.com/101133868458773/posts/pfbid033vdZhUpFzYmAccdwybGjUdcdZedUUArTpfJb23juNLuUAQ8BjwrjAnb4KBRGTuk8l/</w:t>
        </w:r>
      </w:hyperlink>
      <w:r w:rsidR="00F611F2" w:rsidRPr="00987EA2">
        <w:rPr>
          <w:rFonts w:ascii="Palatino Linotype" w:eastAsia="Palatino Linotype" w:hAnsi="Palatino Linotype" w:cs="Palatino Linotype"/>
        </w:rPr>
        <w:t xml:space="preserve"> </w:t>
      </w:r>
    </w:p>
    <w:p w:rsidR="00B41D96" w:rsidRPr="00987EA2" w:rsidRDefault="00F611F2">
      <w:pPr>
        <w:pBdr>
          <w:top w:val="nil"/>
          <w:left w:val="nil"/>
          <w:bottom w:val="nil"/>
          <w:right w:val="nil"/>
          <w:between w:val="nil"/>
        </w:pBdr>
        <w:spacing w:line="360" w:lineRule="auto"/>
        <w:jc w:val="center"/>
        <w:rPr>
          <w:rFonts w:ascii="Palatino Linotype" w:eastAsia="Palatino Linotype" w:hAnsi="Palatino Linotype" w:cs="Palatino Linotype"/>
        </w:rPr>
      </w:pPr>
      <w:r w:rsidRPr="00987EA2">
        <w:rPr>
          <w:noProof/>
        </w:rPr>
        <w:lastRenderedPageBreak/>
        <w:drawing>
          <wp:inline distT="0" distB="0" distL="0" distR="0">
            <wp:extent cx="4780479" cy="3241176"/>
            <wp:effectExtent l="0" t="0" r="0" b="0"/>
            <wp:docPr id="56396809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l="12499" t="8994" r="17479" b="6598"/>
                    <a:stretch>
                      <a:fillRect/>
                    </a:stretch>
                  </pic:blipFill>
                  <pic:spPr>
                    <a:xfrm>
                      <a:off x="0" y="0"/>
                      <a:ext cx="4780479" cy="3241176"/>
                    </a:xfrm>
                    <a:prstGeom prst="rect">
                      <a:avLst/>
                    </a:prstGeom>
                    <a:ln/>
                  </pic:spPr>
                </pic:pic>
              </a:graphicData>
            </a:graphic>
          </wp:inline>
        </w:drawing>
      </w:r>
    </w:p>
    <w:p w:rsidR="00B41D96" w:rsidRPr="00987EA2" w:rsidRDefault="00FB2AD2">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hyperlink r:id="rId21">
        <w:r w:rsidR="00F611F2" w:rsidRPr="00987EA2">
          <w:rPr>
            <w:rFonts w:ascii="Palatino Linotype" w:eastAsia="Palatino Linotype" w:hAnsi="Palatino Linotype" w:cs="Palatino Linotype"/>
            <w:u w:val="single"/>
          </w:rPr>
          <w:t>https://www.facebook.com/101133868458773/posts/pfbid0251D7WqBHP9em5VVhkUBX1NuNhuaxfCY63DXqu7nGsVe2wYyi7EjqC48ZddAdneDAl/</w:t>
        </w:r>
      </w:hyperlink>
    </w:p>
    <w:p w:rsidR="00B41D96" w:rsidRPr="00987EA2" w:rsidRDefault="00F611F2">
      <w:pPr>
        <w:pBdr>
          <w:top w:val="nil"/>
          <w:left w:val="nil"/>
          <w:bottom w:val="nil"/>
          <w:right w:val="nil"/>
          <w:between w:val="nil"/>
        </w:pBdr>
        <w:spacing w:line="360" w:lineRule="auto"/>
        <w:jc w:val="center"/>
        <w:rPr>
          <w:rFonts w:ascii="Palatino Linotype" w:eastAsia="Palatino Linotype" w:hAnsi="Palatino Linotype" w:cs="Palatino Linotype"/>
        </w:rPr>
      </w:pPr>
      <w:r w:rsidRPr="00987EA2">
        <w:rPr>
          <w:noProof/>
        </w:rPr>
        <w:drawing>
          <wp:inline distT="0" distB="0" distL="0" distR="0">
            <wp:extent cx="5537320" cy="2836603"/>
            <wp:effectExtent l="0" t="0" r="0" b="0"/>
            <wp:docPr id="56396809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l="15474" t="9126" r="11758" b="24599"/>
                    <a:stretch>
                      <a:fillRect/>
                    </a:stretch>
                  </pic:blipFill>
                  <pic:spPr>
                    <a:xfrm>
                      <a:off x="0" y="0"/>
                      <a:ext cx="5537320" cy="2836603"/>
                    </a:xfrm>
                    <a:prstGeom prst="rect">
                      <a:avLst/>
                    </a:prstGeom>
                    <a:ln/>
                  </pic:spPr>
                </pic:pic>
              </a:graphicData>
            </a:graphic>
          </wp:inline>
        </w:drawing>
      </w:r>
    </w:p>
    <w:p w:rsidR="00B41D96" w:rsidRPr="00987EA2" w:rsidRDefault="00FB2AD2">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hyperlink r:id="rId23">
        <w:r w:rsidR="00F611F2" w:rsidRPr="00987EA2">
          <w:rPr>
            <w:rFonts w:ascii="Palatino Linotype" w:eastAsia="Palatino Linotype" w:hAnsi="Palatino Linotype" w:cs="Palatino Linotype"/>
            <w:u w:val="single"/>
          </w:rPr>
          <w:t>https://fb.watch/g5n3Gg3Nh8/</w:t>
        </w:r>
      </w:hyperlink>
    </w:p>
    <w:p w:rsidR="00B41D96" w:rsidRPr="00987EA2" w:rsidRDefault="00F611F2">
      <w:pPr>
        <w:pBdr>
          <w:top w:val="nil"/>
          <w:left w:val="nil"/>
          <w:bottom w:val="nil"/>
          <w:right w:val="nil"/>
          <w:between w:val="nil"/>
        </w:pBdr>
        <w:spacing w:line="360" w:lineRule="auto"/>
        <w:jc w:val="center"/>
        <w:rPr>
          <w:rFonts w:ascii="Palatino Linotype" w:eastAsia="Palatino Linotype" w:hAnsi="Palatino Linotype" w:cs="Palatino Linotype"/>
        </w:rPr>
      </w:pPr>
      <w:r w:rsidRPr="00987EA2">
        <w:rPr>
          <w:noProof/>
        </w:rPr>
        <w:lastRenderedPageBreak/>
        <w:drawing>
          <wp:inline distT="0" distB="0" distL="0" distR="0">
            <wp:extent cx="5586661" cy="2431544"/>
            <wp:effectExtent l="0" t="0" r="0" b="0"/>
            <wp:docPr id="56396809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t="9251" r="9082" b="20395"/>
                    <a:stretch>
                      <a:fillRect/>
                    </a:stretch>
                  </pic:blipFill>
                  <pic:spPr>
                    <a:xfrm>
                      <a:off x="0" y="0"/>
                      <a:ext cx="5586661" cy="2431544"/>
                    </a:xfrm>
                    <a:prstGeom prst="rect">
                      <a:avLst/>
                    </a:prstGeom>
                    <a:ln/>
                  </pic:spPr>
                </pic:pic>
              </a:graphicData>
            </a:graphic>
          </wp:inline>
        </w:drawing>
      </w:r>
    </w:p>
    <w:p w:rsidR="00B41D96" w:rsidRPr="00987EA2" w:rsidRDefault="00B41D96">
      <w:pPr>
        <w:pBdr>
          <w:top w:val="nil"/>
          <w:left w:val="nil"/>
          <w:bottom w:val="nil"/>
          <w:right w:val="nil"/>
          <w:between w:val="nil"/>
        </w:pBdr>
        <w:spacing w:line="360" w:lineRule="auto"/>
        <w:jc w:val="center"/>
        <w:rPr>
          <w:rFonts w:ascii="Palatino Linotype" w:eastAsia="Palatino Linotype" w:hAnsi="Palatino Linotype" w:cs="Palatino Linotype"/>
        </w:rPr>
      </w:pPr>
    </w:p>
    <w:p w:rsidR="00B41D96" w:rsidRPr="00987EA2" w:rsidRDefault="00F611F2">
      <w:pPr>
        <w:pBdr>
          <w:top w:val="nil"/>
          <w:left w:val="nil"/>
          <w:bottom w:val="nil"/>
          <w:right w:val="nil"/>
          <w:between w:val="nil"/>
        </w:pBd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Una vez interpuesto el recurso de revisión </w:t>
      </w:r>
      <w:r w:rsidRPr="00987EA2">
        <w:rPr>
          <w:rFonts w:ascii="Palatino Linotype" w:eastAsia="Palatino Linotype" w:hAnsi="Palatino Linotype" w:cs="Palatino Linotype"/>
          <w:b/>
        </w:rPr>
        <w:t>EL SUJETO OBLIGADO</w:t>
      </w:r>
      <w:r w:rsidRPr="00987EA2">
        <w:rPr>
          <w:rFonts w:ascii="Palatino Linotype" w:eastAsia="Palatino Linotype" w:hAnsi="Palatino Linotype" w:cs="Palatino Linotype"/>
        </w:rPr>
        <w:t xml:space="preserve"> rindió su Informe Justificado y por medio de él, la Tesorería Municipal ratificó todos y cada uno de los puntos que emitió en la respuesta primigenia a la solicitud </w:t>
      </w:r>
      <w:r w:rsidRPr="00987EA2">
        <w:rPr>
          <w:rFonts w:ascii="Palatino Linotype" w:eastAsia="Palatino Linotype" w:hAnsi="Palatino Linotype" w:cs="Palatino Linotype"/>
          <w:b/>
        </w:rPr>
        <w:t xml:space="preserve">00782/CUAUTIZC/IP/2022, </w:t>
      </w:r>
      <w:r w:rsidRPr="00987EA2">
        <w:rPr>
          <w:rFonts w:ascii="Palatino Linotype" w:eastAsia="Palatino Linotype" w:hAnsi="Palatino Linotype" w:cs="Palatino Linotype"/>
        </w:rPr>
        <w:t xml:space="preserve">mismo caso con la Dirección de Administración y su Departamento de Adquisiciones, sin embargo, como novedad se envió la respuesta del Departamento de Licitaciones dependiente de esa misma Dirección, mediante la cual su Persona Titular dijo que al ser un área de reciente creación no contaba con la información requerida por la entonces persona solicitante y que debía estar en dominio de la Dirección de Servicios Públicos y de la Tesorería Municipal. </w:t>
      </w:r>
    </w:p>
    <w:p w:rsidR="00B41D96" w:rsidRPr="00987EA2" w:rsidRDefault="00B41D96">
      <w:pPr>
        <w:pBdr>
          <w:top w:val="nil"/>
          <w:left w:val="nil"/>
          <w:bottom w:val="nil"/>
          <w:right w:val="nil"/>
          <w:between w:val="nil"/>
        </w:pBdr>
        <w:spacing w:line="360" w:lineRule="auto"/>
        <w:jc w:val="both"/>
        <w:rPr>
          <w:rFonts w:ascii="Palatino Linotype" w:eastAsia="Palatino Linotype" w:hAnsi="Palatino Linotype" w:cs="Palatino Linotype"/>
        </w:rPr>
      </w:pPr>
    </w:p>
    <w:p w:rsidR="00B41D96" w:rsidRPr="00987EA2" w:rsidRDefault="00F611F2">
      <w:pPr>
        <w:pBdr>
          <w:top w:val="nil"/>
          <w:left w:val="nil"/>
          <w:bottom w:val="nil"/>
          <w:right w:val="nil"/>
          <w:between w:val="nil"/>
        </w:pBd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Aunado a lo anterior y como información novedosa tenemos la respuesta de la Dirección de Servicios Públicos, la que señaló que del periodo del primero de enero al diecinueve de agosto de dos mil veintidós, habían sido colocadas un total de cinco mil ciento noventa y tres luminarias; de las cuales ciento treinta y dos correspondían al inventario entregado por la administración municipal del periodo anterior, es </w:t>
      </w:r>
      <w:r w:rsidRPr="00987EA2">
        <w:rPr>
          <w:rFonts w:ascii="Palatino Linotype" w:eastAsia="Palatino Linotype" w:hAnsi="Palatino Linotype" w:cs="Palatino Linotype"/>
        </w:rPr>
        <w:lastRenderedPageBreak/>
        <w:t xml:space="preserve">decir de la del dos mil diecinueve al dos mil veintiuno, mientras que cinco mil sesenta y uno también habían sido instaladas pero no refirió ningún dato relacionado a ellas. </w:t>
      </w:r>
    </w:p>
    <w:p w:rsidR="00B41D96" w:rsidRPr="00987EA2" w:rsidRDefault="00B41D96">
      <w:pPr>
        <w:pBdr>
          <w:top w:val="nil"/>
          <w:left w:val="nil"/>
          <w:bottom w:val="nil"/>
          <w:right w:val="nil"/>
          <w:between w:val="nil"/>
        </w:pBdr>
        <w:spacing w:line="360" w:lineRule="auto"/>
        <w:jc w:val="both"/>
        <w:rPr>
          <w:rFonts w:ascii="Palatino Linotype" w:eastAsia="Palatino Linotype" w:hAnsi="Palatino Linotype" w:cs="Palatino Linotype"/>
        </w:rPr>
      </w:pPr>
    </w:p>
    <w:p w:rsidR="00B41D96" w:rsidRPr="00987EA2" w:rsidRDefault="00F611F2">
      <w:pPr>
        <w:pBdr>
          <w:top w:val="nil"/>
          <w:left w:val="nil"/>
          <w:bottom w:val="nil"/>
          <w:right w:val="nil"/>
          <w:between w:val="nil"/>
        </w:pBd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Señaló también los datos técnicos de dichas luminarias y dijo que como anexo se remitía un anexo que contenía las colonias donde se habían instalado, sin embargo, ese anexo no se encuentra dentro del expediente en que se actúa. </w:t>
      </w:r>
    </w:p>
    <w:p w:rsidR="00B41D96" w:rsidRPr="00987EA2" w:rsidRDefault="00B41D96">
      <w:pPr>
        <w:spacing w:line="360" w:lineRule="auto"/>
        <w:ind w:right="51"/>
        <w:jc w:val="both"/>
        <w:rPr>
          <w:rFonts w:ascii="Palatino Linotype" w:eastAsia="Palatino Linotype" w:hAnsi="Palatino Linotype" w:cs="Palatino Linotype"/>
        </w:rPr>
      </w:pPr>
    </w:p>
    <w:p w:rsidR="00B41D96" w:rsidRPr="00987EA2" w:rsidRDefault="00F611F2">
      <w:pPr>
        <w:spacing w:line="360" w:lineRule="auto"/>
        <w:ind w:right="51"/>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Acotado lo anterior, es preciso referir lo dispuesto por el artículo 162 de la Ley de Transparencia y Acceso a la Información Pública del Estado de México y Municipios, ya que, no se puede perder de vista que para otorgar respuesta a la solicitud inicial, </w:t>
      </w:r>
      <w:r w:rsidRPr="00987EA2">
        <w:rPr>
          <w:rFonts w:ascii="Palatino Linotype" w:eastAsia="Palatino Linotype" w:hAnsi="Palatino Linotype" w:cs="Palatino Linotype"/>
          <w:b/>
        </w:rPr>
        <w:t>EL SUJETO OBLIGADO</w:t>
      </w:r>
      <w:r w:rsidRPr="00987EA2">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rsidR="00B41D96" w:rsidRPr="00987EA2" w:rsidRDefault="00B41D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rsidR="00B41D96" w:rsidRPr="00987EA2" w:rsidRDefault="00B41D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B41D96" w:rsidRPr="00987EA2" w:rsidRDefault="00F611F2">
      <w:pPr>
        <w:shd w:val="clear" w:color="auto" w:fill="FFFFFF"/>
        <w:spacing w:line="360" w:lineRule="auto"/>
        <w:jc w:val="both"/>
      </w:pPr>
      <w:r w:rsidRPr="00987EA2">
        <w:rPr>
          <w:rFonts w:ascii="Palatino Linotype" w:eastAsia="Palatino Linotype" w:hAnsi="Palatino Linotype" w:cs="Palatino Linotype"/>
        </w:rPr>
        <w:t xml:space="preserve">En este orden de ideas, se advierte que efectivamente la Unidad de Transparencia no cumplió con lo expresado en el artículo 162 de la Ley de Transparencia y Acceso </w:t>
      </w:r>
      <w:r w:rsidRPr="00987EA2">
        <w:rPr>
          <w:rFonts w:ascii="Palatino Linotype" w:eastAsia="Palatino Linotype" w:hAnsi="Palatino Linotype" w:cs="Palatino Linotype"/>
        </w:rPr>
        <w:lastRenderedPageBreak/>
        <w:t>a la Información Pública del Estado de México y Municipios, el cual menciona lo siguiente:</w:t>
      </w:r>
    </w:p>
    <w:p w:rsidR="00B41D96" w:rsidRPr="00987EA2" w:rsidRDefault="00B41D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B41D96" w:rsidRPr="00987EA2" w:rsidRDefault="00B41D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B41D96" w:rsidRPr="00987EA2" w:rsidRDefault="00F611F2">
      <w:pPr>
        <w:shd w:val="clear" w:color="auto" w:fill="FFFFFF"/>
        <w:spacing w:line="360" w:lineRule="auto"/>
        <w:jc w:val="both"/>
      </w:pPr>
      <w:r w:rsidRPr="00987EA2">
        <w:rPr>
          <w:rFonts w:ascii="Palatino Linotype" w:eastAsia="Palatino Linotype" w:hAnsi="Palatino Linotype" w:cs="Palatino Linotype"/>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rsidR="00B41D96" w:rsidRPr="00987EA2" w:rsidRDefault="00B41D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Artículo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rsidR="00B41D96" w:rsidRPr="00987EA2" w:rsidRDefault="00B41D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lastRenderedPageBreak/>
        <w:t>Artículo 163. La Unidad de Transparencia deberá notificar la respuesta a la solicitud al interesado en el menor tiempo posible, que no podrá exceder de quince días hábiles, contados a partir del día siguiente a la presentación de aquélla.</w:t>
      </w:r>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B41D96" w:rsidRPr="00987EA2" w:rsidRDefault="00B41D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Artículo 165. Los sujetos obligados establecerán la forma y términos en que darán trámite interno a las solicitudes en materia de acceso a la información.</w:t>
      </w:r>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La información que se entregue en versión pública, cuya modalidad de reproducción o envío tenga un costo, procederá una vez que se acredite el pago respectivo. No puede entenderse como reproducción la elaboración de la misma.</w:t>
      </w:r>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Ante la falta de respuesta a una solicitud en el plazo previsto y en caso de que proceda el acceso, los costos de reproducción y envío correrán a cargo del sujeto obligado.</w:t>
      </w:r>
    </w:p>
    <w:p w:rsidR="00B41D96" w:rsidRPr="00987EA2" w:rsidRDefault="00B41D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B41D96" w:rsidRPr="00987EA2" w:rsidRDefault="00B41D96">
      <w:pPr>
        <w:shd w:val="clear" w:color="auto" w:fill="FFFFFF"/>
        <w:spacing w:line="360" w:lineRule="auto"/>
        <w:jc w:val="both"/>
        <w:rPr>
          <w:rFonts w:ascii="Palatino Linotype" w:eastAsia="Palatino Linotype" w:hAnsi="Palatino Linotype" w:cs="Palatino Linotype"/>
        </w:rPr>
      </w:pPr>
    </w:p>
    <w:p w:rsidR="00B41D96" w:rsidRPr="00987EA2" w:rsidRDefault="00F611F2">
      <w:pPr>
        <w:shd w:val="clear" w:color="auto" w:fill="FFFFFF"/>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En ese tenor, la Ley de Transparencia  determina que el procedimiento de acceso a la información pública se tendrá por cumplida cuando el solicitante tenga a su disposición la información requerida, o en su caso, cuando realice la consulta de la misma en el que ésta se localice.  </w:t>
      </w:r>
    </w:p>
    <w:p w:rsidR="00B41D96" w:rsidRPr="00987EA2" w:rsidRDefault="00B41D96">
      <w:pPr>
        <w:pBdr>
          <w:top w:val="nil"/>
          <w:left w:val="nil"/>
          <w:bottom w:val="nil"/>
          <w:right w:val="nil"/>
          <w:between w:val="nil"/>
        </w:pBdr>
        <w:spacing w:line="360" w:lineRule="auto"/>
        <w:rPr>
          <w:rFonts w:ascii="Palatino Linotype" w:eastAsia="Palatino Linotype" w:hAnsi="Palatino Linotype" w:cs="Palatino Linotype"/>
        </w:rPr>
      </w:pPr>
    </w:p>
    <w:p w:rsidR="00B41D96" w:rsidRPr="00987EA2" w:rsidRDefault="00F611F2">
      <w:pPr>
        <w:pBdr>
          <w:top w:val="nil"/>
          <w:left w:val="nil"/>
          <w:bottom w:val="nil"/>
          <w:right w:val="nil"/>
          <w:between w:val="nil"/>
        </w:pBd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Así pues, por cuanto hace al requerimiento relativo al número total de instalación de luminarias y sus características, si bien es cierto que </w:t>
      </w:r>
      <w:r w:rsidRPr="00987EA2">
        <w:rPr>
          <w:rFonts w:ascii="Palatino Linotype" w:eastAsia="Palatino Linotype" w:hAnsi="Palatino Linotype" w:cs="Palatino Linotype"/>
          <w:b/>
        </w:rPr>
        <w:t>EL SUJETO OBLIGADO</w:t>
      </w:r>
      <w:r w:rsidRPr="00987EA2">
        <w:rPr>
          <w:rFonts w:ascii="Palatino Linotype" w:eastAsia="Palatino Linotype" w:hAnsi="Palatino Linotype" w:cs="Palatino Linotype"/>
        </w:rPr>
        <w:t xml:space="preserve"> no dio respuesta a dicha petición en la solicitud primigenia, también lo es que en el Informe Justificado, la Dirección de Servicios Públicos, informó a </w:t>
      </w:r>
      <w:r w:rsidRPr="00987EA2">
        <w:rPr>
          <w:rFonts w:ascii="Palatino Linotype" w:eastAsia="Palatino Linotype" w:hAnsi="Palatino Linotype" w:cs="Palatino Linotype"/>
          <w:b/>
        </w:rPr>
        <w:t>LA PARTE RECURRENTE</w:t>
      </w:r>
      <w:r w:rsidRPr="00987EA2">
        <w:rPr>
          <w:rFonts w:ascii="Palatino Linotype" w:eastAsia="Palatino Linotype" w:hAnsi="Palatino Linotype" w:cs="Palatino Linotype"/>
        </w:rPr>
        <w:t xml:space="preserve"> y a este Instituto de Transparencia que se instalaron cinco mil ciento </w:t>
      </w:r>
      <w:r w:rsidRPr="00987EA2">
        <w:rPr>
          <w:rFonts w:ascii="Palatino Linotype" w:eastAsia="Palatino Linotype" w:hAnsi="Palatino Linotype" w:cs="Palatino Linotype"/>
        </w:rPr>
        <w:lastRenderedPageBreak/>
        <w:t xml:space="preserve">noventa y tres luminarias en el periodo del primero de enero al diecinueve de agosto de dos mil veintitrés, y también hizo saber sus características. </w:t>
      </w:r>
    </w:p>
    <w:p w:rsidR="00B41D96" w:rsidRPr="00987EA2" w:rsidRDefault="00B41D96">
      <w:pPr>
        <w:pBdr>
          <w:top w:val="nil"/>
          <w:left w:val="nil"/>
          <w:bottom w:val="nil"/>
          <w:right w:val="nil"/>
          <w:between w:val="nil"/>
        </w:pBdr>
        <w:spacing w:line="360" w:lineRule="auto"/>
        <w:jc w:val="both"/>
      </w:pPr>
    </w:p>
    <w:p w:rsidR="00B41D96" w:rsidRPr="00987EA2" w:rsidRDefault="00F611F2">
      <w:pPr>
        <w:pBdr>
          <w:top w:val="nil"/>
          <w:left w:val="nil"/>
          <w:bottom w:val="nil"/>
          <w:right w:val="nil"/>
          <w:between w:val="nil"/>
        </w:pBdr>
        <w:spacing w:line="360" w:lineRule="auto"/>
        <w:jc w:val="center"/>
        <w:rPr>
          <w:rFonts w:ascii="Palatino Linotype" w:eastAsia="Palatino Linotype" w:hAnsi="Palatino Linotype" w:cs="Palatino Linotype"/>
        </w:rPr>
      </w:pPr>
      <w:r w:rsidRPr="00987EA2">
        <w:rPr>
          <w:noProof/>
        </w:rPr>
        <w:drawing>
          <wp:inline distT="0" distB="0" distL="0" distR="0">
            <wp:extent cx="5114925" cy="1152525"/>
            <wp:effectExtent l="0" t="0" r="0" b="0"/>
            <wp:docPr id="56396809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l="1867" t="43754" r="6993" b="19734"/>
                    <a:stretch>
                      <a:fillRect/>
                    </a:stretch>
                  </pic:blipFill>
                  <pic:spPr>
                    <a:xfrm>
                      <a:off x="0" y="0"/>
                      <a:ext cx="5114925" cy="1152525"/>
                    </a:xfrm>
                    <a:prstGeom prst="rect">
                      <a:avLst/>
                    </a:prstGeom>
                    <a:ln/>
                  </pic:spPr>
                </pic:pic>
              </a:graphicData>
            </a:graphic>
          </wp:inline>
        </w:drawing>
      </w:r>
    </w:p>
    <w:p w:rsidR="00B41D96" w:rsidRPr="00987EA2" w:rsidRDefault="00B41D96">
      <w:pPr>
        <w:pBdr>
          <w:top w:val="nil"/>
          <w:left w:val="nil"/>
          <w:bottom w:val="nil"/>
          <w:right w:val="nil"/>
          <w:between w:val="nil"/>
        </w:pBdr>
        <w:spacing w:line="360" w:lineRule="auto"/>
        <w:jc w:val="both"/>
        <w:rPr>
          <w:rFonts w:ascii="Palatino Linotype" w:eastAsia="Palatino Linotype" w:hAnsi="Palatino Linotype" w:cs="Palatino Linotype"/>
        </w:rPr>
      </w:pPr>
    </w:p>
    <w:p w:rsidR="00B41D96" w:rsidRPr="00987EA2" w:rsidRDefault="00F611F2">
      <w:pPr>
        <w:pBdr>
          <w:top w:val="nil"/>
          <w:left w:val="nil"/>
          <w:bottom w:val="nil"/>
          <w:right w:val="nil"/>
          <w:between w:val="nil"/>
        </w:pBd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En ese sentido dichos requerimientos pueden darse por atendidos en virtud de que la respuesta fue emitida por la Persona Servidora Pública Habilitada Competente, sin embargo, no pasa desapercibido para este Pleno que la referida Dirección señaló por lo que hace a la distribución por colonia de las luminarias instaladas que ajuntaría un listado en formato PDF, mismo que no se tiene por reproducido en ninguna de las constancias que integran a este expediente, y ante tales consideraciones lo procedente por parte de esta Autoridad es ordenar la entrega del documento donde conste la distribución de las luminarias instaladas del primero de enero al diecinueve de agosto de dos mil veintidós, en versión pública de ser el caso.</w:t>
      </w:r>
    </w:p>
    <w:p w:rsidR="00B41D96" w:rsidRPr="00987EA2" w:rsidRDefault="00B41D96">
      <w:pPr>
        <w:pBdr>
          <w:top w:val="nil"/>
          <w:left w:val="nil"/>
          <w:bottom w:val="nil"/>
          <w:right w:val="nil"/>
          <w:between w:val="nil"/>
        </w:pBdr>
        <w:spacing w:line="360" w:lineRule="auto"/>
        <w:jc w:val="both"/>
        <w:rPr>
          <w:rFonts w:ascii="Palatino Linotype" w:eastAsia="Palatino Linotype" w:hAnsi="Palatino Linotype" w:cs="Palatino Linotype"/>
        </w:rPr>
      </w:pPr>
    </w:p>
    <w:p w:rsidR="00B41D96" w:rsidRPr="00987EA2" w:rsidRDefault="00F611F2">
      <w:pPr>
        <w:pBdr>
          <w:top w:val="nil"/>
          <w:left w:val="nil"/>
          <w:bottom w:val="nil"/>
          <w:right w:val="nil"/>
          <w:between w:val="nil"/>
        </w:pBdr>
        <w:spacing w:line="360" w:lineRule="auto"/>
        <w:ind w:right="96"/>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Apuntado lo anterior, es de importancia centrar nuestras ideas en resolver la inconformidad que yace relativa al punto número dos como es el de las adquisiciones de las luminarias, pues la Dirección de Administración y la Tesorería refirieron no haber generado dicha información, y en el Informe Justificado también reiteraron su respuesta inicial, no obstante, se advierte la falta de Certeza a </w:t>
      </w:r>
      <w:r w:rsidRPr="00987EA2">
        <w:rPr>
          <w:rFonts w:ascii="Palatino Linotype" w:eastAsia="Palatino Linotype" w:hAnsi="Palatino Linotype" w:cs="Palatino Linotype"/>
          <w:b/>
        </w:rPr>
        <w:t>LA PARTE RECURRENTE</w:t>
      </w:r>
      <w:r w:rsidRPr="00987EA2">
        <w:rPr>
          <w:rFonts w:ascii="Palatino Linotype" w:eastAsia="Palatino Linotype" w:hAnsi="Palatino Linotype" w:cs="Palatino Linotype"/>
        </w:rPr>
        <w:t xml:space="preserve"> pues con fundamento en el pronunciamiento de la </w:t>
      </w:r>
      <w:r w:rsidRPr="00987EA2">
        <w:rPr>
          <w:rFonts w:ascii="Palatino Linotype" w:eastAsia="Palatino Linotype" w:hAnsi="Palatino Linotype" w:cs="Palatino Linotype"/>
        </w:rPr>
        <w:lastRenderedPageBreak/>
        <w:t xml:space="preserve">Dirección de Servicios Públicos tenemos que efectivamente se llevó a cabo la instalación de cinco mil ciento noventa y tres luminarias, además, causa convicción las publicaciones realizadas también por el propio </w:t>
      </w:r>
      <w:r w:rsidRPr="00987EA2">
        <w:rPr>
          <w:rFonts w:ascii="Palatino Linotype" w:eastAsia="Palatino Linotype" w:hAnsi="Palatino Linotype" w:cs="Palatino Linotype"/>
          <w:b/>
        </w:rPr>
        <w:t>SUJETO OBLIGADO</w:t>
      </w:r>
      <w:r w:rsidRPr="00987EA2">
        <w:rPr>
          <w:rFonts w:ascii="Palatino Linotype" w:eastAsia="Palatino Linotype" w:hAnsi="Palatino Linotype" w:cs="Palatino Linotype"/>
        </w:rPr>
        <w:t xml:space="preserve"> en su página de Facebook, realizadas los días veintiséis, veintisiete y treinta de septiembre de dos mil veintidós, en las que al haber sido realizadas con anterioridad a la fecha de la solicitud (Diecinueve de agosto de dos mil veintidós), podemos concluir que hay un indicio de que el Ayuntamiento de Cuautitlán Izcalli, </w:t>
      </w:r>
      <w:r w:rsidRPr="00987EA2">
        <w:rPr>
          <w:rFonts w:ascii="Palatino Linotype" w:eastAsia="Palatino Linotype" w:hAnsi="Palatino Linotype" w:cs="Palatino Linotype"/>
          <w:b/>
          <w:u w:val="single"/>
        </w:rPr>
        <w:t>sí llevó a cabo la instalación de luminarias dentro del periodo referido</w:t>
      </w:r>
      <w:r w:rsidRPr="00987EA2">
        <w:rPr>
          <w:rFonts w:ascii="Palatino Linotype" w:eastAsia="Palatino Linotype" w:hAnsi="Palatino Linotype" w:cs="Palatino Linotype"/>
        </w:rPr>
        <w:t xml:space="preserve"> por </w:t>
      </w:r>
      <w:r w:rsidRPr="00987EA2">
        <w:rPr>
          <w:rFonts w:ascii="Palatino Linotype" w:eastAsia="Palatino Linotype" w:hAnsi="Palatino Linotype" w:cs="Palatino Linotype"/>
          <w:b/>
        </w:rPr>
        <w:t>LA PARTE RECURRENTE,</w:t>
      </w:r>
      <w:r w:rsidRPr="00987EA2">
        <w:rPr>
          <w:rFonts w:ascii="Palatino Linotype" w:eastAsia="Palatino Linotype" w:hAnsi="Palatino Linotype" w:cs="Palatino Linotype"/>
        </w:rPr>
        <w:t xml:space="preserve"> determinación que se apoya con las tesis jurisprudenciales de rubro y texto siguientes: </w:t>
      </w:r>
    </w:p>
    <w:p w:rsidR="00B41D96" w:rsidRPr="00987EA2" w:rsidRDefault="00B41D96">
      <w:pPr>
        <w:ind w:left="864" w:right="864"/>
        <w:jc w:val="both"/>
        <w:rPr>
          <w:rFonts w:ascii="Palatino Linotype" w:eastAsia="Palatino Linotype" w:hAnsi="Palatino Linotype" w:cs="Palatino Linotype"/>
          <w:b/>
          <w:i/>
          <w:sz w:val="22"/>
          <w:szCs w:val="22"/>
        </w:rPr>
      </w:pPr>
    </w:p>
    <w:p w:rsidR="00B41D96" w:rsidRPr="00987EA2" w:rsidRDefault="00F611F2">
      <w:pPr>
        <w:ind w:left="864" w:right="864"/>
        <w:jc w:val="both"/>
        <w:rPr>
          <w:rFonts w:ascii="Palatino Linotype" w:eastAsia="Palatino Linotype" w:hAnsi="Palatino Linotype" w:cs="Palatino Linotype"/>
          <w:b/>
          <w:i/>
          <w:sz w:val="22"/>
          <w:szCs w:val="22"/>
        </w:rPr>
      </w:pPr>
      <w:r w:rsidRPr="00987EA2">
        <w:rPr>
          <w:rFonts w:ascii="Palatino Linotype" w:eastAsia="Palatino Linotype" w:hAnsi="Palatino Linotype" w:cs="Palatino Linotype"/>
          <w:b/>
          <w:i/>
          <w:sz w:val="22"/>
          <w:szCs w:val="22"/>
        </w:rPr>
        <w:t>HECHOS NOTORIOS. CONCEPTOS GENERAL Y JURÍDICO</w:t>
      </w:r>
    </w:p>
    <w:p w:rsidR="00B41D96" w:rsidRPr="00987EA2" w:rsidRDefault="00F611F2">
      <w:pP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 xml:space="preserve">Conforme al artículo </w:t>
      </w:r>
      <w:hyperlink r:id="rId26">
        <w:r w:rsidRPr="00987EA2">
          <w:rPr>
            <w:rFonts w:ascii="Palatino Linotype" w:eastAsia="Palatino Linotype" w:hAnsi="Palatino Linotype" w:cs="Palatino Linotype"/>
            <w:i/>
            <w:sz w:val="22"/>
            <w:szCs w:val="22"/>
          </w:rPr>
          <w:t>88 del Código Federal de Procedimientos Civiles</w:t>
        </w:r>
      </w:hyperlink>
      <w:r w:rsidRPr="00987EA2">
        <w:rPr>
          <w:rFonts w:ascii="Palatino Linotype" w:eastAsia="Palatino Linotype" w:hAnsi="Palatino Linotype" w:cs="Palatino Linotype"/>
          <w:i/>
          <w:sz w:val="22"/>
          <w:szCs w:val="22"/>
        </w:rPr>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B41D96" w:rsidRPr="00987EA2" w:rsidRDefault="00F611F2">
      <w:pP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Controversia constitucional 24/2005. Cámara de Diputados del Congreso de la Unión. 9 de marzo de 2006. Once votos. Ponente: José Ramón Cossío Díaz. Secretarios: Raúl Manuel Mejía Garza y Laura Patricia Rojas Zamudio.</w:t>
      </w:r>
    </w:p>
    <w:p w:rsidR="00B41D96" w:rsidRPr="00987EA2" w:rsidRDefault="00F611F2">
      <w:pP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El Tribunal Pleno, el dieciséis de mayo en curso, aprobó, con el número 74/2006, la tesis jurisprudencial que antecede. México, Distrito Federal, a dieciséis de mayo de dos mil seis.</w:t>
      </w:r>
    </w:p>
    <w:p w:rsidR="00B41D96" w:rsidRPr="00987EA2" w:rsidRDefault="00F611F2">
      <w:pP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lastRenderedPageBreak/>
        <w:t>Nota: Esta tesis fue objeto de la denuncia relativa a la contradicción de tesis 91/2014, desechada por notoriamente improcedente, mediante acuerdo de 24 de marzo de 2014.”</w:t>
      </w:r>
    </w:p>
    <w:p w:rsidR="00B41D96" w:rsidRPr="00987EA2" w:rsidRDefault="00B41D96">
      <w:pPr>
        <w:ind w:left="864" w:right="864"/>
        <w:jc w:val="both"/>
        <w:rPr>
          <w:rFonts w:ascii="Palatino Linotype" w:eastAsia="Palatino Linotype" w:hAnsi="Palatino Linotype" w:cs="Palatino Linotype"/>
          <w:i/>
          <w:sz w:val="22"/>
          <w:szCs w:val="22"/>
        </w:rPr>
      </w:pPr>
    </w:p>
    <w:p w:rsidR="00B41D96" w:rsidRPr="00987EA2" w:rsidRDefault="00F611F2">
      <w:pP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PÁGINAS WEB O ELECTRÓNICAS. SU CONTENIDO ES UN HECHO NOTORIO Y SUSCEPTIBLE DE SER VALORADO EN UNA DECISIÓN JUDICIAL.</w:t>
      </w:r>
      <w:r w:rsidRPr="00987EA2">
        <w:rPr>
          <w:rFonts w:ascii="Palatino Linotype" w:eastAsia="Palatino Linotype" w:hAnsi="Palatino Linotype" w:cs="Palatino Linotype"/>
          <w:i/>
          <w:sz w:val="22"/>
          <w:szCs w:val="22"/>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rsidR="00B41D96" w:rsidRPr="00987EA2" w:rsidRDefault="00F611F2">
      <w:pP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 xml:space="preserve">TERCER TRIBUNAL COLEGIADO EN MATERIA CIVIL DEL PRIMER CIRCUITO. Amparo en revisión 365/2012. Mardygras, S.A. de C.V. 7 de diciembre de 2012. Unanimidad de votos. Ponente: Neófito López Ramos. Secretaria: Ana Lilia Osorno Arroyo. </w:t>
      </w:r>
    </w:p>
    <w:p w:rsidR="00B41D96" w:rsidRPr="00987EA2" w:rsidRDefault="00B41D96">
      <w:pPr>
        <w:ind w:left="864" w:right="864"/>
        <w:jc w:val="both"/>
        <w:rPr>
          <w:rFonts w:ascii="Palatino Linotype" w:eastAsia="Palatino Linotype" w:hAnsi="Palatino Linotype" w:cs="Palatino Linotype"/>
          <w:b/>
          <w:i/>
          <w:sz w:val="22"/>
          <w:szCs w:val="22"/>
        </w:rPr>
      </w:pPr>
    </w:p>
    <w:p w:rsidR="00B41D96" w:rsidRPr="00987EA2" w:rsidRDefault="00F611F2">
      <w:pP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RPr="00987EA2">
        <w:rPr>
          <w:rFonts w:ascii="Palatino Linotype" w:eastAsia="Palatino Linotype" w:hAnsi="Palatino Linotype" w:cs="Palatino Linotype"/>
          <w:i/>
          <w:sz w:val="22"/>
          <w:szCs w:val="22"/>
        </w:rPr>
        <w:t xml:space="preserve"> Los datos que aparecen en las páginas electrónicas oficiales que </w:t>
      </w:r>
      <w:r w:rsidRPr="00987EA2">
        <w:rPr>
          <w:rFonts w:ascii="Palatino Linotype" w:eastAsia="Palatino Linotype" w:hAnsi="Palatino Linotype" w:cs="Palatino Linotype"/>
          <w:i/>
          <w:sz w:val="22"/>
          <w:szCs w:val="22"/>
        </w:rPr>
        <w:lastRenderedPageBreak/>
        <w:t xml:space="preserve">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Pag.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w:t>
      </w:r>
    </w:p>
    <w:p w:rsidR="00B41D96" w:rsidRPr="00987EA2" w:rsidRDefault="00F611F2">
      <w:pP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rsidR="00B41D96" w:rsidRPr="00987EA2" w:rsidRDefault="00B41D96">
      <w:pPr>
        <w:ind w:right="864"/>
        <w:jc w:val="both"/>
        <w:rPr>
          <w:rFonts w:ascii="Palatino Linotype" w:eastAsia="Palatino Linotype" w:hAnsi="Palatino Linotype" w:cs="Palatino Linotype"/>
          <w:i/>
          <w:sz w:val="22"/>
          <w:szCs w:val="22"/>
        </w:rPr>
      </w:pPr>
    </w:p>
    <w:p w:rsidR="00B41D96" w:rsidRPr="00987EA2" w:rsidRDefault="00F611F2">
      <w:pPr>
        <w:spacing w:line="360" w:lineRule="auto"/>
        <w:ind w:right="49"/>
        <w:jc w:val="both"/>
        <w:rPr>
          <w:rFonts w:ascii="Palatino Linotype" w:eastAsia="Palatino Linotype" w:hAnsi="Palatino Linotype" w:cs="Palatino Linotype"/>
        </w:rPr>
      </w:pPr>
      <w:r w:rsidRPr="00987EA2">
        <w:rPr>
          <w:rFonts w:ascii="Palatino Linotype" w:eastAsia="Palatino Linotype" w:hAnsi="Palatino Linotype" w:cs="Palatino Linotype"/>
        </w:rPr>
        <w:t>En ese contexto, no debe pasar desapercibido que la actuación de cualquier Sujeto Obligado Mexiquense debe existir conforme a lo establecido en la Ley de Transparencia y Acceso a la Información Pública del Estado de México y Municipios, propiamente el primer párrafo del artículo once que dice:</w:t>
      </w:r>
    </w:p>
    <w:p w:rsidR="00B41D96" w:rsidRPr="00987EA2" w:rsidRDefault="00B41D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 xml:space="preserve">Artículo 11. </w:t>
      </w:r>
      <w:r w:rsidRPr="00987EA2">
        <w:rPr>
          <w:rFonts w:ascii="Palatino Linotype" w:eastAsia="Palatino Linotype" w:hAnsi="Palatino Linotype" w:cs="Palatino Linotype"/>
          <w:b/>
          <w:i/>
          <w:sz w:val="22"/>
          <w:szCs w:val="22"/>
        </w:rPr>
        <w:t>En la</w:t>
      </w:r>
      <w:r w:rsidRPr="00987EA2">
        <w:rPr>
          <w:rFonts w:ascii="Palatino Linotype" w:eastAsia="Palatino Linotype" w:hAnsi="Palatino Linotype" w:cs="Palatino Linotype"/>
          <w:i/>
          <w:sz w:val="22"/>
          <w:szCs w:val="22"/>
        </w:rPr>
        <w:t xml:space="preserve"> generación, publicación y </w:t>
      </w:r>
      <w:r w:rsidRPr="00987EA2">
        <w:rPr>
          <w:rFonts w:ascii="Palatino Linotype" w:eastAsia="Palatino Linotype" w:hAnsi="Palatino Linotype" w:cs="Palatino Linotype"/>
          <w:b/>
          <w:i/>
          <w:sz w:val="22"/>
          <w:szCs w:val="22"/>
        </w:rPr>
        <w:t>entrega de información</w:t>
      </w:r>
      <w:r w:rsidRPr="00987EA2">
        <w:rPr>
          <w:rFonts w:ascii="Palatino Linotype" w:eastAsia="Palatino Linotype" w:hAnsi="Palatino Linotype" w:cs="Palatino Linotype"/>
          <w:i/>
          <w:sz w:val="22"/>
          <w:szCs w:val="22"/>
        </w:rPr>
        <w:t xml:space="preserve"> </w:t>
      </w:r>
      <w:r w:rsidRPr="00987EA2">
        <w:rPr>
          <w:rFonts w:ascii="Palatino Linotype" w:eastAsia="Palatino Linotype" w:hAnsi="Palatino Linotype" w:cs="Palatino Linotype"/>
          <w:b/>
          <w:i/>
          <w:sz w:val="22"/>
          <w:szCs w:val="22"/>
        </w:rPr>
        <w:t>se deberá garantizar que ésta sea</w:t>
      </w:r>
      <w:r w:rsidRPr="00987EA2">
        <w:rPr>
          <w:rFonts w:ascii="Palatino Linotype" w:eastAsia="Palatino Linotype" w:hAnsi="Palatino Linotype" w:cs="Palatino Linotype"/>
          <w:i/>
          <w:sz w:val="22"/>
          <w:szCs w:val="22"/>
        </w:rPr>
        <w:t xml:space="preserve"> accesible, actualizada, completa, </w:t>
      </w:r>
      <w:r w:rsidRPr="00987EA2">
        <w:rPr>
          <w:rFonts w:ascii="Palatino Linotype" w:eastAsia="Palatino Linotype" w:hAnsi="Palatino Linotype" w:cs="Palatino Linotype"/>
          <w:b/>
          <w:i/>
          <w:sz w:val="22"/>
          <w:szCs w:val="22"/>
        </w:rPr>
        <w:t>congruente,</w:t>
      </w:r>
      <w:r w:rsidRPr="00987EA2">
        <w:rPr>
          <w:rFonts w:ascii="Palatino Linotype" w:eastAsia="Palatino Linotype" w:hAnsi="Palatino Linotype" w:cs="Palatino Linotype"/>
          <w:i/>
          <w:sz w:val="22"/>
          <w:szCs w:val="22"/>
        </w:rPr>
        <w:t xml:space="preserv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B41D96" w:rsidRPr="00987EA2" w:rsidRDefault="00B41D96"/>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Hipótesis normativa que se perdió de óptica por parte del </w:t>
      </w:r>
      <w:r w:rsidRPr="00987EA2">
        <w:rPr>
          <w:rFonts w:ascii="Palatino Linotype" w:eastAsia="Palatino Linotype" w:hAnsi="Palatino Linotype" w:cs="Palatino Linotype"/>
          <w:b/>
        </w:rPr>
        <w:t>SUJETO OBLIGADO</w:t>
      </w:r>
      <w:r w:rsidRPr="00987EA2">
        <w:rPr>
          <w:rFonts w:ascii="Palatino Linotype" w:eastAsia="Palatino Linotype" w:hAnsi="Palatino Linotype" w:cs="Palatino Linotype"/>
        </w:rPr>
        <w:t xml:space="preserve"> en virtud de las respuestas emitidas en los diferentes momentos procesales de este medio de impugnación, pues como se ha señalado, no existe congruencia entre lo informado por la Tesorería Municipal y la Dirección de Administración en la respuesta primigenia y su Informe Justificado, con lo dicho por la Dirección de Servicios Públicos en su Informe Justificado.</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Entonces, bajo el amparo de la respuesta en el Informe Justificado de la Dirección de Servicios Públicos y de las publicaciones del Ayuntamiento de Cuautitlán Izcalli en Facebook, es necesario insistir que no se pone sobre la litis de este asunto la veracidad de la información, sino el deber el atender las solicitudes de acceso a la información pública garantizando la búsqueda de la información de manera exhaustiva y razonable, proporcionando la documentación que obre en sus archivos y en el estado en que esta se encuentre; de conformidad con lo dispuesto en los artículos doce y ciento sesenta y dos de la Ley de Transparencia y Acceso a la Información Pública del Estado de México y Municipios. </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lastRenderedPageBreak/>
        <w:t xml:space="preserve">Esto, privilegiando a los Principios Rectores del Derecho Humano a la Información Pública consagrados en el artículo nueve de la referida ley en la materia, particularmente el de Certeza, Eficacia, Máxima Publicidad y Transparencia. </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En esa tesitura, el artículo veinticuatro en su último párrafo de la ley de la materia, dispone que los Sujetos Obligados Mexiquenses solo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B41D96" w:rsidRPr="00987EA2" w:rsidRDefault="00B41D96">
      <w:pPr>
        <w:spacing w:line="360" w:lineRule="auto"/>
        <w:ind w:right="51"/>
        <w:jc w:val="both"/>
        <w:rPr>
          <w:rFonts w:ascii="Palatino Linotype" w:eastAsia="Palatino Linotype" w:hAnsi="Palatino Linotype" w:cs="Palatino Linotype"/>
        </w:rPr>
      </w:pPr>
    </w:p>
    <w:p w:rsidR="00B41D96" w:rsidRPr="00987EA2" w:rsidRDefault="00F611F2">
      <w:pPr>
        <w:spacing w:line="360" w:lineRule="auto"/>
        <w:ind w:right="51"/>
        <w:jc w:val="both"/>
        <w:rPr>
          <w:rFonts w:ascii="Palatino Linotype" w:eastAsia="Palatino Linotype" w:hAnsi="Palatino Linotype" w:cs="Palatino Linotype"/>
        </w:rPr>
      </w:pPr>
      <w:r w:rsidRPr="00987EA2">
        <w:rPr>
          <w:rFonts w:ascii="Palatino Linotype" w:eastAsia="Palatino Linotype" w:hAnsi="Palatino Linotype" w:cs="Palatino Linotype"/>
        </w:rPr>
        <w:t>Por otro lado, respecto de la información solicitada a través del punto número dos</w:t>
      </w:r>
      <w:r w:rsidRPr="00987EA2">
        <w:rPr>
          <w:rFonts w:ascii="Palatino Linotype" w:eastAsia="Palatino Linotype" w:hAnsi="Palatino Linotype" w:cs="Palatino Linotype"/>
          <w:b/>
        </w:rPr>
        <w:t>,</w:t>
      </w:r>
      <w:r w:rsidRPr="00987EA2">
        <w:rPr>
          <w:rFonts w:ascii="Palatino Linotype" w:eastAsia="Palatino Linotype" w:hAnsi="Palatino Linotype" w:cs="Palatino Linotype"/>
        </w:rPr>
        <w:t xml:space="preserve"> relativo a la adquisición de luminarias del primero de enero al diecinueve de agosto de dos mil veintidós, es de señalar que del análisis de las constancias que obran en el expediente electrónico, se advirtió pronunciamiento de las áreas competentes como lo son la Dirección de Administración y la Tesorería, sin embargo, como se ha puntualizado, las Unidades Administrativas dijeron que no se generó información al respecto, no obstante, como se ha mencionado la Dirección de Servicios Públicos dijo que efectivamente se instalaron cinco mil ciento noventa y tres luminarias en ese periodo. </w:t>
      </w:r>
    </w:p>
    <w:p w:rsidR="00B41D96" w:rsidRPr="00987EA2" w:rsidRDefault="00B41D96">
      <w:pPr>
        <w:spacing w:line="360" w:lineRule="auto"/>
        <w:ind w:right="51"/>
        <w:jc w:val="both"/>
        <w:rPr>
          <w:rFonts w:ascii="Palatino Linotype" w:eastAsia="Palatino Linotype" w:hAnsi="Palatino Linotype" w:cs="Palatino Linotype"/>
        </w:rPr>
      </w:pPr>
    </w:p>
    <w:p w:rsidR="00B41D96" w:rsidRPr="00987EA2" w:rsidRDefault="00F611F2">
      <w:pPr>
        <w:spacing w:line="360" w:lineRule="auto"/>
        <w:ind w:right="51"/>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Para tal efecto, no obsta mencionar que el Glosario de Términos Hacendarios que emite el Instituto Hacendario del Estado de México, define el término “factura” </w:t>
      </w:r>
      <w:r w:rsidRPr="00987EA2">
        <w:rPr>
          <w:rFonts w:ascii="Palatino Linotype" w:eastAsia="Palatino Linotype" w:hAnsi="Palatino Linotype" w:cs="Palatino Linotype"/>
        </w:rPr>
        <w:lastRenderedPageBreak/>
        <w:t>como el documento fiscal que emite la persona física o moral para comprobar la venta o adquisición de un bien y/o servicio.</w:t>
      </w:r>
    </w:p>
    <w:p w:rsidR="00B41D96" w:rsidRPr="00987EA2" w:rsidRDefault="00B41D96">
      <w:pPr>
        <w:spacing w:line="360" w:lineRule="auto"/>
        <w:ind w:right="51"/>
        <w:jc w:val="both"/>
        <w:rPr>
          <w:rFonts w:ascii="Palatino Linotype" w:eastAsia="Palatino Linotype" w:hAnsi="Palatino Linotype" w:cs="Palatino Linotype"/>
        </w:rPr>
      </w:pPr>
    </w:p>
    <w:p w:rsidR="00B41D96" w:rsidRPr="00987EA2" w:rsidRDefault="00F611F2">
      <w:pPr>
        <w:spacing w:line="360" w:lineRule="auto"/>
        <w:ind w:right="51"/>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Así, 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B41D96" w:rsidRPr="00987EA2" w:rsidRDefault="00B41D96">
      <w:pPr>
        <w:spacing w:line="360" w:lineRule="auto"/>
        <w:ind w:right="51"/>
        <w:jc w:val="both"/>
        <w:rPr>
          <w:rFonts w:ascii="Palatino Linotype" w:eastAsia="Palatino Linotype" w:hAnsi="Palatino Linotype" w:cs="Palatino Linotype"/>
        </w:rPr>
      </w:pPr>
    </w:p>
    <w:p w:rsidR="00B41D96" w:rsidRPr="00987EA2" w:rsidRDefault="00F611F2">
      <w:pPr>
        <w:spacing w:line="360" w:lineRule="auto"/>
        <w:ind w:right="49"/>
        <w:jc w:val="both"/>
        <w:rPr>
          <w:rFonts w:ascii="Palatino Linotype" w:eastAsia="Palatino Linotype" w:hAnsi="Palatino Linotype" w:cs="Palatino Linotype"/>
        </w:rPr>
      </w:pPr>
      <w:r w:rsidRPr="00987EA2">
        <w:rPr>
          <w:rFonts w:ascii="Palatino Linotype" w:eastAsia="Palatino Linotype" w:hAnsi="Palatino Linotype" w:cs="Palatino Linotype"/>
        </w:rPr>
        <w:t>Aunado a ello, los artículos 342, 343, 344 y 345 del Código Financiero del Estado de México y Municipios, disponen el sistema y las políticas que deben seguirse para llevar el registro contable y presupuestal de las operaciones financieras, en los siguientes términos:</w:t>
      </w:r>
    </w:p>
    <w:p w:rsidR="00B41D96" w:rsidRPr="00987EA2" w:rsidRDefault="00B41D96">
      <w:pPr>
        <w:pBdr>
          <w:top w:val="nil"/>
          <w:left w:val="nil"/>
          <w:bottom w:val="nil"/>
          <w:right w:val="nil"/>
          <w:between w:val="nil"/>
        </w:pBdr>
        <w:ind w:left="864" w:right="864"/>
        <w:jc w:val="both"/>
        <w:rPr>
          <w:i/>
          <w:sz w:val="22"/>
          <w:szCs w:val="22"/>
        </w:rPr>
      </w:pPr>
    </w:p>
    <w:p w:rsidR="00B41D96" w:rsidRPr="00987EA2" w:rsidRDefault="00F611F2">
      <w:pPr>
        <w:pBdr>
          <w:top w:val="nil"/>
          <w:left w:val="nil"/>
          <w:bottom w:val="nil"/>
          <w:right w:val="nil"/>
          <w:between w:val="nil"/>
        </w:pBdr>
        <w:ind w:left="864" w:right="864"/>
        <w:jc w:val="both"/>
        <w:rPr>
          <w:i/>
          <w:sz w:val="22"/>
          <w:szCs w:val="22"/>
        </w:rPr>
      </w:pPr>
      <w:r w:rsidRPr="00987EA2">
        <w:rPr>
          <w:b/>
          <w:i/>
          <w:sz w:val="22"/>
          <w:szCs w:val="22"/>
        </w:rPr>
        <w:t>Artículo 342.-</w:t>
      </w:r>
      <w:r w:rsidRPr="00987EA2">
        <w:rPr>
          <w:i/>
          <w:sz w:val="22"/>
          <w:szCs w:val="22"/>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B41D96" w:rsidRPr="00987EA2" w:rsidRDefault="00F611F2">
      <w:pPr>
        <w:pBdr>
          <w:top w:val="nil"/>
          <w:left w:val="nil"/>
          <w:bottom w:val="nil"/>
          <w:right w:val="nil"/>
          <w:between w:val="nil"/>
        </w:pBdr>
        <w:ind w:left="864" w:right="864"/>
        <w:jc w:val="both"/>
        <w:rPr>
          <w:i/>
          <w:sz w:val="22"/>
          <w:szCs w:val="22"/>
        </w:rPr>
      </w:pPr>
      <w:r w:rsidRPr="00987EA2">
        <w:rPr>
          <w:b/>
          <w:i/>
          <w:sz w:val="22"/>
          <w:szCs w:val="22"/>
        </w:rPr>
        <w:t>En el caso de los municipios,</w:t>
      </w:r>
      <w:r w:rsidRPr="00987EA2">
        <w:rPr>
          <w:i/>
          <w:sz w:val="22"/>
          <w:szCs w:val="22"/>
        </w:rPr>
        <w:t xml:space="preserve"> el registro a que se refiere el párrafo anterior, se realizará conforme al sistema y a las disposiciones en materia de </w:t>
      </w:r>
      <w:r w:rsidRPr="00987EA2">
        <w:rPr>
          <w:b/>
          <w:i/>
          <w:sz w:val="22"/>
          <w:szCs w:val="22"/>
        </w:rPr>
        <w:t>planeación, programación, presupuestación, evaluación y contabilidad gubernamental</w:t>
      </w:r>
      <w:r w:rsidRPr="00987EA2">
        <w:rPr>
          <w:i/>
          <w:sz w:val="22"/>
          <w:szCs w:val="22"/>
        </w:rPr>
        <w:t>, que se aprueben en el marco del Sistema de Coordinación Hacendaria del Estado de México.</w:t>
      </w:r>
    </w:p>
    <w:p w:rsidR="00B41D96" w:rsidRPr="00987EA2" w:rsidRDefault="00B41D96">
      <w:pPr>
        <w:pBdr>
          <w:top w:val="nil"/>
          <w:left w:val="nil"/>
          <w:bottom w:val="nil"/>
          <w:right w:val="nil"/>
          <w:between w:val="nil"/>
        </w:pBdr>
        <w:ind w:left="864" w:right="864"/>
        <w:jc w:val="both"/>
        <w:rPr>
          <w:b/>
          <w:i/>
          <w:sz w:val="22"/>
          <w:szCs w:val="22"/>
        </w:rPr>
      </w:pPr>
    </w:p>
    <w:p w:rsidR="00B41D96" w:rsidRPr="00987EA2" w:rsidRDefault="00F611F2">
      <w:pPr>
        <w:pBdr>
          <w:top w:val="nil"/>
          <w:left w:val="nil"/>
          <w:bottom w:val="nil"/>
          <w:right w:val="nil"/>
          <w:between w:val="nil"/>
        </w:pBdr>
        <w:ind w:left="864" w:right="864"/>
        <w:jc w:val="both"/>
        <w:rPr>
          <w:i/>
          <w:sz w:val="22"/>
          <w:szCs w:val="22"/>
        </w:rPr>
      </w:pPr>
      <w:r w:rsidRPr="00987EA2">
        <w:rPr>
          <w:b/>
          <w:i/>
          <w:sz w:val="22"/>
          <w:szCs w:val="22"/>
        </w:rPr>
        <w:t>Artículo 343.-</w:t>
      </w:r>
      <w:r w:rsidRPr="00987EA2">
        <w:rPr>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rsidR="00B41D96" w:rsidRPr="00987EA2" w:rsidRDefault="00F611F2">
      <w:pPr>
        <w:pBdr>
          <w:top w:val="nil"/>
          <w:left w:val="nil"/>
          <w:bottom w:val="nil"/>
          <w:right w:val="nil"/>
          <w:between w:val="nil"/>
        </w:pBdr>
        <w:ind w:left="864" w:right="864"/>
        <w:jc w:val="both"/>
        <w:rPr>
          <w:i/>
          <w:sz w:val="22"/>
          <w:szCs w:val="22"/>
        </w:rPr>
      </w:pPr>
      <w:r w:rsidRPr="00987EA2">
        <w:rPr>
          <w:i/>
          <w:sz w:val="22"/>
          <w:szCs w:val="22"/>
        </w:rPr>
        <w:lastRenderedPageBreak/>
        <w:t>El sistema de contabilidad sobre base acumulativa total, se sustentará en las normas emitidas por el Consejo Nacional de Armonización Contable.</w:t>
      </w:r>
    </w:p>
    <w:p w:rsidR="00B41D96" w:rsidRPr="00987EA2" w:rsidRDefault="00B41D96">
      <w:pPr>
        <w:pBdr>
          <w:top w:val="nil"/>
          <w:left w:val="nil"/>
          <w:bottom w:val="nil"/>
          <w:right w:val="nil"/>
          <w:between w:val="nil"/>
        </w:pBdr>
        <w:ind w:left="864" w:right="864"/>
        <w:jc w:val="both"/>
        <w:rPr>
          <w:i/>
          <w:sz w:val="22"/>
          <w:szCs w:val="22"/>
        </w:rPr>
      </w:pPr>
    </w:p>
    <w:p w:rsidR="00B41D96" w:rsidRPr="00987EA2" w:rsidRDefault="00F611F2">
      <w:pPr>
        <w:pBdr>
          <w:top w:val="nil"/>
          <w:left w:val="nil"/>
          <w:bottom w:val="nil"/>
          <w:right w:val="nil"/>
          <w:between w:val="nil"/>
        </w:pBdr>
        <w:ind w:left="864" w:right="864"/>
        <w:jc w:val="both"/>
        <w:rPr>
          <w:b/>
          <w:i/>
          <w:sz w:val="22"/>
          <w:szCs w:val="22"/>
        </w:rPr>
      </w:pPr>
      <w:r w:rsidRPr="00987EA2">
        <w:rPr>
          <w:b/>
          <w:i/>
          <w:sz w:val="22"/>
          <w:szCs w:val="22"/>
        </w:rPr>
        <w:t xml:space="preserve">Artículo 344.- Los Entes Públicos, a través de cualquiera de sus unidades administrativas, de acuerdo con su naturaleza jurídica y según corresponda, </w:t>
      </w:r>
      <w:r w:rsidRPr="00987EA2">
        <w:rPr>
          <w:b/>
          <w:i/>
          <w:sz w:val="22"/>
          <w:szCs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987EA2">
        <w:rPr>
          <w:b/>
          <w:i/>
          <w:sz w:val="22"/>
          <w:szCs w:val="22"/>
        </w:rPr>
        <w:t>.</w:t>
      </w:r>
    </w:p>
    <w:p w:rsidR="00B41D96" w:rsidRPr="00987EA2" w:rsidRDefault="00F611F2">
      <w:pPr>
        <w:pBdr>
          <w:top w:val="nil"/>
          <w:left w:val="nil"/>
          <w:bottom w:val="nil"/>
          <w:right w:val="nil"/>
          <w:between w:val="nil"/>
        </w:pBdr>
        <w:ind w:left="864" w:right="864"/>
        <w:jc w:val="both"/>
        <w:rPr>
          <w:b/>
          <w:i/>
          <w:sz w:val="22"/>
          <w:szCs w:val="22"/>
        </w:rPr>
      </w:pPr>
      <w:r w:rsidRPr="00987EA2">
        <w:rPr>
          <w:b/>
          <w:i/>
          <w:sz w:val="22"/>
          <w:szCs w:val="22"/>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987EA2">
        <w:rPr>
          <w:i/>
          <w:sz w:val="22"/>
          <w:szCs w:val="22"/>
        </w:rPr>
        <w:t xml:space="preserve">según corresponda, así como de los órganos internos de control, </w:t>
      </w:r>
      <w:r w:rsidRPr="00987EA2">
        <w:rPr>
          <w:b/>
          <w:i/>
          <w:sz w:val="22"/>
          <w:szCs w:val="22"/>
        </w:rPr>
        <w:t>por un término de cinco años,</w:t>
      </w:r>
      <w:r w:rsidRPr="00987EA2">
        <w:rPr>
          <w:i/>
          <w:sz w:val="22"/>
          <w:szCs w:val="22"/>
        </w:rPr>
        <w:t xml:space="preserve"> contados a partir del ejercicio presupuestal siguiente al que corresponda,</w:t>
      </w:r>
      <w:r w:rsidRPr="00987EA2">
        <w:rPr>
          <w:b/>
          <w:i/>
          <w:sz w:val="22"/>
          <w:szCs w:val="22"/>
        </w:rPr>
        <w:t xml:space="preserve"> en el caso de los Municipios, dicha obligación corresponderá a la Tesorería.</w:t>
      </w:r>
    </w:p>
    <w:p w:rsidR="00B41D96" w:rsidRPr="00987EA2" w:rsidRDefault="00F611F2">
      <w:pPr>
        <w:pBdr>
          <w:top w:val="nil"/>
          <w:left w:val="nil"/>
          <w:bottom w:val="nil"/>
          <w:right w:val="nil"/>
          <w:between w:val="nil"/>
        </w:pBdr>
        <w:ind w:left="864" w:right="864"/>
        <w:jc w:val="both"/>
        <w:rPr>
          <w:i/>
          <w:sz w:val="22"/>
          <w:szCs w:val="22"/>
        </w:rPr>
      </w:pPr>
      <w:r w:rsidRPr="00987EA2">
        <w:rPr>
          <w:i/>
          <w:sz w:val="22"/>
          <w:szCs w:val="22"/>
        </w:rPr>
        <w:t>Tratándose de documentos de carácter histórico, se estará a lo dispuesto por la legislación de la materia.</w:t>
      </w:r>
    </w:p>
    <w:p w:rsidR="00B41D96" w:rsidRPr="00987EA2" w:rsidRDefault="00F611F2">
      <w:pPr>
        <w:pBdr>
          <w:top w:val="nil"/>
          <w:left w:val="nil"/>
          <w:bottom w:val="nil"/>
          <w:right w:val="nil"/>
          <w:between w:val="nil"/>
        </w:pBdr>
        <w:ind w:left="864" w:right="864"/>
        <w:jc w:val="both"/>
        <w:rPr>
          <w:i/>
          <w:sz w:val="22"/>
          <w:szCs w:val="22"/>
        </w:rPr>
      </w:pPr>
      <w:r w:rsidRPr="00987EA2">
        <w:rPr>
          <w:i/>
          <w:sz w:val="22"/>
          <w:szCs w:val="22"/>
        </w:rPr>
        <w:t>(…)</w:t>
      </w:r>
    </w:p>
    <w:p w:rsidR="00B41D96" w:rsidRPr="00987EA2" w:rsidRDefault="00B41D96">
      <w:pPr>
        <w:pBdr>
          <w:top w:val="nil"/>
          <w:left w:val="nil"/>
          <w:bottom w:val="nil"/>
          <w:right w:val="nil"/>
          <w:between w:val="nil"/>
        </w:pBdr>
        <w:ind w:left="864" w:right="864"/>
        <w:jc w:val="both"/>
        <w:rPr>
          <w:b/>
          <w:i/>
          <w:sz w:val="22"/>
          <w:szCs w:val="22"/>
        </w:rPr>
      </w:pPr>
    </w:p>
    <w:p w:rsidR="00B41D96" w:rsidRPr="00987EA2" w:rsidRDefault="00F611F2">
      <w:pPr>
        <w:pBdr>
          <w:top w:val="nil"/>
          <w:left w:val="nil"/>
          <w:bottom w:val="nil"/>
          <w:right w:val="nil"/>
          <w:between w:val="nil"/>
        </w:pBdr>
        <w:ind w:left="864" w:right="864"/>
        <w:jc w:val="both"/>
        <w:rPr>
          <w:b/>
          <w:i/>
          <w:sz w:val="22"/>
          <w:szCs w:val="22"/>
        </w:rPr>
      </w:pPr>
      <w:r w:rsidRPr="00987EA2">
        <w:rPr>
          <w:b/>
          <w:i/>
          <w:sz w:val="22"/>
          <w:szCs w:val="22"/>
        </w:rPr>
        <w:t>Artículo 345.-</w:t>
      </w:r>
      <w:r w:rsidRPr="00987EA2">
        <w:rPr>
          <w:i/>
          <w:sz w:val="22"/>
          <w:szCs w:val="22"/>
        </w:rPr>
        <w:t xml:space="preserve"> </w:t>
      </w:r>
      <w:r w:rsidRPr="00987EA2">
        <w:rPr>
          <w:b/>
          <w:i/>
          <w:sz w:val="22"/>
          <w:szCs w:val="22"/>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RPr="00987EA2">
        <w:rPr>
          <w:b/>
          <w:i/>
          <w:sz w:val="22"/>
          <w:szCs w:val="22"/>
          <w:u w:val="single"/>
        </w:rPr>
        <w:t>Tratándose de los comprobantes fiscales digitales, estos deberán estar agregados en forma electrónica a cada póliza de registro contable</w:t>
      </w:r>
      <w:r w:rsidRPr="00987EA2">
        <w:rPr>
          <w:b/>
          <w:i/>
          <w:sz w:val="22"/>
          <w:szCs w:val="22"/>
        </w:rPr>
        <w:t>.</w:t>
      </w:r>
    </w:p>
    <w:p w:rsidR="00B41D96" w:rsidRPr="00987EA2" w:rsidRDefault="00F611F2">
      <w:pPr>
        <w:pBdr>
          <w:top w:val="nil"/>
          <w:left w:val="nil"/>
          <w:bottom w:val="nil"/>
          <w:right w:val="nil"/>
          <w:between w:val="nil"/>
        </w:pBdr>
        <w:ind w:left="864" w:right="864"/>
        <w:jc w:val="both"/>
        <w:rPr>
          <w:i/>
          <w:sz w:val="22"/>
          <w:szCs w:val="22"/>
        </w:rPr>
      </w:pPr>
      <w:r w:rsidRPr="00987EA2">
        <w:rPr>
          <w:i/>
          <w:sz w:val="22"/>
          <w:szCs w:val="22"/>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987EA2">
        <w:rPr>
          <w:b/>
          <w:i/>
          <w:sz w:val="22"/>
          <w:szCs w:val="22"/>
        </w:rPr>
        <w:t>deberán estar agregados en forma electrónica a cada póliza de registro contable</w:t>
      </w:r>
      <w:r w:rsidRPr="00987EA2">
        <w:rPr>
          <w:i/>
          <w:sz w:val="22"/>
          <w:szCs w:val="22"/>
        </w:rPr>
        <w:t>.</w:t>
      </w:r>
    </w:p>
    <w:p w:rsidR="00B41D96" w:rsidRPr="00987EA2" w:rsidRDefault="00F611F2">
      <w:pPr>
        <w:pBdr>
          <w:top w:val="nil"/>
          <w:left w:val="nil"/>
          <w:bottom w:val="nil"/>
          <w:right w:val="nil"/>
          <w:between w:val="nil"/>
        </w:pBdr>
        <w:ind w:left="864" w:right="864"/>
        <w:jc w:val="both"/>
        <w:rPr>
          <w:b/>
          <w:i/>
          <w:sz w:val="22"/>
          <w:szCs w:val="22"/>
        </w:rPr>
      </w:pPr>
      <w:r w:rsidRPr="00987EA2">
        <w:rPr>
          <w:i/>
          <w:sz w:val="22"/>
          <w:szCs w:val="22"/>
        </w:rPr>
        <w:t>El plazo señalado en este artículo empezará a contar a partir de la publicación en el Periódico Oficial, del decreto correspondiente.</w:t>
      </w:r>
    </w:p>
    <w:p w:rsidR="00B41D96" w:rsidRPr="00987EA2" w:rsidRDefault="00B41D96">
      <w:pPr>
        <w:pBdr>
          <w:top w:val="nil"/>
          <w:left w:val="nil"/>
          <w:bottom w:val="nil"/>
          <w:right w:val="nil"/>
          <w:between w:val="nil"/>
        </w:pBdr>
        <w:ind w:left="864" w:right="864"/>
        <w:jc w:val="both"/>
        <w:rPr>
          <w:b/>
          <w:i/>
          <w:sz w:val="22"/>
          <w:szCs w:val="22"/>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lastRenderedPageBreak/>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rsidR="00B41D96" w:rsidRPr="00987EA2" w:rsidRDefault="00B41D96">
      <w:pPr>
        <w:pBdr>
          <w:top w:val="nil"/>
          <w:left w:val="nil"/>
          <w:bottom w:val="nil"/>
          <w:right w:val="nil"/>
          <w:between w:val="nil"/>
        </w:pBdr>
        <w:ind w:left="864" w:right="864"/>
        <w:jc w:val="both"/>
        <w:rPr>
          <w:rFonts w:ascii="Palatino Linotype" w:eastAsia="Palatino Linotype" w:hAnsi="Palatino Linotype" w:cs="Palatino Linotype"/>
          <w:i/>
        </w:rPr>
      </w:pPr>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987EA2">
        <w:rPr>
          <w:rFonts w:ascii="Palatino Linotype" w:eastAsia="Palatino Linotype" w:hAnsi="Palatino Linotype" w:cs="Palatino Linotype"/>
          <w:b/>
          <w:i/>
          <w:sz w:val="22"/>
          <w:szCs w:val="22"/>
        </w:rPr>
        <w:t>REGISTRO CONTABLE</w:t>
      </w:r>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Asiento que se realiza en los libros de contabilidad de las actividades relacionadas con el ingreso y egresos de un ente económico.</w:t>
      </w:r>
    </w:p>
    <w:p w:rsidR="00B41D96" w:rsidRPr="00987EA2" w:rsidRDefault="00B41D96">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987EA2">
        <w:rPr>
          <w:rFonts w:ascii="Palatino Linotype" w:eastAsia="Palatino Linotype" w:hAnsi="Palatino Linotype" w:cs="Palatino Linotype"/>
          <w:b/>
          <w:i/>
          <w:sz w:val="22"/>
          <w:szCs w:val="22"/>
        </w:rPr>
        <w:t>REGISTRO PRESUPUESTARIO</w:t>
      </w:r>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w:t>
      </w:r>
    </w:p>
    <w:p w:rsidR="00B41D96" w:rsidRPr="00987EA2" w:rsidRDefault="00B41D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B41D96" w:rsidRPr="00987EA2" w:rsidRDefault="00F611F2">
      <w:pPr>
        <w:spacing w:line="360" w:lineRule="auto"/>
        <w:ind w:right="51"/>
        <w:jc w:val="both"/>
        <w:rPr>
          <w:rFonts w:ascii="Palatino Linotype" w:eastAsia="Palatino Linotype" w:hAnsi="Palatino Linotype" w:cs="Palatino Linotype"/>
        </w:rPr>
      </w:pPr>
      <w:r w:rsidRPr="00987EA2">
        <w:rPr>
          <w:rFonts w:ascii="Palatino Linotype" w:eastAsia="Palatino Linotype" w:hAnsi="Palatino Linotype" w:cs="Palatino Linotype"/>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rsidR="00B41D96" w:rsidRPr="00987EA2" w:rsidRDefault="00B41D96">
      <w:pPr>
        <w:spacing w:line="360" w:lineRule="auto"/>
        <w:ind w:right="51"/>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Por otra parte, se establece que el sistema de contabilidad sobre base acumulativa total se sustentará en los principios de contabilidad gubernamental.</w:t>
      </w: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lastRenderedPageBreak/>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Correlativo a lo anterior, es preciso referir una definición de </w:t>
      </w:r>
      <w:r w:rsidRPr="00987EA2">
        <w:rPr>
          <w:rFonts w:ascii="Palatino Linotype" w:eastAsia="Palatino Linotype" w:hAnsi="Palatino Linotype" w:cs="Palatino Linotype"/>
          <w:i/>
        </w:rPr>
        <w:t>póliza contable</w:t>
      </w:r>
      <w:r w:rsidRPr="00987EA2">
        <w:rPr>
          <w:rFonts w:ascii="Palatino Linotype" w:eastAsia="Palatino Linotype" w:hAnsi="Palatino Linotype" w:cs="Palatino Linotype"/>
        </w:rPr>
        <w:t>, la cual, primeramente, no está definida en el Código Financiero del Estado de México y Municipios; no obstante, el ya mencionado Glosario la define como:</w:t>
      </w:r>
    </w:p>
    <w:p w:rsidR="00B41D96" w:rsidRPr="00987EA2" w:rsidRDefault="00B41D96">
      <w:pPr>
        <w:pBdr>
          <w:top w:val="nil"/>
          <w:left w:val="nil"/>
          <w:bottom w:val="nil"/>
          <w:right w:val="nil"/>
          <w:between w:val="nil"/>
        </w:pBdr>
        <w:ind w:left="864" w:right="864"/>
        <w:jc w:val="both"/>
        <w:rPr>
          <w:i/>
          <w:sz w:val="22"/>
          <w:szCs w:val="22"/>
        </w:rPr>
      </w:pPr>
    </w:p>
    <w:p w:rsidR="00B41D96" w:rsidRPr="00987EA2" w:rsidRDefault="00F611F2">
      <w:pPr>
        <w:pBdr>
          <w:top w:val="nil"/>
          <w:left w:val="nil"/>
          <w:bottom w:val="nil"/>
          <w:right w:val="nil"/>
          <w:between w:val="nil"/>
        </w:pBdr>
        <w:ind w:left="864" w:right="864"/>
        <w:jc w:val="both"/>
        <w:rPr>
          <w:i/>
          <w:sz w:val="22"/>
          <w:szCs w:val="22"/>
        </w:rPr>
      </w:pPr>
      <w:r w:rsidRPr="00987EA2">
        <w:rPr>
          <w:i/>
          <w:sz w:val="22"/>
          <w:szCs w:val="22"/>
        </w:rPr>
        <w:t>PÓLIZA CONTABLE</w:t>
      </w:r>
    </w:p>
    <w:p w:rsidR="00B41D96" w:rsidRPr="00987EA2" w:rsidRDefault="00F611F2">
      <w:pPr>
        <w:pBdr>
          <w:top w:val="nil"/>
          <w:left w:val="nil"/>
          <w:bottom w:val="nil"/>
          <w:right w:val="nil"/>
          <w:between w:val="nil"/>
        </w:pBdr>
        <w:ind w:left="864" w:right="864"/>
        <w:jc w:val="both"/>
        <w:rPr>
          <w:i/>
          <w:sz w:val="22"/>
          <w:szCs w:val="22"/>
        </w:rPr>
      </w:pPr>
      <w:r w:rsidRPr="00987EA2">
        <w:rPr>
          <w:i/>
          <w:sz w:val="22"/>
          <w:szCs w:val="22"/>
        </w:rPr>
        <w:t>Documento en el cual se asientan en forma individual todas y cada una de las operaciones desarrolladas por una institución, así como la información necesaria para la identificación de dichas operaciones.</w:t>
      </w:r>
    </w:p>
    <w:p w:rsidR="00B41D96" w:rsidRPr="00987EA2" w:rsidRDefault="00B41D96">
      <w:pPr>
        <w:pBdr>
          <w:top w:val="nil"/>
          <w:left w:val="nil"/>
          <w:bottom w:val="nil"/>
          <w:right w:val="nil"/>
          <w:between w:val="nil"/>
        </w:pBdr>
        <w:ind w:left="864" w:right="864"/>
        <w:jc w:val="both"/>
        <w:rPr>
          <w:i/>
          <w:sz w:val="22"/>
          <w:szCs w:val="22"/>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Así, se advierte que la </w:t>
      </w:r>
      <w:r w:rsidRPr="00987EA2">
        <w:rPr>
          <w:rFonts w:ascii="Palatino Linotype" w:eastAsia="Palatino Linotype" w:hAnsi="Palatino Linotype" w:cs="Palatino Linotype"/>
          <w:i/>
        </w:rPr>
        <w:t>póliza contable</w:t>
      </w:r>
      <w:r w:rsidRPr="00987EA2">
        <w:rPr>
          <w:rFonts w:ascii="Palatino Linotype" w:eastAsia="Palatino Linotype" w:hAnsi="Palatino Linotype" w:cs="Palatino Linotype"/>
        </w:rPr>
        <w:t xml:space="preserve"> constituye un registro contable y presupuestal con el que cuentan los Municipios para el registro de operaciones relacionadas con ingresos y egresos y </w:t>
      </w:r>
      <w:r w:rsidRPr="00987EA2">
        <w:rPr>
          <w:rFonts w:ascii="Palatino Linotype" w:eastAsia="Palatino Linotype" w:hAnsi="Palatino Linotype" w:cs="Palatino Linotype"/>
          <w:b/>
          <w:u w:val="single"/>
        </w:rPr>
        <w:t>se anexan los documentos o comprobantes que justifiquen las anotaciones y cantidades en ellas registradas</w:t>
      </w:r>
      <w:r w:rsidRPr="00987EA2">
        <w:rPr>
          <w:rFonts w:ascii="Palatino Linotype" w:eastAsia="Palatino Linotype" w:hAnsi="Palatino Linotype" w:cs="Palatino Linotype"/>
        </w:rPr>
        <w:t>, lo que permite la identificación plena de dichas operaciones.</w:t>
      </w:r>
    </w:p>
    <w:p w:rsidR="00B41D96" w:rsidRPr="00987EA2" w:rsidRDefault="00B41D96">
      <w:pPr>
        <w:spacing w:line="360" w:lineRule="auto"/>
        <w:jc w:val="both"/>
        <w:rPr>
          <w:rFonts w:ascii="Palatino Linotype" w:eastAsia="Palatino Linotype" w:hAnsi="Palatino Linotype" w:cs="Palatino Linotype"/>
          <w:i/>
          <w:sz w:val="22"/>
          <w:szCs w:val="22"/>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En este sentido, existen diversos tipos de pólizas contables de acuerdo a las operaciones realizadas, dentro de las cuales, encontramos las </w:t>
      </w:r>
      <w:r w:rsidRPr="00987EA2">
        <w:rPr>
          <w:rFonts w:ascii="Palatino Linotype" w:eastAsia="Palatino Linotype" w:hAnsi="Palatino Linotype" w:cs="Palatino Linotype"/>
          <w:i/>
        </w:rPr>
        <w:t>pólizas de egresos e ingresos</w:t>
      </w:r>
      <w:r w:rsidRPr="00987EA2">
        <w:rPr>
          <w:rFonts w:ascii="Palatino Linotype" w:eastAsia="Palatino Linotype" w:hAnsi="Palatino Linotype" w:cs="Palatino Linotype"/>
        </w:rPr>
        <w:t xml:space="preserve">, </w:t>
      </w:r>
      <w:r w:rsidRPr="00987EA2">
        <w:rPr>
          <w:rFonts w:ascii="Palatino Linotype" w:eastAsia="Palatino Linotype" w:hAnsi="Palatino Linotype" w:cs="Palatino Linotype"/>
          <w:b/>
        </w:rPr>
        <w:t xml:space="preserve">las primeras son aquellas en las cuales </w:t>
      </w:r>
      <w:r w:rsidRPr="00987EA2">
        <w:rPr>
          <w:rFonts w:ascii="Palatino Linotype" w:eastAsia="Palatino Linotype" w:hAnsi="Palatino Linotype" w:cs="Palatino Linotype"/>
          <w:b/>
          <w:u w:val="single"/>
        </w:rPr>
        <w:t>se anotan diariamente las operaciones que representan gastos, es decir, salidas de dinero</w:t>
      </w:r>
      <w:r w:rsidRPr="00987EA2">
        <w:rPr>
          <w:rFonts w:ascii="Palatino Linotype" w:eastAsia="Palatino Linotype" w:hAnsi="Palatino Linotype" w:cs="Palatino Linotype"/>
        </w:rPr>
        <w:t xml:space="preserve"> para el </w:t>
      </w:r>
      <w:r w:rsidRPr="00987EA2">
        <w:rPr>
          <w:rFonts w:ascii="Palatino Linotype" w:eastAsia="Palatino Linotype" w:hAnsi="Palatino Linotype" w:cs="Palatino Linotype"/>
          <w:b/>
        </w:rPr>
        <w:t>Sujeto Obligado,</w:t>
      </w:r>
      <w:r w:rsidRPr="00987EA2">
        <w:rPr>
          <w:rFonts w:ascii="Palatino Linotype" w:eastAsia="Palatino Linotype" w:hAnsi="Palatino Linotype" w:cs="Palatino Linotype"/>
        </w:rPr>
        <w:t xml:space="preserve"> las que además, </w:t>
      </w:r>
      <w:r w:rsidRPr="00987EA2">
        <w:rPr>
          <w:rFonts w:ascii="Palatino Linotype" w:eastAsia="Palatino Linotype" w:hAnsi="Palatino Linotype" w:cs="Palatino Linotype"/>
          <w:b/>
          <w:u w:val="single"/>
        </w:rPr>
        <w:t>deben encontrarse acompañadas de las documentales que sirven de soporte de dicho movimiento</w:t>
      </w:r>
      <w:r w:rsidRPr="00987EA2">
        <w:rPr>
          <w:rFonts w:ascii="Palatino Linotype" w:eastAsia="Palatino Linotype" w:hAnsi="Palatino Linotype" w:cs="Palatino Linotype"/>
        </w:rPr>
        <w:t>, en atención a las segundas, registran todas la entradas de dinero independientemente de la modalidad, ya sea en efectivo, transferencia, cheque o pagaré, mediante la expedición de facturas.</w:t>
      </w:r>
    </w:p>
    <w:p w:rsidR="00B41D96" w:rsidRPr="00987EA2" w:rsidRDefault="00F611F2">
      <w:pPr>
        <w:spacing w:line="360" w:lineRule="auto"/>
        <w:ind w:right="51"/>
        <w:jc w:val="both"/>
        <w:rPr>
          <w:rFonts w:ascii="Palatino Linotype" w:eastAsia="Palatino Linotype" w:hAnsi="Palatino Linotype" w:cs="Palatino Linotype"/>
        </w:rPr>
      </w:pPr>
      <w:r w:rsidRPr="00987EA2">
        <w:rPr>
          <w:rFonts w:ascii="Palatino Linotype" w:eastAsia="Palatino Linotype" w:hAnsi="Palatino Linotype" w:cs="Palatino Linotype"/>
        </w:rPr>
        <w:lastRenderedPageBreak/>
        <w:t xml:space="preserve">Atento a lo anterior, como ya ha sido mencionado en la normatividad antes citada, todo registro contable y presupuestal deberá estar soportado con los documentos comprobatorios originales, como lo son las </w:t>
      </w:r>
      <w:r w:rsidRPr="00987EA2">
        <w:rPr>
          <w:rFonts w:ascii="Palatino Linotype" w:eastAsia="Palatino Linotype" w:hAnsi="Palatino Linotype" w:cs="Palatino Linotype"/>
          <w:i/>
        </w:rPr>
        <w:t>facturas o comprobantes fiscales digitales por internet,</w:t>
      </w:r>
      <w:r w:rsidRPr="00987EA2">
        <w:rPr>
          <w:rFonts w:ascii="Palatino Linotype" w:eastAsia="Palatino Linotype" w:hAnsi="Palatino Linotype" w:cs="Palatino Linotype"/>
        </w:rPr>
        <w:t xml:space="preserve">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w:t>
      </w:r>
    </w:p>
    <w:p w:rsidR="00B41D96" w:rsidRPr="00987EA2" w:rsidRDefault="00B41D96">
      <w:pPr>
        <w:spacing w:line="360" w:lineRule="auto"/>
        <w:ind w:right="51"/>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En este tenor, se puede advertir que los documentos que pueden satisfacer el requerimiento de la persona solicitante serían precisamente los documentos o comprobantes que justifiquen las anotaciones y cantidades en ellas, que acompañan los registros contables del ente fiscalizable.</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En este sentido, cabe referir que la Ley de Fiscalización Superior del Estado de México, señala en su artículo 8, fracción XI, lo siguiente: </w:t>
      </w:r>
    </w:p>
    <w:p w:rsidR="00B41D96" w:rsidRPr="00987EA2" w:rsidRDefault="00B41D96">
      <w:pPr>
        <w:pBdr>
          <w:top w:val="nil"/>
          <w:left w:val="nil"/>
          <w:bottom w:val="nil"/>
          <w:right w:val="nil"/>
          <w:between w:val="nil"/>
        </w:pBdr>
        <w:ind w:left="864" w:right="864"/>
        <w:jc w:val="both"/>
        <w:rPr>
          <w:rFonts w:ascii="Palatino Linotype" w:eastAsia="Palatino Linotype" w:hAnsi="Palatino Linotype" w:cs="Palatino Linotype"/>
          <w:i/>
        </w:rPr>
      </w:pPr>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Artículo 8</w:t>
      </w:r>
      <w:r w:rsidRPr="00987EA2">
        <w:rPr>
          <w:rFonts w:ascii="Palatino Linotype" w:eastAsia="Palatino Linotype" w:hAnsi="Palatino Linotype" w:cs="Palatino Linotype"/>
          <w:i/>
          <w:sz w:val="22"/>
          <w:szCs w:val="22"/>
        </w:rPr>
        <w:t>. El Órgano Superior tendrá las siguientes atribuciones:</w:t>
      </w:r>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w:t>
      </w:r>
      <w:r w:rsidRPr="00987EA2">
        <w:rPr>
          <w:rFonts w:ascii="Palatino Linotype" w:eastAsia="Palatino Linotype" w:hAnsi="Palatino Linotype" w:cs="Palatino Linotype"/>
          <w:i/>
          <w:sz w:val="22"/>
          <w:szCs w:val="22"/>
        </w:rPr>
        <w:t>…)</w:t>
      </w:r>
    </w:p>
    <w:p w:rsidR="00B41D96" w:rsidRPr="00987EA2" w:rsidRDefault="00F611F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XI.</w:t>
      </w:r>
      <w:r w:rsidRPr="00987EA2">
        <w:rPr>
          <w:rFonts w:ascii="Palatino Linotype" w:eastAsia="Palatino Linotype" w:hAnsi="Palatino Linotype" w:cs="Palatino Linotype"/>
          <w:i/>
          <w:sz w:val="22"/>
          <w:szCs w:val="22"/>
        </w:rPr>
        <w:t xml:space="preserve"> </w:t>
      </w:r>
      <w:r w:rsidRPr="00987EA2">
        <w:rPr>
          <w:rFonts w:ascii="Palatino Linotype" w:eastAsia="Palatino Linotype" w:hAnsi="Palatino Linotype" w:cs="Palatino Linotype"/>
          <w:b/>
          <w:i/>
          <w:sz w:val="22"/>
          <w:szCs w:val="22"/>
        </w:rPr>
        <w:t>Establecer los lineamientos, criterios, procedimientos, métodos y sistemas para las acciones de control y evaluación, necesarios para la fiscalización de las cuentas públicas y los informes trimestrales</w:t>
      </w:r>
      <w:r w:rsidRPr="00987EA2">
        <w:rPr>
          <w:rFonts w:ascii="Palatino Linotype" w:eastAsia="Palatino Linotype" w:hAnsi="Palatino Linotype" w:cs="Palatino Linotype"/>
          <w:i/>
          <w:sz w:val="22"/>
          <w:szCs w:val="22"/>
        </w:rPr>
        <w:t>…”</w:t>
      </w:r>
    </w:p>
    <w:p w:rsidR="00B41D96" w:rsidRPr="00987EA2" w:rsidRDefault="00B41D96">
      <w:pPr>
        <w:pBdr>
          <w:top w:val="nil"/>
          <w:left w:val="nil"/>
          <w:bottom w:val="nil"/>
          <w:right w:val="nil"/>
          <w:between w:val="nil"/>
        </w:pBdr>
        <w:ind w:left="864" w:right="864"/>
        <w:jc w:val="both"/>
        <w:rPr>
          <w:rFonts w:ascii="Palatino Linotype" w:eastAsia="Palatino Linotype" w:hAnsi="Palatino Linotype" w:cs="Palatino Linotype"/>
          <w:i/>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Así, los “Lineamientos para la integración y entrega del Informe Trimestral Municipal 2022”, emitidos por el Órgano Superior de Fiscalización del Estado de México, OSFEM, mismos que establecen los criterios, formatos y documentación </w:t>
      </w:r>
      <w:r w:rsidRPr="00987EA2">
        <w:rPr>
          <w:rFonts w:ascii="Palatino Linotype" w:eastAsia="Palatino Linotype" w:hAnsi="Palatino Linotype" w:cs="Palatino Linotype"/>
        </w:rPr>
        <w:lastRenderedPageBreak/>
        <w:t>necesaria para presentar los informes trimestrales por parte de los entes fiscalizables, integrando la información en cuatro Módulos que contienen la información que se detalla a continuación:</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center"/>
        <w:rPr>
          <w:rFonts w:ascii="Palatino Linotype" w:eastAsia="Palatino Linotype" w:hAnsi="Palatino Linotype" w:cs="Palatino Linotype"/>
        </w:rPr>
      </w:pPr>
      <w:r w:rsidRPr="00987EA2">
        <w:rPr>
          <w:rFonts w:ascii="Palatino Linotype" w:eastAsia="Palatino Linotype" w:hAnsi="Palatino Linotype" w:cs="Palatino Linotype"/>
          <w:noProof/>
        </w:rPr>
        <w:drawing>
          <wp:inline distT="0" distB="0" distL="0" distR="0">
            <wp:extent cx="3240000" cy="1722565"/>
            <wp:effectExtent l="0" t="0" r="0" b="0"/>
            <wp:docPr id="56396810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t="5011" b="4799"/>
                    <a:stretch>
                      <a:fillRect/>
                    </a:stretch>
                  </pic:blipFill>
                  <pic:spPr>
                    <a:xfrm>
                      <a:off x="0" y="0"/>
                      <a:ext cx="3240000" cy="1722565"/>
                    </a:xfrm>
                    <a:prstGeom prst="rect">
                      <a:avLst/>
                    </a:prstGeom>
                    <a:ln/>
                  </pic:spPr>
                </pic:pic>
              </a:graphicData>
            </a:graphic>
          </wp:inline>
        </w:drawing>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A su vez los Módulos se dividen en submódulos, de los que destaca, en relación con el análisis que nos ocupa, el submódulo relativo a “Pólizas”, del Módulo 1:</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noProof/>
        </w:rPr>
        <w:drawing>
          <wp:inline distT="0" distB="0" distL="0" distR="0">
            <wp:extent cx="5148000" cy="3031829"/>
            <wp:effectExtent l="0" t="0" r="0" b="0"/>
            <wp:docPr id="56396809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5148000" cy="3031829"/>
                    </a:xfrm>
                    <a:prstGeom prst="rect">
                      <a:avLst/>
                    </a:prstGeom>
                    <a:ln/>
                  </pic:spPr>
                </pic:pic>
              </a:graphicData>
            </a:graphic>
          </wp:inline>
        </w:drawing>
      </w:r>
      <w:r w:rsidRPr="00987EA2">
        <w:rPr>
          <w:noProof/>
        </w:rPr>
        <mc:AlternateContent>
          <mc:Choice Requires="wpg">
            <w:drawing>
              <wp:anchor distT="0" distB="0" distL="114300" distR="114300" simplePos="0" relativeHeight="251658240" behindDoc="0" locked="0" layoutInCell="1" hidden="0" allowOverlap="1">
                <wp:simplePos x="0" y="0"/>
                <wp:positionH relativeFrom="column">
                  <wp:posOffset>139700</wp:posOffset>
                </wp:positionH>
                <wp:positionV relativeFrom="paragraph">
                  <wp:posOffset>2159000</wp:posOffset>
                </wp:positionV>
                <wp:extent cx="5018405" cy="913765"/>
                <wp:effectExtent l="0" t="0" r="0" b="0"/>
                <wp:wrapNone/>
                <wp:docPr id="563968085" name="Rectángulo 563968085"/>
                <wp:cNvGraphicFramePr/>
                <a:graphic xmlns:a="http://schemas.openxmlformats.org/drawingml/2006/main">
                  <a:graphicData uri="http://schemas.microsoft.com/office/word/2010/wordprocessingShape">
                    <wps:wsp>
                      <wps:cNvSpPr/>
                      <wps:spPr>
                        <a:xfrm>
                          <a:off x="2851085" y="3337405"/>
                          <a:ext cx="4989830" cy="885190"/>
                        </a:xfrm>
                        <a:prstGeom prst="rect">
                          <a:avLst/>
                        </a:prstGeom>
                        <a:noFill/>
                        <a:ln w="28575" cap="flat" cmpd="sng">
                          <a:solidFill>
                            <a:srgbClr val="C00000"/>
                          </a:solidFill>
                          <a:prstDash val="solid"/>
                          <a:round/>
                          <a:headEnd type="none" w="sm" len="sm"/>
                          <a:tailEnd type="none" w="sm" len="sm"/>
                        </a:ln>
                      </wps:spPr>
                      <wps:txbx>
                        <w:txbxContent>
                          <w:p w:rsidR="00B41D96" w:rsidRDefault="00B41D96">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139700</wp:posOffset>
                </wp:positionH>
                <wp:positionV relativeFrom="paragraph">
                  <wp:posOffset>2159000</wp:posOffset>
                </wp:positionV>
                <wp:extent cx="5018405" cy="913765"/>
                <wp:effectExtent b="0" l="0" r="0" t="0"/>
                <wp:wrapNone/>
                <wp:docPr id="563968085" name="image18.png"/>
                <a:graphic>
                  <a:graphicData uri="http://schemas.openxmlformats.org/drawingml/2006/picture">
                    <pic:pic>
                      <pic:nvPicPr>
                        <pic:cNvPr id="0" name="image18.png"/>
                        <pic:cNvPicPr preferRelativeResize="0"/>
                      </pic:nvPicPr>
                      <pic:blipFill>
                        <a:blip r:embed="rId29"/>
                        <a:srcRect/>
                        <a:stretch>
                          <a:fillRect/>
                        </a:stretch>
                      </pic:blipFill>
                      <pic:spPr>
                        <a:xfrm>
                          <a:off x="0" y="0"/>
                          <a:ext cx="5018405" cy="913765"/>
                        </a:xfrm>
                        <a:prstGeom prst="rect"/>
                        <a:ln/>
                      </pic:spPr>
                    </pic:pic>
                  </a:graphicData>
                </a:graphic>
              </wp:anchor>
            </w:drawing>
          </mc:Fallback>
        </mc:AlternateContent>
      </w:r>
    </w:p>
    <w:p w:rsidR="00B41D96" w:rsidRPr="00987EA2" w:rsidRDefault="00F611F2">
      <w:pPr>
        <w:spacing w:line="360" w:lineRule="auto"/>
        <w:jc w:val="both"/>
        <w:rPr>
          <w:rFonts w:ascii="Palatino Linotype" w:eastAsia="Palatino Linotype" w:hAnsi="Palatino Linotype" w:cs="Palatino Linotype"/>
        </w:rPr>
      </w:pPr>
      <w:bookmarkStart w:id="6" w:name="_heading=h.26in1rg" w:colFirst="0" w:colLast="0"/>
      <w:bookmarkEnd w:id="6"/>
      <w:r w:rsidRPr="00987EA2">
        <w:rPr>
          <w:rFonts w:ascii="Palatino Linotype" w:eastAsia="Palatino Linotype" w:hAnsi="Palatino Linotype" w:cs="Palatino Linotype"/>
        </w:rPr>
        <w:lastRenderedPageBreak/>
        <w:t xml:space="preserve">Como se advierte en la imagen anterior, el submódulo “Pólizas”, se integra por las pólizas de ingresos, las pólizas de diario, y las pólizas de egresos y las pólizas de cheque, </w:t>
      </w:r>
      <w:r w:rsidRPr="00987EA2">
        <w:rPr>
          <w:rFonts w:ascii="Palatino Linotype" w:eastAsia="Palatino Linotype" w:hAnsi="Palatino Linotype" w:cs="Palatino Linotype"/>
          <w:b/>
          <w:u w:val="single"/>
        </w:rPr>
        <w:t>cada tipo con los respectivos documentos comprobatorios</w:t>
      </w:r>
      <w:r w:rsidRPr="00987EA2">
        <w:rPr>
          <w:rFonts w:ascii="Palatino Linotype" w:eastAsia="Palatino Linotype" w:hAnsi="Palatino Linotype" w:cs="Palatino Linotype"/>
          <w:u w:val="single"/>
        </w:rPr>
        <w:t>,</w:t>
      </w:r>
      <w:r w:rsidRPr="00987EA2">
        <w:rPr>
          <w:rFonts w:ascii="Palatino Linotype" w:eastAsia="Palatino Linotype" w:hAnsi="Palatino Linotype" w:cs="Palatino Linotype"/>
        </w:rPr>
        <w:t xml:space="preserve"> información que se debe grabar en 3 discos compactos, cada uno con un mes del trimestre, de conformidad con los Lineamientos para la integración y entrega del Informe Trimestral, como se ilustra a continuación:</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center"/>
        <w:rPr>
          <w:rFonts w:ascii="Palatino Linotype" w:eastAsia="Palatino Linotype" w:hAnsi="Palatino Linotype" w:cs="Palatino Linotype"/>
        </w:rPr>
      </w:pPr>
      <w:r w:rsidRPr="00987EA2">
        <w:rPr>
          <w:rFonts w:ascii="Palatino Linotype" w:eastAsia="Palatino Linotype" w:hAnsi="Palatino Linotype" w:cs="Palatino Linotype"/>
          <w:noProof/>
        </w:rPr>
        <w:drawing>
          <wp:inline distT="0" distB="0" distL="0" distR="0">
            <wp:extent cx="3600000" cy="2090320"/>
            <wp:effectExtent l="0" t="0" r="0" b="0"/>
            <wp:docPr id="56396809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3600000" cy="2090320"/>
                    </a:xfrm>
                    <a:prstGeom prst="rect">
                      <a:avLst/>
                    </a:prstGeom>
                    <a:ln/>
                  </pic:spPr>
                </pic:pic>
              </a:graphicData>
            </a:graphic>
          </wp:inline>
        </w:drawing>
      </w:r>
      <w:r w:rsidRPr="00987EA2">
        <w:rPr>
          <w:noProof/>
        </w:rPr>
        <mc:AlternateContent>
          <mc:Choice Requires="wpg">
            <w:drawing>
              <wp:anchor distT="0" distB="0" distL="114300" distR="114300" simplePos="0" relativeHeight="251659264" behindDoc="0" locked="0" layoutInCell="1" hidden="0" allowOverlap="1">
                <wp:simplePos x="0" y="0"/>
                <wp:positionH relativeFrom="column">
                  <wp:posOffset>4406900</wp:posOffset>
                </wp:positionH>
                <wp:positionV relativeFrom="paragraph">
                  <wp:posOffset>1282700</wp:posOffset>
                </wp:positionV>
                <wp:extent cx="352425" cy="247650"/>
                <wp:effectExtent l="0" t="0" r="0" b="0"/>
                <wp:wrapNone/>
                <wp:docPr id="563968086" name="Conector recto de flecha 563968086"/>
                <wp:cNvGraphicFramePr/>
                <a:graphic xmlns:a="http://schemas.openxmlformats.org/drawingml/2006/main">
                  <a:graphicData uri="http://schemas.microsoft.com/office/word/2010/wordprocessingShape">
                    <wps:wsp>
                      <wps:cNvCnPr/>
                      <wps:spPr>
                        <a:xfrm flipH="1">
                          <a:off x="5226938" y="3713325"/>
                          <a:ext cx="238125" cy="133350"/>
                        </a:xfrm>
                        <a:prstGeom prst="straightConnector1">
                          <a:avLst/>
                        </a:prstGeom>
                        <a:noFill/>
                        <a:ln w="38100" cap="flat" cmpd="sng">
                          <a:solidFill>
                            <a:srgbClr val="C0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4406900</wp:posOffset>
                </wp:positionH>
                <wp:positionV relativeFrom="paragraph">
                  <wp:posOffset>1282700</wp:posOffset>
                </wp:positionV>
                <wp:extent cx="352425" cy="247650"/>
                <wp:effectExtent b="0" l="0" r="0" t="0"/>
                <wp:wrapNone/>
                <wp:docPr id="563968086" name="image19.png"/>
                <a:graphic>
                  <a:graphicData uri="http://schemas.openxmlformats.org/drawingml/2006/picture">
                    <pic:pic>
                      <pic:nvPicPr>
                        <pic:cNvPr id="0" name="image19.png"/>
                        <pic:cNvPicPr preferRelativeResize="0"/>
                      </pic:nvPicPr>
                      <pic:blipFill>
                        <a:blip r:embed="rId31"/>
                        <a:srcRect/>
                        <a:stretch>
                          <a:fillRect/>
                        </a:stretch>
                      </pic:blipFill>
                      <pic:spPr>
                        <a:xfrm>
                          <a:off x="0" y="0"/>
                          <a:ext cx="352425" cy="247650"/>
                        </a:xfrm>
                        <a:prstGeom prst="rect"/>
                        <a:ln/>
                      </pic:spPr>
                    </pic:pic>
                  </a:graphicData>
                </a:graphic>
              </wp:anchor>
            </w:drawing>
          </mc:Fallback>
        </mc:AlternateContent>
      </w:r>
    </w:p>
    <w:p w:rsidR="00B41D96" w:rsidRPr="00987EA2" w:rsidRDefault="00B41D96">
      <w:pPr>
        <w:spacing w:line="360" w:lineRule="auto"/>
        <w:jc w:val="both"/>
        <w:rPr>
          <w:rFonts w:ascii="Palatino Linotype" w:eastAsia="Palatino Linotype" w:hAnsi="Palatino Linotype" w:cs="Palatino Linotype"/>
        </w:rPr>
      </w:pPr>
      <w:bookmarkStart w:id="7" w:name="_heading=h.35nkun2" w:colFirst="0" w:colLast="0"/>
      <w:bookmarkEnd w:id="7"/>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En este orden de ideas,  se considera que los documentos que de manera enunciativa, más no limitativa pudieran satisfacer el requerimiento en estudio son las pólizas de egresos y/o pólizas de cheque, teniendo por finalidad las primeras la de registrar cualquier operación contable en la que se produzca una salida de efectivo o erogaciones, y las segundas en caso de tratarse de una erogación que se realiza a través de un cheque; documentos a través de los cuales la persona solicitante, previo análisis de los mismos, podrá inferir el número de pagos y la frecuencia con los que estos se realizaron al proveedor del servicio relacionado con la provisión de gasolina y combustibles; así como los documentos comprobatorios que amparan las mismas, </w:t>
      </w:r>
      <w:r w:rsidRPr="00987EA2">
        <w:rPr>
          <w:rFonts w:ascii="Palatino Linotype" w:eastAsia="Palatino Linotype" w:hAnsi="Palatino Linotype" w:cs="Palatino Linotype"/>
        </w:rPr>
        <w:lastRenderedPageBreak/>
        <w:t xml:space="preserve">es decir los comprobantes fiscales digitales por internet. Documentos que por su naturaleza, forman parte del informe trimestral que </w:t>
      </w:r>
      <w:r w:rsidRPr="00987EA2">
        <w:rPr>
          <w:rFonts w:ascii="Palatino Linotype" w:eastAsia="Palatino Linotype" w:hAnsi="Palatino Linotype" w:cs="Palatino Linotype"/>
          <w:b/>
        </w:rPr>
        <w:t xml:space="preserve">EL SUJETO OBLIGADO </w:t>
      </w:r>
      <w:r w:rsidRPr="00987EA2">
        <w:rPr>
          <w:rFonts w:ascii="Palatino Linotype" w:eastAsia="Palatino Linotype" w:hAnsi="Palatino Linotype" w:cs="Palatino Linotype"/>
        </w:rPr>
        <w:t>debe remitir al OSFEM,  de manera trimestral.</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b/>
        </w:rPr>
      </w:pPr>
      <w:r w:rsidRPr="00987EA2">
        <w:rPr>
          <w:rFonts w:ascii="Palatino Linotype" w:eastAsia="Palatino Linotype" w:hAnsi="Palatino Linotype" w:cs="Palatino Linotype"/>
        </w:rPr>
        <w:t xml:space="preserve">Con base en lo anterior, es de suma importancia puntualizar que las pólizas de egresos, las pólizas de cheque y los documentos comprobatorios de las mismas deben encontrarse </w:t>
      </w:r>
      <w:r w:rsidRPr="00987EA2">
        <w:rPr>
          <w:rFonts w:ascii="Palatino Linotype" w:eastAsia="Palatino Linotype" w:hAnsi="Palatino Linotype" w:cs="Palatino Linotype"/>
          <w:b/>
          <w:u w:val="single"/>
        </w:rPr>
        <w:t>en formato digital</w:t>
      </w:r>
      <w:r w:rsidRPr="00987EA2">
        <w:rPr>
          <w:rFonts w:ascii="Palatino Linotype" w:eastAsia="Palatino Linotype" w:hAnsi="Palatino Linotype" w:cs="Palatino Linotype"/>
          <w:b/>
        </w:rPr>
        <w:t xml:space="preserve"> y además </w:t>
      </w:r>
      <w:r w:rsidRPr="00987EA2">
        <w:rPr>
          <w:rFonts w:ascii="Palatino Linotype" w:eastAsia="Palatino Linotype" w:hAnsi="Palatino Linotype" w:cs="Palatino Linotype"/>
          <w:b/>
          <w:u w:val="single"/>
        </w:rPr>
        <w:t>deben estar plenamente identificables</w:t>
      </w:r>
      <w:r w:rsidRPr="00987EA2">
        <w:rPr>
          <w:rFonts w:ascii="Palatino Linotype" w:eastAsia="Palatino Linotype" w:hAnsi="Palatino Linotype" w:cs="Palatino Linotype"/>
          <w:b/>
        </w:rPr>
        <w:t xml:space="preserve"> en los discos respectivos que integran el Modulo 1 del Informe Trimestral, </w:t>
      </w:r>
      <w:r w:rsidRPr="00987EA2">
        <w:rPr>
          <w:rFonts w:ascii="Palatino Linotype" w:eastAsia="Palatino Linotype" w:hAnsi="Palatino Linotype" w:cs="Palatino Linotype"/>
        </w:rPr>
        <w:t xml:space="preserve">para  dar cumplimiento a la obligación fiscal prevista en la normativa, circunstancia que cobra relevancia ante la propuesta del cambio de modalidad en la entrega de la información del </w:t>
      </w:r>
      <w:r w:rsidRPr="00987EA2">
        <w:rPr>
          <w:rFonts w:ascii="Palatino Linotype" w:eastAsia="Palatino Linotype" w:hAnsi="Palatino Linotype" w:cs="Palatino Linotype"/>
          <w:b/>
        </w:rPr>
        <w:t>SUJETO OBLIGADO.</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bookmarkStart w:id="8" w:name="_heading=h.1ksv4uv" w:colFirst="0" w:colLast="0"/>
      <w:bookmarkEnd w:id="8"/>
      <w:r w:rsidRPr="00987EA2">
        <w:rPr>
          <w:rFonts w:ascii="Palatino Linotype" w:eastAsia="Palatino Linotype" w:hAnsi="Palatino Linotype" w:cs="Palatino Linotype"/>
        </w:rPr>
        <w:t>Para sustentar lo anterior es preciso mencionar que el Instructivo del Módulo 1, establece los formatos así como el instructivo de llenado para el adecuado cumplimiento de la presentación del Informe, del cual se desprende que el formato correspondiente a las Pólizas de egresos y las Pólizas de cheque, debe contener en el apartado de “Descripción”, de manera breve y especifica el hecho que generó el asiento, observando el siguiente orden:</w:t>
      </w: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noProof/>
        </w:rPr>
        <w:drawing>
          <wp:inline distT="0" distB="0" distL="0" distR="0">
            <wp:extent cx="5610225" cy="1400175"/>
            <wp:effectExtent l="0" t="0" r="0" b="0"/>
            <wp:docPr id="56396810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a:stretch>
                      <a:fillRect/>
                    </a:stretch>
                  </pic:blipFill>
                  <pic:spPr>
                    <a:xfrm>
                      <a:off x="0" y="0"/>
                      <a:ext cx="5610225" cy="1400175"/>
                    </a:xfrm>
                    <a:prstGeom prst="rect">
                      <a:avLst/>
                    </a:prstGeom>
                    <a:ln/>
                  </pic:spPr>
                </pic:pic>
              </a:graphicData>
            </a:graphic>
          </wp:inline>
        </w:drawing>
      </w: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lastRenderedPageBreak/>
        <w:t>Como se advierte, en la descripción de la póliza de egresos y de cheque debe referir el número de Comprobantes Fiscales Digitales por Internet, CFDI´s, que integran la póliza correspondiente.</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Derivado de lo expuesto, es evidente que la entrega de la información no implica realizar la búsqueda exhaustiva de las documentales requeridas, o la inversión de tiempo por parte de determinado servidor público para digitalizar la información, entre otras acciones que pudieran comprometer las capacidades técnicas y administrativas del </w:t>
      </w:r>
      <w:r w:rsidRPr="00987EA2">
        <w:rPr>
          <w:rFonts w:ascii="Palatino Linotype" w:eastAsia="Palatino Linotype" w:hAnsi="Palatino Linotype" w:cs="Palatino Linotype"/>
          <w:b/>
        </w:rPr>
        <w:t>SUJETO OBLIGADO,</w:t>
      </w:r>
      <w:r w:rsidRPr="00987EA2">
        <w:rPr>
          <w:rFonts w:ascii="Palatino Linotype" w:eastAsia="Palatino Linotype" w:hAnsi="Palatino Linotype" w:cs="Palatino Linotype"/>
        </w:rPr>
        <w:t xml:space="preserve"> sino más bien, localizar los documentos que sirvieron de base para integrar el o los informes trimestrales, y que correspondan con las pólizas de egresos y/o, pólizas de cheques y los documentos comprobatorios de las mismas, del periodo del  uno de enero al treinta de septiembre de dos mil veintidós, toda vez que, se insiste, dichos documentos deben encontrarse plenamente identificados a efecto de cumplir con la obligación fiscal impuesta por la normativa aplicable.</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Acotado lo anterior, resulta relevante traer a colación el Manual para la Planeación, Programación y Presupuesto de Egresos Municipal, el cual tiene como objetivo apoyar a los ayuntamientos y entidades públicas municipales a integrar el anteproyecto y proyecto de presupuesto de egresos municipal, esto en cumplimiento con lo establecido en los artículos 134 de la Constitución Política de los Estados Unidos Mexicanos, los artículos 128, fracción IX y 129 de la Constitución Política del Estado Libre y Soberano de México; el artículo 31 fracción IX, , 99, 100 y </w:t>
      </w:r>
      <w:r w:rsidRPr="00987EA2">
        <w:rPr>
          <w:rFonts w:ascii="Palatino Linotype" w:eastAsia="Palatino Linotype" w:hAnsi="Palatino Linotype" w:cs="Palatino Linotype"/>
        </w:rPr>
        <w:lastRenderedPageBreak/>
        <w:t>101 de la Ley Orgánica Municipal del Estado de México y los artículos 285, 290, 293, 294 y 295 del Código Financiero del Estado de México y Municipios.</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El Manual de referencia contempla lo relativo a la estructura del Clasificador por Objeto del Gasto, el cual constituye un elemento fundamental del sistema general de cuentas, donde cada componente destaca aspectos concretos del presupuesto y suministra información que atiende a necesidades diferentes, ahora bien, el Clasificador por Objeto del Gasto está diseñado con un nivel de desagregación que permite que sus cuentas faciliten el registro único de todas las transacciones con incidencia económica-financiera, y con el objeto de ejemplificar se inserta la siguiente imagen:</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noProof/>
        </w:rPr>
        <w:drawing>
          <wp:inline distT="0" distB="0" distL="0" distR="0">
            <wp:extent cx="5734853" cy="971686"/>
            <wp:effectExtent l="0" t="0" r="0" b="0"/>
            <wp:docPr id="56396810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5734853" cy="971686"/>
                    </a:xfrm>
                    <a:prstGeom prst="rect">
                      <a:avLst/>
                    </a:prstGeom>
                    <a:ln/>
                  </pic:spPr>
                </pic:pic>
              </a:graphicData>
            </a:graphic>
          </wp:inline>
        </w:drawing>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De lo anterior, se tiene que el gasto consta de diversos niveles de desagregación y que relativo al asunto que ahora nos ocupa, de manera genérica los capítulos 5000 y 6000 que tratan de lo siguiente: </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b/>
        </w:rPr>
        <w:t xml:space="preserve">5000 BIENES MUEBLES, INMUEBLES E INTANGIBLES. </w:t>
      </w:r>
      <w:r w:rsidRPr="00987EA2">
        <w:rPr>
          <w:rFonts w:ascii="Palatino Linotype" w:eastAsia="Palatino Linotype" w:hAnsi="Palatino Linotype" w:cs="Palatino Linotype"/>
        </w:rPr>
        <w:t xml:space="preserve">Agrupa las asignaciones destinadas a la adquisición de toda clase de bienes muebles e inmuebles requeridos en el desempeño de las actividades de los entes públicos. Incluye los pagos por </w:t>
      </w:r>
      <w:r w:rsidRPr="00987EA2">
        <w:rPr>
          <w:rFonts w:ascii="Palatino Linotype" w:eastAsia="Palatino Linotype" w:hAnsi="Palatino Linotype" w:cs="Palatino Linotype"/>
        </w:rPr>
        <w:lastRenderedPageBreak/>
        <w:t>adjudicación, expropiación e indemnización de bienes muebles e inmuebles a favor del Gobierno.</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b/>
        </w:rPr>
      </w:pPr>
      <w:r w:rsidRPr="00987EA2">
        <w:rPr>
          <w:rFonts w:ascii="Palatino Linotype" w:eastAsia="Palatino Linotype" w:hAnsi="Palatino Linotype" w:cs="Palatino Linotype"/>
          <w:b/>
        </w:rPr>
        <w:t xml:space="preserve">5600 MAQUINARIA, OTROS EQUIPOS Y HERRAMIENTAS. </w:t>
      </w: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Asignaciones destinadas a la adquisición de toda clase de maquinaria y equipo no comprendidas en los conceptos anteriores tales como: los de uso agropecuario, industrial, construcción, aeroespacial, de comunicaciones y telecomunicaciones y demás maquinaria y equipo eléctrico y electrónico. Incluye la adquisición de herramientas y máquinas-herramientas. Adicionalmente comprende las refacciones y accesorios mayores correspondientes a este concepto.</w:t>
      </w: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 </w:t>
      </w:r>
    </w:p>
    <w:p w:rsidR="00B41D96" w:rsidRPr="00987EA2" w:rsidRDefault="00F611F2">
      <w:pPr>
        <w:spacing w:line="360" w:lineRule="auto"/>
        <w:jc w:val="both"/>
        <w:rPr>
          <w:rFonts w:ascii="Palatino Linotype" w:eastAsia="Palatino Linotype" w:hAnsi="Palatino Linotype" w:cs="Palatino Linotype"/>
          <w:b/>
        </w:rPr>
      </w:pPr>
      <w:r w:rsidRPr="00987EA2">
        <w:rPr>
          <w:rFonts w:ascii="Palatino Linotype" w:eastAsia="Palatino Linotype" w:hAnsi="Palatino Linotype" w:cs="Palatino Linotype"/>
          <w:b/>
        </w:rPr>
        <w:t xml:space="preserve">5690 Otros equipos. </w:t>
      </w: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Asignaciones destinadas a cubrir el costo de los bienes muebles o maquinaria y equipos especializados adquiridos por los entes públicos no incluidos o especificados en los conceptos y partidas del presente capítulo, tales como equipo científico e investigación, contra incendio y maquinaria para protección al ambiente, entre otros.</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b/>
          <w:u w:val="single"/>
        </w:rPr>
      </w:pPr>
      <w:r w:rsidRPr="00987EA2">
        <w:rPr>
          <w:rFonts w:ascii="Palatino Linotype" w:eastAsia="Palatino Linotype" w:hAnsi="Palatino Linotype" w:cs="Palatino Linotype"/>
          <w:b/>
          <w:u w:val="single"/>
        </w:rPr>
        <w:t xml:space="preserve">5693 Maquinaria y equipo para alumbrado público. </w:t>
      </w: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Asignaciones destinadas a la  </w:t>
      </w:r>
      <w:r w:rsidRPr="00987EA2">
        <w:rPr>
          <w:rFonts w:ascii="Palatino Linotype" w:eastAsia="Palatino Linotype" w:hAnsi="Palatino Linotype" w:cs="Palatino Linotype"/>
          <w:u w:val="single"/>
        </w:rPr>
        <w:t>adquisición de toda clase de equipamiento</w:t>
      </w:r>
      <w:r w:rsidRPr="00987EA2">
        <w:rPr>
          <w:rFonts w:ascii="Palatino Linotype" w:eastAsia="Palatino Linotype" w:hAnsi="Palatino Linotype" w:cs="Palatino Linotype"/>
        </w:rPr>
        <w:t xml:space="preserve"> para las instalaciones del servicio de alumbrado público. </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b/>
        </w:rPr>
      </w:pPr>
      <w:r w:rsidRPr="00987EA2">
        <w:rPr>
          <w:rFonts w:ascii="Palatino Linotype" w:eastAsia="Palatino Linotype" w:hAnsi="Palatino Linotype" w:cs="Palatino Linotype"/>
          <w:b/>
        </w:rPr>
        <w:lastRenderedPageBreak/>
        <w:t xml:space="preserve">6000 INVERSIÓN PÚBLICA. </w:t>
      </w:r>
      <w:r w:rsidRPr="00987EA2">
        <w:rPr>
          <w:rFonts w:ascii="Palatino Linotype" w:eastAsia="Palatino Linotype" w:hAnsi="Palatino Linotype" w:cs="Palatino Linotype"/>
        </w:rPr>
        <w:t>Asignaciones destinadas a obras por contrato y proyectos productivos y</w:t>
      </w:r>
      <w:r w:rsidRPr="00987EA2">
        <w:rPr>
          <w:rFonts w:ascii="Palatino Linotype" w:eastAsia="Palatino Linotype" w:hAnsi="Palatino Linotype" w:cs="Palatino Linotype"/>
          <w:b/>
        </w:rPr>
        <w:t xml:space="preserve"> </w:t>
      </w:r>
      <w:r w:rsidRPr="00987EA2">
        <w:rPr>
          <w:rFonts w:ascii="Palatino Linotype" w:eastAsia="Palatino Linotype" w:hAnsi="Palatino Linotype" w:cs="Palatino Linotype"/>
        </w:rPr>
        <w:t xml:space="preserve">acciones de fomento. Incluye los gastos en estudios de pre-inversión y preparación del proyecto. </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b/>
        </w:rPr>
        <w:t>6100 OBRA PÚBLICA EN BIENES DE DOMINIO PÚBLICO.</w:t>
      </w:r>
      <w:r w:rsidRPr="00987EA2">
        <w:rPr>
          <w:rFonts w:ascii="Palatino Linotype" w:eastAsia="Palatino Linotype" w:hAnsi="Palatino Linotype" w:cs="Palatino Linotype"/>
        </w:rPr>
        <w:t xml:space="preserve"> Asignaciones destinadas para construcciones en bienes de dominio público de acuerdo con lo establecido en el art. 7 de la Ley General de Bienes Nacionales y otras leyes aplicables. Incluye los gastos en estudios de pre-inversión y preparación del proyecto.</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b/>
        </w:rPr>
      </w:pPr>
      <w:r w:rsidRPr="00987EA2">
        <w:rPr>
          <w:rFonts w:ascii="Palatino Linotype" w:eastAsia="Palatino Linotype" w:hAnsi="Palatino Linotype" w:cs="Palatino Linotype"/>
          <w:b/>
        </w:rPr>
        <w:t>6150 Construcción de vías de comunicación.</w:t>
      </w: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Asignaciones destinadas a la construcción de carreteras, autopistas, terracerías, puentes, pasos a desnivel y aeropistas. Incluye construcción nueva, ampliación, remodelación, mantenimiento o reparación integral de las construcciones y los gastos en estudios de pre inversión y preparación del proyecto.</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u w:val="single"/>
        </w:rPr>
      </w:pPr>
      <w:r w:rsidRPr="00987EA2">
        <w:rPr>
          <w:rFonts w:ascii="Palatino Linotype" w:eastAsia="Palatino Linotype" w:hAnsi="Palatino Linotype" w:cs="Palatino Linotype"/>
          <w:b/>
          <w:u w:val="single"/>
        </w:rPr>
        <w:t>6159 Reparación y mantenimiento de vialidades y alumbrado.</w:t>
      </w:r>
      <w:r w:rsidRPr="00987EA2">
        <w:rPr>
          <w:rFonts w:ascii="Palatino Linotype" w:eastAsia="Palatino Linotype" w:hAnsi="Palatino Linotype" w:cs="Palatino Linotype"/>
          <w:u w:val="single"/>
        </w:rPr>
        <w:t xml:space="preserve"> </w:t>
      </w: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Asignaciones destinadas a los servicios de reparación y mantenimiento de vialidades, señalamientos y alumbrado público.</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Aunado a lo anterior, es menester precisar que, de acuerdo con el Manual, dentro del sistema de evaluación de la gestión pública municipal, existen cuatro tipos de reportes que los ayuntamientos deben presentar: el Informe de Ejecución del Plan de Desarrollo Municipal, Informe de Gobierno, el Reporte de Avance Trimestral, y </w:t>
      </w:r>
      <w:r w:rsidRPr="00987EA2">
        <w:rPr>
          <w:rFonts w:ascii="Palatino Linotype" w:eastAsia="Palatino Linotype" w:hAnsi="Palatino Linotype" w:cs="Palatino Linotype"/>
        </w:rPr>
        <w:lastRenderedPageBreak/>
        <w:t>la Cuenta Pública, los cuales son instrumentos para el seguimiento, evaluación de avances y rendición de cuentas.</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En ese sentido, cabe mencionar que para la integración del Informe de Gobierno, se servirá de soporte las fichas técnicas de los indicadores de evaluación del desempeño que integran la Matriz de Indicadores para Resultados (MIR) y los formatos de evaluación PbRM 08b; PbRM 08c; PbRM 09b; PbRM 10a; PbRM 10b; PbRM 10c; PbRM 11, de los cuales, </w:t>
      </w:r>
      <w:r w:rsidRPr="00987EA2">
        <w:rPr>
          <w:rFonts w:ascii="Palatino Linotype" w:eastAsia="Palatino Linotype" w:hAnsi="Palatino Linotype" w:cs="Palatino Linotype"/>
          <w:b/>
          <w:u w:val="single"/>
        </w:rPr>
        <w:t>podemos destacar el PbRM 10a</w:t>
      </w:r>
      <w:r w:rsidRPr="00987EA2">
        <w:rPr>
          <w:rFonts w:ascii="Palatino Linotype" w:eastAsia="Palatino Linotype" w:hAnsi="Palatino Linotype" w:cs="Palatino Linotype"/>
        </w:rPr>
        <w:t xml:space="preserve">, que de acuerdo con el Instructivo de llenado este permite conocer el avance presupuestal de los egresos de forma completa, además de permitir visualizar el avance del presupuesto anual, así </w:t>
      </w:r>
      <w:r w:rsidRPr="00987EA2">
        <w:rPr>
          <w:rFonts w:ascii="Palatino Linotype" w:eastAsia="Palatino Linotype" w:hAnsi="Palatino Linotype" w:cs="Palatino Linotype"/>
          <w:b/>
          <w:u w:val="single"/>
        </w:rPr>
        <w:t>como el presupuesto del mes (autorizado y ejercido)</w:t>
      </w:r>
      <w:r w:rsidRPr="00987EA2">
        <w:rPr>
          <w:rFonts w:ascii="Palatino Linotype" w:eastAsia="Palatino Linotype" w:hAnsi="Palatino Linotype" w:cs="Palatino Linotype"/>
          <w:b/>
        </w:rPr>
        <w:t xml:space="preserve">; </w:t>
      </w:r>
      <w:r w:rsidRPr="00987EA2">
        <w:rPr>
          <w:rFonts w:ascii="Palatino Linotype" w:eastAsia="Palatino Linotype" w:hAnsi="Palatino Linotype" w:cs="Palatino Linotype"/>
        </w:rPr>
        <w:t>y el presupuesto acumulado de dependencias generales (DG), dependencias auxiliares (DA).</w:t>
      </w:r>
    </w:p>
    <w:p w:rsidR="00B41D96" w:rsidRPr="00987EA2" w:rsidRDefault="00F611F2">
      <w:pPr>
        <w:spacing w:line="360" w:lineRule="auto"/>
        <w:jc w:val="center"/>
        <w:rPr>
          <w:rFonts w:ascii="Palatino Linotype" w:eastAsia="Palatino Linotype" w:hAnsi="Palatino Linotype" w:cs="Palatino Linotype"/>
        </w:rPr>
      </w:pPr>
      <w:r w:rsidRPr="00987EA2">
        <w:rPr>
          <w:noProof/>
        </w:rPr>
        <w:drawing>
          <wp:inline distT="0" distB="0" distL="0" distR="0">
            <wp:extent cx="3469310" cy="3669617"/>
            <wp:effectExtent l="0" t="0" r="0" b="0"/>
            <wp:docPr id="56396810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4"/>
                    <a:srcRect l="33803" t="30265" r="32509" b="7032"/>
                    <a:stretch>
                      <a:fillRect/>
                    </a:stretch>
                  </pic:blipFill>
                  <pic:spPr>
                    <a:xfrm>
                      <a:off x="0" y="0"/>
                      <a:ext cx="3469310" cy="3669617"/>
                    </a:xfrm>
                    <a:prstGeom prst="rect">
                      <a:avLst/>
                    </a:prstGeom>
                    <a:ln/>
                  </pic:spPr>
                </pic:pic>
              </a:graphicData>
            </a:graphic>
          </wp:inline>
        </w:drawing>
      </w: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lastRenderedPageBreak/>
        <w:t xml:space="preserve">De igual manera, vale la pena señalar que, de conformidad con el artículo décimo primero de los Lineamientos de Control Financiero y Administrativo para las Entidades Fiscalizables Municipales del Estado de México, los servidores públicos municipales tendrán las siguientes obligaciones: </w:t>
      </w:r>
    </w:p>
    <w:p w:rsidR="00B41D96" w:rsidRPr="00987EA2" w:rsidRDefault="00B41D96">
      <w:pPr>
        <w:ind w:left="864" w:right="864"/>
        <w:jc w:val="both"/>
        <w:rPr>
          <w:i/>
        </w:rPr>
      </w:pPr>
    </w:p>
    <w:p w:rsidR="00B41D96" w:rsidRPr="00987EA2" w:rsidRDefault="00F611F2">
      <w:pP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CAPÍTULO V</w:t>
      </w:r>
    </w:p>
    <w:p w:rsidR="00B41D96" w:rsidRPr="00987EA2" w:rsidRDefault="00F611F2">
      <w:pP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DE LAS OBLIGACIONES</w:t>
      </w:r>
    </w:p>
    <w:p w:rsidR="00B41D96" w:rsidRPr="00987EA2" w:rsidRDefault="00F611F2">
      <w:pP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 xml:space="preserve">DÉCIMO PRIMERO: Los servidores públicos municipales, tendrán en el ámbito de su competencia, respecto de los presentes Lineamientos, las obligaciones siguientes: </w:t>
      </w:r>
    </w:p>
    <w:p w:rsidR="00B41D96" w:rsidRPr="00987EA2" w:rsidRDefault="00F611F2">
      <w:pP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 xml:space="preserve">… </w:t>
      </w:r>
    </w:p>
    <w:p w:rsidR="00B41D96" w:rsidRPr="00987EA2" w:rsidRDefault="00F611F2">
      <w:pP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 xml:space="preserve">IV. El tesorero deberá verificar que todas las pólizas de registro contable y presupuestal, se encuentren firmadas por quién las elaboró, revisó y autorizó, las cuales deberán estar soportadas con la documentación original, justificativa, comprobatoria, suficiente, competente, pertinente y relevante, las que deberán permanecer en custodia y conservación de la tesorería, 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w:t>
      </w:r>
    </w:p>
    <w:p w:rsidR="00B41D96" w:rsidRPr="00987EA2" w:rsidRDefault="00B41D96">
      <w:pPr>
        <w:ind w:left="864" w:right="864"/>
        <w:jc w:val="both"/>
        <w:rPr>
          <w:rFonts w:ascii="Palatino Linotype" w:eastAsia="Palatino Linotype" w:hAnsi="Palatino Linotype" w:cs="Palatino Linotype"/>
          <w:i/>
          <w:sz w:val="22"/>
          <w:szCs w:val="22"/>
        </w:rPr>
      </w:pPr>
    </w:p>
    <w:p w:rsidR="00B41D96" w:rsidRPr="00987EA2" w:rsidRDefault="00F611F2">
      <w:pP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V. El tesorero deberá integrar a la póliza de egresos, fotocopia del cheque original, para su debido cotejo. …</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Dicho esto y en relación con la respuesta enviada por la Tesorería Municipal, es de referir que de conformidad con la Ley Orgánica Municipal del Estado de México, confiere las siguientes atribuciones a dicha Unidad Administrativa: </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TÍTULO IV</w:t>
      </w:r>
    </w:p>
    <w:p w:rsidR="00B41D96" w:rsidRPr="00987EA2" w:rsidRDefault="00F611F2">
      <w:pP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RÉGIMEN ADMINISTRATIVO</w:t>
      </w:r>
    </w:p>
    <w:p w:rsidR="00B41D96" w:rsidRPr="00987EA2" w:rsidRDefault="00F611F2">
      <w:pP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CAPÍTULO SEGUNDO</w:t>
      </w:r>
    </w:p>
    <w:p w:rsidR="00B41D96" w:rsidRPr="00987EA2" w:rsidRDefault="00F611F2">
      <w:pP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DE LA TESORERÍA MUNICIPAL</w:t>
      </w:r>
    </w:p>
    <w:p w:rsidR="00B41D96" w:rsidRPr="00987EA2" w:rsidRDefault="00F611F2">
      <w:pP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lastRenderedPageBreak/>
        <w:t>Artículo 93.- La tesorería municipal es el órgano encargado de la recaudación de los ingresos municipales y responsable de realizar las erogaciones que haga el ayuntamiento.</w:t>
      </w:r>
    </w:p>
    <w:p w:rsidR="00B41D96" w:rsidRPr="00987EA2" w:rsidRDefault="00B41D96">
      <w:pPr>
        <w:rPr>
          <w:rFonts w:ascii="Palatino Linotype" w:eastAsia="Palatino Linotype" w:hAnsi="Palatino Linotype" w:cs="Palatino Linotype"/>
          <w:sz w:val="22"/>
          <w:szCs w:val="22"/>
        </w:rPr>
      </w:pPr>
    </w:p>
    <w:p w:rsidR="00B41D96" w:rsidRPr="00987EA2" w:rsidRDefault="00F611F2">
      <w:pP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Artículo 95.- Son atribuciones del tesorero municipal:</w:t>
      </w:r>
    </w:p>
    <w:p w:rsidR="00B41D96" w:rsidRPr="00987EA2" w:rsidRDefault="00F611F2">
      <w:pP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I. Administrar la hacienda pública municipal, de conformidad con las disposiciones legales aplicables;</w:t>
      </w:r>
    </w:p>
    <w:p w:rsidR="00B41D96" w:rsidRPr="00987EA2" w:rsidRDefault="00F611F2">
      <w:pP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w:t>
      </w:r>
    </w:p>
    <w:p w:rsidR="00B41D96" w:rsidRPr="00987EA2" w:rsidRDefault="00F611F2">
      <w:pP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IV. Llevar los registros contables, financieros y administrativos de los ingresos, egresos, e inventarios;</w:t>
      </w:r>
    </w:p>
    <w:p w:rsidR="00B41D96" w:rsidRPr="00987EA2" w:rsidRDefault="00F611F2">
      <w:pP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V. Proporcionar oportunamente al ayuntamiento todos los datos o informes que sean necesarios para la formulación del Presupuesto de Egresos Municipales, vigilando que se ajuste a las disposiciones de esta Ley y otros ordenamientos aplicables;</w:t>
      </w:r>
    </w:p>
    <w:p w:rsidR="00B41D96" w:rsidRPr="00987EA2" w:rsidRDefault="00F611F2">
      <w:pPr>
        <w:ind w:left="864" w:right="864"/>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w:t>
      </w:r>
    </w:p>
    <w:p w:rsidR="00B41D96" w:rsidRPr="00987EA2" w:rsidRDefault="00B41D96">
      <w:pPr>
        <w:pBdr>
          <w:top w:val="nil"/>
          <w:left w:val="nil"/>
          <w:bottom w:val="nil"/>
          <w:right w:val="nil"/>
          <w:between w:val="nil"/>
        </w:pBdr>
        <w:spacing w:line="360" w:lineRule="auto"/>
        <w:jc w:val="both"/>
        <w:rPr>
          <w:rFonts w:ascii="Palatino Linotype" w:eastAsia="Palatino Linotype" w:hAnsi="Palatino Linotype" w:cs="Palatino Linotype"/>
          <w:i/>
          <w:sz w:val="22"/>
          <w:szCs w:val="22"/>
        </w:rPr>
      </w:pPr>
    </w:p>
    <w:p w:rsidR="00B41D96" w:rsidRPr="00987EA2" w:rsidRDefault="00F611F2">
      <w:pPr>
        <w:pBdr>
          <w:top w:val="nil"/>
          <w:left w:val="nil"/>
          <w:bottom w:val="nil"/>
          <w:right w:val="nil"/>
          <w:between w:val="nil"/>
        </w:pBd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Con lo hasta aquí dicho, lo procedente para este Pleno es ordenar la búsqueda exhaustiva del documento o documentos donde conste, de las luminarias adquiridas en el periodo del primero de enero al diecinueve de agosto de dos mil veintidós, lo siguiente: número, proveedor o proveedores contratados; costo unitario; facturas; monto erogado; procedencia de los recursos; y la partida presupuestal.</w:t>
      </w:r>
    </w:p>
    <w:p w:rsidR="00B41D96" w:rsidRPr="00987EA2" w:rsidRDefault="00B41D96">
      <w:pPr>
        <w:pBdr>
          <w:top w:val="nil"/>
          <w:left w:val="nil"/>
          <w:bottom w:val="nil"/>
          <w:right w:val="nil"/>
          <w:between w:val="nil"/>
        </w:pBdr>
        <w:spacing w:line="360" w:lineRule="auto"/>
        <w:jc w:val="both"/>
        <w:rPr>
          <w:rFonts w:ascii="Palatino Linotype" w:eastAsia="Palatino Linotype" w:hAnsi="Palatino Linotype" w:cs="Palatino Linotype"/>
        </w:rPr>
      </w:pPr>
    </w:p>
    <w:p w:rsidR="00B41D96" w:rsidRPr="00987EA2" w:rsidRDefault="00F611F2">
      <w:pPr>
        <w:spacing w:before="240" w:after="240" w:line="360" w:lineRule="auto"/>
        <w:jc w:val="both"/>
        <w:rPr>
          <w:rFonts w:ascii="Palatino Linotype" w:eastAsia="Palatino Linotype" w:hAnsi="Palatino Linotype" w:cs="Palatino Linotype"/>
          <w:b/>
        </w:rPr>
      </w:pPr>
      <w:r w:rsidRPr="00987EA2">
        <w:rPr>
          <w:rFonts w:ascii="Palatino Linotype" w:eastAsia="Palatino Linotype" w:hAnsi="Palatino Linotype" w:cs="Palatino Linotype"/>
        </w:rPr>
        <w:t xml:space="preserve">Aunado a lo anterior, debe resaltarse que la documentación que pudiera otorgarse para efecto de dar cumplimiento a la presente resolución, pudiera contener información de carácter confidencial susceptible de ser resguardada por el </w:t>
      </w:r>
      <w:r w:rsidRPr="00987EA2">
        <w:rPr>
          <w:rFonts w:ascii="Palatino Linotype" w:eastAsia="Palatino Linotype" w:hAnsi="Palatino Linotype" w:cs="Palatino Linotype"/>
          <w:b/>
        </w:rPr>
        <w:t xml:space="preserve">Sujeto Obligado </w:t>
      </w:r>
      <w:r w:rsidRPr="00987EA2">
        <w:rPr>
          <w:rFonts w:ascii="Palatino Linotype" w:eastAsia="Palatino Linotype" w:hAnsi="Palatino Linotype" w:cs="Palatino Linotype"/>
        </w:rPr>
        <w:t xml:space="preserve">y para lo cual se deberá emitir una versión pública con estricto apego al procedimiento que se detallará en el considerando siguiente, siendo de suma importancia mencionar que el </w:t>
      </w:r>
      <w:r w:rsidRPr="00987EA2">
        <w:rPr>
          <w:rFonts w:ascii="Palatino Linotype" w:eastAsia="Palatino Linotype" w:hAnsi="Palatino Linotype" w:cs="Palatino Linotype"/>
          <w:b/>
        </w:rPr>
        <w:t xml:space="preserve">Registro Federal de Contribuyentes, RFC y </w:t>
      </w:r>
      <w:r w:rsidRPr="00987EA2">
        <w:rPr>
          <w:rFonts w:ascii="Palatino Linotype" w:eastAsia="Palatino Linotype" w:hAnsi="Palatino Linotype" w:cs="Palatino Linotype"/>
          <w:b/>
        </w:rPr>
        <w:lastRenderedPageBreak/>
        <w:t xml:space="preserve">domicilio fiscal, </w:t>
      </w:r>
      <w:r w:rsidRPr="00987EA2">
        <w:rPr>
          <w:rFonts w:ascii="Palatino Linotype" w:eastAsia="Palatino Linotype" w:hAnsi="Palatino Linotype" w:cs="Palatino Linotype"/>
          <w:b/>
          <w:u w:val="single"/>
        </w:rPr>
        <w:t>no son susceptibles de clasificarse</w:t>
      </w:r>
      <w:r w:rsidRPr="00987EA2">
        <w:rPr>
          <w:rFonts w:ascii="Palatino Linotype" w:eastAsia="Palatino Linotype" w:hAnsi="Palatino Linotype" w:cs="Palatino Linotype"/>
        </w:rPr>
        <w:t>, aun tratándose de proveedores que sean personas físicas, tal y como se detallará en el considerando siguiente.</w:t>
      </w:r>
    </w:p>
    <w:p w:rsidR="00B41D96" w:rsidRPr="00987EA2" w:rsidRDefault="00F611F2">
      <w:pPr>
        <w:spacing w:before="240" w:after="240"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b/>
        </w:rPr>
        <w:t>Quinto. Versión Pública.</w:t>
      </w:r>
      <w:r w:rsidRPr="00987EA2">
        <w:rPr>
          <w:rFonts w:ascii="Palatino Linotype" w:eastAsia="Palatino Linotype" w:hAnsi="Palatino Linotype" w:cs="Palatino Linotype"/>
          <w:sz w:val="28"/>
          <w:szCs w:val="28"/>
        </w:rPr>
        <w:t xml:space="preserve"> </w:t>
      </w:r>
      <w:r w:rsidRPr="00987EA2">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987EA2">
        <w:rPr>
          <w:rFonts w:ascii="Palatino Linotype" w:eastAsia="Palatino Linotype" w:hAnsi="Palatino Linotype" w:cs="Palatino Linotype"/>
          <w:b/>
        </w:rPr>
        <w:t>Sujeto Obligado</w:t>
      </w:r>
      <w:r w:rsidRPr="00987EA2">
        <w:rPr>
          <w:rFonts w:ascii="Palatino Linotype" w:eastAsia="Palatino Linotype" w:hAnsi="Palatino Linotype" w:cs="Palatino Linotype"/>
        </w:rPr>
        <w:t xml:space="preserve"> deberá hacer la elaboración de la versión pública de los mismos a fin de satisfacer el derecho de acceso a la información pública de la parte </w:t>
      </w:r>
      <w:r w:rsidRPr="00987EA2">
        <w:rPr>
          <w:rFonts w:ascii="Palatino Linotype" w:eastAsia="Palatino Linotype" w:hAnsi="Palatino Linotype" w:cs="Palatino Linotype"/>
          <w:b/>
        </w:rPr>
        <w:t>Recurrente</w:t>
      </w:r>
      <w:r w:rsidRPr="00987EA2">
        <w:rPr>
          <w:rFonts w:ascii="Palatino Linotype" w:eastAsia="Palatino Linotype" w:hAnsi="Palatino Linotype" w:cs="Palatino Linotype"/>
        </w:rPr>
        <w:t xml:space="preserve"> sin menoscabo al derecho a la protección de los datos personales de terceros.</w:t>
      </w:r>
    </w:p>
    <w:p w:rsidR="00B41D96" w:rsidRPr="00987EA2" w:rsidRDefault="00F611F2">
      <w:pPr>
        <w:spacing w:before="240" w:after="240"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B41D96" w:rsidRPr="00987EA2" w:rsidRDefault="00F611F2">
      <w:pPr>
        <w:spacing w:before="120" w:after="120"/>
        <w:ind w:left="851"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w:t>
      </w:r>
      <w:r w:rsidRPr="00987EA2">
        <w:rPr>
          <w:rFonts w:ascii="Palatino Linotype" w:eastAsia="Palatino Linotype" w:hAnsi="Palatino Linotype" w:cs="Palatino Linotype"/>
          <w:b/>
          <w:i/>
          <w:sz w:val="22"/>
          <w:szCs w:val="22"/>
        </w:rPr>
        <w:t>Artículo 3</w:t>
      </w:r>
      <w:r w:rsidRPr="00987EA2">
        <w:rPr>
          <w:rFonts w:ascii="Palatino Linotype" w:eastAsia="Palatino Linotype" w:hAnsi="Palatino Linotype" w:cs="Palatino Linotype"/>
          <w:i/>
          <w:sz w:val="22"/>
          <w:szCs w:val="22"/>
        </w:rPr>
        <w:t>. Para los efectos de la presente Ley se entenderá por:</w:t>
      </w:r>
    </w:p>
    <w:p w:rsidR="00B41D96" w:rsidRPr="00987EA2" w:rsidRDefault="00F611F2">
      <w:pPr>
        <w:spacing w:before="120" w:after="120"/>
        <w:ind w:left="1134"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w:t>
      </w:r>
    </w:p>
    <w:p w:rsidR="00B41D96" w:rsidRPr="00987EA2" w:rsidRDefault="00F611F2">
      <w:pPr>
        <w:spacing w:before="120" w:after="120"/>
        <w:ind w:left="1134"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IX. Datos personales</w:t>
      </w:r>
      <w:r w:rsidRPr="00987EA2">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B41D96" w:rsidRPr="00987EA2" w:rsidRDefault="00F611F2">
      <w:pPr>
        <w:spacing w:before="120" w:after="120"/>
        <w:ind w:left="1134"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XX. Información clasificada</w:t>
      </w:r>
      <w:r w:rsidRPr="00987EA2">
        <w:rPr>
          <w:rFonts w:ascii="Palatino Linotype" w:eastAsia="Palatino Linotype" w:hAnsi="Palatino Linotype" w:cs="Palatino Linotype"/>
          <w:i/>
          <w:sz w:val="22"/>
          <w:szCs w:val="22"/>
        </w:rPr>
        <w:t>: Aquella considerada por la presente Ley como reservada o confidencial;</w:t>
      </w:r>
    </w:p>
    <w:p w:rsidR="00B41D96" w:rsidRPr="00987EA2" w:rsidRDefault="00F611F2">
      <w:pPr>
        <w:spacing w:before="120" w:after="120"/>
        <w:ind w:left="1134"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XXI. Información confidencial</w:t>
      </w:r>
      <w:r w:rsidRPr="00987EA2">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B41D96" w:rsidRPr="00987EA2" w:rsidRDefault="00F611F2">
      <w:pPr>
        <w:spacing w:before="120" w:after="120"/>
        <w:ind w:left="1134"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XLV. Versión pública</w:t>
      </w:r>
      <w:r w:rsidRPr="00987EA2">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B41D96" w:rsidRPr="00987EA2" w:rsidRDefault="00F611F2">
      <w:pPr>
        <w:spacing w:before="120" w:after="120"/>
        <w:ind w:left="851"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lastRenderedPageBreak/>
        <w:t>[…]</w:t>
      </w:r>
    </w:p>
    <w:p w:rsidR="00B41D96" w:rsidRPr="00987EA2" w:rsidRDefault="00F611F2">
      <w:pPr>
        <w:spacing w:before="120" w:after="120"/>
        <w:ind w:left="851"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Artículo 91.</w:t>
      </w:r>
      <w:r w:rsidRPr="00987EA2">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B41D96" w:rsidRPr="00987EA2" w:rsidRDefault="00F611F2">
      <w:pPr>
        <w:spacing w:before="120" w:after="120"/>
        <w:ind w:left="851"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Artículo 132</w:t>
      </w:r>
      <w:r w:rsidRPr="00987EA2">
        <w:rPr>
          <w:rFonts w:ascii="Palatino Linotype" w:eastAsia="Palatino Linotype" w:hAnsi="Palatino Linotype" w:cs="Palatino Linotype"/>
          <w:i/>
          <w:sz w:val="22"/>
          <w:szCs w:val="22"/>
        </w:rPr>
        <w:t>. La clasificación de la información se llevará a cabo en el momento en que:</w:t>
      </w:r>
    </w:p>
    <w:p w:rsidR="00B41D96" w:rsidRPr="00987EA2" w:rsidRDefault="00F611F2">
      <w:pPr>
        <w:spacing w:before="120" w:after="120"/>
        <w:ind w:left="1134"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I.</w:t>
      </w:r>
      <w:r w:rsidRPr="00987EA2">
        <w:rPr>
          <w:rFonts w:ascii="Palatino Linotype" w:eastAsia="Palatino Linotype" w:hAnsi="Palatino Linotype" w:cs="Palatino Linotype"/>
          <w:i/>
          <w:sz w:val="22"/>
          <w:szCs w:val="22"/>
        </w:rPr>
        <w:t xml:space="preserve"> Se reciba una solicitud de acceso a la información;</w:t>
      </w:r>
    </w:p>
    <w:p w:rsidR="00B41D96" w:rsidRPr="00987EA2" w:rsidRDefault="00F611F2">
      <w:pPr>
        <w:spacing w:before="120" w:after="120"/>
        <w:ind w:left="1134"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II.</w:t>
      </w:r>
      <w:r w:rsidRPr="00987EA2">
        <w:rPr>
          <w:rFonts w:ascii="Palatino Linotype" w:eastAsia="Palatino Linotype" w:hAnsi="Palatino Linotype" w:cs="Palatino Linotype"/>
          <w:i/>
          <w:sz w:val="22"/>
          <w:szCs w:val="22"/>
        </w:rPr>
        <w:t xml:space="preserve"> Se determine mediante resolución de autoridad competente; o</w:t>
      </w:r>
    </w:p>
    <w:p w:rsidR="00B41D96" w:rsidRPr="00987EA2" w:rsidRDefault="00F611F2">
      <w:pPr>
        <w:spacing w:before="120" w:after="120"/>
        <w:ind w:left="1134"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III.</w:t>
      </w:r>
      <w:r w:rsidRPr="00987EA2">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rsidR="00B41D96" w:rsidRPr="00987EA2" w:rsidRDefault="00F611F2">
      <w:pPr>
        <w:spacing w:before="120" w:after="120"/>
        <w:ind w:left="851"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w:t>
      </w:r>
    </w:p>
    <w:p w:rsidR="00B41D96" w:rsidRPr="00987EA2" w:rsidRDefault="00F611F2">
      <w:pPr>
        <w:spacing w:before="120" w:after="120"/>
        <w:ind w:left="851"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Artículo 143.</w:t>
      </w:r>
      <w:r w:rsidRPr="00987EA2">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rsidR="00B41D96" w:rsidRPr="00987EA2" w:rsidRDefault="00F611F2">
      <w:pPr>
        <w:spacing w:before="120" w:after="120"/>
        <w:ind w:left="1134"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I.</w:t>
      </w:r>
      <w:r w:rsidRPr="00987EA2">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rsidR="00B41D96" w:rsidRPr="00987EA2" w:rsidRDefault="00F611F2">
      <w:pPr>
        <w:spacing w:before="120" w:after="120"/>
        <w:ind w:left="1134"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II.</w:t>
      </w:r>
      <w:r w:rsidRPr="00987EA2">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B41D96" w:rsidRPr="00987EA2" w:rsidRDefault="00F611F2">
      <w:pPr>
        <w:spacing w:before="120" w:after="120"/>
        <w:ind w:left="1134"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III.</w:t>
      </w:r>
      <w:r w:rsidRPr="00987EA2">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rsidR="00B41D96" w:rsidRPr="00987EA2" w:rsidRDefault="00F611F2">
      <w:pPr>
        <w:spacing w:before="120" w:after="120"/>
        <w:ind w:left="851"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B41D96" w:rsidRPr="00987EA2" w:rsidRDefault="00F611F2">
      <w:pPr>
        <w:spacing w:before="120" w:after="120"/>
        <w:ind w:left="851"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B41D96" w:rsidRPr="00987EA2" w:rsidRDefault="00F611F2">
      <w:pPr>
        <w:spacing w:before="240" w:after="240"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w:t>
      </w:r>
      <w:r w:rsidRPr="00987EA2">
        <w:rPr>
          <w:rFonts w:ascii="Palatino Linotype" w:eastAsia="Palatino Linotype" w:hAnsi="Palatino Linotype" w:cs="Palatino Linotype"/>
        </w:rPr>
        <w:lastRenderedPageBreak/>
        <w:t>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B41D96" w:rsidRPr="00987EA2" w:rsidRDefault="00F611F2">
      <w:pPr>
        <w:spacing w:before="240" w:after="240"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B41D96" w:rsidRPr="00987EA2" w:rsidRDefault="00F611F2">
      <w:pPr>
        <w:spacing w:before="120" w:after="120"/>
        <w:ind w:left="851"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w:t>
      </w:r>
      <w:r w:rsidRPr="00987EA2">
        <w:rPr>
          <w:rFonts w:ascii="Palatino Linotype" w:eastAsia="Palatino Linotype" w:hAnsi="Palatino Linotype" w:cs="Palatino Linotype"/>
          <w:b/>
          <w:i/>
          <w:sz w:val="22"/>
          <w:szCs w:val="22"/>
        </w:rPr>
        <w:t>Quincuagésimo sexto.</w:t>
      </w:r>
      <w:r w:rsidRPr="00987EA2">
        <w:rPr>
          <w:rFonts w:ascii="Palatino Linotype" w:eastAsia="Palatino Linotype" w:hAnsi="Palatino Linotype" w:cs="Palatino Linotype"/>
          <w:i/>
          <w:sz w:val="22"/>
          <w:szCs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B41D96" w:rsidRPr="00987EA2" w:rsidRDefault="00F611F2">
      <w:pPr>
        <w:spacing w:before="120" w:after="120"/>
        <w:ind w:left="851"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Quincuagésimo séptimo.</w:t>
      </w:r>
      <w:r w:rsidRPr="00987EA2">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B41D96" w:rsidRPr="00987EA2" w:rsidRDefault="00F611F2">
      <w:pPr>
        <w:spacing w:before="120" w:after="120"/>
        <w:ind w:left="1134"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I.</w:t>
      </w:r>
      <w:r w:rsidRPr="00987EA2">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B41D96" w:rsidRPr="00987EA2" w:rsidRDefault="00F611F2">
      <w:pPr>
        <w:spacing w:before="120" w:after="120"/>
        <w:ind w:left="1134"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II.</w:t>
      </w:r>
      <w:r w:rsidRPr="00987EA2">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B41D96" w:rsidRPr="00987EA2" w:rsidRDefault="00F611F2">
      <w:pPr>
        <w:spacing w:before="120" w:after="120"/>
        <w:ind w:left="1134"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III.</w:t>
      </w:r>
      <w:r w:rsidRPr="00987EA2">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B41D96" w:rsidRPr="00987EA2" w:rsidRDefault="00F611F2">
      <w:pPr>
        <w:spacing w:before="120" w:after="120"/>
        <w:ind w:left="851"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B41D96" w:rsidRPr="00987EA2" w:rsidRDefault="00F611F2">
      <w:pPr>
        <w:spacing w:before="120" w:after="120"/>
        <w:ind w:left="851"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Quincuagésimo octavo</w:t>
      </w:r>
      <w:r w:rsidRPr="00987EA2">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B41D96" w:rsidRPr="00987EA2" w:rsidRDefault="00F611F2">
      <w:pPr>
        <w:spacing w:before="240" w:after="240"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En el caso específico, la información solicitada puede contener datos susceptibles de clasificarse, que de hacerse públicos afectarían la intimidad y vida privada de </w:t>
      </w:r>
      <w:r w:rsidRPr="00987EA2">
        <w:rPr>
          <w:rFonts w:ascii="Palatino Linotype" w:eastAsia="Palatino Linotype" w:hAnsi="Palatino Linotype" w:cs="Palatino Linotype"/>
        </w:rPr>
        <w:lastRenderedPageBreak/>
        <w:t>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rsidR="00B41D96" w:rsidRPr="00987EA2" w:rsidRDefault="00F611F2">
      <w:pPr>
        <w:spacing w:before="240" w:after="240"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La </w:t>
      </w:r>
      <w:r w:rsidRPr="00987EA2">
        <w:rPr>
          <w:rFonts w:ascii="Palatino Linotype" w:eastAsia="Palatino Linotype" w:hAnsi="Palatino Linotype" w:cs="Palatino Linotype"/>
          <w:b/>
        </w:rPr>
        <w:t>clave de elector</w:t>
      </w:r>
      <w:r w:rsidRPr="00987EA2">
        <w:rPr>
          <w:rFonts w:ascii="Palatino Linotype" w:eastAsia="Palatino Linotype" w:hAnsi="Palatino Linotype" w:cs="Palatino Linotype"/>
        </w:rPr>
        <w:t>, es la 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personal que debe ser protegido.</w:t>
      </w:r>
    </w:p>
    <w:p w:rsidR="00B41D96" w:rsidRPr="00987EA2" w:rsidRDefault="00F611F2">
      <w:pPr>
        <w:spacing w:before="240" w:after="240"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El </w:t>
      </w:r>
      <w:r w:rsidRPr="00987EA2">
        <w:rPr>
          <w:rFonts w:ascii="Palatino Linotype" w:eastAsia="Palatino Linotype" w:hAnsi="Palatino Linotype" w:cs="Palatino Linotype"/>
          <w:b/>
        </w:rPr>
        <w:t>número de OCR,</w:t>
      </w:r>
      <w:r w:rsidRPr="00987EA2">
        <w:rPr>
          <w:rFonts w:ascii="Palatino Linotype" w:eastAsia="Palatino Linotype" w:hAnsi="Palatino Linotype" w:cs="Palatino Linotype"/>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geoelectoral ahí contenida, por lo que es susceptible de resguardarse.</w:t>
      </w:r>
    </w:p>
    <w:p w:rsidR="00B41D96" w:rsidRPr="00987EA2" w:rsidRDefault="00F611F2">
      <w:pPr>
        <w:spacing w:before="240" w:after="240"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La </w:t>
      </w:r>
      <w:r w:rsidRPr="00987EA2">
        <w:rPr>
          <w:rFonts w:ascii="Palatino Linotype" w:eastAsia="Palatino Linotype" w:hAnsi="Palatino Linotype" w:cs="Palatino Linotype"/>
          <w:b/>
        </w:rPr>
        <w:t>clave única del registro de población,</w:t>
      </w:r>
      <w:r w:rsidRPr="00987EA2">
        <w:rPr>
          <w:rFonts w:ascii="Palatino Linotype" w:eastAsia="Palatino Linotype" w:hAnsi="Palatino Linotype" w:cs="Palatino Linotype"/>
          <w:i/>
        </w:rPr>
        <w:t xml:space="preserve"> </w:t>
      </w:r>
      <w:r w:rsidRPr="00987EA2">
        <w:rPr>
          <w:rFonts w:ascii="Palatino Linotype" w:eastAsia="Palatino Linotype" w:hAnsi="Palatino Linotype" w:cs="Palatino Linotype"/>
        </w:rPr>
        <w:t xml:space="preserve">se integra por datos personales que sólo conciernen al particular titular de la misma, como lo son su nombre, apellidos, fecha de nacimiento, lugar de nacimiento y sexo. Dichos datos, constituyen información </w:t>
      </w:r>
      <w:r w:rsidRPr="00987EA2">
        <w:rPr>
          <w:rFonts w:ascii="Palatino Linotype" w:eastAsia="Palatino Linotype" w:hAnsi="Palatino Linotype" w:cs="Palatino Linotype"/>
        </w:rPr>
        <w:lastRenderedPageBreak/>
        <w:t>que distingue plenamente a una persona física del resto de los habitantes del país, por lo está considerada como información confidencial.</w:t>
      </w:r>
    </w:p>
    <w:p w:rsidR="00B41D96" w:rsidRPr="00987EA2" w:rsidRDefault="00F611F2">
      <w:pPr>
        <w:spacing w:before="240" w:after="240" w:line="360" w:lineRule="auto"/>
        <w:ind w:right="50"/>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Igualmente, resulta importante destacar que el </w:t>
      </w:r>
      <w:r w:rsidRPr="00987EA2">
        <w:rPr>
          <w:rFonts w:ascii="Palatino Linotype" w:eastAsia="Palatino Linotype" w:hAnsi="Palatino Linotype" w:cs="Palatino Linotype"/>
          <w:i/>
        </w:rPr>
        <w:t>número de cuenta bancaria</w:t>
      </w:r>
      <w:r w:rsidRPr="00987EA2">
        <w:rPr>
          <w:rFonts w:ascii="Palatino Linotype" w:eastAsia="Palatino Linotype" w:hAnsi="Palatino Linotype" w:cs="Palatino Linotype"/>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B41D96" w:rsidRPr="00987EA2" w:rsidRDefault="00F611F2">
      <w:pPr>
        <w:spacing w:before="240" w:after="240" w:line="360" w:lineRule="auto"/>
        <w:ind w:right="50"/>
        <w:jc w:val="both"/>
        <w:rPr>
          <w:rFonts w:ascii="Palatino Linotype" w:eastAsia="Palatino Linotype" w:hAnsi="Palatino Linotype" w:cs="Palatino Linotype"/>
        </w:rPr>
      </w:pPr>
      <w:r w:rsidRPr="00987EA2">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rsidR="00B41D96" w:rsidRPr="00987EA2" w:rsidRDefault="00F611F2">
      <w:pPr>
        <w:spacing w:before="240" w:after="240" w:line="360" w:lineRule="auto"/>
        <w:ind w:right="50"/>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B41D96" w:rsidRPr="00987EA2" w:rsidRDefault="00F611F2">
      <w:pPr>
        <w:spacing w:before="240" w:after="240" w:line="360" w:lineRule="auto"/>
        <w:ind w:right="50"/>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rsidR="00B41D96" w:rsidRPr="00987EA2" w:rsidRDefault="00F611F2">
      <w:pPr>
        <w:spacing w:before="240" w:after="240" w:line="360" w:lineRule="auto"/>
        <w:ind w:right="50"/>
        <w:jc w:val="both"/>
        <w:rPr>
          <w:rFonts w:ascii="Palatino Linotype" w:eastAsia="Palatino Linotype" w:hAnsi="Palatino Linotype" w:cs="Palatino Linotype"/>
        </w:rPr>
      </w:pPr>
      <w:r w:rsidRPr="00987EA2">
        <w:rPr>
          <w:rFonts w:ascii="Palatino Linotype" w:eastAsia="Palatino Linotype" w:hAnsi="Palatino Linotype" w:cs="Palatino Linotype"/>
        </w:rPr>
        <w:lastRenderedPageBreak/>
        <w:t>Es por esta razón que se debe omitir el o los números de cuentas bancarias de particulares en las versiones públicas que de las facturas se hagan, para ser entregadas.</w:t>
      </w:r>
    </w:p>
    <w:p w:rsidR="00B41D96" w:rsidRPr="00987EA2" w:rsidRDefault="00F611F2">
      <w:pPr>
        <w:spacing w:before="240" w:after="240" w:line="360" w:lineRule="auto"/>
        <w:ind w:right="50"/>
        <w:jc w:val="both"/>
        <w:rPr>
          <w:rFonts w:ascii="Palatino Linotype" w:eastAsia="Palatino Linotype" w:hAnsi="Palatino Linotype" w:cs="Palatino Linotype"/>
        </w:rPr>
      </w:pPr>
      <w:r w:rsidRPr="00987EA2">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rsidR="00B41D96" w:rsidRPr="00987EA2" w:rsidRDefault="00F611F2">
      <w:pPr>
        <w:spacing w:before="240" w:after="240" w:line="360" w:lineRule="auto"/>
        <w:ind w:right="50"/>
        <w:jc w:val="both"/>
        <w:rPr>
          <w:rFonts w:ascii="Palatino Linotype" w:eastAsia="Palatino Linotype" w:hAnsi="Palatino Linotype" w:cs="Palatino Linotype"/>
        </w:rPr>
      </w:pPr>
      <w:r w:rsidRPr="00987EA2">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rsidR="00B41D96" w:rsidRPr="00987EA2" w:rsidRDefault="00F611F2">
      <w:pPr>
        <w:spacing w:before="240" w:after="240"/>
        <w:ind w:left="851" w:right="900"/>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“Cuentas bancarias y/o CLABE interbancaria de personas físicas y morales privadas.</w:t>
      </w:r>
      <w:r w:rsidRPr="00987EA2">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B41D96" w:rsidRPr="00987EA2" w:rsidRDefault="00F611F2">
      <w:pPr>
        <w:spacing w:before="240" w:after="240"/>
        <w:ind w:left="851" w:right="900"/>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987EA2">
        <w:rPr>
          <w:rFonts w:ascii="Palatino Linotype" w:eastAsia="Palatino Linotype" w:hAnsi="Palatino Linotype" w:cs="Palatino Linotype"/>
          <w:i/>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B41D96" w:rsidRPr="00987EA2" w:rsidRDefault="00F611F2">
      <w:pPr>
        <w:spacing w:before="240" w:after="240" w:line="360" w:lineRule="auto"/>
        <w:ind w:right="50"/>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Por cuanto hace al </w:t>
      </w:r>
      <w:r w:rsidRPr="00987EA2">
        <w:rPr>
          <w:rFonts w:ascii="Palatino Linotype" w:eastAsia="Palatino Linotype" w:hAnsi="Palatino Linotype" w:cs="Palatino Linotype"/>
          <w:b/>
        </w:rPr>
        <w:t xml:space="preserve">Registro Federal de Contribuyentes (RFC) </w:t>
      </w:r>
      <w:r w:rsidRPr="00987EA2">
        <w:rPr>
          <w:rFonts w:ascii="Palatino Linotype" w:eastAsia="Palatino Linotype" w:hAnsi="Palatino Linotype" w:cs="Palatino Linotype"/>
        </w:rPr>
        <w:t>y</w:t>
      </w:r>
      <w:r w:rsidRPr="00987EA2">
        <w:rPr>
          <w:rFonts w:ascii="Palatino Linotype" w:eastAsia="Palatino Linotype" w:hAnsi="Palatino Linotype" w:cs="Palatino Linotype"/>
          <w:b/>
        </w:rPr>
        <w:t xml:space="preserve"> el domicilio fiscal </w:t>
      </w:r>
      <w:r w:rsidRPr="00987EA2">
        <w:rPr>
          <w:rFonts w:ascii="Palatino Linotype" w:eastAsia="Palatino Linotype" w:hAnsi="Palatino Linotype" w:cs="Palatino Linotype"/>
        </w:rPr>
        <w:t xml:space="preserve">si bien este Instituto ha sostenido que el RFC y domicilio de las personas físicas debe ser testado por los Sujetos Obligados, en las versiones públicas de los documentos </w:t>
      </w:r>
      <w:r w:rsidRPr="00987EA2">
        <w:rPr>
          <w:rFonts w:ascii="Palatino Linotype" w:eastAsia="Palatino Linotype" w:hAnsi="Palatino Linotype" w:cs="Palatino Linotype"/>
        </w:rPr>
        <w:lastRenderedPageBreak/>
        <w:t>que elaboren para atender las solicitudes de información pública, lo cierto es que, tratándose de proveedores, prestadores de servicios o contratistas, dichos datos no deben ser suprimidos de las facturas y contratos que vayan a ser entregados.</w:t>
      </w:r>
    </w:p>
    <w:p w:rsidR="00B41D96" w:rsidRPr="00987EA2" w:rsidRDefault="00F611F2">
      <w:pPr>
        <w:spacing w:before="240" w:after="240" w:line="360" w:lineRule="auto"/>
        <w:ind w:right="50"/>
        <w:jc w:val="both"/>
        <w:rPr>
          <w:rFonts w:ascii="Palatino Linotype" w:eastAsia="Palatino Linotype" w:hAnsi="Palatino Linotype" w:cs="Palatino Linotype"/>
        </w:rPr>
      </w:pPr>
      <w:r w:rsidRPr="00987EA2">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rsidR="00B41D96" w:rsidRPr="00987EA2" w:rsidRDefault="00F611F2">
      <w:pPr>
        <w:spacing w:before="240" w:after="240" w:line="360" w:lineRule="auto"/>
        <w:ind w:right="50"/>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987EA2">
        <w:rPr>
          <w:rFonts w:ascii="Palatino Linotype" w:eastAsia="Palatino Linotype" w:hAnsi="Palatino Linotype" w:cs="Palatino Linotype"/>
          <w:b/>
        </w:rPr>
        <w:t>no puede considerarse como información clasificada lo relativo a su nombre, registro federal de contribuyentes y domicilio fiscal</w:t>
      </w:r>
      <w:r w:rsidRPr="00987EA2">
        <w:rPr>
          <w:rFonts w:ascii="Palatino Linotype" w:eastAsia="Palatino Linotype" w:hAnsi="Palatino Linotype" w:cs="Palatino Linotype"/>
        </w:rPr>
        <w:t>, atento a que dicha información es la que puede generar certeza en los gobernados en que se está ejerciendo debidamente el presupuesto.</w:t>
      </w:r>
    </w:p>
    <w:p w:rsidR="00B41D96" w:rsidRPr="00987EA2" w:rsidRDefault="00F611F2">
      <w:pPr>
        <w:spacing w:before="240" w:after="240"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Robustece lo anterior el criterio orientador 04/21 emitido por el Instituto Nacional de Transparencia, Acceso a la Información y Protección de Datos Personales, INAI, el cual refiere:</w:t>
      </w:r>
    </w:p>
    <w:p w:rsidR="00B41D96" w:rsidRPr="00987EA2" w:rsidRDefault="00F611F2">
      <w:pPr>
        <w:spacing w:before="120" w:after="120"/>
        <w:ind w:left="851"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 xml:space="preserve">“Registro Federal de Contribuyentes (RFC) de personas físicas proveedoras o contratistas. </w:t>
      </w:r>
      <w:r w:rsidRPr="00987EA2">
        <w:rPr>
          <w:rFonts w:ascii="Palatino Linotype" w:eastAsia="Palatino Linotype" w:hAnsi="Palatino Linotype" w:cs="Palatino Linotype"/>
          <w:i/>
          <w:sz w:val="22"/>
          <w:szCs w:val="22"/>
        </w:rPr>
        <w:t xml:space="preserve">El RFC de contratistas o proveedores de los sujetos obligados debe ser público, ya que al tratarse de personas con contrataciones </w:t>
      </w:r>
      <w:r w:rsidRPr="00987EA2">
        <w:rPr>
          <w:rFonts w:ascii="Palatino Linotype" w:eastAsia="Palatino Linotype" w:hAnsi="Palatino Linotype" w:cs="Palatino Linotype"/>
          <w:i/>
          <w:sz w:val="22"/>
          <w:szCs w:val="22"/>
        </w:rPr>
        <w:lastRenderedPageBreak/>
        <w:t>públicas, su difusión favorece la transparencia con la que deben administrarse los recursos públicos, en términos del artículo 134 de la Constitución Política de los Estados Unidos Mexicanos.”</w:t>
      </w:r>
    </w:p>
    <w:p w:rsidR="00B41D96" w:rsidRPr="00987EA2" w:rsidRDefault="00F611F2">
      <w:pPr>
        <w:spacing w:before="240" w:after="240" w:line="360" w:lineRule="auto"/>
        <w:ind w:right="50"/>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Relacionado con lo anterior, el </w:t>
      </w:r>
      <w:r w:rsidRPr="00987EA2">
        <w:rPr>
          <w:rFonts w:ascii="Palatino Linotype" w:eastAsia="Palatino Linotype" w:hAnsi="Palatino Linotype" w:cs="Palatino Linotype"/>
          <w:b/>
        </w:rPr>
        <w:t>nombre de las personas físicas</w:t>
      </w:r>
      <w:r w:rsidRPr="00987EA2">
        <w:rPr>
          <w:rFonts w:ascii="Palatino Linotype" w:eastAsia="Palatino Linotype" w:hAnsi="Palatino Linotype" w:cs="Palatino Linotype"/>
        </w:rPr>
        <w:t xml:space="preserve"> o los </w:t>
      </w:r>
      <w:r w:rsidRPr="00987EA2">
        <w:rPr>
          <w:rFonts w:ascii="Palatino Linotype" w:eastAsia="Palatino Linotype" w:hAnsi="Palatino Linotype" w:cs="Palatino Linotype"/>
          <w:b/>
        </w:rPr>
        <w:t>representantes legales de las personas morales</w:t>
      </w:r>
      <w:r w:rsidRPr="00987EA2">
        <w:rPr>
          <w:rFonts w:ascii="Palatino Linotype" w:eastAsia="Palatino Linotype" w:hAnsi="Palatino Linotype" w:cs="Palatino Linotype"/>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rsidR="00B41D96" w:rsidRPr="00987EA2" w:rsidRDefault="00F611F2">
      <w:pPr>
        <w:spacing w:before="240" w:after="240" w:line="360" w:lineRule="auto"/>
        <w:ind w:right="50"/>
        <w:jc w:val="both"/>
        <w:rPr>
          <w:rFonts w:ascii="Palatino Linotype" w:eastAsia="Palatino Linotype" w:hAnsi="Palatino Linotype" w:cs="Palatino Linotype"/>
        </w:rPr>
      </w:pPr>
      <w:r w:rsidRPr="00987EA2">
        <w:rPr>
          <w:rFonts w:ascii="Palatino Linotype" w:eastAsia="Palatino Linotype" w:hAnsi="Palatino Linotype" w:cs="Palatino Linotype"/>
        </w:rPr>
        <w:t>Argumentación que guarda sustento en lo estipulado por el artículo 23 de la Ley de Transparencia y Acceso a la Información Pública del Estado de México y Municipios en su penúltimo párrafo, mismo que es del tenor literal siguiente:</w:t>
      </w:r>
    </w:p>
    <w:p w:rsidR="00B41D96" w:rsidRPr="00987EA2" w:rsidRDefault="00F611F2">
      <w:pPr>
        <w:spacing w:before="120" w:after="120"/>
        <w:ind w:left="851"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w:t>
      </w:r>
      <w:r w:rsidRPr="00987EA2">
        <w:rPr>
          <w:rFonts w:ascii="Palatino Linotype" w:eastAsia="Palatino Linotype" w:hAnsi="Palatino Linotype" w:cs="Palatino Linotype"/>
          <w:b/>
          <w:i/>
          <w:sz w:val="22"/>
          <w:szCs w:val="22"/>
        </w:rPr>
        <w:t>Artículo 23.</w:t>
      </w:r>
      <w:r w:rsidRPr="00987EA2">
        <w:rPr>
          <w:rFonts w:ascii="Palatino Linotype" w:eastAsia="Palatino Linotype" w:hAnsi="Palatino Linotype" w:cs="Palatino Linotype"/>
          <w:i/>
          <w:sz w:val="22"/>
          <w:szCs w:val="22"/>
        </w:rPr>
        <w:t xml:space="preserve"> (…)</w:t>
      </w:r>
    </w:p>
    <w:p w:rsidR="00B41D96" w:rsidRPr="00987EA2" w:rsidRDefault="00F611F2">
      <w:pPr>
        <w:spacing w:before="120" w:after="120"/>
        <w:ind w:left="851"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B41D96" w:rsidRPr="00987EA2" w:rsidRDefault="00F611F2">
      <w:pPr>
        <w:spacing w:before="280" w:after="280"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lastRenderedPageBreak/>
        <w:t>Asimismo, resulta aplicable el contenido del criterio de interpretación 01/19 emitido por el Instituto Nacional de Transparencia, Acceso a la Información, y Protección de Datos Personales, INAI, que lleva por rubro y texto los siguientes</w:t>
      </w:r>
    </w:p>
    <w:p w:rsidR="00B41D96" w:rsidRPr="00987EA2" w:rsidRDefault="00F611F2">
      <w:pPr>
        <w:ind w:left="851" w:right="900"/>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“Datos de identificación del representante o apoderado legal.</w:t>
      </w:r>
      <w:r w:rsidRPr="00987EA2">
        <w:rPr>
          <w:rFonts w:ascii="Palatino Linotype" w:eastAsia="Palatino Linotype" w:hAnsi="Palatino Linotype" w:cs="Palatino Linotype"/>
          <w:i/>
          <w:sz w:val="22"/>
          <w:szCs w:val="22"/>
        </w:rPr>
        <w:t xml:space="preserve"> </w:t>
      </w:r>
      <w:r w:rsidRPr="00987EA2">
        <w:rPr>
          <w:rFonts w:ascii="Palatino Linotype" w:eastAsia="Palatino Linotype" w:hAnsi="Palatino Linotype" w:cs="Palatino Linotype"/>
          <w:b/>
          <w:i/>
          <w:sz w:val="22"/>
          <w:szCs w:val="22"/>
        </w:rPr>
        <w:t xml:space="preserve">Naturaleza jurídica. </w:t>
      </w:r>
      <w:r w:rsidRPr="00987EA2">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987EA2">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987EA2">
        <w:rPr>
          <w:rFonts w:ascii="Palatino Linotype" w:eastAsia="Palatino Linotype" w:hAnsi="Palatino Linotype" w:cs="Palatino Linotype"/>
          <w:i/>
          <w:sz w:val="22"/>
          <w:szCs w:val="22"/>
        </w:rPr>
        <w:t>.”</w:t>
      </w:r>
    </w:p>
    <w:p w:rsidR="00B41D96" w:rsidRPr="00987EA2" w:rsidRDefault="00F611F2">
      <w:pPr>
        <w:spacing w:before="240" w:after="240"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Mientras que en el caso del </w:t>
      </w:r>
      <w:r w:rsidRPr="00987EA2">
        <w:rPr>
          <w:rFonts w:ascii="Palatino Linotype" w:eastAsia="Palatino Linotype" w:hAnsi="Palatino Linotype" w:cs="Palatino Linotype"/>
          <w:b/>
        </w:rPr>
        <w:t>folio fiscal</w:t>
      </w:r>
      <w:r w:rsidRPr="00987EA2">
        <w:rPr>
          <w:rFonts w:ascii="Palatino Linotype" w:eastAsia="Palatino Linotype" w:hAnsi="Palatino Linotype" w:cs="Palatino Linotype"/>
        </w:rPr>
        <w:t xml:space="preserve">, la </w:t>
      </w:r>
      <w:r w:rsidRPr="00987EA2">
        <w:rPr>
          <w:rFonts w:ascii="Palatino Linotype" w:eastAsia="Palatino Linotype" w:hAnsi="Palatino Linotype" w:cs="Palatino Linotype"/>
          <w:b/>
        </w:rPr>
        <w:t xml:space="preserve">cadena original, </w:t>
      </w:r>
      <w:r w:rsidRPr="00987EA2">
        <w:rPr>
          <w:rFonts w:ascii="Palatino Linotype" w:eastAsia="Palatino Linotype" w:hAnsi="Palatino Linotype" w:cs="Palatino Linotype"/>
        </w:rPr>
        <w:t>los</w:t>
      </w:r>
      <w:r w:rsidRPr="00987EA2">
        <w:rPr>
          <w:rFonts w:ascii="Palatino Linotype" w:eastAsia="Palatino Linotype" w:hAnsi="Palatino Linotype" w:cs="Palatino Linotype"/>
          <w:b/>
        </w:rPr>
        <w:t xml:space="preserve"> códigos bidimensionales o códigos QR,</w:t>
      </w:r>
      <w:r w:rsidRPr="00987EA2">
        <w:rPr>
          <w:rFonts w:ascii="Palatino Linotype" w:eastAsia="Palatino Linotype" w:hAnsi="Palatino Linotype" w:cs="Palatino Linotype"/>
        </w:rPr>
        <w:t xml:space="preserve"> y, en general, cualquier información de carácter fiscal,  pudiera contener un Comprobante Fiscal Digital por Internet, CFDI,  se debe hacer un análisis caso por caso, con la finalidad de determinar si de dicha información se pueden obtener datos personales que no sean susceptibles de conocimiento público, como por ejemplo la Clave Única del Registro de Población, que, de difundirse, pudieran hacer identificable a una persona, debiendo, por tanto,  clasificarse como información confidencial, de manera fundada y motivada en términos del artículo 143, fracción I de la Ley de Transparencia y Acceso a la Información Pública del Estado de México y Municipios.</w:t>
      </w:r>
    </w:p>
    <w:p w:rsidR="00B41D96" w:rsidRPr="00987EA2" w:rsidRDefault="00F611F2">
      <w:pPr>
        <w:spacing w:before="240" w:after="240"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rsidR="00B41D96" w:rsidRPr="00987EA2" w:rsidRDefault="00F611F2">
      <w:pPr>
        <w:spacing w:before="240" w:after="240" w:line="360" w:lineRule="auto"/>
        <w:jc w:val="both"/>
        <w:rPr>
          <w:rFonts w:ascii="Palatino Linotype" w:eastAsia="Palatino Linotype" w:hAnsi="Palatino Linotype" w:cs="Palatino Linotype"/>
          <w:b/>
        </w:rPr>
      </w:pPr>
      <w:r w:rsidRPr="00987EA2">
        <w:rPr>
          <w:rFonts w:ascii="Palatino Linotype" w:eastAsia="Palatino Linotype" w:hAnsi="Palatino Linotype" w:cs="Palatino Linotype"/>
        </w:rPr>
        <w:lastRenderedPageBreak/>
        <w:t xml:space="preserve">Asimismo, se destaca que la versión pública que elabore el </w:t>
      </w:r>
      <w:r w:rsidRPr="00987EA2">
        <w:rPr>
          <w:rFonts w:ascii="Palatino Linotype" w:eastAsia="Palatino Linotype" w:hAnsi="Palatino Linotype" w:cs="Palatino Linotype"/>
          <w:b/>
        </w:rPr>
        <w:t>Sujeto Obligado</w:t>
      </w:r>
      <w:r w:rsidRPr="00987EA2">
        <w:rPr>
          <w:rFonts w:ascii="Palatino Linotype" w:eastAsia="Palatino Linotype" w:hAnsi="Palatino Linotype" w:cs="Palatino Linotype"/>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987EA2">
        <w:rPr>
          <w:rFonts w:ascii="Palatino Linotype" w:eastAsia="Palatino Linotype" w:hAnsi="Palatino Linotype" w:cs="Palatino Linotype"/>
          <w:b/>
        </w:rPr>
        <w:t>LA PARTE RECURRENTE.</w:t>
      </w:r>
    </w:p>
    <w:p w:rsidR="00B41D96" w:rsidRPr="00987EA2" w:rsidRDefault="00F611F2">
      <w:pPr>
        <w:spacing w:before="240" w:after="240"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De este modo, la versión pública que elabore EL </w:t>
      </w:r>
      <w:r w:rsidRPr="00987EA2">
        <w:rPr>
          <w:rFonts w:ascii="Palatino Linotype" w:eastAsia="Palatino Linotype" w:hAnsi="Palatino Linotype" w:cs="Palatino Linotype"/>
          <w:b/>
        </w:rPr>
        <w:t xml:space="preserve">SUJETO OBLIGADO </w:t>
      </w:r>
      <w:r w:rsidRPr="00987EA2">
        <w:rPr>
          <w:rFonts w:ascii="Palatino Linotype" w:eastAsia="Palatino Linotype" w:hAnsi="Palatino Linotype" w:cs="Palatino Linotype"/>
        </w:rPr>
        <w:t>debe acompañarse del</w:t>
      </w:r>
      <w:r w:rsidRPr="00987EA2">
        <w:rPr>
          <w:rFonts w:ascii="Palatino Linotype" w:eastAsia="Palatino Linotype" w:hAnsi="Palatino Linotype" w:cs="Palatino Linotype"/>
          <w:b/>
        </w:rPr>
        <w:t xml:space="preserve"> </w:t>
      </w:r>
      <w:r w:rsidRPr="00987EA2">
        <w:rPr>
          <w:rFonts w:ascii="Palatino Linotype" w:eastAsia="Palatino Linotype" w:hAnsi="Palatino Linotype" w:cs="Palatino Linotype"/>
        </w:rPr>
        <w:t xml:space="preserve">Acuerdo de Clasificación que emita el Comité de Transparencia, para lo cual se deberá observar lo dispuesto en la Ley de Transparencia y Acceso a la Información Pública del Estado de México y Municipios, y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987EA2">
        <w:rPr>
          <w:rFonts w:ascii="Palatino Linotype" w:eastAsia="Palatino Linotype" w:hAnsi="Palatino Linotype" w:cs="Palatino Linotype"/>
          <w:b/>
          <w:u w:val="single"/>
        </w:rPr>
        <w:t>razones, motivos o circunstancias especiales</w:t>
      </w:r>
      <w:r w:rsidRPr="00987EA2">
        <w:rPr>
          <w:rFonts w:ascii="Palatino Linotype" w:eastAsia="Palatino Linotype" w:hAnsi="Palatino Linotype" w:cs="Palatino Linotype"/>
        </w:rPr>
        <w:t xml:space="preserve"> que lo </w:t>
      </w:r>
      <w:r w:rsidRPr="00987EA2">
        <w:rPr>
          <w:rFonts w:ascii="Palatino Linotype" w:eastAsia="Palatino Linotype" w:hAnsi="Palatino Linotype" w:cs="Palatino Linotype"/>
        </w:rPr>
        <w:lastRenderedPageBreak/>
        <w:t>llevaron a concluir que el caso concreto, se ajustó a los supuestos previstos en la normatividad legal invocada como fundamento.</w:t>
      </w:r>
    </w:p>
    <w:p w:rsidR="00B41D96" w:rsidRPr="00987EA2" w:rsidRDefault="00F611F2">
      <w:pPr>
        <w:spacing w:before="240" w:after="240"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Entorno a lo que aquí nos interesa, el Lineamiento Quincuagésimo segundo de los Lineamientos Generales en Materia de Clasificación y Desclasificación de la Información, así como para la Elaboración de Versiones Públicas, establece lo siguiente:</w:t>
      </w:r>
    </w:p>
    <w:p w:rsidR="00B41D96" w:rsidRPr="00987EA2" w:rsidRDefault="00F611F2">
      <w:pPr>
        <w:spacing w:before="120" w:after="120"/>
        <w:ind w:left="851" w:right="900"/>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“Quincuagésimo segundo</w:t>
      </w:r>
      <w:r w:rsidRPr="00987EA2">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B41D96" w:rsidRPr="00987EA2" w:rsidRDefault="00F611F2">
      <w:pPr>
        <w:spacing w:before="120" w:after="120"/>
        <w:ind w:left="851" w:right="900"/>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 xml:space="preserve">En el caso especifico de la clasificación y elaboración de versiones públicas de documentos que contengan información confidencial, las áreas de los sujetos obligados deberán: </w:t>
      </w:r>
    </w:p>
    <w:p w:rsidR="00B41D96" w:rsidRPr="00987EA2" w:rsidRDefault="00F611F2">
      <w:pPr>
        <w:spacing w:before="120" w:after="120"/>
        <w:ind w:left="1134" w:right="900"/>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I.</w:t>
      </w:r>
      <w:r w:rsidRPr="00987EA2">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rsidR="00B41D96" w:rsidRPr="00987EA2" w:rsidRDefault="00F611F2">
      <w:pPr>
        <w:spacing w:before="120" w:after="120"/>
        <w:ind w:left="1134" w:right="900"/>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II.</w:t>
      </w:r>
      <w:r w:rsidRPr="00987EA2">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rsidR="00B41D96" w:rsidRPr="00987EA2" w:rsidRDefault="00F611F2">
      <w:pPr>
        <w:spacing w:before="120" w:after="120"/>
        <w:ind w:left="1134" w:right="900"/>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III.</w:t>
      </w:r>
      <w:r w:rsidRPr="00987EA2">
        <w:rPr>
          <w:rFonts w:ascii="Palatino Linotype" w:eastAsia="Palatino Linotype" w:hAnsi="Palatino Linotype" w:cs="Palatino Linotype"/>
          <w:i/>
          <w:sz w:val="22"/>
          <w:szCs w:val="22"/>
        </w:rPr>
        <w:t xml:space="preserve"> Señalar las personas o instancias autorizadas a acceder a la información clasificada.</w:t>
      </w:r>
    </w:p>
    <w:p w:rsidR="00B41D96" w:rsidRPr="00987EA2" w:rsidRDefault="00F611F2">
      <w:pPr>
        <w:spacing w:before="120" w:after="120"/>
        <w:ind w:left="851" w:right="900"/>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rsidR="00B41D96" w:rsidRPr="00987EA2" w:rsidRDefault="00F611F2">
      <w:pPr>
        <w:spacing w:before="240" w:after="240" w:line="360" w:lineRule="auto"/>
        <w:ind w:right="50"/>
        <w:jc w:val="both"/>
        <w:rPr>
          <w:rFonts w:ascii="Palatino Linotype" w:eastAsia="Palatino Linotype" w:hAnsi="Palatino Linotype" w:cs="Palatino Linotype"/>
          <w:sz w:val="22"/>
          <w:szCs w:val="22"/>
        </w:rPr>
      </w:pPr>
      <w:r w:rsidRPr="00987EA2">
        <w:rPr>
          <w:rFonts w:ascii="Palatino Linotype" w:eastAsia="Palatino Linotype" w:hAnsi="Palatino Linotype" w:cs="Palatino Linotype"/>
        </w:rPr>
        <w:t xml:space="preserve">Deberá observar el Lineamiento Quincuagésimo tercero de los Lineamientos Generales en Materia de Clasificación y Desclasificación de la Información supraindicados, que establece los formatos para la clasificación de los documentos, conforme a lo siguiente: </w:t>
      </w:r>
    </w:p>
    <w:p w:rsidR="00B41D96" w:rsidRPr="00987EA2" w:rsidRDefault="00F611F2">
      <w:pPr>
        <w:ind w:left="851" w:right="900"/>
        <w:jc w:val="center"/>
        <w:rPr>
          <w:rFonts w:ascii="Palatino Linotype" w:eastAsia="Palatino Linotype" w:hAnsi="Palatino Linotype" w:cs="Palatino Linotype"/>
          <w:b/>
          <w:i/>
          <w:sz w:val="22"/>
          <w:szCs w:val="22"/>
        </w:rPr>
      </w:pPr>
      <w:r w:rsidRPr="00987EA2">
        <w:rPr>
          <w:rFonts w:ascii="Palatino Linotype" w:eastAsia="Palatino Linotype" w:hAnsi="Palatino Linotype" w:cs="Palatino Linotype"/>
          <w:b/>
          <w:i/>
          <w:sz w:val="22"/>
          <w:szCs w:val="22"/>
        </w:rPr>
        <w:lastRenderedPageBreak/>
        <w:t>CAPÍTULO VIII</w:t>
      </w:r>
    </w:p>
    <w:p w:rsidR="00B41D96" w:rsidRPr="00987EA2" w:rsidRDefault="00F611F2">
      <w:pPr>
        <w:ind w:left="851" w:right="900"/>
        <w:jc w:val="center"/>
        <w:rPr>
          <w:rFonts w:ascii="Palatino Linotype" w:eastAsia="Palatino Linotype" w:hAnsi="Palatino Linotype" w:cs="Palatino Linotype"/>
          <w:b/>
          <w:i/>
          <w:sz w:val="22"/>
          <w:szCs w:val="22"/>
        </w:rPr>
      </w:pPr>
      <w:r w:rsidRPr="00987EA2">
        <w:rPr>
          <w:rFonts w:ascii="Palatino Linotype" w:eastAsia="Palatino Linotype" w:hAnsi="Palatino Linotype" w:cs="Palatino Linotype"/>
          <w:b/>
          <w:i/>
          <w:sz w:val="22"/>
          <w:szCs w:val="22"/>
        </w:rPr>
        <w:t xml:space="preserve">DE LOS ELEMENTOS PARA LA CLASIFICACIÓN </w:t>
      </w:r>
    </w:p>
    <w:p w:rsidR="00B41D96" w:rsidRPr="00987EA2" w:rsidRDefault="00F611F2">
      <w:pPr>
        <w:ind w:left="851" w:right="900"/>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w:t>
      </w:r>
    </w:p>
    <w:p w:rsidR="00B41D96" w:rsidRPr="00987EA2" w:rsidRDefault="00F611F2">
      <w:pPr>
        <w:spacing w:before="120" w:after="120"/>
        <w:ind w:left="851"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 xml:space="preserve">Quincuagésimo tercero. </w:t>
      </w:r>
      <w:r w:rsidRPr="00987EA2">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987EA2">
        <w:rPr>
          <w:rFonts w:ascii="Palatino Linotype" w:eastAsia="Palatino Linotype" w:hAnsi="Palatino Linotype" w:cs="Palatino Linotype"/>
          <w:b/>
          <w:i/>
          <w:sz w:val="22"/>
          <w:szCs w:val="22"/>
        </w:rPr>
        <w:t xml:space="preserve">, </w:t>
      </w:r>
      <w:r w:rsidRPr="00987EA2">
        <w:rPr>
          <w:rFonts w:ascii="Palatino Linotype" w:eastAsia="Palatino Linotype" w:hAnsi="Palatino Linotype" w:cs="Palatino Linotype"/>
          <w:i/>
          <w:sz w:val="22"/>
          <w:szCs w:val="22"/>
        </w:rPr>
        <w:t xml:space="preserve">es el siguiente: </w:t>
      </w:r>
    </w:p>
    <w:p w:rsidR="00B41D96" w:rsidRPr="00987EA2" w:rsidRDefault="00F611F2">
      <w:pPr>
        <w:spacing w:before="120" w:after="120"/>
        <w:ind w:left="851" w:right="902"/>
        <w:jc w:val="both"/>
        <w:rPr>
          <w:rFonts w:ascii="Palatino Linotype" w:eastAsia="Palatino Linotype" w:hAnsi="Palatino Linotype" w:cs="Palatino Linotype"/>
          <w:b/>
          <w:i/>
          <w:sz w:val="22"/>
          <w:szCs w:val="22"/>
        </w:rPr>
      </w:pPr>
      <w:r w:rsidRPr="00987EA2">
        <w:rPr>
          <w:rFonts w:ascii="Palatino Linotype" w:eastAsia="Palatino Linotype" w:hAnsi="Palatino Linotype" w:cs="Palatino Linotype"/>
          <w:b/>
          <w:i/>
          <w:noProof/>
          <w:sz w:val="22"/>
          <w:szCs w:val="22"/>
        </w:rPr>
        <w:drawing>
          <wp:inline distT="0" distB="0" distL="0" distR="0">
            <wp:extent cx="4295775" cy="295275"/>
            <wp:effectExtent l="0" t="0" r="0" b="0"/>
            <wp:docPr id="56396810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b="95731"/>
                    <a:stretch>
                      <a:fillRect/>
                    </a:stretch>
                  </pic:blipFill>
                  <pic:spPr>
                    <a:xfrm>
                      <a:off x="0" y="0"/>
                      <a:ext cx="4295775" cy="295275"/>
                    </a:xfrm>
                    <a:prstGeom prst="rect">
                      <a:avLst/>
                    </a:prstGeom>
                    <a:ln/>
                  </pic:spPr>
                </pic:pic>
              </a:graphicData>
            </a:graphic>
          </wp:inline>
        </w:drawing>
      </w:r>
    </w:p>
    <w:p w:rsidR="00B41D96" w:rsidRPr="00987EA2" w:rsidRDefault="00F611F2">
      <w:pPr>
        <w:spacing w:before="120" w:after="120"/>
        <w:ind w:left="851" w:right="902"/>
        <w:jc w:val="both"/>
        <w:rPr>
          <w:rFonts w:ascii="Palatino Linotype" w:eastAsia="Palatino Linotype" w:hAnsi="Palatino Linotype" w:cs="Palatino Linotype"/>
          <w:b/>
          <w:i/>
          <w:sz w:val="22"/>
          <w:szCs w:val="22"/>
        </w:rPr>
      </w:pPr>
      <w:r w:rsidRPr="00987EA2">
        <w:rPr>
          <w:rFonts w:ascii="Palatino Linotype" w:eastAsia="Palatino Linotype" w:hAnsi="Palatino Linotype" w:cs="Palatino Linotype"/>
          <w:b/>
          <w:i/>
          <w:noProof/>
          <w:sz w:val="22"/>
          <w:szCs w:val="22"/>
        </w:rPr>
        <w:drawing>
          <wp:inline distT="0" distB="0" distL="0" distR="0">
            <wp:extent cx="4333875" cy="775252"/>
            <wp:effectExtent l="0" t="0" r="0" b="0"/>
            <wp:docPr id="56396810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t="30907" b="57867"/>
                    <a:stretch>
                      <a:fillRect/>
                    </a:stretch>
                  </pic:blipFill>
                  <pic:spPr>
                    <a:xfrm>
                      <a:off x="0" y="0"/>
                      <a:ext cx="4333875" cy="775252"/>
                    </a:xfrm>
                    <a:prstGeom prst="rect">
                      <a:avLst/>
                    </a:prstGeom>
                    <a:ln/>
                  </pic:spPr>
                </pic:pic>
              </a:graphicData>
            </a:graphic>
          </wp:inline>
        </w:drawing>
      </w:r>
    </w:p>
    <w:p w:rsidR="00B41D96" w:rsidRPr="00987EA2" w:rsidRDefault="00F611F2">
      <w:pPr>
        <w:spacing w:before="120" w:after="120"/>
        <w:ind w:left="851" w:right="902"/>
        <w:jc w:val="both"/>
        <w:rPr>
          <w:rFonts w:ascii="Palatino Linotype" w:eastAsia="Palatino Linotype" w:hAnsi="Palatino Linotype" w:cs="Palatino Linotype"/>
          <w:b/>
          <w:i/>
          <w:sz w:val="22"/>
          <w:szCs w:val="22"/>
        </w:rPr>
      </w:pPr>
      <w:r w:rsidRPr="00987EA2">
        <w:rPr>
          <w:rFonts w:ascii="Palatino Linotype" w:eastAsia="Palatino Linotype" w:hAnsi="Palatino Linotype" w:cs="Palatino Linotype"/>
          <w:b/>
          <w:i/>
          <w:noProof/>
          <w:sz w:val="22"/>
          <w:szCs w:val="22"/>
        </w:rPr>
        <w:drawing>
          <wp:inline distT="0" distB="0" distL="0" distR="0">
            <wp:extent cx="4333875" cy="3968523"/>
            <wp:effectExtent l="0" t="0" r="0" b="0"/>
            <wp:docPr id="56396810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t="41711" b="833"/>
                    <a:stretch>
                      <a:fillRect/>
                    </a:stretch>
                  </pic:blipFill>
                  <pic:spPr>
                    <a:xfrm>
                      <a:off x="0" y="0"/>
                      <a:ext cx="4333875" cy="3968523"/>
                    </a:xfrm>
                    <a:prstGeom prst="rect">
                      <a:avLst/>
                    </a:prstGeom>
                    <a:ln/>
                  </pic:spPr>
                </pic:pic>
              </a:graphicData>
            </a:graphic>
          </wp:inline>
        </w:drawing>
      </w:r>
    </w:p>
    <w:p w:rsidR="00B41D96" w:rsidRPr="00987EA2" w:rsidRDefault="00F611F2">
      <w:pPr>
        <w:spacing w:before="120" w:after="120"/>
        <w:ind w:left="851"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Los documentos que integren un expediente reservado en su totalidad no deberán marcarse en lo individual.</w:t>
      </w:r>
    </w:p>
    <w:p w:rsidR="00B41D96" w:rsidRPr="00987EA2" w:rsidRDefault="00F611F2">
      <w:pPr>
        <w:spacing w:before="120" w:after="120"/>
        <w:ind w:left="851"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rsidR="00B41D96" w:rsidRPr="00987EA2" w:rsidRDefault="00F611F2">
      <w:pPr>
        <w:spacing w:before="240" w:after="240"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lastRenderedPageBreak/>
        <w:t>Asimismo, deberá observar los Lineamientos Quincuagésimo sexto, Quincuagésimo séptimo y Quincuagésimo octavo, establecen lo siguiente:</w:t>
      </w:r>
    </w:p>
    <w:p w:rsidR="00B41D96" w:rsidRPr="00987EA2" w:rsidRDefault="00F611F2">
      <w:pPr>
        <w:spacing w:before="120" w:after="120"/>
        <w:ind w:left="851"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w:t>
      </w:r>
      <w:r w:rsidRPr="00987EA2">
        <w:rPr>
          <w:rFonts w:ascii="Palatino Linotype" w:eastAsia="Palatino Linotype" w:hAnsi="Palatino Linotype" w:cs="Palatino Linotype"/>
          <w:b/>
          <w:i/>
          <w:sz w:val="22"/>
          <w:szCs w:val="22"/>
        </w:rPr>
        <w:t>Quincuagésimo sexto</w:t>
      </w:r>
      <w:r w:rsidRPr="00987EA2">
        <w:rPr>
          <w:rFonts w:ascii="Palatino Linotype" w:eastAsia="Palatino Linotype" w:hAnsi="Palatino Linotype" w:cs="Palatino Linotype"/>
          <w:i/>
          <w:sz w:val="22"/>
          <w:szCs w:val="22"/>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rsidR="00B41D96" w:rsidRPr="00987EA2" w:rsidRDefault="00F611F2">
      <w:pPr>
        <w:spacing w:before="120" w:after="120"/>
        <w:ind w:left="851"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Quincuagésimo séptimo</w:t>
      </w:r>
      <w:r w:rsidRPr="00987EA2">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B41D96" w:rsidRPr="00987EA2" w:rsidRDefault="00F611F2">
      <w:pPr>
        <w:spacing w:before="120" w:after="120"/>
        <w:ind w:left="1134"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I</w:t>
      </w:r>
      <w:r w:rsidRPr="00987EA2">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B41D96" w:rsidRPr="00987EA2" w:rsidRDefault="00F611F2">
      <w:pPr>
        <w:spacing w:before="120" w:after="120"/>
        <w:ind w:left="1134"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II.</w:t>
      </w:r>
      <w:r w:rsidRPr="00987EA2">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rsidR="00B41D96" w:rsidRPr="00987EA2" w:rsidRDefault="00F611F2">
      <w:pPr>
        <w:spacing w:before="120" w:after="120"/>
        <w:ind w:left="1134"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III</w:t>
      </w:r>
      <w:r w:rsidRPr="00987EA2">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B41D96" w:rsidRPr="00987EA2" w:rsidRDefault="00F611F2">
      <w:pPr>
        <w:spacing w:before="120" w:after="120"/>
        <w:ind w:left="851"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rsidR="00B41D96" w:rsidRPr="00987EA2" w:rsidRDefault="00F611F2">
      <w:pPr>
        <w:spacing w:before="120" w:after="120"/>
        <w:ind w:left="851" w:right="902"/>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b/>
          <w:i/>
          <w:sz w:val="22"/>
          <w:szCs w:val="22"/>
        </w:rPr>
        <w:t>Quincuagésimo octavo</w:t>
      </w:r>
      <w:r w:rsidRPr="00987EA2">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rsidR="00B41D96" w:rsidRPr="00987EA2" w:rsidRDefault="00F611F2">
      <w:pPr>
        <w:spacing w:before="240" w:after="240"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987EA2">
        <w:rPr>
          <w:rFonts w:ascii="Palatino Linotype" w:eastAsia="Palatino Linotype" w:hAnsi="Palatino Linotype" w:cs="Palatino Linotype"/>
          <w:b/>
        </w:rPr>
        <w:t>Sujeto Obligado</w:t>
      </w:r>
      <w:r w:rsidRPr="00987EA2">
        <w:rPr>
          <w:rFonts w:ascii="Palatino Linotype" w:eastAsia="Palatino Linotype" w:hAnsi="Palatino Linotype" w:cs="Palatino Linotype"/>
        </w:rPr>
        <w:t xml:space="preserve"> a testar, suprimir o eliminar datos de dicho soporte documental, ya que no hacerlo, se reitera que lo </w:t>
      </w:r>
      <w:r w:rsidRPr="00987EA2">
        <w:rPr>
          <w:rFonts w:ascii="Palatino Linotype" w:eastAsia="Palatino Linotype" w:hAnsi="Palatino Linotype" w:cs="Palatino Linotype"/>
        </w:rPr>
        <w:lastRenderedPageBreak/>
        <w:t>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B41D96" w:rsidRPr="00987EA2" w:rsidRDefault="00B41D96">
      <w:pPr>
        <w:pBdr>
          <w:top w:val="nil"/>
          <w:left w:val="nil"/>
          <w:bottom w:val="nil"/>
          <w:right w:val="nil"/>
          <w:between w:val="nil"/>
        </w:pBdr>
        <w:spacing w:line="360" w:lineRule="auto"/>
        <w:jc w:val="both"/>
        <w:rPr>
          <w:rFonts w:ascii="Palatino Linotype" w:eastAsia="Palatino Linotype" w:hAnsi="Palatino Linotype" w:cs="Palatino Linotype"/>
        </w:rPr>
      </w:pPr>
    </w:p>
    <w:p w:rsidR="00B41D96" w:rsidRPr="00987EA2" w:rsidRDefault="00F611F2">
      <w:pPr>
        <w:pBdr>
          <w:top w:val="nil"/>
          <w:left w:val="nil"/>
          <w:bottom w:val="nil"/>
          <w:right w:val="nil"/>
          <w:between w:val="nil"/>
        </w:pBd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De lo hasta aquí expuesto, se concluye que los motivos de inconformidad de </w:t>
      </w:r>
      <w:r w:rsidRPr="00987EA2">
        <w:rPr>
          <w:rFonts w:ascii="Palatino Linotype" w:eastAsia="Palatino Linotype" w:hAnsi="Palatino Linotype" w:cs="Palatino Linotype"/>
          <w:b/>
        </w:rPr>
        <w:t xml:space="preserve">LA PARTE RECURRENTE </w:t>
      </w:r>
      <w:r w:rsidRPr="00987EA2">
        <w:rPr>
          <w:rFonts w:ascii="Palatino Linotype" w:eastAsia="Palatino Linotype" w:hAnsi="Palatino Linotype" w:cs="Palatino Linotype"/>
        </w:rPr>
        <w:t xml:space="preserve">devienen </w:t>
      </w:r>
      <w:r w:rsidRPr="00987EA2">
        <w:rPr>
          <w:rFonts w:ascii="Palatino Linotype" w:eastAsia="Palatino Linotype" w:hAnsi="Palatino Linotype" w:cs="Palatino Linotype"/>
          <w:b/>
        </w:rPr>
        <w:t>PARIALMENTE FUNDADOS,</w:t>
      </w:r>
      <w:r w:rsidRPr="00987EA2">
        <w:rPr>
          <w:rFonts w:ascii="Palatino Linotype" w:eastAsia="Palatino Linotype" w:hAnsi="Palatino Linotype" w:cs="Palatino Linotype"/>
        </w:rPr>
        <w:t xml:space="preserve"> siendo procedente </w:t>
      </w:r>
      <w:r w:rsidRPr="00987EA2">
        <w:rPr>
          <w:rFonts w:ascii="Palatino Linotype" w:eastAsia="Palatino Linotype" w:hAnsi="Palatino Linotype" w:cs="Palatino Linotype"/>
          <w:b/>
        </w:rPr>
        <w:t>REVOCAR</w:t>
      </w:r>
      <w:r w:rsidRPr="00987EA2">
        <w:rPr>
          <w:rFonts w:ascii="Palatino Linotype" w:eastAsia="Palatino Linotype" w:hAnsi="Palatino Linotype" w:cs="Palatino Linotype"/>
          <w:i/>
        </w:rPr>
        <w:t xml:space="preserve"> </w:t>
      </w:r>
      <w:r w:rsidRPr="00987EA2">
        <w:rPr>
          <w:rFonts w:ascii="Palatino Linotype" w:eastAsia="Palatino Linotype" w:hAnsi="Palatino Linotype" w:cs="Palatino Linotype"/>
        </w:rPr>
        <w:t xml:space="preserve">la respuesta proporcionada por </w:t>
      </w:r>
      <w:r w:rsidRPr="00987EA2">
        <w:rPr>
          <w:rFonts w:ascii="Palatino Linotype" w:eastAsia="Palatino Linotype" w:hAnsi="Palatino Linotype" w:cs="Palatino Linotype"/>
          <w:b/>
        </w:rPr>
        <w:t xml:space="preserve">EL SUJETO OBLIGADO </w:t>
      </w:r>
      <w:r w:rsidRPr="00987EA2">
        <w:rPr>
          <w:rFonts w:ascii="Palatino Linotype" w:eastAsia="Palatino Linotype" w:hAnsi="Palatino Linotype" w:cs="Palatino Linotype"/>
        </w:rPr>
        <w:t>en términos del artículo 186 fracción III de la Ley de Transparencia y Acceso a la Información Pública del Estado de México y Municipios.</w:t>
      </w:r>
    </w:p>
    <w:p w:rsidR="00B41D96" w:rsidRPr="00987EA2" w:rsidRDefault="00B41D96">
      <w:pPr>
        <w:pBdr>
          <w:top w:val="nil"/>
          <w:left w:val="nil"/>
          <w:bottom w:val="nil"/>
          <w:right w:val="nil"/>
          <w:between w:val="nil"/>
        </w:pBdr>
        <w:spacing w:line="360" w:lineRule="auto"/>
        <w:jc w:val="both"/>
        <w:rPr>
          <w:rFonts w:ascii="Palatino Linotype" w:eastAsia="Palatino Linotype" w:hAnsi="Palatino Linotype" w:cs="Palatino Linotype"/>
        </w:rPr>
      </w:pPr>
    </w:p>
    <w:p w:rsidR="00B41D96" w:rsidRDefault="00F611F2">
      <w:pPr>
        <w:pBdr>
          <w:top w:val="nil"/>
          <w:left w:val="nil"/>
          <w:bottom w:val="nil"/>
          <w:right w:val="nil"/>
          <w:between w:val="nil"/>
        </w:pBd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III de la Ley de Transparencia y Acceso a la Información Pública del Estado de México y Municipios, este Pleno</w:t>
      </w:r>
      <w:r w:rsidR="00987EA2">
        <w:rPr>
          <w:rFonts w:ascii="Palatino Linotype" w:eastAsia="Palatino Linotype" w:hAnsi="Palatino Linotype" w:cs="Palatino Linotype"/>
        </w:rPr>
        <w:t>.</w:t>
      </w:r>
    </w:p>
    <w:p w:rsidR="00987EA2" w:rsidRDefault="00987EA2">
      <w:pPr>
        <w:pBdr>
          <w:top w:val="nil"/>
          <w:left w:val="nil"/>
          <w:bottom w:val="nil"/>
          <w:right w:val="nil"/>
          <w:between w:val="nil"/>
        </w:pBdr>
        <w:spacing w:line="360" w:lineRule="auto"/>
        <w:jc w:val="both"/>
        <w:rPr>
          <w:rFonts w:ascii="Palatino Linotype" w:eastAsia="Palatino Linotype" w:hAnsi="Palatino Linotype" w:cs="Palatino Linotype"/>
        </w:rPr>
      </w:pPr>
    </w:p>
    <w:p w:rsidR="00987EA2" w:rsidRDefault="00987EA2">
      <w:pPr>
        <w:pBdr>
          <w:top w:val="nil"/>
          <w:left w:val="nil"/>
          <w:bottom w:val="nil"/>
          <w:right w:val="nil"/>
          <w:between w:val="nil"/>
        </w:pBdr>
        <w:spacing w:line="360" w:lineRule="auto"/>
        <w:jc w:val="both"/>
        <w:rPr>
          <w:rFonts w:ascii="Palatino Linotype" w:eastAsia="Palatino Linotype" w:hAnsi="Palatino Linotype" w:cs="Palatino Linotype"/>
        </w:rPr>
      </w:pPr>
    </w:p>
    <w:p w:rsidR="00987EA2" w:rsidRDefault="00987EA2">
      <w:pPr>
        <w:pBdr>
          <w:top w:val="nil"/>
          <w:left w:val="nil"/>
          <w:bottom w:val="nil"/>
          <w:right w:val="nil"/>
          <w:between w:val="nil"/>
        </w:pBdr>
        <w:spacing w:line="360" w:lineRule="auto"/>
        <w:jc w:val="both"/>
        <w:rPr>
          <w:rFonts w:ascii="Palatino Linotype" w:eastAsia="Palatino Linotype" w:hAnsi="Palatino Linotype" w:cs="Palatino Linotype"/>
        </w:rPr>
      </w:pPr>
    </w:p>
    <w:p w:rsidR="00987EA2" w:rsidRDefault="00987EA2">
      <w:pPr>
        <w:pBdr>
          <w:top w:val="nil"/>
          <w:left w:val="nil"/>
          <w:bottom w:val="nil"/>
          <w:right w:val="nil"/>
          <w:between w:val="nil"/>
        </w:pBdr>
        <w:spacing w:line="360" w:lineRule="auto"/>
        <w:jc w:val="both"/>
        <w:rPr>
          <w:rFonts w:ascii="Palatino Linotype" w:eastAsia="Palatino Linotype" w:hAnsi="Palatino Linotype" w:cs="Palatino Linotype"/>
        </w:rPr>
      </w:pPr>
    </w:p>
    <w:p w:rsidR="00987EA2" w:rsidRPr="00987EA2" w:rsidRDefault="00987EA2">
      <w:pPr>
        <w:pBdr>
          <w:top w:val="nil"/>
          <w:left w:val="nil"/>
          <w:bottom w:val="nil"/>
          <w:right w:val="nil"/>
          <w:between w:val="nil"/>
        </w:pBdr>
        <w:spacing w:line="360" w:lineRule="auto"/>
        <w:jc w:val="both"/>
        <w:rPr>
          <w:rFonts w:ascii="Palatino Linotype" w:eastAsia="Palatino Linotype" w:hAnsi="Palatino Linotype" w:cs="Palatino Linotype"/>
        </w:rPr>
      </w:pPr>
    </w:p>
    <w:p w:rsidR="00B41D96" w:rsidRPr="00987EA2" w:rsidRDefault="00B41D96">
      <w:pPr>
        <w:pBdr>
          <w:top w:val="nil"/>
          <w:left w:val="nil"/>
          <w:bottom w:val="nil"/>
          <w:right w:val="nil"/>
          <w:between w:val="nil"/>
        </w:pBdr>
        <w:spacing w:line="360" w:lineRule="auto"/>
        <w:jc w:val="both"/>
        <w:rPr>
          <w:rFonts w:ascii="Palatino Linotype" w:eastAsia="Palatino Linotype" w:hAnsi="Palatino Linotype" w:cs="Palatino Linotype"/>
        </w:rPr>
      </w:pPr>
      <w:bookmarkStart w:id="9" w:name="_heading=h.1fob9te" w:colFirst="0" w:colLast="0"/>
      <w:bookmarkEnd w:id="9"/>
    </w:p>
    <w:p w:rsidR="00B41D96" w:rsidRPr="00987EA2" w:rsidRDefault="00F611F2">
      <w:pPr>
        <w:numPr>
          <w:ilvl w:val="0"/>
          <w:numId w:val="2"/>
        </w:numPr>
        <w:pBdr>
          <w:top w:val="nil"/>
          <w:left w:val="nil"/>
          <w:bottom w:val="nil"/>
          <w:right w:val="nil"/>
          <w:between w:val="nil"/>
        </w:pBdr>
        <w:spacing w:line="360" w:lineRule="auto"/>
        <w:jc w:val="center"/>
        <w:rPr>
          <w:rFonts w:ascii="Palatino Linotype" w:eastAsia="Palatino Linotype" w:hAnsi="Palatino Linotype" w:cs="Palatino Linotype"/>
          <w:b/>
        </w:rPr>
      </w:pPr>
      <w:r w:rsidRPr="00987EA2">
        <w:rPr>
          <w:rFonts w:ascii="Palatino Linotype" w:eastAsia="Palatino Linotype" w:hAnsi="Palatino Linotype" w:cs="Palatino Linotype"/>
          <w:b/>
        </w:rPr>
        <w:lastRenderedPageBreak/>
        <w:t xml:space="preserve">R E S U E L V E: </w:t>
      </w:r>
    </w:p>
    <w:p w:rsidR="00B41D96" w:rsidRPr="00987EA2" w:rsidRDefault="00B41D96">
      <w:pPr>
        <w:pBdr>
          <w:top w:val="nil"/>
          <w:left w:val="nil"/>
          <w:bottom w:val="nil"/>
          <w:right w:val="nil"/>
          <w:between w:val="nil"/>
        </w:pBdr>
        <w:spacing w:line="360" w:lineRule="auto"/>
        <w:ind w:left="1224"/>
        <w:rPr>
          <w:rFonts w:ascii="Palatino Linotype" w:eastAsia="Palatino Linotype" w:hAnsi="Palatino Linotype" w:cs="Palatino Linotype"/>
          <w:b/>
        </w:rPr>
      </w:pPr>
    </w:p>
    <w:p w:rsidR="00B41D96" w:rsidRPr="00987EA2" w:rsidRDefault="00F611F2">
      <w:pPr>
        <w:spacing w:line="360" w:lineRule="auto"/>
        <w:jc w:val="both"/>
        <w:rPr>
          <w:rFonts w:ascii="Palatino Linotype" w:eastAsia="Palatino Linotype" w:hAnsi="Palatino Linotype" w:cs="Palatino Linotype"/>
          <w:b/>
        </w:rPr>
      </w:pPr>
      <w:bookmarkStart w:id="10" w:name="_heading=h.4d34og8" w:colFirst="0" w:colLast="0"/>
      <w:bookmarkEnd w:id="10"/>
      <w:r w:rsidRPr="00987EA2">
        <w:rPr>
          <w:rFonts w:ascii="Palatino Linotype" w:eastAsia="Palatino Linotype" w:hAnsi="Palatino Linotype" w:cs="Palatino Linotype"/>
          <w:b/>
        </w:rPr>
        <w:t xml:space="preserve">PRIMERO. </w:t>
      </w:r>
      <w:r w:rsidRPr="00987EA2">
        <w:rPr>
          <w:rFonts w:ascii="Palatino Linotype" w:eastAsia="Palatino Linotype" w:hAnsi="Palatino Linotype" w:cs="Palatino Linotype"/>
        </w:rPr>
        <w:t xml:space="preserve">Resultan </w:t>
      </w:r>
      <w:r w:rsidRPr="00987EA2">
        <w:rPr>
          <w:rFonts w:ascii="Palatino Linotype" w:eastAsia="Palatino Linotype" w:hAnsi="Palatino Linotype" w:cs="Palatino Linotype"/>
          <w:b/>
        </w:rPr>
        <w:t>FUNDADOS</w:t>
      </w:r>
      <w:r w:rsidRPr="00987EA2">
        <w:rPr>
          <w:rFonts w:ascii="Palatino Linotype" w:eastAsia="Palatino Linotype" w:hAnsi="Palatino Linotype" w:cs="Palatino Linotype"/>
        </w:rPr>
        <w:t xml:space="preserve"> los motivos de inconformidad hechos valer por </w:t>
      </w:r>
      <w:r w:rsidRPr="00987EA2">
        <w:rPr>
          <w:rFonts w:ascii="Palatino Linotype" w:eastAsia="Palatino Linotype" w:hAnsi="Palatino Linotype" w:cs="Palatino Linotype"/>
          <w:b/>
        </w:rPr>
        <w:t xml:space="preserve">LA PARTE RECURRENTE </w:t>
      </w:r>
      <w:r w:rsidRPr="00987EA2">
        <w:rPr>
          <w:rFonts w:ascii="Palatino Linotype" w:eastAsia="Palatino Linotype" w:hAnsi="Palatino Linotype" w:cs="Palatino Linotype"/>
        </w:rPr>
        <w:t xml:space="preserve">en el recurso de revisión </w:t>
      </w:r>
      <w:r w:rsidRPr="00987EA2">
        <w:rPr>
          <w:rFonts w:ascii="Palatino Linotype" w:eastAsia="Palatino Linotype" w:hAnsi="Palatino Linotype" w:cs="Palatino Linotype"/>
          <w:b/>
        </w:rPr>
        <w:t xml:space="preserve">15524/INFOEM/IP/RR/2022, </w:t>
      </w:r>
      <w:r w:rsidRPr="00987EA2">
        <w:rPr>
          <w:rFonts w:ascii="Palatino Linotype" w:eastAsia="Palatino Linotype" w:hAnsi="Palatino Linotype" w:cs="Palatino Linotype"/>
        </w:rPr>
        <w:t xml:space="preserve">por lo que, en términos del </w:t>
      </w:r>
      <w:r w:rsidRPr="00987EA2">
        <w:rPr>
          <w:rFonts w:ascii="Palatino Linotype" w:eastAsia="Palatino Linotype" w:hAnsi="Palatino Linotype" w:cs="Palatino Linotype"/>
          <w:b/>
        </w:rPr>
        <w:t>CONSIDERANDO CUARTO</w:t>
      </w:r>
      <w:r w:rsidRPr="00987EA2">
        <w:rPr>
          <w:rFonts w:ascii="Palatino Linotype" w:eastAsia="Palatino Linotype" w:hAnsi="Palatino Linotype" w:cs="Palatino Linotype"/>
        </w:rPr>
        <w:t xml:space="preserve"> de la presente resolución, se</w:t>
      </w:r>
      <w:r w:rsidRPr="00987EA2">
        <w:rPr>
          <w:rFonts w:ascii="Palatino Linotype" w:eastAsia="Palatino Linotype" w:hAnsi="Palatino Linotype" w:cs="Palatino Linotype"/>
          <w:b/>
        </w:rPr>
        <w:t xml:space="preserve"> REVOCA </w:t>
      </w:r>
      <w:r w:rsidRPr="00987EA2">
        <w:rPr>
          <w:rFonts w:ascii="Palatino Linotype" w:eastAsia="Palatino Linotype" w:hAnsi="Palatino Linotype" w:cs="Palatino Linotype"/>
        </w:rPr>
        <w:t>la respuesta</w:t>
      </w:r>
      <w:r w:rsidRPr="00987EA2">
        <w:rPr>
          <w:rFonts w:ascii="Palatino Linotype" w:eastAsia="Palatino Linotype" w:hAnsi="Palatino Linotype" w:cs="Palatino Linotype"/>
          <w:b/>
        </w:rPr>
        <w:t xml:space="preserve"> </w:t>
      </w:r>
      <w:r w:rsidRPr="00987EA2">
        <w:rPr>
          <w:rFonts w:ascii="Palatino Linotype" w:eastAsia="Palatino Linotype" w:hAnsi="Palatino Linotype" w:cs="Palatino Linotype"/>
        </w:rPr>
        <w:t xml:space="preserve">del </w:t>
      </w:r>
      <w:r w:rsidRPr="00987EA2">
        <w:rPr>
          <w:rFonts w:ascii="Palatino Linotype" w:eastAsia="Palatino Linotype" w:hAnsi="Palatino Linotype" w:cs="Palatino Linotype"/>
          <w:b/>
        </w:rPr>
        <w:t>SUJETO OBLIGADO.</w:t>
      </w:r>
    </w:p>
    <w:p w:rsidR="00B41D96" w:rsidRPr="00987EA2" w:rsidRDefault="00B41D96">
      <w:pPr>
        <w:spacing w:line="360" w:lineRule="auto"/>
        <w:jc w:val="both"/>
        <w:rPr>
          <w:rFonts w:ascii="Palatino Linotype" w:eastAsia="Palatino Linotype" w:hAnsi="Palatino Linotype" w:cs="Palatino Linotype"/>
          <w:b/>
        </w:rPr>
      </w:pPr>
    </w:p>
    <w:p w:rsidR="00B41D96" w:rsidRPr="00987EA2" w:rsidRDefault="00F611F2">
      <w:pPr>
        <w:spacing w:line="360" w:lineRule="auto"/>
        <w:jc w:val="both"/>
        <w:rPr>
          <w:rFonts w:ascii="Palatino Linotype" w:eastAsia="Palatino Linotype" w:hAnsi="Palatino Linotype" w:cs="Palatino Linotype"/>
        </w:rPr>
      </w:pPr>
      <w:bookmarkStart w:id="11" w:name="_heading=h.tyjcwt" w:colFirst="0" w:colLast="0"/>
      <w:bookmarkEnd w:id="11"/>
      <w:r w:rsidRPr="00987EA2">
        <w:rPr>
          <w:rFonts w:ascii="Palatino Linotype" w:eastAsia="Palatino Linotype" w:hAnsi="Palatino Linotype" w:cs="Palatino Linotype"/>
          <w:b/>
        </w:rPr>
        <w:t xml:space="preserve">SEGUNDO. </w:t>
      </w:r>
      <w:r w:rsidRPr="00987EA2">
        <w:rPr>
          <w:rFonts w:ascii="Palatino Linotype" w:eastAsia="Palatino Linotype" w:hAnsi="Palatino Linotype" w:cs="Palatino Linotype"/>
        </w:rPr>
        <w:t xml:space="preserve">Se </w:t>
      </w:r>
      <w:r w:rsidRPr="00987EA2">
        <w:rPr>
          <w:rFonts w:ascii="Palatino Linotype" w:eastAsia="Palatino Linotype" w:hAnsi="Palatino Linotype" w:cs="Palatino Linotype"/>
          <w:b/>
        </w:rPr>
        <w:t>ORDENA</w:t>
      </w:r>
      <w:r w:rsidRPr="00987EA2">
        <w:rPr>
          <w:rFonts w:ascii="Palatino Linotype" w:eastAsia="Palatino Linotype" w:hAnsi="Palatino Linotype" w:cs="Palatino Linotype"/>
        </w:rPr>
        <w:t xml:space="preserve"> al </w:t>
      </w:r>
      <w:r w:rsidRPr="00987EA2">
        <w:rPr>
          <w:rFonts w:ascii="Palatino Linotype" w:eastAsia="Palatino Linotype" w:hAnsi="Palatino Linotype" w:cs="Palatino Linotype"/>
          <w:b/>
        </w:rPr>
        <w:t>SUJETO OBLIGADO</w:t>
      </w:r>
      <w:r w:rsidRPr="00987EA2">
        <w:rPr>
          <w:rFonts w:ascii="Palatino Linotype" w:eastAsia="Palatino Linotype" w:hAnsi="Palatino Linotype" w:cs="Palatino Linotype"/>
        </w:rPr>
        <w:t xml:space="preserve">, en términos de los </w:t>
      </w:r>
      <w:r w:rsidRPr="00987EA2">
        <w:rPr>
          <w:rFonts w:ascii="Palatino Linotype" w:eastAsia="Palatino Linotype" w:hAnsi="Palatino Linotype" w:cs="Palatino Linotype"/>
          <w:b/>
        </w:rPr>
        <w:t xml:space="preserve">CONSIDERANDOS CUARTO y QUINTO </w:t>
      </w:r>
      <w:r w:rsidRPr="00987EA2">
        <w:rPr>
          <w:rFonts w:ascii="Palatino Linotype" w:eastAsia="Palatino Linotype" w:hAnsi="Palatino Linotype" w:cs="Palatino Linotype"/>
        </w:rPr>
        <w:t>de esta resolución, haga entrega vía SAIMEX, previa búsqueda exhaustiva y razonada, de ser procedente en versión pública, de lo siguiente:</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 xml:space="preserve">Documento donde conste la distribución de las luminarias instaladas del primero de enero al diecinueve de agosto de dos mil veintidós, y </w:t>
      </w:r>
    </w:p>
    <w:p w:rsidR="00B41D96" w:rsidRPr="00987EA2" w:rsidRDefault="00F611F2">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t>Documento o documentos donde conste, de las luminarias adquiridas en el periodo del primero de enero al diecinueve de agosto de dos mil veintidós, el número de luminarias adquiridas, proveedor o proveedores contratados; costo unitario; facturas; monto erogado; procedencia de los recursos; y la partida presupuestal.</w:t>
      </w:r>
    </w:p>
    <w:p w:rsidR="00B41D96" w:rsidRPr="00987EA2" w:rsidRDefault="00B41D96">
      <w:pPr>
        <w:pBdr>
          <w:top w:val="nil"/>
          <w:left w:val="nil"/>
          <w:bottom w:val="nil"/>
          <w:right w:val="nil"/>
          <w:between w:val="nil"/>
        </w:pBdr>
        <w:ind w:left="720" w:right="864"/>
        <w:jc w:val="both"/>
        <w:rPr>
          <w:rFonts w:ascii="Palatino Linotype" w:eastAsia="Palatino Linotype" w:hAnsi="Palatino Linotype" w:cs="Palatino Linotype"/>
          <w:i/>
          <w:sz w:val="22"/>
          <w:szCs w:val="22"/>
        </w:rPr>
      </w:pPr>
    </w:p>
    <w:p w:rsidR="00B41D96" w:rsidRPr="00987EA2" w:rsidRDefault="00F611F2">
      <w:pPr>
        <w:pBdr>
          <w:top w:val="nil"/>
          <w:left w:val="nil"/>
          <w:bottom w:val="nil"/>
          <w:right w:val="nil"/>
          <w:between w:val="nil"/>
        </w:pBdr>
        <w:ind w:left="720" w:right="49"/>
        <w:jc w:val="both"/>
        <w:rPr>
          <w:rFonts w:ascii="Palatino Linotype" w:eastAsia="Palatino Linotype" w:hAnsi="Palatino Linotype" w:cs="Palatino Linotype"/>
          <w:i/>
          <w:sz w:val="22"/>
          <w:szCs w:val="22"/>
        </w:rPr>
      </w:pPr>
      <w:r w:rsidRPr="00987EA2">
        <w:rPr>
          <w:rFonts w:ascii="Palatino Linotype" w:eastAsia="Palatino Linotype" w:hAnsi="Palatino Linotype" w:cs="Palatino Linotype"/>
          <w:i/>
          <w:sz w:val="22"/>
          <w:szCs w:val="22"/>
        </w:rPr>
        <w:t xml:space="preserve">Para el punto uno, en caso de ser procedente, acompañar con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w:t>
      </w:r>
      <w:r w:rsidRPr="00987EA2">
        <w:rPr>
          <w:rFonts w:ascii="Palatino Linotype" w:eastAsia="Palatino Linotype" w:hAnsi="Palatino Linotype" w:cs="Palatino Linotype"/>
          <w:b/>
          <w:i/>
          <w:sz w:val="22"/>
          <w:szCs w:val="22"/>
        </w:rPr>
        <w:t>LA PARTE RECURRENTE</w:t>
      </w:r>
      <w:r w:rsidRPr="00987EA2">
        <w:rPr>
          <w:rFonts w:ascii="Palatino Linotype" w:eastAsia="Palatino Linotype" w:hAnsi="Palatino Linotype" w:cs="Palatino Linotype"/>
          <w:i/>
          <w:sz w:val="22"/>
          <w:szCs w:val="22"/>
        </w:rPr>
        <w:t>, mismo que igualmente hará de su conocimiento.</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b/>
        </w:rPr>
        <w:lastRenderedPageBreak/>
        <w:t xml:space="preserve">TERCERO. Notifíquese vía SAIMEX </w:t>
      </w:r>
      <w:r w:rsidRPr="00987EA2">
        <w:rPr>
          <w:rFonts w:ascii="Palatino Linotype" w:eastAsia="Palatino Linotype" w:hAnsi="Palatino Linotype" w:cs="Palatino Linotype"/>
        </w:rPr>
        <w:t xml:space="preserve">la presente resolución al Titular de la Unidad de Transparencia del </w:t>
      </w:r>
      <w:r w:rsidRPr="00987EA2">
        <w:rPr>
          <w:rFonts w:ascii="Palatino Linotype" w:eastAsia="Palatino Linotype" w:hAnsi="Palatino Linotype" w:cs="Palatino Linotype"/>
          <w:b/>
        </w:rPr>
        <w:t xml:space="preserve">SUJETO OBLIGADO, </w:t>
      </w:r>
      <w:r w:rsidRPr="00987EA2">
        <w:rPr>
          <w:rFonts w:ascii="Palatino Linotype" w:eastAsia="Palatino Linotype" w:hAnsi="Palatino Linotype" w:cs="Palatino Linotype"/>
        </w:rPr>
        <w:t>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b/>
        </w:rPr>
        <w:t xml:space="preserve">CUARTO. </w:t>
      </w:r>
      <w:r w:rsidRPr="00987EA2">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987EA2">
        <w:rPr>
          <w:rFonts w:ascii="Palatino Linotype" w:eastAsia="Palatino Linotype" w:hAnsi="Palatino Linotype" w:cs="Palatino Linotype"/>
          <w:b/>
        </w:rPr>
        <w:t>EL SUJETO OBLIGADO</w:t>
      </w:r>
      <w:r w:rsidRPr="00987EA2">
        <w:rPr>
          <w:rFonts w:ascii="Palatino Linotype" w:eastAsia="Palatino Linotype" w:hAnsi="Palatino Linotype" w:cs="Palatino Linotype"/>
        </w:rPr>
        <w:t xml:space="preserve"> de manera fundada y motivada, podrá solicitar una ampliación de plazo para el cumplimiento de la presente resolución.</w:t>
      </w:r>
    </w:p>
    <w:p w:rsidR="00B41D96" w:rsidRPr="00987EA2" w:rsidRDefault="00B41D96">
      <w:pPr>
        <w:spacing w:line="360" w:lineRule="auto"/>
        <w:jc w:val="both"/>
        <w:rPr>
          <w:rFonts w:ascii="Palatino Linotype" w:eastAsia="Palatino Linotype" w:hAnsi="Palatino Linotype" w:cs="Palatino Linotype"/>
          <w:b/>
        </w:rPr>
      </w:pPr>
    </w:p>
    <w:p w:rsidR="00B41D96"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b/>
        </w:rPr>
        <w:t>QUINTO. Notifíquese</w:t>
      </w:r>
      <w:r w:rsidRPr="00987EA2">
        <w:rPr>
          <w:rFonts w:ascii="Palatino Linotype" w:eastAsia="Palatino Linotype" w:hAnsi="Palatino Linotype" w:cs="Palatino Linotype"/>
        </w:rPr>
        <w:t xml:space="preserve"> vía SAIMEX,</w:t>
      </w:r>
      <w:r w:rsidRPr="00987EA2">
        <w:rPr>
          <w:rFonts w:ascii="Palatino Linotype" w:eastAsia="Palatino Linotype" w:hAnsi="Palatino Linotype" w:cs="Palatino Linotype"/>
          <w:b/>
        </w:rPr>
        <w:t xml:space="preserve"> </w:t>
      </w:r>
      <w:r w:rsidRPr="00987EA2">
        <w:rPr>
          <w:rFonts w:ascii="Palatino Linotype" w:eastAsia="Palatino Linotype" w:hAnsi="Palatino Linotype" w:cs="Palatino Linotype"/>
        </w:rPr>
        <w:t xml:space="preserve">a </w:t>
      </w:r>
      <w:r w:rsidRPr="00987EA2">
        <w:rPr>
          <w:rFonts w:ascii="Palatino Linotype" w:eastAsia="Palatino Linotype" w:hAnsi="Palatino Linotype" w:cs="Palatino Linotype"/>
          <w:b/>
        </w:rPr>
        <w:t>LA PARTE</w:t>
      </w:r>
      <w:r w:rsidRPr="00987EA2">
        <w:rPr>
          <w:rFonts w:ascii="Palatino Linotype" w:eastAsia="Palatino Linotype" w:hAnsi="Palatino Linotype" w:cs="Palatino Linotype"/>
        </w:rPr>
        <w:t xml:space="preserve"> </w:t>
      </w:r>
      <w:r w:rsidRPr="00987EA2">
        <w:rPr>
          <w:rFonts w:ascii="Palatino Linotype" w:eastAsia="Palatino Linotype" w:hAnsi="Palatino Linotype" w:cs="Palatino Linotype"/>
          <w:b/>
        </w:rPr>
        <w:t>RECURRENTE</w:t>
      </w:r>
      <w:r w:rsidRPr="00987EA2">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w:t>
      </w:r>
    </w:p>
    <w:p w:rsidR="00987EA2" w:rsidRPr="00987EA2" w:rsidRDefault="00987EA2">
      <w:pPr>
        <w:spacing w:line="360" w:lineRule="auto"/>
        <w:jc w:val="both"/>
        <w:rPr>
          <w:rFonts w:ascii="Palatino Linotype" w:eastAsia="Palatino Linotype" w:hAnsi="Palatino Linotype" w:cs="Palatino Linotype"/>
        </w:rPr>
      </w:pP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F611F2">
      <w:pPr>
        <w:spacing w:line="360" w:lineRule="auto"/>
        <w:jc w:val="both"/>
        <w:rPr>
          <w:rFonts w:ascii="Palatino Linotype" w:eastAsia="Palatino Linotype" w:hAnsi="Palatino Linotype" w:cs="Palatino Linotype"/>
        </w:rPr>
      </w:pPr>
      <w:r w:rsidRPr="00987EA2">
        <w:rPr>
          <w:rFonts w:ascii="Palatino Linotype" w:eastAsia="Palatino Linotype" w:hAnsi="Palatino Linotype" w:cs="Palatino Linotype"/>
        </w:rPr>
        <w:lastRenderedPageBreak/>
        <w:t>ASÍ LO APROBÓ POR UNANIMIDAD DE VOTOS EL PLENO DEL INSTITUTO DE TRANSPARENCIA, ACCESO A LA INFORMACIÓN PÚBLICA Y PROTECCIÓN DE DATOS PERSONALES DEL ESTADO DE MÉXICO Y MUNICIPIOS, CONFORMADO POR LOS COMISIONADOS JOSÉ MARTÍNEZ</w:t>
      </w:r>
      <w:r w:rsidR="006509BB">
        <w:rPr>
          <w:rFonts w:ascii="Palatino Linotype" w:eastAsia="Palatino Linotype" w:hAnsi="Palatino Linotype" w:cs="Palatino Linotype"/>
        </w:rPr>
        <w:t xml:space="preserve"> VILCHIS; MARÍA DEL ROSARIO MEJÍ</w:t>
      </w:r>
      <w:r w:rsidRPr="00987EA2">
        <w:rPr>
          <w:rFonts w:ascii="Palatino Linotype" w:eastAsia="Palatino Linotype" w:hAnsi="Palatino Linotype" w:cs="Palatino Linotype"/>
        </w:rPr>
        <w:t>A AYAL</w:t>
      </w:r>
      <w:r w:rsidR="006509BB">
        <w:rPr>
          <w:rFonts w:ascii="Palatino Linotype" w:eastAsia="Palatino Linotype" w:hAnsi="Palatino Linotype" w:cs="Palatino Linotype"/>
        </w:rPr>
        <w:t>A; SHARON CRISTINA MORALES MARTÍ</w:t>
      </w:r>
      <w:r w:rsidRPr="00987EA2">
        <w:rPr>
          <w:rFonts w:ascii="Palatino Linotype" w:eastAsia="Palatino Linotype" w:hAnsi="Palatino Linotype" w:cs="Palatino Linotype"/>
        </w:rPr>
        <w:t xml:space="preserve">NEZ; LUIS GUSTAVO PARRA NORIEGA Y GUADALUPE RAMÍREZ PEÑA; EN LA VIGÉSIMA TERCERA SESIÓN ORDINARIA CELEBRADA EL VEINTIUNO DE JUNIO DE DOS MIL VEINTITRÉS, ANTE LA COORDINADORA DE PROYECTOS CATALINA CAMARILLO ROSAS, EN SUPLENCIA DEL SECRETARIO TÉCNICO DEL PLENO, ALEXIS TAPIA RAMÍREZ. </w:t>
      </w:r>
    </w:p>
    <w:p w:rsidR="00B41D96" w:rsidRPr="00987EA2" w:rsidRDefault="00B41D96">
      <w:pPr>
        <w:spacing w:line="360" w:lineRule="auto"/>
        <w:jc w:val="both"/>
        <w:rPr>
          <w:rFonts w:ascii="Palatino Linotype" w:eastAsia="Palatino Linotype" w:hAnsi="Palatino Linotype" w:cs="Palatino Linotype"/>
        </w:rPr>
      </w:pPr>
      <w:bookmarkStart w:id="12" w:name="_heading=h.3dy6vkm" w:colFirst="0" w:colLast="0"/>
      <w:bookmarkEnd w:id="12"/>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B41D96">
      <w:pPr>
        <w:spacing w:line="360" w:lineRule="auto"/>
        <w:jc w:val="both"/>
        <w:rPr>
          <w:rFonts w:ascii="Palatino Linotype" w:eastAsia="Palatino Linotype" w:hAnsi="Palatino Linotype" w:cs="Palatino Linotype"/>
        </w:rPr>
      </w:pPr>
    </w:p>
    <w:p w:rsidR="00B41D96" w:rsidRPr="00987EA2" w:rsidRDefault="00B41D96">
      <w:pPr>
        <w:spacing w:line="360" w:lineRule="auto"/>
        <w:jc w:val="both"/>
        <w:rPr>
          <w:rFonts w:ascii="Palatino Linotype" w:eastAsia="Palatino Linotype" w:hAnsi="Palatino Linotype" w:cs="Palatino Linotype"/>
        </w:rPr>
      </w:pPr>
    </w:p>
    <w:sectPr w:rsidR="00B41D96" w:rsidRPr="00987EA2">
      <w:headerReference w:type="default" r:id="rId36"/>
      <w:footerReference w:type="default" r:id="rId37"/>
      <w:headerReference w:type="first" r:id="rId38"/>
      <w:footerReference w:type="first" r:id="rId3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16F0" w:rsidRDefault="00BC16F0">
      <w:r>
        <w:separator/>
      </w:r>
    </w:p>
  </w:endnote>
  <w:endnote w:type="continuationSeparator" w:id="0">
    <w:p w:rsidR="00BC16F0" w:rsidRDefault="00BC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D96" w:rsidRDefault="00F611F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B2AD2">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B2AD2">
      <w:rPr>
        <w:rFonts w:ascii="Palatino Linotype" w:eastAsia="Palatino Linotype" w:hAnsi="Palatino Linotype" w:cs="Palatino Linotype"/>
        <w:b/>
        <w:noProof/>
        <w:color w:val="000000"/>
        <w:sz w:val="20"/>
        <w:szCs w:val="20"/>
      </w:rPr>
      <w:t>74</w:t>
    </w:r>
    <w:r>
      <w:rPr>
        <w:rFonts w:ascii="Palatino Linotype" w:eastAsia="Palatino Linotype" w:hAnsi="Palatino Linotype" w:cs="Palatino Linotype"/>
        <w:b/>
        <w:color w:val="000000"/>
        <w:sz w:val="20"/>
        <w:szCs w:val="20"/>
      </w:rPr>
      <w:fldChar w:fldCharType="end"/>
    </w:r>
  </w:p>
  <w:p w:rsidR="00B41D96" w:rsidRDefault="00B41D9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D96" w:rsidRDefault="00F611F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B2AD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B2AD2">
      <w:rPr>
        <w:rFonts w:ascii="Palatino Linotype" w:eastAsia="Palatino Linotype" w:hAnsi="Palatino Linotype" w:cs="Palatino Linotype"/>
        <w:b/>
        <w:noProof/>
        <w:color w:val="000000"/>
        <w:sz w:val="20"/>
        <w:szCs w:val="20"/>
      </w:rPr>
      <w:t>74</w:t>
    </w:r>
    <w:r>
      <w:rPr>
        <w:rFonts w:ascii="Palatino Linotype" w:eastAsia="Palatino Linotype" w:hAnsi="Palatino Linotype" w:cs="Palatino Linotype"/>
        <w:b/>
        <w:color w:val="000000"/>
        <w:sz w:val="20"/>
        <w:szCs w:val="20"/>
      </w:rPr>
      <w:fldChar w:fldCharType="end"/>
    </w:r>
  </w:p>
  <w:p w:rsidR="00B41D96" w:rsidRDefault="00B41D9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16F0" w:rsidRDefault="00BC16F0">
      <w:r>
        <w:separator/>
      </w:r>
    </w:p>
  </w:footnote>
  <w:footnote w:type="continuationSeparator" w:id="0">
    <w:p w:rsidR="00BC16F0" w:rsidRDefault="00BC16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D96" w:rsidRDefault="00F611F2">
    <w:pPr>
      <w:rPr>
        <w:rFonts w:ascii="Cambria" w:eastAsia="Cambria" w:hAnsi="Cambria" w:cs="Cambria"/>
        <w:color w:val="000000"/>
      </w:rPr>
    </w:pPr>
    <w:r>
      <w:rPr>
        <w:noProof/>
      </w:rPr>
      <w:drawing>
        <wp:anchor distT="0" distB="0" distL="0" distR="0" simplePos="0" relativeHeight="251658240" behindDoc="1" locked="0" layoutInCell="1" hidden="0" allowOverlap="1">
          <wp:simplePos x="0" y="0"/>
          <wp:positionH relativeFrom="column">
            <wp:posOffset>-1079498</wp:posOffset>
          </wp:positionH>
          <wp:positionV relativeFrom="paragraph">
            <wp:posOffset>-443786</wp:posOffset>
          </wp:positionV>
          <wp:extent cx="7809865" cy="10165715"/>
          <wp:effectExtent l="0" t="0" r="0" b="0"/>
          <wp:wrapNone/>
          <wp:docPr id="5639680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8"/>
      <w:tblW w:w="5953" w:type="dxa"/>
      <w:tblInd w:w="3261" w:type="dxa"/>
      <w:tblLayout w:type="fixed"/>
      <w:tblLook w:val="0400" w:firstRow="0" w:lastRow="0" w:firstColumn="0" w:lastColumn="0" w:noHBand="0" w:noVBand="1"/>
    </w:tblPr>
    <w:tblGrid>
      <w:gridCol w:w="2489"/>
      <w:gridCol w:w="3464"/>
    </w:tblGrid>
    <w:tr w:rsidR="00B41D96">
      <w:tc>
        <w:tcPr>
          <w:tcW w:w="2489" w:type="dxa"/>
          <w:shd w:val="clear" w:color="auto" w:fill="auto"/>
        </w:tcPr>
        <w:p w:rsidR="00B41D96" w:rsidRDefault="00F611F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B41D96" w:rsidRDefault="00F611F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15524/INFOEM/IP/RR/2022</w:t>
          </w:r>
        </w:p>
      </w:tc>
    </w:tr>
    <w:tr w:rsidR="00B41D96">
      <w:trPr>
        <w:trHeight w:val="228"/>
      </w:trPr>
      <w:tc>
        <w:tcPr>
          <w:tcW w:w="2489" w:type="dxa"/>
          <w:shd w:val="clear" w:color="auto" w:fill="auto"/>
          <w:vAlign w:val="center"/>
        </w:tcPr>
        <w:p w:rsidR="00B41D96" w:rsidRDefault="00F611F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B41D96" w:rsidRDefault="00F611F2">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Cuautitlán Izcalli </w:t>
          </w:r>
        </w:p>
      </w:tc>
    </w:tr>
    <w:tr w:rsidR="00B41D96">
      <w:tc>
        <w:tcPr>
          <w:tcW w:w="2489" w:type="dxa"/>
          <w:shd w:val="clear" w:color="auto" w:fill="auto"/>
          <w:vAlign w:val="center"/>
        </w:tcPr>
        <w:p w:rsidR="00B41D96" w:rsidRDefault="00F611F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B41D96" w:rsidRDefault="00F611F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B41D96" w:rsidRDefault="00F611F2">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D96" w:rsidRDefault="00F611F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-1089023</wp:posOffset>
          </wp:positionH>
          <wp:positionV relativeFrom="paragraph">
            <wp:posOffset>-433371</wp:posOffset>
          </wp:positionV>
          <wp:extent cx="7809865" cy="10165715"/>
          <wp:effectExtent l="0" t="0" r="0" b="0"/>
          <wp:wrapNone/>
          <wp:docPr id="5639680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670" w:type="dxa"/>
      <w:tblInd w:w="3261" w:type="dxa"/>
      <w:tblLayout w:type="fixed"/>
      <w:tblLook w:val="0400" w:firstRow="0" w:lastRow="0" w:firstColumn="0" w:lastColumn="0" w:noHBand="0" w:noVBand="1"/>
    </w:tblPr>
    <w:tblGrid>
      <w:gridCol w:w="2551"/>
      <w:gridCol w:w="3119"/>
    </w:tblGrid>
    <w:tr w:rsidR="00B41D96">
      <w:tc>
        <w:tcPr>
          <w:tcW w:w="2551" w:type="dxa"/>
          <w:shd w:val="clear" w:color="auto" w:fill="auto"/>
          <w:vAlign w:val="center"/>
        </w:tcPr>
        <w:p w:rsidR="00B41D96" w:rsidRDefault="00F611F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B41D96" w:rsidRDefault="00F611F2">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15524/INFOEM/IP/RR/2022</w:t>
          </w:r>
        </w:p>
      </w:tc>
    </w:tr>
    <w:tr w:rsidR="00B41D96">
      <w:trPr>
        <w:trHeight w:val="130"/>
      </w:trPr>
      <w:tc>
        <w:tcPr>
          <w:tcW w:w="2551" w:type="dxa"/>
          <w:shd w:val="clear" w:color="auto" w:fill="auto"/>
          <w:vAlign w:val="center"/>
        </w:tcPr>
        <w:p w:rsidR="00B41D96" w:rsidRDefault="00F611F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B41D96" w:rsidRDefault="00FB2AD2" w:rsidP="00FB2AD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XXXXXXXXXXXX</w:t>
          </w:r>
        </w:p>
      </w:tc>
    </w:tr>
    <w:tr w:rsidR="00B41D96">
      <w:trPr>
        <w:trHeight w:val="228"/>
      </w:trPr>
      <w:tc>
        <w:tcPr>
          <w:tcW w:w="2551" w:type="dxa"/>
          <w:shd w:val="clear" w:color="auto" w:fill="auto"/>
          <w:vAlign w:val="center"/>
        </w:tcPr>
        <w:p w:rsidR="00B41D96" w:rsidRDefault="00F611F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B41D96" w:rsidRDefault="00F611F2">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Cuautitlán Izcalli </w:t>
          </w:r>
        </w:p>
      </w:tc>
    </w:tr>
    <w:tr w:rsidR="00B41D96">
      <w:tc>
        <w:tcPr>
          <w:tcW w:w="2551" w:type="dxa"/>
          <w:shd w:val="clear" w:color="auto" w:fill="auto"/>
          <w:vAlign w:val="center"/>
        </w:tcPr>
        <w:p w:rsidR="00B41D96" w:rsidRDefault="00F611F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B41D96" w:rsidRDefault="00F611F2">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B41D96" w:rsidRDefault="00B41D9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B7E39"/>
    <w:multiLevelType w:val="multilevel"/>
    <w:tmpl w:val="33E2D13E"/>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A4051B6"/>
    <w:multiLevelType w:val="multilevel"/>
    <w:tmpl w:val="DA58F9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29490AF9"/>
    <w:multiLevelType w:val="multilevel"/>
    <w:tmpl w:val="6694915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A414C5E"/>
    <w:multiLevelType w:val="multilevel"/>
    <w:tmpl w:val="EF7A9EDE"/>
    <w:lvl w:ilvl="0">
      <w:start w:val="3"/>
      <w:numFmt w:val="upperRoman"/>
      <w:pStyle w:val="Listaconvietas3"/>
      <w:lvlText w:val="%1."/>
      <w:lvlJc w:val="right"/>
      <w:pPr>
        <w:ind w:left="158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AC038D6"/>
    <w:multiLevelType w:val="multilevel"/>
    <w:tmpl w:val="51FC981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5897987"/>
    <w:multiLevelType w:val="multilevel"/>
    <w:tmpl w:val="1CC875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64E1948"/>
    <w:multiLevelType w:val="multilevel"/>
    <w:tmpl w:val="34DC2404"/>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nsid w:val="65066E9B"/>
    <w:multiLevelType w:val="multilevel"/>
    <w:tmpl w:val="1CBC972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4E9651B"/>
    <w:multiLevelType w:val="multilevel"/>
    <w:tmpl w:val="F2A0AF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AE753A9"/>
    <w:multiLevelType w:val="multilevel"/>
    <w:tmpl w:val="9F843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3"/>
  </w:num>
  <w:num w:numId="3">
    <w:abstractNumId w:val="0"/>
  </w:num>
  <w:num w:numId="4">
    <w:abstractNumId w:val="7"/>
  </w:num>
  <w:num w:numId="5">
    <w:abstractNumId w:val="1"/>
  </w:num>
  <w:num w:numId="6">
    <w:abstractNumId w:val="8"/>
  </w:num>
  <w:num w:numId="7">
    <w:abstractNumId w:val="5"/>
  </w:num>
  <w:num w:numId="8">
    <w:abstractNumId w:val="2"/>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D96"/>
    <w:rsid w:val="00011393"/>
    <w:rsid w:val="00062545"/>
    <w:rsid w:val="006509BB"/>
    <w:rsid w:val="00856DCF"/>
    <w:rsid w:val="00987EA2"/>
    <w:rsid w:val="00B41D96"/>
    <w:rsid w:val="00BC16F0"/>
    <w:rsid w:val="00F611F2"/>
    <w:rsid w:val="00FB2A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E058A0-7689-40B7-BEAD-AFE1A5219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10"/>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0"/>
    <w:tblPr>
      <w:tblStyleRowBandSize w:val="1"/>
      <w:tblStyleColBandSize w:val="1"/>
      <w:tblCellMar>
        <w:top w:w="0" w:type="dxa"/>
        <w:left w:w="115" w:type="dxa"/>
        <w:bottom w:w="0" w:type="dxa"/>
        <w:right w:w="115" w:type="dxa"/>
      </w:tblCellMar>
    </w:tbl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20"/>
    <w:tblPr>
      <w:tblStyleRowBandSize w:val="1"/>
      <w:tblStyleColBandSize w:val="1"/>
      <w:tblCellMar>
        <w:top w:w="0" w:type="dxa"/>
        <w:left w:w="115" w:type="dxa"/>
        <w:bottom w:w="0" w:type="dxa"/>
        <w:right w:w="115" w:type="dxa"/>
      </w:tblCellMar>
    </w:tblPr>
  </w:style>
  <w:style w:type="table" w:customStyle="1" w:styleId="5">
    <w:name w:val="5"/>
    <w:basedOn w:val="TableNormal20"/>
    <w:tblPr>
      <w:tblStyleRowBandSize w:val="1"/>
      <w:tblStyleColBandSize w:val="1"/>
      <w:tblCellMar>
        <w:top w:w="0" w:type="dxa"/>
        <w:left w:w="115" w:type="dxa"/>
        <w:bottom w:w="0" w:type="dxa"/>
        <w:right w:w="115" w:type="dxa"/>
      </w:tblCellMar>
    </w:tblPr>
  </w:style>
  <w:style w:type="table" w:customStyle="1" w:styleId="4">
    <w:name w:val="4"/>
    <w:basedOn w:val="TableNormal30"/>
    <w:tblPr>
      <w:tblStyleRowBandSize w:val="1"/>
      <w:tblStyleColBandSize w:val="1"/>
      <w:tblCellMar>
        <w:top w:w="0" w:type="dxa"/>
        <w:left w:w="115" w:type="dxa"/>
        <w:bottom w:w="0" w:type="dxa"/>
        <w:right w:w="115" w:type="dxa"/>
      </w:tblCellMar>
    </w:tblPr>
  </w:style>
  <w:style w:type="table" w:customStyle="1" w:styleId="3">
    <w:name w:val="3"/>
    <w:basedOn w:val="TableNormal30"/>
    <w:tblPr>
      <w:tblStyleRowBandSize w:val="1"/>
      <w:tblStyleColBandSize w:val="1"/>
      <w:tblCellMar>
        <w:top w:w="0" w:type="dxa"/>
        <w:left w:w="115" w:type="dxa"/>
        <w:bottom w:w="0"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numPr>
        <w:numId w:val="3"/>
      </w:numPr>
      <w:contextualSpacing/>
    </w:pPr>
  </w:style>
  <w:style w:type="table" w:customStyle="1" w:styleId="2">
    <w:name w:val="2"/>
    <w:basedOn w:val="TableNormal40"/>
    <w:tblPr>
      <w:tblStyleRowBandSize w:val="1"/>
      <w:tblStyleColBandSize w:val="1"/>
      <w:tblCellMar>
        <w:top w:w="0" w:type="dxa"/>
        <w:left w:w="115" w:type="dxa"/>
        <w:bottom w:w="0" w:type="dxa"/>
        <w:right w:w="115" w:type="dxa"/>
      </w:tblCellMar>
    </w:tblPr>
  </w:style>
  <w:style w:type="table" w:customStyle="1" w:styleId="1">
    <w:name w:val="1"/>
    <w:basedOn w:val="TableNormal40"/>
    <w:tblPr>
      <w:tblStyleRowBandSize w:val="1"/>
      <w:tblStyleColBandSize w:val="1"/>
      <w:tblCellMar>
        <w:top w:w="0" w:type="dxa"/>
        <w:left w:w="115" w:type="dxa"/>
        <w:bottom w:w="0" w:type="dxa"/>
        <w:right w:w="115" w:type="dxa"/>
      </w:tblCellMar>
    </w:tblPr>
  </w:style>
  <w:style w:type="table" w:customStyle="1" w:styleId="a">
    <w:basedOn w:val="TableNormal9"/>
    <w:tblPr>
      <w:tblStyleRowBandSize w:val="1"/>
      <w:tblStyleColBandSize w:val="1"/>
      <w:tblCellMar>
        <w:top w:w="0" w:type="dxa"/>
        <w:left w:w="115" w:type="dxa"/>
        <w:bottom w:w="0" w:type="dxa"/>
        <w:right w:w="115" w:type="dxa"/>
      </w:tblCellMar>
    </w:tblPr>
  </w:style>
  <w:style w:type="table" w:customStyle="1" w:styleId="a0">
    <w:basedOn w:val="TableNormal9"/>
    <w:tblPr>
      <w:tblStyleRowBandSize w:val="1"/>
      <w:tblStyleColBandSize w:val="1"/>
      <w:tblCellMar>
        <w:top w:w="0" w:type="dxa"/>
        <w:left w:w="115" w:type="dxa"/>
        <w:bottom w:w="0" w:type="dxa"/>
        <w:right w:w="115" w:type="dxa"/>
      </w:tblCellMar>
    </w:tblPr>
  </w:style>
  <w:style w:type="table" w:customStyle="1" w:styleId="a2">
    <w:basedOn w:val="TableNormal8"/>
    <w:tblPr>
      <w:tblStyleRowBandSize w:val="1"/>
      <w:tblStyleColBandSize w:val="1"/>
      <w:tblCellMar>
        <w:top w:w="0" w:type="dxa"/>
        <w:left w:w="115" w:type="dxa"/>
        <w:bottom w:w="0" w:type="dxa"/>
        <w:right w:w="115" w:type="dxa"/>
      </w:tblCellMar>
    </w:tblPr>
  </w:style>
  <w:style w:type="table" w:customStyle="1" w:styleId="a3">
    <w:basedOn w:val="TableNormal8"/>
    <w:tblPr>
      <w:tblStyleRowBandSize w:val="1"/>
      <w:tblStyleColBandSize w:val="1"/>
      <w:tblCellMar>
        <w:top w:w="0" w:type="dxa"/>
        <w:left w:w="115" w:type="dxa"/>
        <w:bottom w:w="0" w:type="dxa"/>
        <w:right w:w="115" w:type="dxa"/>
      </w:tblCellMar>
    </w:tblPr>
  </w:style>
  <w:style w:type="table" w:customStyle="1" w:styleId="a4">
    <w:basedOn w:val="TableNormal7"/>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7"/>
    <w:tblPr>
      <w:tblStyleRowBandSize w:val="1"/>
      <w:tblStyleColBandSize w:val="1"/>
      <w:tblCellMar>
        <w:top w:w="0" w:type="dxa"/>
        <w:left w:w="115" w:type="dxa"/>
        <w:bottom w:w="0" w:type="dxa"/>
        <w:right w:w="115" w:type="dxa"/>
      </w:tblCellMar>
    </w:tblPr>
  </w:style>
  <w:style w:type="table" w:customStyle="1" w:styleId="a6">
    <w:basedOn w:val="TableNormal7"/>
    <w:tblPr>
      <w:tblStyleRowBandSize w:val="1"/>
      <w:tblStyleColBandSize w:val="1"/>
      <w:tblCellMar>
        <w:top w:w="0" w:type="dxa"/>
        <w:left w:w="115" w:type="dxa"/>
        <w:bottom w:w="0" w:type="dxa"/>
        <w:right w:w="115" w:type="dxa"/>
      </w:tblCellMar>
    </w:tblPr>
  </w:style>
  <w:style w:type="table" w:customStyle="1" w:styleId="a7">
    <w:basedOn w:val="TableNormal6"/>
    <w:tblPr>
      <w:tblStyleRowBandSize w:val="1"/>
      <w:tblStyleColBandSize w:val="1"/>
      <w:tblCellMar>
        <w:top w:w="0" w:type="dxa"/>
        <w:left w:w="115" w:type="dxa"/>
        <w:bottom w:w="0" w:type="dxa"/>
        <w:right w:w="115" w:type="dxa"/>
      </w:tblCellMar>
    </w:tblPr>
  </w:style>
  <w:style w:type="table" w:customStyle="1" w:styleId="a8">
    <w:basedOn w:val="TableNormal6"/>
    <w:tblPr>
      <w:tblStyleRowBandSize w:val="1"/>
      <w:tblStyleColBandSize w:val="1"/>
      <w:tblCellMar>
        <w:top w:w="0" w:type="dxa"/>
        <w:left w:w="115" w:type="dxa"/>
        <w:bottom w:w="0" w:type="dxa"/>
        <w:right w:w="115" w:type="dxa"/>
      </w:tblCellMar>
    </w:tblPr>
  </w:style>
  <w:style w:type="table" w:customStyle="1" w:styleId="a9">
    <w:basedOn w:val="TableNormal6"/>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6"/>
    <w:tblPr>
      <w:tblStyleRowBandSize w:val="1"/>
      <w:tblStyleColBandSize w:val="1"/>
      <w:tblCellMar>
        <w:top w:w="0" w:type="dxa"/>
        <w:left w:w="115" w:type="dxa"/>
        <w:bottom w:w="0" w:type="dxa"/>
        <w:right w:w="115" w:type="dxa"/>
      </w:tblCellMar>
    </w:tblPr>
  </w:style>
  <w:style w:type="table" w:customStyle="1" w:styleId="ab">
    <w:basedOn w:val="TableNormal6"/>
    <w:tblPr>
      <w:tblStyleRowBandSize w:val="1"/>
      <w:tblStyleColBandSize w:val="1"/>
      <w:tblCellMar>
        <w:top w:w="0" w:type="dxa"/>
        <w:left w:w="115" w:type="dxa"/>
        <w:bottom w:w="0" w:type="dxa"/>
        <w:right w:w="115" w:type="dxa"/>
      </w:tblCellMar>
    </w:tblPr>
  </w:style>
  <w:style w:type="table" w:customStyle="1" w:styleId="ac">
    <w:basedOn w:val="TableNormal5"/>
    <w:tblPr>
      <w:tblStyleRowBandSize w:val="1"/>
      <w:tblStyleColBandSize w:val="1"/>
      <w:tblCellMar>
        <w:top w:w="0" w:type="dxa"/>
        <w:left w:w="115" w:type="dxa"/>
        <w:bottom w:w="0" w:type="dxa"/>
        <w:right w:w="115" w:type="dxa"/>
      </w:tblCellMar>
    </w:tblPr>
  </w:style>
  <w:style w:type="table" w:customStyle="1" w:styleId="ad">
    <w:basedOn w:val="TableNormal5"/>
    <w:tblPr>
      <w:tblStyleRowBandSize w:val="1"/>
      <w:tblStyleColBandSize w:val="1"/>
      <w:tblCellMar>
        <w:top w:w="0" w:type="dxa"/>
        <w:left w:w="115" w:type="dxa"/>
        <w:bottom w:w="0" w:type="dxa"/>
        <w:right w:w="115" w:type="dxa"/>
      </w:tblCellMar>
    </w:tblPr>
  </w:style>
  <w:style w:type="paragraph" w:styleId="Cita">
    <w:name w:val="Quote"/>
    <w:basedOn w:val="Normal"/>
    <w:next w:val="Normal"/>
    <w:link w:val="CitaCar"/>
    <w:uiPriority w:val="29"/>
    <w:qFormat/>
    <w:rsid w:val="0021391B"/>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21391B"/>
    <w:rPr>
      <w:i/>
      <w:iCs/>
      <w:color w:val="404040" w:themeColor="text1" w:themeTint="BF"/>
    </w:rPr>
  </w:style>
  <w:style w:type="table" w:customStyle="1" w:styleId="ae">
    <w:basedOn w:val="TableNormal4"/>
    <w:tblPr>
      <w:tblStyleRowBandSize w:val="1"/>
      <w:tblStyleColBandSize w:val="1"/>
      <w:tblCellMar>
        <w:top w:w="0" w:type="dxa"/>
        <w:left w:w="115" w:type="dxa"/>
        <w:bottom w:w="0" w:type="dxa"/>
        <w:right w:w="115" w:type="dxa"/>
      </w:tblCellMar>
    </w:tblPr>
  </w:style>
  <w:style w:type="table" w:customStyle="1" w:styleId="af">
    <w:basedOn w:val="TableNormal4"/>
    <w:tblPr>
      <w:tblStyleRowBandSize w:val="1"/>
      <w:tblStyleColBandSize w:val="1"/>
      <w:tblCellMar>
        <w:top w:w="0" w:type="dxa"/>
        <w:left w:w="115" w:type="dxa"/>
        <w:bottom w:w="0" w:type="dxa"/>
        <w:right w:w="115" w:type="dxa"/>
      </w:tblCellMar>
    </w:tblPr>
  </w:style>
  <w:style w:type="table" w:customStyle="1" w:styleId="af0">
    <w:basedOn w:val="TableNormal3"/>
    <w:tblPr>
      <w:tblStyleRowBandSize w:val="1"/>
      <w:tblStyleColBandSize w:val="1"/>
      <w:tblCellMar>
        <w:top w:w="0" w:type="dxa"/>
        <w:left w:w="115" w:type="dxa"/>
        <w:bottom w:w="0" w:type="dxa"/>
        <w:right w:w="115" w:type="dxa"/>
      </w:tblCellMar>
    </w:tblPr>
  </w:style>
  <w:style w:type="table" w:customStyle="1" w:styleId="af1">
    <w:basedOn w:val="TableNormal3"/>
    <w:tblPr>
      <w:tblStyleRowBandSize w:val="1"/>
      <w:tblStyleColBandSize w:val="1"/>
      <w:tblCellMar>
        <w:top w:w="0" w:type="dxa"/>
        <w:left w:w="115" w:type="dxa"/>
        <w:bottom w:w="0" w:type="dxa"/>
        <w:right w:w="115" w:type="dxa"/>
      </w:tblCellMar>
    </w:tblPr>
  </w:style>
  <w:style w:type="table" w:customStyle="1" w:styleId="af2">
    <w:basedOn w:val="TableNormal2"/>
    <w:tblPr>
      <w:tblStyleRowBandSize w:val="1"/>
      <w:tblStyleColBandSize w:val="1"/>
      <w:tblCellMar>
        <w:top w:w="0" w:type="dxa"/>
        <w:left w:w="115" w:type="dxa"/>
        <w:bottom w:w="0" w:type="dxa"/>
        <w:right w:w="115" w:type="dxa"/>
      </w:tblCellMar>
    </w:tblPr>
  </w:style>
  <w:style w:type="table" w:customStyle="1" w:styleId="af3">
    <w:basedOn w:val="TableNormal2"/>
    <w:tblPr>
      <w:tblStyleRowBandSize w:val="1"/>
      <w:tblStyleColBandSize w:val="1"/>
      <w:tblCellMar>
        <w:top w:w="0" w:type="dxa"/>
        <w:left w:w="115" w:type="dxa"/>
        <w:bottom w:w="0" w:type="dxa"/>
        <w:right w:w="115" w:type="dxa"/>
      </w:tblCellMar>
    </w:tblPr>
  </w:style>
  <w:style w:type="table" w:customStyle="1" w:styleId="af4">
    <w:basedOn w:val="TableNormal1"/>
    <w:tblPr>
      <w:tblStyleRowBandSize w:val="1"/>
      <w:tblStyleColBandSize w:val="1"/>
      <w:tblCellMar>
        <w:top w:w="0" w:type="dxa"/>
        <w:left w:w="115" w:type="dxa"/>
        <w:bottom w:w="0" w:type="dxa"/>
        <w:right w:w="115" w:type="dxa"/>
      </w:tblCellMar>
    </w:tblPr>
  </w:style>
  <w:style w:type="table" w:customStyle="1" w:styleId="af5">
    <w:basedOn w:val="TableNormal1"/>
    <w:tblPr>
      <w:tblStyleRowBandSize w:val="1"/>
      <w:tblStyleColBandSize w:val="1"/>
      <w:tblCellMar>
        <w:top w:w="0" w:type="dxa"/>
        <w:left w:w="115" w:type="dxa"/>
        <w:bottom w:w="0" w:type="dxa"/>
        <w:right w:w="115" w:type="dxa"/>
      </w:tblCellMar>
    </w:tblPr>
  </w:style>
  <w:style w:type="table" w:customStyle="1" w:styleId="af6">
    <w:basedOn w:val="TableNormal1"/>
    <w:tblPr>
      <w:tblStyleRowBandSize w:val="1"/>
      <w:tblStyleColBandSize w:val="1"/>
      <w:tblCellMar>
        <w:top w:w="0" w:type="dxa"/>
        <w:left w:w="115" w:type="dxa"/>
        <w:bottom w:w="0" w:type="dxa"/>
        <w:right w:w="115" w:type="dxa"/>
      </w:tblCellMar>
    </w:tblPr>
  </w:style>
  <w:style w:type="paragraph" w:styleId="Citadestacada">
    <w:name w:val="Intense Quote"/>
    <w:basedOn w:val="Normal"/>
    <w:next w:val="Normal"/>
    <w:link w:val="CitadestacadaCar"/>
    <w:uiPriority w:val="30"/>
    <w:qFormat/>
    <w:rsid w:val="00DA4BD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30"/>
    <w:rsid w:val="00DA4BD0"/>
    <w:rPr>
      <w:i/>
      <w:iCs/>
      <w:color w:val="4F81BD" w:themeColor="accent1"/>
    </w:r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png"/><Relationship Id="rId26" Type="http://schemas.openxmlformats.org/officeDocument/2006/relationships/hyperlink" Target="about:blank" TargetMode="External"/><Relationship Id="rId39" Type="http://schemas.openxmlformats.org/officeDocument/2006/relationships/footer" Target="footer2.xml"/><Relationship Id="rId21" Type="http://schemas.openxmlformats.org/officeDocument/2006/relationships/hyperlink" Target="https://www.facebook.com/101133868458773/posts/pfbid0251D7WqBHP9em5VVhkUBX1NuNhuaxfCY63DXqu7nGsVe2wYyi7EjqC48ZddAdneDAl/" TargetMode="External"/><Relationship Id="rId34"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aimex.org.mx/saimex/solicitud/downloadAttach/1615600.page" TargetMode="External"/><Relationship Id="rId20" Type="http://schemas.openxmlformats.org/officeDocument/2006/relationships/image" Target="media/image6.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601391.page" TargetMode="Externa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s://fb.watch/g5n3Gg3Nh8/" TargetMode="External"/><Relationship Id="rId28" Type="http://schemas.openxmlformats.org/officeDocument/2006/relationships/image" Target="media/image11.png"/><Relationship Id="rId36"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yperlink" Target="https://www.facebook.com/101133868458773/posts/pfbid033vdZhUpFzYmAccdwybGjUdcdZedUUArTpfJb23juNLuUAQ8BjwrjAnb4KBRGTuk8l/"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saimex.org.mx/saimex/solicitud/downloadAttach/1601390.page" TargetMode="External"/><Relationship Id="rId14" Type="http://schemas.openxmlformats.org/officeDocument/2006/relationships/hyperlink" Target="https://saimex.org.mx/saimex/solicitud/downloadAttach/1601393.page"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6.png"/><Relationship Id="rId8" Type="http://schemas.openxmlformats.org/officeDocument/2006/relationships/hyperlink" Target="https://saimex.org.mx/saimex/solicitud/downloadAttach/1601389.page" TargetMode="External"/><Relationship Id="rId3" Type="http://schemas.openxmlformats.org/officeDocument/2006/relationships/styles" Target="styles.xml"/><Relationship Id="rId12" Type="http://schemas.openxmlformats.org/officeDocument/2006/relationships/hyperlink" Target="https://saimex.org.mx/saimex/solicitud/downloadAttach/1601392.page"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Mb20OvCuRdk0zGwfSRy6PIEVVA==">CgMxLjAyCGguZ2pkZ3hzMgloLjMwajB6bGwyCWguMnM4ZXlvMTIJaC4zem55c2g3MgloLjJldDkycDAyCWguMjZpbjFyZzIJaC4zNW5rdW4yMgloLjFrc3Y0dXYyCWguMWZvYjl0ZTIJaC40ZDM0b2c4MghoLnR5amN3dDIJaC4zZHk2dmttOAByITFPNGJpYUx3NnpzQ2RjWXdoY04xbEFta3lIazhua1NTQQ==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17576</Words>
  <Characters>96673</Characters>
  <Application>Microsoft Office Word</Application>
  <DocSecurity>0</DocSecurity>
  <Lines>805</Lines>
  <Paragraphs>228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2023-06-23T18:42:00Z</cp:lastPrinted>
  <dcterms:created xsi:type="dcterms:W3CDTF">2023-06-29T18:22:00Z</dcterms:created>
  <dcterms:modified xsi:type="dcterms:W3CDTF">2023-06-29T18:22:00Z</dcterms:modified>
</cp:coreProperties>
</file>