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0FB7" w14:textId="77777777" w:rsidR="004A5FC7" w:rsidRDefault="00E6657C">
      <w:pPr>
        <w:spacing w:before="240" w:after="240" w:line="360" w:lineRule="auto"/>
        <w:jc w:val="both"/>
        <w:rPr>
          <w:rFonts w:ascii="Palatino Linotype" w:eastAsia="Palatino Linotype" w:hAnsi="Palatino Linotype" w:cs="Palatino Linotype"/>
        </w:rPr>
      </w:pPr>
      <w:bookmarkStart w:id="0" w:name="_heading=h.3znysh7"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doce de octubre de dos mil veintitrés.</w:t>
      </w:r>
    </w:p>
    <w:p w14:paraId="2B3CA431" w14:textId="7B3AA72E" w:rsidR="004A5FC7" w:rsidRDefault="00E6657C">
      <w:pPr>
        <w:spacing w:before="240" w:after="240" w:line="360" w:lineRule="auto"/>
        <w:jc w:val="both"/>
        <w:rPr>
          <w:rFonts w:ascii="Palatino Linotype" w:eastAsia="Palatino Linotype" w:hAnsi="Palatino Linotype" w:cs="Palatino Linotype"/>
          <w:b/>
        </w:rPr>
      </w:pPr>
      <w:bookmarkStart w:id="1" w:name="_heading=h.30j0zll" w:colFirst="0" w:colLast="0"/>
      <w:bookmarkEnd w:id="1"/>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 xml:space="preserve">00669/INFOEM/IP/RR/2023 </w:t>
      </w:r>
      <w:r>
        <w:rPr>
          <w:rFonts w:ascii="Palatino Linotype" w:eastAsia="Palatino Linotype" w:hAnsi="Palatino Linotype" w:cs="Palatino Linotype"/>
        </w:rPr>
        <w:t xml:space="preserve">y </w:t>
      </w:r>
      <w:r>
        <w:rPr>
          <w:rFonts w:ascii="Palatino Linotype" w:eastAsia="Palatino Linotype" w:hAnsi="Palatino Linotype" w:cs="Palatino Linotype"/>
          <w:b/>
        </w:rPr>
        <w:t>0671/INFOEM/IP/RR/2023, acumulados</w:t>
      </w:r>
      <w:r>
        <w:rPr>
          <w:rFonts w:ascii="Palatino Linotype" w:eastAsia="Palatino Linotype" w:hAnsi="Palatino Linotype" w:cs="Palatino Linotype"/>
        </w:rPr>
        <w:t>, interpuestos por</w:t>
      </w:r>
      <w:r>
        <w:rPr>
          <w:rFonts w:ascii="Palatino Linotype" w:eastAsia="Palatino Linotype" w:hAnsi="Palatino Linotype" w:cs="Palatino Linotype"/>
          <w:b/>
        </w:rPr>
        <w:t xml:space="preserve"> </w:t>
      </w:r>
      <w:r w:rsidR="00156C20">
        <w:rPr>
          <w:rFonts w:ascii="Palatino Linotype" w:eastAsia="Palatino Linotype" w:hAnsi="Palatino Linotype" w:cs="Palatino Linotype"/>
          <w:b/>
        </w:rPr>
        <w:t>XXXX XXXXXX XXXXXXXX XXXXXXXX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sus solicitudes de información por parte del </w:t>
      </w:r>
      <w:r>
        <w:rPr>
          <w:rFonts w:ascii="Palatino Linotype" w:eastAsia="Palatino Linotype" w:hAnsi="Palatino Linotype" w:cs="Palatino Linotype"/>
          <w:b/>
        </w:rPr>
        <w:t>Secretaría de Finanzas</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5073B4EE" w14:textId="77777777" w:rsidR="004A5FC7" w:rsidRDefault="00E6657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01F0F318" w14:textId="77777777" w:rsidR="004A5FC7" w:rsidRDefault="00E6657C">
      <w:pPr>
        <w:spacing w:before="240" w:after="240"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doce de diciembre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dos mil veintidós, </w:t>
      </w:r>
      <w:r>
        <w:rPr>
          <w:rFonts w:ascii="Palatino Linotype" w:eastAsia="Palatino Linotype" w:hAnsi="Palatino Linotype" w:cs="Palatino Linotype"/>
        </w:rPr>
        <w:t>la persona solicitante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ante el </w:t>
      </w:r>
      <w:r>
        <w:rPr>
          <w:rFonts w:ascii="Palatino Linotype" w:eastAsia="Palatino Linotype" w:hAnsi="Palatino Linotype" w:cs="Palatino Linotype"/>
          <w:b/>
        </w:rPr>
        <w:t>Sujeto Obligado</w:t>
      </w:r>
      <w:r>
        <w:rPr>
          <w:rFonts w:ascii="Palatino Linotype" w:eastAsia="Palatino Linotype" w:hAnsi="Palatino Linotype" w:cs="Palatino Linotype"/>
        </w:rPr>
        <w:t>, las solicitudes de acceso a la información pública, mediante las cuales requirió la información siguiente:</w:t>
      </w:r>
    </w:p>
    <w:tbl>
      <w:tblPr>
        <w:tblStyle w:val="aff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4A5FC7" w14:paraId="03C2214F" w14:textId="77777777">
        <w:trPr>
          <w:jc w:val="center"/>
        </w:trPr>
        <w:tc>
          <w:tcPr>
            <w:tcW w:w="2972" w:type="dxa"/>
            <w:shd w:val="clear" w:color="auto" w:fill="A6A6A6"/>
          </w:tcPr>
          <w:p w14:paraId="13AA9106"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5856" w:type="dxa"/>
            <w:shd w:val="clear" w:color="auto" w:fill="A6A6A6"/>
          </w:tcPr>
          <w:p w14:paraId="118A5A98"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solicitada</w:t>
            </w:r>
          </w:p>
        </w:tc>
      </w:tr>
      <w:tr w:rsidR="004A5FC7" w14:paraId="55498C41" w14:textId="77777777">
        <w:trPr>
          <w:jc w:val="center"/>
        </w:trPr>
        <w:tc>
          <w:tcPr>
            <w:tcW w:w="2972" w:type="dxa"/>
            <w:vAlign w:val="center"/>
          </w:tcPr>
          <w:p w14:paraId="49848DFE" w14:textId="77777777" w:rsidR="004A5FC7" w:rsidRDefault="00E6657C">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00564/SF/IP/2022</w:t>
            </w:r>
          </w:p>
        </w:tc>
        <w:tc>
          <w:tcPr>
            <w:tcW w:w="5856" w:type="dxa"/>
          </w:tcPr>
          <w:p w14:paraId="7D482F3F" w14:textId="77777777" w:rsidR="004A5FC7" w:rsidRDefault="00E6657C">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“1.- Conforme a lo establecido en el artículo 216 F fracción tercera, párrafos 9, 10, 11 y 12 del Código Financiero del Estado de México y Municipios, sobre el Comité de Control y Vigilancia para los recursos provenientes de las contribuciones de impacto vial, Informe el número total desarrolladores inmobiliarios; el nombre y/o razón social de cada una de las desarrolladoras inmobiliarias y la cantidad total recaudada por cada una de las desarrolladoras inmobiliarias o personas fiscas, que </w:t>
            </w:r>
            <w:r>
              <w:rPr>
                <w:rFonts w:ascii="Palatino Linotype" w:eastAsia="Palatino Linotype" w:hAnsi="Palatino Linotype" w:cs="Palatino Linotype"/>
                <w:i/>
                <w:sz w:val="20"/>
                <w:szCs w:val="20"/>
              </w:rPr>
              <w:lastRenderedPageBreak/>
              <w:t>por concepto de los recursos estatales provenientes de las contribuciones por concepto de aportaciones de mejoras, para obras de impacto vial en el Municipio de Tecámac, se tengan registro durante el período comprendido del 1 de enero al 31 de diciembre de los años 2015, 2016, 2017 y 2018. 2.- Informe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2015, 2016, 2017 y 2018.” (sic)</w:t>
            </w:r>
          </w:p>
        </w:tc>
      </w:tr>
      <w:tr w:rsidR="004A5FC7" w14:paraId="4A41EE27" w14:textId="77777777">
        <w:trPr>
          <w:jc w:val="center"/>
        </w:trPr>
        <w:tc>
          <w:tcPr>
            <w:tcW w:w="2972" w:type="dxa"/>
            <w:vAlign w:val="center"/>
          </w:tcPr>
          <w:p w14:paraId="019689EF" w14:textId="77777777" w:rsidR="004A5FC7" w:rsidRDefault="00E6657C">
            <w:pPr>
              <w:spacing w:before="120" w:after="12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lastRenderedPageBreak/>
              <w:t>00565/SF/IP/2022</w:t>
            </w:r>
          </w:p>
        </w:tc>
        <w:tc>
          <w:tcPr>
            <w:tcW w:w="5856" w:type="dxa"/>
          </w:tcPr>
          <w:p w14:paraId="07365405" w14:textId="77777777" w:rsidR="004A5FC7" w:rsidRDefault="00E6657C">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“1.- Conforme a lo establecido en el artículo 216 F fracción tercera, párrafos 9, 10, 11 y 12 del Código Financiero del Estado de México y Municipios, sobre el Comité de Control y Vigilancia para los recursos provenientes de las contribuciones de impacto vial, Informe el número total desarrolladores inmobiliarios; el nombre y/o razón social de cada una de las desarrolladoras inmobiliarias y la cantidad total recaudada por cada una de las desarrolladoras inmobiliarias o personas fiscas, que por concepto de los recursos estatales provenientes de las contribuciones por concepto de aportaciones de mejoras, para obras de impacto vial en el Municipio de Tecámac, se tengan registro durante el período comprendido del 1 de enero al 31 de diciembre de los años 2019, 2020, 2021. 2.- Informe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2019, 2020, 2021.” (sic)</w:t>
            </w:r>
          </w:p>
        </w:tc>
      </w:tr>
    </w:tbl>
    <w:p w14:paraId="5E5A2532" w14:textId="77777777" w:rsidR="004A5FC7" w:rsidRDefault="00E6657C">
      <w:pPr>
        <w:spacing w:before="240" w:after="240"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 en ambos casos.</w:t>
      </w:r>
    </w:p>
    <w:p w14:paraId="4351DB36"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Con fechas</w:t>
      </w:r>
      <w:r>
        <w:rPr>
          <w:rFonts w:ascii="Palatino Linotype" w:eastAsia="Palatino Linotype" w:hAnsi="Palatino Linotype" w:cs="Palatino Linotype"/>
          <w:b/>
        </w:rPr>
        <w:t xml:space="preserve"> dieciocho de enero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sus respuestas a las solicitudes de acceso a la información a través de SAIMEX, sustancialmente en los términos siguientes:   </w:t>
      </w:r>
    </w:p>
    <w:tbl>
      <w:tblPr>
        <w:tblStyle w:val="afff"/>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4A5FC7" w14:paraId="651211E4" w14:textId="77777777">
        <w:trPr>
          <w:jc w:val="center"/>
        </w:trPr>
        <w:tc>
          <w:tcPr>
            <w:tcW w:w="2972" w:type="dxa"/>
            <w:shd w:val="clear" w:color="auto" w:fill="A6A6A6"/>
          </w:tcPr>
          <w:p w14:paraId="36537D9C"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Número de solicitud</w:t>
            </w:r>
          </w:p>
        </w:tc>
        <w:tc>
          <w:tcPr>
            <w:tcW w:w="5856" w:type="dxa"/>
            <w:shd w:val="clear" w:color="auto" w:fill="A6A6A6"/>
          </w:tcPr>
          <w:p w14:paraId="3C069F17" w14:textId="77777777" w:rsidR="004A5FC7" w:rsidRDefault="00E6657C">
            <w:pPr>
              <w:tabs>
                <w:tab w:val="left" w:pos="495"/>
                <w:tab w:val="center" w:pos="2813"/>
              </w:tabs>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t>Información entregada</w:t>
            </w:r>
          </w:p>
        </w:tc>
      </w:tr>
      <w:tr w:rsidR="004A5FC7" w14:paraId="74CB8B0B" w14:textId="77777777">
        <w:trPr>
          <w:jc w:val="center"/>
        </w:trPr>
        <w:tc>
          <w:tcPr>
            <w:tcW w:w="2972" w:type="dxa"/>
            <w:vAlign w:val="center"/>
          </w:tcPr>
          <w:p w14:paraId="01453E2F" w14:textId="77777777" w:rsidR="004A5FC7" w:rsidRDefault="00E6657C">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00564/SF/IP/2022</w:t>
            </w:r>
          </w:p>
        </w:tc>
        <w:tc>
          <w:tcPr>
            <w:tcW w:w="5856" w:type="dxa"/>
          </w:tcPr>
          <w:p w14:paraId="586F4932" w14:textId="77777777" w:rsidR="004A5FC7" w:rsidRDefault="00E6657C">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“Sobre el particular, sírvase encontrar en archivo adjunto copia del oficio de notificación número 20700004S/UT-0045/2023 mediante el cual se detalla lo referente a su solicitud.” (sic)</w:t>
            </w:r>
          </w:p>
          <w:p w14:paraId="4057DEE1" w14:textId="77777777" w:rsidR="004A5FC7" w:rsidRDefault="00E6657C">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Anexos:</w:t>
            </w:r>
          </w:p>
          <w:p w14:paraId="060E2945" w14:textId="77777777" w:rsidR="004A5FC7" w:rsidRDefault="00E6657C">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Oficio número 20700004S/UT/-0045/2023, de fecha diez de enero de dos mil veintitrés, signado por el </w:t>
            </w:r>
            <w:proofErr w:type="gramStart"/>
            <w:r>
              <w:rPr>
                <w:rFonts w:ascii="Palatino Linotype" w:eastAsia="Palatino Linotype" w:hAnsi="Palatino Linotype" w:cs="Palatino Linotype"/>
                <w:sz w:val="20"/>
                <w:szCs w:val="20"/>
              </w:rPr>
              <w:t>Jefe</w:t>
            </w:r>
            <w:proofErr w:type="gramEnd"/>
            <w:r>
              <w:rPr>
                <w:rFonts w:ascii="Palatino Linotype" w:eastAsia="Palatino Linotype" w:hAnsi="Palatino Linotype" w:cs="Palatino Linotype"/>
                <w:sz w:val="20"/>
                <w:szCs w:val="20"/>
              </w:rPr>
              <w:t xml:space="preserve"> de la UIPPE y Titular de la Unidad de Transparencia, mediante el cual notifica la respuesta a la persona solicitante.</w:t>
            </w:r>
          </w:p>
          <w:p w14:paraId="6851F323" w14:textId="77777777" w:rsidR="004A5FC7" w:rsidRDefault="00E6657C">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Oficio número 20703001030300L/03/2023, de fecha seis de enero de dos mil veintitrés, signado por el </w:t>
            </w:r>
            <w:proofErr w:type="gramStart"/>
            <w:r>
              <w:rPr>
                <w:rFonts w:ascii="Palatino Linotype" w:eastAsia="Palatino Linotype" w:hAnsi="Palatino Linotype" w:cs="Palatino Linotype"/>
                <w:sz w:val="20"/>
                <w:szCs w:val="20"/>
              </w:rPr>
              <w:t>Subdirector</w:t>
            </w:r>
            <w:proofErr w:type="gramEnd"/>
            <w:r>
              <w:rPr>
                <w:rFonts w:ascii="Palatino Linotype" w:eastAsia="Palatino Linotype" w:hAnsi="Palatino Linotype" w:cs="Palatino Linotype"/>
                <w:sz w:val="20"/>
                <w:szCs w:val="20"/>
              </w:rPr>
              <w:t xml:space="preserve"> de Normas y Procedimientos y servidor público habilitado suplente de la Dirección General de Recaudación, mediante el cual informa, de acuerdo con la información proporcionada por la Dirección Tributaria, lo siguiente:</w:t>
            </w:r>
          </w:p>
          <w:p w14:paraId="2AE972F6" w14:textId="77777777" w:rsidR="004A5FC7" w:rsidRDefault="00E6657C">
            <w:pPr>
              <w:spacing w:before="120" w:after="120"/>
              <w:ind w:left="310"/>
              <w:jc w:val="both"/>
              <w:rPr>
                <w:rFonts w:ascii="Palatino Linotype" w:eastAsia="Palatino Linotype" w:hAnsi="Palatino Linotype" w:cs="Palatino Linotype"/>
                <w:i/>
                <w:sz w:val="20"/>
                <w:szCs w:val="20"/>
              </w:rPr>
            </w:pPr>
            <w:proofErr w:type="gramStart"/>
            <w:r>
              <w:rPr>
                <w:rFonts w:ascii="Palatino Linotype" w:eastAsia="Palatino Linotype" w:hAnsi="Palatino Linotype" w:cs="Palatino Linotype"/>
                <w:i/>
                <w:sz w:val="20"/>
                <w:szCs w:val="20"/>
              </w:rPr>
              <w:t>“..</w:t>
            </w:r>
            <w:proofErr w:type="gramEnd"/>
            <w:r>
              <w:rPr>
                <w:rFonts w:ascii="Palatino Linotype" w:eastAsia="Palatino Linotype" w:hAnsi="Palatino Linotype" w:cs="Palatino Linotype"/>
                <w:i/>
                <w:sz w:val="20"/>
                <w:szCs w:val="20"/>
              </w:rPr>
              <w:t xml:space="preserve">En relación con la petición de la recaudación por concepto de Aportaciones de Mejoras para Obras de Impacto Vial, es importante destacar que la información puede ser consultada directamente por el contribuyente en la Cuenta Pública del año correspondiente a través de la liga </w:t>
            </w:r>
            <w:hyperlink r:id="rId8">
              <w:r>
                <w:rPr>
                  <w:rFonts w:ascii="Palatino Linotype" w:eastAsia="Palatino Linotype" w:hAnsi="Palatino Linotype" w:cs="Palatino Linotype"/>
                  <w:i/>
                  <w:color w:val="000000"/>
                  <w:sz w:val="20"/>
                  <w:szCs w:val="20"/>
                  <w:u w:val="single"/>
                </w:rPr>
                <w:t>http://transparenciafiscal.edomex.gob.mx/rendición_cuentas</w:t>
              </w:r>
            </w:hyperlink>
            <w:r>
              <w:rPr>
                <w:rFonts w:ascii="Palatino Linotype" w:eastAsia="Palatino Linotype" w:hAnsi="Palatino Linotype" w:cs="Palatino Linotype"/>
                <w:i/>
                <w:sz w:val="20"/>
                <w:szCs w:val="20"/>
              </w:rPr>
              <w:t xml:space="preserve"> seleccionando la opción “Cuenta Pública” y el año que desea consultar. </w:t>
            </w:r>
          </w:p>
          <w:p w14:paraId="58EC1AC3" w14:textId="77777777" w:rsidR="004A5FC7" w:rsidRDefault="00E6657C">
            <w:pPr>
              <w:spacing w:before="120" w:after="120"/>
              <w:ind w:left="31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Sobre la solicitud de información detallada en el punto 2, que la unidad administrativa no es la autoridad responsable de administrar el concepto de las contribuciones que realizaron los desarrolladores inmobiliarios, por concepto de aportaciones de mejoras para obras de impacto vial, por lo tanto, no se tiene información al respecto…” (sic)</w:t>
            </w:r>
          </w:p>
        </w:tc>
      </w:tr>
      <w:tr w:rsidR="004A5FC7" w14:paraId="5E6712D3" w14:textId="77777777">
        <w:trPr>
          <w:jc w:val="center"/>
        </w:trPr>
        <w:tc>
          <w:tcPr>
            <w:tcW w:w="2972" w:type="dxa"/>
            <w:vAlign w:val="center"/>
          </w:tcPr>
          <w:p w14:paraId="3FA22DE4" w14:textId="77777777" w:rsidR="004A5FC7" w:rsidRDefault="00E6657C">
            <w:pPr>
              <w:spacing w:before="120" w:after="12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00565/SF/IP/2022</w:t>
            </w:r>
          </w:p>
        </w:tc>
        <w:tc>
          <w:tcPr>
            <w:tcW w:w="5856" w:type="dxa"/>
          </w:tcPr>
          <w:p w14:paraId="4BC75846" w14:textId="77777777" w:rsidR="004A5FC7" w:rsidRDefault="00E6657C">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“Sobre el particular, sírvase encontrar en archivo adjunto copia del oficio de notificación número 20700004S/UT-0047/2023 mediante el cual se detalla lo referente a su solicitud.” (sic)</w:t>
            </w:r>
          </w:p>
          <w:p w14:paraId="3992441B" w14:textId="77777777" w:rsidR="004A5FC7" w:rsidRDefault="00E6657C">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Anexos:</w:t>
            </w:r>
          </w:p>
          <w:p w14:paraId="3B4B8F02" w14:textId="77777777" w:rsidR="004A5FC7" w:rsidRDefault="00E6657C">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Oficio número 20700004S/UT/-0047/2023, de fecha diez de enero de dos mil veintitrés, signado por el </w:t>
            </w:r>
            <w:proofErr w:type="gramStart"/>
            <w:r>
              <w:rPr>
                <w:rFonts w:ascii="Palatino Linotype" w:eastAsia="Palatino Linotype" w:hAnsi="Palatino Linotype" w:cs="Palatino Linotype"/>
                <w:sz w:val="20"/>
                <w:szCs w:val="20"/>
              </w:rPr>
              <w:t>Jefe</w:t>
            </w:r>
            <w:proofErr w:type="gramEnd"/>
            <w:r>
              <w:rPr>
                <w:rFonts w:ascii="Palatino Linotype" w:eastAsia="Palatino Linotype" w:hAnsi="Palatino Linotype" w:cs="Palatino Linotype"/>
                <w:sz w:val="20"/>
                <w:szCs w:val="20"/>
              </w:rPr>
              <w:t xml:space="preserve"> de la UIPPE y Titular de la Unidad de Transparencia, mediante el cual notifica la respuesta a la persona solicitante.</w:t>
            </w:r>
          </w:p>
          <w:p w14:paraId="5CBA1957" w14:textId="77777777" w:rsidR="004A5FC7" w:rsidRDefault="00E6657C">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 Oficio número 20703001030300L/04/2023, de fecha nueve de enero de dos mil veintitrés, signado por el </w:t>
            </w:r>
            <w:proofErr w:type="gramStart"/>
            <w:r>
              <w:rPr>
                <w:rFonts w:ascii="Palatino Linotype" w:eastAsia="Palatino Linotype" w:hAnsi="Palatino Linotype" w:cs="Palatino Linotype"/>
                <w:sz w:val="20"/>
                <w:szCs w:val="20"/>
              </w:rPr>
              <w:t>Subdirector</w:t>
            </w:r>
            <w:proofErr w:type="gramEnd"/>
            <w:r>
              <w:rPr>
                <w:rFonts w:ascii="Palatino Linotype" w:eastAsia="Palatino Linotype" w:hAnsi="Palatino Linotype" w:cs="Palatino Linotype"/>
                <w:sz w:val="20"/>
                <w:szCs w:val="20"/>
              </w:rPr>
              <w:t xml:space="preserve"> de Normas y Procedimientos y servidor público habilitado suplente de la Dirección General de Recaudación, mediante el cual informa, de acuerdo con la información proporcionada por la Dirección Tributaria, lo siguiente:</w:t>
            </w:r>
          </w:p>
          <w:p w14:paraId="6A6B01BC" w14:textId="77777777" w:rsidR="004A5FC7" w:rsidRDefault="00E6657C">
            <w:pPr>
              <w:spacing w:before="120" w:after="120"/>
              <w:ind w:left="31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relación con la petición de la recaudación por concepto de Aportaciones de Mejoras para Obras de Impacto Vial, es importante destacar que la información puede ser consultada directamente por el contribuyente en la Cuenta Pública del año correspondiente a través de la liga </w:t>
            </w:r>
            <w:hyperlink r:id="rId9">
              <w:r>
                <w:rPr>
                  <w:rFonts w:ascii="Palatino Linotype" w:eastAsia="Palatino Linotype" w:hAnsi="Palatino Linotype" w:cs="Palatino Linotype"/>
                  <w:i/>
                  <w:color w:val="000000"/>
                  <w:sz w:val="20"/>
                  <w:szCs w:val="20"/>
                  <w:u w:val="single"/>
                </w:rPr>
                <w:t>https://transparenciafiscal.edomex.gob.mx/rendicion_cuentas</w:t>
              </w:r>
            </w:hyperlink>
            <w:r>
              <w:rPr>
                <w:rFonts w:ascii="Palatino Linotype" w:eastAsia="Palatino Linotype" w:hAnsi="Palatino Linotype" w:cs="Palatino Linotype"/>
                <w:i/>
                <w:sz w:val="20"/>
                <w:szCs w:val="20"/>
              </w:rPr>
              <w:t xml:space="preserve"> seleccionando la opción “Cuenta Pública” y el año que desea consultar. </w:t>
            </w:r>
          </w:p>
          <w:p w14:paraId="262E6F0D" w14:textId="77777777" w:rsidR="004A5FC7" w:rsidRDefault="00E6657C">
            <w:pPr>
              <w:spacing w:before="120" w:after="120"/>
              <w:ind w:left="31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Sobre la solicitud de información detallada en el punto 2, que la unidad administrativa no es la autoridad responsable de administrar el concepto de las contribuciones que realizaron los desarrolladores inmobiliarios, por concepto de aportaciones de mejoras para obras de impacto vial, por lo tanto, no se tiene información al respecto.” (sic)</w:t>
            </w:r>
          </w:p>
        </w:tc>
      </w:tr>
    </w:tbl>
    <w:p w14:paraId="3349FEF9"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 los recursos de revisión. </w:t>
      </w:r>
      <w:r>
        <w:rPr>
          <w:rFonts w:ascii="Palatino Linotype" w:eastAsia="Palatino Linotype" w:hAnsi="Palatino Linotype" w:cs="Palatino Linotype"/>
        </w:rPr>
        <w:t xml:space="preserve">Inconforme la persona solicitante con la respuesta emitida por el </w:t>
      </w:r>
      <w:r>
        <w:rPr>
          <w:rFonts w:ascii="Palatino Linotype" w:eastAsia="Palatino Linotype" w:hAnsi="Palatino Linotype" w:cs="Palatino Linotype"/>
          <w:b/>
        </w:rPr>
        <w:t xml:space="preserve">Sujeto </w:t>
      </w:r>
      <w:proofErr w:type="gramStart"/>
      <w:r>
        <w:rPr>
          <w:rFonts w:ascii="Palatino Linotype" w:eastAsia="Palatino Linotype" w:hAnsi="Palatino Linotype" w:cs="Palatino Linotype"/>
          <w:b/>
        </w:rPr>
        <w:t xml:space="preserve">Obligado  </w:t>
      </w:r>
      <w:r>
        <w:rPr>
          <w:rFonts w:ascii="Palatino Linotype" w:eastAsia="Palatino Linotype" w:hAnsi="Palatino Linotype" w:cs="Palatino Linotype"/>
        </w:rPr>
        <w:t>a</w:t>
      </w:r>
      <w:proofErr w:type="gramEnd"/>
      <w:r>
        <w:rPr>
          <w:rFonts w:ascii="Palatino Linotype" w:eastAsia="Palatino Linotype" w:hAnsi="Palatino Linotype" w:cs="Palatino Linotype"/>
        </w:rPr>
        <w:t xml:space="preserve"> sus solicitudes, en fecha </w:t>
      </w:r>
      <w:r>
        <w:rPr>
          <w:rFonts w:ascii="Palatino Linotype" w:eastAsia="Palatino Linotype" w:hAnsi="Palatino Linotype" w:cs="Palatino Linotype"/>
          <w:b/>
        </w:rPr>
        <w:t>ocho de febrero de dos mil veintitrés</w:t>
      </w:r>
      <w:r>
        <w:rPr>
          <w:rFonts w:ascii="Palatino Linotype" w:eastAsia="Palatino Linotype" w:hAnsi="Palatino Linotype" w:cs="Palatino Linotype"/>
        </w:rPr>
        <w:t>, interpuso recursos de revisión a través del SAIMEX, expresando lo siguiente:</w:t>
      </w:r>
    </w:p>
    <w:tbl>
      <w:tblPr>
        <w:tblStyle w:val="afff0"/>
        <w:tblW w:w="8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3043"/>
      </w:tblGrid>
      <w:tr w:rsidR="004A5FC7" w14:paraId="6DF97F38" w14:textId="77777777">
        <w:tc>
          <w:tcPr>
            <w:tcW w:w="2835" w:type="dxa"/>
            <w:shd w:val="clear" w:color="auto" w:fill="A6A6A6"/>
            <w:vAlign w:val="center"/>
          </w:tcPr>
          <w:p w14:paraId="38C75386"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Recurso de revisión</w:t>
            </w:r>
          </w:p>
        </w:tc>
        <w:tc>
          <w:tcPr>
            <w:tcW w:w="2977" w:type="dxa"/>
            <w:shd w:val="clear" w:color="auto" w:fill="A6A6A6"/>
            <w:vAlign w:val="center"/>
          </w:tcPr>
          <w:p w14:paraId="51DC16F1"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Acto impugnado.</w:t>
            </w:r>
          </w:p>
        </w:tc>
        <w:tc>
          <w:tcPr>
            <w:tcW w:w="3043" w:type="dxa"/>
            <w:shd w:val="clear" w:color="auto" w:fill="A6A6A6"/>
            <w:vAlign w:val="center"/>
          </w:tcPr>
          <w:p w14:paraId="0368FE89"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Motivos de inconformidad.</w:t>
            </w:r>
          </w:p>
        </w:tc>
      </w:tr>
      <w:tr w:rsidR="004A5FC7" w14:paraId="2098220F" w14:textId="77777777">
        <w:tc>
          <w:tcPr>
            <w:tcW w:w="2835" w:type="dxa"/>
            <w:shd w:val="clear" w:color="auto" w:fill="auto"/>
            <w:vAlign w:val="center"/>
          </w:tcPr>
          <w:p w14:paraId="1792830E"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00669/INFOEM/IP/RR/2023</w:t>
            </w:r>
          </w:p>
          <w:p w14:paraId="6ABA5F5D" w14:textId="77777777" w:rsidR="004A5FC7" w:rsidRDefault="00E6657C">
            <w:pPr>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16"/>
                <w:szCs w:val="16"/>
              </w:rPr>
              <w:t>Solicitud</w:t>
            </w:r>
            <w:r>
              <w:rPr>
                <w:rFonts w:ascii="Palatino Linotype" w:eastAsia="Palatino Linotype" w:hAnsi="Palatino Linotype" w:cs="Palatino Linotype"/>
                <w:b/>
                <w:sz w:val="20"/>
                <w:szCs w:val="20"/>
              </w:rPr>
              <w:t xml:space="preserve"> 00565/SF/IP/2022</w:t>
            </w:r>
          </w:p>
        </w:tc>
        <w:tc>
          <w:tcPr>
            <w:tcW w:w="2977" w:type="dxa"/>
            <w:shd w:val="clear" w:color="auto" w:fill="auto"/>
            <w:vAlign w:val="center"/>
          </w:tcPr>
          <w:p w14:paraId="0AE9643B" w14:textId="77777777" w:rsidR="004A5FC7" w:rsidRDefault="00E6657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“Respuesta emitida por la autoridad responsable mediante: Oficio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20703001030200L/08/2023 Asunto: Se emite respuesta de solicitud de información </w:t>
            </w:r>
            <w:proofErr w:type="spellStart"/>
            <w:r>
              <w:rPr>
                <w:rFonts w:ascii="Palatino Linotype" w:eastAsia="Palatino Linotype" w:hAnsi="Palatino Linotype" w:cs="Palatino Linotype"/>
                <w:i/>
                <w:sz w:val="20"/>
                <w:szCs w:val="20"/>
              </w:rPr>
              <w:t>publica</w:t>
            </w:r>
            <w:proofErr w:type="spellEnd"/>
            <w:r>
              <w:rPr>
                <w:rFonts w:ascii="Palatino Linotype" w:eastAsia="Palatino Linotype" w:hAnsi="Palatino Linotype" w:cs="Palatino Linotype"/>
                <w:i/>
                <w:sz w:val="20"/>
                <w:szCs w:val="20"/>
              </w:rPr>
              <w:t xml:space="preserve"> 00562/SF/IP/2022 Toluca de Lerdo, México a 9 de enero de 2023 Derivado de lo anterior, esta Dirección de Administración Tributaria se pronuncia respecto a </w:t>
            </w:r>
            <w:r>
              <w:rPr>
                <w:rFonts w:ascii="Palatino Linotype" w:eastAsia="Palatino Linotype" w:hAnsi="Palatino Linotype" w:cs="Palatino Linotype"/>
                <w:i/>
                <w:sz w:val="20"/>
                <w:szCs w:val="20"/>
              </w:rPr>
              <w:lastRenderedPageBreak/>
              <w:t xml:space="preserve">lo siguiente: De conformidad con el </w:t>
            </w:r>
            <w:proofErr w:type="spellStart"/>
            <w:r>
              <w:rPr>
                <w:rFonts w:ascii="Palatino Linotype" w:eastAsia="Palatino Linotype" w:hAnsi="Palatino Linotype" w:cs="Palatino Linotype"/>
                <w:i/>
                <w:sz w:val="20"/>
                <w:szCs w:val="20"/>
              </w:rPr>
              <w:t>articulo</w:t>
            </w:r>
            <w:proofErr w:type="spellEnd"/>
            <w:r>
              <w:rPr>
                <w:rFonts w:ascii="Palatino Linotype" w:eastAsia="Palatino Linotype" w:hAnsi="Palatino Linotype" w:cs="Palatino Linotype"/>
                <w:i/>
                <w:sz w:val="20"/>
                <w:szCs w:val="20"/>
              </w:rPr>
              <w:t xml:space="preserve"> 82, fracción V, de los Lineamientos, establece que serán accesibles a la lectura electrónica en los términos y por los plazos que se establezcan en el </w:t>
            </w:r>
            <w:proofErr w:type="spellStart"/>
            <w:r>
              <w:rPr>
                <w:rFonts w:ascii="Palatino Linotype" w:eastAsia="Palatino Linotype" w:hAnsi="Palatino Linotype" w:cs="Palatino Linotype"/>
                <w:i/>
                <w:sz w:val="20"/>
                <w:szCs w:val="20"/>
              </w:rPr>
              <w:t>Catalogo</w:t>
            </w:r>
            <w:proofErr w:type="spellEnd"/>
            <w:r>
              <w:rPr>
                <w:rFonts w:ascii="Palatino Linotype" w:eastAsia="Palatino Linotype" w:hAnsi="Palatino Linotype" w:cs="Palatino Linotype"/>
                <w:i/>
                <w:sz w:val="20"/>
                <w:szCs w:val="20"/>
              </w:rPr>
              <w:t xml:space="preserve"> de Disposición Documental, hasta cumplir su vigencia administrativa, legal, contable o fiscal; del cual se advierte que la plaza de conservación de las archivos de concentración electrónicos, </w:t>
            </w:r>
            <w:proofErr w:type="spellStart"/>
            <w:r>
              <w:rPr>
                <w:rFonts w:ascii="Palatino Linotype" w:eastAsia="Palatino Linotype" w:hAnsi="Palatino Linotype" w:cs="Palatino Linotype"/>
                <w:i/>
                <w:sz w:val="20"/>
                <w:szCs w:val="20"/>
              </w:rPr>
              <w:t>sera</w:t>
            </w:r>
            <w:proofErr w:type="spellEnd"/>
            <w:r>
              <w:rPr>
                <w:rFonts w:ascii="Palatino Linotype" w:eastAsia="Palatino Linotype" w:hAnsi="Palatino Linotype" w:cs="Palatino Linotype"/>
                <w:i/>
                <w:sz w:val="20"/>
                <w:szCs w:val="20"/>
              </w:rPr>
              <w:t xml:space="preserve"> de 6 años y considerando la vigencia fiscal, conforme al dispositivo 43 del Código Financiero del Estado de México y Municipios la prescripción de un crédito fiscal es de 5 años. Razón por la cual esta unidad administrativa no cuenta con la información requerida. Sobre la solicitud de información detallada en el punto 2, le informo que esta Unidad Administrativa no es la autoridad responsable de administrar el concepto y el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de cuenta en que la </w:t>
            </w:r>
            <w:proofErr w:type="gramStart"/>
            <w:r>
              <w:rPr>
                <w:rFonts w:ascii="Palatino Linotype" w:eastAsia="Palatino Linotype" w:hAnsi="Palatino Linotype" w:cs="Palatino Linotype"/>
                <w:i/>
                <w:sz w:val="20"/>
                <w:szCs w:val="20"/>
              </w:rPr>
              <w:t>Secretaria</w:t>
            </w:r>
            <w:proofErr w:type="gramEnd"/>
            <w:r>
              <w:rPr>
                <w:rFonts w:ascii="Palatino Linotype" w:eastAsia="Palatino Linotype" w:hAnsi="Palatino Linotype" w:cs="Palatino Linotype"/>
                <w:i/>
                <w:sz w:val="20"/>
                <w:szCs w:val="20"/>
              </w:rPr>
              <w:t xml:space="preserve"> de Finanzas, tiene concentrado todos las recursos estatales provenientes de las contribuciones que realizaron los desarrolladores inmobiliarios, por concepto de aportaciones de mejoras para obras de impacto vial, </w:t>
            </w:r>
            <w:proofErr w:type="spellStart"/>
            <w:r>
              <w:rPr>
                <w:rFonts w:ascii="Palatino Linotype" w:eastAsia="Palatino Linotype" w:hAnsi="Palatino Linotype" w:cs="Palatino Linotype"/>
                <w:i/>
                <w:sz w:val="20"/>
                <w:szCs w:val="20"/>
              </w:rPr>
              <w:t>par</w:t>
            </w:r>
            <w:proofErr w:type="spellEnd"/>
            <w:r>
              <w:rPr>
                <w:rFonts w:ascii="Palatino Linotype" w:eastAsia="Palatino Linotype" w:hAnsi="Palatino Linotype" w:cs="Palatino Linotype"/>
                <w:i/>
                <w:sz w:val="20"/>
                <w:szCs w:val="20"/>
              </w:rPr>
              <w:t xml:space="preserve"> lo tanto, no se tiene información al respecto.” (sic)</w:t>
            </w:r>
          </w:p>
        </w:tc>
        <w:tc>
          <w:tcPr>
            <w:tcW w:w="3043" w:type="dxa"/>
            <w:shd w:val="clear" w:color="auto" w:fill="auto"/>
          </w:tcPr>
          <w:p w14:paraId="36B6DF0F" w14:textId="77777777" w:rsidR="004A5FC7" w:rsidRDefault="00E6657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“En el primer supuesto de respuesta de requerimiento de información, la autoridad responsable emite una respuesta sin agotar la posibilidad de búsqueda o ser exhaustivo en la misma, pretendiendo eludir su responsabilidad con objeto de acceso a la información, es decir la motivación con la que se pretende evadir la respuesta con solo </w:t>
            </w:r>
            <w:r>
              <w:rPr>
                <w:rFonts w:ascii="Palatino Linotype" w:eastAsia="Palatino Linotype" w:hAnsi="Palatino Linotype" w:cs="Palatino Linotype"/>
                <w:i/>
                <w:sz w:val="20"/>
                <w:szCs w:val="20"/>
              </w:rPr>
              <w:lastRenderedPageBreak/>
              <w:t xml:space="preserve">limitarse a señalar términos de prescripción, resultado carente de haber agotado el proceso correspondiente. Y por otra parte resulta contradictorio que en el segundo supuesto de respuesta que emite la autoridad pretende evadir la respuesta, pretendiendo atribuirse como el área a la que se le requirió la información, siendo que dicha solicitud se realiza directamente a </w:t>
            </w:r>
            <w:proofErr w:type="gramStart"/>
            <w:r>
              <w:rPr>
                <w:rFonts w:ascii="Palatino Linotype" w:eastAsia="Palatino Linotype" w:hAnsi="Palatino Linotype" w:cs="Palatino Linotype"/>
                <w:i/>
                <w:sz w:val="20"/>
                <w:szCs w:val="20"/>
              </w:rPr>
              <w:t>Secretaria</w:t>
            </w:r>
            <w:proofErr w:type="gramEnd"/>
            <w:r>
              <w:rPr>
                <w:rFonts w:ascii="Palatino Linotype" w:eastAsia="Palatino Linotype" w:hAnsi="Palatino Linotype" w:cs="Palatino Linotype"/>
                <w:i/>
                <w:sz w:val="20"/>
                <w:szCs w:val="20"/>
              </w:rPr>
              <w:t xml:space="preserve"> de Finanzas y por consiguiente no se da respuesta por parte del obligado responsable de dicha información y siendo directamente requerida la información a la autoridad responsable de la misma.” (sic)</w:t>
            </w:r>
          </w:p>
        </w:tc>
      </w:tr>
      <w:tr w:rsidR="004A5FC7" w14:paraId="0A057D2F" w14:textId="77777777">
        <w:tc>
          <w:tcPr>
            <w:tcW w:w="2835" w:type="dxa"/>
            <w:vAlign w:val="center"/>
          </w:tcPr>
          <w:p w14:paraId="075F6A9A"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00671/INFOEM/IP/RR/2023</w:t>
            </w:r>
          </w:p>
          <w:p w14:paraId="72893E8E" w14:textId="77777777" w:rsidR="004A5FC7" w:rsidRDefault="00E6657C">
            <w:pPr>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16"/>
                <w:szCs w:val="16"/>
              </w:rPr>
              <w:t>Solicitud</w:t>
            </w:r>
            <w:r>
              <w:rPr>
                <w:rFonts w:ascii="Palatino Linotype" w:eastAsia="Palatino Linotype" w:hAnsi="Palatino Linotype" w:cs="Palatino Linotype"/>
                <w:b/>
                <w:sz w:val="20"/>
                <w:szCs w:val="20"/>
              </w:rPr>
              <w:t xml:space="preserve"> 00564/SF/IP/2022</w:t>
            </w:r>
          </w:p>
        </w:tc>
        <w:tc>
          <w:tcPr>
            <w:tcW w:w="2977" w:type="dxa"/>
            <w:shd w:val="clear" w:color="auto" w:fill="auto"/>
            <w:vAlign w:val="center"/>
          </w:tcPr>
          <w:p w14:paraId="1631B8A9" w14:textId="77777777" w:rsidR="004A5FC7" w:rsidRDefault="00E6657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“Respuesta emitida por la autoridad responsable mediante: Folio de seguimiento: 00564/SF/IP/2022 Asunto: Se emite respuesta de solicitud de información </w:t>
            </w:r>
            <w:proofErr w:type="spellStart"/>
            <w:r>
              <w:rPr>
                <w:rFonts w:ascii="Palatino Linotype" w:eastAsia="Palatino Linotype" w:hAnsi="Palatino Linotype" w:cs="Palatino Linotype"/>
                <w:i/>
                <w:sz w:val="20"/>
                <w:szCs w:val="20"/>
              </w:rPr>
              <w:t>publica</w:t>
            </w:r>
            <w:proofErr w:type="spellEnd"/>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lastRenderedPageBreak/>
              <w:t xml:space="preserve">00564/SF/IP/2022 Derivado de lo anterior, esta Dirección de Administración Tributaria se pronuncia respecto a lo siguiente: De conformidad con el </w:t>
            </w:r>
            <w:proofErr w:type="spellStart"/>
            <w:r>
              <w:rPr>
                <w:rFonts w:ascii="Palatino Linotype" w:eastAsia="Palatino Linotype" w:hAnsi="Palatino Linotype" w:cs="Palatino Linotype"/>
                <w:i/>
                <w:sz w:val="20"/>
                <w:szCs w:val="20"/>
              </w:rPr>
              <w:t>articulo</w:t>
            </w:r>
            <w:proofErr w:type="spellEnd"/>
            <w:r>
              <w:rPr>
                <w:rFonts w:ascii="Palatino Linotype" w:eastAsia="Palatino Linotype" w:hAnsi="Palatino Linotype" w:cs="Palatino Linotype"/>
                <w:i/>
                <w:sz w:val="20"/>
                <w:szCs w:val="20"/>
              </w:rPr>
              <w:t xml:space="preserve"> 82, fracción V, de los Lineamientos, establece que serán accesibles a la lectura electrónica en los términos y por los plazos que se establezcan en el </w:t>
            </w:r>
            <w:proofErr w:type="spellStart"/>
            <w:r>
              <w:rPr>
                <w:rFonts w:ascii="Palatino Linotype" w:eastAsia="Palatino Linotype" w:hAnsi="Palatino Linotype" w:cs="Palatino Linotype"/>
                <w:i/>
                <w:sz w:val="20"/>
                <w:szCs w:val="20"/>
              </w:rPr>
              <w:t>Catalogo</w:t>
            </w:r>
            <w:proofErr w:type="spellEnd"/>
            <w:r>
              <w:rPr>
                <w:rFonts w:ascii="Palatino Linotype" w:eastAsia="Palatino Linotype" w:hAnsi="Palatino Linotype" w:cs="Palatino Linotype"/>
                <w:i/>
                <w:sz w:val="20"/>
                <w:szCs w:val="20"/>
              </w:rPr>
              <w:t xml:space="preserve"> de Disposición Documental, hasta cumplir su vigencia administrativa, legal, contable o fiscal; del cual se advierte que la plaza de conservación de las archivos de concentración electrónicos, </w:t>
            </w:r>
            <w:proofErr w:type="spellStart"/>
            <w:r>
              <w:rPr>
                <w:rFonts w:ascii="Palatino Linotype" w:eastAsia="Palatino Linotype" w:hAnsi="Palatino Linotype" w:cs="Palatino Linotype"/>
                <w:i/>
                <w:sz w:val="20"/>
                <w:szCs w:val="20"/>
              </w:rPr>
              <w:t>sera</w:t>
            </w:r>
            <w:proofErr w:type="spellEnd"/>
            <w:r>
              <w:rPr>
                <w:rFonts w:ascii="Palatino Linotype" w:eastAsia="Palatino Linotype" w:hAnsi="Palatino Linotype" w:cs="Palatino Linotype"/>
                <w:i/>
                <w:sz w:val="20"/>
                <w:szCs w:val="20"/>
              </w:rPr>
              <w:t xml:space="preserve"> de 6 años y considerando la vigencia fiscal, conforme al dispositivo 43 del Código Financiero del Estado de México y Municipios la prescripción de un crédito fiscal es de 5 años. Razón por la cual esta unidad administrativa no cuenta con la información requerida. Sobre la solicitud de información detallada en el punto 2, le informo que esta Unidad Administrativa no es la autoridad responsable de administrar el concepto y el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de cuenta en que la </w:t>
            </w:r>
            <w:proofErr w:type="gramStart"/>
            <w:r>
              <w:rPr>
                <w:rFonts w:ascii="Palatino Linotype" w:eastAsia="Palatino Linotype" w:hAnsi="Palatino Linotype" w:cs="Palatino Linotype"/>
                <w:i/>
                <w:sz w:val="20"/>
                <w:szCs w:val="20"/>
              </w:rPr>
              <w:t>Secretaria</w:t>
            </w:r>
            <w:proofErr w:type="gramEnd"/>
            <w:r>
              <w:rPr>
                <w:rFonts w:ascii="Palatino Linotype" w:eastAsia="Palatino Linotype" w:hAnsi="Palatino Linotype" w:cs="Palatino Linotype"/>
                <w:i/>
                <w:sz w:val="20"/>
                <w:szCs w:val="20"/>
              </w:rPr>
              <w:t xml:space="preserve"> de Finanzas, tiene concentrado todos las recursos estatales provenientes de las contribuciones que realizaron los desarrolladores inmobiliarios, por concepto de aportaciones de mejoras para obras de impacto vial, </w:t>
            </w:r>
            <w:proofErr w:type="spellStart"/>
            <w:r>
              <w:rPr>
                <w:rFonts w:ascii="Palatino Linotype" w:eastAsia="Palatino Linotype" w:hAnsi="Palatino Linotype" w:cs="Palatino Linotype"/>
                <w:i/>
                <w:sz w:val="20"/>
                <w:szCs w:val="20"/>
              </w:rPr>
              <w:t>par</w:t>
            </w:r>
            <w:proofErr w:type="spellEnd"/>
            <w:r>
              <w:rPr>
                <w:rFonts w:ascii="Palatino Linotype" w:eastAsia="Palatino Linotype" w:hAnsi="Palatino Linotype" w:cs="Palatino Linotype"/>
                <w:i/>
                <w:sz w:val="20"/>
                <w:szCs w:val="20"/>
              </w:rPr>
              <w:t xml:space="preserve"> lo tanto, no se tiene información al respecto.” (sic)</w:t>
            </w:r>
          </w:p>
        </w:tc>
        <w:tc>
          <w:tcPr>
            <w:tcW w:w="3043" w:type="dxa"/>
            <w:shd w:val="clear" w:color="auto" w:fill="auto"/>
          </w:tcPr>
          <w:p w14:paraId="0C85F49A" w14:textId="77777777" w:rsidR="004A5FC7" w:rsidRDefault="00E6657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“En el primer supuesto de respuesta de requerimiento de información, la autoridad responsable emite una respuesta sin agotar la posibilidad de búsqueda o ser exhaustivo en la </w:t>
            </w:r>
            <w:r>
              <w:rPr>
                <w:rFonts w:ascii="Palatino Linotype" w:eastAsia="Palatino Linotype" w:hAnsi="Palatino Linotype" w:cs="Palatino Linotype"/>
                <w:i/>
                <w:sz w:val="20"/>
                <w:szCs w:val="20"/>
              </w:rPr>
              <w:lastRenderedPageBreak/>
              <w:t xml:space="preserve">misma, pretendiendo eludir su responsabilidad con objeto de acceso a la información, limitándose a mandar al solicitante a una liga en la que pretende que el requirente de la información no cuente con la información clara y exacta de lo que es parte de la solicitud, ya que esa autoridad, </w:t>
            </w:r>
            <w:proofErr w:type="spellStart"/>
            <w:r>
              <w:rPr>
                <w:rFonts w:ascii="Palatino Linotype" w:eastAsia="Palatino Linotype" w:hAnsi="Palatino Linotype" w:cs="Palatino Linotype"/>
                <w:i/>
                <w:sz w:val="20"/>
                <w:szCs w:val="20"/>
              </w:rPr>
              <w:t>esta</w:t>
            </w:r>
            <w:proofErr w:type="spellEnd"/>
            <w:r>
              <w:rPr>
                <w:rFonts w:ascii="Palatino Linotype" w:eastAsia="Palatino Linotype" w:hAnsi="Palatino Linotype" w:cs="Palatino Linotype"/>
                <w:i/>
                <w:sz w:val="20"/>
                <w:szCs w:val="20"/>
              </w:rPr>
              <w:t xml:space="preserve"> obligada a dar respuesta tacita y directa, es decir a pregunta directa respuesta directa de la información es decir la motivación con la que se pretende evadir la respuesta con solo limitarse a señalar una liga para </w:t>
            </w:r>
            <w:proofErr w:type="spellStart"/>
            <w:r>
              <w:rPr>
                <w:rFonts w:ascii="Palatino Linotype" w:eastAsia="Palatino Linotype" w:hAnsi="Palatino Linotype" w:cs="Palatino Linotype"/>
                <w:i/>
                <w:sz w:val="20"/>
                <w:szCs w:val="20"/>
              </w:rPr>
              <w:t>busqueda</w:t>
            </w:r>
            <w:proofErr w:type="spellEnd"/>
            <w:r>
              <w:rPr>
                <w:rFonts w:ascii="Palatino Linotype" w:eastAsia="Palatino Linotype" w:hAnsi="Palatino Linotype" w:cs="Palatino Linotype"/>
                <w:i/>
                <w:sz w:val="20"/>
                <w:szCs w:val="20"/>
              </w:rPr>
              <w:t xml:space="preserve">, resultado carente de haber agotado el proceso correspondiente estado mal motivado. Y por otra parte resulta contradictorio que en el segundo supuesto de respuesta que emite la autoridad pretende evadir la respuesta, pretendiendo atribuirse como el área a la que se le requirió la información, siendo que dicha solicitud se realiza directamente a </w:t>
            </w:r>
            <w:proofErr w:type="gramStart"/>
            <w:r>
              <w:rPr>
                <w:rFonts w:ascii="Palatino Linotype" w:eastAsia="Palatino Linotype" w:hAnsi="Palatino Linotype" w:cs="Palatino Linotype"/>
                <w:i/>
                <w:sz w:val="20"/>
                <w:szCs w:val="20"/>
              </w:rPr>
              <w:t>Secretaria</w:t>
            </w:r>
            <w:proofErr w:type="gramEnd"/>
            <w:r>
              <w:rPr>
                <w:rFonts w:ascii="Palatino Linotype" w:eastAsia="Palatino Linotype" w:hAnsi="Palatino Linotype" w:cs="Palatino Linotype"/>
                <w:i/>
                <w:sz w:val="20"/>
                <w:szCs w:val="20"/>
              </w:rPr>
              <w:t xml:space="preserve"> de Finanzas y por consiguiente no se da respuesta por parte del obligado responsable de dicha información y siendo directamente requerida la información a la autoridad responsable de la misma.”  (sic)</w:t>
            </w:r>
          </w:p>
        </w:tc>
      </w:tr>
    </w:tbl>
    <w:p w14:paraId="0FA02142"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4. Turno.</w:t>
      </w:r>
      <w:r>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w:t>
      </w:r>
      <w:r>
        <w:rPr>
          <w:rFonts w:ascii="Palatino Linotype" w:eastAsia="Palatino Linotype" w:hAnsi="Palatino Linotype" w:cs="Palatino Linotype"/>
        </w:rPr>
        <w:lastRenderedPageBreak/>
        <w:t>presentes recursos de revisión se turnaron por el sistema electrónico del Instituto de Transparencia, Acceso a la Información Pública y Protección de Datos Personales del Estado de México y Municipios, a los Comisionados</w:t>
      </w:r>
      <w:r>
        <w:rPr>
          <w:rFonts w:ascii="Palatino Linotype" w:eastAsia="Palatino Linotype" w:hAnsi="Palatino Linotype" w:cs="Palatino Linotype"/>
          <w:b/>
        </w:rPr>
        <w:t xml:space="preserve"> Guadalupe Ramírez Peña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Luis Gustavo Parra Noriega, </w:t>
      </w:r>
      <w:r>
        <w:rPr>
          <w:rFonts w:ascii="Palatino Linotype" w:eastAsia="Palatino Linotype" w:hAnsi="Palatino Linotype" w:cs="Palatino Linotype"/>
        </w:rPr>
        <w:t xml:space="preserve">a efecto de que analizaran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w:t>
      </w:r>
    </w:p>
    <w:p w14:paraId="0D28A8C3"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 los Recursos de Revisión. </w:t>
      </w:r>
      <w:r>
        <w:rPr>
          <w:rFonts w:ascii="Palatino Linotype" w:eastAsia="Palatino Linotype" w:hAnsi="Palatino Linotype" w:cs="Palatino Linotype"/>
        </w:rPr>
        <w:t xml:space="preserve">En fechas </w:t>
      </w:r>
      <w:r>
        <w:rPr>
          <w:rFonts w:ascii="Palatino Linotype" w:eastAsia="Palatino Linotype" w:hAnsi="Palatino Linotype" w:cs="Palatino Linotype"/>
          <w:b/>
        </w:rPr>
        <w:t>trece y quince de febrero de dos de dos mil veintitrés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6BDEF4C3" w14:textId="77777777" w:rsidR="004A5FC7" w:rsidRDefault="00E6657C">
      <w:pPr>
        <w:pBdr>
          <w:top w:val="nil"/>
          <w:left w:val="nil"/>
          <w:bottom w:val="nil"/>
          <w:right w:val="nil"/>
          <w:between w:val="nil"/>
        </w:pBdr>
        <w:spacing w:before="240" w:after="240" w:line="360" w:lineRule="auto"/>
        <w:jc w:val="both"/>
      </w:pPr>
      <w:r>
        <w:rPr>
          <w:rFonts w:ascii="Palatino Linotype" w:eastAsia="Palatino Linotype" w:hAnsi="Palatino Linotype" w:cs="Palatino Linotype"/>
          <w:b/>
        </w:rPr>
        <w:t xml:space="preserve">6. Acumulación de los recursos de revisión. </w:t>
      </w:r>
      <w:r>
        <w:rPr>
          <w:rFonts w:ascii="Palatino Linotype" w:eastAsia="Palatino Linotype" w:hAnsi="Palatino Linotype" w:cs="Palatino Linotype"/>
        </w:rPr>
        <w:t xml:space="preserve">Al respecto cabe señalar, que el Pleno de este Instituto, en la </w:t>
      </w:r>
      <w:r>
        <w:rPr>
          <w:rFonts w:ascii="Palatino Linotype" w:eastAsia="Palatino Linotype" w:hAnsi="Palatino Linotype" w:cs="Palatino Linotype"/>
          <w:b/>
        </w:rPr>
        <w:t>Séptima Sesión</w:t>
      </w:r>
      <w:r>
        <w:rPr>
          <w:rFonts w:ascii="Palatino Linotype" w:eastAsia="Palatino Linotype" w:hAnsi="Palatino Linotype" w:cs="Palatino Linotype"/>
        </w:rPr>
        <w:t xml:space="preserve"> </w:t>
      </w:r>
      <w:r>
        <w:rPr>
          <w:rFonts w:ascii="Palatino Linotype" w:eastAsia="Palatino Linotype" w:hAnsi="Palatino Linotype" w:cs="Palatino Linotype"/>
          <w:b/>
        </w:rPr>
        <w:t>Ordinaria</w:t>
      </w:r>
      <w:r>
        <w:rPr>
          <w:rFonts w:ascii="Palatino Linotype" w:eastAsia="Palatino Linotype" w:hAnsi="Palatino Linotype" w:cs="Palatino Linotype"/>
        </w:rPr>
        <w:t xml:space="preserve"> de fecha</w:t>
      </w:r>
      <w:r>
        <w:rPr>
          <w:rFonts w:ascii="Palatino Linotype" w:eastAsia="Palatino Linotype" w:hAnsi="Palatino Linotype" w:cs="Palatino Linotype"/>
          <w:b/>
        </w:rPr>
        <w:t xml:space="preserve"> veintidós de febrero de dos mil veintitrés,</w:t>
      </w:r>
      <w:r>
        <w:rPr>
          <w:rFonts w:ascii="Palatino Linotype" w:eastAsia="Palatino Linotype" w:hAnsi="Palatino Linotype" w:cs="Palatino Linotype"/>
        </w:rPr>
        <w:t xml:space="preserve"> ordenó la acumulación de los expedientes citados, a efecto de que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6360D852" w14:textId="77777777" w:rsidR="004A5FC7" w:rsidRDefault="00E6657C">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Código de Procedimientos Administrativos del Estado de México</w:t>
      </w:r>
    </w:p>
    <w:p w14:paraId="1557A8D2" w14:textId="77777777" w:rsidR="004A5FC7" w:rsidRDefault="00E6657C">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rPr>
        <w:t>cuando las partes</w:t>
      </w:r>
      <w:r>
        <w:rPr>
          <w:rFonts w:ascii="Palatino Linotype" w:eastAsia="Palatino Linotype" w:hAnsi="Palatino Linotype" w:cs="Palatino Linotype"/>
          <w:i/>
          <w:sz w:val="22"/>
          <w:szCs w:val="22"/>
        </w:rPr>
        <w:t xml:space="preserve"> o los actos administrativos sean iguales, se trate de actos conexos o </w:t>
      </w:r>
      <w:r>
        <w:rPr>
          <w:rFonts w:ascii="Palatino Linotype" w:eastAsia="Palatino Linotype" w:hAnsi="Palatino Linotype" w:cs="Palatino Linotype"/>
          <w:b/>
          <w:i/>
          <w:sz w:val="22"/>
          <w:szCs w:val="22"/>
        </w:rPr>
        <w:t xml:space="preserve">resulte conveniente el trámite unificado de los asuntos, para </w:t>
      </w:r>
      <w:r>
        <w:rPr>
          <w:rFonts w:ascii="Palatino Linotype" w:eastAsia="Palatino Linotype" w:hAnsi="Palatino Linotype" w:cs="Palatino Linotype"/>
          <w:b/>
          <w:i/>
          <w:sz w:val="22"/>
          <w:szCs w:val="22"/>
        </w:rPr>
        <w:lastRenderedPageBreak/>
        <w:t>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14:paraId="5EF42A66" w14:textId="77777777" w:rsidR="004A5FC7" w:rsidRDefault="00E6657C">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Ley de Transparencia y Acceso a la Información Pública del Estado de México y Municipios</w:t>
      </w:r>
    </w:p>
    <w:p w14:paraId="580B680A" w14:textId="77777777" w:rsidR="004A5FC7" w:rsidRDefault="00E6657C">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195.-</w:t>
      </w:r>
      <w:r>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48A3316E" w14:textId="77777777" w:rsidR="004A5FC7" w:rsidRDefault="00E665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integran los expedientes electrónicos en los que se actúa se advierte que en </w:t>
      </w:r>
      <w:proofErr w:type="gramStart"/>
      <w:r>
        <w:rPr>
          <w:rFonts w:ascii="Palatino Linotype" w:eastAsia="Palatino Linotype" w:hAnsi="Palatino Linotype" w:cs="Palatino Linotype"/>
        </w:rPr>
        <w:t xml:space="preserve">fecha  </w:t>
      </w:r>
      <w:r>
        <w:rPr>
          <w:rFonts w:ascii="Palatino Linotype" w:eastAsia="Palatino Linotype" w:hAnsi="Palatino Linotype" w:cs="Palatino Linotype"/>
          <w:b/>
        </w:rPr>
        <w:t>veintidós</w:t>
      </w:r>
      <w:proofErr w:type="gramEnd"/>
      <w:r>
        <w:rPr>
          <w:rFonts w:ascii="Palatino Linotype" w:eastAsia="Palatino Linotype" w:hAnsi="Palatino Linotype" w:cs="Palatino Linotype"/>
          <w:b/>
        </w:rPr>
        <w:t xml:space="preserve"> de febrero de dos mil veintitrés,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a través de SAIMEX, sus informes justificados, en los siguientes términos: </w:t>
      </w:r>
    </w:p>
    <w:tbl>
      <w:tblPr>
        <w:tblStyle w:val="afff1"/>
        <w:tblW w:w="87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5736"/>
      </w:tblGrid>
      <w:tr w:rsidR="004A5FC7" w14:paraId="34BD2627" w14:textId="77777777">
        <w:tc>
          <w:tcPr>
            <w:tcW w:w="2977" w:type="dxa"/>
            <w:shd w:val="clear" w:color="auto" w:fill="A6A6A6"/>
          </w:tcPr>
          <w:p w14:paraId="37AC3515"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Recuso de Revisión</w:t>
            </w:r>
          </w:p>
        </w:tc>
        <w:tc>
          <w:tcPr>
            <w:tcW w:w="5736" w:type="dxa"/>
            <w:shd w:val="clear" w:color="auto" w:fill="A6A6A6"/>
          </w:tcPr>
          <w:p w14:paraId="647D4496" w14:textId="77777777" w:rsidR="004A5FC7" w:rsidRDefault="00E6657C">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entregada</w:t>
            </w:r>
          </w:p>
        </w:tc>
      </w:tr>
      <w:tr w:rsidR="004A5FC7" w14:paraId="7D4174C9" w14:textId="77777777">
        <w:trPr>
          <w:trHeight w:val="432"/>
        </w:trPr>
        <w:tc>
          <w:tcPr>
            <w:tcW w:w="2977" w:type="dxa"/>
            <w:vAlign w:val="center"/>
          </w:tcPr>
          <w:p w14:paraId="576D8314" w14:textId="77777777" w:rsidR="004A5FC7" w:rsidRDefault="00E6657C">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0669/INFOEM/IP/RR/2023</w:t>
            </w:r>
          </w:p>
          <w:p w14:paraId="1F4A7919" w14:textId="77777777" w:rsidR="004A5FC7" w:rsidRDefault="00E6657C">
            <w:pPr>
              <w:spacing w:before="120" w:after="120"/>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16"/>
                <w:szCs w:val="16"/>
              </w:rPr>
              <w:t xml:space="preserve">Solicitud </w:t>
            </w:r>
            <w:r>
              <w:rPr>
                <w:rFonts w:ascii="Palatino Linotype" w:eastAsia="Palatino Linotype" w:hAnsi="Palatino Linotype" w:cs="Palatino Linotype"/>
                <w:b/>
                <w:sz w:val="20"/>
                <w:szCs w:val="20"/>
              </w:rPr>
              <w:t>00565/SF/IP/2022</w:t>
            </w:r>
          </w:p>
        </w:tc>
        <w:tc>
          <w:tcPr>
            <w:tcW w:w="5736" w:type="dxa"/>
          </w:tcPr>
          <w:p w14:paraId="07147DF7"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sz w:val="20"/>
                <w:szCs w:val="20"/>
              </w:rPr>
              <w:t xml:space="preserve">Informe justificado, mediante el cual, con relación a los motivos de inconformidad aducidos por la parte </w:t>
            </w:r>
            <w:r>
              <w:rPr>
                <w:rFonts w:ascii="Palatino Linotype" w:eastAsia="Palatino Linotype" w:hAnsi="Palatino Linotype" w:cs="Palatino Linotype"/>
                <w:b/>
                <w:sz w:val="20"/>
                <w:szCs w:val="20"/>
              </w:rPr>
              <w:t xml:space="preserve">Recurrente, </w:t>
            </w:r>
            <w:r>
              <w:rPr>
                <w:rFonts w:ascii="Palatino Linotype" w:eastAsia="Palatino Linotype" w:hAnsi="Palatino Linotype" w:cs="Palatino Linotype"/>
                <w:sz w:val="20"/>
                <w:szCs w:val="20"/>
              </w:rPr>
              <w:t>manifiesta en lo conducente lo siguiente:</w:t>
            </w:r>
          </w:p>
          <w:p w14:paraId="383123F4"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u w:val="single"/>
              </w:rPr>
              <w:t>Dirección General de Recaudación</w:t>
            </w:r>
            <w:r>
              <w:rPr>
                <w:rFonts w:ascii="Palatino Linotype" w:eastAsia="Palatino Linotype" w:hAnsi="Palatino Linotype" w:cs="Palatino Linotype"/>
                <w:sz w:val="20"/>
                <w:szCs w:val="20"/>
              </w:rPr>
              <w:t xml:space="preserve">: que la información solicitada consistente en </w:t>
            </w:r>
            <w:r>
              <w:rPr>
                <w:rFonts w:ascii="Palatino Linotype" w:eastAsia="Palatino Linotype" w:hAnsi="Palatino Linotype" w:cs="Palatino Linotype"/>
                <w:i/>
                <w:sz w:val="20"/>
                <w:szCs w:val="20"/>
              </w:rPr>
              <w:t xml:space="preserve">Informe el número total desarrolladores inmobiliarios; el nombre y/o razón social de cada una de las desarrolladoras inmobiliarias … para obras de impacto vial en el Municipio de Tecámac, se tengan registro durante el período comprendido del 1 de enero al 31 de diciembre de los años 2019, 2020, y 2021, </w:t>
            </w:r>
            <w:r>
              <w:rPr>
                <w:rFonts w:ascii="Palatino Linotype" w:eastAsia="Palatino Linotype" w:hAnsi="Palatino Linotype" w:cs="Palatino Linotype"/>
                <w:sz w:val="20"/>
                <w:szCs w:val="20"/>
              </w:rPr>
              <w:t xml:space="preserve">no es generada por la Secretaría de Finanzas, señalando que quien pudiera ser competente es la Secretaría de Desarrollo Económico, de conformidad con lo establecido en el artículo 19.2, fracción IX del Libro décimo Noveno de las Operaciones y Servicios Inmobiliarios del Código Administrativo del Estado de México, que refiere que es atribución de la Secretaría de Desarrollo Económico, </w:t>
            </w:r>
            <w:r>
              <w:rPr>
                <w:rFonts w:ascii="Palatino Linotype" w:eastAsia="Palatino Linotype" w:hAnsi="Palatino Linotype" w:cs="Palatino Linotype"/>
                <w:b/>
                <w:sz w:val="20"/>
                <w:szCs w:val="20"/>
              </w:rPr>
              <w:t xml:space="preserve">autorizar la inscripción y revalidación en el Registro a los prestadores de servicios inmobiliarios, a las empresas inmobiliarios registradas y a las asociaciones, </w:t>
            </w:r>
            <w:r>
              <w:rPr>
                <w:rFonts w:ascii="Palatino Linotype" w:eastAsia="Palatino Linotype" w:hAnsi="Palatino Linotype" w:cs="Palatino Linotype"/>
                <w:sz w:val="20"/>
                <w:szCs w:val="20"/>
              </w:rPr>
              <w:t>asimismo,</w:t>
            </w:r>
            <w:r>
              <w:rPr>
                <w:rFonts w:ascii="Palatino Linotype" w:eastAsia="Palatino Linotype" w:hAnsi="Palatino Linotype" w:cs="Palatino Linotype"/>
                <w:b/>
                <w:sz w:val="20"/>
                <w:szCs w:val="20"/>
              </w:rPr>
              <w:t xml:space="preserve"> el registro de referencia estará a cargo de la Secretaría de Desarrollo Económico, cuyo Secretario nombrará a la persona Titular del Registro, quien tendrán entre otras atribuciones, la de realizar la inscripción en el Registro de Prestadores de Servicios Inmobiliarios, de </w:t>
            </w:r>
            <w:r>
              <w:rPr>
                <w:rFonts w:ascii="Palatino Linotype" w:eastAsia="Palatino Linotype" w:hAnsi="Palatino Linotype" w:cs="Palatino Linotype"/>
                <w:b/>
                <w:sz w:val="20"/>
                <w:szCs w:val="20"/>
              </w:rPr>
              <w:lastRenderedPageBreak/>
              <w:t xml:space="preserve">los Prestadores de Servicios Inmobiliarios, Empresas Inmobiliarias Registradas y Asociaciones Inmobiliarias que lo soliciten. </w:t>
            </w:r>
            <w:r>
              <w:rPr>
                <w:rFonts w:ascii="Palatino Linotype" w:eastAsia="Palatino Linotype" w:hAnsi="Palatino Linotype" w:cs="Palatino Linotype"/>
                <w:sz w:val="20"/>
                <w:szCs w:val="20"/>
              </w:rPr>
              <w:t>En tal sentido, al considerar que la información solicitada no es generada y administrada por la Secretaría de Finanzas, al no encontrarse relacionada con las facultades, competencias, funciones o atribuciones que tiene conferidas de conformidad con el Manual General de Organización de la Secretaría de Finanzas, los integrantes del Comité de Transparencia emitieron la resolución CT-2023-0013, a través de la cual, con fundamento en lo dispuesto en el artículo 48, fracción II de la Ley en la materia, confirman la declaración de incompetencia para dar respuesta a la solicitud.</w:t>
            </w:r>
          </w:p>
          <w:p w14:paraId="503D1C75"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u w:val="single"/>
              </w:rPr>
              <w:t>Dirección de Administración Tributaria:</w:t>
            </w:r>
            <w:r>
              <w:rPr>
                <w:rFonts w:ascii="Palatino Linotype" w:eastAsia="Palatino Linotype" w:hAnsi="Palatino Linotype" w:cs="Palatino Linotype"/>
                <w:sz w:val="20"/>
                <w:szCs w:val="20"/>
              </w:rPr>
              <w:t xml:space="preserve"> sobre los puntos 1 y 2, señala que si bien es cierto la Secretaría de Finanzas del Gobierno del Estado de México, es integrante del Comité de Control y Vigilancia de las Aportaciones para Obras de Impacto Vial, conforme al artículo 216 F párrafo nueve, fracción III del Código Financiero del Estado de México y Municipios, no es la autoridad responsable de la administración del ingreso, por lo que sugiere dirigir la solicitud a la Secretaría de Movilidad, toda vez que es la autoridad encargada de dar seguimiento al ingreso y vigilar el comportamiento de las aportaciones de impacto vial.</w:t>
            </w:r>
          </w:p>
          <w:p w14:paraId="5379A605"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u w:val="single"/>
              </w:rPr>
              <w:t>Dirección General de Tesorería</w:t>
            </w:r>
            <w:r>
              <w:rPr>
                <w:rFonts w:ascii="Palatino Linotype" w:eastAsia="Palatino Linotype" w:hAnsi="Palatino Linotype" w:cs="Palatino Linotype"/>
                <w:sz w:val="20"/>
                <w:szCs w:val="20"/>
              </w:rPr>
              <w:t xml:space="preserve">, respecto a </w:t>
            </w:r>
            <w:r>
              <w:rPr>
                <w:rFonts w:ascii="Palatino Linotype" w:eastAsia="Palatino Linotype" w:hAnsi="Palatino Linotype" w:cs="Palatino Linotype"/>
                <w:i/>
                <w:sz w:val="20"/>
                <w:szCs w:val="20"/>
              </w:rPr>
              <w:t xml:space="preserve">Informe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2019, 2020 y 2021, </w:t>
            </w:r>
            <w:r>
              <w:rPr>
                <w:rFonts w:ascii="Palatino Linotype" w:eastAsia="Palatino Linotype" w:hAnsi="Palatino Linotype" w:cs="Palatino Linotype"/>
                <w:sz w:val="20"/>
                <w:szCs w:val="20"/>
              </w:rPr>
              <w:t>con el objeto de dar cumplimiento a lo requerido, manifestó que no cuenta con los requerimientos antes mencionados.</w:t>
            </w:r>
          </w:p>
          <w:p w14:paraId="7CE2EEC5"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Asimismo, anexa las respuestas de la Caja General de Gobierno, área que informó que no cuenta con la información solicitada, por no estar considerada dentro de sus funciones; y de la Dirección de Egresos y Programación, misma que refiere que derivado de la búsqueda exhaustiva y minuciosa a los archivos que obran en la Dirección, no se encontró información relacionada con el requerimiento antes mencionado, de acuerdo con las funciones que son competencia a la Dirección de Egresos y Programación.</w:t>
            </w:r>
          </w:p>
          <w:p w14:paraId="28EEFD6B"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ANEXOS:</w:t>
            </w:r>
          </w:p>
          <w:p w14:paraId="737CC377"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Oficio número 2070300103200L/79/2023, de fecha catorce de febrero de dos mil veintitrés, signado por el Subdirector de Normas y Procedimientos y servidor público habilitado suplente de la Dirección General de Recaudación, de conformidad con las manifestaciones de la Dirección de Administración Tributaria, sobre los puntos 1 y 2, señala que si bien es cierto la Secretaría de Finanzas del Gobierno del Estado de México, es integrante del Comité de Control y Vigilancia de las Aportaciones para Obras de Impacto Vial, conforme al artículo 216 F párrafo nueve, fracción III del Código Financiero del Estado de México y Municipios, no es la autoridad responsable de la administración del ingreso, por lo que sugiere dirigir la solicitud a la Secretaría de Movilidad, toda vez que es la autoridad encargada de dar seguimiento al ingreso y vigilar el comportamiento de las aportaciones de impacto vial.</w:t>
            </w:r>
          </w:p>
          <w:p w14:paraId="1463A505"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Oficio número 20705100020000L/74/2023, de fecha dieciséis de febrero de dos mil veintitrés, signado por el servidor público habilitado de la Dirección General de Tesorería, mediante el cual, con el objeto de dar cabal cumplimiento a lo requerido, informa que la Dirección a su cargo no cuenta con los requerimientos, asimismo, anexa la respuesta de la Dirección de Egresos y </w:t>
            </w:r>
            <w:proofErr w:type="gramStart"/>
            <w:r>
              <w:rPr>
                <w:rFonts w:ascii="Palatino Linotype" w:eastAsia="Palatino Linotype" w:hAnsi="Palatino Linotype" w:cs="Palatino Linotype"/>
                <w:sz w:val="20"/>
                <w:szCs w:val="20"/>
              </w:rPr>
              <w:t>Programación</w:t>
            </w:r>
            <w:proofErr w:type="gramEnd"/>
            <w:r>
              <w:rPr>
                <w:rFonts w:ascii="Palatino Linotype" w:eastAsia="Palatino Linotype" w:hAnsi="Palatino Linotype" w:cs="Palatino Linotype"/>
                <w:sz w:val="20"/>
                <w:szCs w:val="20"/>
              </w:rPr>
              <w:t xml:space="preserve"> así como de la Caja General de Gobierno.</w:t>
            </w:r>
          </w:p>
          <w:p w14:paraId="4DBE5CCC"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Oficio 20705100010000L032/2023, de fecha quince de febrero de dos mil veintitrés, signado por el </w:t>
            </w:r>
            <w:proofErr w:type="gramStart"/>
            <w:r>
              <w:rPr>
                <w:rFonts w:ascii="Palatino Linotype" w:eastAsia="Palatino Linotype" w:hAnsi="Palatino Linotype" w:cs="Palatino Linotype"/>
                <w:sz w:val="20"/>
                <w:szCs w:val="20"/>
              </w:rPr>
              <w:t>Director</w:t>
            </w:r>
            <w:proofErr w:type="gramEnd"/>
            <w:r>
              <w:rPr>
                <w:rFonts w:ascii="Palatino Linotype" w:eastAsia="Palatino Linotype" w:hAnsi="Palatino Linotype" w:cs="Palatino Linotype"/>
                <w:sz w:val="20"/>
                <w:szCs w:val="20"/>
              </w:rPr>
              <w:t xml:space="preserve"> de Egresos y Programación, quien refiere que derivado de la búsqueda exhaustiva y minuciosa a los archivos que obran en la Dirección, no se encontró información relacionada con el requerimiento antes mencionado, de acuerdo con las funciones que son competencia a la Dirección de Egresos y Programación.</w:t>
            </w:r>
          </w:p>
          <w:p w14:paraId="1AFAEFDA"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Oficio 20705101000000L/0186/2023, de fecha dieciséis de febrero de dos mil veintitrés, signado por el Cajero General de Gobierno, quien informa que la unidad administrativa a su cargo no cuenta con la información solicitada por no estar considerada dentro de sus funciones.</w:t>
            </w:r>
          </w:p>
          <w:p w14:paraId="27D04DB2" w14:textId="77777777" w:rsidR="004A5FC7" w:rsidRDefault="00E6657C">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Acta CT-2023-0013, mediante la cual el Comité de Transparencia, con fundamento en el artículo 49, fracción II de </w:t>
            </w:r>
            <w:r>
              <w:rPr>
                <w:rFonts w:ascii="Palatino Linotype" w:eastAsia="Palatino Linotype" w:hAnsi="Palatino Linotype" w:cs="Palatino Linotype"/>
                <w:sz w:val="20"/>
                <w:szCs w:val="20"/>
              </w:rPr>
              <w:lastRenderedPageBreak/>
              <w:t xml:space="preserve">la Ley de Transparencia y Acceso a la Información Pública del Estado de México y Municipios, se confirma la declaración de incompetencia para dar respuesta a la solicitud de información en lo relativo a </w:t>
            </w:r>
            <w:r>
              <w:rPr>
                <w:rFonts w:ascii="Palatino Linotype" w:eastAsia="Palatino Linotype" w:hAnsi="Palatino Linotype" w:cs="Palatino Linotype"/>
                <w:i/>
                <w:sz w:val="20"/>
                <w:szCs w:val="20"/>
              </w:rPr>
              <w:t>Informe el número total desarrolladores inmobiliarios; el nombre y/o razón social de cada una de las desarrolladoras inmobiliarias … para obras de impacto vial en el Municipio de Tecámac, se tengan registro durante el período comprendido del 1 de enero al 31 de diciembre de los años 2019, 2020 y 2021.</w:t>
            </w:r>
          </w:p>
        </w:tc>
      </w:tr>
      <w:tr w:rsidR="004A5FC7" w14:paraId="718AB717" w14:textId="77777777">
        <w:trPr>
          <w:trHeight w:val="432"/>
        </w:trPr>
        <w:tc>
          <w:tcPr>
            <w:tcW w:w="2977" w:type="dxa"/>
            <w:vAlign w:val="center"/>
          </w:tcPr>
          <w:p w14:paraId="532A3C07" w14:textId="77777777" w:rsidR="004A5FC7" w:rsidRDefault="00E6657C">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00671/INFOEM/IP/RR/2023</w:t>
            </w:r>
          </w:p>
          <w:p w14:paraId="164DBFDF" w14:textId="77777777" w:rsidR="004A5FC7" w:rsidRDefault="00E6657C">
            <w:pPr>
              <w:spacing w:before="120" w:after="120"/>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16"/>
                <w:szCs w:val="16"/>
              </w:rPr>
              <w:t xml:space="preserve">Solicitud </w:t>
            </w:r>
            <w:r>
              <w:rPr>
                <w:rFonts w:ascii="Palatino Linotype" w:eastAsia="Palatino Linotype" w:hAnsi="Palatino Linotype" w:cs="Palatino Linotype"/>
                <w:b/>
                <w:sz w:val="20"/>
                <w:szCs w:val="20"/>
              </w:rPr>
              <w:t>00564/SF/IP/2022</w:t>
            </w:r>
          </w:p>
        </w:tc>
        <w:tc>
          <w:tcPr>
            <w:tcW w:w="5736" w:type="dxa"/>
          </w:tcPr>
          <w:p w14:paraId="3FC693FF"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sz w:val="20"/>
                <w:szCs w:val="20"/>
              </w:rPr>
              <w:t xml:space="preserve">Informe justificado, mediante el cual, con relación a los motivos de inconformidad aducidos por la parte </w:t>
            </w:r>
            <w:r>
              <w:rPr>
                <w:rFonts w:ascii="Palatino Linotype" w:eastAsia="Palatino Linotype" w:hAnsi="Palatino Linotype" w:cs="Palatino Linotype"/>
                <w:b/>
                <w:sz w:val="20"/>
                <w:szCs w:val="20"/>
              </w:rPr>
              <w:t xml:space="preserve">Recurrente, </w:t>
            </w:r>
            <w:r>
              <w:rPr>
                <w:rFonts w:ascii="Palatino Linotype" w:eastAsia="Palatino Linotype" w:hAnsi="Palatino Linotype" w:cs="Palatino Linotype"/>
                <w:sz w:val="20"/>
                <w:szCs w:val="20"/>
              </w:rPr>
              <w:t>manifiesta en lo conducente lo siguiente:</w:t>
            </w:r>
          </w:p>
          <w:p w14:paraId="40286A24"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u w:val="single"/>
              </w:rPr>
              <w:t>Dirección General de Recaudación</w:t>
            </w:r>
            <w:r>
              <w:rPr>
                <w:rFonts w:ascii="Palatino Linotype" w:eastAsia="Palatino Linotype" w:hAnsi="Palatino Linotype" w:cs="Palatino Linotype"/>
                <w:sz w:val="20"/>
                <w:szCs w:val="20"/>
              </w:rPr>
              <w:t xml:space="preserve">: que la información solicitada consistente en </w:t>
            </w:r>
            <w:r>
              <w:rPr>
                <w:rFonts w:ascii="Palatino Linotype" w:eastAsia="Palatino Linotype" w:hAnsi="Palatino Linotype" w:cs="Palatino Linotype"/>
                <w:i/>
                <w:sz w:val="20"/>
                <w:szCs w:val="20"/>
              </w:rPr>
              <w:t xml:space="preserve">Informe el número total desarrolladores inmobiliarios; el nombre y/o razón social de cada una de las desarrolladoras inmobiliarias … para obras de impacto vial en el Municipio de Tecámac, se tengan registro durante el período comprendido del 1 de enero al 31 de diciembre de los años 2015, 2016, 2017 y 2018, </w:t>
            </w:r>
            <w:r>
              <w:rPr>
                <w:rFonts w:ascii="Palatino Linotype" w:eastAsia="Palatino Linotype" w:hAnsi="Palatino Linotype" w:cs="Palatino Linotype"/>
                <w:sz w:val="20"/>
                <w:szCs w:val="20"/>
              </w:rPr>
              <w:t xml:space="preserve">no es generada por la Secretaría de Finanzas, señalando que quien pudiera ser competente es la Secretaría de Desarrollo Económico, de conformidad con lo establecido en el artículo 19.2, fracción IX del Libro décimo Noveno de las Operaciones y Servicios Inmobiliarios del Código Administrativo del Estado de México, que refiere que es atribución de la Secretaría de Desarrollo Económico, </w:t>
            </w:r>
            <w:r>
              <w:rPr>
                <w:rFonts w:ascii="Palatino Linotype" w:eastAsia="Palatino Linotype" w:hAnsi="Palatino Linotype" w:cs="Palatino Linotype"/>
                <w:b/>
                <w:sz w:val="20"/>
                <w:szCs w:val="20"/>
              </w:rPr>
              <w:t xml:space="preserve">autorizar la inscripción y revalidación en el Registro a los prestadores de servicios inmobiliarios, a las empresas inmobiliarios registradas y a las asociaciones, </w:t>
            </w:r>
            <w:r>
              <w:rPr>
                <w:rFonts w:ascii="Palatino Linotype" w:eastAsia="Palatino Linotype" w:hAnsi="Palatino Linotype" w:cs="Palatino Linotype"/>
                <w:sz w:val="20"/>
                <w:szCs w:val="20"/>
              </w:rPr>
              <w:t>asimismo,</w:t>
            </w:r>
            <w:r>
              <w:rPr>
                <w:rFonts w:ascii="Palatino Linotype" w:eastAsia="Palatino Linotype" w:hAnsi="Palatino Linotype" w:cs="Palatino Linotype"/>
                <w:b/>
                <w:sz w:val="20"/>
                <w:szCs w:val="20"/>
              </w:rPr>
              <w:t xml:space="preserve"> el registro de referencia estará a cargo de la Secretaría de Desarrollo Económico, cuyo Secretario nombrará a la persona Titular del Registro, quien tendrán entre otras atribuciones, la de realizar la inscripción en el Registro de Prestadores de Servicios Inmobiliarios, de los Prestadores de Servicios Inmobiliarios, Empresas Inmobiliarias Registradas y Asociaciones Inmobiliarias que lo soliciten. </w:t>
            </w:r>
            <w:r>
              <w:rPr>
                <w:rFonts w:ascii="Palatino Linotype" w:eastAsia="Palatino Linotype" w:hAnsi="Palatino Linotype" w:cs="Palatino Linotype"/>
                <w:sz w:val="20"/>
                <w:szCs w:val="20"/>
              </w:rPr>
              <w:t xml:space="preserve">En tal sentido, al considerar que la información solicitada no es generada y administrada por la Secretaría de Finanzas, al no encontrarse relacionada con las facultades, competencias, funciones o atribuciones que tiene conferidas de conformidad con el Manual General de Organización de la Secretaría de Finanzas, los integrantes del Comité de Transparencia emitieron la </w:t>
            </w:r>
            <w:r>
              <w:rPr>
                <w:rFonts w:ascii="Palatino Linotype" w:eastAsia="Palatino Linotype" w:hAnsi="Palatino Linotype" w:cs="Palatino Linotype"/>
                <w:sz w:val="20"/>
                <w:szCs w:val="20"/>
              </w:rPr>
              <w:lastRenderedPageBreak/>
              <w:t>resolución CT-2023-0014, a través de la cual, con fundamento en lo dispuesto en el artículo 48, fracción II de la Ley en la materia, confirma la declaración de incompetencia para dar respuesta a la solicitud.</w:t>
            </w:r>
          </w:p>
          <w:p w14:paraId="697CAC03"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u w:val="single"/>
              </w:rPr>
              <w:t>Dirección de Administración Tributaria:</w:t>
            </w:r>
            <w:r>
              <w:rPr>
                <w:rFonts w:ascii="Palatino Linotype" w:eastAsia="Palatino Linotype" w:hAnsi="Palatino Linotype" w:cs="Palatino Linotype"/>
                <w:sz w:val="20"/>
                <w:szCs w:val="20"/>
              </w:rPr>
              <w:t xml:space="preserve"> sobre los puntos 1 y 2, señala que si bien es cierto la Secretaría de Finanzas del Gobierno del Estado de México, es integrante del Comité de Control y Vigilancia de las Aportaciones para Obras de Impacto Vial, conforme al artículo 216 F párrafo nueve, fracción III del Código Financiero del Estado de México y Municipios, no es la autoridad responsable de la administración del ingreso, por lo que sugiere dirigir la solicitud a la Secretaría de Movilidad, toda vez que es la autoridad encargada de dar seguimiento al ingreso y vigilar el comportamiento de las aportaciones de impacto vial.</w:t>
            </w:r>
          </w:p>
          <w:p w14:paraId="6EDFCD1F"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u w:val="single"/>
              </w:rPr>
              <w:t>Dirección General de Tesorería</w:t>
            </w:r>
            <w:r>
              <w:rPr>
                <w:rFonts w:ascii="Palatino Linotype" w:eastAsia="Palatino Linotype" w:hAnsi="Palatino Linotype" w:cs="Palatino Linotype"/>
                <w:sz w:val="20"/>
                <w:szCs w:val="20"/>
              </w:rPr>
              <w:t xml:space="preserve">, respecto a </w:t>
            </w:r>
            <w:r>
              <w:rPr>
                <w:rFonts w:ascii="Palatino Linotype" w:eastAsia="Palatino Linotype" w:hAnsi="Palatino Linotype" w:cs="Palatino Linotype"/>
                <w:i/>
                <w:sz w:val="20"/>
                <w:szCs w:val="20"/>
              </w:rPr>
              <w:t xml:space="preserve">Informe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2015, 2016, 2017 y 2018, </w:t>
            </w:r>
            <w:r>
              <w:rPr>
                <w:rFonts w:ascii="Palatino Linotype" w:eastAsia="Palatino Linotype" w:hAnsi="Palatino Linotype" w:cs="Palatino Linotype"/>
                <w:sz w:val="20"/>
                <w:szCs w:val="20"/>
              </w:rPr>
              <w:t>con el objeto de dar cumplimiento a lo requerido, manifestó que no cuenta con los requerimientos antes mencionados.</w:t>
            </w:r>
          </w:p>
          <w:p w14:paraId="1ACD1CE5"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Asimismo, anexa las respuestas de la Caja General de Gobierno, área que informó que no cuenta con la información solicitada, por no estar considerada dentro de sus funciones; y de la Dirección de Egresos y Programación, misma que refiere que derivado de la búsqueda exhaustiva y minuciosa a los archivos que obran en la Dirección, no se encontró información relacionada con el requerimiento antes mencionado, de acuerdo con las funciones que son competencia a la Dirección de Egresos y Programación.</w:t>
            </w:r>
          </w:p>
          <w:p w14:paraId="49DA2FC5"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ANEXOS:</w:t>
            </w:r>
          </w:p>
          <w:p w14:paraId="52676358"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Oficio número 2070300103200L/76/2023, de fecha catorce de febrero de dos mil veintitrés, signado por el Subdirector de Normas y Procedimientos y servidor público habilitado suplente de la Dirección General de Recaudación, de conformidad con las manifestaciones de la Dirección de Administración Tributaria, sobre los puntos 1 y 2, señala que si </w:t>
            </w:r>
            <w:r>
              <w:rPr>
                <w:rFonts w:ascii="Palatino Linotype" w:eastAsia="Palatino Linotype" w:hAnsi="Palatino Linotype" w:cs="Palatino Linotype"/>
                <w:sz w:val="20"/>
                <w:szCs w:val="20"/>
              </w:rPr>
              <w:lastRenderedPageBreak/>
              <w:t>bien es cierto la Secretaría de Finanzas del Gobierno del Estado de México, es integrante del Comité de Control y Vigilancia de las Aportaciones para Obras de Impacto Vial, conforme al artículo 216 F párrafo nueve, fracción III del Código Financiero del Estado de México y Municipios, no es la autoridad responsable de la administración del ingreso, por lo que sugiere dirigir la solicitud a la Secretaría de Movilidad, toda vez que es la autoridad encargada de dar seguimiento al ingreso y vigilar el comportamiento de las aportaciones de impacto vial.</w:t>
            </w:r>
          </w:p>
          <w:p w14:paraId="635B0B72"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Oficio número 20705100020000L/75/2023, de fecha dieciséis de febrero de dos mil veintitrés, signado por el servidor público habilitado de la Dirección General de Tesorería, mediante el cual, con el objeto de dar cabal cumplimiento a lo requerido, informa que la Dirección a su cargo no cuenta con los requerimientos, asimismo, anexa la respuesta de la Dirección de Egresos y </w:t>
            </w:r>
            <w:proofErr w:type="gramStart"/>
            <w:r>
              <w:rPr>
                <w:rFonts w:ascii="Palatino Linotype" w:eastAsia="Palatino Linotype" w:hAnsi="Palatino Linotype" w:cs="Palatino Linotype"/>
                <w:sz w:val="20"/>
                <w:szCs w:val="20"/>
              </w:rPr>
              <w:t>Programación</w:t>
            </w:r>
            <w:proofErr w:type="gramEnd"/>
            <w:r>
              <w:rPr>
                <w:rFonts w:ascii="Palatino Linotype" w:eastAsia="Palatino Linotype" w:hAnsi="Palatino Linotype" w:cs="Palatino Linotype"/>
                <w:sz w:val="20"/>
                <w:szCs w:val="20"/>
              </w:rPr>
              <w:t xml:space="preserve"> así como de la Caja General de Gobierno.</w:t>
            </w:r>
          </w:p>
          <w:p w14:paraId="36D30482"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Oficio 20705100010000L033/2023, de fecha quince de febrero de dos mil veintitrés, signado por el </w:t>
            </w:r>
            <w:proofErr w:type="gramStart"/>
            <w:r>
              <w:rPr>
                <w:rFonts w:ascii="Palatino Linotype" w:eastAsia="Palatino Linotype" w:hAnsi="Palatino Linotype" w:cs="Palatino Linotype"/>
                <w:sz w:val="20"/>
                <w:szCs w:val="20"/>
              </w:rPr>
              <w:t>Director</w:t>
            </w:r>
            <w:proofErr w:type="gramEnd"/>
            <w:r>
              <w:rPr>
                <w:rFonts w:ascii="Palatino Linotype" w:eastAsia="Palatino Linotype" w:hAnsi="Palatino Linotype" w:cs="Palatino Linotype"/>
                <w:sz w:val="20"/>
                <w:szCs w:val="20"/>
              </w:rPr>
              <w:t xml:space="preserve"> de Egresos y Programación, quien refiere que derivado de la búsqueda exhaustiva y minuciosa a los archivos que obran en la Dirección, no se encontró información relacionada con el requerimiento antes mencionado, de acuerdo con las funciones que son competencia a la Dirección de Egresos y Programación.</w:t>
            </w:r>
          </w:p>
          <w:p w14:paraId="5860BEE0"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Oficio 20705101000000L/0185/2023, de fecha dieciséis de febrero de dos mil veintitrés, signado por el Cajero General de Gobierno, quien informa que la unidad administrativa a su cargo no cuenta con la información solicitada por no estar considerada dentro de sus funciones.</w:t>
            </w:r>
          </w:p>
          <w:p w14:paraId="12877470" w14:textId="77777777" w:rsidR="004A5FC7" w:rsidRDefault="00E6657C">
            <w:pPr>
              <w:widowControl w:val="0"/>
              <w:pBdr>
                <w:top w:val="nil"/>
                <w:left w:val="nil"/>
                <w:bottom w:val="nil"/>
                <w:right w:val="nil"/>
                <w:between w:val="nil"/>
              </w:pBdr>
              <w:spacing w:before="120" w:after="120"/>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 Acta CT-2023-0014, mediante la cual el Comité de Transparencia, con fundamento en el artículo 49, fracción II de la Ley de Transparencia y Acceso a la Información Pública del Estado de México y Municipios, se confirma la declaración de incompetencia para dar respuesta a la solicitud de información en lo relativo a </w:t>
            </w:r>
            <w:r>
              <w:rPr>
                <w:rFonts w:ascii="Palatino Linotype" w:eastAsia="Palatino Linotype" w:hAnsi="Palatino Linotype" w:cs="Palatino Linotype"/>
                <w:i/>
                <w:sz w:val="20"/>
                <w:szCs w:val="20"/>
              </w:rPr>
              <w:t xml:space="preserve">Informe el número total desarrolladores inmobiliarios; el nombre y/o razón social de cada una de las desarrolladoras inmobiliarias … para obras de impacto vial en el Municipio de Tecámac, se tengan registro durante el período comprendido del 1 de enero al 31 de diciembre de los años 2015, 2016, </w:t>
            </w:r>
            <w:r>
              <w:rPr>
                <w:rFonts w:ascii="Palatino Linotype" w:eastAsia="Palatino Linotype" w:hAnsi="Palatino Linotype" w:cs="Palatino Linotype"/>
                <w:i/>
                <w:sz w:val="20"/>
                <w:szCs w:val="20"/>
              </w:rPr>
              <w:lastRenderedPageBreak/>
              <w:t>2017 y 2018.</w:t>
            </w:r>
          </w:p>
        </w:tc>
      </w:tr>
    </w:tbl>
    <w:p w14:paraId="719ED55A"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Documentos que se hicieron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una vez que fueron analizados, con la finalidad de que manifestara lo que a su derecho estimara conveniente, sin embargo, fue omisa en ejercer dicha prerrogativa.</w:t>
      </w:r>
    </w:p>
    <w:p w14:paraId="756BE264" w14:textId="77777777" w:rsidR="004A5FC7" w:rsidRDefault="00E6657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término para resolver</w:t>
      </w:r>
      <w:r>
        <w:rPr>
          <w:rFonts w:ascii="Palatino Linotype" w:eastAsia="Palatino Linotype" w:hAnsi="Palatino Linotype" w:cs="Palatino Linotype"/>
        </w:rPr>
        <w:t xml:space="preserve">. En fechas </w:t>
      </w:r>
      <w:r>
        <w:rPr>
          <w:rFonts w:ascii="Palatino Linotype" w:eastAsia="Palatino Linotype" w:hAnsi="Palatino Linotype" w:cs="Palatino Linotype"/>
          <w:b/>
        </w:rPr>
        <w:t>veintinueve de mayo y veintiocho de septiembre de dos mil veintitrés</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6D90A8B"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0F7645D9"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7625705"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B135B5"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6620E6" w14:textId="77777777" w:rsidR="004A5FC7" w:rsidRDefault="00E6657C">
      <w:pPr>
        <w:spacing w:before="240" w:after="240"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08B741" w14:textId="77777777" w:rsidR="004A5FC7" w:rsidRDefault="00E6657C">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96AE5B8" w14:textId="77777777" w:rsidR="004A5FC7" w:rsidRDefault="00E6657C">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44FBAB05" w14:textId="77777777" w:rsidR="004A5FC7" w:rsidRDefault="00E6657C">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05DCCADE" w14:textId="77777777" w:rsidR="004A5FC7" w:rsidRDefault="00E6657C">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La afectación generada en la situación jurídica de la persona involucrada en el proceso: Violación a sus derechos humanos.</w:t>
      </w:r>
    </w:p>
    <w:p w14:paraId="025F5748"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A41437" w14:textId="77777777" w:rsidR="004A5FC7" w:rsidRDefault="00E6657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7A83829"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7F2D86"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9024319" w14:textId="77777777" w:rsidR="004A5FC7" w:rsidRDefault="00E6657C">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76D4F29E" w14:textId="77777777" w:rsidR="004A5FC7" w:rsidRDefault="00E6657C">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visible en el Seminario Judicial de la Federación y su gaceta, con el registro digital 2002350.</w:t>
      </w:r>
    </w:p>
    <w:p w14:paraId="626C7DC0"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7210D62"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 xml:space="preserve">tres de octubre de dos mil veintitrés, </w:t>
      </w:r>
      <w:r>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4A0B5240"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2F5F3F96" w14:textId="77777777" w:rsidR="004A5FC7" w:rsidRDefault="00E6657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 S:</w:t>
      </w:r>
    </w:p>
    <w:p w14:paraId="74172B44"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XIV, y 11 del Reglamento Interior del Instituto de Transparencia, Acceso a la Información Pública y Protección de Datos Personales del Estado de México y Municipios.</w:t>
      </w:r>
    </w:p>
    <w:p w14:paraId="37E3BE5F"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370B274B"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las solicitudes de información el día </w:t>
      </w:r>
      <w:r>
        <w:rPr>
          <w:rFonts w:ascii="Palatino Linotype" w:eastAsia="Palatino Linotype" w:hAnsi="Palatino Linotype" w:cs="Palatino Linotype"/>
          <w:b/>
        </w:rPr>
        <w:t xml:space="preserve">dieciocho de enero de dos mil veintitrés, </w:t>
      </w:r>
      <w:r>
        <w:rPr>
          <w:rFonts w:ascii="Palatino Linotype" w:eastAsia="Palatino Linotype" w:hAnsi="Palatino Linotype" w:cs="Palatino Linotype"/>
        </w:rPr>
        <w:t xml:space="preserve">mientras que los recursos de revisión interpuestos por la parte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 xml:space="preserve">, se tuvieron por presentados el día </w:t>
      </w:r>
      <w:r>
        <w:rPr>
          <w:rFonts w:ascii="Palatino Linotype" w:eastAsia="Palatino Linotype" w:hAnsi="Palatino Linotype" w:cs="Palatino Linotype"/>
          <w:b/>
        </w:rPr>
        <w:t>ocho de febrero de dos mil veintitrés</w:t>
      </w:r>
      <w:r>
        <w:rPr>
          <w:rFonts w:ascii="Palatino Linotype" w:eastAsia="Palatino Linotype" w:hAnsi="Palatino Linotype" w:cs="Palatino Linotype"/>
        </w:rPr>
        <w:t>, esto es al décimo cuarto día hábil posterior en que tuvo conocimiento de las respuestas impugnadas. En este sentido, se concluye que los presentes recurso de revisión se encuentran dentro de los márgenes temporales previstos en las disposiciones legales referidas.</w:t>
      </w:r>
    </w:p>
    <w:p w14:paraId="41EF277C"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ECAA594"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 los recursos,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I del ordenamiento legal citado, que a la letra dice: </w:t>
      </w:r>
    </w:p>
    <w:p w14:paraId="0F3ED6F7" w14:textId="77777777" w:rsidR="004A5FC7" w:rsidRDefault="00E6657C">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8C97E0B" w14:textId="77777777" w:rsidR="004A5FC7" w:rsidRDefault="00E6657C">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roofErr w:type="gramStart"/>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w:t>
      </w:r>
      <w:proofErr w:type="gramEnd"/>
    </w:p>
    <w:p w14:paraId="64F574AA" w14:textId="77777777" w:rsidR="004A5FC7" w:rsidRDefault="00E6657C">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7898396" w14:textId="77777777" w:rsidR="004A5FC7" w:rsidRDefault="00E6657C">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Del análisis de las solicitudes de información, motivo de los recursos de revisión que ahora se resuelven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14:paraId="3189E590" w14:textId="77777777" w:rsidR="004A5FC7" w:rsidRDefault="00E6657C">
      <w:pPr>
        <w:tabs>
          <w:tab w:val="left" w:pos="8647"/>
        </w:tabs>
        <w:spacing w:before="240" w:after="240"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1. Informe el número total desarrolladores inmobiliarios; el nombre y/o razón social de cada una de las desarrolladoras inmobiliarias y la cantidad total recaudada por cada una de las desarrolladoras inmobiliarias o personas fiscas, que por concepto de los recursos estatales provenientes de las contribuciones por concepto de aportaciones de mejoras, para obras de impacto vial en el Municipio de Tecámac, se tengan registro durante el período comprendido del 1 de enero al 31 de diciembre de los años 2015, 2016, 2017, 2018, 2019, 2020 y 2021.</w:t>
      </w:r>
    </w:p>
    <w:p w14:paraId="12389783" w14:textId="77777777" w:rsidR="004A5FC7" w:rsidRDefault="00E6657C">
      <w:pPr>
        <w:tabs>
          <w:tab w:val="left" w:pos="8647"/>
        </w:tabs>
        <w:spacing w:before="240" w:after="240"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2. Informe el concepto y el número de cuenta, en que la Secretaría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2015, 2016, 2017 2017, 2018, 2019, 2020 y 2021.</w:t>
      </w:r>
    </w:p>
    <w:p w14:paraId="20193A09" w14:textId="77777777" w:rsidR="004A5FC7" w:rsidRDefault="00E6657C">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que la persona solicitante fundó sus requerimientos de información en el artículo 216 F, fracción tercera, párrafos noveno, décimo, décimo primero y décimo segundo del Código Financiero del Estado de México y Municipios que </w:t>
      </w:r>
      <w:r>
        <w:rPr>
          <w:rFonts w:ascii="Palatino Linotype" w:eastAsia="Palatino Linotype" w:hAnsi="Palatino Linotype" w:cs="Palatino Linotype"/>
        </w:rPr>
        <w:lastRenderedPageBreak/>
        <w:t>dispone lo siguiente sobre el Comité de Control y Vigilancia para los recursos provenientes de las contribuciones de impacto vial:</w:t>
      </w:r>
    </w:p>
    <w:p w14:paraId="02D41CA7" w14:textId="77777777" w:rsidR="004A5FC7" w:rsidRDefault="00E6657C">
      <w:pPr>
        <w:tabs>
          <w:tab w:val="left" w:pos="8647"/>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216-F…</w:t>
      </w:r>
    </w:p>
    <w:p w14:paraId="1E5BDAAF" w14:textId="77777777" w:rsidR="004A5FC7" w:rsidRDefault="00E6657C">
      <w:pPr>
        <w:tabs>
          <w:tab w:val="left" w:pos="8647"/>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Derogada. </w:t>
      </w:r>
    </w:p>
    <w:p w14:paraId="44E11EE7" w14:textId="77777777" w:rsidR="004A5FC7" w:rsidRDefault="00E6657C">
      <w:pPr>
        <w:tabs>
          <w:tab w:val="left" w:pos="8647"/>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B6B5EA9" w14:textId="77777777" w:rsidR="004A5FC7" w:rsidRDefault="00E6657C">
      <w:pPr>
        <w:tabs>
          <w:tab w:val="left" w:pos="8647"/>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w:t>
      </w:r>
      <w:r>
        <w:rPr>
          <w:rFonts w:ascii="Palatino Linotype" w:eastAsia="Palatino Linotype" w:hAnsi="Palatino Linotype" w:cs="Palatino Linotype"/>
          <w:b/>
          <w:i/>
          <w:sz w:val="22"/>
          <w:szCs w:val="22"/>
        </w:rPr>
        <w:t>Comité de Control y Vigilancia de las Aportaciones para Obras de Impacto Vial</w:t>
      </w:r>
      <w:r>
        <w:rPr>
          <w:rFonts w:ascii="Palatino Linotype" w:eastAsia="Palatino Linotype" w:hAnsi="Palatino Linotype" w:cs="Palatino Linotype"/>
          <w:i/>
          <w:sz w:val="22"/>
          <w:szCs w:val="22"/>
        </w:rPr>
        <w:t xml:space="preserve"> constituido para dar seguimiento a la aplicación de las aportaciones, estará integrado por:</w:t>
      </w:r>
    </w:p>
    <w:p w14:paraId="311B2B99" w14:textId="77777777" w:rsidR="004A5FC7" w:rsidRDefault="00E6657C">
      <w:pPr>
        <w:tabs>
          <w:tab w:val="left" w:pos="8647"/>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Un representante del Poder Legislativo. </w:t>
      </w:r>
    </w:p>
    <w:p w14:paraId="7A645AE1" w14:textId="77777777" w:rsidR="004A5FC7" w:rsidRDefault="00E6657C">
      <w:pPr>
        <w:tabs>
          <w:tab w:val="left" w:pos="8647"/>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Un representante de la Secretaría de Movilidad. </w:t>
      </w:r>
    </w:p>
    <w:p w14:paraId="76FF62D2" w14:textId="77777777" w:rsidR="004A5FC7" w:rsidRDefault="00E6657C">
      <w:pPr>
        <w:tabs>
          <w:tab w:val="left" w:pos="8647"/>
        </w:tabs>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Un representante de la Secretaría de Finanzas. </w:t>
      </w:r>
    </w:p>
    <w:p w14:paraId="3E7F0082" w14:textId="77777777" w:rsidR="004A5FC7" w:rsidRDefault="00E6657C">
      <w:pPr>
        <w:tabs>
          <w:tab w:val="left" w:pos="8647"/>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Dos representantes de los Municipios de la entidad, que serán elegidos anualmente en el seno del Instituto Hacendario, en Sesión de su Consejo Directivo, utilizando el procedimiento de insaculación, debiendo ser municipios en los cuales se genere la aportación. </w:t>
      </w:r>
    </w:p>
    <w:p w14:paraId="29435C8F" w14:textId="77777777" w:rsidR="004A5FC7" w:rsidRDefault="00E6657C">
      <w:pPr>
        <w:tabs>
          <w:tab w:val="left" w:pos="8647"/>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Este Comité </w:t>
      </w:r>
      <w:r>
        <w:rPr>
          <w:rFonts w:ascii="Palatino Linotype" w:eastAsia="Palatino Linotype" w:hAnsi="Palatino Linotype" w:cs="Palatino Linotype"/>
          <w:b/>
          <w:i/>
          <w:sz w:val="22"/>
          <w:szCs w:val="22"/>
        </w:rPr>
        <w:t>será presidido por el representante de la Secretaría de Movilidad</w:t>
      </w:r>
      <w:r>
        <w:rPr>
          <w:rFonts w:ascii="Palatino Linotype" w:eastAsia="Palatino Linotype" w:hAnsi="Palatino Linotype" w:cs="Palatino Linotype"/>
          <w:i/>
          <w:sz w:val="22"/>
          <w:szCs w:val="22"/>
        </w:rPr>
        <w:t xml:space="preserve"> y tendrá, entre otras funciones, las siguientes: </w:t>
      </w:r>
    </w:p>
    <w:p w14:paraId="1842B1EB" w14:textId="77777777" w:rsidR="004A5FC7" w:rsidRDefault="00E6657C">
      <w:pPr>
        <w:tabs>
          <w:tab w:val="left" w:pos="8647"/>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Dar seguimiento al ingreso que se obtenga por estas aportaciones</w:t>
      </w:r>
      <w:r>
        <w:rPr>
          <w:rFonts w:ascii="Palatino Linotype" w:eastAsia="Palatino Linotype" w:hAnsi="Palatino Linotype" w:cs="Palatino Linotype"/>
          <w:i/>
          <w:sz w:val="22"/>
          <w:szCs w:val="22"/>
        </w:rPr>
        <w:t xml:space="preserve">. </w:t>
      </w:r>
    </w:p>
    <w:p w14:paraId="51B04149" w14:textId="77777777" w:rsidR="004A5FC7" w:rsidRDefault="00E6657C">
      <w:pPr>
        <w:tabs>
          <w:tab w:val="left" w:pos="8647"/>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Vigilar el comportamiento de estas aportaciones de impacto vial y sus repercusiones y resultados. </w:t>
      </w:r>
    </w:p>
    <w:p w14:paraId="71C58135" w14:textId="77777777" w:rsidR="004A5FC7" w:rsidRDefault="00E6657C">
      <w:pPr>
        <w:tabs>
          <w:tab w:val="left" w:pos="8647"/>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Vigilar que el ingreso que se obtenga por estas aportaciones se destine a la realización de obras para infraestructura vial</w:t>
      </w:r>
      <w:r>
        <w:rPr>
          <w:rFonts w:ascii="Palatino Linotype" w:eastAsia="Palatino Linotype" w:hAnsi="Palatino Linotype" w:cs="Palatino Linotype"/>
          <w:i/>
          <w:sz w:val="22"/>
          <w:szCs w:val="22"/>
        </w:rPr>
        <w:t xml:space="preserve"> en el territorio del o los municipios en que se hubieren causado.”</w:t>
      </w:r>
    </w:p>
    <w:p w14:paraId="40FAB97A"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la Dirección General de Recaudación, con apoyo de la Dirección de Administración Tributaria manifestó: </w:t>
      </w:r>
    </w:p>
    <w:p w14:paraId="6DAA5476" w14:textId="77777777" w:rsidR="004A5FC7" w:rsidRDefault="00E6657C">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u w:val="single"/>
        </w:rPr>
        <w:t xml:space="preserve">Respecto a </w:t>
      </w:r>
      <w:proofErr w:type="gramStart"/>
      <w:r>
        <w:rPr>
          <w:rFonts w:ascii="Palatino Linotype" w:eastAsia="Palatino Linotype" w:hAnsi="Palatino Linotype" w:cs="Palatino Linotype"/>
          <w:b/>
          <w:color w:val="000000"/>
          <w:sz w:val="22"/>
          <w:szCs w:val="22"/>
          <w:u w:val="single"/>
        </w:rPr>
        <w:t>la  petición</w:t>
      </w:r>
      <w:proofErr w:type="gramEnd"/>
      <w:r>
        <w:rPr>
          <w:rFonts w:ascii="Palatino Linotype" w:eastAsia="Palatino Linotype" w:hAnsi="Palatino Linotype" w:cs="Palatino Linotype"/>
          <w:b/>
          <w:color w:val="000000"/>
          <w:sz w:val="22"/>
          <w:szCs w:val="22"/>
          <w:u w:val="single"/>
        </w:rPr>
        <w:t xml:space="preserve"> de la recaudación por concepto de Aportaciones de Mejoras para Obras de Impacto Vial</w:t>
      </w:r>
      <w:r>
        <w:rPr>
          <w:rFonts w:ascii="Palatino Linotype" w:eastAsia="Palatino Linotype" w:hAnsi="Palatino Linotype" w:cs="Palatino Linotype"/>
          <w:color w:val="000000"/>
          <w:sz w:val="22"/>
          <w:szCs w:val="22"/>
        </w:rPr>
        <w:t xml:space="preserve">, que la información puede ser consultada directamente por el contribuyente en la Cuenta Pública del año correspondiente a través de la liga </w:t>
      </w:r>
      <w:hyperlink r:id="rId10">
        <w:r>
          <w:rPr>
            <w:rFonts w:ascii="Palatino Linotype" w:eastAsia="Palatino Linotype" w:hAnsi="Palatino Linotype" w:cs="Palatino Linotype"/>
            <w:color w:val="000000"/>
            <w:sz w:val="22"/>
            <w:szCs w:val="22"/>
            <w:u w:val="single"/>
          </w:rPr>
          <w:t>http://transparenciafiscal.edomex.gob.mx/rendición_cuentas</w:t>
        </w:r>
      </w:hyperlink>
      <w:r>
        <w:rPr>
          <w:rFonts w:ascii="Palatino Linotype" w:eastAsia="Palatino Linotype" w:hAnsi="Palatino Linotype" w:cs="Palatino Linotype"/>
          <w:color w:val="000000"/>
          <w:sz w:val="22"/>
          <w:szCs w:val="22"/>
        </w:rPr>
        <w:t xml:space="preserve"> seleccionando la opción “Cuenta Pública” y el año que desea consultar.</w:t>
      </w:r>
    </w:p>
    <w:p w14:paraId="3A771639" w14:textId="77777777" w:rsidR="004A5FC7" w:rsidRDefault="00E6657C">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u w:val="single"/>
        </w:rPr>
        <w:t xml:space="preserve">Respecto del concepto y el número de cuenta, </w:t>
      </w:r>
      <w:r>
        <w:rPr>
          <w:rFonts w:ascii="Palatino Linotype" w:eastAsia="Palatino Linotype" w:hAnsi="Palatino Linotype" w:cs="Palatino Linotype"/>
          <w:color w:val="000000"/>
          <w:sz w:val="22"/>
          <w:szCs w:val="22"/>
        </w:rPr>
        <w:t>en que la Secretaría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2015, 2016, 2017 y 2018, refirió que la Dirección de Administración Tributaria no es la autoridad responsable de administrar el concepto de las contribuciones que realizaron los desarrolladores inmobiliarios, por concepto de aportaciones de mejoras para obras de impacto vial, por lo tanto, no se tiene información al respecto.</w:t>
      </w:r>
    </w:p>
    <w:p w14:paraId="059C5D28"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no estar conforme con los términos de la respuesta otorgada a sus solicitudes, la persona solicitante interpuso los recursos de revisión que ahora nos ocupan, en los que señaló como motivos de inconformidad, en lo medular, lo siguiente:</w:t>
      </w:r>
    </w:p>
    <w:p w14:paraId="5AAE6FD7"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1. En el primer requerimiento, respecto de los ejercicios 2015, 2016, 2017 y 2018, que el Sujeto Obligado emitió una respuesta sin agotar la búsqueda exhaustiva y sólo limitarse a mandar una liga con la que pretende que no se cuente con la información solicitada de manera clara y exacta.</w:t>
      </w:r>
    </w:p>
    <w:p w14:paraId="710580AA"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2. En el primer requerimiento, respecto de los ejercicios 2019, 2020, 2021, que el Sujeto Obligado emitió una respuesta sin agotar la búsqueda exhaustiva y solo limitarse a señalar términos de prescripción.</w:t>
      </w:r>
    </w:p>
    <w:p w14:paraId="7B25F9BB"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lastRenderedPageBreak/>
        <w:t>3.  En el segundo requerimiento respecto de los ejercicios 2015 a 2021, que la autoridad pretende evadir la respuesta, al atribuirse como el área a la que se le requirió la información, sin embargo, la solicitud se realizó directamente a Secretaría de Finanzas.</w:t>
      </w:r>
    </w:p>
    <w:p w14:paraId="7AEA846C" w14:textId="77777777" w:rsidR="004A5FC7" w:rsidRDefault="00E665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escapa de la óptica de este Organismo Garante que en el acto impugnado de ambos recursos,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hizo referencia a un pronunciamiento emitido por la Dirección de Administración Tributaria, en el que refiere “</w:t>
      </w:r>
      <w:r>
        <w:rPr>
          <w:rFonts w:ascii="Palatino Linotype" w:eastAsia="Palatino Linotype" w:hAnsi="Palatino Linotype" w:cs="Palatino Linotype"/>
          <w:i/>
        </w:rPr>
        <w:t xml:space="preserve">De conformidad con el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82, fracción V, de los Lineamientos, establece que serán accesibles a la lectura electrónica en los términos y por los plazos que se establezcan en el </w:t>
      </w:r>
      <w:proofErr w:type="spellStart"/>
      <w:r>
        <w:rPr>
          <w:rFonts w:ascii="Palatino Linotype" w:eastAsia="Palatino Linotype" w:hAnsi="Palatino Linotype" w:cs="Palatino Linotype"/>
          <w:i/>
        </w:rPr>
        <w:t>Catalogo</w:t>
      </w:r>
      <w:proofErr w:type="spellEnd"/>
      <w:r>
        <w:rPr>
          <w:rFonts w:ascii="Palatino Linotype" w:eastAsia="Palatino Linotype" w:hAnsi="Palatino Linotype" w:cs="Palatino Linotype"/>
          <w:i/>
        </w:rPr>
        <w:t xml:space="preserve"> de Disposición Documental, hasta cumplir su vigencia administrativa, legal, contable o fiscal; del cual se advierte que la plaza de conservación de las archivos de concentración electrónicos, </w:t>
      </w:r>
      <w:proofErr w:type="spellStart"/>
      <w:r>
        <w:rPr>
          <w:rFonts w:ascii="Palatino Linotype" w:eastAsia="Palatino Linotype" w:hAnsi="Palatino Linotype" w:cs="Palatino Linotype"/>
          <w:i/>
        </w:rPr>
        <w:t>sera</w:t>
      </w:r>
      <w:proofErr w:type="spellEnd"/>
      <w:r>
        <w:rPr>
          <w:rFonts w:ascii="Palatino Linotype" w:eastAsia="Palatino Linotype" w:hAnsi="Palatino Linotype" w:cs="Palatino Linotype"/>
          <w:i/>
        </w:rPr>
        <w:t xml:space="preserve"> de 6 años y considerando la vigencia fiscal, conforme al dispositivo 43 del Código Financiero del Estado de México y Municipios la prescripción de un crédito fiscal es de 5 años. Razón por la cual esta unidad administrativa no cuenta con la información requerida” (sic), </w:t>
      </w:r>
      <w:r>
        <w:rPr>
          <w:rFonts w:ascii="Palatino Linotype" w:eastAsia="Palatino Linotype" w:hAnsi="Palatino Linotype" w:cs="Palatino Linotype"/>
        </w:rPr>
        <w:t>sin embargo, es de señalar que dicha información no corresponde con los medios de impugnación que ahora se resuelven, en virtud de que la Dirección de Administración Tributaria no negó contar con la información en atención a los plazos de conservación, sino que proporcionó una dirección electrónica para consultar la información, no obstante, toda vez que los motivos de inconformidad si corresponden con las constancias que obran en los expedientes, es que se determinó admitir los medios de impugnación.</w:t>
      </w:r>
    </w:p>
    <w:p w14:paraId="11E72F6E" w14:textId="77777777" w:rsidR="004A5FC7" w:rsidRDefault="00E665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Una vez admitidos los recursos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w:t>
      </w:r>
      <w:proofErr w:type="gramStart"/>
      <w:r>
        <w:rPr>
          <w:rFonts w:ascii="Palatino Linotype" w:eastAsia="Palatino Linotype" w:hAnsi="Palatino Linotype" w:cs="Palatino Linotype"/>
        </w:rPr>
        <w:t>integraron  los</w:t>
      </w:r>
      <w:proofErr w:type="gramEnd"/>
      <w:r>
        <w:rPr>
          <w:rFonts w:ascii="Palatino Linotype" w:eastAsia="Palatino Linotype" w:hAnsi="Palatino Linotype" w:cs="Palatino Linotype"/>
        </w:rPr>
        <w:t xml:space="preserve"> expedientes y se pusieron a disposición de las partes para que, en un plazo máximo de siete días hábiles, manifestaran lo que a su derecho resultara conveniente.</w:t>
      </w:r>
    </w:p>
    <w:p w14:paraId="6D133CBD" w14:textId="77777777" w:rsidR="004A5FC7" w:rsidRDefault="00E665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 la Dirección General de Recaudación, manifestó, respecto del</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rPr>
        <w:t xml:space="preserve">número total de Desarrolladores Inmobiliarios; el nombre y/o razón social de cada una de las Desarrolladoras Inmobiliarias para obras de impacto vial en el Municipio de Tecámac, se tengan registro durante el período comprendido del 1 de enero al 31 de diciembre de los años 2015 a 2021, </w:t>
      </w:r>
      <w:r>
        <w:rPr>
          <w:rFonts w:ascii="Palatino Linotype" w:eastAsia="Palatino Linotype" w:hAnsi="Palatino Linotype" w:cs="Palatino Linotype"/>
        </w:rPr>
        <w:t>que dicha información no es generada por la Secretaría de Finanzas, al considerar que es competencia de la Secretaría de Desarrollo Económico, de conformidad con lo establecido en los artículos 19.1, 19.2, fracción IX, 19.16 y 19.21, fracción I, del Libro Décimo Noveno de las Operaciones y Servicios Inmobiliarios del Código Administrativo del Estado de México, razón por la cual los integrantes del Comité de Transparencia emitieron la resolución CT-2023-0013, a través de la cual, con fundamento en lo dispuesto en el artículo 49, fracción II de la Ley en la materia, confirman la declaración de incompetencia para dar respuesta a esta parte de la solicitud.</w:t>
      </w:r>
    </w:p>
    <w:p w14:paraId="160E1E31" w14:textId="77777777" w:rsidR="004A5FC7" w:rsidRDefault="00E665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refirió que si bien es cierto la Secretaría de Finanzas del Gobierno del Estado de México, es integrante del Comité de Control y Vigilancia de las </w:t>
      </w:r>
      <w:r>
        <w:rPr>
          <w:rFonts w:ascii="Palatino Linotype" w:eastAsia="Palatino Linotype" w:hAnsi="Palatino Linotype" w:cs="Palatino Linotype"/>
        </w:rPr>
        <w:lastRenderedPageBreak/>
        <w:t>Aportaciones para Obras de Impacto Vial, conforme al artículo 216 F, párrafo nueve, fracción III del Código Financiero del Estado de México y Municipios, no es la autoridad responsable de la administración del ingreso, por lo que sugiere dirigir la solicitud a la Secretaría de Movilidad, toda vez que es la autoridad encargada de dar seguimiento al ingreso y vigilar el comportamiento de las aportaciones de impacto vial.</w:t>
      </w:r>
    </w:p>
    <w:p w14:paraId="36A8F746" w14:textId="77777777" w:rsidR="004A5FC7" w:rsidRDefault="00E665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 través de la Dirección General de Tesorería, refirió que no cuenta con los requerimientos relacionados con </w:t>
      </w:r>
      <w:r>
        <w:rPr>
          <w:rFonts w:ascii="Palatino Linotype" w:eastAsia="Palatino Linotype" w:hAnsi="Palatino Linotype" w:cs="Palatino Linotype"/>
          <w:i/>
        </w:rPr>
        <w:t>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w:t>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del período comprendido del 1 de enero al 31 de diciembre de los años 2015 a 2021, </w:t>
      </w:r>
      <w:r>
        <w:rPr>
          <w:rFonts w:ascii="Palatino Linotype" w:eastAsia="Palatino Linotype" w:hAnsi="Palatino Linotype" w:cs="Palatino Linotype"/>
        </w:rPr>
        <w:t>siendo importante mencionar que para tal efecto, se auxilió de la Caja General de Gobierno, área que refirió que no contaba con la información al no estar considerada dentro de sus funciones; y de la Dirección de Egresos y Programación, área que manifestó haber realizado la búsqueda exhaustiva y minuciosa en los archivos, sin encontrar la información requerida.</w:t>
      </w:r>
    </w:p>
    <w:p w14:paraId="0B22F81F"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Acotado lo anterior,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w:t>
      </w:r>
      <w:r>
        <w:rPr>
          <w:rFonts w:ascii="Palatino Linotype" w:eastAsia="Palatino Linotype" w:hAnsi="Palatino Linotype" w:cs="Palatino Linotype"/>
        </w:rPr>
        <w:lastRenderedPageBreak/>
        <w:t>establece dicha determinación, que a continuación se trascribe para un mejor entendimiento:</w:t>
      </w:r>
    </w:p>
    <w:p w14:paraId="57957FDF"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577A36"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FF8282F"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2E2A6040"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ABB548A"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FA6EB13"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19539E6" w14:textId="77777777" w:rsidR="004A5FC7" w:rsidRDefault="00E6657C">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4DB3275" w14:textId="77777777" w:rsidR="004A5FC7" w:rsidRDefault="00E6657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Sirve de apoyo a lo anterior, el criterio 03/17, emitido por el Instituto Nacional de Transparencia, Acceso a la Información y Protección de Datos Personales,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por rubro y texto, dispone lo siguiente:</w:t>
      </w:r>
      <w:r>
        <w:rPr>
          <w:rFonts w:ascii="Palatino Linotype" w:eastAsia="Palatino Linotype" w:hAnsi="Palatino Linotype" w:cs="Palatino Linotype"/>
          <w:b/>
        </w:rPr>
        <w:t xml:space="preserve"> </w:t>
      </w:r>
    </w:p>
    <w:p w14:paraId="682B5664"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619E3AC1"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E40E4B2" w14:textId="77777777" w:rsidR="004A5FC7" w:rsidRDefault="00E665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A922753"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3FB90DE"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4F155D6"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976CDA2"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BB7FFD"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D29F955"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4F056C"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88FEE60"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74B8D9AD"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7283A4E6"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w:t>
      </w:r>
    </w:p>
    <w:p w14:paraId="3F5A10DA" w14:textId="77777777" w:rsidR="004A5FC7" w:rsidRDefault="00E6657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455A6D"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8AB02A1"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tomando en consideración la materia de la solicitud es oportuno referir que de conformidad con los artículos 31, fracción IV de la Constitución Política de los Estados Unidos Mexicanos y 27, fracción II de la Constitución Política  del Estado Libre y Soberano de México, es obligación de los residentes del territorio nacional contribuir para los gastos públicos, de la Federación, los Estados, la Ciudad de México y los municipios, de la manera proporcional y equitativa que dispongan las leyes, a saber:</w:t>
      </w:r>
    </w:p>
    <w:p w14:paraId="0390BE39"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31. </w:t>
      </w:r>
      <w:r>
        <w:rPr>
          <w:rFonts w:ascii="Palatino Linotype" w:eastAsia="Palatino Linotype" w:hAnsi="Palatino Linotype" w:cs="Palatino Linotype"/>
          <w:i/>
          <w:sz w:val="22"/>
          <w:szCs w:val="22"/>
        </w:rPr>
        <w:t>Son obligaciones de los mexicanos:</w:t>
      </w:r>
    </w:p>
    <w:p w14:paraId="62DE3B1D"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8EC066"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Contribuir para los gastos públicos, así de la Federación, como de los Estados, de la Ciudad de México y del Municipio en que residan, de la manera proporcional y equitativa que dispongan las leyes.”</w:t>
      </w:r>
    </w:p>
    <w:p w14:paraId="3977BC02"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27</w:t>
      </w:r>
      <w:r>
        <w:rPr>
          <w:rFonts w:ascii="Palatino Linotype" w:eastAsia="Palatino Linotype" w:hAnsi="Palatino Linotype" w:cs="Palatino Linotype"/>
          <w:i/>
          <w:sz w:val="22"/>
          <w:szCs w:val="22"/>
        </w:rPr>
        <w:t>.- Son deberes de los vecinos del Estado:</w:t>
      </w:r>
    </w:p>
    <w:p w14:paraId="41745FFC"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8932D6D"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Contribuir para los gastos públicos del Estado y de los municipios donde residan o realicen actividades gravables, de la manera proporcional y equitativa que dispongan las leyes, según lo establecido por la Constitución Federal;”</w:t>
      </w:r>
    </w:p>
    <w:p w14:paraId="31427123"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Código Financiero del Estado de México y Municipios, en el artículo 216-A, señala que </w:t>
      </w:r>
      <w:r>
        <w:rPr>
          <w:rFonts w:ascii="Palatino Linotype" w:eastAsia="Palatino Linotype" w:hAnsi="Palatino Linotype" w:cs="Palatino Linotype"/>
          <w:b/>
        </w:rPr>
        <w:t>están obligadas al pago de Aportaciones para Obras y/o Acciones de Impacto Vial,</w:t>
      </w:r>
      <w:r>
        <w:rPr>
          <w:rFonts w:ascii="Palatino Linotype" w:eastAsia="Palatino Linotype" w:hAnsi="Palatino Linotype" w:cs="Palatino Linotype"/>
        </w:rPr>
        <w:t xml:space="preserve"> las personas físicas o jurídicas colectivas, que en términos del artículo 5.35 del Código Administrativo del Estado de México requieran de la </w:t>
      </w:r>
      <w:r>
        <w:rPr>
          <w:rFonts w:ascii="Palatino Linotype" w:eastAsia="Palatino Linotype" w:hAnsi="Palatino Linotype" w:cs="Palatino Linotype"/>
          <w:b/>
        </w:rPr>
        <w:t>Evaluación de Impacto Estatal</w:t>
      </w:r>
      <w:r>
        <w:rPr>
          <w:rFonts w:ascii="Palatino Linotype" w:eastAsia="Palatino Linotype" w:hAnsi="Palatino Linotype" w:cs="Palatino Linotype"/>
        </w:rPr>
        <w:t>, para proyectos nuevos, de ampliación, actualización o modificación por construcción adicional y que regionalmente se vean beneficiados directa o indirectamente con las obras y/o acciones a que se refiere el artículo 216-H.</w:t>
      </w:r>
    </w:p>
    <w:p w14:paraId="5CFB0A94"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tenor, el artículo 5.35 del Código Administrativo establece lo siguiente:</w:t>
      </w:r>
    </w:p>
    <w:p w14:paraId="25D1B8D1"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5.35</w:t>
      </w:r>
      <w:r>
        <w:rPr>
          <w:rFonts w:ascii="Palatino Linotype" w:eastAsia="Palatino Linotype" w:hAnsi="Palatino Linotype" w:cs="Palatino Linotype"/>
          <w:i/>
          <w:sz w:val="22"/>
          <w:szCs w:val="22"/>
        </w:rPr>
        <w:t xml:space="preserve">. La evaluación técnica de impacto en materia urbana es un requisito para la emisión de la </w:t>
      </w:r>
      <w:r>
        <w:rPr>
          <w:rFonts w:ascii="Palatino Linotype" w:eastAsia="Palatino Linotype" w:hAnsi="Palatino Linotype" w:cs="Palatino Linotype"/>
          <w:b/>
          <w:i/>
          <w:sz w:val="22"/>
          <w:szCs w:val="22"/>
        </w:rPr>
        <w:t>Evaluación de Impacto Estatal</w:t>
      </w:r>
      <w:r>
        <w:rPr>
          <w:rFonts w:ascii="Palatino Linotype" w:eastAsia="Palatino Linotype" w:hAnsi="Palatino Linotype" w:cs="Palatino Linotype"/>
          <w:i/>
          <w:sz w:val="22"/>
          <w:szCs w:val="22"/>
        </w:rPr>
        <w:t xml:space="preserve">, en los siguientes casos: </w:t>
      </w:r>
    </w:p>
    <w:p w14:paraId="79ABF6B9"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Cualquier uso diferente al habitacional que implique un coeficiente de utilización de más de tres mil metros cuadrados u ocupen predios de más de seis mil metros cuadrados de superficie; </w:t>
      </w:r>
    </w:p>
    <w:p w14:paraId="55251E60"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Gaseras, </w:t>
      </w:r>
      <w:proofErr w:type="spellStart"/>
      <w:r>
        <w:rPr>
          <w:rFonts w:ascii="Palatino Linotype" w:eastAsia="Palatino Linotype" w:hAnsi="Palatino Linotype" w:cs="Palatino Linotype"/>
          <w:i/>
          <w:sz w:val="22"/>
          <w:szCs w:val="22"/>
        </w:rPr>
        <w:t>gasoneras</w:t>
      </w:r>
      <w:proofErr w:type="spellEnd"/>
      <w:r>
        <w:rPr>
          <w:rFonts w:ascii="Palatino Linotype" w:eastAsia="Palatino Linotype" w:hAnsi="Palatino Linotype" w:cs="Palatino Linotype"/>
          <w:i/>
          <w:sz w:val="22"/>
          <w:szCs w:val="22"/>
        </w:rPr>
        <w:t xml:space="preserve">, gasolineras y otras plantas para el almacenamiento, procesamiento o distribución de combustibles; </w:t>
      </w:r>
    </w:p>
    <w:p w14:paraId="0C0B3CCB"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Helipuertos, Aeródromos Civiles y Aeropuertos; y</w:t>
      </w:r>
    </w:p>
    <w:p w14:paraId="2627EB26"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Derogada. </w:t>
      </w:r>
    </w:p>
    <w:p w14:paraId="6474DB82"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Conjuntos Urbanos. </w:t>
      </w:r>
    </w:p>
    <w:p w14:paraId="7215E7BC"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Condominios que prevean el desarrollo de treinta o más viviendas. </w:t>
      </w:r>
    </w:p>
    <w:p w14:paraId="4D680B83"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Treinta o más viviendas en un predio o lote. </w:t>
      </w:r>
    </w:p>
    <w:p w14:paraId="2B8E6FF1"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Aquellos usos que, por su impacto sobre la infraestructura, equipamiento urbano y servicios públicos, protección civil y medio ambiente establezcan otras disposiciones jurídicas estatales. </w:t>
      </w:r>
    </w:p>
    <w:p w14:paraId="126931BE"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Los cambios de uso del suelo, de densidad, coeficiente de ocupación del suelo, coeficiente de utilización del suelo y altura de edificaciones, que encuadren en algunas de las hipótesis previstas en las fracciones anteriores, que no hayan quedado referidos en la autorización correspondiente. </w:t>
      </w:r>
    </w:p>
    <w:p w14:paraId="68A5FA8C"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Lotes de terreno resultantes de conjuntos urbanos, subdivisiones o condominios que no hayan quedado referidos en el acuerdo respectivo, que encuadren en algunas de las hipótesis previstas en las fracciones anteriores. </w:t>
      </w:r>
    </w:p>
    <w:p w14:paraId="4289B35D"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requisitos específicos para el análisis y en su caso, la emisión de las evaluaciones técnicas de impacto en materia urbana se establecerá en el Reglamento del presente Libro.”</w:t>
      </w:r>
    </w:p>
    <w:p w14:paraId="37B2BCD8" w14:textId="77777777" w:rsidR="004A5FC7" w:rsidRDefault="00E6657C">
      <w:pPr>
        <w:spacing w:before="240" w:after="240" w:line="360" w:lineRule="auto"/>
        <w:jc w:val="both"/>
      </w:pPr>
      <w:r>
        <w:rPr>
          <w:rFonts w:ascii="Palatino Linotype" w:eastAsia="Palatino Linotype" w:hAnsi="Palatino Linotype" w:cs="Palatino Linotype"/>
        </w:rPr>
        <w:t xml:space="preserve">La </w:t>
      </w:r>
      <w:r>
        <w:rPr>
          <w:rFonts w:ascii="Palatino Linotype" w:eastAsia="Palatino Linotype" w:hAnsi="Palatino Linotype" w:cs="Palatino Linotype"/>
          <w:b/>
        </w:rPr>
        <w:t>Evaluación de Impacto Estatal</w:t>
      </w:r>
      <w:r>
        <w:rPr>
          <w:rFonts w:ascii="Palatino Linotype" w:eastAsia="Palatino Linotype" w:hAnsi="Palatino Linotype" w:cs="Palatino Linotype"/>
        </w:rPr>
        <w:t xml:space="preserve">, de conformidad con el artículo 2, fracción VII del Reglamento del Libro Quinto del Código Administrativo del Estado de México, es el documento de carácter permanente emitido por la Comisión de Impacto Estatal, </w:t>
      </w:r>
      <w:r>
        <w:rPr>
          <w:rFonts w:ascii="Palatino Linotype" w:eastAsia="Palatino Linotype" w:hAnsi="Palatino Linotype" w:cs="Palatino Linotype"/>
        </w:rPr>
        <w:lastRenderedPageBreak/>
        <w:t>sustentado en una o más evaluaciones técnicas de impacto en materia de desarrollo urbano, protección civil, medio ambiente, comunicaciones, movilidad, agua, drenaje, alcantarillado y tratamiento de aguas residuales, previo análisis normativo multidisciplinario, según corresponda, cuya finalidad es determinar la factibilidad de proyectos nuevos, ampliaciones o actualizaciones, que por el uso o aprovechamiento del suelo generen efectos en la infraestructura, el equipamiento urbano, servicios públicos, en el entorno ambiental o protección civil, en términos de las disposiciones jurídicas aplicables</w:t>
      </w:r>
      <w:r>
        <w:t>.</w:t>
      </w:r>
    </w:p>
    <w:p w14:paraId="5F037DF0"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216-H Código Financiero del Estado de México y Municipios, dispone lo siguiente:</w:t>
      </w:r>
    </w:p>
    <w:p w14:paraId="2403475E"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216-H</w:t>
      </w:r>
      <w:r>
        <w:rPr>
          <w:rFonts w:ascii="Palatino Linotype" w:eastAsia="Palatino Linotype" w:hAnsi="Palatino Linotype" w:cs="Palatino Linotype"/>
          <w:i/>
          <w:sz w:val="22"/>
          <w:szCs w:val="22"/>
        </w:rPr>
        <w:t>.- El ingreso que se perciba por este concepto, será destinado para el desarrollo de obras y/o acciones de infraestructura vial que tienda a mitigar el impacto vial en la zona de influencia.</w:t>
      </w:r>
    </w:p>
    <w:p w14:paraId="2CD59932"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proyecto de obra y su ejecución se dará de manera coordinada, entre la Secretaría de Movilidad y el municipio o municipios afectados, conforme lo dispone el artículo 5.10, fracción XV del Código Administrativo del Estado de México.”</w:t>
      </w:r>
    </w:p>
    <w:p w14:paraId="1962E7E9" w14:textId="77777777" w:rsidR="004A5FC7" w:rsidRDefault="00E6657C">
      <w:pPr>
        <w:spacing w:before="240" w:after="240" w:line="360" w:lineRule="auto"/>
        <w:jc w:val="both"/>
        <w:rPr>
          <w:rFonts w:ascii="Palatino Linotype" w:eastAsia="Palatino Linotype" w:hAnsi="Palatino Linotype" w:cs="Palatino Linotype"/>
        </w:rPr>
      </w:pPr>
      <w:proofErr w:type="gramStart"/>
      <w:r>
        <w:rPr>
          <w:rFonts w:ascii="Palatino Linotype" w:eastAsia="Palatino Linotype" w:hAnsi="Palatino Linotype" w:cs="Palatino Linotype"/>
        </w:rPr>
        <w:t>Preceptos  jurídicos</w:t>
      </w:r>
      <w:proofErr w:type="gramEnd"/>
      <w:r>
        <w:rPr>
          <w:rFonts w:ascii="Palatino Linotype" w:eastAsia="Palatino Linotype" w:hAnsi="Palatino Linotype" w:cs="Palatino Linotype"/>
        </w:rPr>
        <w:t xml:space="preserve"> que son aplicables al caso concreto debido a que imponen la obligación de pagar aportaciones de mejora derivado de obras de impacto vial.</w:t>
      </w:r>
    </w:p>
    <w:p w14:paraId="026799D5"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respecto del primer punto, mediante el cual se solicita se informe sobre el </w:t>
      </w:r>
      <w:r>
        <w:rPr>
          <w:rFonts w:ascii="Palatino Linotype" w:eastAsia="Palatino Linotype" w:hAnsi="Palatino Linotype" w:cs="Palatino Linotype"/>
          <w:b/>
        </w:rPr>
        <w:t xml:space="preserve">número total desarrolladores inmobiliarios; el nombre y/o razón social de cada una de las desarrolladoras inmobiliarias y la cantidad total recaudada por cada una de las desarrolladoras inmobiliarias o personas fiscas, que por concepto de los recursos estatales provenientes de las contribuciones por concepto de </w:t>
      </w:r>
      <w:r>
        <w:rPr>
          <w:rFonts w:ascii="Palatino Linotype" w:eastAsia="Palatino Linotype" w:hAnsi="Palatino Linotype" w:cs="Palatino Linotype"/>
          <w:b/>
        </w:rPr>
        <w:lastRenderedPageBreak/>
        <w:t xml:space="preserve">Aportaciones para Obras y/o Acciones de Impacto Vial, </w:t>
      </w:r>
      <w:r>
        <w:rPr>
          <w:rFonts w:ascii="Palatino Linotype" w:eastAsia="Palatino Linotype" w:hAnsi="Palatino Linotype" w:cs="Palatino Linotype"/>
        </w:rPr>
        <w:t>en primer lugar, es oportuno mencionar que la pretensión de la persona solicitante consiste en conocer información de las Desarrolladoras Inmobiliarias o personas físicas que hubieran cubierto la contribución de mejora por concepto de aportaciones para obras y/o acciones de impacto vial en el periodo señalado, no así respecto de las Desarrolladoras Inmobiliarias, empresas inmobiliarias o personas físicas registrados en el Estado, como pretendió hacerlo valer el Sujeto Obligado en la etapa de manifestaciones, no obstante, de ser el caso, se dejan a salvo los derechos de la persona solicitante, a efectos de que solicite dicha información ante la instancia correspondiente.</w:t>
      </w:r>
    </w:p>
    <w:p w14:paraId="5B853F18" w14:textId="77777777" w:rsidR="004A5FC7" w:rsidRDefault="00E6657C">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Aclarado lo anterior, se menciona que el Reglamento de la Ley de la Comisión de Impacto Estatal, en su artículo 23 dispone que una vez que la Comisión cuente con todas las Evaluaciones Técnicas de Impacto necesarias, o en su caso las determinaciones de las Instancias Responsables, procederá a elaborar la Evaluación de Impacto Estatal o la determinación correspondiente, en un plazo no mayor a tres días hábiles, </w:t>
      </w:r>
      <w:r>
        <w:rPr>
          <w:rFonts w:ascii="Palatino Linotype" w:eastAsia="Palatino Linotype" w:hAnsi="Palatino Linotype" w:cs="Palatino Linotype"/>
          <w:b/>
          <w:u w:val="single"/>
        </w:rPr>
        <w:t>debiendo notificar al solicitante</w:t>
      </w:r>
      <w:r>
        <w:rPr>
          <w:rFonts w:ascii="Palatino Linotype" w:eastAsia="Palatino Linotype" w:hAnsi="Palatino Linotype" w:cs="Palatino Linotype"/>
        </w:rPr>
        <w:t xml:space="preserve"> dentro del mismo término, </w:t>
      </w:r>
      <w:r>
        <w:rPr>
          <w:rFonts w:ascii="Palatino Linotype" w:eastAsia="Palatino Linotype" w:hAnsi="Palatino Linotype" w:cs="Palatino Linotype"/>
          <w:b/>
          <w:u w:val="single"/>
        </w:rPr>
        <w:t>así como informar a las instancias responsables que correspondan.</w:t>
      </w:r>
    </w:p>
    <w:p w14:paraId="21D256D6"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26 del mismo Reglamento prevé que para la vigilancia del pago de aportaciones derivadas de las Evaluaciones Técnicas de Impacto que sustentan la emisión de la Evaluación de Impacto Estatal, la Comisión de Impacto Estatal </w:t>
      </w:r>
      <w:r>
        <w:rPr>
          <w:rFonts w:ascii="Palatino Linotype" w:eastAsia="Palatino Linotype" w:hAnsi="Palatino Linotype" w:cs="Palatino Linotype"/>
          <w:b/>
          <w:u w:val="single"/>
        </w:rPr>
        <w:t>debe proporcionar una copia de la notificación realizada</w:t>
      </w:r>
      <w:r>
        <w:rPr>
          <w:rFonts w:ascii="Palatino Linotype" w:eastAsia="Palatino Linotype" w:hAnsi="Palatino Linotype" w:cs="Palatino Linotype"/>
        </w:rPr>
        <w:t xml:space="preserve"> a la persona solicitante, </w:t>
      </w:r>
      <w:r>
        <w:rPr>
          <w:rFonts w:ascii="Palatino Linotype" w:eastAsia="Palatino Linotype" w:hAnsi="Palatino Linotype" w:cs="Palatino Linotype"/>
          <w:b/>
        </w:rPr>
        <w:t xml:space="preserve">al Comité de Control y Vigilancia de las Aportaciones para Obras de Impacto Vial, así como </w:t>
      </w:r>
      <w:r>
        <w:rPr>
          <w:rFonts w:ascii="Palatino Linotype" w:eastAsia="Palatino Linotype" w:hAnsi="Palatino Linotype" w:cs="Palatino Linotype"/>
          <w:b/>
          <w:u w:val="single"/>
        </w:rPr>
        <w:t>a la Secretaría de Finanzas</w:t>
      </w:r>
      <w:r>
        <w:rPr>
          <w:rFonts w:ascii="Palatino Linotype" w:eastAsia="Palatino Linotype" w:hAnsi="Palatino Linotype" w:cs="Palatino Linotype"/>
        </w:rPr>
        <w:t xml:space="preserve">, </w:t>
      </w:r>
      <w:r>
        <w:rPr>
          <w:rFonts w:ascii="Palatino Linotype" w:eastAsia="Palatino Linotype" w:hAnsi="Palatino Linotype" w:cs="Palatino Linotype"/>
          <w:b/>
        </w:rPr>
        <w:t>para que</w:t>
      </w:r>
      <w:r>
        <w:rPr>
          <w:rFonts w:ascii="Palatino Linotype" w:eastAsia="Palatino Linotype" w:hAnsi="Palatino Linotype" w:cs="Palatino Linotype"/>
        </w:rPr>
        <w:t xml:space="preserve">, desde el ámbito de </w:t>
      </w:r>
      <w:r>
        <w:rPr>
          <w:rFonts w:ascii="Palatino Linotype" w:eastAsia="Palatino Linotype" w:hAnsi="Palatino Linotype" w:cs="Palatino Linotype"/>
        </w:rPr>
        <w:lastRenderedPageBreak/>
        <w:t xml:space="preserve">sus competencias, </w:t>
      </w:r>
      <w:r>
        <w:rPr>
          <w:rFonts w:ascii="Palatino Linotype" w:eastAsia="Palatino Linotype" w:hAnsi="Palatino Linotype" w:cs="Palatino Linotype"/>
          <w:b/>
          <w:u w:val="single"/>
        </w:rPr>
        <w:t>verifiquen el cobro de las aportaciones de obras de impacto vial,</w:t>
      </w:r>
      <w:r>
        <w:rPr>
          <w:rFonts w:ascii="Palatino Linotype" w:eastAsia="Palatino Linotype" w:hAnsi="Palatino Linotype" w:cs="Palatino Linotype"/>
        </w:rPr>
        <w:t xml:space="preserve"> en términos de lo dispuesto en el Código Financiero del Estado de México y Municipios.</w:t>
      </w:r>
    </w:p>
    <w:p w14:paraId="1D5A156E"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anterior, contrario a lo manifestado por el </w:t>
      </w:r>
      <w:r>
        <w:rPr>
          <w:rFonts w:ascii="Palatino Linotype" w:eastAsia="Palatino Linotype" w:hAnsi="Palatino Linotype" w:cs="Palatino Linotype"/>
          <w:b/>
        </w:rPr>
        <w:t>Sujeto Obligado</w:t>
      </w:r>
      <w:r>
        <w:rPr>
          <w:rFonts w:ascii="Palatino Linotype" w:eastAsia="Palatino Linotype" w:hAnsi="Palatino Linotype" w:cs="Palatino Linotype"/>
        </w:rPr>
        <w:t>, se colige que sí cuenta con atribuciones para para conocer sobre las personas jurídicas y/o personas físicas que realizaron el pago de aportaciones para obras de impacto vial, derivado de la Evaluación de Impacto Estatal que emita la Comisión de Impacto Estatal, en el entendido de que dicha información pudiera advertirse en la copia de la notificación que realiza dicha Comisión a la persona interesada.</w:t>
      </w:r>
    </w:p>
    <w:p w14:paraId="23F4CD97" w14:textId="77777777" w:rsidR="004A5FC7" w:rsidRDefault="00E6657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respecto de la cantidad recaudada, es oportuno recordar que el </w:t>
      </w:r>
      <w:r>
        <w:rPr>
          <w:rFonts w:ascii="Palatino Linotype" w:eastAsia="Palatino Linotype" w:hAnsi="Palatino Linotype" w:cs="Palatino Linotype"/>
          <w:b/>
        </w:rPr>
        <w:t>Sujeto Obligado</w:t>
      </w:r>
      <w:r>
        <w:rPr>
          <w:rFonts w:ascii="Palatino Linotype" w:eastAsia="Palatino Linotype" w:hAnsi="Palatino Linotype" w:cs="Palatino Linotype"/>
        </w:rPr>
        <w:t>, en atención a la solicitud, proporcionó una dirección electrónica, con la finalidad de que la persona solicitante consultara la información, razón por la cual es oportuno traer a colación el contenido del el artículo 161</w:t>
      </w:r>
      <w:r>
        <w:rPr>
          <w:vertAlign w:val="superscript"/>
        </w:rPr>
        <w:footnoteReference w:id="2"/>
      </w:r>
      <w:r>
        <w:rPr>
          <w:rFonts w:ascii="Palatino Linotype" w:eastAsia="Palatino Linotype" w:hAnsi="Palatino Linotype" w:cs="Palatino Linotype"/>
        </w:rPr>
        <w:t xml:space="preserve"> de la Ley de Transparencia y Acceso a la Información Pública del Estado de México y Municipios</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w:t>
      </w:r>
      <w:r>
        <w:rPr>
          <w:rFonts w:ascii="Palatino Linotype" w:eastAsia="Palatino Linotype" w:hAnsi="Palatino Linotype" w:cs="Palatino Linotype"/>
        </w:rPr>
        <w:lastRenderedPageBreak/>
        <w:t>reproducir o adquirir la información, en un plazo no mayor a cinco días hábiles, comprendiendo:</w:t>
      </w:r>
    </w:p>
    <w:p w14:paraId="017FEF47" w14:textId="77777777" w:rsidR="004A5FC7" w:rsidRDefault="004A5FC7">
      <w:pPr>
        <w:spacing w:line="360" w:lineRule="auto"/>
        <w:jc w:val="both"/>
        <w:rPr>
          <w:rFonts w:ascii="Palatino Linotype" w:eastAsia="Palatino Linotype" w:hAnsi="Palatino Linotype" w:cs="Palatino Linotype"/>
        </w:rPr>
      </w:pPr>
    </w:p>
    <w:p w14:paraId="240B2CF8" w14:textId="77777777" w:rsidR="004A5FC7" w:rsidRDefault="00E6657C">
      <w:pPr>
        <w:spacing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a) La fuente</w:t>
      </w:r>
    </w:p>
    <w:p w14:paraId="5BC8E615" w14:textId="77777777" w:rsidR="004A5FC7" w:rsidRDefault="00E6657C">
      <w:pPr>
        <w:spacing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El lugar y</w:t>
      </w:r>
    </w:p>
    <w:p w14:paraId="452F9D9D" w14:textId="77777777" w:rsidR="004A5FC7" w:rsidRDefault="00E6657C">
      <w:pPr>
        <w:spacing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c) La forma</w:t>
      </w:r>
    </w:p>
    <w:p w14:paraId="4EBE7A6F" w14:textId="77777777" w:rsidR="004A5FC7" w:rsidRDefault="00E6657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Asimismo, se establece que la fuente de la información deberá ser:</w:t>
      </w:r>
    </w:p>
    <w:p w14:paraId="7C6BCB76" w14:textId="77777777" w:rsidR="004A5FC7" w:rsidRDefault="00E6657C">
      <w:pPr>
        <w:spacing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a) Precisa</w:t>
      </w:r>
    </w:p>
    <w:p w14:paraId="4E697796" w14:textId="77777777" w:rsidR="004A5FC7" w:rsidRDefault="00E6657C">
      <w:pPr>
        <w:spacing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Concreta</w:t>
      </w:r>
    </w:p>
    <w:p w14:paraId="3F1D89F0" w14:textId="77777777" w:rsidR="004A5FC7" w:rsidRDefault="00E6657C">
      <w:pPr>
        <w:spacing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c) Y no debe implicar que el solicitante realice una búsqueda en toda la información que se encuentre disponible.</w:t>
      </w:r>
    </w:p>
    <w:p w14:paraId="6B418ADC" w14:textId="77777777" w:rsidR="004A5FC7" w:rsidRDefault="00E6657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Imperativos legales que establecen el procedimiento que debe seguir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pueda tomarse como válida su orientación sobre la forma en que puede consultar la información requerida.</w:t>
      </w:r>
    </w:p>
    <w:p w14:paraId="4C790F7C"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señala que la información está disponible en la liga electrónica: </w:t>
      </w:r>
      <w:hyperlink r:id="rId11">
        <w:r>
          <w:rPr>
            <w:rFonts w:ascii="Palatino Linotype" w:eastAsia="Palatino Linotype" w:hAnsi="Palatino Linotype" w:cs="Palatino Linotype"/>
            <w:i/>
            <w:color w:val="000000"/>
            <w:u w:val="single"/>
          </w:rPr>
          <w:t>http://transparenciafiscal.edomex.gob.mx/rendición_cuentas</w:t>
        </w:r>
      </w:hyperlink>
      <w:r>
        <w:rPr>
          <w:rFonts w:ascii="Palatino Linotype" w:eastAsia="Palatino Linotype" w:hAnsi="Palatino Linotype" w:cs="Palatino Linotype"/>
          <w:sz w:val="32"/>
          <w:szCs w:val="32"/>
        </w:rPr>
        <w:t xml:space="preserve">, </w:t>
      </w:r>
      <w:r>
        <w:rPr>
          <w:rFonts w:ascii="Palatino Linotype" w:eastAsia="Palatino Linotype" w:hAnsi="Palatino Linotype" w:cs="Palatino Linotype"/>
        </w:rPr>
        <w:t>y señaló que se debía seleccionar la opción “Cuenta Pública”, y el año que se desea consultar, por lo que este Organismo Garante procedió a realizar la consultar la información disponible en dicho portal, y se pudo observar lo siguiente:</w:t>
      </w:r>
    </w:p>
    <w:p w14:paraId="5B53E1BC" w14:textId="77777777" w:rsidR="004A5FC7" w:rsidRDefault="00E6657C">
      <w:pPr>
        <w:spacing w:before="240" w:after="240" w:line="360" w:lineRule="auto"/>
        <w:jc w:val="center"/>
        <w:rPr>
          <w:rFonts w:ascii="Palatino Linotype" w:eastAsia="Palatino Linotype" w:hAnsi="Palatino Linotype" w:cs="Palatino Linotype"/>
        </w:rPr>
      </w:pPr>
      <w:r>
        <w:rPr>
          <w:noProof/>
          <w:lang w:eastAsia="es-MX"/>
        </w:rPr>
        <w:lastRenderedPageBreak/>
        <w:drawing>
          <wp:inline distT="0" distB="0" distL="0" distR="0" wp14:anchorId="7D79D660" wp14:editId="46222366">
            <wp:extent cx="3600000" cy="2721646"/>
            <wp:effectExtent l="0" t="0" r="0" b="0"/>
            <wp:docPr id="6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t="925"/>
                    <a:stretch>
                      <a:fillRect/>
                    </a:stretch>
                  </pic:blipFill>
                  <pic:spPr>
                    <a:xfrm>
                      <a:off x="0" y="0"/>
                      <a:ext cx="3600000" cy="2721646"/>
                    </a:xfrm>
                    <a:prstGeom prst="rect">
                      <a:avLst/>
                    </a:prstGeom>
                    <a:ln/>
                  </pic:spPr>
                </pic:pic>
              </a:graphicData>
            </a:graphic>
          </wp:inline>
        </w:drawing>
      </w:r>
    </w:p>
    <w:p w14:paraId="3C07D365"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las indicaciones señaladas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procedió a seleccionar, a manera de ejemplo los ejercicios 2015 y 2021, de donde se obtuvo lo siguiente:</w:t>
      </w:r>
    </w:p>
    <w:p w14:paraId="1345AB53" w14:textId="77777777" w:rsidR="004A5FC7" w:rsidRDefault="00E6657C">
      <w:pPr>
        <w:spacing w:before="240" w:after="240" w:line="360" w:lineRule="auto"/>
        <w:jc w:val="center"/>
        <w:rPr>
          <w:rFonts w:ascii="Palatino Linotype" w:eastAsia="Palatino Linotype" w:hAnsi="Palatino Linotype" w:cs="Palatino Linotype"/>
        </w:rPr>
      </w:pPr>
      <w:r>
        <w:rPr>
          <w:noProof/>
          <w:lang w:eastAsia="es-MX"/>
        </w:rPr>
        <w:drawing>
          <wp:inline distT="0" distB="0" distL="0" distR="0" wp14:anchorId="26B4EA15" wp14:editId="0584DBEF">
            <wp:extent cx="5400000" cy="3292254"/>
            <wp:effectExtent l="0" t="0" r="0" b="0"/>
            <wp:docPr id="6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t="7179" b="19847"/>
                    <a:stretch>
                      <a:fillRect/>
                    </a:stretch>
                  </pic:blipFill>
                  <pic:spPr>
                    <a:xfrm>
                      <a:off x="0" y="0"/>
                      <a:ext cx="5400000" cy="3292254"/>
                    </a:xfrm>
                    <a:prstGeom prst="rect">
                      <a:avLst/>
                    </a:prstGeom>
                    <a:ln/>
                  </pic:spPr>
                </pic:pic>
              </a:graphicData>
            </a:graphic>
          </wp:inline>
        </w:drawing>
      </w:r>
    </w:p>
    <w:p w14:paraId="72CA5CA0" w14:textId="77777777" w:rsidR="004A5FC7" w:rsidRDefault="00E6657C">
      <w:pPr>
        <w:spacing w:before="240" w:after="240" w:line="360" w:lineRule="auto"/>
        <w:jc w:val="center"/>
        <w:rPr>
          <w:rFonts w:ascii="Palatino Linotype" w:eastAsia="Palatino Linotype" w:hAnsi="Palatino Linotype" w:cs="Palatino Linotype"/>
        </w:rPr>
      </w:pPr>
      <w:r>
        <w:rPr>
          <w:noProof/>
          <w:lang w:eastAsia="es-MX"/>
        </w:rPr>
        <w:lastRenderedPageBreak/>
        <w:drawing>
          <wp:inline distT="0" distB="0" distL="0" distR="0" wp14:anchorId="54F60B0F" wp14:editId="7E1310DE">
            <wp:extent cx="5400000" cy="3318241"/>
            <wp:effectExtent l="0" t="0" r="0" b="0"/>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7693" b="19006"/>
                    <a:stretch>
                      <a:fillRect/>
                    </a:stretch>
                  </pic:blipFill>
                  <pic:spPr>
                    <a:xfrm>
                      <a:off x="0" y="0"/>
                      <a:ext cx="5400000" cy="3318241"/>
                    </a:xfrm>
                    <a:prstGeom prst="rect">
                      <a:avLst/>
                    </a:prstGeom>
                    <a:ln/>
                  </pic:spPr>
                </pic:pic>
              </a:graphicData>
            </a:graphic>
          </wp:inline>
        </w:drawing>
      </w:r>
    </w:p>
    <w:p w14:paraId="58505F48" w14:textId="77777777" w:rsidR="004A5FC7" w:rsidRDefault="00E6657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Como se puede advertir de las imágenes insertas, la fuente proporcionada no cumple con lo señalado en el artículo 161</w:t>
      </w:r>
      <w:r>
        <w:t xml:space="preserve"> </w:t>
      </w:r>
      <w:r>
        <w:rPr>
          <w:rFonts w:ascii="Palatino Linotype" w:eastAsia="Palatino Linotype" w:hAnsi="Palatino Linotype" w:cs="Palatino Linotype"/>
        </w:rPr>
        <w:t xml:space="preserve">de la de Transparencia y Acceso a la Información Pública del Estado de México y Municipios, en el entendido de no se le informó a la persona solicitante de manera precisa, el hipervínculo donde se localiza la información que fue requerida, sin perder de vista que dicha prerrogativa debe ejercerse dentro de los primeros cinco días hábiles posteriores a la recepción de la solicitud, situación que tampoco observó el </w:t>
      </w:r>
      <w:r>
        <w:rPr>
          <w:rFonts w:ascii="Palatino Linotype" w:eastAsia="Palatino Linotype" w:hAnsi="Palatino Linotype" w:cs="Palatino Linotype"/>
          <w:b/>
        </w:rPr>
        <w:t>Sujeto Obligado.</w:t>
      </w:r>
    </w:p>
    <w:p w14:paraId="1E64426C"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toda vez que ha quedado de manifiesto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atribuciones para conocer sobre los contribuyentes que realicen el pago de aportaciones para obras y/o acciones de impacto vial, y que reconoció de manera expresa que cuenta con información relacionada con los montos recaudados por dicho concepto al haber remitido a la persona solicitante a </w:t>
      </w:r>
      <w:r>
        <w:rPr>
          <w:rFonts w:ascii="Palatino Linotype" w:eastAsia="Palatino Linotype" w:hAnsi="Palatino Linotype" w:cs="Palatino Linotype"/>
        </w:rPr>
        <w:lastRenderedPageBreak/>
        <w:t xml:space="preserve">la página electrónica de la cuenta pública, por lo que se estima dable ordena, previa búsqueda exhaustiva y razonable en las áreas competentes, la entrega del soporte documental que dé cuenta del nombre y/o razón social de las Desarrolladoras Inmobiliarias o personas físicas y la cantidad total recaudada por cada una, respecto de las contribuciones de mejoras por concepto de aportaciones para obras y/o acciones de impacto vial en el municipio de Tecámac, del uno de enero de dos mil quince al treinta y uno de diciembre de dos mil veintiuno, de cuyo análisis la persona solicitante podrá advertir el número total de desarrolladores.  </w:t>
      </w:r>
    </w:p>
    <w:p w14:paraId="0754E6FB"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efectos de lo anterior, es de suma importancia señalar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de conformidad con el Manual General de Organización de la Secretaría de Finanzas, su estructura orgánica se integra de la siguiente forma:</w:t>
      </w:r>
    </w:p>
    <w:p w14:paraId="5F2DD212" w14:textId="77777777" w:rsidR="004A5FC7" w:rsidRDefault="00E6657C">
      <w:pPr>
        <w:spacing w:before="240" w:after="240" w:line="360" w:lineRule="auto"/>
        <w:jc w:val="center"/>
        <w:rPr>
          <w:rFonts w:ascii="Palatino Linotype" w:eastAsia="Palatino Linotype" w:hAnsi="Palatino Linotype" w:cs="Palatino Linotype"/>
        </w:rPr>
      </w:pPr>
      <w:r>
        <w:rPr>
          <w:noProof/>
          <w:lang w:eastAsia="es-MX"/>
        </w:rPr>
        <w:drawing>
          <wp:inline distT="0" distB="0" distL="0" distR="0" wp14:anchorId="3C7B0D5C" wp14:editId="57BC4DE0">
            <wp:extent cx="4860000" cy="2823903"/>
            <wp:effectExtent l="0" t="0" r="0" b="0"/>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b="50765"/>
                    <a:stretch>
                      <a:fillRect/>
                    </a:stretch>
                  </pic:blipFill>
                  <pic:spPr>
                    <a:xfrm>
                      <a:off x="0" y="0"/>
                      <a:ext cx="4860000" cy="2823903"/>
                    </a:xfrm>
                    <a:prstGeom prst="rect">
                      <a:avLst/>
                    </a:prstGeom>
                    <a:ln/>
                  </pic:spPr>
                </pic:pic>
              </a:graphicData>
            </a:graphic>
          </wp:inline>
        </w:drawing>
      </w:r>
    </w:p>
    <w:p w14:paraId="7BE0E0CA" w14:textId="77777777" w:rsidR="004A5FC7" w:rsidRDefault="00E6657C">
      <w:pPr>
        <w:spacing w:before="240" w:after="240" w:line="360" w:lineRule="auto"/>
        <w:jc w:val="center"/>
        <w:rPr>
          <w:rFonts w:ascii="Palatino Linotype" w:eastAsia="Palatino Linotype" w:hAnsi="Palatino Linotype" w:cs="Palatino Linotype"/>
        </w:rPr>
      </w:pPr>
      <w:r>
        <w:rPr>
          <w:noProof/>
          <w:lang w:eastAsia="es-MX"/>
        </w:rPr>
        <w:lastRenderedPageBreak/>
        <w:drawing>
          <wp:inline distT="0" distB="0" distL="0" distR="0" wp14:anchorId="6E0460D7" wp14:editId="39040979">
            <wp:extent cx="4860000" cy="2931819"/>
            <wp:effectExtent l="0" t="0" r="0" b="0"/>
            <wp:docPr id="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48883"/>
                    <a:stretch>
                      <a:fillRect/>
                    </a:stretch>
                  </pic:blipFill>
                  <pic:spPr>
                    <a:xfrm>
                      <a:off x="0" y="0"/>
                      <a:ext cx="4860000" cy="2931819"/>
                    </a:xfrm>
                    <a:prstGeom prst="rect">
                      <a:avLst/>
                    </a:prstGeom>
                    <a:ln/>
                  </pic:spPr>
                </pic:pic>
              </a:graphicData>
            </a:graphic>
          </wp:inline>
        </w:drawing>
      </w:r>
    </w:p>
    <w:p w14:paraId="7D1CA6EE"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tema que nos ocupa, es importante señalar que la Subdirección de Ingresos, cuyo objetivo consiste en planear, organizar, coordinar, dirigir, controlar y evaluar las acciones encaminadas </w:t>
      </w:r>
      <w:r>
        <w:rPr>
          <w:rFonts w:ascii="Palatino Linotype" w:eastAsia="Palatino Linotype" w:hAnsi="Palatino Linotype" w:cs="Palatino Linotype"/>
          <w:b/>
        </w:rPr>
        <w:t>a recaudar</w:t>
      </w:r>
      <w:r>
        <w:rPr>
          <w:rFonts w:ascii="Palatino Linotype" w:eastAsia="Palatino Linotype" w:hAnsi="Palatino Linotype" w:cs="Palatino Linotype"/>
        </w:rPr>
        <w:t xml:space="preserve"> en los términos de los ordenamientos jurídicos y administrativos aplicables, </w:t>
      </w:r>
      <w:r>
        <w:rPr>
          <w:rFonts w:ascii="Palatino Linotype" w:eastAsia="Palatino Linotype" w:hAnsi="Palatino Linotype" w:cs="Palatino Linotype"/>
          <w:b/>
        </w:rPr>
        <w:t>los ingresos públicos ordinarios que correspondan al Estado, así como las participaciones, apoyos y fondos derivados de ingresos federales coordinados y municipales</w:t>
      </w:r>
      <w:r>
        <w:rPr>
          <w:rFonts w:ascii="Palatino Linotype" w:eastAsia="Palatino Linotype" w:hAnsi="Palatino Linotype" w:cs="Palatino Linotype"/>
        </w:rPr>
        <w:t xml:space="preserve"> al amparo del Sistema Nacional de Coordinación Fiscal y el de Coordinación Hacendaria del Estado de México, y los provenientes de los convenios suscritos con los municipios y organismos auxiliares, se integra por la Dirección General de Recaudación, cuyo objetivo consiste en planear, dirigir y evaluar las acciones de recaudación de los recursos tributarios que el Gobierno del Estado de México tiene derecho a percibir, así como promover y facilitar el correcto cumplimiento de las obligaciones fiscales de las y los </w:t>
      </w:r>
      <w:r>
        <w:rPr>
          <w:rFonts w:ascii="Palatino Linotype" w:eastAsia="Palatino Linotype" w:hAnsi="Palatino Linotype" w:cs="Palatino Linotype"/>
        </w:rPr>
        <w:lastRenderedPageBreak/>
        <w:t>contribuyentes, y, para tal efecto, se le confiere el desempeño de las siguientes atribuciones en su parte conducente:</w:t>
      </w:r>
    </w:p>
    <w:p w14:paraId="4F3CFAE9"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 Dirigir la recaudación de las contribuciones, aprovechamientos y productos estatales, así como las contribuciones federales y municipales en los términos de los convenios suscritos al efecto, que se realicen a través de las oficinas autorizadas o mediante terceros autorizados </w:t>
      </w:r>
    </w:p>
    <w:p w14:paraId="71729F9F"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Proponer la política de ingresos tributarios del Estado, generando los informes correspondientes.</w:t>
      </w:r>
    </w:p>
    <w:p w14:paraId="556294F1"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Ejercer, en el ámbito de su competencia, las funciones que se deriven del Sistema Nacional de Coordinación Fiscal y del Sistema Estatal de Coordinación Hacendaria, así como los convenios y acuerdos que se celebren dentro de este esquema con los gobiernos municipales, entidades federativas, Ciudad de México y organismos auxiliares.</w:t>
      </w:r>
    </w:p>
    <w:p w14:paraId="41F8B6E5"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Proponer y establecer mecanismos, estrategias, programas y procesos de recaudación y control de los ingresos fiscales que permitan promover e incrementar la captación de la recaudación, así como de las contribuciones, aprovechamientos y productos en los términos de los convenios suscritos para tal efecto.</w:t>
      </w:r>
    </w:p>
    <w:p w14:paraId="7D8D44C2"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Elaborar los pronósticos anuales relacionados con los ingresos tributarios del Estado, a efecto de proponer periódicamente las metas de recaudación para cada ejercicio fiscal.</w:t>
      </w:r>
    </w:p>
    <w:p w14:paraId="2F93B0F3" w14:textId="77777777" w:rsidR="004A5FC7" w:rsidRDefault="00E6657C">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lastRenderedPageBreak/>
        <w:t>- Autorizar, cuando proceda y a solicitud de las y los contribuyentes, previa garantía de su importe y accesorios legales, el pago a plazos diferido o en parcialidades de los créditos fiscales en términos de las disposiciones fiscales aplicables.</w:t>
      </w:r>
    </w:p>
    <w:p w14:paraId="4FF83876" w14:textId="77777777" w:rsidR="004A5FC7" w:rsidRDefault="00E6657C">
      <w:pPr>
        <w:spacing w:before="240" w:after="240" w:line="360" w:lineRule="auto"/>
        <w:ind w:left="284"/>
        <w:jc w:val="both"/>
        <w:rPr>
          <w:rFonts w:ascii="Palatino Linotype" w:eastAsia="Palatino Linotype" w:hAnsi="Palatino Linotype" w:cs="Palatino Linotype"/>
          <w:b/>
        </w:rPr>
      </w:pPr>
      <w:r>
        <w:rPr>
          <w:rFonts w:ascii="Palatino Linotype" w:eastAsia="Palatino Linotype" w:hAnsi="Palatino Linotype" w:cs="Palatino Linotype"/>
        </w:rPr>
        <w:t xml:space="preserve">− </w:t>
      </w:r>
      <w:r>
        <w:rPr>
          <w:rFonts w:ascii="Palatino Linotype" w:eastAsia="Palatino Linotype" w:hAnsi="Palatino Linotype" w:cs="Palatino Linotype"/>
          <w:b/>
        </w:rPr>
        <w:t>Dirigir e informar el registro, clasificación, control y determinación de la información relativa a los montos de contribuciones que recauda el Gobierno del Estado de México</w:t>
      </w:r>
      <w:r>
        <w:rPr>
          <w:b/>
        </w:rPr>
        <w:t>.</w:t>
      </w:r>
    </w:p>
    <w:p w14:paraId="009AED13" w14:textId="77777777" w:rsidR="004A5FC7" w:rsidRDefault="00E6657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observa que la Dirección General de Recaudación establece, norma y controla los programas de recaudación tributaria, asimismo registra, clasifica, controla, determina e informa los montos de contribuciones que </w:t>
      </w:r>
      <w:proofErr w:type="gramStart"/>
      <w:r>
        <w:rPr>
          <w:rFonts w:ascii="Palatino Linotype" w:eastAsia="Palatino Linotype" w:hAnsi="Palatino Linotype" w:cs="Palatino Linotype"/>
        </w:rPr>
        <w:t>recaude</w:t>
      </w:r>
      <w:proofErr w:type="gramEnd"/>
      <w:r>
        <w:rPr>
          <w:rFonts w:ascii="Palatino Linotype" w:eastAsia="Palatino Linotype" w:hAnsi="Palatino Linotype" w:cs="Palatino Linotype"/>
        </w:rPr>
        <w:t xml:space="preserve"> el Gobierno del Estado, siendo la unidad administrativa competente para proporcionar la información de mérito, por lo tanto es procedente ordenarse efectué nuevamente la búsqueda exhaustiva y razonable de la misma en sus archivos.</w:t>
      </w:r>
    </w:p>
    <w:p w14:paraId="52859C16" w14:textId="77777777" w:rsidR="004A5FC7" w:rsidRDefault="00E665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Siguiendo con el análisis, respecto del punto 2, donde se solicitó el </w:t>
      </w:r>
      <w:r>
        <w:rPr>
          <w:rFonts w:ascii="Palatino Linotype" w:eastAsia="Palatino Linotype" w:hAnsi="Palatino Linotype" w:cs="Palatino Linotype"/>
          <w:b/>
        </w:rPr>
        <w:t>concepto y el número de cuenta, en que la Secretaría de Finanzas tiene concentrado todos los recursos estatales provenientes de las contribuciones que realizaron los desarrolladores inmobiliarios por concepto de aportaciones de mejoras para obras de impacto vial</w:t>
      </w:r>
      <w:r>
        <w:rPr>
          <w:rFonts w:ascii="Palatino Linotype" w:eastAsia="Palatino Linotype" w:hAnsi="Palatino Linotype" w:cs="Palatino Linotype"/>
        </w:rPr>
        <w:t xml:space="preserve">, es oportuno mencionar que, de una interpretación equivoca al requerimiento de información,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consideró que la materia del mismo consistía en la administración de los ingresos provenientes de las contribuciones de mejoras por concepto de aportaciones para obras y/o acciones de impacto vial, razón por la cual manifestó que no contaba con atribuciones para </w:t>
      </w:r>
      <w:r>
        <w:rPr>
          <w:rFonts w:ascii="Palatino Linotype" w:eastAsia="Palatino Linotype" w:hAnsi="Palatino Linotype" w:cs="Palatino Linotype"/>
        </w:rPr>
        <w:lastRenderedPageBreak/>
        <w:t>administrar dicha información, y declinó la competencia en favor de la Secretaría de Movilidad, al ser dicha dependencia la encargada de dar seguimiento al ingreso y vigilar el comportamiento de las aportaciones de impacto vial.</w:t>
      </w:r>
    </w:p>
    <w:p w14:paraId="6AC1DBF2" w14:textId="77777777" w:rsidR="004A5FC7" w:rsidRDefault="00E665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Sin embargo, la pretensión de la persona solicitante consiste en conocer el concepto y número de cuenta en el que se encuentran los recursos estatales provenientes de las contribuciones de mejoras por concepto de aportaciones para obras y/o acciones de impacto vial.</w:t>
      </w:r>
    </w:p>
    <w:p w14:paraId="2A1FC40F" w14:textId="77777777" w:rsidR="004A5FC7" w:rsidRDefault="00E665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este sentido, es oportuno traer a contexto el párrafo octavo del artículo 216-F, del Código Financiero del Estado de México, a saber:</w:t>
      </w:r>
    </w:p>
    <w:p w14:paraId="1FB13191" w14:textId="77777777" w:rsidR="004A5FC7" w:rsidRDefault="00E6657C">
      <w:pP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216-F</w:t>
      </w:r>
      <w:r>
        <w:rPr>
          <w:rFonts w:ascii="Palatino Linotype" w:eastAsia="Palatino Linotype" w:hAnsi="Palatino Linotype" w:cs="Palatino Linotype"/>
          <w:i/>
          <w:sz w:val="22"/>
          <w:szCs w:val="22"/>
        </w:rPr>
        <w:t>.-</w:t>
      </w:r>
    </w:p>
    <w:p w14:paraId="6BC75167" w14:textId="77777777" w:rsidR="004A5FC7" w:rsidRDefault="00E6657C">
      <w:pP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88AD26E" w14:textId="77777777" w:rsidR="004A5FC7" w:rsidRDefault="00E6657C">
      <w:pPr>
        <w:tabs>
          <w:tab w:val="left" w:pos="7938"/>
        </w:tabs>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Los ingresos generados por las aportaciones de mejoras para obras y/o acciones de impacto vial, </w:t>
      </w:r>
      <w:r>
        <w:rPr>
          <w:rFonts w:ascii="Palatino Linotype" w:eastAsia="Palatino Linotype" w:hAnsi="Palatino Linotype" w:cs="Palatino Linotype"/>
          <w:b/>
          <w:i/>
          <w:sz w:val="22"/>
          <w:szCs w:val="22"/>
        </w:rPr>
        <w:t xml:space="preserve">se depositarán en la </w:t>
      </w:r>
      <w:r>
        <w:rPr>
          <w:rFonts w:ascii="Palatino Linotype" w:eastAsia="Palatino Linotype" w:hAnsi="Palatino Linotype" w:cs="Palatino Linotype"/>
          <w:b/>
          <w:i/>
          <w:sz w:val="22"/>
          <w:szCs w:val="22"/>
          <w:u w:val="single"/>
        </w:rPr>
        <w:t>cuenta autorizada</w:t>
      </w:r>
      <w:r>
        <w:rPr>
          <w:rFonts w:ascii="Palatino Linotype" w:eastAsia="Palatino Linotype" w:hAnsi="Palatino Linotype" w:cs="Palatino Linotype"/>
          <w:b/>
          <w:i/>
          <w:sz w:val="22"/>
          <w:szCs w:val="22"/>
        </w:rPr>
        <w:t xml:space="preserve"> para tal </w:t>
      </w:r>
      <w:r>
        <w:rPr>
          <w:rFonts w:ascii="Palatino Linotype" w:eastAsia="Palatino Linotype" w:hAnsi="Palatino Linotype" w:cs="Palatino Linotype"/>
          <w:b/>
          <w:i/>
          <w:sz w:val="22"/>
          <w:szCs w:val="22"/>
          <w:u w:val="single"/>
        </w:rPr>
        <w:t>efecto por la Secretaría.</w:t>
      </w:r>
      <w:r>
        <w:rPr>
          <w:rFonts w:ascii="Palatino Linotype" w:eastAsia="Palatino Linotype" w:hAnsi="Palatino Linotype" w:cs="Palatino Linotype"/>
          <w:b/>
          <w:i/>
          <w:sz w:val="22"/>
          <w:szCs w:val="22"/>
        </w:rPr>
        <w:t>”</w:t>
      </w:r>
    </w:p>
    <w:p w14:paraId="60B7A318"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de suma importancia mencionar que en términos del artículo 3, fracción XXXIII del Código Financiero, por “Secretaría”, se entiende a la Secretaría de Finanzas, a saber:</w:t>
      </w:r>
    </w:p>
    <w:p w14:paraId="7FF8C773" w14:textId="77777777" w:rsidR="004A5FC7" w:rsidRDefault="00E6657C">
      <w:pPr>
        <w:spacing w:before="120" w:after="120"/>
        <w:ind w:left="851" w:right="902"/>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Para efectos de este Código, Ley de Ingresos del Estado y del Presupuesto de Egresos se entenderá por:</w:t>
      </w:r>
    </w:p>
    <w:p w14:paraId="06089106" w14:textId="77777777" w:rsidR="004A5FC7" w:rsidRDefault="00E6657C">
      <w:pPr>
        <w:spacing w:before="120" w:after="120"/>
        <w:ind w:left="1134" w:right="902"/>
        <w:rPr>
          <w:rFonts w:ascii="Palatino Linotype" w:eastAsia="Palatino Linotype" w:hAnsi="Palatino Linotype" w:cs="Palatino Linotype"/>
          <w:i/>
        </w:rPr>
      </w:pPr>
      <w:r>
        <w:rPr>
          <w:rFonts w:ascii="Palatino Linotype" w:eastAsia="Palatino Linotype" w:hAnsi="Palatino Linotype" w:cs="Palatino Linotype"/>
          <w:i/>
        </w:rPr>
        <w:t>…</w:t>
      </w:r>
    </w:p>
    <w:p w14:paraId="11B04B9B" w14:textId="77777777" w:rsidR="004A5FC7" w:rsidRDefault="00E6657C">
      <w:pPr>
        <w:spacing w:before="120" w:after="120"/>
        <w:ind w:left="1134" w:right="902"/>
        <w:rPr>
          <w:rFonts w:ascii="Palatino Linotype" w:eastAsia="Palatino Linotype" w:hAnsi="Palatino Linotype" w:cs="Palatino Linotype"/>
          <w:i/>
        </w:rPr>
      </w:pPr>
      <w:r>
        <w:rPr>
          <w:rFonts w:ascii="Palatino Linotype" w:eastAsia="Palatino Linotype" w:hAnsi="Palatino Linotype" w:cs="Palatino Linotype"/>
          <w:b/>
          <w:i/>
        </w:rPr>
        <w:t>XXXIII. Secretaría</w:t>
      </w:r>
      <w:r>
        <w:rPr>
          <w:rFonts w:ascii="Palatino Linotype" w:eastAsia="Palatino Linotype" w:hAnsi="Palatino Linotype" w:cs="Palatino Linotype"/>
          <w:i/>
        </w:rPr>
        <w:t>. A la Secretaría de Finanzas”</w:t>
      </w:r>
    </w:p>
    <w:p w14:paraId="3351242B"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es claro que la Secretaría de Finanzas cuenta con atribuciones para conocer el concepto y número de cuenta donde se encuentran concentrados los </w:t>
      </w:r>
      <w:r>
        <w:rPr>
          <w:rFonts w:ascii="Palatino Linotype" w:eastAsia="Palatino Linotype" w:hAnsi="Palatino Linotype" w:cs="Palatino Linotype"/>
        </w:rPr>
        <w:lastRenderedPageBreak/>
        <w:t>recursos estatales de las contribuciones de mejoras por concepto de aportaciones para obras y/o acciones de impacto vial, siendo procedente en consecuencia, ordenar la entrega del documento donde conste dicha información, en versión pública conforme al considerando siguiente.</w:t>
      </w:r>
    </w:p>
    <w:p w14:paraId="4AE55B90"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sin contrariar lo expuesto, es de señalar que no escapa de la óptica de este Organismo Garante que la persona solicitante desea conocer la información por ejercicio fiscal, </w:t>
      </w:r>
      <w:r>
        <w:rPr>
          <w:rFonts w:ascii="Palatino Linotype" w:eastAsia="Palatino Linotype" w:hAnsi="Palatino Linotype" w:cs="Palatino Linotype"/>
          <w:b/>
        </w:rPr>
        <w:t>desde el 2015 al 2021, concretamente, del municipio de Tecámac</w:t>
      </w:r>
      <w:r>
        <w:rPr>
          <w:rFonts w:ascii="Palatino Linotype" w:eastAsia="Palatino Linotype" w:hAnsi="Palatino Linotype" w:cs="Palatino Linotype"/>
        </w:rPr>
        <w:t xml:space="preserve">, sin embargo, es oportuno mencionar que de la normativa aplicable al caso concreto, no se advirtió disposición alguna que constriña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generar, administrar o poseer la información específicamente en los términos solicitados, razón por la cual, para para satisfacer el Derecho Humano de acceso de la persona solicitante, </w:t>
      </w:r>
      <w:r>
        <w:rPr>
          <w:rFonts w:ascii="Palatino Linotype" w:eastAsia="Palatino Linotype" w:hAnsi="Palatino Linotype" w:cs="Palatino Linotype"/>
          <w:b/>
        </w:rPr>
        <w:t xml:space="preserve">la entrega de información deberá hacerse al mayor grado de desagregación posible, </w:t>
      </w:r>
      <w:r>
        <w:rPr>
          <w:rFonts w:ascii="Palatino Linotype" w:eastAsia="Palatino Linotype" w:hAnsi="Palatino Linotype" w:cs="Palatino Linotype"/>
        </w:rPr>
        <w:t>en el entendido de que los entes públicos no se encuentran obligados a generar información, realizar resúmenes, practicar investigaciones o procesar información para satisfacer el interés de las personas solicitantes, sino que la obligación de transparencia implica únicamente, que se haga entrega de la información solicitada como ésta se hubiera generado y como obre en los archivos de los Sujetos Obligados.</w:t>
      </w:r>
    </w:p>
    <w:p w14:paraId="5BF68A43" w14:textId="77777777" w:rsidR="004A5FC7" w:rsidRPr="00245C79" w:rsidRDefault="00E6657C">
      <w:pPr>
        <w:spacing w:before="240" w:after="240" w:line="360" w:lineRule="auto"/>
        <w:jc w:val="both"/>
        <w:rPr>
          <w:rFonts w:ascii="Palatino Linotype" w:eastAsia="Palatino Linotype" w:hAnsi="Palatino Linotype" w:cs="Palatino Linotype"/>
        </w:rPr>
      </w:pPr>
      <w:r w:rsidRPr="00245C79">
        <w:rPr>
          <w:rFonts w:ascii="Palatino Linotype" w:eastAsia="Palatino Linotype" w:hAnsi="Palatino Linotype" w:cs="Palatino Linotype"/>
        </w:rPr>
        <w:t xml:space="preserve">Asimismo,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w:t>
      </w:r>
      <w:r w:rsidRPr="00245C79">
        <w:rPr>
          <w:rFonts w:ascii="Palatino Linotype" w:eastAsia="Palatino Linotype" w:hAnsi="Palatino Linotype" w:cs="Palatino Linotype"/>
        </w:rPr>
        <w:lastRenderedPageBreak/>
        <w:t>de garantizar la disponibilidad, la localización eficiente de la información generada, obtenida, adquirida, transformada y contar con sistemas de información, ágiles y eficientes”, al tenor de lo siguiente:</w:t>
      </w:r>
    </w:p>
    <w:p w14:paraId="1C231C36" w14:textId="77777777" w:rsidR="004A5FC7" w:rsidRPr="00245C79" w:rsidRDefault="00E6657C">
      <w:pPr>
        <w:tabs>
          <w:tab w:val="left" w:pos="7938"/>
        </w:tabs>
        <w:spacing w:before="120" w:after="120"/>
        <w:ind w:left="851"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i/>
          <w:sz w:val="22"/>
          <w:szCs w:val="22"/>
        </w:rPr>
        <w:t>“</w:t>
      </w:r>
      <w:r w:rsidRPr="00245C79">
        <w:rPr>
          <w:rFonts w:ascii="Palatino Linotype" w:eastAsia="Palatino Linotype" w:hAnsi="Palatino Linotype" w:cs="Palatino Linotype"/>
          <w:b/>
          <w:i/>
          <w:sz w:val="22"/>
          <w:szCs w:val="22"/>
        </w:rPr>
        <w:t>Cuarto.</w:t>
      </w:r>
    </w:p>
    <w:p w14:paraId="09FDFE5D"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i/>
          <w:sz w:val="22"/>
          <w:szCs w:val="22"/>
        </w:rPr>
        <w:t>(…)</w:t>
      </w:r>
    </w:p>
    <w:p w14:paraId="7013F8D8"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II. Archivo</w:t>
      </w:r>
      <w:r w:rsidRPr="00245C79">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14:paraId="493E661D"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III. Archivo de concentración</w:t>
      </w:r>
      <w:r w:rsidRPr="00245C79">
        <w:rPr>
          <w:rFonts w:ascii="Palatino Linotype" w:eastAsia="Palatino Linotype" w:hAnsi="Palatino Linotype" w:cs="Palatino Linotype"/>
          <w:i/>
          <w:sz w:val="22"/>
          <w:szCs w:val="22"/>
        </w:rPr>
        <w:t>: La unidad de la administración de documentos cuya consulta es esporádica y que permanecen en ella hasta su transferencia secundaria o baja documental;</w:t>
      </w:r>
    </w:p>
    <w:p w14:paraId="79E032E2"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IV. Archivo histórico</w:t>
      </w:r>
      <w:r w:rsidRPr="00245C79">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14:paraId="290D0BD4"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V. Archivo de trámite</w:t>
      </w:r>
      <w:r w:rsidRPr="00245C79">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14:paraId="748B8414"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VIII. Baja documental</w:t>
      </w:r>
      <w:r w:rsidRPr="00245C79">
        <w:rPr>
          <w:rFonts w:ascii="Palatino Linotype" w:eastAsia="Palatino Linotype" w:hAnsi="Palatino Linotype" w:cs="Palatino Linotype"/>
          <w:i/>
          <w:sz w:val="22"/>
          <w:szCs w:val="22"/>
        </w:rPr>
        <w:t>. La eliminación de aquella documentación que haya prescrito en sus valores administrativos, legales, fiscales, contables, y que no contenga valores históricos;</w:t>
      </w:r>
    </w:p>
    <w:p w14:paraId="2756D8B8"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i/>
          <w:sz w:val="22"/>
          <w:szCs w:val="22"/>
        </w:rPr>
        <w:t>(…)</w:t>
      </w:r>
    </w:p>
    <w:p w14:paraId="49C4E296"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X. Ciclo vital del documento</w:t>
      </w:r>
      <w:r w:rsidRPr="00245C79">
        <w:rPr>
          <w:rFonts w:ascii="Palatino Linotype" w:eastAsia="Palatino Linotype" w:hAnsi="Palatino Linotype" w:cs="Palatino Linotype"/>
          <w:i/>
          <w:sz w:val="22"/>
          <w:szCs w:val="22"/>
        </w:rPr>
        <w:t xml:space="preserve">: </w:t>
      </w:r>
      <w:proofErr w:type="gramStart"/>
      <w:r w:rsidRPr="00245C79">
        <w:rPr>
          <w:rFonts w:ascii="Palatino Linotype" w:eastAsia="Palatino Linotype" w:hAnsi="Palatino Linotype" w:cs="Palatino Linotype"/>
          <w:i/>
          <w:sz w:val="22"/>
          <w:szCs w:val="22"/>
        </w:rPr>
        <w:t>La etapas</w:t>
      </w:r>
      <w:proofErr w:type="gramEnd"/>
      <w:r w:rsidRPr="00245C79">
        <w:rPr>
          <w:rFonts w:ascii="Palatino Linotype" w:eastAsia="Palatino Linotype" w:hAnsi="Palatino Linotype" w:cs="Palatino Linotype"/>
          <w:i/>
          <w:sz w:val="22"/>
          <w:szCs w:val="22"/>
        </w:rPr>
        <w:t xml:space="preserve"> de los documentos desde su producción o recepción hasta su baja o transferencia a un archivo histórico;</w:t>
      </w:r>
    </w:p>
    <w:p w14:paraId="213562DF"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i/>
          <w:sz w:val="22"/>
          <w:szCs w:val="22"/>
        </w:rPr>
        <w:t>(…)</w:t>
      </w:r>
    </w:p>
    <w:p w14:paraId="181EB857" w14:textId="77777777" w:rsidR="004A5FC7" w:rsidRPr="00245C79" w:rsidRDefault="00E6657C">
      <w:pPr>
        <w:tabs>
          <w:tab w:val="left" w:pos="7938"/>
        </w:tabs>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XLVIII. Transferencia documental</w:t>
      </w:r>
      <w:r w:rsidRPr="00245C79">
        <w:rPr>
          <w:rFonts w:ascii="Palatino Linotype" w:eastAsia="Palatino Linotype" w:hAnsi="Palatino Linotype" w:cs="Palatino Linotype"/>
          <w:i/>
          <w:sz w:val="22"/>
          <w:szCs w:val="22"/>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6D92A557" w14:textId="77777777" w:rsidR="004A5FC7" w:rsidRPr="00245C79" w:rsidRDefault="00E6657C">
      <w:pPr>
        <w:spacing w:before="240" w:after="240" w:line="360" w:lineRule="auto"/>
        <w:ind w:right="49"/>
        <w:jc w:val="both"/>
        <w:rPr>
          <w:rFonts w:ascii="Palatino Linotype" w:eastAsia="Palatino Linotype" w:hAnsi="Palatino Linotype" w:cs="Palatino Linotype"/>
        </w:rPr>
      </w:pPr>
      <w:r w:rsidRPr="00245C79">
        <w:rPr>
          <w:rFonts w:ascii="Palatino Linotype" w:eastAsia="Palatino Linotype" w:hAnsi="Palatino Linotype" w:cs="Palatino Linotype"/>
        </w:rPr>
        <w:lastRenderedPageBreak/>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2DDDDC3D" w14:textId="77777777" w:rsidR="004A5FC7" w:rsidRPr="00245C79" w:rsidRDefault="00E6657C">
      <w:pPr>
        <w:spacing w:before="240" w:after="240" w:line="360" w:lineRule="auto"/>
        <w:ind w:right="49"/>
        <w:jc w:val="both"/>
        <w:rPr>
          <w:rFonts w:ascii="Palatino Linotype" w:eastAsia="Palatino Linotype" w:hAnsi="Palatino Linotype" w:cs="Palatino Linotype"/>
        </w:rPr>
      </w:pPr>
      <w:r w:rsidRPr="00245C79">
        <w:rPr>
          <w:rFonts w:ascii="Palatino Linotype" w:eastAsia="Palatino Linotype" w:hAnsi="Palatino Linotype" w:cs="Palatino Linotype"/>
        </w:rPr>
        <w:t>Por su parte, los Lineamientos para la Valoración, Selección y Baja de los Documentos, Expedientes y Series de Trámite Concluido en los Archivos del Estado de México, que establece lo siguiente:</w:t>
      </w:r>
    </w:p>
    <w:p w14:paraId="3356DDB6" w14:textId="77777777" w:rsidR="004A5FC7" w:rsidRPr="00245C79" w:rsidRDefault="00E6657C">
      <w:pPr>
        <w:spacing w:before="120" w:after="120"/>
        <w:ind w:left="851"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i/>
          <w:sz w:val="22"/>
          <w:szCs w:val="22"/>
        </w:rPr>
        <w:t>“</w:t>
      </w:r>
      <w:r w:rsidRPr="00245C79">
        <w:rPr>
          <w:rFonts w:ascii="Palatino Linotype" w:eastAsia="Palatino Linotype" w:hAnsi="Palatino Linotype" w:cs="Palatino Linotype"/>
          <w:b/>
          <w:i/>
          <w:sz w:val="22"/>
          <w:szCs w:val="22"/>
        </w:rPr>
        <w:t>Artículo 20.</w:t>
      </w:r>
      <w:r w:rsidRPr="00245C79">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268468E2" w14:textId="77777777" w:rsidR="004A5FC7" w:rsidRPr="00245C79" w:rsidRDefault="00E6657C">
      <w:pPr>
        <w:spacing w:before="120" w:after="120"/>
        <w:ind w:left="851"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40B870CE" w14:textId="77777777" w:rsidR="004A5FC7" w:rsidRPr="00245C79" w:rsidRDefault="00E6657C">
      <w:pPr>
        <w:spacing w:before="120" w:after="120"/>
        <w:ind w:left="851"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Artículo 27</w:t>
      </w:r>
      <w:r w:rsidRPr="00245C79">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245C79">
        <w:rPr>
          <w:rFonts w:ascii="Palatino Linotype" w:eastAsia="Palatino Linotype" w:hAnsi="Palatino Linotype" w:cs="Palatino Linotype"/>
          <w:i/>
          <w:sz w:val="22"/>
          <w:szCs w:val="22"/>
        </w:rPr>
        <w:t>precaucional</w:t>
      </w:r>
      <w:proofErr w:type="spellEnd"/>
      <w:r w:rsidRPr="00245C79">
        <w:rPr>
          <w:rFonts w:ascii="Palatino Linotype" w:eastAsia="Palatino Linotype" w:hAnsi="Palatino Linotype" w:cs="Palatino Linotype"/>
          <w:i/>
          <w:sz w:val="22"/>
          <w:szCs w:val="22"/>
        </w:rPr>
        <w:t xml:space="preserve"> de éstos en el Archivo de Concentración.</w:t>
      </w:r>
    </w:p>
    <w:p w14:paraId="7ECC6C58" w14:textId="77777777" w:rsidR="004A5FC7" w:rsidRPr="00245C79" w:rsidRDefault="00E6657C">
      <w:pPr>
        <w:spacing w:before="120" w:after="120"/>
        <w:ind w:left="851"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i/>
          <w:sz w:val="22"/>
          <w:szCs w:val="22"/>
        </w:rPr>
        <w:t xml:space="preserve">Para determinar el plazo de conservación </w:t>
      </w:r>
      <w:proofErr w:type="spellStart"/>
      <w:r w:rsidRPr="00245C79">
        <w:rPr>
          <w:rFonts w:ascii="Palatino Linotype" w:eastAsia="Palatino Linotype" w:hAnsi="Palatino Linotype" w:cs="Palatino Linotype"/>
          <w:i/>
          <w:sz w:val="22"/>
          <w:szCs w:val="22"/>
        </w:rPr>
        <w:t>precaucional</w:t>
      </w:r>
      <w:proofErr w:type="spellEnd"/>
      <w:r w:rsidRPr="00245C79">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14:paraId="03656030" w14:textId="77777777" w:rsidR="004A5FC7" w:rsidRPr="00245C79" w:rsidRDefault="00E6657C">
      <w:pPr>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I</w:t>
      </w:r>
      <w:r w:rsidRPr="00245C79">
        <w:rPr>
          <w:rFonts w:ascii="Palatino Linotype" w:eastAsia="Palatino Linotype" w:hAnsi="Palatino Linotype" w:cs="Palatino Linotype"/>
          <w:i/>
          <w:sz w:val="22"/>
          <w:szCs w:val="22"/>
        </w:rPr>
        <w:t>. 6 años para expedientes con información administrativa;</w:t>
      </w:r>
    </w:p>
    <w:p w14:paraId="6327BA6C" w14:textId="77777777" w:rsidR="004A5FC7" w:rsidRPr="00245C79" w:rsidRDefault="00E6657C">
      <w:pPr>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lastRenderedPageBreak/>
        <w:t>II.</w:t>
      </w:r>
      <w:r w:rsidRPr="00245C79">
        <w:rPr>
          <w:rFonts w:ascii="Palatino Linotype" w:eastAsia="Palatino Linotype" w:hAnsi="Palatino Linotype" w:cs="Palatino Linotype"/>
          <w:i/>
          <w:sz w:val="22"/>
          <w:szCs w:val="22"/>
        </w:rPr>
        <w:t xml:space="preserve"> 6 años como mínimo para expedientes con información fiscal y presupuestal contable;</w:t>
      </w:r>
    </w:p>
    <w:p w14:paraId="0627A8CA" w14:textId="77777777" w:rsidR="004A5FC7" w:rsidRPr="00245C79" w:rsidRDefault="00E6657C">
      <w:pPr>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III</w:t>
      </w:r>
      <w:r w:rsidRPr="00245C79">
        <w:rPr>
          <w:rFonts w:ascii="Palatino Linotype" w:eastAsia="Palatino Linotype" w:hAnsi="Palatino Linotype" w:cs="Palatino Linotype"/>
          <w:i/>
          <w:sz w:val="22"/>
          <w:szCs w:val="22"/>
        </w:rPr>
        <w:t>. 12 años como mínimo para expedientes con información jurídico-legal, obra pública y activo fijo; y</w:t>
      </w:r>
    </w:p>
    <w:p w14:paraId="3A8301E9" w14:textId="77777777" w:rsidR="004A5FC7" w:rsidRPr="00245C79" w:rsidRDefault="00E6657C">
      <w:pPr>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IV.</w:t>
      </w:r>
      <w:r w:rsidRPr="00245C79">
        <w:rPr>
          <w:rFonts w:ascii="Palatino Linotype" w:eastAsia="Palatino Linotype" w:hAnsi="Palatino Linotype" w:cs="Palatino Linotype"/>
          <w:i/>
          <w:sz w:val="22"/>
          <w:szCs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14:paraId="4EED07C8" w14:textId="77777777" w:rsidR="004A5FC7" w:rsidRPr="00245C79" w:rsidRDefault="00E6657C">
      <w:pPr>
        <w:spacing w:before="120" w:after="120"/>
        <w:ind w:left="1134" w:right="902"/>
        <w:jc w:val="both"/>
        <w:rPr>
          <w:rFonts w:ascii="Palatino Linotype" w:eastAsia="Palatino Linotype" w:hAnsi="Palatino Linotype" w:cs="Palatino Linotype"/>
          <w:i/>
          <w:sz w:val="22"/>
          <w:szCs w:val="22"/>
        </w:rPr>
      </w:pPr>
      <w:r w:rsidRPr="00245C79">
        <w:rPr>
          <w:rFonts w:ascii="Palatino Linotype" w:eastAsia="Palatino Linotype" w:hAnsi="Palatino Linotype" w:cs="Palatino Linotype"/>
          <w:b/>
          <w:i/>
          <w:sz w:val="22"/>
          <w:szCs w:val="22"/>
        </w:rPr>
        <w:t>V</w:t>
      </w:r>
      <w:r w:rsidRPr="00245C79">
        <w:rPr>
          <w:rFonts w:ascii="Palatino Linotype" w:eastAsia="Palatino Linotype" w:hAnsi="Palatino Linotype" w:cs="Palatino Linotype"/>
          <w:i/>
          <w:sz w:val="22"/>
          <w:szCs w:val="22"/>
        </w:rPr>
        <w:t xml:space="preserve">. Cuando las Unidades Administrativas no indique el plazo de conservación </w:t>
      </w:r>
      <w:proofErr w:type="spellStart"/>
      <w:r w:rsidRPr="00245C79">
        <w:rPr>
          <w:rFonts w:ascii="Palatino Linotype" w:eastAsia="Palatino Linotype" w:hAnsi="Palatino Linotype" w:cs="Palatino Linotype"/>
          <w:i/>
          <w:sz w:val="22"/>
          <w:szCs w:val="22"/>
        </w:rPr>
        <w:t>precaucional</w:t>
      </w:r>
      <w:proofErr w:type="spellEnd"/>
      <w:r w:rsidRPr="00245C79">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14:paraId="76507013" w14:textId="77777777" w:rsidR="004A5FC7" w:rsidRDefault="00E6657C">
      <w:pPr>
        <w:spacing w:before="240" w:after="240" w:line="360" w:lineRule="auto"/>
        <w:jc w:val="both"/>
        <w:rPr>
          <w:rFonts w:ascii="Palatino Linotype" w:eastAsia="Palatino Linotype" w:hAnsi="Palatino Linotype" w:cs="Palatino Linotype"/>
        </w:rPr>
      </w:pPr>
      <w:r w:rsidRPr="00245C79">
        <w:rPr>
          <w:rFonts w:ascii="Palatino Linotype" w:eastAsia="Palatino Linotype" w:hAnsi="Palatino Linotype" w:cs="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06E882BD" w14:textId="77777777" w:rsidR="004A5FC7" w:rsidRDefault="00E6657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 hasta aquí expuesto, se concluye que los motivos de inconformidad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devienen fundados, siendo procedente </w:t>
      </w:r>
      <w:r>
        <w:rPr>
          <w:rFonts w:ascii="Palatino Linotype" w:eastAsia="Palatino Linotype" w:hAnsi="Palatino Linotype" w:cs="Palatino Linotype"/>
          <w:i/>
        </w:rPr>
        <w:t xml:space="preserve">Revocar </w:t>
      </w:r>
      <w:r>
        <w:rPr>
          <w:rFonts w:ascii="Palatino Linotype" w:eastAsia="Palatino Linotype" w:hAnsi="Palatino Linotype" w:cs="Palatino Linotype"/>
        </w:rPr>
        <w:t xml:space="preserve">las respuestas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0EC4DA0"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tales documentos a fin de satisfacer el </w:t>
      </w:r>
      <w:r>
        <w:rPr>
          <w:rFonts w:ascii="Palatino Linotype" w:eastAsia="Palatino Linotype" w:hAnsi="Palatino Linotype" w:cs="Palatino Linotype"/>
        </w:rPr>
        <w:lastRenderedPageBreak/>
        <w:t xml:space="preserve">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menoscabo al derecho a la protección de los datos personales de terceros.</w:t>
      </w:r>
    </w:p>
    <w:p w14:paraId="246AB91C"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D4C33AD"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5F6738C8"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5FA2EB2"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9DE1491"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17C7D778"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 Información confidencial: </w:t>
      </w:r>
      <w:r>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A1D36F"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339360C"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4DB3356"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84D674C"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5C80AE84"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4FB3EAF9"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444A3750"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E38BE45"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11E83E7A"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5B186E5"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690B7FC"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8EF329D"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B75725F"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3B18F56"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DD4B481"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41D7FAC" w14:textId="77777777" w:rsidR="004A5FC7" w:rsidRDefault="00E6657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w:t>
      </w:r>
      <w:r>
        <w:rPr>
          <w:rFonts w:ascii="Palatino Linotype" w:eastAsia="Palatino Linotype" w:hAnsi="Palatino Linotype" w:cs="Palatino Linotype"/>
        </w:rPr>
        <w:lastRenderedPageBreak/>
        <w:t xml:space="preserve">Elaboración de Versiones Públicas señalan las formalidades que deberá llevar el acuerdo de clasificación que deberá emitir el </w:t>
      </w:r>
      <w:r>
        <w:rPr>
          <w:rFonts w:ascii="Palatino Linotype" w:eastAsia="Palatino Linotype" w:hAnsi="Palatino Linotype" w:cs="Palatino Linotype"/>
          <w:b/>
        </w:rPr>
        <w:t>Sujeto Obligado</w:t>
      </w:r>
      <w:r>
        <w:rPr>
          <w:rFonts w:ascii="Palatino Linotype" w:eastAsia="Palatino Linotype" w:hAnsi="Palatino Linotype" w:cs="Palatino Linotype"/>
        </w:rPr>
        <w:t>, siendo estas las siguientes:</w:t>
      </w:r>
    </w:p>
    <w:p w14:paraId="6AB7B5E9"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“Quincuagésimo. </w:t>
      </w:r>
      <w:r>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4CA8FFA" w14:textId="77777777" w:rsidR="004A5FC7" w:rsidRDefault="00E6657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primero. </w:t>
      </w:r>
      <w:r>
        <w:rPr>
          <w:rFonts w:ascii="Palatino Linotype" w:eastAsia="Palatino Linotype" w:hAnsi="Palatino Linotype" w:cs="Palatino Linotype"/>
          <w:i/>
          <w:sz w:val="22"/>
          <w:szCs w:val="22"/>
        </w:rPr>
        <w:t xml:space="preserve">Toda acta del Comité de Transparencia deberá contener: </w:t>
      </w:r>
    </w:p>
    <w:p w14:paraId="0A02259E"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número de sesión y fecha; </w:t>
      </w:r>
    </w:p>
    <w:p w14:paraId="0F69CFEE"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del área que solicitó la clasificación de información; </w:t>
      </w:r>
    </w:p>
    <w:p w14:paraId="695A9368"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fundamentación legal y motivación correspondiente; </w:t>
      </w:r>
    </w:p>
    <w:p w14:paraId="52D5F497"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La resolución o resoluciones aprobadas; y </w:t>
      </w:r>
    </w:p>
    <w:p w14:paraId="75152FB3"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La rúbrica o firma digital de cada integrante del Comité de Transparencia. </w:t>
      </w:r>
    </w:p>
    <w:p w14:paraId="48D3E6FB" w14:textId="77777777" w:rsidR="004A5FC7" w:rsidRDefault="00E6657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450F5E4"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0F5E2FA"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Descripción de las partes o secciones reservadas, en caso de clasificación parcial</w:t>
      </w:r>
      <w:r>
        <w:rPr>
          <w:rFonts w:ascii="Palatino Linotype" w:eastAsia="Palatino Linotype" w:hAnsi="Palatino Linotype" w:cs="Palatino Linotype"/>
          <w:b/>
          <w:i/>
          <w:sz w:val="22"/>
          <w:szCs w:val="22"/>
        </w:rPr>
        <w:t xml:space="preserve">; </w:t>
      </w:r>
    </w:p>
    <w:p w14:paraId="64115EAB"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 periodo por el que mantendrá su clasificación y fecha de expiración; y </w:t>
      </w:r>
    </w:p>
    <w:p w14:paraId="0969BBC3" w14:textId="77777777" w:rsidR="004A5FC7" w:rsidRDefault="00E6657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854E20F" w14:textId="77777777" w:rsidR="004A5FC7" w:rsidRDefault="00E6657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B713876" w14:textId="77777777" w:rsidR="004A5FC7" w:rsidRDefault="00E6657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18FC6A2" w14:textId="77777777" w:rsidR="004A5FC7" w:rsidRDefault="00E6657C">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segundo</w:t>
      </w:r>
      <w:r>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w:t>
      </w:r>
      <w:r>
        <w:rPr>
          <w:rFonts w:ascii="Palatino Linotype" w:eastAsia="Palatino Linotype" w:hAnsi="Palatino Linotype" w:cs="Palatino Linotype"/>
          <w:i/>
          <w:sz w:val="22"/>
          <w:szCs w:val="22"/>
        </w:rPr>
        <w:lastRenderedPageBreak/>
        <w:t>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3C3FE6E" w14:textId="77777777" w:rsidR="004A5FC7" w:rsidRDefault="00E6657C">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w:t>
      </w:r>
      <w:proofErr w:type="spellStart"/>
      <w:r>
        <w:rPr>
          <w:rFonts w:ascii="Palatino Linotype" w:eastAsia="Palatino Linotype" w:hAnsi="Palatino Linotype" w:cs="Palatino Linotype"/>
          <w:i/>
          <w:sz w:val="22"/>
          <w:szCs w:val="22"/>
        </w:rPr>
        <w:t>especifico</w:t>
      </w:r>
      <w:proofErr w:type="spellEnd"/>
      <w:r>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4104AA09" w14:textId="77777777" w:rsidR="004A5FC7" w:rsidRDefault="00E6657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AFC00A5" w14:textId="77777777" w:rsidR="004A5FC7" w:rsidRDefault="00E6657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0B1B0ED" w14:textId="77777777" w:rsidR="004A5FC7" w:rsidRDefault="00E6657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Señalar las personas o instancias autorizadas a acceder a la información clasificada.</w:t>
      </w:r>
    </w:p>
    <w:p w14:paraId="1BDD5F06" w14:textId="77777777" w:rsidR="004A5FC7" w:rsidRDefault="00E6657C">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6932460" w14:textId="77777777" w:rsidR="004A5FC7" w:rsidRDefault="00E6657C">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que establece los formatos para la clasificación de los documentos, conforme a lo siguiente:</w:t>
      </w:r>
    </w:p>
    <w:p w14:paraId="25E73D62" w14:textId="77777777" w:rsidR="004A5FC7" w:rsidRDefault="00E6657C">
      <w:pPr>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332AAF85" w14:textId="77777777" w:rsidR="004A5FC7" w:rsidRDefault="00E6657C">
      <w:pPr>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LOS ELEMENTOS PARA LA CLASIFICACIÓN </w:t>
      </w:r>
    </w:p>
    <w:p w14:paraId="079C4FC5" w14:textId="77777777" w:rsidR="004A5FC7" w:rsidRDefault="00E6657C">
      <w:pPr>
        <w:ind w:left="851" w:right="90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2ACF2DD"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de un documento o expediente que contenga información reservada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es el siguiente: </w:t>
      </w:r>
    </w:p>
    <w:p w14:paraId="0FEDC7E7" w14:textId="77777777" w:rsidR="004A5FC7" w:rsidRDefault="00E6657C">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noProof/>
          <w:sz w:val="22"/>
          <w:szCs w:val="22"/>
          <w:lang w:eastAsia="es-MX"/>
        </w:rPr>
        <w:drawing>
          <wp:inline distT="0" distB="0" distL="0" distR="0" wp14:anchorId="6AEC3A0D" wp14:editId="037BEF6D">
            <wp:extent cx="4295775" cy="295275"/>
            <wp:effectExtent l="0" t="0" r="0" b="0"/>
            <wp:docPr id="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b="95731"/>
                    <a:stretch>
                      <a:fillRect/>
                    </a:stretch>
                  </pic:blipFill>
                  <pic:spPr>
                    <a:xfrm>
                      <a:off x="0" y="0"/>
                      <a:ext cx="4295775" cy="295275"/>
                    </a:xfrm>
                    <a:prstGeom prst="rect">
                      <a:avLst/>
                    </a:prstGeom>
                    <a:ln/>
                  </pic:spPr>
                </pic:pic>
              </a:graphicData>
            </a:graphic>
          </wp:inline>
        </w:drawing>
      </w:r>
    </w:p>
    <w:p w14:paraId="301AA490" w14:textId="77777777" w:rsidR="004A5FC7" w:rsidRDefault="00E6657C">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noProof/>
          <w:sz w:val="22"/>
          <w:szCs w:val="22"/>
          <w:lang w:eastAsia="es-MX"/>
        </w:rPr>
        <w:lastRenderedPageBreak/>
        <w:drawing>
          <wp:inline distT="0" distB="0" distL="0" distR="0" wp14:anchorId="449CCEE3" wp14:editId="4EB9AD56">
            <wp:extent cx="4333875" cy="4702931"/>
            <wp:effectExtent l="0" t="0" r="0" b="0"/>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t="30906" b="1002"/>
                    <a:stretch>
                      <a:fillRect/>
                    </a:stretch>
                  </pic:blipFill>
                  <pic:spPr>
                    <a:xfrm>
                      <a:off x="0" y="0"/>
                      <a:ext cx="4333875" cy="4702931"/>
                    </a:xfrm>
                    <a:prstGeom prst="rect">
                      <a:avLst/>
                    </a:prstGeom>
                    <a:ln/>
                  </pic:spPr>
                </pic:pic>
              </a:graphicData>
            </a:graphic>
          </wp:inline>
        </w:drawing>
      </w:r>
    </w:p>
    <w:p w14:paraId="0927F245"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que integren un expediente reservado en su totalidad no deberán marcarse en lo individual.</w:t>
      </w:r>
    </w:p>
    <w:p w14:paraId="5C85FF41"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1B9E57AD"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24965361" w14:textId="77777777" w:rsidR="004A5FC7" w:rsidRDefault="00E6657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Quincuagésimo cuarto. </w:t>
      </w:r>
      <w:r>
        <w:rPr>
          <w:rFonts w:ascii="Palatino Linotype" w:eastAsia="Palatino Linotype" w:hAnsi="Palatino Linotype" w:cs="Palatino Linotype"/>
          <w:i/>
          <w:sz w:val="22"/>
          <w:szCs w:val="22"/>
        </w:rPr>
        <w:t xml:space="preserve">Cuando el Comité de Transparencia confirme la clasificación de documentos reservados y/o confidenciales, sea total o </w:t>
      </w:r>
      <w:r>
        <w:rPr>
          <w:rFonts w:ascii="Palatino Linotype" w:eastAsia="Palatino Linotype" w:hAnsi="Palatino Linotype" w:cs="Palatino Linotype"/>
          <w:i/>
          <w:sz w:val="22"/>
          <w:szCs w:val="22"/>
        </w:rPr>
        <w:lastRenderedPageBreak/>
        <w:t>parcialmente; se deberá anexar al expediente la resolución que determinó la clasificación o, en su defecto, identificar en la carátula del expediente del cual formen parte, la fecha y sesión del Comité de Transparencia en la que se confirmó dicha clasificación.</w:t>
      </w:r>
      <w:r>
        <w:rPr>
          <w:rFonts w:ascii="Palatino Linotype" w:eastAsia="Palatino Linotype" w:hAnsi="Palatino Linotype" w:cs="Palatino Linotype"/>
          <w:b/>
          <w:i/>
          <w:sz w:val="22"/>
          <w:szCs w:val="22"/>
        </w:rPr>
        <w:t xml:space="preserve"> </w:t>
      </w:r>
    </w:p>
    <w:p w14:paraId="36096750"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quinto. </w:t>
      </w:r>
      <w:r>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Pr>
          <w:rFonts w:ascii="Palatino Linotype" w:eastAsia="Palatino Linotype" w:hAnsi="Palatino Linotype" w:cs="Palatino Linotype"/>
          <w:i/>
          <w:sz w:val="22"/>
          <w:szCs w:val="22"/>
        </w:rPr>
        <w:t>testado</w:t>
      </w:r>
      <w:proofErr w:type="spellEnd"/>
      <w:r>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1CD2EF2" w14:textId="77777777" w:rsidR="004A5FC7" w:rsidRDefault="00E6657C">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78ECD4F"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C672FE9"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DA5B9D0"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9D634EF" w14:textId="77777777" w:rsidR="004A5FC7" w:rsidRDefault="00E6657C">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9B97C88"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BEB40B9" w14:textId="77777777" w:rsidR="004A5FC7" w:rsidRDefault="00E665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B1EF8CF"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w:t>
      </w:r>
      <w:r>
        <w:rPr>
          <w:rFonts w:ascii="Palatino Linotype" w:eastAsia="Palatino Linotype" w:hAnsi="Palatino Linotype" w:cs="Palatino Linotype"/>
        </w:rPr>
        <w:lastRenderedPageBreak/>
        <w:t>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E3C03ED"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F6F760F" w14:textId="77777777" w:rsidR="004A5FC7" w:rsidRDefault="00E6657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02110AEC"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 xml:space="preserve">00669/INFOEM/IP/RR/2023 </w:t>
      </w:r>
      <w:r>
        <w:rPr>
          <w:rFonts w:ascii="Palatino Linotype" w:eastAsia="Palatino Linotype" w:hAnsi="Palatino Linotype" w:cs="Palatino Linotype"/>
        </w:rPr>
        <w:t xml:space="preserve">y </w:t>
      </w:r>
      <w:r>
        <w:rPr>
          <w:rFonts w:ascii="Palatino Linotype" w:eastAsia="Palatino Linotype" w:hAnsi="Palatino Linotype" w:cs="Palatino Linotype"/>
          <w:b/>
        </w:rPr>
        <w:t>0671/INFOEM/IP/RR/2023,</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Revocan </w:t>
      </w:r>
      <w:r>
        <w:rPr>
          <w:rFonts w:ascii="Palatino Linotype" w:eastAsia="Palatino Linotype" w:hAnsi="Palatino Linotype" w:cs="Palatino Linotype"/>
        </w:rPr>
        <w:t>las respuestas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62DCC1AB" w14:textId="77777777" w:rsidR="004A5FC7" w:rsidRDefault="00E6657C">
      <w:pPr>
        <w:spacing w:before="240" w:after="240" w:line="360" w:lineRule="auto"/>
        <w:jc w:val="both"/>
        <w:rPr>
          <w:rFonts w:ascii="Palatino Linotype" w:eastAsia="Palatino Linotype" w:hAnsi="Palatino Linotype" w:cs="Palatino Linotype"/>
        </w:rPr>
      </w:pPr>
      <w:bookmarkStart w:id="4" w:name="_heading=h.4d34og8" w:colFirst="0" w:colLast="0"/>
      <w:bookmarkEnd w:id="4"/>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w:t>
      </w:r>
      <w:proofErr w:type="gramStart"/>
      <w:r>
        <w:rPr>
          <w:rFonts w:ascii="Palatino Linotype" w:eastAsia="Palatino Linotype" w:hAnsi="Palatino Linotype" w:cs="Palatino Linotype"/>
        </w:rPr>
        <w:t>los  Considerandos</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Quinto </w:t>
      </w:r>
      <w:r>
        <w:rPr>
          <w:rFonts w:ascii="Palatino Linotype" w:eastAsia="Palatino Linotype" w:hAnsi="Palatino Linotype" w:cs="Palatino Linotype"/>
        </w:rPr>
        <w:t>de esta resolución, haga entrega, vía SAIMEX, en versión pública de ser procedente, previa búsqueda exhaustiva y razonable, del soporte documental que dé cuenta al mayor grado de desagregación posible, de lo siguiente:</w:t>
      </w:r>
    </w:p>
    <w:p w14:paraId="49FEB755" w14:textId="77777777" w:rsidR="004A5FC7" w:rsidRDefault="00E6657C">
      <w:pPr>
        <w:spacing w:before="240" w:after="240"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lastRenderedPageBreak/>
        <w:t>1. Nombre y/o razón social de las Desarrolladoras Inmobiliarias o personas físicas y la cantidad total recaudada por cada una respecto de las contribuciones de mejoras por concepto de aportaciones para obras y/o acciones de impacto vial en el municipio de Tecámac, del uno de enero de dos mil quince al treinta y uno de diciembre de dos mil veintiuno.</w:t>
      </w:r>
    </w:p>
    <w:p w14:paraId="4BCC0C2C" w14:textId="77777777" w:rsidR="004A5FC7" w:rsidRDefault="00E6657C">
      <w:pPr>
        <w:spacing w:before="240" w:after="240"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2. Concepto y número de cuenta donde se encuentran concentrados los recursos estatales de las contribuciones de mejoras por concepto de aportaciones para obras y/o acciones de impacto vial, del municipio de Tecámac, del uno de enero de dos mil quince al treinta y uno de diciembre de dos mil veintiuno.</w:t>
      </w:r>
    </w:p>
    <w:p w14:paraId="6DFBDB15" w14:textId="77777777" w:rsidR="004A5FC7" w:rsidRDefault="00E6657C">
      <w:pPr>
        <w:spacing w:before="120" w:after="120"/>
        <w:ind w:left="567"/>
        <w:jc w:val="both"/>
        <w:rPr>
          <w:rFonts w:ascii="Palatino Linotype" w:eastAsia="Palatino Linotype" w:hAnsi="Palatino Linotype" w:cs="Palatino Linotype"/>
          <w:i/>
          <w:sz w:val="20"/>
          <w:szCs w:val="20"/>
        </w:rPr>
      </w:pPr>
      <w:bookmarkStart w:id="5" w:name="_heading=h.s4wgn9ms4vzz" w:colFirst="0" w:colLast="0"/>
      <w:bookmarkEnd w:id="5"/>
      <w:r>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w:t>
      </w:r>
    </w:p>
    <w:p w14:paraId="7210B26E" w14:textId="77777777" w:rsidR="004A5FC7" w:rsidRDefault="00E6657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9A2545"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05946C8F" w14:textId="77777777" w:rsidR="004A5FC7" w:rsidRDefault="00E665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A156F09" w14:textId="77777777" w:rsidR="004A5FC7" w:rsidRDefault="00E6657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SÉPTIMA SESIÓN ORDINARIA CELEBRADA EL DOCE DE OCTUBRE DE DOS MIL VEINTITRÉS, ANTE EL SECRETARIO TÉCNICO DEL PLENO ALEXIS TAPIA RAMÍREZ.</w:t>
      </w:r>
    </w:p>
    <w:p w14:paraId="135171E2" w14:textId="77777777" w:rsidR="004A5FC7" w:rsidRDefault="004A5FC7">
      <w:pPr>
        <w:spacing w:line="360" w:lineRule="auto"/>
        <w:ind w:right="49"/>
        <w:jc w:val="both"/>
        <w:rPr>
          <w:rFonts w:ascii="Palatino Linotype" w:eastAsia="Palatino Linotype" w:hAnsi="Palatino Linotype" w:cs="Palatino Linotype"/>
        </w:rPr>
        <w:sectPr w:rsidR="004A5FC7">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pPr>
    </w:p>
    <w:p w14:paraId="368A94C3" w14:textId="77777777" w:rsidR="004A5FC7" w:rsidRDefault="004A5FC7">
      <w:pPr>
        <w:tabs>
          <w:tab w:val="left" w:pos="709"/>
        </w:tabs>
        <w:spacing w:before="240" w:after="240" w:line="360" w:lineRule="auto"/>
        <w:jc w:val="both"/>
      </w:pPr>
    </w:p>
    <w:sectPr w:rsidR="004A5FC7">
      <w:headerReference w:type="first" r:id="rId21"/>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DAEB" w14:textId="77777777" w:rsidR="00996710" w:rsidRDefault="00996710">
      <w:r>
        <w:separator/>
      </w:r>
    </w:p>
  </w:endnote>
  <w:endnote w:type="continuationSeparator" w:id="0">
    <w:p w14:paraId="7E1E37F4" w14:textId="77777777" w:rsidR="00996710" w:rsidRDefault="0099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A199" w14:textId="77777777" w:rsidR="004A5FC7" w:rsidRDefault="00E6657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0864">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0864">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14:paraId="734F501B" w14:textId="77777777" w:rsidR="004A5FC7" w:rsidRDefault="004A5FC7">
    <w:pPr>
      <w:pBdr>
        <w:top w:val="nil"/>
        <w:left w:val="nil"/>
        <w:bottom w:val="nil"/>
        <w:right w:val="nil"/>
        <w:between w:val="nil"/>
      </w:pBdr>
      <w:tabs>
        <w:tab w:val="center" w:pos="4252"/>
        <w:tab w:val="right" w:pos="8504"/>
      </w:tabs>
      <w:rPr>
        <w:color w:val="000000"/>
      </w:rPr>
    </w:pPr>
  </w:p>
  <w:p w14:paraId="44C120BB" w14:textId="77777777" w:rsidR="004A5FC7" w:rsidRDefault="004A5FC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C2BF" w14:textId="77777777" w:rsidR="004A5FC7" w:rsidRDefault="00E6657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086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0864">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14:paraId="5B5F0E9C" w14:textId="77777777" w:rsidR="004A5FC7" w:rsidRDefault="004A5FC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9209" w14:textId="77777777" w:rsidR="00996710" w:rsidRDefault="00996710">
      <w:r>
        <w:separator/>
      </w:r>
    </w:p>
  </w:footnote>
  <w:footnote w:type="continuationSeparator" w:id="0">
    <w:p w14:paraId="063B8E45" w14:textId="77777777" w:rsidR="00996710" w:rsidRDefault="00996710">
      <w:r>
        <w:continuationSeparator/>
      </w:r>
    </w:p>
  </w:footnote>
  <w:footnote w:id="1">
    <w:p w14:paraId="21A2959C" w14:textId="77777777" w:rsidR="004A5FC7" w:rsidRDefault="00E6657C">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75524EC5" w14:textId="77777777" w:rsidR="004A5FC7" w:rsidRDefault="00E6657C">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1A4D83F" w14:textId="77777777" w:rsidR="004A5FC7" w:rsidRDefault="00E6657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66B3" w14:textId="77777777" w:rsidR="004A5FC7" w:rsidRDefault="00E6657C">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312D62D1" wp14:editId="3534CAA3">
          <wp:simplePos x="0" y="0"/>
          <wp:positionH relativeFrom="column">
            <wp:posOffset>-990587</wp:posOffset>
          </wp:positionH>
          <wp:positionV relativeFrom="paragraph">
            <wp:posOffset>-412739</wp:posOffset>
          </wp:positionV>
          <wp:extent cx="7635163" cy="9944100"/>
          <wp:effectExtent l="0" t="0" r="0" b="0"/>
          <wp:wrapNone/>
          <wp:docPr id="6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3"/>
      <w:tblW w:w="5812" w:type="dxa"/>
      <w:tblInd w:w="3119" w:type="dxa"/>
      <w:tblLayout w:type="fixed"/>
      <w:tblLook w:val="0400" w:firstRow="0" w:lastRow="0" w:firstColumn="0" w:lastColumn="0" w:noHBand="0" w:noVBand="1"/>
    </w:tblPr>
    <w:tblGrid>
      <w:gridCol w:w="2694"/>
      <w:gridCol w:w="3118"/>
    </w:tblGrid>
    <w:tr w:rsidR="004A5FC7" w14:paraId="374FBCBC" w14:textId="77777777">
      <w:tc>
        <w:tcPr>
          <w:tcW w:w="2694" w:type="dxa"/>
          <w:vAlign w:val="center"/>
        </w:tcPr>
        <w:p w14:paraId="7FA2B2FF" w14:textId="77777777" w:rsidR="004A5FC7" w:rsidRDefault="00E665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1FB9D5E7" w14:textId="77777777" w:rsidR="004A5FC7" w:rsidRDefault="00E665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00669/INFOEM/IP/RR/2023 y acumulado</w:t>
          </w:r>
        </w:p>
      </w:tc>
    </w:tr>
    <w:tr w:rsidR="004A5FC7" w14:paraId="3A7CDB8E" w14:textId="77777777">
      <w:trPr>
        <w:trHeight w:val="228"/>
      </w:trPr>
      <w:tc>
        <w:tcPr>
          <w:tcW w:w="2694" w:type="dxa"/>
          <w:vAlign w:val="center"/>
        </w:tcPr>
        <w:p w14:paraId="09084C85" w14:textId="77777777" w:rsidR="004A5FC7" w:rsidRDefault="00E665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1E6C4417" w14:textId="77777777" w:rsidR="004A5FC7" w:rsidRDefault="00E665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4A5FC7" w14:paraId="5736196C" w14:textId="77777777">
      <w:tc>
        <w:tcPr>
          <w:tcW w:w="2694" w:type="dxa"/>
          <w:vAlign w:val="center"/>
        </w:tcPr>
        <w:p w14:paraId="62FFAF13" w14:textId="77777777" w:rsidR="004A5FC7" w:rsidRDefault="00E665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05EC599A" w14:textId="77777777" w:rsidR="004A5FC7" w:rsidRDefault="00E6657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7A3214" w14:textId="77777777" w:rsidR="004A5FC7" w:rsidRDefault="00E6657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9114" w14:textId="77777777" w:rsidR="004A5FC7" w:rsidRDefault="00E6657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ff2"/>
      <w:tblW w:w="5953" w:type="dxa"/>
      <w:tblInd w:w="3119" w:type="dxa"/>
      <w:tblLayout w:type="fixed"/>
      <w:tblLook w:val="0400" w:firstRow="0" w:lastRow="0" w:firstColumn="0" w:lastColumn="0" w:noHBand="0" w:noVBand="1"/>
    </w:tblPr>
    <w:tblGrid>
      <w:gridCol w:w="2551"/>
      <w:gridCol w:w="3402"/>
    </w:tblGrid>
    <w:tr w:rsidR="004A5FC7" w14:paraId="002E1D93" w14:textId="77777777">
      <w:tc>
        <w:tcPr>
          <w:tcW w:w="2551" w:type="dxa"/>
          <w:vAlign w:val="center"/>
        </w:tcPr>
        <w:p w14:paraId="72A2B036" w14:textId="77777777" w:rsidR="004A5FC7" w:rsidRDefault="00E665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664F02DF" w14:textId="77777777" w:rsidR="004A5FC7" w:rsidRDefault="00E665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00669/INFOEM/IP/RR/2023 y acumulado</w:t>
          </w:r>
        </w:p>
      </w:tc>
    </w:tr>
    <w:tr w:rsidR="004A5FC7" w14:paraId="5414075D" w14:textId="77777777">
      <w:tc>
        <w:tcPr>
          <w:tcW w:w="2551" w:type="dxa"/>
          <w:vAlign w:val="center"/>
        </w:tcPr>
        <w:p w14:paraId="04314DD9" w14:textId="77777777" w:rsidR="004A5FC7" w:rsidRDefault="00E6657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72842F35" w14:textId="0969E7A8" w:rsidR="004A5FC7" w:rsidRDefault="00156C2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XXXXXXXX XXXXXXX</w:t>
          </w:r>
          <w:r w:rsidR="00E6657C">
            <w:rPr>
              <w:noProof/>
              <w:lang w:eastAsia="es-MX"/>
            </w:rPr>
            <w:drawing>
              <wp:anchor distT="0" distB="0" distL="0" distR="0" simplePos="0" relativeHeight="251659264" behindDoc="1" locked="0" layoutInCell="1" hidden="0" allowOverlap="1" wp14:anchorId="454E9978" wp14:editId="73626AA8">
                <wp:simplePos x="0" y="0"/>
                <wp:positionH relativeFrom="column">
                  <wp:posOffset>-4685659</wp:posOffset>
                </wp:positionH>
                <wp:positionV relativeFrom="paragraph">
                  <wp:posOffset>-913756</wp:posOffset>
                </wp:positionV>
                <wp:extent cx="7635240" cy="9942830"/>
                <wp:effectExtent l="0" t="0" r="0" b="0"/>
                <wp:wrapNone/>
                <wp:docPr id="6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r>
            <w:rPr>
              <w:rFonts w:ascii="Palatino Linotype" w:eastAsia="Palatino Linotype" w:hAnsi="Palatino Linotype" w:cs="Palatino Linotype"/>
              <w:b/>
              <w:sz w:val="22"/>
              <w:szCs w:val="22"/>
            </w:rPr>
            <w:t>X</w:t>
          </w:r>
        </w:p>
      </w:tc>
    </w:tr>
    <w:tr w:rsidR="004A5FC7" w14:paraId="2D02DAF9" w14:textId="77777777">
      <w:trPr>
        <w:trHeight w:val="228"/>
      </w:trPr>
      <w:tc>
        <w:tcPr>
          <w:tcW w:w="2551" w:type="dxa"/>
          <w:vAlign w:val="center"/>
        </w:tcPr>
        <w:p w14:paraId="1F6B5F44" w14:textId="77777777" w:rsidR="004A5FC7" w:rsidRDefault="00E665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75327D6E" w14:textId="77777777" w:rsidR="004A5FC7" w:rsidRDefault="00E665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4A5FC7" w14:paraId="019E53BD" w14:textId="77777777">
      <w:tc>
        <w:tcPr>
          <w:tcW w:w="2551" w:type="dxa"/>
          <w:vAlign w:val="center"/>
        </w:tcPr>
        <w:p w14:paraId="61975F97" w14:textId="77777777" w:rsidR="004A5FC7" w:rsidRDefault="00E665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073B1B98" w14:textId="77777777" w:rsidR="004A5FC7" w:rsidRDefault="00E6657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FF3202" w14:textId="77777777" w:rsidR="004A5FC7" w:rsidRDefault="004A5FC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F663" w14:textId="77777777" w:rsidR="004A5FC7" w:rsidRDefault="00E6657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A7302CB" w14:textId="77777777" w:rsidR="004A5FC7" w:rsidRDefault="004A5FC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453D"/>
    <w:multiLevelType w:val="multilevel"/>
    <w:tmpl w:val="0D6C6C72"/>
    <w:lvl w:ilvl="0">
      <w:start w:val="1"/>
      <w:numFmt w:val="lowerLetter"/>
      <w:pStyle w:val="Listaconvietas"/>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1F51D0A"/>
    <w:multiLevelType w:val="multilevel"/>
    <w:tmpl w:val="7C8C800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6F0986"/>
    <w:multiLevelType w:val="multilevel"/>
    <w:tmpl w:val="0A5CEBC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C7"/>
    <w:rsid w:val="00156C20"/>
    <w:rsid w:val="00245C79"/>
    <w:rsid w:val="002D0864"/>
    <w:rsid w:val="004A5FC7"/>
    <w:rsid w:val="00996710"/>
    <w:rsid w:val="00BD2B55"/>
    <w:rsid w:val="00CD7CAF"/>
    <w:rsid w:val="00E665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94CA"/>
  <w15:docId w15:val="{FC794E59-CB87-4635-A3E9-BA14948C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A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44466"/>
    <w:rPr>
      <w:color w:val="605E5C"/>
      <w:shd w:val="clear" w:color="auto" w:fill="E1DFDD"/>
    </w:rPr>
  </w:style>
  <w:style w:type="character" w:styleId="Hipervnculovisitado">
    <w:name w:val="FollowedHyperlink"/>
    <w:basedOn w:val="Fuentedeprrafopredeter"/>
    <w:uiPriority w:val="99"/>
    <w:semiHidden/>
    <w:unhideWhenUsed/>
    <w:rsid w:val="00E44466"/>
    <w:rPr>
      <w:color w:val="954F72" w:themeColor="followedHyperlink"/>
      <w:u w:val="single"/>
    </w:r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rPr>
      <w:rFonts w:ascii="Calibri" w:eastAsia="Calibri" w:hAnsi="Calibri" w:cs="Calibri"/>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6">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4"/>
    <w:rPr>
      <w:rFonts w:ascii="Calibri" w:eastAsia="Calibri" w:hAnsi="Calibri" w:cs="Calibri"/>
    </w:rPr>
    <w:tblPr>
      <w:tblStyleRowBandSize w:val="1"/>
      <w:tblStyleColBandSize w:val="1"/>
      <w:tblCellMar>
        <w:left w:w="115" w:type="dxa"/>
        <w:right w:w="115" w:type="dxa"/>
      </w:tblCellMar>
    </w:tblPr>
  </w:style>
  <w:style w:type="paragraph" w:styleId="Lista">
    <w:name w:val="List"/>
    <w:basedOn w:val="Normal"/>
    <w:uiPriority w:val="99"/>
    <w:unhideWhenUsed/>
    <w:rsid w:val="00236BC4"/>
    <w:pPr>
      <w:ind w:left="283" w:hanging="283"/>
      <w:contextualSpacing/>
    </w:pPr>
  </w:style>
  <w:style w:type="paragraph" w:styleId="Lista2">
    <w:name w:val="List 2"/>
    <w:basedOn w:val="Normal"/>
    <w:uiPriority w:val="99"/>
    <w:unhideWhenUsed/>
    <w:rsid w:val="00236BC4"/>
    <w:pPr>
      <w:ind w:left="566" w:hanging="283"/>
      <w:contextualSpacing/>
    </w:pPr>
  </w:style>
  <w:style w:type="paragraph" w:styleId="Listaconvietas">
    <w:name w:val="List Bullet"/>
    <w:basedOn w:val="Normal"/>
    <w:uiPriority w:val="99"/>
    <w:unhideWhenUsed/>
    <w:rsid w:val="00236BC4"/>
    <w:pPr>
      <w:numPr>
        <w:numId w:val="2"/>
      </w:numPr>
      <w:contextualSpacing/>
    </w:pPr>
  </w:style>
  <w:style w:type="paragraph" w:styleId="Continuarlista">
    <w:name w:val="List Continue"/>
    <w:basedOn w:val="Normal"/>
    <w:uiPriority w:val="99"/>
    <w:unhideWhenUsed/>
    <w:rsid w:val="00236BC4"/>
    <w:pPr>
      <w:spacing w:after="120"/>
      <w:ind w:left="283"/>
      <w:contextualSpacing/>
    </w:pPr>
  </w:style>
  <w:style w:type="paragraph" w:styleId="Textoindependiente">
    <w:name w:val="Body Text"/>
    <w:basedOn w:val="Normal"/>
    <w:link w:val="TextoindependienteCar"/>
    <w:uiPriority w:val="99"/>
    <w:unhideWhenUsed/>
    <w:rsid w:val="00236BC4"/>
    <w:pPr>
      <w:spacing w:after="120"/>
    </w:pPr>
  </w:style>
  <w:style w:type="character" w:customStyle="1" w:styleId="TextoindependienteCar">
    <w:name w:val="Texto independiente Car"/>
    <w:basedOn w:val="Fuentedeprrafopredeter"/>
    <w:link w:val="Textoindependiente"/>
    <w:uiPriority w:val="99"/>
    <w:rsid w:val="00236BC4"/>
    <w:rPr>
      <w:lang w:eastAsia="es-ES"/>
    </w:rPr>
  </w:style>
  <w:style w:type="paragraph" w:styleId="Sangradetextonormal">
    <w:name w:val="Body Text Indent"/>
    <w:basedOn w:val="Normal"/>
    <w:link w:val="SangradetextonormalCar"/>
    <w:uiPriority w:val="99"/>
    <w:unhideWhenUsed/>
    <w:rsid w:val="00236BC4"/>
    <w:pPr>
      <w:spacing w:after="120"/>
      <w:ind w:left="283"/>
    </w:pPr>
  </w:style>
  <w:style w:type="character" w:customStyle="1" w:styleId="SangradetextonormalCar">
    <w:name w:val="Sangría de texto normal Car"/>
    <w:basedOn w:val="Fuentedeprrafopredeter"/>
    <w:link w:val="Sangradetextonormal"/>
    <w:uiPriority w:val="99"/>
    <w:rsid w:val="00236BC4"/>
    <w:rPr>
      <w:lang w:eastAsia="es-ES"/>
    </w:rPr>
  </w:style>
  <w:style w:type="paragraph" w:styleId="Textoindependienteprimerasangra2">
    <w:name w:val="Body Text First Indent 2"/>
    <w:basedOn w:val="Sangradetextonormal"/>
    <w:link w:val="Textoindependienteprimerasangra2Car"/>
    <w:uiPriority w:val="99"/>
    <w:unhideWhenUsed/>
    <w:rsid w:val="00236B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6BC4"/>
    <w:rPr>
      <w:lang w:eastAsia="es-ES"/>
    </w:rPr>
  </w:style>
  <w:style w:type="table" w:customStyle="1" w:styleId="af8">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1"/>
    <w:rPr>
      <w:rFonts w:ascii="Calibri" w:eastAsia="Calibri" w:hAnsi="Calibri" w:cs="Calibri"/>
    </w:rPr>
    <w:tblPr>
      <w:tblStyleRowBandSize w:val="1"/>
      <w:tblStyleColBandSize w:val="1"/>
      <w:tblCellMar>
        <w:left w:w="115" w:type="dxa"/>
        <w:right w:w="115" w:type="dxa"/>
      </w:tblCellMar>
    </w:tblPr>
  </w:style>
  <w:style w:type="paragraph" w:customStyle="1" w:styleId="Default">
    <w:name w:val="Default"/>
    <w:rsid w:val="00237D2A"/>
    <w:pPr>
      <w:autoSpaceDE w:val="0"/>
      <w:autoSpaceDN w:val="0"/>
      <w:adjustRightInd w:val="0"/>
    </w:pPr>
    <w:rPr>
      <w:color w:val="000000"/>
    </w:rPr>
  </w:style>
  <w:style w:type="paragraph" w:styleId="Listaconvietas3">
    <w:name w:val="List Bullet 3"/>
    <w:basedOn w:val="Normal"/>
    <w:uiPriority w:val="99"/>
    <w:unhideWhenUsed/>
    <w:rsid w:val="00601CF7"/>
    <w:pPr>
      <w:numPr>
        <w:numId w:val="3"/>
      </w:numPr>
      <w:contextualSpacing/>
    </w:pPr>
    <w:rPr>
      <w:lang w:val="es-ES" w:eastAsia="es-MX"/>
    </w:rPr>
  </w:style>
  <w:style w:type="table" w:customStyle="1" w:styleId="affe">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fiscal.edomex.gob.mx/rendici%C3%B3n_cuentas"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fiscal.edomex.gob.mx/rendici%C3%B3n_cuenta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transparenciafiscal.edomex.gob.mx/rendici%C3%B3n_cuenta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ransparenciafiscal.edomex.gob.mx/rendicion_cuentas"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cm+E808h+YIB5nMQJJ/HumCuw==">CgMxLjAyCWguM3pueXNoNzIJaC4zMGowemxsMghoLmdqZGd4czIJaC4yZXQ5MnAwMgloLjRkMzRvZzgyDmguczR3Z245bXM0dnp6OAByITFSdkJIa3hoRXVqb0RTanU3RUpOUG1CNU1CcmUzRjU0Ug==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14564</Words>
  <Characters>80104</Characters>
  <Application>Microsoft Office Word</Application>
  <DocSecurity>4</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2023-10-16T19:48:00Z</cp:lastPrinted>
  <dcterms:created xsi:type="dcterms:W3CDTF">2023-10-30T19:12:00Z</dcterms:created>
  <dcterms:modified xsi:type="dcterms:W3CDTF">2023-10-30T19:12:00Z</dcterms:modified>
</cp:coreProperties>
</file>