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0AE5F" w14:textId="77777777" w:rsidR="00C3402C" w:rsidRPr="006065EA" w:rsidRDefault="00BD4A67">
      <w:pPr>
        <w:spacing w:before="240"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veinticuatro de mayo de dos mil veintitrés.</w:t>
      </w:r>
    </w:p>
    <w:p w14:paraId="3C2E5126" w14:textId="77777777" w:rsidR="00C3402C" w:rsidRPr="006065EA" w:rsidRDefault="00C3402C"/>
    <w:p w14:paraId="57EBE217" w14:textId="1502FE86"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 xml:space="preserve">Visto </w:t>
      </w:r>
      <w:r w:rsidRPr="006065EA">
        <w:rPr>
          <w:rFonts w:ascii="Palatino Linotype" w:eastAsia="Palatino Linotype" w:hAnsi="Palatino Linotype" w:cs="Palatino Linotype"/>
          <w:sz w:val="24"/>
          <w:szCs w:val="24"/>
        </w:rPr>
        <w:t xml:space="preserve">el expediente relativo al recurso de revisión </w:t>
      </w:r>
      <w:r w:rsidRPr="006065EA">
        <w:rPr>
          <w:rFonts w:ascii="Palatino Linotype" w:eastAsia="Palatino Linotype" w:hAnsi="Palatino Linotype" w:cs="Palatino Linotype"/>
          <w:b/>
          <w:sz w:val="24"/>
          <w:szCs w:val="24"/>
        </w:rPr>
        <w:t>17134/INFOEM/IP/RR/2022</w:t>
      </w:r>
      <w:r w:rsidRPr="006065EA">
        <w:rPr>
          <w:rFonts w:ascii="Palatino Linotype" w:eastAsia="Palatino Linotype" w:hAnsi="Palatino Linotype" w:cs="Palatino Linotype"/>
          <w:sz w:val="24"/>
          <w:szCs w:val="24"/>
        </w:rPr>
        <w:t xml:space="preserve">, interpuesto por </w:t>
      </w:r>
      <w:r w:rsidR="001F07D4">
        <w:rPr>
          <w:rFonts w:ascii="Palatino Linotype" w:eastAsia="Palatino Linotype" w:hAnsi="Palatino Linotype" w:cs="Palatino Linotype"/>
          <w:b/>
          <w:sz w:val="24"/>
          <w:szCs w:val="24"/>
        </w:rPr>
        <w:t>XXXXX XXXX XXXXX</w:t>
      </w:r>
      <w:r w:rsidRPr="006065EA">
        <w:rPr>
          <w:rFonts w:ascii="Palatino Linotype" w:eastAsia="Palatino Linotype" w:hAnsi="Palatino Linotype" w:cs="Palatino Linotype"/>
          <w:sz w:val="24"/>
          <w:szCs w:val="24"/>
        </w:rPr>
        <w:t xml:space="preserve">, a quien en lo sucesivo se le denominara </w:t>
      </w:r>
      <w:r w:rsidRPr="006065EA">
        <w:rPr>
          <w:rFonts w:ascii="Palatino Linotype" w:eastAsia="Palatino Linotype" w:hAnsi="Palatino Linotype" w:cs="Palatino Linotype"/>
          <w:b/>
          <w:sz w:val="24"/>
          <w:szCs w:val="24"/>
        </w:rPr>
        <w:t>LA PARTE RECURRENTE</w:t>
      </w:r>
      <w:r w:rsidRPr="006065EA">
        <w:rPr>
          <w:rFonts w:ascii="Palatino Linotype" w:eastAsia="Palatino Linotype" w:hAnsi="Palatino Linotype" w:cs="Palatino Linotype"/>
          <w:sz w:val="24"/>
          <w:szCs w:val="24"/>
        </w:rPr>
        <w:t xml:space="preserve">, en contra de la falta de respuesta a la solicitud de información con número de folio </w:t>
      </w:r>
      <w:r w:rsidRPr="006065EA">
        <w:rPr>
          <w:rFonts w:ascii="Palatino Linotype" w:eastAsia="Palatino Linotype" w:hAnsi="Palatino Linotype" w:cs="Palatino Linotype"/>
          <w:b/>
          <w:sz w:val="24"/>
          <w:szCs w:val="24"/>
        </w:rPr>
        <w:t xml:space="preserve">00400/IXTAPALU/IP/2022 </w:t>
      </w:r>
      <w:r w:rsidRPr="006065EA">
        <w:rPr>
          <w:rFonts w:ascii="Palatino Linotype" w:eastAsia="Palatino Linotype" w:hAnsi="Palatino Linotype" w:cs="Palatino Linotype"/>
          <w:sz w:val="24"/>
          <w:szCs w:val="24"/>
        </w:rPr>
        <w:t xml:space="preserve">por parte del Ayuntamiento de Ixtapaluca, en lo sucesivo </w:t>
      </w:r>
      <w:r w:rsidRPr="006065EA">
        <w:rPr>
          <w:rFonts w:ascii="Palatino Linotype" w:eastAsia="Palatino Linotype" w:hAnsi="Palatino Linotype" w:cs="Palatino Linotype"/>
          <w:b/>
          <w:sz w:val="24"/>
          <w:szCs w:val="24"/>
        </w:rPr>
        <w:t>EL</w:t>
      </w:r>
      <w:r w:rsidRPr="006065EA">
        <w:rPr>
          <w:rFonts w:ascii="Palatino Linotype" w:eastAsia="Palatino Linotype" w:hAnsi="Palatino Linotype" w:cs="Palatino Linotype"/>
          <w:sz w:val="24"/>
          <w:szCs w:val="24"/>
        </w:rPr>
        <w:t xml:space="preserve">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se procede a dictar la presente resolución, con base en lo siguiente.</w:t>
      </w:r>
    </w:p>
    <w:p w14:paraId="0F4D6A8B"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27FD1656" w14:textId="77777777" w:rsidR="00C3402C" w:rsidRPr="006065EA" w:rsidRDefault="00BD4A67">
      <w:pPr>
        <w:spacing w:after="0" w:line="360" w:lineRule="auto"/>
        <w:jc w:val="center"/>
        <w:rPr>
          <w:rFonts w:ascii="Palatino Linotype" w:eastAsia="Palatino Linotype" w:hAnsi="Palatino Linotype" w:cs="Palatino Linotype"/>
          <w:b/>
          <w:sz w:val="24"/>
          <w:szCs w:val="24"/>
        </w:rPr>
      </w:pPr>
      <w:r w:rsidRPr="006065EA">
        <w:rPr>
          <w:rFonts w:ascii="Palatino Linotype" w:eastAsia="Palatino Linotype" w:hAnsi="Palatino Linotype" w:cs="Palatino Linotype"/>
          <w:b/>
          <w:sz w:val="24"/>
          <w:szCs w:val="24"/>
        </w:rPr>
        <w:t>A N T E C E D E N T E S</w:t>
      </w:r>
    </w:p>
    <w:p w14:paraId="334EB1CB"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D077656"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1.</w:t>
      </w:r>
      <w:r w:rsidRPr="006065EA">
        <w:rPr>
          <w:rFonts w:ascii="Palatino Linotype" w:eastAsia="Palatino Linotype" w:hAnsi="Palatino Linotype" w:cs="Palatino Linotype"/>
          <w:sz w:val="24"/>
          <w:szCs w:val="24"/>
        </w:rPr>
        <w:t xml:space="preserve"> </w:t>
      </w:r>
      <w:r w:rsidRPr="006065EA">
        <w:rPr>
          <w:rFonts w:ascii="Palatino Linotype" w:eastAsia="Palatino Linotype" w:hAnsi="Palatino Linotype" w:cs="Palatino Linotype"/>
          <w:b/>
          <w:sz w:val="24"/>
          <w:szCs w:val="24"/>
        </w:rPr>
        <w:t xml:space="preserve">SOLICITUD DE INFORMACIÓN. </w:t>
      </w:r>
      <w:r w:rsidRPr="006065EA">
        <w:rPr>
          <w:rFonts w:ascii="Palatino Linotype" w:eastAsia="Palatino Linotype" w:hAnsi="Palatino Linotype" w:cs="Palatino Linotype"/>
          <w:sz w:val="24"/>
          <w:szCs w:val="24"/>
        </w:rPr>
        <w:t>Con fecha</w:t>
      </w:r>
      <w:r w:rsidRPr="006065EA">
        <w:rPr>
          <w:rFonts w:ascii="Palatino Linotype" w:eastAsia="Palatino Linotype" w:hAnsi="Palatino Linotype" w:cs="Palatino Linotype"/>
          <w:color w:val="000000"/>
          <w:sz w:val="24"/>
          <w:szCs w:val="24"/>
        </w:rPr>
        <w:t xml:space="preserve"> diez de noviembre </w:t>
      </w:r>
      <w:r w:rsidRPr="006065EA">
        <w:rPr>
          <w:rFonts w:ascii="Palatino Linotype" w:eastAsia="Palatino Linotype" w:hAnsi="Palatino Linotype" w:cs="Palatino Linotype"/>
          <w:sz w:val="24"/>
          <w:szCs w:val="24"/>
        </w:rPr>
        <w:t xml:space="preserve">de dos mil veintidós, </w:t>
      </w:r>
      <w:r w:rsidRPr="006065EA">
        <w:rPr>
          <w:rFonts w:ascii="Palatino Linotype" w:eastAsia="Palatino Linotype" w:hAnsi="Palatino Linotype" w:cs="Palatino Linotype"/>
          <w:b/>
          <w:sz w:val="24"/>
          <w:szCs w:val="24"/>
        </w:rPr>
        <w:t>LA PARTE RECURRENTE</w:t>
      </w:r>
      <w:r w:rsidRPr="006065EA">
        <w:rPr>
          <w:rFonts w:ascii="Palatino Linotype" w:eastAsia="Palatino Linotype" w:hAnsi="Palatino Linotype" w:cs="Palatino Linotype"/>
          <w:sz w:val="24"/>
          <w:szCs w:val="24"/>
        </w:rPr>
        <w:t>, presentó a través del Sistema de Acceso a la Información Mexiquense (</w:t>
      </w:r>
      <w:r w:rsidRPr="006065EA">
        <w:rPr>
          <w:rFonts w:ascii="Palatino Linotype" w:eastAsia="Palatino Linotype" w:hAnsi="Palatino Linotype" w:cs="Palatino Linotype"/>
          <w:b/>
          <w:sz w:val="24"/>
          <w:szCs w:val="24"/>
        </w:rPr>
        <w:t>SAIMEX)</w:t>
      </w:r>
      <w:r w:rsidRPr="006065EA">
        <w:rPr>
          <w:rFonts w:ascii="Palatino Linotype" w:eastAsia="Palatino Linotype" w:hAnsi="Palatino Linotype" w:cs="Palatino Linotype"/>
          <w:sz w:val="24"/>
          <w:szCs w:val="24"/>
        </w:rPr>
        <w:t xml:space="preserve"> ante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solicitud de acceso a la información pública, registrada bajo el número de expediente</w:t>
      </w:r>
      <w:r w:rsidRPr="006065EA">
        <w:rPr>
          <w:rFonts w:ascii="Verdana" w:eastAsia="Verdana" w:hAnsi="Verdana" w:cs="Verdana"/>
          <w:b/>
          <w:color w:val="FF0000"/>
        </w:rPr>
        <w:t> </w:t>
      </w:r>
      <w:r w:rsidRPr="006065EA">
        <w:rPr>
          <w:rFonts w:ascii="Palatino Linotype" w:eastAsia="Palatino Linotype" w:hAnsi="Palatino Linotype" w:cs="Palatino Linotype"/>
          <w:b/>
          <w:sz w:val="24"/>
          <w:szCs w:val="24"/>
        </w:rPr>
        <w:t>00400/IXTAPALU/IP/2022</w:t>
      </w:r>
      <w:r w:rsidRPr="006065EA">
        <w:rPr>
          <w:rFonts w:ascii="Palatino Linotype" w:eastAsia="Palatino Linotype" w:hAnsi="Palatino Linotype" w:cs="Palatino Linotype"/>
          <w:sz w:val="24"/>
          <w:szCs w:val="24"/>
        </w:rPr>
        <w:t>,</w:t>
      </w:r>
      <w:r w:rsidRPr="006065EA">
        <w:rPr>
          <w:rFonts w:ascii="Palatino Linotype" w:eastAsia="Palatino Linotype" w:hAnsi="Palatino Linotype" w:cs="Palatino Linotype"/>
          <w:b/>
          <w:sz w:val="24"/>
          <w:szCs w:val="24"/>
        </w:rPr>
        <w:t xml:space="preserve"> </w:t>
      </w:r>
      <w:r w:rsidRPr="006065EA">
        <w:rPr>
          <w:rFonts w:ascii="Palatino Linotype" w:eastAsia="Palatino Linotype" w:hAnsi="Palatino Linotype" w:cs="Palatino Linotype"/>
          <w:sz w:val="24"/>
          <w:szCs w:val="24"/>
        </w:rPr>
        <w:t>mediante el cual solicitó la siguiente información:</w:t>
      </w:r>
    </w:p>
    <w:p w14:paraId="5253A6EB"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E3771F1" w14:textId="77777777" w:rsidR="00C3402C" w:rsidRPr="006065EA" w:rsidRDefault="00BD4A67">
      <w:pPr>
        <w:spacing w:after="0" w:line="276" w:lineRule="auto"/>
        <w:ind w:left="566" w:right="629"/>
        <w:jc w:val="both"/>
        <w:rPr>
          <w:rFonts w:ascii="Palatino Linotype" w:eastAsia="Palatino Linotype" w:hAnsi="Palatino Linotype" w:cs="Palatino Linotype"/>
          <w:i/>
          <w:color w:val="000000"/>
        </w:rPr>
      </w:pPr>
      <w:r w:rsidRPr="006065EA">
        <w:rPr>
          <w:rFonts w:ascii="Palatino Linotype" w:eastAsia="Palatino Linotype" w:hAnsi="Palatino Linotype" w:cs="Palatino Linotype"/>
          <w:i/>
          <w:color w:val="000000"/>
        </w:rPr>
        <w:t xml:space="preserve">“1. Informe si el puente denominado "Tlapacoya" se encuentra dentro del territorio de este municipio, en caso positivo agregar croquis de localización que puntualice la zona que se encuentran dentro del territorio municipal. 2. Informe cuales son los trabajos, </w:t>
      </w:r>
      <w:r w:rsidRPr="006065EA">
        <w:rPr>
          <w:rFonts w:ascii="Palatino Linotype" w:eastAsia="Palatino Linotype" w:hAnsi="Palatino Linotype" w:cs="Palatino Linotype"/>
          <w:i/>
          <w:color w:val="000000"/>
        </w:rPr>
        <w:lastRenderedPageBreak/>
        <w:t>tareas y/o actividades que las autoridades municipales realizan para el mantenimiento de la infraestructura del puente de "Tlapacoya" 3. Informe que tipo de trabajos, tareas y/o actividades realizan las autoridades de tránsito para agilizar, mejorar y regular la movilidad por el puente de "Tlapacoya" 4. Informe si el puente de "Tlapacoya" cuenta con señalización sobre el sentido, direcciones y direcciones de tránsito en cada una de las entradas y vías con las que cuenta, en caso positivo agregar documento que sustente lo mencionado. 5. Informe si existe algún convenio de colaboración con los municipios colindantes de Chalco y Valle de Chalco para el mejoramiento y agilización del tránsito vehicular que circula sobre el puente de "Tlapacoya" 6. Informe si se cuenta con un convenio de colaboración con autoridades estatales o federales que contribuyan a las labores de tránsito, señalización o mantenimiento del puente de “Tlapacoya”, en caso positivo adjuntar evidencia que sustente su dicho. 7. Informe en caso de no contar con 0señalización que regule el tránsito por el puente de “Tlapacoya”” (Sic).</w:t>
      </w:r>
    </w:p>
    <w:p w14:paraId="601B0BF5" w14:textId="77777777" w:rsidR="00C3402C" w:rsidRPr="006065EA" w:rsidRDefault="00C3402C">
      <w:pPr>
        <w:spacing w:after="0" w:line="360" w:lineRule="auto"/>
        <w:ind w:left="566" w:right="629"/>
        <w:jc w:val="both"/>
        <w:rPr>
          <w:rFonts w:ascii="Palatino Linotype" w:eastAsia="Palatino Linotype" w:hAnsi="Palatino Linotype" w:cs="Palatino Linotype"/>
          <w:i/>
          <w:color w:val="000000"/>
        </w:rPr>
      </w:pPr>
    </w:p>
    <w:p w14:paraId="08A694F1" w14:textId="77777777" w:rsidR="00C3402C" w:rsidRPr="006065EA" w:rsidRDefault="00BD4A67">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Modalidad de entrega: A través del </w:t>
      </w:r>
      <w:r w:rsidRPr="006065EA">
        <w:rPr>
          <w:rFonts w:ascii="Palatino Linotype" w:eastAsia="Palatino Linotype" w:hAnsi="Palatino Linotype" w:cs="Palatino Linotype"/>
          <w:b/>
          <w:sz w:val="24"/>
          <w:szCs w:val="24"/>
        </w:rPr>
        <w:t>SAIMEX</w:t>
      </w:r>
      <w:r w:rsidRPr="006065EA">
        <w:rPr>
          <w:rFonts w:ascii="Palatino Linotype" w:eastAsia="Palatino Linotype" w:hAnsi="Palatino Linotype" w:cs="Palatino Linotype"/>
          <w:sz w:val="24"/>
          <w:szCs w:val="24"/>
        </w:rPr>
        <w:t>.</w:t>
      </w:r>
    </w:p>
    <w:p w14:paraId="79AC9A58"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DAA1608" w14:textId="77777777" w:rsidR="00C3402C" w:rsidRPr="006065EA" w:rsidRDefault="00BD4A67">
      <w:pPr>
        <w:spacing w:before="160" w:after="0" w:line="360" w:lineRule="auto"/>
        <w:jc w:val="both"/>
        <w:rPr>
          <w:rFonts w:ascii="Palatino Linotype" w:eastAsia="Palatino Linotype" w:hAnsi="Palatino Linotype" w:cs="Palatino Linotype"/>
          <w:b/>
          <w:sz w:val="24"/>
          <w:szCs w:val="24"/>
        </w:rPr>
      </w:pPr>
      <w:r w:rsidRPr="006065EA">
        <w:rPr>
          <w:rFonts w:ascii="Palatino Linotype" w:eastAsia="Palatino Linotype" w:hAnsi="Palatino Linotype" w:cs="Palatino Linotype"/>
          <w:b/>
          <w:sz w:val="24"/>
          <w:szCs w:val="24"/>
        </w:rPr>
        <w:t xml:space="preserve">2. RESPUESTA. </w:t>
      </w:r>
      <w:r w:rsidRPr="006065EA">
        <w:rPr>
          <w:rFonts w:ascii="Palatino Linotype" w:eastAsia="Palatino Linotype" w:hAnsi="Palatino Linotype" w:cs="Palatino Linotype"/>
          <w:sz w:val="24"/>
          <w:szCs w:val="24"/>
        </w:rPr>
        <w:t xml:space="preserve">De las constancias que obran en SAIMEX, se observa que 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no emitió respuesta a la solicitud de información formulada por la parte </w:t>
      </w:r>
      <w:r w:rsidRPr="006065EA">
        <w:rPr>
          <w:rFonts w:ascii="Palatino Linotype" w:eastAsia="Palatino Linotype" w:hAnsi="Palatino Linotype" w:cs="Palatino Linotype"/>
          <w:b/>
          <w:sz w:val="24"/>
          <w:szCs w:val="24"/>
        </w:rPr>
        <w:t>RECURRENTE.</w:t>
      </w:r>
    </w:p>
    <w:p w14:paraId="311C18AF"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DEBBB15" w14:textId="77777777" w:rsidR="00C3402C" w:rsidRPr="006065EA" w:rsidRDefault="00BD4A67">
      <w:pPr>
        <w:spacing w:after="0" w:line="360" w:lineRule="auto"/>
        <w:ind w:right="-234"/>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 xml:space="preserve">3. DEL RECURSO DE REVISIÓN. </w:t>
      </w:r>
      <w:r w:rsidRPr="006065EA">
        <w:rPr>
          <w:rFonts w:ascii="Palatino Linotype" w:eastAsia="Palatino Linotype" w:hAnsi="Palatino Linotype" w:cs="Palatino Linotype"/>
          <w:sz w:val="24"/>
          <w:szCs w:val="24"/>
        </w:rPr>
        <w:t>Inconforme con la respuesta del</w:t>
      </w:r>
      <w:r w:rsidRPr="006065EA">
        <w:rPr>
          <w:rFonts w:ascii="Palatino Linotype" w:eastAsia="Palatino Linotype" w:hAnsi="Palatino Linotype" w:cs="Palatino Linotype"/>
          <w:b/>
          <w:sz w:val="24"/>
          <w:szCs w:val="24"/>
        </w:rPr>
        <w:t xml:space="preserve"> SUJETO OBLIGADO, </w:t>
      </w:r>
      <w:r w:rsidRPr="006065EA">
        <w:rPr>
          <w:rFonts w:ascii="Palatino Linotype" w:eastAsia="Palatino Linotype" w:hAnsi="Palatino Linotype" w:cs="Palatino Linotype"/>
          <w:sz w:val="24"/>
          <w:szCs w:val="24"/>
        </w:rPr>
        <w:t>en fecha seis de diciembre de dos mil veintidós,</w:t>
      </w:r>
      <w:r w:rsidRPr="006065EA">
        <w:rPr>
          <w:rFonts w:ascii="Palatino Linotype" w:eastAsia="Palatino Linotype" w:hAnsi="Palatino Linotype" w:cs="Palatino Linotype"/>
          <w:b/>
          <w:sz w:val="24"/>
          <w:szCs w:val="24"/>
        </w:rPr>
        <w:t xml:space="preserve"> EL RECURRENTE </w:t>
      </w:r>
      <w:r w:rsidRPr="006065EA">
        <w:rPr>
          <w:rFonts w:ascii="Palatino Linotype" w:eastAsia="Palatino Linotype" w:hAnsi="Palatino Linotype" w:cs="Palatino Linotype"/>
          <w:sz w:val="24"/>
          <w:szCs w:val="24"/>
        </w:rPr>
        <w:t>interpuso el recurso de revisión, el cual fue registrado</w:t>
      </w:r>
      <w:r w:rsidRPr="006065EA">
        <w:rPr>
          <w:rFonts w:ascii="Palatino Linotype" w:eastAsia="Palatino Linotype" w:hAnsi="Palatino Linotype" w:cs="Palatino Linotype"/>
          <w:b/>
          <w:sz w:val="24"/>
          <w:szCs w:val="24"/>
        </w:rPr>
        <w:t xml:space="preserve"> </w:t>
      </w:r>
      <w:r w:rsidRPr="006065EA">
        <w:rPr>
          <w:rFonts w:ascii="Palatino Linotype" w:eastAsia="Palatino Linotype" w:hAnsi="Palatino Linotype" w:cs="Palatino Linotype"/>
          <w:sz w:val="24"/>
          <w:szCs w:val="24"/>
        </w:rPr>
        <w:t xml:space="preserve">en el sistema electrónico con el expediente número </w:t>
      </w:r>
      <w:r w:rsidRPr="006065EA">
        <w:rPr>
          <w:rFonts w:ascii="Palatino Linotype" w:eastAsia="Palatino Linotype" w:hAnsi="Palatino Linotype" w:cs="Palatino Linotype"/>
          <w:b/>
          <w:sz w:val="24"/>
          <w:szCs w:val="24"/>
        </w:rPr>
        <w:t>17134/INFOEM/IP/RR/2022</w:t>
      </w:r>
      <w:r w:rsidRPr="006065EA">
        <w:rPr>
          <w:rFonts w:ascii="Palatino Linotype" w:eastAsia="Palatino Linotype" w:hAnsi="Palatino Linotype" w:cs="Palatino Linotype"/>
          <w:sz w:val="24"/>
          <w:szCs w:val="24"/>
        </w:rPr>
        <w:t>, en el cual manifiesta, lo siguiente:</w:t>
      </w:r>
    </w:p>
    <w:p w14:paraId="7774CF5F" w14:textId="77777777" w:rsidR="00C3402C" w:rsidRPr="006065EA" w:rsidRDefault="00C3402C">
      <w:pPr>
        <w:spacing w:after="0" w:line="360" w:lineRule="auto"/>
        <w:ind w:right="-234"/>
        <w:jc w:val="both"/>
        <w:rPr>
          <w:rFonts w:ascii="Palatino Linotype" w:eastAsia="Palatino Linotype" w:hAnsi="Palatino Linotype" w:cs="Palatino Linotype"/>
          <w:b/>
          <w:color w:val="000000"/>
          <w:sz w:val="24"/>
          <w:szCs w:val="24"/>
        </w:rPr>
      </w:pPr>
    </w:p>
    <w:p w14:paraId="574458EF" w14:textId="77777777" w:rsidR="00C3402C" w:rsidRPr="006065EA" w:rsidRDefault="00BD4A67">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6065EA">
        <w:rPr>
          <w:rFonts w:ascii="Palatino Linotype" w:eastAsia="Palatino Linotype" w:hAnsi="Palatino Linotype" w:cs="Palatino Linotype"/>
          <w:b/>
          <w:i/>
          <w:color w:val="000000"/>
          <w:sz w:val="24"/>
          <w:szCs w:val="24"/>
        </w:rPr>
        <w:t>Acto Impugnado:</w:t>
      </w:r>
    </w:p>
    <w:p w14:paraId="7414B88A" w14:textId="77777777" w:rsidR="00C3402C" w:rsidRPr="006065EA" w:rsidRDefault="00BD4A67">
      <w:pPr>
        <w:tabs>
          <w:tab w:val="left" w:pos="8222"/>
        </w:tabs>
        <w:spacing w:before="240" w:after="240" w:line="276" w:lineRule="auto"/>
        <w:ind w:left="851" w:right="616"/>
        <w:jc w:val="both"/>
        <w:rPr>
          <w:rFonts w:ascii="Palatino Linotype" w:eastAsia="Palatino Linotype" w:hAnsi="Palatino Linotype" w:cs="Palatino Linotype"/>
          <w:i/>
        </w:rPr>
      </w:pPr>
      <w:r w:rsidRPr="006065EA">
        <w:rPr>
          <w:rFonts w:ascii="Palatino Linotype" w:eastAsia="Palatino Linotype" w:hAnsi="Palatino Linotype" w:cs="Palatino Linotype"/>
          <w:i/>
        </w:rPr>
        <w:lastRenderedPageBreak/>
        <w:t>“</w:t>
      </w:r>
      <w:r w:rsidRPr="006065EA">
        <w:rPr>
          <w:rFonts w:ascii="Palatino Linotype" w:eastAsia="Palatino Linotype" w:hAnsi="Palatino Linotype" w:cs="Palatino Linotype"/>
          <w:i/>
          <w:color w:val="000000"/>
        </w:rPr>
        <w:t>La falta de respuesta a la solicitud de información ingresada el día 10 de noviembre de 2022, con folio 00400/IXTAPALU/IP/2022</w:t>
      </w:r>
      <w:r w:rsidRPr="006065EA">
        <w:rPr>
          <w:rFonts w:ascii="Palatino Linotype" w:eastAsia="Palatino Linotype" w:hAnsi="Palatino Linotype" w:cs="Palatino Linotype"/>
          <w:i/>
        </w:rPr>
        <w:t>” [sic]</w:t>
      </w:r>
    </w:p>
    <w:p w14:paraId="59F87FAA" w14:textId="77777777" w:rsidR="00C3402C" w:rsidRPr="006065EA" w:rsidRDefault="00BD4A67">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6065EA">
        <w:rPr>
          <w:rFonts w:ascii="Palatino Linotype" w:eastAsia="Palatino Linotype" w:hAnsi="Palatino Linotype" w:cs="Palatino Linotype"/>
          <w:b/>
          <w:i/>
          <w:color w:val="000000"/>
          <w:sz w:val="24"/>
          <w:szCs w:val="24"/>
        </w:rPr>
        <w:t>Razones o Motivos de Inconformidad</w:t>
      </w:r>
      <w:r w:rsidRPr="006065EA">
        <w:rPr>
          <w:rFonts w:ascii="Palatino Linotype" w:eastAsia="Palatino Linotype" w:hAnsi="Palatino Linotype" w:cs="Palatino Linotype"/>
          <w:i/>
          <w:color w:val="000000"/>
          <w:sz w:val="24"/>
          <w:szCs w:val="24"/>
        </w:rPr>
        <w:t>:</w:t>
      </w:r>
    </w:p>
    <w:p w14:paraId="2D468E93" w14:textId="77777777" w:rsidR="00C3402C" w:rsidRPr="006065EA" w:rsidRDefault="00BD4A67">
      <w:pPr>
        <w:spacing w:before="240" w:after="0" w:line="276" w:lineRule="auto"/>
        <w:ind w:left="851" w:right="616"/>
        <w:jc w:val="both"/>
        <w:rPr>
          <w:rFonts w:ascii="Palatino Linotype" w:eastAsia="Palatino Linotype" w:hAnsi="Palatino Linotype" w:cs="Palatino Linotype"/>
          <w:i/>
        </w:rPr>
      </w:pPr>
      <w:r w:rsidRPr="006065EA">
        <w:rPr>
          <w:rFonts w:ascii="Palatino Linotype" w:eastAsia="Palatino Linotype" w:hAnsi="Palatino Linotype" w:cs="Palatino Linotype"/>
          <w:i/>
          <w:color w:val="000000"/>
          <w:sz w:val="24"/>
          <w:szCs w:val="24"/>
        </w:rPr>
        <w:t xml:space="preserve">“Que al haber transcurrido el plazo otorgado por la ley para que la autoridad municipal se pronunciara sobre la solicitud de información número 00400/IXTAPALU/IP/2022, no se visualiza en la plataforma del SAIMEX, por lo que se presume que la autoridad fue omisa y no solicito </w:t>
      </w:r>
      <w:proofErr w:type="spellStart"/>
      <w:r w:rsidRPr="006065EA">
        <w:rPr>
          <w:rFonts w:ascii="Palatino Linotype" w:eastAsia="Palatino Linotype" w:hAnsi="Palatino Linotype" w:cs="Palatino Linotype"/>
          <w:i/>
          <w:color w:val="000000"/>
          <w:sz w:val="24"/>
          <w:szCs w:val="24"/>
        </w:rPr>
        <w:t>prorroga</w:t>
      </w:r>
      <w:proofErr w:type="spellEnd"/>
      <w:r w:rsidRPr="006065EA">
        <w:rPr>
          <w:rFonts w:ascii="Palatino Linotype" w:eastAsia="Palatino Linotype" w:hAnsi="Palatino Linotype" w:cs="Palatino Linotype"/>
          <w:i/>
          <w:color w:val="000000"/>
          <w:sz w:val="24"/>
          <w:szCs w:val="24"/>
        </w:rPr>
        <w:t xml:space="preserve"> para el cumplimiento oportuno, violando así el derecho de acceso a la información del ciudadano, por lo que esta autoridad deberá imponer las medidas de apremio pertinentes para subsanar la omisión de la autoridad encargada de brindar la información solicitada.</w:t>
      </w:r>
      <w:r w:rsidRPr="006065EA">
        <w:rPr>
          <w:rFonts w:ascii="Palatino Linotype" w:eastAsia="Palatino Linotype" w:hAnsi="Palatino Linotype" w:cs="Palatino Linotype"/>
          <w:i/>
          <w:color w:val="000000"/>
        </w:rPr>
        <w:t xml:space="preserve">” </w:t>
      </w:r>
      <w:r w:rsidRPr="006065EA">
        <w:rPr>
          <w:rFonts w:ascii="Palatino Linotype" w:eastAsia="Palatino Linotype" w:hAnsi="Palatino Linotype" w:cs="Palatino Linotype"/>
          <w:i/>
        </w:rPr>
        <w:t>[sic]</w:t>
      </w:r>
    </w:p>
    <w:p w14:paraId="06D873E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8E1FD04"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 xml:space="preserve">4. TURNO. </w:t>
      </w:r>
      <w:r w:rsidRPr="006065E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065EA">
        <w:rPr>
          <w:rFonts w:ascii="Palatino Linotype" w:eastAsia="Palatino Linotype" w:hAnsi="Palatino Linotype" w:cs="Palatino Linotype"/>
          <w:b/>
          <w:sz w:val="24"/>
          <w:szCs w:val="24"/>
        </w:rPr>
        <w:t xml:space="preserve">Guadalupe Ramírez Peña, </w:t>
      </w:r>
      <w:r w:rsidRPr="006065EA">
        <w:rPr>
          <w:rFonts w:ascii="Palatino Linotype" w:eastAsia="Palatino Linotype" w:hAnsi="Palatino Linotype" w:cs="Palatino Linotype"/>
          <w:sz w:val="24"/>
          <w:szCs w:val="24"/>
        </w:rPr>
        <w:t xml:space="preserve">a efecto de que analizara sobre su admisión o su </w:t>
      </w:r>
      <w:proofErr w:type="spellStart"/>
      <w:r w:rsidRPr="006065EA">
        <w:rPr>
          <w:rFonts w:ascii="Palatino Linotype" w:eastAsia="Palatino Linotype" w:hAnsi="Palatino Linotype" w:cs="Palatino Linotype"/>
          <w:sz w:val="24"/>
          <w:szCs w:val="24"/>
        </w:rPr>
        <w:t>desechamiento</w:t>
      </w:r>
      <w:proofErr w:type="spellEnd"/>
      <w:r w:rsidRPr="006065EA">
        <w:rPr>
          <w:rFonts w:ascii="Palatino Linotype" w:eastAsia="Palatino Linotype" w:hAnsi="Palatino Linotype" w:cs="Palatino Linotype"/>
          <w:sz w:val="24"/>
          <w:szCs w:val="24"/>
        </w:rPr>
        <w:t>.</w:t>
      </w:r>
    </w:p>
    <w:p w14:paraId="50B45579"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13FE6B0"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5. ADMISIÓN DEL RECURSO DE REVISIÓN.</w:t>
      </w:r>
      <w:r w:rsidRPr="006065EA">
        <w:rPr>
          <w:rFonts w:ascii="Palatino Linotype" w:eastAsia="Palatino Linotype" w:hAnsi="Palatino Linotype" w:cs="Palatino Linotype"/>
          <w:sz w:val="24"/>
          <w:szCs w:val="24"/>
        </w:rPr>
        <w:t xml:space="preserve"> Con fecha</w:t>
      </w:r>
      <w:r w:rsidRPr="006065EA">
        <w:rPr>
          <w:rFonts w:ascii="Palatino Linotype" w:eastAsia="Palatino Linotype" w:hAnsi="Palatino Linotype" w:cs="Palatino Linotype"/>
          <w:b/>
          <w:sz w:val="24"/>
          <w:szCs w:val="24"/>
        </w:rPr>
        <w:t xml:space="preserve"> nueve de diciembre de dos mil veintidós, </w:t>
      </w:r>
      <w:r w:rsidRPr="006065E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6065EA">
        <w:rPr>
          <w:rFonts w:ascii="Palatino Linotype" w:eastAsia="Palatino Linotype" w:hAnsi="Palatino Linotype" w:cs="Palatino Linotype"/>
          <w:sz w:val="24"/>
          <w:szCs w:val="24"/>
        </w:rPr>
        <w:lastRenderedPageBreak/>
        <w:t xml:space="preserve">conveniente, ofrecieran pruebas, formularan alegatos y el </w:t>
      </w:r>
      <w:r w:rsidRPr="006065EA">
        <w:rPr>
          <w:rFonts w:ascii="Palatino Linotype" w:eastAsia="Palatino Linotype" w:hAnsi="Palatino Linotype" w:cs="Palatino Linotype"/>
          <w:b/>
          <w:sz w:val="24"/>
          <w:szCs w:val="24"/>
        </w:rPr>
        <w:t xml:space="preserve">SUJETO OBLIGADO </w:t>
      </w:r>
      <w:r w:rsidRPr="006065EA">
        <w:rPr>
          <w:rFonts w:ascii="Palatino Linotype" w:eastAsia="Palatino Linotype" w:hAnsi="Palatino Linotype" w:cs="Palatino Linotype"/>
          <w:sz w:val="24"/>
          <w:szCs w:val="24"/>
        </w:rPr>
        <w:t>presentará su informe justificado.</w:t>
      </w:r>
    </w:p>
    <w:p w14:paraId="7B81BEB5"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B7E1E9D" w14:textId="77777777" w:rsidR="00C3402C" w:rsidRPr="006065EA" w:rsidRDefault="00BD4A67">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6. MANIFESTACIONES.</w:t>
      </w:r>
      <w:r w:rsidRPr="006065EA">
        <w:rPr>
          <w:rFonts w:ascii="Palatino Linotype" w:eastAsia="Palatino Linotype" w:hAnsi="Palatino Linotype" w:cs="Palatino Linotype"/>
          <w:sz w:val="24"/>
          <w:szCs w:val="24"/>
        </w:rPr>
        <w:t xml:space="preserve"> El trece de diciembre de dos mil veintidós se recibió, a través del Sistema de Acceso a la Información Mexiquense (SAIMEX), el Informe Justificado del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a través del siguiente archivo electrónico: </w:t>
      </w:r>
    </w:p>
    <w:p w14:paraId="7069466C" w14:textId="77777777" w:rsidR="00C3402C" w:rsidRPr="006065EA" w:rsidRDefault="00C3402C">
      <w:pPr>
        <w:spacing w:after="0" w:line="360" w:lineRule="auto"/>
        <w:ind w:right="49"/>
        <w:jc w:val="both"/>
        <w:rPr>
          <w:rFonts w:ascii="Palatino Linotype" w:eastAsia="Palatino Linotype" w:hAnsi="Palatino Linotype" w:cs="Palatino Linotype"/>
          <w:sz w:val="24"/>
          <w:szCs w:val="24"/>
        </w:rPr>
      </w:pPr>
    </w:p>
    <w:p w14:paraId="11BF91D3"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w:t>
      </w:r>
      <w:r w:rsidRPr="006065EA">
        <w:rPr>
          <w:rFonts w:ascii="Palatino Linotype" w:eastAsia="Palatino Linotype" w:hAnsi="Palatino Linotype" w:cs="Palatino Linotype"/>
          <w:b/>
          <w:i/>
          <w:sz w:val="24"/>
          <w:szCs w:val="24"/>
          <w:u w:val="single"/>
        </w:rPr>
        <w:t>Respuesta 400 Obras Públicas.pdf</w:t>
      </w:r>
      <w:r w:rsidRPr="006065EA">
        <w:rPr>
          <w:rFonts w:ascii="Palatino Linotype" w:eastAsia="Palatino Linotype" w:hAnsi="Palatino Linotype" w:cs="Palatino Linotype"/>
          <w:sz w:val="24"/>
          <w:szCs w:val="24"/>
        </w:rPr>
        <w:t xml:space="preserve">”: Oficio de fecha veintiséis de septiembre de dos mil veintidós, signado por el </w:t>
      </w:r>
      <w:proofErr w:type="gramStart"/>
      <w:r w:rsidRPr="006065EA">
        <w:rPr>
          <w:rFonts w:ascii="Palatino Linotype" w:eastAsia="Palatino Linotype" w:hAnsi="Palatino Linotype" w:cs="Palatino Linotype"/>
          <w:sz w:val="24"/>
          <w:szCs w:val="24"/>
        </w:rPr>
        <w:t>Director</w:t>
      </w:r>
      <w:proofErr w:type="gramEnd"/>
      <w:r w:rsidRPr="006065EA">
        <w:rPr>
          <w:rFonts w:ascii="Palatino Linotype" w:eastAsia="Palatino Linotype" w:hAnsi="Palatino Linotype" w:cs="Palatino Linotype"/>
          <w:sz w:val="24"/>
          <w:szCs w:val="24"/>
        </w:rPr>
        <w:t xml:space="preserve"> de Infraestructura y Obras Públicas, mediante el cual otorga respuesta a cada uno de los puntos de la solicitud. </w:t>
      </w:r>
    </w:p>
    <w:p w14:paraId="7D4A1767"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E70BCC3" w14:textId="77777777" w:rsidR="00C3402C" w:rsidRPr="006065EA" w:rsidRDefault="00BD4A67">
      <w:pPr>
        <w:spacing w:after="0" w:line="360" w:lineRule="auto"/>
        <w:ind w:right="51"/>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Mismos que se pusieron a la vista de </w:t>
      </w:r>
      <w:r w:rsidRPr="006065EA">
        <w:rPr>
          <w:rFonts w:ascii="Palatino Linotype" w:eastAsia="Palatino Linotype" w:hAnsi="Palatino Linotype" w:cs="Palatino Linotype"/>
          <w:b/>
          <w:sz w:val="24"/>
          <w:szCs w:val="24"/>
        </w:rPr>
        <w:t>LA PARTE</w:t>
      </w:r>
      <w:r w:rsidRPr="006065EA">
        <w:rPr>
          <w:rFonts w:ascii="Palatino Linotype" w:eastAsia="Palatino Linotype" w:hAnsi="Palatino Linotype" w:cs="Palatino Linotype"/>
          <w:sz w:val="24"/>
          <w:szCs w:val="24"/>
        </w:rPr>
        <w:t xml:space="preserve"> </w:t>
      </w:r>
      <w:r w:rsidRPr="006065EA">
        <w:rPr>
          <w:rFonts w:ascii="Palatino Linotype" w:eastAsia="Palatino Linotype" w:hAnsi="Palatino Linotype" w:cs="Palatino Linotype"/>
          <w:b/>
          <w:sz w:val="24"/>
          <w:szCs w:val="24"/>
        </w:rPr>
        <w:t xml:space="preserve">RECURRENTE </w:t>
      </w:r>
      <w:r w:rsidRPr="006065EA">
        <w:rPr>
          <w:rFonts w:ascii="Palatino Linotype" w:eastAsia="Palatino Linotype" w:hAnsi="Palatino Linotype" w:cs="Palatino Linotype"/>
          <w:sz w:val="24"/>
          <w:szCs w:val="24"/>
        </w:rPr>
        <w:t>en fecha veinticinco de abril de dos mil veintitrés.</w:t>
      </w:r>
    </w:p>
    <w:p w14:paraId="66063F82" w14:textId="77777777" w:rsidR="00C3402C" w:rsidRPr="006065EA" w:rsidRDefault="00C3402C">
      <w:pPr>
        <w:spacing w:after="0" w:line="360" w:lineRule="auto"/>
        <w:ind w:right="51"/>
        <w:jc w:val="both"/>
        <w:rPr>
          <w:rFonts w:ascii="Palatino Linotype" w:eastAsia="Palatino Linotype" w:hAnsi="Palatino Linotype" w:cs="Palatino Linotype"/>
          <w:sz w:val="24"/>
          <w:szCs w:val="24"/>
        </w:rPr>
      </w:pPr>
    </w:p>
    <w:p w14:paraId="18BF40AF"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Por lo que corresponda a la parte</w:t>
      </w:r>
      <w:r w:rsidRPr="006065EA">
        <w:rPr>
          <w:rFonts w:ascii="Palatino Linotype" w:eastAsia="Palatino Linotype" w:hAnsi="Palatino Linotype" w:cs="Palatino Linotype"/>
          <w:b/>
          <w:sz w:val="24"/>
          <w:szCs w:val="24"/>
        </w:rPr>
        <w:t xml:space="preserve"> RECURRENTE</w:t>
      </w:r>
      <w:r w:rsidRPr="006065EA">
        <w:rPr>
          <w:rFonts w:ascii="Palatino Linotype" w:eastAsia="Palatino Linotype" w:hAnsi="Palatino Linotype" w:cs="Palatino Linotype"/>
          <w:sz w:val="24"/>
          <w:szCs w:val="24"/>
        </w:rPr>
        <w:t xml:space="preserve">, resultó omisa de emitir sus manifestaciones. </w:t>
      </w:r>
    </w:p>
    <w:p w14:paraId="7C2146F9"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23ACB0A6"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7. AMPLIACIÓN DEL TÉRMINO PARA RESOLVER</w:t>
      </w:r>
      <w:r w:rsidRPr="006065EA">
        <w:rPr>
          <w:rFonts w:ascii="Palatino Linotype" w:eastAsia="Palatino Linotype" w:hAnsi="Palatino Linotype" w:cs="Palatino Linotype"/>
          <w:sz w:val="24"/>
          <w:szCs w:val="24"/>
        </w:rPr>
        <w:t>.</w:t>
      </w:r>
      <w:r w:rsidRPr="006065EA">
        <w:rPr>
          <w:rFonts w:ascii="Palatino Linotype" w:eastAsia="Palatino Linotype" w:hAnsi="Palatino Linotype" w:cs="Palatino Linotype"/>
        </w:rPr>
        <w:t xml:space="preserve"> </w:t>
      </w:r>
      <w:r w:rsidRPr="006065EA">
        <w:rPr>
          <w:rFonts w:ascii="Palatino Linotype" w:eastAsia="Palatino Linotype" w:hAnsi="Palatino Linotype" w:cs="Palatino Linotype"/>
          <w:sz w:val="24"/>
          <w:szCs w:val="24"/>
        </w:rPr>
        <w:t xml:space="preserve">El nueve de mayo de dos mil veintitrés, se amplió el término para resolver el recurso de revisión en términos del artículo 181 párrafo tercero de la Ley de Transparencia y Acceso a la Información Pública del Estado de México y Municipios. </w:t>
      </w:r>
    </w:p>
    <w:p w14:paraId="3301A34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0E0AB02"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260D66FC"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6B34A3AA"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Por ello, es menester precisar </w:t>
      </w:r>
      <w:proofErr w:type="gramStart"/>
      <w:r w:rsidRPr="006065EA">
        <w:rPr>
          <w:rFonts w:ascii="Palatino Linotype" w:eastAsia="Palatino Linotype" w:hAnsi="Palatino Linotype" w:cs="Palatino Linotype"/>
          <w:color w:val="000000"/>
          <w:sz w:val="24"/>
          <w:szCs w:val="24"/>
        </w:rPr>
        <w:t>que</w:t>
      </w:r>
      <w:proofErr w:type="gramEnd"/>
      <w:r w:rsidRPr="006065EA">
        <w:rPr>
          <w:rFonts w:ascii="Palatino Linotype" w:eastAsia="Palatino Linotype" w:hAnsi="Palatino Linotype" w:cs="Palatino Linotype"/>
          <w:color w:val="000000"/>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D77B3F5" w14:textId="77777777" w:rsidR="00DD7BC8" w:rsidRPr="006065EA" w:rsidRDefault="00DD7BC8">
      <w:pPr>
        <w:spacing w:after="0" w:line="360" w:lineRule="auto"/>
        <w:jc w:val="both"/>
        <w:rPr>
          <w:rFonts w:ascii="Palatino Linotype" w:eastAsia="Palatino Linotype" w:hAnsi="Palatino Linotype" w:cs="Palatino Linotype"/>
          <w:color w:val="000000"/>
          <w:sz w:val="24"/>
          <w:szCs w:val="24"/>
        </w:rPr>
      </w:pPr>
    </w:p>
    <w:p w14:paraId="543F99F1"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018785"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00B8D269"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w:t>
      </w:r>
      <w:r w:rsidRPr="006065EA">
        <w:rPr>
          <w:rFonts w:ascii="Palatino Linotype" w:eastAsia="Palatino Linotype" w:hAnsi="Palatino Linotype" w:cs="Palatino Linotype"/>
          <w:color w:val="000000"/>
          <w:sz w:val="24"/>
          <w:szCs w:val="24"/>
        </w:rPr>
        <w:lastRenderedPageBreak/>
        <w:t xml:space="preserve">órganos jurisdiccionales o cuasi jurisdiccionales, tanto por la complejidad de los hechos, como por el número de casos que conocen. </w:t>
      </w:r>
    </w:p>
    <w:p w14:paraId="4D6CB87F"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EEEBC60"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07BD84D2" w14:textId="77777777" w:rsidR="00C3402C" w:rsidRPr="006065EA" w:rsidRDefault="00BD4A67">
      <w:pPr>
        <w:numPr>
          <w:ilvl w:val="0"/>
          <w:numId w:val="4"/>
        </w:num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Complejidad del Asunto: La complejidad de la prueba, la pluralidad de sujetos procesales, el tiempo transcurrido, las características y contexto del recurso. </w:t>
      </w:r>
    </w:p>
    <w:p w14:paraId="0C9D2CE1" w14:textId="77777777" w:rsidR="00C3402C" w:rsidRPr="006065EA" w:rsidRDefault="00C3402C">
      <w:pPr>
        <w:spacing w:after="0" w:line="360" w:lineRule="auto"/>
        <w:ind w:left="927"/>
        <w:jc w:val="both"/>
        <w:rPr>
          <w:rFonts w:ascii="Palatino Linotype" w:eastAsia="Palatino Linotype" w:hAnsi="Palatino Linotype" w:cs="Palatino Linotype"/>
          <w:color w:val="000000"/>
          <w:sz w:val="24"/>
          <w:szCs w:val="24"/>
        </w:rPr>
      </w:pPr>
    </w:p>
    <w:p w14:paraId="04CF7D3F" w14:textId="77777777" w:rsidR="00C3402C" w:rsidRPr="006065EA" w:rsidRDefault="00BD4A67">
      <w:pPr>
        <w:numPr>
          <w:ilvl w:val="0"/>
          <w:numId w:val="4"/>
        </w:num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Actividad Procesal del interesado. Acciones u omisiones del interesado.</w:t>
      </w:r>
    </w:p>
    <w:p w14:paraId="270494A2"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75C6CDE9" w14:textId="77777777" w:rsidR="00C3402C" w:rsidRPr="006065EA" w:rsidRDefault="00BD4A67">
      <w:pPr>
        <w:numPr>
          <w:ilvl w:val="0"/>
          <w:numId w:val="4"/>
        </w:num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Conducta de la Autoridad: Las Acciones u omisiones realizadas en el procedimiento. Así como si la autoridad actuó con la debida diligencia.</w:t>
      </w:r>
    </w:p>
    <w:p w14:paraId="66D65349" w14:textId="77777777" w:rsidR="00C3402C" w:rsidRPr="006065EA" w:rsidRDefault="00BD4A67">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14:paraId="47460A3C" w14:textId="77777777" w:rsidR="00C3402C" w:rsidRPr="006065EA" w:rsidRDefault="00C3402C">
      <w:pPr>
        <w:pBdr>
          <w:top w:val="nil"/>
          <w:left w:val="nil"/>
          <w:bottom w:val="nil"/>
          <w:right w:val="nil"/>
          <w:between w:val="nil"/>
        </w:pBdr>
        <w:spacing w:after="0" w:line="360" w:lineRule="auto"/>
        <w:ind w:left="927"/>
        <w:jc w:val="both"/>
        <w:rPr>
          <w:rFonts w:ascii="Palatino Linotype" w:eastAsia="Palatino Linotype" w:hAnsi="Palatino Linotype" w:cs="Palatino Linotype"/>
          <w:color w:val="000000"/>
          <w:sz w:val="24"/>
          <w:szCs w:val="24"/>
        </w:rPr>
      </w:pPr>
    </w:p>
    <w:p w14:paraId="65037D28"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E54DCF"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64E6D5B7" w14:textId="77777777" w:rsidR="00C3402C" w:rsidRPr="006065EA" w:rsidRDefault="00BD4A67">
      <w:pPr>
        <w:spacing w:after="0" w:line="360" w:lineRule="auto"/>
        <w:jc w:val="both"/>
        <w:rPr>
          <w:rFonts w:ascii="Palatino Linotype" w:eastAsia="Palatino Linotype" w:hAnsi="Palatino Linotype" w:cs="Palatino Linotype"/>
          <w:b/>
          <w:color w:val="000000"/>
          <w:sz w:val="24"/>
          <w:szCs w:val="24"/>
        </w:rPr>
      </w:pPr>
      <w:r w:rsidRPr="006065EA">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de rubro </w:t>
      </w:r>
      <w:r w:rsidRPr="006065EA">
        <w:rPr>
          <w:rFonts w:ascii="Palatino Linotype" w:eastAsia="Palatino Linotype" w:hAnsi="Palatino Linotype" w:cs="Palatino Linotype"/>
          <w:i/>
          <w:color w:val="000000"/>
          <w:sz w:val="24"/>
          <w:szCs w:val="24"/>
        </w:rPr>
        <w:t>“TÉRMINOS PROCESALES. PARA DETERMINAR SI UN FUNCIONARIO JUDICIAL ACTUÓ INDEBIDAMENTE POR NO RESPETARLOS SE DEBE ATENDER AL PRESUPUESTO QUE CONSIDERÓ EL LEGISLADOR AL FIJARLOS Y LAS CARACTERÍSTICAS DEL CASO.”</w:t>
      </w:r>
      <w:r w:rsidRPr="006065EA">
        <w:rPr>
          <w:rFonts w:ascii="Palatino Linotype" w:eastAsia="Palatino Linotype" w:hAnsi="Palatino Linotype" w:cs="Palatino Linotype"/>
          <w:color w:val="000000"/>
          <w:sz w:val="24"/>
          <w:szCs w:val="24"/>
        </w:rPr>
        <w:t>, visible en la Gaceta del Seminario Judicial de la Federación con el registro digital 205635.</w:t>
      </w:r>
    </w:p>
    <w:p w14:paraId="06A1AD51"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0382BC1E"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778D82"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0A7CA06D"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14:paraId="6A233429"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6394FC6F"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 </w:t>
      </w:r>
      <w:r w:rsidRPr="006065EA">
        <w:rPr>
          <w:rFonts w:ascii="Palatino Linotype" w:eastAsia="Palatino Linotype" w:hAnsi="Palatino Linotype" w:cs="Palatino Linotype"/>
          <w:i/>
          <w:color w:val="000000"/>
          <w:sz w:val="24"/>
          <w:szCs w:val="24"/>
        </w:rPr>
        <w:t>“PLAZO RAZONABLE PARA RESOLVER. DIMENSIÓN Y EFECTOS DE ESTE CONCEPTO CUANDO SE ADUCE EXCESIVA CARGA DE TRABAJO.”</w:t>
      </w:r>
      <w:r w:rsidRPr="006065EA">
        <w:rPr>
          <w:rFonts w:ascii="Palatino Linotype" w:eastAsia="Palatino Linotype" w:hAnsi="Palatino Linotype" w:cs="Palatino Linotype"/>
          <w:color w:val="000000"/>
          <w:sz w:val="24"/>
          <w:szCs w:val="24"/>
        </w:rPr>
        <w:t xml:space="preserve"> consultable en el Seminario Judicial de la Federación y su gaceta, con el registro digital 2002351.</w:t>
      </w:r>
    </w:p>
    <w:p w14:paraId="65A50B9C" w14:textId="77777777" w:rsidR="00C3402C" w:rsidRPr="006065EA" w:rsidRDefault="00C3402C">
      <w:pPr>
        <w:spacing w:after="0" w:line="360" w:lineRule="auto"/>
        <w:jc w:val="both"/>
        <w:rPr>
          <w:rFonts w:ascii="Palatino Linotype" w:eastAsia="Palatino Linotype" w:hAnsi="Palatino Linotype" w:cs="Palatino Linotype"/>
          <w:b/>
          <w:color w:val="000000"/>
          <w:sz w:val="24"/>
          <w:szCs w:val="24"/>
        </w:rPr>
      </w:pPr>
    </w:p>
    <w:p w14:paraId="07BB3EFC"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i/>
          <w:color w:val="000000"/>
          <w:sz w:val="24"/>
          <w:szCs w:val="24"/>
        </w:rPr>
        <w:t>“PLAZO RAZONABLE PARA RESOLVER. CONCEPTO Y ELEMENTOS QUE LO INTEGRAN A LA LUZ DEL DERECHO INTERNACIONAL DE LOS DERECHOS HUMANOS.”</w:t>
      </w:r>
      <w:r w:rsidRPr="006065EA">
        <w:rPr>
          <w:rFonts w:ascii="Palatino Linotype" w:eastAsia="Palatino Linotype" w:hAnsi="Palatino Linotype" w:cs="Palatino Linotype"/>
          <w:color w:val="000000"/>
          <w:sz w:val="24"/>
          <w:szCs w:val="24"/>
        </w:rPr>
        <w:t>, visible en el Seminario Judicial de la Federación y su gaceta, con el registro digital 2002350.</w:t>
      </w:r>
    </w:p>
    <w:p w14:paraId="356BFED2"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0B1B9DC0"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3D7F91F6"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620F6195"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b/>
          <w:color w:val="000000"/>
          <w:sz w:val="24"/>
          <w:szCs w:val="24"/>
        </w:rPr>
        <w:t xml:space="preserve">8. CIERRE DE INSTRUCCIÓN. </w:t>
      </w:r>
      <w:r w:rsidRPr="006065EA">
        <w:rPr>
          <w:rFonts w:ascii="Palatino Linotype" w:eastAsia="Palatino Linotype" w:hAnsi="Palatino Linotype" w:cs="Palatino Linotype"/>
          <w:color w:val="000000"/>
          <w:sz w:val="24"/>
          <w:szCs w:val="24"/>
        </w:rPr>
        <w:t>El nueve de mayo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31F7B75" w14:textId="77777777" w:rsidR="00C3402C" w:rsidRPr="006065EA" w:rsidRDefault="00C3402C">
      <w:pPr>
        <w:rPr>
          <w:color w:val="000000"/>
        </w:rPr>
      </w:pPr>
    </w:p>
    <w:p w14:paraId="69CFE150"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lastRenderedPageBreak/>
        <w:t>En razón de que fue debidamente sustanciado el expediente electrónico y no existe diligencia pendiente de desahogo, se emite la Resolución que conforme a Derecho proceda, de acuerdo con los siguientes:</w:t>
      </w:r>
    </w:p>
    <w:p w14:paraId="6703A18A" w14:textId="77777777" w:rsidR="00C3402C" w:rsidRPr="006065EA" w:rsidRDefault="00BD4A67">
      <w:pPr>
        <w:widowControl w:val="0"/>
        <w:spacing w:after="0" w:line="360" w:lineRule="auto"/>
        <w:jc w:val="center"/>
        <w:rPr>
          <w:rFonts w:ascii="Palatino Linotype" w:eastAsia="Palatino Linotype" w:hAnsi="Palatino Linotype" w:cs="Palatino Linotype"/>
          <w:b/>
          <w:sz w:val="24"/>
          <w:szCs w:val="24"/>
        </w:rPr>
      </w:pPr>
      <w:r w:rsidRPr="006065EA">
        <w:rPr>
          <w:rFonts w:ascii="Palatino Linotype" w:eastAsia="Palatino Linotype" w:hAnsi="Palatino Linotype" w:cs="Palatino Linotype"/>
          <w:b/>
          <w:sz w:val="24"/>
          <w:szCs w:val="24"/>
        </w:rPr>
        <w:t>C O N S I D E R A N D O S</w:t>
      </w:r>
    </w:p>
    <w:p w14:paraId="1159160F" w14:textId="77777777" w:rsidR="00C3402C" w:rsidRPr="006065EA" w:rsidRDefault="00C3402C">
      <w:pPr>
        <w:spacing w:after="0" w:line="360" w:lineRule="auto"/>
        <w:jc w:val="both"/>
        <w:rPr>
          <w:rFonts w:ascii="Palatino Linotype" w:eastAsia="Palatino Linotype" w:hAnsi="Palatino Linotype" w:cs="Palatino Linotype"/>
          <w:b/>
          <w:sz w:val="24"/>
          <w:szCs w:val="24"/>
        </w:rPr>
      </w:pPr>
    </w:p>
    <w:p w14:paraId="21AFF8A5"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PRIMERO. COMPETENCIA.</w:t>
      </w:r>
      <w:r w:rsidRPr="006065E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w:t>
      </w:r>
      <w:r w:rsidR="00DD7BC8" w:rsidRPr="006065EA">
        <w:rPr>
          <w:rFonts w:ascii="Palatino Linotype" w:eastAsia="Palatino Linotype" w:hAnsi="Palatino Linotype" w:cs="Palatino Linotype"/>
          <w:sz w:val="24"/>
          <w:szCs w:val="24"/>
        </w:rPr>
        <w:t>II</w:t>
      </w:r>
      <w:r w:rsidRPr="006065EA">
        <w:rPr>
          <w:rFonts w:ascii="Palatino Linotype" w:eastAsia="Palatino Linotype" w:hAnsi="Palatino Linotype" w:cs="Palatino Linotype"/>
          <w:sz w:val="24"/>
          <w:szCs w:val="24"/>
        </w:rPr>
        <w:t xml:space="preserve"> y 11 del Reglamento Interior del Instituto de Transparencia, Acceso a la Información Pública y Protección de Datos Personales del Estado de México y Municipios.</w:t>
      </w:r>
    </w:p>
    <w:p w14:paraId="76E29872"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DFF4AB1"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 xml:space="preserve">SEGUNDO. OPORTUNIDAD Y PROCEDIBILIDAD. </w:t>
      </w:r>
      <w:r w:rsidRPr="006065EA">
        <w:rPr>
          <w:rFonts w:ascii="Palatino Linotype" w:eastAsia="Palatino Linotype" w:hAnsi="Palatino Linotype" w:cs="Palatino Linotype"/>
          <w:sz w:val="24"/>
          <w:szCs w:val="24"/>
        </w:rPr>
        <w:t>Es de precisar que la</w:t>
      </w:r>
      <w:r w:rsidRPr="006065EA">
        <w:rPr>
          <w:rFonts w:ascii="Palatino Linotype" w:eastAsia="Palatino Linotype" w:hAnsi="Palatino Linotype" w:cs="Palatino Linotype"/>
          <w:b/>
          <w:sz w:val="24"/>
          <w:szCs w:val="24"/>
        </w:rPr>
        <w:t xml:space="preserve"> </w:t>
      </w:r>
      <w:r w:rsidRPr="006065EA">
        <w:rPr>
          <w:rFonts w:ascii="Palatino Linotype" w:eastAsia="Palatino Linotype" w:hAnsi="Palatino Linotype" w:cs="Palatino Linotype"/>
          <w:sz w:val="24"/>
          <w:szCs w:val="24"/>
        </w:rPr>
        <w:t xml:space="preserve">Ley de Transparencia y Acceso a la Información Pública del Estado de México y Municipios, describe el mecanismo de procedencia del recurso de revisión, como se dispone en los artículos 163 y 166, del tenor literal siguiente: </w:t>
      </w:r>
    </w:p>
    <w:p w14:paraId="75E15D1C" w14:textId="77777777" w:rsidR="00C3402C" w:rsidRPr="006065EA" w:rsidRDefault="00C3402C">
      <w:pPr>
        <w:spacing w:after="0" w:line="360" w:lineRule="auto"/>
        <w:jc w:val="both"/>
        <w:rPr>
          <w:rFonts w:ascii="Palatino Linotype" w:eastAsia="Palatino Linotype" w:hAnsi="Palatino Linotype" w:cs="Palatino Linotype"/>
        </w:rPr>
      </w:pPr>
    </w:p>
    <w:p w14:paraId="61BE0244" w14:textId="77777777" w:rsidR="00C3402C" w:rsidRPr="006065EA" w:rsidRDefault="00BD4A67">
      <w:pPr>
        <w:spacing w:after="0" w:line="276" w:lineRule="auto"/>
        <w:ind w:left="851" w:right="851"/>
        <w:jc w:val="both"/>
        <w:rPr>
          <w:rFonts w:ascii="Palatino Linotype" w:eastAsia="Palatino Linotype" w:hAnsi="Palatino Linotype" w:cs="Palatino Linotype"/>
          <w:i/>
        </w:rPr>
      </w:pPr>
      <w:r w:rsidRPr="006065EA">
        <w:rPr>
          <w:rFonts w:ascii="Palatino Linotype" w:eastAsia="Palatino Linotype" w:hAnsi="Palatino Linotype" w:cs="Palatino Linotype"/>
          <w:i/>
        </w:rPr>
        <w:lastRenderedPageBreak/>
        <w:t>“</w:t>
      </w:r>
      <w:r w:rsidRPr="006065EA">
        <w:rPr>
          <w:rFonts w:ascii="Palatino Linotype" w:eastAsia="Palatino Linotype" w:hAnsi="Palatino Linotype" w:cs="Palatino Linotype"/>
          <w:b/>
          <w:i/>
        </w:rPr>
        <w:t xml:space="preserve">Artículo 163. </w:t>
      </w:r>
      <w:r w:rsidRPr="006065EA">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5169D7B9" w14:textId="77777777" w:rsidR="00C3402C" w:rsidRPr="006065EA" w:rsidRDefault="00BD4A67">
      <w:pPr>
        <w:spacing w:line="276" w:lineRule="auto"/>
        <w:ind w:left="851" w:right="851"/>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p>
    <w:p w14:paraId="6485B90F" w14:textId="77777777" w:rsidR="00C3402C" w:rsidRPr="006065EA" w:rsidRDefault="00BD4A67">
      <w:pPr>
        <w:spacing w:line="276" w:lineRule="auto"/>
        <w:ind w:left="851" w:right="851"/>
        <w:jc w:val="both"/>
        <w:rPr>
          <w:rFonts w:ascii="Palatino Linotype" w:eastAsia="Palatino Linotype" w:hAnsi="Palatino Linotype" w:cs="Palatino Linotype"/>
          <w:i/>
        </w:rPr>
      </w:pPr>
      <w:r w:rsidRPr="006065EA">
        <w:rPr>
          <w:rFonts w:ascii="Palatino Linotype" w:eastAsia="Palatino Linotype" w:hAnsi="Palatino Linotype" w:cs="Palatino Linotype"/>
          <w:b/>
          <w:i/>
        </w:rPr>
        <w:t>Artículo 166.-</w:t>
      </w:r>
      <w:r w:rsidRPr="006065EA">
        <w:rPr>
          <w:rFonts w:ascii="Palatino Linotype" w:eastAsia="Palatino Linotype" w:hAnsi="Palatino Linotype" w:cs="Palatino Linotype"/>
          <w:i/>
        </w:rPr>
        <w:t xml:space="preserve"> (…)</w:t>
      </w:r>
    </w:p>
    <w:p w14:paraId="79196104" w14:textId="77777777" w:rsidR="00C3402C" w:rsidRPr="006065EA" w:rsidRDefault="00BD4A67">
      <w:pPr>
        <w:spacing w:after="0" w:line="276" w:lineRule="auto"/>
        <w:ind w:left="851" w:right="851"/>
        <w:jc w:val="both"/>
        <w:rPr>
          <w:rFonts w:ascii="Palatino Linotype" w:eastAsia="Palatino Linotype" w:hAnsi="Palatino Linotype" w:cs="Palatino Linotype"/>
          <w:i/>
        </w:rPr>
      </w:pPr>
      <w:r w:rsidRPr="006065EA">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 (Sic)</w:t>
      </w:r>
    </w:p>
    <w:p w14:paraId="5DABDE39" w14:textId="77777777" w:rsidR="00C3402C" w:rsidRPr="006065EA" w:rsidRDefault="00C3402C">
      <w:pPr>
        <w:spacing w:after="0" w:line="360" w:lineRule="auto"/>
        <w:ind w:left="851" w:right="851"/>
        <w:jc w:val="both"/>
        <w:rPr>
          <w:rFonts w:ascii="Palatino Linotype" w:eastAsia="Palatino Linotype" w:hAnsi="Palatino Linotype" w:cs="Palatino Linotype"/>
          <w:i/>
        </w:rPr>
      </w:pPr>
    </w:p>
    <w:p w14:paraId="25790FA5"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De la interpretación sistemática a los preceptos legales insertos, se obtiene que el plazo que les asiste a los Sujetos Obligados para entregar la respuesta a una solicitud de información pública es de quince días hábiles posteriores a la presentación de esta; sin embargo, en aquellos casos en que transcurre el referido plazo de quince días hábiles, sin que los Sujetos Obligados entreguen la respuesta a la solicitud de información, esta se considera negada; por lo que, el solicitante le asiste el derecho para presentar el recurso de revisión.</w:t>
      </w:r>
    </w:p>
    <w:p w14:paraId="3059E5BD"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03CF515D"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43711E1F"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59D7416"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Por su parte, el artículo 178 del citado ordenamiento, establece:</w:t>
      </w:r>
    </w:p>
    <w:p w14:paraId="647B4E4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975DA6B" w14:textId="77777777" w:rsidR="00C3402C" w:rsidRPr="006065EA" w:rsidRDefault="00BD4A67">
      <w:pPr>
        <w:ind w:left="851" w:right="851"/>
        <w:jc w:val="both"/>
        <w:rPr>
          <w:rFonts w:ascii="Palatino Linotype" w:eastAsia="Palatino Linotype" w:hAnsi="Palatino Linotype" w:cs="Palatino Linotype"/>
          <w:b/>
          <w:i/>
        </w:rPr>
      </w:pPr>
      <w:r w:rsidRPr="006065EA">
        <w:rPr>
          <w:rFonts w:ascii="Palatino Linotype" w:eastAsia="Palatino Linotype" w:hAnsi="Palatino Linotype" w:cs="Palatino Linotype"/>
          <w:i/>
        </w:rPr>
        <w:lastRenderedPageBreak/>
        <w:t>“</w:t>
      </w:r>
      <w:r w:rsidRPr="006065EA">
        <w:rPr>
          <w:rFonts w:ascii="Palatino Linotype" w:eastAsia="Palatino Linotype" w:hAnsi="Palatino Linotype" w:cs="Palatino Linotype"/>
          <w:b/>
          <w:i/>
        </w:rPr>
        <w:t xml:space="preserve">Artículo 178. </w:t>
      </w:r>
      <w:r w:rsidRPr="006065EA">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6065EA">
        <w:rPr>
          <w:rFonts w:ascii="Palatino Linotype" w:eastAsia="Palatino Linotype" w:hAnsi="Palatino Linotype" w:cs="Palatino Linotype"/>
          <w:b/>
          <w:i/>
        </w:rPr>
        <w:t>.</w:t>
      </w:r>
    </w:p>
    <w:p w14:paraId="69492DA9" w14:textId="77777777" w:rsidR="00C3402C" w:rsidRPr="006065EA" w:rsidRDefault="00BD4A67">
      <w:pPr>
        <w:ind w:left="851" w:right="851"/>
        <w:jc w:val="both"/>
        <w:rPr>
          <w:rFonts w:ascii="Palatino Linotype" w:eastAsia="Palatino Linotype" w:hAnsi="Palatino Linotype" w:cs="Palatino Linotype"/>
          <w:i/>
          <w:sz w:val="24"/>
          <w:szCs w:val="24"/>
        </w:rPr>
      </w:pPr>
      <w:r w:rsidRPr="006065EA">
        <w:rPr>
          <w:rFonts w:ascii="Palatino Linotype" w:eastAsia="Palatino Linotype" w:hAnsi="Palatino Linotype" w:cs="Palatino Linotype"/>
          <w:b/>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76990B9" w14:textId="77777777" w:rsidR="00C3402C" w:rsidRPr="006065EA" w:rsidRDefault="00C3402C">
      <w:pPr>
        <w:spacing w:after="0" w:line="360" w:lineRule="auto"/>
        <w:ind w:left="851" w:right="851"/>
        <w:jc w:val="both"/>
        <w:rPr>
          <w:rFonts w:ascii="Palatino Linotype" w:eastAsia="Palatino Linotype" w:hAnsi="Palatino Linotype" w:cs="Palatino Linotype"/>
          <w:i/>
          <w:sz w:val="24"/>
          <w:szCs w:val="24"/>
        </w:rPr>
      </w:pPr>
    </w:p>
    <w:p w14:paraId="67E1EB5C"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De lo anterior, se advierte que el recurso de revisión se ha de interponer dentro del plazo de quince días hábiles, a partir de la fecha en que el </w:t>
      </w:r>
      <w:r w:rsidRPr="006065EA">
        <w:rPr>
          <w:rFonts w:ascii="Palatino Linotype" w:eastAsia="Palatino Linotype" w:hAnsi="Palatino Linotype" w:cs="Palatino Linotype"/>
          <w:b/>
          <w:sz w:val="24"/>
          <w:szCs w:val="24"/>
        </w:rPr>
        <w:t xml:space="preserve">SUJETO OBLIGADO </w:t>
      </w:r>
      <w:r w:rsidRPr="006065EA">
        <w:rPr>
          <w:rFonts w:ascii="Palatino Linotype" w:eastAsia="Palatino Linotype" w:hAnsi="Palatino Linotype" w:cs="Palatino Linotype"/>
          <w:sz w:val="24"/>
          <w:szCs w:val="24"/>
        </w:rPr>
        <w:t>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14:paraId="610F26AD"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D4B9729"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La negativa ficta constituye una presunción legal, en el entendido de que donde no hubo respuesta por parte del </w:t>
      </w:r>
      <w:r w:rsidRPr="006065EA">
        <w:rPr>
          <w:rFonts w:ascii="Palatino Linotype" w:eastAsia="Palatino Linotype" w:hAnsi="Palatino Linotype" w:cs="Palatino Linotype"/>
          <w:b/>
          <w:sz w:val="24"/>
          <w:szCs w:val="24"/>
        </w:rPr>
        <w:t xml:space="preserve">SUJETO OBLIGADO </w:t>
      </w:r>
      <w:r w:rsidRPr="006065EA">
        <w:rPr>
          <w:rFonts w:ascii="Palatino Linotype" w:eastAsia="Palatino Linotype" w:hAnsi="Palatino Linotype" w:cs="Palatino Linotype"/>
          <w:sz w:val="24"/>
          <w:szCs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77F2D157"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955E174"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lastRenderedPageBreak/>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de dar respuesta, por lo que este Órgano Garante del derecho de acceso a la información y en aras de privilegiar el principio de máxima publicidad deberá dar entrada al estudio del fondo del recurso interpuesto en dichos casos y no optar por el </w:t>
      </w:r>
      <w:proofErr w:type="spellStart"/>
      <w:r w:rsidRPr="006065EA">
        <w:rPr>
          <w:rFonts w:ascii="Palatino Linotype" w:eastAsia="Palatino Linotype" w:hAnsi="Palatino Linotype" w:cs="Palatino Linotype"/>
          <w:sz w:val="24"/>
          <w:szCs w:val="24"/>
        </w:rPr>
        <w:t>desechamiento</w:t>
      </w:r>
      <w:proofErr w:type="spellEnd"/>
      <w:r w:rsidRPr="006065EA">
        <w:rPr>
          <w:rFonts w:ascii="Palatino Linotype" w:eastAsia="Palatino Linotype" w:hAnsi="Palatino Linotype" w:cs="Palatino Linotype"/>
          <w:sz w:val="24"/>
          <w:szCs w:val="24"/>
        </w:rPr>
        <w:t xml:space="preserve"> del mismo.</w:t>
      </w:r>
    </w:p>
    <w:p w14:paraId="2EB6F9E1"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C9D054E"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Por lo tanto, con la finalidad de no reducir ni limitar el derecho de acceso a la información y concederle una protección más eficaz al solicitante para impugnar el silencio del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6EE14FA2"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54B8F2EF" w14:textId="77777777" w:rsidR="00C3402C" w:rsidRPr="006065EA" w:rsidRDefault="00BD4A67">
      <w:pPr>
        <w:spacing w:line="276" w:lineRule="auto"/>
        <w:ind w:left="851" w:right="851"/>
        <w:jc w:val="both"/>
        <w:rPr>
          <w:rFonts w:ascii="Palatino Linotype" w:eastAsia="Palatino Linotype" w:hAnsi="Palatino Linotype" w:cs="Palatino Linotype"/>
          <w:i/>
        </w:rPr>
      </w:pPr>
      <w:r w:rsidRPr="006065EA">
        <w:rPr>
          <w:rFonts w:ascii="Palatino Linotype" w:eastAsia="Palatino Linotype" w:hAnsi="Palatino Linotype" w:cs="Palatino Linotype"/>
          <w:b/>
          <w:i/>
        </w:rPr>
        <w:t>“CRITERIO 0001-15. NEGATIVA FICTA. PLAZO PARA INTERPONER EL RECURSO DE REVISIÓN TRATÁNDOSE DE</w:t>
      </w:r>
      <w:r w:rsidRPr="006065EA">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w:t>
      </w:r>
      <w:r w:rsidRPr="006065EA">
        <w:rPr>
          <w:rFonts w:ascii="Palatino Linotype" w:eastAsia="Palatino Linotype" w:hAnsi="Palatino Linotype" w:cs="Palatino Linotype"/>
          <w:i/>
        </w:rPr>
        <w:lastRenderedPageBreak/>
        <w:t>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(Sic)</w:t>
      </w:r>
    </w:p>
    <w:p w14:paraId="564CA90B" w14:textId="77777777" w:rsidR="00C3402C" w:rsidRPr="006065EA" w:rsidRDefault="00C3402C">
      <w:pPr>
        <w:pBdr>
          <w:top w:val="nil"/>
          <w:left w:val="nil"/>
          <w:bottom w:val="nil"/>
          <w:right w:val="nil"/>
          <w:between w:val="nil"/>
        </w:pBdr>
        <w:spacing w:after="80" w:line="360" w:lineRule="auto"/>
        <w:ind w:right="-147"/>
        <w:jc w:val="both"/>
        <w:rPr>
          <w:rFonts w:ascii="Palatino Linotype" w:eastAsia="Palatino Linotype" w:hAnsi="Palatino Linotype" w:cs="Palatino Linotype"/>
          <w:color w:val="000000"/>
          <w:sz w:val="24"/>
          <w:szCs w:val="24"/>
        </w:rPr>
      </w:pPr>
    </w:p>
    <w:p w14:paraId="55FDEC41" w14:textId="77777777" w:rsidR="00C3402C" w:rsidRPr="006065EA" w:rsidRDefault="00BD4A67">
      <w:pPr>
        <w:spacing w:after="0" w:line="360" w:lineRule="auto"/>
        <w:jc w:val="both"/>
        <w:rPr>
          <w:rFonts w:ascii="Palatino Linotype" w:eastAsia="Palatino Linotype" w:hAnsi="Palatino Linotype" w:cs="Palatino Linotype"/>
          <w:b/>
          <w:sz w:val="24"/>
          <w:szCs w:val="24"/>
        </w:rPr>
      </w:pPr>
      <w:r w:rsidRPr="006065EA">
        <w:rPr>
          <w:rFonts w:ascii="Palatino Linotype" w:eastAsia="Palatino Linotype" w:hAnsi="Palatino Linotype" w:cs="Palatino Linotype"/>
          <w:sz w:val="24"/>
          <w:szCs w:val="24"/>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6065EA">
        <w:rPr>
          <w:rFonts w:ascii="Palatino Linotype" w:eastAsia="Palatino Linotype" w:hAnsi="Palatino Linotype" w:cs="Palatino Linotype"/>
          <w:b/>
          <w:sz w:val="24"/>
          <w:szCs w:val="24"/>
        </w:rPr>
        <w:t>SAIMEX.</w:t>
      </w:r>
    </w:p>
    <w:p w14:paraId="095D4A9D" w14:textId="77777777" w:rsidR="00C3402C" w:rsidRPr="006065EA" w:rsidRDefault="00C3402C">
      <w:pPr>
        <w:spacing w:after="0" w:line="360" w:lineRule="auto"/>
        <w:jc w:val="both"/>
        <w:rPr>
          <w:rFonts w:ascii="Palatino Linotype" w:eastAsia="Palatino Linotype" w:hAnsi="Palatino Linotype" w:cs="Palatino Linotype"/>
          <w:b/>
          <w:sz w:val="24"/>
          <w:szCs w:val="24"/>
        </w:rPr>
      </w:pPr>
    </w:p>
    <w:p w14:paraId="5B042A12"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6065EA">
        <w:rPr>
          <w:rFonts w:ascii="Palatino Linotype" w:eastAsia="Palatino Linotype" w:hAnsi="Palatino Linotype" w:cs="Palatino Linotype"/>
          <w:b/>
          <w:sz w:val="24"/>
          <w:szCs w:val="24"/>
        </w:rPr>
        <w:t>RECURRENTE</w:t>
      </w:r>
      <w:r w:rsidRPr="006065EA">
        <w:rPr>
          <w:rFonts w:ascii="Palatino Linotype" w:eastAsia="Palatino Linotype" w:hAnsi="Palatino Linotype" w:cs="Palatino Linotype"/>
          <w:sz w:val="24"/>
          <w:szCs w:val="24"/>
        </w:rPr>
        <w:t>, por lo que, en el presente caso, al haber sido presentado el recurso de revisión vía SAIMEX, dicho requisito resulta innecesario.</w:t>
      </w:r>
    </w:p>
    <w:p w14:paraId="49CEE7DA"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21A184F1"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lastRenderedPageBreak/>
        <w:t xml:space="preserve">Ahora bien, resulta procedente la interposición del recurso de revisión, según lo aducido por </w:t>
      </w:r>
      <w:r w:rsidRPr="006065EA">
        <w:rPr>
          <w:rFonts w:ascii="Palatino Linotype" w:eastAsia="Palatino Linotype" w:hAnsi="Palatino Linotype" w:cs="Palatino Linotype"/>
          <w:b/>
          <w:sz w:val="24"/>
          <w:szCs w:val="24"/>
        </w:rPr>
        <w:t>LA PARTE</w:t>
      </w:r>
      <w:r w:rsidRPr="006065EA">
        <w:rPr>
          <w:rFonts w:ascii="Palatino Linotype" w:eastAsia="Palatino Linotype" w:hAnsi="Palatino Linotype" w:cs="Palatino Linotype"/>
          <w:sz w:val="24"/>
          <w:szCs w:val="24"/>
        </w:rPr>
        <w:t xml:space="preserve"> </w:t>
      </w:r>
      <w:r w:rsidRPr="006065EA">
        <w:rPr>
          <w:rFonts w:ascii="Palatino Linotype" w:eastAsia="Palatino Linotype" w:hAnsi="Palatino Linotype" w:cs="Palatino Linotype"/>
          <w:b/>
          <w:sz w:val="24"/>
          <w:szCs w:val="24"/>
        </w:rPr>
        <w:t>RECURRENTE</w:t>
      </w:r>
      <w:r w:rsidRPr="006065EA">
        <w:rPr>
          <w:rFonts w:ascii="Palatino Linotype" w:eastAsia="Palatino Linotype" w:hAnsi="Palatino Linotype" w:cs="Palatino Linotype"/>
          <w:sz w:val="24"/>
          <w:szCs w:val="24"/>
        </w:rPr>
        <w:t>, en términos del artículo 179, fracción VII del ordenamiento legal de la materia, que a la letra dice:</w:t>
      </w:r>
    </w:p>
    <w:p w14:paraId="4C75D6DC" w14:textId="77777777" w:rsidR="00C3402C" w:rsidRPr="006065EA" w:rsidRDefault="00C3402C">
      <w:pPr>
        <w:spacing w:after="0" w:line="360" w:lineRule="auto"/>
        <w:jc w:val="both"/>
        <w:rPr>
          <w:rFonts w:ascii="Quattrocento Sans" w:eastAsia="Quattrocento Sans" w:hAnsi="Quattrocento Sans" w:cs="Quattrocento Sans"/>
        </w:rPr>
      </w:pPr>
    </w:p>
    <w:p w14:paraId="5FC0906F" w14:textId="77777777" w:rsidR="00C3402C" w:rsidRPr="006065EA" w:rsidRDefault="00BD4A67">
      <w:pPr>
        <w:spacing w:after="0" w:line="276" w:lineRule="auto"/>
        <w:ind w:left="993" w:right="1041"/>
        <w:jc w:val="both"/>
        <w:rPr>
          <w:rFonts w:ascii="Palatino Linotype" w:eastAsia="Palatino Linotype" w:hAnsi="Palatino Linotype" w:cs="Palatino Linotype"/>
        </w:rPr>
      </w:pPr>
      <w:r w:rsidRPr="006065EA">
        <w:rPr>
          <w:rFonts w:ascii="Palatino Linotype" w:eastAsia="Palatino Linotype" w:hAnsi="Palatino Linotype" w:cs="Palatino Linotype"/>
          <w:i/>
        </w:rPr>
        <w:t>“</w:t>
      </w:r>
      <w:r w:rsidRPr="006065EA">
        <w:rPr>
          <w:rFonts w:ascii="Palatino Linotype" w:eastAsia="Palatino Linotype" w:hAnsi="Palatino Linotype" w:cs="Palatino Linotype"/>
          <w:b/>
        </w:rPr>
        <w:t>Artículo 179.</w:t>
      </w:r>
      <w:r w:rsidRPr="006065EA">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6065EA">
        <w:rPr>
          <w:rFonts w:ascii="Palatino Linotype" w:eastAsia="Palatino Linotype" w:hAnsi="Palatino Linotype" w:cs="Palatino Linotype"/>
        </w:rPr>
        <w:t> </w:t>
      </w:r>
    </w:p>
    <w:p w14:paraId="7971DC58" w14:textId="77777777" w:rsidR="00C3402C" w:rsidRPr="006065EA" w:rsidRDefault="00C3402C">
      <w:pPr>
        <w:spacing w:after="0" w:line="276" w:lineRule="auto"/>
        <w:ind w:left="993" w:right="1041"/>
        <w:jc w:val="both"/>
        <w:rPr>
          <w:rFonts w:ascii="Palatino Linotype" w:eastAsia="Palatino Linotype" w:hAnsi="Palatino Linotype" w:cs="Palatino Linotype"/>
        </w:rPr>
      </w:pPr>
    </w:p>
    <w:p w14:paraId="201F1CFF" w14:textId="77777777" w:rsidR="00C3402C" w:rsidRPr="006065EA" w:rsidRDefault="00BD4A67">
      <w:pPr>
        <w:numPr>
          <w:ilvl w:val="0"/>
          <w:numId w:val="1"/>
        </w:numPr>
        <w:spacing w:after="0" w:line="360" w:lineRule="auto"/>
        <w:ind w:right="1041" w:hanging="87"/>
        <w:jc w:val="both"/>
        <w:rPr>
          <w:rFonts w:ascii="Palatino Linotype" w:eastAsia="Palatino Linotype" w:hAnsi="Palatino Linotype" w:cs="Palatino Linotype"/>
          <w:i/>
        </w:rPr>
      </w:pPr>
      <w:r w:rsidRPr="006065EA">
        <w:rPr>
          <w:rFonts w:ascii="Palatino Linotype" w:eastAsia="Palatino Linotype" w:hAnsi="Palatino Linotype" w:cs="Palatino Linotype"/>
          <w:i/>
        </w:rPr>
        <w:t>La falta de respuesta a una solicitud de acceso a la información…(Sic)</w:t>
      </w:r>
    </w:p>
    <w:p w14:paraId="64A83462" w14:textId="77777777" w:rsidR="00C3402C" w:rsidRPr="006065EA" w:rsidRDefault="00C3402C">
      <w:pPr>
        <w:spacing w:after="0" w:line="360" w:lineRule="auto"/>
        <w:ind w:left="1080" w:right="1041"/>
        <w:jc w:val="both"/>
        <w:rPr>
          <w:rFonts w:ascii="Palatino Linotype" w:eastAsia="Palatino Linotype" w:hAnsi="Palatino Linotype" w:cs="Palatino Linotype"/>
          <w:i/>
        </w:rPr>
      </w:pPr>
    </w:p>
    <w:p w14:paraId="23EE73F6" w14:textId="77777777" w:rsidR="00C3402C" w:rsidRPr="006065EA" w:rsidRDefault="00BD4A6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El precepto legal citado, establece como supuesto de procedencia del recurso de revisión, en aquellos casos en que la parte </w:t>
      </w:r>
      <w:r w:rsidRPr="006065EA">
        <w:rPr>
          <w:rFonts w:ascii="Palatino Linotype" w:eastAsia="Palatino Linotype" w:hAnsi="Palatino Linotype" w:cs="Palatino Linotype"/>
          <w:b/>
          <w:sz w:val="24"/>
          <w:szCs w:val="24"/>
        </w:rPr>
        <w:t xml:space="preserve">RECURRENTE </w:t>
      </w:r>
      <w:r w:rsidRPr="006065EA">
        <w:rPr>
          <w:rFonts w:ascii="Palatino Linotype" w:eastAsia="Palatino Linotype" w:hAnsi="Palatino Linotype" w:cs="Palatino Linotype"/>
          <w:sz w:val="24"/>
          <w:szCs w:val="24"/>
        </w:rPr>
        <w:t xml:space="preserve">estime negado el acceso a la información por la falta de respuesta a una solicitud por el Sujeto Obligado, en este asunto se actualiza la hipótesis jurídica citada, en atención a que la parte </w:t>
      </w:r>
      <w:r w:rsidRPr="006065EA">
        <w:rPr>
          <w:rFonts w:ascii="Palatino Linotype" w:eastAsia="Palatino Linotype" w:hAnsi="Palatino Linotype" w:cs="Palatino Linotype"/>
          <w:b/>
          <w:sz w:val="24"/>
          <w:szCs w:val="24"/>
        </w:rPr>
        <w:t>RECURRENTE</w:t>
      </w:r>
      <w:r w:rsidRPr="006065EA">
        <w:rPr>
          <w:rFonts w:ascii="Palatino Linotype" w:eastAsia="Palatino Linotype" w:hAnsi="Palatino Linotype" w:cs="Palatino Linotype"/>
          <w:sz w:val="24"/>
          <w:szCs w:val="24"/>
        </w:rPr>
        <w:t xml:space="preserve"> combate falta de respuesta por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xml:space="preserve"> y expresa motivos de inconformidad en contra de dicha circunstancia.</w:t>
      </w:r>
    </w:p>
    <w:p w14:paraId="0DE36E7A" w14:textId="77777777" w:rsidR="00C3402C" w:rsidRPr="006065EA" w:rsidRDefault="00C3402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911E415" w14:textId="77777777" w:rsidR="00C3402C" w:rsidRPr="006065EA" w:rsidRDefault="00BD4A67">
      <w:pPr>
        <w:tabs>
          <w:tab w:val="left" w:pos="8647"/>
        </w:tabs>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 xml:space="preserve">TERCERO. MATERIA DE LA REVISIÓN. </w:t>
      </w:r>
      <w:r w:rsidRPr="006065EA">
        <w:rPr>
          <w:rFonts w:ascii="Palatino Linotype" w:eastAsia="Palatino Linotype" w:hAnsi="Palatino Linotype" w:cs="Palatino Linotype"/>
          <w:sz w:val="24"/>
          <w:szCs w:val="24"/>
        </w:rPr>
        <w:t xml:space="preserve">Este Organismo Garante procede del análisis de los agravios hechos valer por la parte </w:t>
      </w:r>
      <w:r w:rsidRPr="006065EA">
        <w:rPr>
          <w:rFonts w:ascii="Palatino Linotype" w:eastAsia="Palatino Linotype" w:hAnsi="Palatino Linotype" w:cs="Palatino Linotype"/>
          <w:b/>
          <w:sz w:val="24"/>
          <w:szCs w:val="24"/>
        </w:rPr>
        <w:t>RECURRENTE</w:t>
      </w:r>
      <w:r w:rsidRPr="006065EA">
        <w:rPr>
          <w:rFonts w:ascii="Palatino Linotype" w:eastAsia="Palatino Linotype" w:hAnsi="Palatino Linotype" w:cs="Palatino Linotype"/>
          <w:sz w:val="24"/>
          <w:szCs w:val="24"/>
        </w:rPr>
        <w:t xml:space="preserve">, a fin de determinar si se violenta en perjuicio de éste, el derecho de acceso a la información previsto en la Constitución Política de los Estados Unidos Mexicanos y en la Constitución Política del Estado Libre y Soberano de México. </w:t>
      </w:r>
    </w:p>
    <w:p w14:paraId="6E67E872"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234D500E" w14:textId="77777777" w:rsidR="00C3402C" w:rsidRPr="006065EA" w:rsidRDefault="00BD4A67">
      <w:pPr>
        <w:spacing w:after="0" w:line="360" w:lineRule="auto"/>
        <w:jc w:val="both"/>
        <w:rPr>
          <w:rFonts w:ascii="Palatino Linotype" w:eastAsia="Palatino Linotype" w:hAnsi="Palatino Linotype" w:cs="Palatino Linotype"/>
          <w:color w:val="FF0000"/>
          <w:sz w:val="24"/>
          <w:szCs w:val="24"/>
        </w:rPr>
      </w:pPr>
      <w:r w:rsidRPr="006065EA">
        <w:rPr>
          <w:rFonts w:ascii="Palatino Linotype" w:eastAsia="Palatino Linotype" w:hAnsi="Palatino Linotype" w:cs="Palatino Linotype"/>
          <w:b/>
          <w:color w:val="000000"/>
          <w:sz w:val="24"/>
          <w:szCs w:val="24"/>
        </w:rPr>
        <w:t xml:space="preserve">CUARTO. ESTUDIO Y RESOLUCIÓN DEL ASUNTO.  </w:t>
      </w:r>
      <w:r w:rsidRPr="006065EA">
        <w:rPr>
          <w:rFonts w:ascii="Palatino Linotype" w:eastAsia="Palatino Linotype" w:hAnsi="Palatino Linotype" w:cs="Palatino Linotype"/>
          <w:sz w:val="24"/>
          <w:szCs w:val="24"/>
        </w:rPr>
        <w:t xml:space="preserve">Una vez determinada la vía sobre la que versará el presente recurso, es necesario precisar que, del análisis </w:t>
      </w:r>
      <w:r w:rsidRPr="006065EA">
        <w:rPr>
          <w:rFonts w:ascii="Palatino Linotype" w:eastAsia="Palatino Linotype" w:hAnsi="Palatino Linotype" w:cs="Palatino Linotype"/>
          <w:sz w:val="24"/>
          <w:szCs w:val="24"/>
        </w:rPr>
        <w:lastRenderedPageBreak/>
        <w:t xml:space="preserve">realizado a la solicitud formulada por la parte </w:t>
      </w:r>
      <w:r w:rsidRPr="006065EA">
        <w:rPr>
          <w:rFonts w:ascii="Palatino Linotype" w:eastAsia="Palatino Linotype" w:hAnsi="Palatino Linotype" w:cs="Palatino Linotype"/>
          <w:b/>
          <w:color w:val="000000"/>
          <w:sz w:val="24"/>
          <w:szCs w:val="24"/>
        </w:rPr>
        <w:t>RECURRENTE</w:t>
      </w:r>
      <w:r w:rsidRPr="006065EA">
        <w:rPr>
          <w:rFonts w:ascii="Palatino Linotype" w:eastAsia="Palatino Linotype" w:hAnsi="Palatino Linotype" w:cs="Palatino Linotype"/>
          <w:color w:val="000000"/>
          <w:sz w:val="24"/>
          <w:szCs w:val="24"/>
        </w:rPr>
        <w:t>,</w:t>
      </w:r>
      <w:r w:rsidRPr="006065EA">
        <w:rPr>
          <w:rFonts w:ascii="Palatino Linotype" w:eastAsia="Palatino Linotype" w:hAnsi="Palatino Linotype" w:cs="Palatino Linotype"/>
          <w:b/>
          <w:color w:val="000000"/>
          <w:sz w:val="24"/>
          <w:szCs w:val="24"/>
        </w:rPr>
        <w:t xml:space="preserve"> </w:t>
      </w:r>
      <w:r w:rsidRPr="006065EA">
        <w:rPr>
          <w:rFonts w:ascii="Palatino Linotype" w:eastAsia="Palatino Linotype" w:hAnsi="Palatino Linotype" w:cs="Palatino Linotype"/>
          <w:color w:val="000000"/>
          <w:sz w:val="24"/>
          <w:szCs w:val="24"/>
        </w:rPr>
        <w:t xml:space="preserve">se advierte que requirió al </w:t>
      </w:r>
      <w:r w:rsidRPr="006065EA">
        <w:rPr>
          <w:rFonts w:ascii="Palatino Linotype" w:eastAsia="Palatino Linotype" w:hAnsi="Palatino Linotype" w:cs="Palatino Linotype"/>
          <w:b/>
          <w:color w:val="000000"/>
          <w:sz w:val="24"/>
          <w:szCs w:val="24"/>
        </w:rPr>
        <w:t>SUJETO OBLIGADO</w:t>
      </w:r>
      <w:r w:rsidRPr="006065EA">
        <w:rPr>
          <w:rFonts w:ascii="Palatino Linotype" w:eastAsia="Palatino Linotype" w:hAnsi="Palatino Linotype" w:cs="Palatino Linotype"/>
          <w:color w:val="000000"/>
          <w:sz w:val="24"/>
          <w:szCs w:val="24"/>
        </w:rPr>
        <w:t xml:space="preserve"> le proporcionara, información consistente en lo siguiente:</w:t>
      </w:r>
    </w:p>
    <w:p w14:paraId="6804FFA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22CF9576" w14:textId="77777777" w:rsidR="00C3402C" w:rsidRPr="006065EA" w:rsidRDefault="00BD4A67">
      <w:pPr>
        <w:spacing w:after="0" w:line="360" w:lineRule="auto"/>
        <w:jc w:val="both"/>
        <w:rPr>
          <w:rFonts w:ascii="Palatino Linotype" w:eastAsia="Palatino Linotype" w:hAnsi="Palatino Linotype" w:cs="Palatino Linotype"/>
          <w:i/>
          <w:sz w:val="24"/>
          <w:szCs w:val="24"/>
        </w:rPr>
      </w:pPr>
      <w:r w:rsidRPr="006065EA">
        <w:rPr>
          <w:rFonts w:ascii="Palatino Linotype" w:eastAsia="Palatino Linotype" w:hAnsi="Palatino Linotype" w:cs="Palatino Linotype"/>
          <w:i/>
          <w:sz w:val="24"/>
          <w:szCs w:val="24"/>
        </w:rPr>
        <w:t xml:space="preserve">1. Informe si el puente denominado "Tlapacoya" se encuentra dentro del territorio de este municipio, en caso positivo agregar croquis de localización que puntualice la zona que se encuentran dentro del territorio municipal. 2. Informe cuales son los trabajos, tareas y/o actividades que las autoridades municipales realizan para el mantenimiento de la infraestructura del puente de "Tlapacoya" 3. Informe que tipo de trabajos, tareas y/o actividades realizan las autoridades de tránsito para agilizar, mejorar y regular la movilidad por el puente de "Tlapacoya" 4. Informe si el puente de "Tlapacoya" cuenta con señalización sobre el sentido, direcciones y direcciones de tránsito en cada una de las entradas y vías con las que cuenta, en caso positivo agregar documento que sustente lo mencionado. 5. Informe si existe algún convenio de colaboración con los municipios colindantes de Chalco y Valle de Chalco para el mejoramiento y agilización del tránsito vehicular que circula sobre el puente de "Tlapacoya" 6. Informe si se cuenta con un convenio de colaboración con autoridades estatales o federales que contribuyan a las labores de tránsito, señalización o mantenimiento del puente de “Tlapacoya”, en caso positivo adjuntar evidencia que sustente su dicho. 7. Informe en caso de no contar con competencia o información, cual es la autoridad competente en materia de </w:t>
      </w:r>
      <w:proofErr w:type="spellStart"/>
      <w:r w:rsidRPr="006065EA">
        <w:rPr>
          <w:rFonts w:ascii="Palatino Linotype" w:eastAsia="Palatino Linotype" w:hAnsi="Palatino Linotype" w:cs="Palatino Linotype"/>
          <w:i/>
          <w:sz w:val="24"/>
          <w:szCs w:val="24"/>
        </w:rPr>
        <w:t>transito</w:t>
      </w:r>
      <w:proofErr w:type="spellEnd"/>
      <w:r w:rsidRPr="006065EA">
        <w:rPr>
          <w:rFonts w:ascii="Palatino Linotype" w:eastAsia="Palatino Linotype" w:hAnsi="Palatino Linotype" w:cs="Palatino Linotype"/>
          <w:i/>
          <w:sz w:val="24"/>
          <w:szCs w:val="24"/>
        </w:rPr>
        <w:t xml:space="preserve"> y señalización que regule el tránsito por el puente de “Tlapacoya”.</w:t>
      </w:r>
    </w:p>
    <w:p w14:paraId="10A59EC5"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CC8A94F"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Como se puede observar en los antecedentes de la presente resolución, 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fue omiso en emitir respuesta a la solicitud de información; sin </w:t>
      </w:r>
      <w:r w:rsidRPr="006065EA">
        <w:rPr>
          <w:rFonts w:ascii="Palatino Linotype" w:eastAsia="Palatino Linotype" w:hAnsi="Palatino Linotype" w:cs="Palatino Linotype"/>
          <w:sz w:val="24"/>
          <w:szCs w:val="24"/>
        </w:rPr>
        <w:lastRenderedPageBreak/>
        <w:t>embargo, con posterioridad mediante informe justificado remite unos documentos a través del cual dio respuesta a la solicitud de acceso a la información.</w:t>
      </w:r>
    </w:p>
    <w:p w14:paraId="791408F2"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0A83689"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En este sentido, existe un cambio o modificación en la acción del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en donde de una negativa de información, se traslada a una situación por medio de la cual se pretende poner a disposición de la parte </w:t>
      </w:r>
      <w:r w:rsidRPr="006065EA">
        <w:rPr>
          <w:rFonts w:ascii="Palatino Linotype" w:eastAsia="Palatino Linotype" w:hAnsi="Palatino Linotype" w:cs="Palatino Linotype"/>
          <w:b/>
          <w:sz w:val="24"/>
          <w:szCs w:val="24"/>
        </w:rPr>
        <w:t>RECURRENTE</w:t>
      </w:r>
      <w:r w:rsidRPr="006065EA">
        <w:rPr>
          <w:rFonts w:ascii="Palatino Linotype" w:eastAsia="Palatino Linotype" w:hAnsi="Palatino Linotype" w:cs="Palatino Linotype"/>
          <w:sz w:val="24"/>
          <w:szCs w:val="24"/>
        </w:rPr>
        <w:t xml:space="preserve"> la información requerida.</w:t>
      </w:r>
    </w:p>
    <w:p w14:paraId="2040DABF"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731494F8"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En razón de ello, con el fin de no dejar en estado de indefensión a la parte </w:t>
      </w:r>
      <w:r w:rsidRPr="006065EA">
        <w:rPr>
          <w:rFonts w:ascii="Palatino Linotype" w:eastAsia="Palatino Linotype" w:hAnsi="Palatino Linotype" w:cs="Palatino Linotype"/>
          <w:b/>
          <w:sz w:val="24"/>
          <w:szCs w:val="24"/>
        </w:rPr>
        <w:t>RECURRENT</w:t>
      </w:r>
      <w:r w:rsidRPr="006065EA">
        <w:rPr>
          <w:rFonts w:ascii="Palatino Linotype" w:eastAsia="Palatino Linotype" w:hAnsi="Palatino Linotype" w:cs="Palatino Linotype"/>
          <w:sz w:val="24"/>
          <w:szCs w:val="24"/>
        </w:rPr>
        <w:t>E, resulta oportuno analizar y determinar si la información proporcionada vía manifestaciones, satisface el alcance y contenido del derecho de acceso a la información en términos del artículo 4 de la Ley en la Materia, 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7A3E826"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60DF5F5" w14:textId="77777777" w:rsidR="00C3402C" w:rsidRPr="006065EA" w:rsidRDefault="00BD4A67">
      <w:pPr>
        <w:spacing w:after="0"/>
        <w:ind w:left="709" w:right="760"/>
        <w:jc w:val="both"/>
        <w:rPr>
          <w:rFonts w:ascii="Palatino Linotype" w:eastAsia="Palatino Linotype" w:hAnsi="Palatino Linotype" w:cs="Palatino Linotype"/>
          <w:i/>
        </w:rPr>
      </w:pPr>
      <w:r w:rsidRPr="006065EA">
        <w:rPr>
          <w:rFonts w:ascii="Palatino Linotype" w:eastAsia="Palatino Linotype" w:hAnsi="Palatino Linotype" w:cs="Palatino Linotype"/>
          <w:i/>
        </w:rPr>
        <w:lastRenderedPageBreak/>
        <w:t>“</w:t>
      </w:r>
      <w:r w:rsidRPr="006065EA">
        <w:rPr>
          <w:rFonts w:ascii="Palatino Linotype" w:eastAsia="Palatino Linotype" w:hAnsi="Palatino Linotype" w:cs="Palatino Linotype"/>
          <w:b/>
          <w:i/>
        </w:rPr>
        <w:t>Artículo 4</w:t>
      </w:r>
      <w:r w:rsidRPr="006065E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0A1B775" w14:textId="77777777" w:rsidR="00C3402C" w:rsidRPr="006065EA" w:rsidRDefault="00BD4A67">
      <w:pPr>
        <w:spacing w:after="0"/>
        <w:ind w:left="709" w:right="760"/>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707DC39" w14:textId="77777777" w:rsidR="00C3402C" w:rsidRPr="006065EA" w:rsidRDefault="00BD4A67">
      <w:pPr>
        <w:spacing w:after="0"/>
        <w:ind w:left="709" w:right="760"/>
        <w:jc w:val="both"/>
        <w:rPr>
          <w:rFonts w:ascii="Palatino Linotype" w:eastAsia="Palatino Linotype" w:hAnsi="Palatino Linotype" w:cs="Palatino Linotype"/>
          <w:i/>
        </w:rPr>
      </w:pPr>
      <w:r w:rsidRPr="006065EA">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 (Sic)</w:t>
      </w:r>
    </w:p>
    <w:p w14:paraId="23982C95" w14:textId="77777777" w:rsidR="00C3402C" w:rsidRPr="006065EA" w:rsidRDefault="00C3402C">
      <w:pPr>
        <w:spacing w:after="0" w:line="360" w:lineRule="auto"/>
        <w:jc w:val="both"/>
        <w:rPr>
          <w:rFonts w:ascii="Palatino Linotype" w:eastAsia="Palatino Linotype" w:hAnsi="Palatino Linotype" w:cs="Palatino Linotype"/>
        </w:rPr>
      </w:pPr>
    </w:p>
    <w:p w14:paraId="1FF31A9C"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6065EA">
        <w:rPr>
          <w:rFonts w:ascii="Palatino Linotype" w:eastAsia="Palatino Linotype" w:hAnsi="Palatino Linotype" w:cs="Palatino Linotype"/>
          <w:b/>
          <w:sz w:val="24"/>
          <w:szCs w:val="24"/>
        </w:rPr>
        <w:t>artículo 12</w:t>
      </w:r>
      <w:r w:rsidRPr="006065EA">
        <w:rPr>
          <w:rFonts w:ascii="Palatino Linotype" w:eastAsia="Palatino Linotype" w:hAnsi="Palatino Linotype" w:cs="Palatino Linotype"/>
          <w:sz w:val="24"/>
          <w:szCs w:val="24"/>
        </w:rPr>
        <w:t xml:space="preserve"> de la Ley de Transparencia y Acceso a la Información Pública del Estado de México y Municipios, el cual a la letra dice:</w:t>
      </w:r>
    </w:p>
    <w:p w14:paraId="4C509B47"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4B61CD02" w14:textId="77777777" w:rsidR="00C3402C" w:rsidRPr="006065EA" w:rsidRDefault="00BD4A67">
      <w:pPr>
        <w:spacing w:after="0" w:line="276" w:lineRule="auto"/>
        <w:ind w:left="567" w:right="758"/>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r w:rsidRPr="006065EA">
        <w:rPr>
          <w:rFonts w:ascii="Palatino Linotype" w:eastAsia="Palatino Linotype" w:hAnsi="Palatino Linotype" w:cs="Palatino Linotype"/>
          <w:b/>
          <w:i/>
        </w:rPr>
        <w:t>Artículo 12</w:t>
      </w:r>
      <w:r w:rsidRPr="006065E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20293E2" w14:textId="77777777" w:rsidR="00C3402C" w:rsidRPr="006065EA" w:rsidRDefault="00BD4A67">
      <w:pPr>
        <w:spacing w:after="0" w:line="276" w:lineRule="auto"/>
        <w:ind w:left="567" w:right="758"/>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65EA">
        <w:rPr>
          <w:rFonts w:ascii="Palatino Linotype" w:eastAsia="Palatino Linotype" w:hAnsi="Palatino Linotype" w:cs="Palatino Linotype"/>
          <w:i/>
        </w:rPr>
        <w:lastRenderedPageBreak/>
        <w:t>presentarla conforme al interés del solicitante; no estarán obligados a generarla, resumirla, efectuar cálculos o practicar investigaciones.” (Sic)</w:t>
      </w:r>
    </w:p>
    <w:p w14:paraId="37EFE386" w14:textId="77777777" w:rsidR="00C3402C" w:rsidRPr="006065EA" w:rsidRDefault="00C3402C">
      <w:pPr>
        <w:spacing w:after="0" w:line="360" w:lineRule="auto"/>
        <w:jc w:val="both"/>
        <w:rPr>
          <w:rFonts w:ascii="Palatino Linotype" w:eastAsia="Palatino Linotype" w:hAnsi="Palatino Linotype" w:cs="Palatino Linotype"/>
        </w:rPr>
      </w:pPr>
    </w:p>
    <w:p w14:paraId="08F85BC9"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color w:val="000000"/>
          <w:sz w:val="24"/>
          <w:szCs w:val="24"/>
        </w:rPr>
        <w:t>Es decir, que el derecho de acceso a la información pública se satisface en aquellos casos en que se entregue documento en que conste la información requerida, toda vez que, los Sujetos Obligados</w:t>
      </w:r>
      <w:r w:rsidRPr="006065EA">
        <w:rPr>
          <w:rFonts w:ascii="Palatino Linotype" w:eastAsia="Palatino Linotype" w:hAnsi="Palatino Linotype" w:cs="Palatino Linotype"/>
          <w:b/>
          <w:color w:val="000000"/>
          <w:sz w:val="24"/>
          <w:szCs w:val="24"/>
        </w:rPr>
        <w:t xml:space="preserve"> </w:t>
      </w:r>
      <w:r w:rsidRPr="006065EA">
        <w:rPr>
          <w:rFonts w:ascii="Palatino Linotype" w:eastAsia="Palatino Linotype" w:hAnsi="Palatino Linotype" w:cs="Palatino Linotype"/>
          <w:color w:val="000000"/>
          <w:sz w:val="24"/>
          <w:szCs w:val="24"/>
        </w:rPr>
        <w:t xml:space="preserve">no tienen el deber de generar, poseer o administrar la información pública con el grado de detalle solicitado; esto es, que no tienen el deber de generar un documento </w:t>
      </w:r>
      <w:r w:rsidRPr="006065EA">
        <w:rPr>
          <w:rFonts w:ascii="Palatino Linotype" w:eastAsia="Palatino Linotype" w:hAnsi="Palatino Linotype" w:cs="Palatino Linotype"/>
          <w:i/>
          <w:color w:val="000000"/>
          <w:sz w:val="24"/>
          <w:szCs w:val="24"/>
        </w:rPr>
        <w:t>ad hoc</w:t>
      </w:r>
      <w:r w:rsidRPr="006065EA">
        <w:rPr>
          <w:rFonts w:ascii="Palatino Linotype" w:eastAsia="Palatino Linotype" w:hAnsi="Palatino Linotype" w:cs="Palatino Linotype"/>
          <w:color w:val="000000"/>
          <w:sz w:val="24"/>
          <w:szCs w:val="24"/>
        </w:rPr>
        <w:t xml:space="preserve">, para satisfacer el derecho de acceso a la información pública, </w:t>
      </w:r>
      <w:r w:rsidRPr="006065EA">
        <w:rPr>
          <w:rFonts w:ascii="Palatino Linotype" w:eastAsia="Palatino Linotype" w:hAnsi="Palatino Linotype" w:cs="Palatino Linotype"/>
          <w:sz w:val="24"/>
          <w:szCs w:val="24"/>
        </w:rPr>
        <w:t>como así lo establece los criterios 09/10 y 03/17 emitidos por el Instituto Nacional de Transparencia, Acceso a la Información Pública y Protección de Datos Personales, los cuales señalan lo siguiente:</w:t>
      </w:r>
    </w:p>
    <w:p w14:paraId="3AE5D8CE"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EBB25D0" w14:textId="77777777" w:rsidR="00C3402C" w:rsidRPr="006065EA" w:rsidRDefault="00BD4A67">
      <w:pPr>
        <w:spacing w:after="240"/>
        <w:ind w:left="1134" w:right="902"/>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t>09/10</w:t>
      </w:r>
    </w:p>
    <w:p w14:paraId="0CA66146" w14:textId="77777777" w:rsidR="00C3402C" w:rsidRPr="006065EA" w:rsidRDefault="00BD4A67">
      <w:pPr>
        <w:spacing w:before="120" w:after="240"/>
        <w:ind w:left="1134" w:right="902"/>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t>"LAS DEPENDENCIAS Y ENTIDADES NO ESTÁN OBLIGADAS A GENERAR DOCUMENTOS AD HOC PARA RESPONDER UNA SOLICITUD DE ACC ESO A LA INFORMACIÓN.</w:t>
      </w:r>
    </w:p>
    <w:p w14:paraId="65EE838F" w14:textId="77777777" w:rsidR="00C3402C" w:rsidRPr="006065EA" w:rsidRDefault="00BD4A67">
      <w:pPr>
        <w:spacing w:before="120" w:after="24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A39E995" w14:textId="77777777" w:rsidR="00C3402C" w:rsidRPr="006065EA" w:rsidRDefault="00BD4A67">
      <w:pPr>
        <w:spacing w:before="120" w:after="240"/>
        <w:ind w:left="1134" w:right="902"/>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t>03/17</w:t>
      </w:r>
    </w:p>
    <w:p w14:paraId="6AC2AA6E" w14:textId="77777777" w:rsidR="00C3402C" w:rsidRPr="006065EA" w:rsidRDefault="00BD4A67">
      <w:pPr>
        <w:spacing w:before="120" w:after="240"/>
        <w:ind w:left="1134" w:right="902"/>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lastRenderedPageBreak/>
        <w:t>“NO EXISTE OBLIGACIÓN DE ELABORAR DOCUM ENTOS AD HOC PARA ATENDER LAS SOLICITUDES DE ACCESO A LA INFORM ACIÓN.</w:t>
      </w:r>
    </w:p>
    <w:p w14:paraId="49112BBB" w14:textId="77777777" w:rsidR="00C3402C" w:rsidRPr="006065EA" w:rsidRDefault="00BD4A67">
      <w:pPr>
        <w:spacing w:before="120" w:after="0" w:line="276" w:lineRule="auto"/>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2C782BF" w14:textId="77777777" w:rsidR="00C3402C" w:rsidRPr="006065EA" w:rsidRDefault="00C3402C">
      <w:pPr>
        <w:spacing w:after="0" w:line="360" w:lineRule="auto"/>
        <w:ind w:left="1134" w:right="902"/>
        <w:jc w:val="both"/>
        <w:rPr>
          <w:rFonts w:ascii="Palatino Linotype" w:eastAsia="Palatino Linotype" w:hAnsi="Palatino Linotype" w:cs="Palatino Linotype"/>
          <w:i/>
        </w:rPr>
      </w:pPr>
    </w:p>
    <w:p w14:paraId="2AEF9CC0"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sz w:val="24"/>
          <w:szCs w:val="24"/>
        </w:rPr>
        <w:t xml:space="preserve">Por otra parte, y aunado a lo antepuesto, el último párrafo del artículo 24 de la Ley de la materia, dispone que los Sujetos Obligados </w:t>
      </w:r>
      <w:r w:rsidRPr="006065EA">
        <w:rPr>
          <w:rFonts w:ascii="Palatino Linotype" w:eastAsia="Palatino Linotype" w:hAnsi="Palatino Linotype" w:cs="Palatino Linotype"/>
          <w:color w:val="000000"/>
          <w:sz w:val="24"/>
          <w:szCs w:val="24"/>
        </w:rPr>
        <w:t xml:space="preserve">sólo proporcionarán la información pública que </w:t>
      </w:r>
      <w:r w:rsidRPr="006065EA">
        <w:rPr>
          <w:rFonts w:ascii="Palatino Linotype" w:eastAsia="Palatino Linotype" w:hAnsi="Palatino Linotype" w:cs="Palatino Linotype"/>
          <w:sz w:val="24"/>
          <w:szCs w:val="24"/>
        </w:rPr>
        <w:t>generen</w:t>
      </w:r>
      <w:r w:rsidRPr="006065EA">
        <w:rPr>
          <w:rFonts w:ascii="Palatino Linotype" w:eastAsia="Palatino Linotype" w:hAnsi="Palatino Linotype" w:cs="Palatino Linotype"/>
          <w:color w:val="000000"/>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55D308A"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231C0037" w14:textId="77777777" w:rsidR="00C3402C" w:rsidRPr="006065EA" w:rsidRDefault="00BD4A67">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6065EA">
        <w:rPr>
          <w:rFonts w:ascii="Palatino Linotype" w:eastAsia="Palatino Linotype" w:hAnsi="Palatino Linotype" w:cs="Palatino Linotype"/>
          <w:sz w:val="24"/>
          <w:szCs w:val="24"/>
        </w:rPr>
        <w:lastRenderedPageBreak/>
        <w:t>Ley de Transparencia y Acceso a la Información Pública del Estado de México y Municipios.</w:t>
      </w:r>
    </w:p>
    <w:p w14:paraId="04410EE8" w14:textId="77777777" w:rsidR="00C3402C" w:rsidRPr="006065EA" w:rsidRDefault="00C3402C">
      <w:pPr>
        <w:spacing w:after="0" w:line="360" w:lineRule="auto"/>
        <w:ind w:right="49"/>
        <w:jc w:val="both"/>
        <w:rPr>
          <w:rFonts w:ascii="Palatino Linotype" w:eastAsia="Palatino Linotype" w:hAnsi="Palatino Linotype" w:cs="Palatino Linotype"/>
          <w:sz w:val="24"/>
          <w:szCs w:val="24"/>
        </w:rPr>
      </w:pPr>
    </w:p>
    <w:p w14:paraId="4EE5945A"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87911C4" w14:textId="77777777" w:rsidR="00C3402C" w:rsidRPr="006065EA" w:rsidRDefault="00C3402C">
      <w:pPr>
        <w:ind w:left="1134" w:right="899"/>
        <w:jc w:val="both"/>
        <w:rPr>
          <w:rFonts w:ascii="Palatino Linotype" w:eastAsia="Palatino Linotype" w:hAnsi="Palatino Linotype" w:cs="Palatino Linotype"/>
          <w:i/>
        </w:rPr>
      </w:pPr>
    </w:p>
    <w:p w14:paraId="37AB7A93" w14:textId="77777777" w:rsidR="00C3402C" w:rsidRPr="006065EA" w:rsidRDefault="00BD4A67">
      <w:pPr>
        <w:spacing w:line="276" w:lineRule="auto"/>
        <w:ind w:left="1134" w:right="899"/>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r w:rsidRPr="006065EA">
        <w:rPr>
          <w:rFonts w:ascii="Palatino Linotype" w:eastAsia="Palatino Linotype" w:hAnsi="Palatino Linotype" w:cs="Palatino Linotype"/>
          <w:b/>
          <w:i/>
        </w:rPr>
        <w:t xml:space="preserve">Artículo 3. </w:t>
      </w:r>
      <w:r w:rsidRPr="006065EA">
        <w:rPr>
          <w:rFonts w:ascii="Palatino Linotype" w:eastAsia="Palatino Linotype" w:hAnsi="Palatino Linotype" w:cs="Palatino Linotype"/>
          <w:i/>
        </w:rPr>
        <w:t>Para los efectos de la presente Ley se entenderá por:</w:t>
      </w:r>
    </w:p>
    <w:p w14:paraId="488A223C" w14:textId="77777777" w:rsidR="00C3402C" w:rsidRPr="006065EA" w:rsidRDefault="00BD4A67">
      <w:pPr>
        <w:spacing w:line="276" w:lineRule="auto"/>
        <w:ind w:left="1134" w:right="899"/>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p>
    <w:p w14:paraId="7650208D" w14:textId="77777777" w:rsidR="00C3402C" w:rsidRPr="006065EA" w:rsidRDefault="00BD4A67">
      <w:pPr>
        <w:spacing w:after="0" w:line="276" w:lineRule="auto"/>
        <w:ind w:left="1134" w:right="899"/>
        <w:jc w:val="both"/>
        <w:rPr>
          <w:rFonts w:ascii="Palatino Linotype" w:eastAsia="Palatino Linotype" w:hAnsi="Palatino Linotype" w:cs="Palatino Linotype"/>
          <w:i/>
          <w:color w:val="000000"/>
        </w:rPr>
      </w:pPr>
      <w:r w:rsidRPr="006065EA">
        <w:rPr>
          <w:rFonts w:ascii="Palatino Linotype" w:eastAsia="Palatino Linotype" w:hAnsi="Palatino Linotype" w:cs="Palatino Linotype"/>
          <w:b/>
          <w:i/>
          <w:color w:val="000000"/>
        </w:rPr>
        <w:t>XI. Documento:</w:t>
      </w:r>
      <w:r w:rsidRPr="006065EA">
        <w:rPr>
          <w:rFonts w:ascii="Palatino Linotype" w:eastAsia="Palatino Linotype" w:hAnsi="Palatino Linotype" w:cs="Palatino Linotype"/>
          <w:i/>
          <w:color w:val="000000"/>
        </w:rPr>
        <w:t xml:space="preserve"> Los expedientes, reportes, estudios, </w:t>
      </w:r>
      <w:r w:rsidRPr="006065EA">
        <w:rPr>
          <w:rFonts w:ascii="Palatino Linotype" w:eastAsia="Palatino Linotype" w:hAnsi="Palatino Linotype" w:cs="Palatino Linotype"/>
          <w:b/>
          <w:i/>
          <w:color w:val="000000"/>
        </w:rPr>
        <w:t>actas,</w:t>
      </w:r>
      <w:r w:rsidRPr="006065EA">
        <w:rPr>
          <w:rFonts w:ascii="Palatino Linotype" w:eastAsia="Palatino Linotype" w:hAnsi="Palatino Linotype" w:cs="Palatino Linotype"/>
          <w:i/>
          <w:color w:val="00000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6065EA">
        <w:rPr>
          <w:rFonts w:ascii="Palatino Linotype" w:eastAsia="Palatino Linotype" w:hAnsi="Palatino Linotype" w:cs="Palatino Linotype"/>
          <w:b/>
          <w:i/>
          <w:color w:val="000000"/>
        </w:rPr>
        <w:t>…</w:t>
      </w:r>
      <w:r w:rsidRPr="006065EA">
        <w:rPr>
          <w:rFonts w:ascii="Palatino Linotype" w:eastAsia="Palatino Linotype" w:hAnsi="Palatino Linotype" w:cs="Palatino Linotype"/>
          <w:i/>
          <w:color w:val="000000"/>
        </w:rPr>
        <w:t>”(</w:t>
      </w:r>
      <w:proofErr w:type="gramEnd"/>
      <w:r w:rsidRPr="006065EA">
        <w:rPr>
          <w:rFonts w:ascii="Palatino Linotype" w:eastAsia="Palatino Linotype" w:hAnsi="Palatino Linotype" w:cs="Palatino Linotype"/>
          <w:i/>
          <w:color w:val="000000"/>
        </w:rPr>
        <w:t>Sic)</w:t>
      </w:r>
    </w:p>
    <w:p w14:paraId="7AFDA95F" w14:textId="77777777" w:rsidR="00C3402C" w:rsidRPr="006065EA" w:rsidRDefault="00C3402C">
      <w:pPr>
        <w:spacing w:after="0" w:line="360" w:lineRule="auto"/>
        <w:ind w:left="851" w:right="899"/>
        <w:jc w:val="both"/>
        <w:rPr>
          <w:rFonts w:ascii="Palatino Linotype" w:eastAsia="Palatino Linotype" w:hAnsi="Palatino Linotype" w:cs="Palatino Linotype"/>
          <w:color w:val="000000"/>
          <w:sz w:val="24"/>
          <w:szCs w:val="24"/>
        </w:rPr>
      </w:pPr>
    </w:p>
    <w:p w14:paraId="70578DEE"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sidRPr="006065EA">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69ECDD5E"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EF54D5E" w14:textId="77777777" w:rsidR="00C3402C" w:rsidRPr="006065EA" w:rsidRDefault="00BD4A67">
      <w:pPr>
        <w:spacing w:after="0" w:line="276" w:lineRule="auto"/>
        <w:ind w:left="1134" w:right="899"/>
        <w:jc w:val="both"/>
        <w:rPr>
          <w:rFonts w:ascii="Palatino Linotype" w:eastAsia="Palatino Linotype" w:hAnsi="Palatino Linotype" w:cs="Palatino Linotype"/>
          <w:b/>
          <w:i/>
        </w:rPr>
      </w:pPr>
      <w:r w:rsidRPr="006065EA">
        <w:rPr>
          <w:rFonts w:ascii="Palatino Linotype" w:eastAsia="Palatino Linotype" w:hAnsi="Palatino Linotype" w:cs="Palatino Linotype"/>
          <w:b/>
        </w:rPr>
        <w:t>“</w:t>
      </w:r>
      <w:r w:rsidRPr="006065EA">
        <w:rPr>
          <w:rFonts w:ascii="Palatino Linotype" w:eastAsia="Palatino Linotype" w:hAnsi="Palatino Linotype" w:cs="Palatino Linotype"/>
          <w:b/>
          <w:i/>
        </w:rPr>
        <w:t>CRITERIO 0002-11</w:t>
      </w:r>
    </w:p>
    <w:p w14:paraId="63A5F067" w14:textId="77777777" w:rsidR="00C3402C" w:rsidRPr="006065EA" w:rsidRDefault="00BD4A67">
      <w:pPr>
        <w:spacing w:line="276" w:lineRule="auto"/>
        <w:ind w:left="1134" w:right="899"/>
        <w:jc w:val="both"/>
        <w:rPr>
          <w:rFonts w:ascii="Palatino Linotype" w:eastAsia="Palatino Linotype" w:hAnsi="Palatino Linotype" w:cs="Palatino Linotype"/>
          <w:i/>
        </w:rPr>
      </w:pPr>
      <w:r w:rsidRPr="006065E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065E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0496C7" w14:textId="77777777" w:rsidR="00C3402C" w:rsidRPr="006065EA" w:rsidRDefault="00BD4A67">
      <w:pPr>
        <w:spacing w:line="276" w:lineRule="auto"/>
        <w:ind w:left="1134" w:right="899"/>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En </w:t>
      </w:r>
      <w:proofErr w:type="gramStart"/>
      <w:r w:rsidRPr="006065EA">
        <w:rPr>
          <w:rFonts w:ascii="Palatino Linotype" w:eastAsia="Palatino Linotype" w:hAnsi="Palatino Linotype" w:cs="Palatino Linotype"/>
          <w:i/>
        </w:rPr>
        <w:t>consecuencia</w:t>
      </w:r>
      <w:proofErr w:type="gramEnd"/>
      <w:r w:rsidRPr="006065EA">
        <w:rPr>
          <w:rFonts w:ascii="Palatino Linotype" w:eastAsia="Palatino Linotype" w:hAnsi="Palatino Linotype" w:cs="Palatino Linotype"/>
          <w:i/>
        </w:rPr>
        <w:t xml:space="preserve"> el acceso a la información se refiere a que se cumplan cualquiera de los siguientes tres supuestos:</w:t>
      </w:r>
    </w:p>
    <w:p w14:paraId="7B1937B1" w14:textId="77777777" w:rsidR="00C3402C" w:rsidRPr="006065EA" w:rsidRDefault="00BD4A67">
      <w:pPr>
        <w:ind w:left="1134" w:right="899"/>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t xml:space="preserve">1) Que se trate de información registrada en cualquier soporte documental, </w:t>
      </w:r>
      <w:proofErr w:type="gramStart"/>
      <w:r w:rsidRPr="006065EA">
        <w:rPr>
          <w:rFonts w:ascii="Palatino Linotype" w:eastAsia="Palatino Linotype" w:hAnsi="Palatino Linotype" w:cs="Palatino Linotype"/>
          <w:b/>
          <w:i/>
        </w:rPr>
        <w:t>que</w:t>
      </w:r>
      <w:proofErr w:type="gramEnd"/>
      <w:r w:rsidRPr="006065EA">
        <w:rPr>
          <w:rFonts w:ascii="Palatino Linotype" w:eastAsia="Palatino Linotype" w:hAnsi="Palatino Linotype" w:cs="Palatino Linotype"/>
          <w:b/>
          <w:i/>
        </w:rPr>
        <w:t xml:space="preserve"> en ejercicio de las atribuciones conferidas, sea generada por los Sujetos Obligados;</w:t>
      </w:r>
    </w:p>
    <w:p w14:paraId="117A749E" w14:textId="77777777" w:rsidR="00C3402C" w:rsidRPr="006065EA" w:rsidRDefault="00BD4A67">
      <w:pPr>
        <w:ind w:left="1134" w:right="899"/>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2) Que se trate de información registrada en cualquier soporte documental, </w:t>
      </w:r>
      <w:proofErr w:type="gramStart"/>
      <w:r w:rsidRPr="006065EA">
        <w:rPr>
          <w:rFonts w:ascii="Palatino Linotype" w:eastAsia="Palatino Linotype" w:hAnsi="Palatino Linotype" w:cs="Palatino Linotype"/>
          <w:i/>
        </w:rPr>
        <w:t>que</w:t>
      </w:r>
      <w:proofErr w:type="gramEnd"/>
      <w:r w:rsidRPr="006065EA">
        <w:rPr>
          <w:rFonts w:ascii="Palatino Linotype" w:eastAsia="Palatino Linotype" w:hAnsi="Palatino Linotype" w:cs="Palatino Linotype"/>
          <w:i/>
        </w:rPr>
        <w:t xml:space="preserve"> en ejercicio de las atribuciones conferidas, sea administrada por los Sujetos Obligados, y</w:t>
      </w:r>
    </w:p>
    <w:p w14:paraId="21D899DB" w14:textId="77777777" w:rsidR="00C3402C" w:rsidRPr="006065EA" w:rsidRDefault="00BD4A67">
      <w:pPr>
        <w:ind w:left="1134" w:right="899"/>
        <w:jc w:val="both"/>
        <w:rPr>
          <w:rFonts w:ascii="Palatino Linotype" w:eastAsia="Palatino Linotype" w:hAnsi="Palatino Linotype" w:cs="Palatino Linotype"/>
          <w:i/>
        </w:rPr>
      </w:pPr>
      <w:r w:rsidRPr="006065EA">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roofErr w:type="gramStart"/>
      <w:r w:rsidRPr="006065EA">
        <w:rPr>
          <w:rFonts w:ascii="Palatino Linotype" w:eastAsia="Palatino Linotype" w:hAnsi="Palatino Linotype" w:cs="Palatino Linotype"/>
          <w:i/>
        </w:rPr>
        <w:t>.”(</w:t>
      </w:r>
      <w:proofErr w:type="gramEnd"/>
      <w:r w:rsidRPr="006065EA">
        <w:rPr>
          <w:rFonts w:ascii="Palatino Linotype" w:eastAsia="Palatino Linotype" w:hAnsi="Palatino Linotype" w:cs="Palatino Linotype"/>
          <w:i/>
        </w:rPr>
        <w:t>Sic)</w:t>
      </w:r>
    </w:p>
    <w:p w14:paraId="0D9332D7" w14:textId="77777777" w:rsidR="00C3402C" w:rsidRPr="006065EA" w:rsidRDefault="00C3402C">
      <w:pPr>
        <w:ind w:left="1134" w:right="1041"/>
        <w:jc w:val="both"/>
        <w:rPr>
          <w:rFonts w:ascii="Palatino Linotype" w:eastAsia="Palatino Linotype" w:hAnsi="Palatino Linotype" w:cs="Palatino Linotype"/>
        </w:rPr>
      </w:pPr>
    </w:p>
    <w:p w14:paraId="63121222" w14:textId="77777777" w:rsidR="00C3402C" w:rsidRPr="006065EA" w:rsidRDefault="00BD4A67">
      <w:pPr>
        <w:spacing w:before="160"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De ahí que 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w:t>
      </w:r>
      <w:r w:rsidRPr="006065EA">
        <w:rPr>
          <w:rFonts w:ascii="Palatino Linotype" w:eastAsia="Palatino Linotype" w:hAnsi="Palatino Linotype" w:cs="Palatino Linotype"/>
          <w:sz w:val="24"/>
          <w:szCs w:val="24"/>
        </w:rPr>
        <w:lastRenderedPageBreak/>
        <w:t>que obre en sus archivos; más aún si la misma se trata de información pública de oficio la cual se relaciona con aquella que se genere de acuerdo con sus facultades, atribuciones señaladas por la Ley en la materia</w:t>
      </w:r>
      <w:r w:rsidRPr="006065EA">
        <w:rPr>
          <w:rFonts w:ascii="Palatino Linotype" w:eastAsia="Palatino Linotype" w:hAnsi="Palatino Linotype" w:cs="Palatino Linotype"/>
          <w:sz w:val="24"/>
          <w:szCs w:val="24"/>
          <w:vertAlign w:val="superscript"/>
        </w:rPr>
        <w:footnoteReference w:id="1"/>
      </w:r>
      <w:r w:rsidRPr="006065EA">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065EA">
        <w:rPr>
          <w:rFonts w:ascii="Palatino Linotype" w:eastAsia="Palatino Linotype" w:hAnsi="Palatino Linotype" w:cs="Palatino Linotype"/>
          <w:sz w:val="24"/>
          <w:szCs w:val="24"/>
          <w:vertAlign w:val="superscript"/>
        </w:rPr>
        <w:footnoteReference w:id="2"/>
      </w:r>
      <w:r w:rsidRPr="006065EA">
        <w:rPr>
          <w:rFonts w:ascii="Palatino Linotype" w:eastAsia="Palatino Linotype" w:hAnsi="Palatino Linotype" w:cs="Palatino Linotype"/>
          <w:sz w:val="24"/>
          <w:szCs w:val="24"/>
        </w:rPr>
        <w:t>.</w:t>
      </w:r>
    </w:p>
    <w:p w14:paraId="474E8CC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2B7A78E5"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De igual forma resulta oportuno señalar que el informe justificado brindado por </w:t>
      </w:r>
      <w:r w:rsidRPr="006065EA">
        <w:rPr>
          <w:rFonts w:ascii="Palatino Linotype" w:eastAsia="Palatino Linotype" w:hAnsi="Palatino Linotype" w:cs="Palatino Linotype"/>
          <w:b/>
          <w:sz w:val="24"/>
          <w:szCs w:val="24"/>
        </w:rPr>
        <w:t>EL SUJETO OLIGADO</w:t>
      </w:r>
      <w:r w:rsidRPr="006065EA">
        <w:rPr>
          <w:rFonts w:ascii="Palatino Linotype" w:eastAsia="Palatino Linotype" w:hAnsi="Palatino Linotype" w:cs="Palatino Linotype"/>
          <w:sz w:val="24"/>
          <w:szCs w:val="24"/>
        </w:rPr>
        <w:t>, fue rendido por la Dirección de Infraestructura y Obras Públicas, que de acuerdo a la siguiente reglamentación cuenta con las siguientes atribuciones:</w:t>
      </w:r>
    </w:p>
    <w:p w14:paraId="147CA630" w14:textId="77777777" w:rsidR="00C3402C" w:rsidRPr="006065EA" w:rsidRDefault="00C3402C">
      <w:pPr>
        <w:spacing w:after="0" w:line="360" w:lineRule="auto"/>
        <w:ind w:left="851" w:right="900"/>
        <w:jc w:val="both"/>
        <w:rPr>
          <w:rFonts w:ascii="Palatino Linotype" w:eastAsia="Palatino Linotype" w:hAnsi="Palatino Linotype" w:cs="Palatino Linotype"/>
          <w:i/>
        </w:rPr>
      </w:pPr>
    </w:p>
    <w:p w14:paraId="0D002D5F" w14:textId="77777777" w:rsidR="00C3402C" w:rsidRPr="006065EA" w:rsidRDefault="00BD4A67">
      <w:pPr>
        <w:spacing w:after="0" w:line="276" w:lineRule="auto"/>
        <w:ind w:left="851" w:right="900"/>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t xml:space="preserve">REGLAMENTO DE LA DIRECCIÓN DE INFRAESTRUCTURA Y OBRAS PÚBLICAS DE IXTAPALUCA </w:t>
      </w:r>
    </w:p>
    <w:p w14:paraId="5AD95640" w14:textId="77777777" w:rsidR="00C3402C" w:rsidRPr="006065EA" w:rsidRDefault="00C3402C">
      <w:pPr>
        <w:spacing w:after="0" w:line="276" w:lineRule="auto"/>
        <w:ind w:left="851" w:right="900"/>
        <w:jc w:val="both"/>
        <w:rPr>
          <w:rFonts w:ascii="Palatino Linotype" w:eastAsia="Palatino Linotype" w:hAnsi="Palatino Linotype" w:cs="Palatino Linotype"/>
          <w:b/>
          <w:i/>
        </w:rPr>
      </w:pPr>
    </w:p>
    <w:p w14:paraId="5ECEACB1" w14:textId="77777777" w:rsidR="00C3402C" w:rsidRPr="006065EA" w:rsidRDefault="00BD4A67">
      <w:pPr>
        <w:spacing w:after="0"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Artículo 5. Corresponde a la Dirección de Infraestructura y Obras Públicas, la atención y seguimiento de los asuntos siguientes:</w:t>
      </w:r>
    </w:p>
    <w:p w14:paraId="39C3DB2B" w14:textId="77777777" w:rsidR="00C3402C" w:rsidRPr="006065EA" w:rsidRDefault="00C3402C">
      <w:pPr>
        <w:spacing w:after="0" w:line="276" w:lineRule="auto"/>
        <w:ind w:left="851" w:right="900"/>
        <w:jc w:val="both"/>
        <w:rPr>
          <w:rFonts w:ascii="Palatino Linotype" w:eastAsia="Palatino Linotype" w:hAnsi="Palatino Linotype" w:cs="Palatino Linotype"/>
          <w:i/>
        </w:rPr>
      </w:pPr>
    </w:p>
    <w:p w14:paraId="29BBC46F" w14:textId="77777777" w:rsidR="00C3402C" w:rsidRPr="006065EA" w:rsidRDefault="00BD4A67">
      <w:pPr>
        <w:spacing w:after="0" w:line="360"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I. Diseñar e implementar las políticas de planeación en función de las demandas y necesidades sociales, así como el plan de desarrollo de la entidad, en materia de las obras públicas, y de conformidad con la disponibilidad de recursos financieros;</w:t>
      </w:r>
    </w:p>
    <w:p w14:paraId="236B9890" w14:textId="77777777" w:rsidR="00C3402C" w:rsidRPr="006065EA" w:rsidRDefault="00BD4A67">
      <w:pPr>
        <w:spacing w:after="0" w:line="360"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lastRenderedPageBreak/>
        <w:t>(…)</w:t>
      </w:r>
    </w:p>
    <w:p w14:paraId="71C895AA" w14:textId="77777777" w:rsidR="00C3402C" w:rsidRPr="006065EA" w:rsidRDefault="00BD4A67">
      <w:pPr>
        <w:spacing w:after="0" w:line="360"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VI. Jerarquizar las obras públicas en función de las necesidades del Municipio,</w:t>
      </w:r>
    </w:p>
    <w:p w14:paraId="3722944B" w14:textId="77777777" w:rsidR="00C3402C" w:rsidRPr="006065EA" w:rsidRDefault="00BD4A67">
      <w:pPr>
        <w:spacing w:after="0" w:line="360"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considerando la factibilidad económica, social y ambiental que representen;</w:t>
      </w:r>
    </w:p>
    <w:p w14:paraId="449FCCB3" w14:textId="77777777" w:rsidR="00C3402C" w:rsidRPr="006065EA" w:rsidRDefault="00C3402C">
      <w:pPr>
        <w:spacing w:after="0" w:line="360" w:lineRule="auto"/>
        <w:ind w:right="900"/>
        <w:jc w:val="both"/>
        <w:rPr>
          <w:rFonts w:ascii="Palatino Linotype" w:eastAsia="Palatino Linotype" w:hAnsi="Palatino Linotype" w:cs="Palatino Linotype"/>
          <w:i/>
        </w:rPr>
      </w:pPr>
    </w:p>
    <w:p w14:paraId="417CC57F" w14:textId="77777777" w:rsidR="00C3402C" w:rsidRPr="006065EA" w:rsidRDefault="00BD4A67">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De acuerdo a lo anterior, la Dirección de Infraestructura y Obras Públicas, diseña e implementa las políticas de planeación en función de las demandas y necesidades sociales en materia de las obras públicas considerando la factibilidad económica, social y ambiental que representen.</w:t>
      </w:r>
    </w:p>
    <w:p w14:paraId="6AB16423" w14:textId="77777777" w:rsidR="00C3402C" w:rsidRPr="006065EA" w:rsidRDefault="00C3402C">
      <w:pPr>
        <w:spacing w:after="0" w:line="360" w:lineRule="auto"/>
        <w:ind w:right="49"/>
        <w:jc w:val="both"/>
        <w:rPr>
          <w:rFonts w:ascii="Palatino Linotype" w:eastAsia="Palatino Linotype" w:hAnsi="Palatino Linotype" w:cs="Palatino Linotype"/>
          <w:sz w:val="24"/>
          <w:szCs w:val="24"/>
        </w:rPr>
      </w:pPr>
    </w:p>
    <w:p w14:paraId="325B8C1A"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Una vez determinada la vía sobre la que versará el presente recurso, y previa revisión del expediente del recurso de revisión materia de la presente resolución, se advierte lo siguiente:</w:t>
      </w:r>
    </w:p>
    <w:p w14:paraId="7D1A7ECF" w14:textId="77777777" w:rsidR="00C3402C" w:rsidRPr="006065EA" w:rsidRDefault="00C3402C">
      <w:pPr>
        <w:spacing w:after="0" w:line="360" w:lineRule="auto"/>
        <w:ind w:right="49"/>
        <w:jc w:val="both"/>
        <w:rPr>
          <w:rFonts w:ascii="Palatino Linotype" w:eastAsia="Palatino Linotype" w:hAnsi="Palatino Linotype" w:cs="Palatino Linotype"/>
          <w:i/>
        </w:rPr>
      </w:pPr>
    </w:p>
    <w:tbl>
      <w:tblPr>
        <w:tblStyle w:val="a7"/>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C3402C" w:rsidRPr="006065EA" w14:paraId="4AB90D6F" w14:textId="77777777">
        <w:tc>
          <w:tcPr>
            <w:tcW w:w="2291" w:type="dxa"/>
            <w:shd w:val="clear" w:color="auto" w:fill="BFBFBF"/>
          </w:tcPr>
          <w:p w14:paraId="7C7FC255"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Información requerida.</w:t>
            </w:r>
          </w:p>
        </w:tc>
        <w:tc>
          <w:tcPr>
            <w:tcW w:w="1226" w:type="dxa"/>
            <w:shd w:val="clear" w:color="auto" w:fill="BFBFBF"/>
          </w:tcPr>
          <w:p w14:paraId="4C4F2FE3"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Respuesta</w:t>
            </w:r>
          </w:p>
        </w:tc>
        <w:tc>
          <w:tcPr>
            <w:tcW w:w="3132" w:type="dxa"/>
            <w:shd w:val="clear" w:color="auto" w:fill="BFBFBF"/>
          </w:tcPr>
          <w:p w14:paraId="14ECFECB"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Informe Justificado</w:t>
            </w:r>
          </w:p>
        </w:tc>
        <w:tc>
          <w:tcPr>
            <w:tcW w:w="2179" w:type="dxa"/>
            <w:shd w:val="clear" w:color="auto" w:fill="BFBFBF"/>
          </w:tcPr>
          <w:p w14:paraId="62F777BA"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¿Colma?</w:t>
            </w:r>
          </w:p>
        </w:tc>
      </w:tr>
      <w:tr w:rsidR="00C3402C" w:rsidRPr="006065EA" w14:paraId="7A1AC9F5" w14:textId="77777777">
        <w:tc>
          <w:tcPr>
            <w:tcW w:w="2291" w:type="dxa"/>
          </w:tcPr>
          <w:p w14:paraId="3845469F" w14:textId="77777777" w:rsidR="00C3402C" w:rsidRPr="006065EA" w:rsidRDefault="00BD4A67">
            <w:pPr>
              <w:spacing w:before="240" w:after="240"/>
              <w:jc w:val="both"/>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sz w:val="18"/>
                <w:szCs w:val="18"/>
              </w:rPr>
              <w:t>1. Informe si el puente denominado "Tlapacoya" se encuentra dentro del territorio de este municipio, en caso positivo agregar croquis de localización que puntualice la zona que se encuentran dentro del territorio municipal.</w:t>
            </w:r>
          </w:p>
        </w:tc>
        <w:tc>
          <w:tcPr>
            <w:tcW w:w="1226" w:type="dxa"/>
            <w:vAlign w:val="center"/>
          </w:tcPr>
          <w:p w14:paraId="54B31FCC" w14:textId="77777777" w:rsidR="00C3402C" w:rsidRPr="006065EA" w:rsidRDefault="00BD4A67">
            <w:pPr>
              <w:spacing w:before="240" w:after="240"/>
              <w:jc w:val="center"/>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color w:val="000000"/>
                <w:sz w:val="18"/>
                <w:szCs w:val="18"/>
              </w:rPr>
              <w:t>N/A</w:t>
            </w:r>
          </w:p>
        </w:tc>
        <w:tc>
          <w:tcPr>
            <w:tcW w:w="3132" w:type="dxa"/>
            <w:vAlign w:val="center"/>
          </w:tcPr>
          <w:p w14:paraId="76D7AD5F"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S</w:t>
            </w:r>
            <w:r w:rsidRPr="006065EA">
              <w:rPr>
                <w:rFonts w:ascii="Palatino Linotype" w:eastAsia="Palatino Linotype" w:hAnsi="Palatino Linotype" w:cs="Palatino Linotype"/>
                <w:sz w:val="20"/>
                <w:szCs w:val="20"/>
              </w:rPr>
              <w:t>ó</w:t>
            </w:r>
            <w:r w:rsidRPr="006065EA">
              <w:rPr>
                <w:rFonts w:ascii="Palatino Linotype" w:eastAsia="Palatino Linotype" w:hAnsi="Palatino Linotype" w:cs="Palatino Linotype"/>
                <w:color w:val="000000"/>
                <w:sz w:val="20"/>
                <w:szCs w:val="20"/>
              </w:rPr>
              <w:t xml:space="preserve">lo la rampa de acceso de un costado del cerro del elefante corresponde al Municipio de Ixtapaluca. </w:t>
            </w:r>
          </w:p>
        </w:tc>
        <w:tc>
          <w:tcPr>
            <w:tcW w:w="2179" w:type="dxa"/>
          </w:tcPr>
          <w:p w14:paraId="4B2314AA"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Parcialmente, ya que no hace entrega del croquis. </w:t>
            </w:r>
          </w:p>
          <w:p w14:paraId="1BDCA10A"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 </w:t>
            </w:r>
          </w:p>
        </w:tc>
      </w:tr>
    </w:tbl>
    <w:p w14:paraId="70C2A739" w14:textId="77777777" w:rsidR="00C3402C" w:rsidRPr="006065EA" w:rsidRDefault="00C3402C">
      <w:pPr>
        <w:spacing w:after="0" w:line="240" w:lineRule="auto"/>
        <w:jc w:val="both"/>
        <w:rPr>
          <w:rFonts w:ascii="Palatino Linotype" w:eastAsia="Palatino Linotype" w:hAnsi="Palatino Linotype" w:cs="Palatino Linotype"/>
          <w:sz w:val="24"/>
          <w:szCs w:val="24"/>
        </w:rPr>
      </w:pPr>
    </w:p>
    <w:p w14:paraId="76963335"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lastRenderedPageBreak/>
        <w:t xml:space="preserve">En primera instancia resulta oportuno señalar el significado de croquis, </w:t>
      </w:r>
      <w:proofErr w:type="gramStart"/>
      <w:r w:rsidRPr="006065EA">
        <w:rPr>
          <w:rFonts w:ascii="Palatino Linotype" w:eastAsia="Palatino Linotype" w:hAnsi="Palatino Linotype" w:cs="Palatino Linotype"/>
          <w:sz w:val="24"/>
          <w:szCs w:val="24"/>
        </w:rPr>
        <w:t>que</w:t>
      </w:r>
      <w:proofErr w:type="gramEnd"/>
      <w:r w:rsidRPr="006065EA">
        <w:rPr>
          <w:rFonts w:ascii="Palatino Linotype" w:eastAsia="Palatino Linotype" w:hAnsi="Palatino Linotype" w:cs="Palatino Linotype"/>
          <w:sz w:val="24"/>
          <w:szCs w:val="24"/>
        </w:rPr>
        <w:t xml:space="preserve"> de acuerdo a la Real Academia Española, misma que se puede consultar en la liga electrónica </w:t>
      </w:r>
      <w:r w:rsidRPr="006065EA">
        <w:rPr>
          <w:rFonts w:ascii="Palatino Linotype" w:eastAsia="Palatino Linotype" w:hAnsi="Palatino Linotype" w:cs="Palatino Linotype"/>
          <w:color w:val="0563C1"/>
          <w:sz w:val="24"/>
          <w:szCs w:val="24"/>
          <w:u w:val="single"/>
        </w:rPr>
        <w:t>https://dle.rae.es/croquis</w:t>
      </w:r>
      <w:r w:rsidRPr="006065EA">
        <w:rPr>
          <w:rFonts w:ascii="Palatino Linotype" w:eastAsia="Palatino Linotype" w:hAnsi="Palatino Linotype" w:cs="Palatino Linotype"/>
          <w:sz w:val="24"/>
          <w:szCs w:val="24"/>
        </w:rPr>
        <w:t xml:space="preserve"> es:</w:t>
      </w:r>
    </w:p>
    <w:p w14:paraId="7B37820B"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B84E1B3"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w:t>
      </w:r>
      <w:r w:rsidRPr="006065EA">
        <w:rPr>
          <w:rFonts w:ascii="Palatino Linotype" w:eastAsia="Palatino Linotype" w:hAnsi="Palatino Linotype" w:cs="Palatino Linotype"/>
          <w:b/>
          <w:i/>
          <w:sz w:val="24"/>
          <w:szCs w:val="24"/>
          <w:u w:val="single"/>
        </w:rPr>
        <w:t>Diseño ligero de un terreno, paisaje o posición militar, que se hace a ojo y sin valerse de instrumentos geométricos</w:t>
      </w:r>
      <w:r w:rsidRPr="006065EA">
        <w:rPr>
          <w:rFonts w:ascii="Palatino Linotype" w:eastAsia="Palatino Linotype" w:hAnsi="Palatino Linotype" w:cs="Palatino Linotype"/>
          <w:sz w:val="24"/>
          <w:szCs w:val="24"/>
        </w:rPr>
        <w:t>”.</w:t>
      </w:r>
    </w:p>
    <w:p w14:paraId="53D353B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D3E6199" w14:textId="77777777" w:rsidR="00C3402C" w:rsidRPr="006065EA" w:rsidRDefault="00BD4A67">
      <w:pPr>
        <w:spacing w:after="0" w:line="276" w:lineRule="auto"/>
        <w:ind w:left="851" w:right="900"/>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t>REGLAMENTO DE LA DIRECCIÓN DE DESARROLLO TERRITORIAL Y URBANO DEL MUNICIPIO DE IXTAPALUCA.</w:t>
      </w:r>
    </w:p>
    <w:p w14:paraId="0D33228C" w14:textId="77777777" w:rsidR="00C3402C" w:rsidRPr="006065EA" w:rsidRDefault="00C3402C">
      <w:pPr>
        <w:spacing w:after="0" w:line="276" w:lineRule="auto"/>
        <w:ind w:left="851" w:right="900"/>
        <w:jc w:val="both"/>
        <w:rPr>
          <w:rFonts w:ascii="Palatino Linotype" w:eastAsia="Palatino Linotype" w:hAnsi="Palatino Linotype" w:cs="Palatino Linotype"/>
          <w:i/>
        </w:rPr>
      </w:pPr>
    </w:p>
    <w:p w14:paraId="7DC100FD" w14:textId="77777777" w:rsidR="00C3402C" w:rsidRPr="006065EA" w:rsidRDefault="00BD4A67">
      <w:pPr>
        <w:spacing w:after="0"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Artículo 5.- El estudio, planeación, trámite y resolución de los asuntos competencia de la Dirección, así como su representación, corresponden al </w:t>
      </w:r>
      <w:proofErr w:type="gramStart"/>
      <w:r w:rsidRPr="006065EA">
        <w:rPr>
          <w:rFonts w:ascii="Palatino Linotype" w:eastAsia="Palatino Linotype" w:hAnsi="Palatino Linotype" w:cs="Palatino Linotype"/>
          <w:i/>
        </w:rPr>
        <w:t>Director</w:t>
      </w:r>
      <w:proofErr w:type="gramEnd"/>
      <w:r w:rsidRPr="006065EA">
        <w:rPr>
          <w:rFonts w:ascii="Palatino Linotype" w:eastAsia="Palatino Linotype" w:hAnsi="Palatino Linotype" w:cs="Palatino Linotype"/>
          <w:i/>
        </w:rPr>
        <w:t xml:space="preserve"> o Directora, quien tendrá las siguientes facultades o atribuciones:</w:t>
      </w:r>
      <w:r w:rsidRPr="006065EA">
        <w:rPr>
          <w:rFonts w:ascii="Palatino Linotype" w:eastAsia="Palatino Linotype" w:hAnsi="Palatino Linotype" w:cs="Palatino Linotype"/>
          <w:i/>
        </w:rPr>
        <w:br/>
        <w:t>(…)</w:t>
      </w:r>
    </w:p>
    <w:p w14:paraId="704FE996" w14:textId="77777777" w:rsidR="00C3402C" w:rsidRPr="006065EA" w:rsidRDefault="00BD4A67">
      <w:pPr>
        <w:spacing w:after="0"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 II. Elaborar, conducir, aplicar y vigilancia las políticas en materia de asentamientos humanos, ordenamiento territorial y vivienda;</w:t>
      </w:r>
    </w:p>
    <w:p w14:paraId="44C10D1D" w14:textId="77777777" w:rsidR="00C3402C" w:rsidRPr="006065EA" w:rsidRDefault="00BD4A67">
      <w:pPr>
        <w:spacing w:after="0"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 (…)</w:t>
      </w:r>
    </w:p>
    <w:p w14:paraId="3D20E17C" w14:textId="77777777" w:rsidR="00C3402C" w:rsidRPr="006065EA" w:rsidRDefault="00BD4A67">
      <w:pPr>
        <w:spacing w:after="0" w:line="276" w:lineRule="auto"/>
        <w:ind w:left="851" w:right="900"/>
        <w:jc w:val="both"/>
        <w:rPr>
          <w:rFonts w:ascii="Palatino Linotype" w:eastAsia="Palatino Linotype" w:hAnsi="Palatino Linotype" w:cs="Palatino Linotype"/>
          <w:b/>
          <w:i/>
          <w:u w:val="single"/>
        </w:rPr>
      </w:pPr>
      <w:r w:rsidRPr="006065EA">
        <w:rPr>
          <w:rFonts w:ascii="Palatino Linotype" w:eastAsia="Palatino Linotype" w:hAnsi="Palatino Linotype" w:cs="Palatino Linotype"/>
          <w:i/>
        </w:rPr>
        <w:t>XVI. Desarrollar sistemas de información automatizados y</w:t>
      </w:r>
      <w:r w:rsidRPr="006065EA">
        <w:rPr>
          <w:rFonts w:ascii="Palatino Linotype" w:eastAsia="Palatino Linotype" w:hAnsi="Palatino Linotype" w:cs="Palatino Linotype"/>
          <w:b/>
          <w:i/>
          <w:u w:val="single"/>
        </w:rPr>
        <w:t xml:space="preserve"> cartográficos para optimizar las funciones de su competencia;</w:t>
      </w:r>
    </w:p>
    <w:p w14:paraId="3177249E"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42C4A1AE"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De acuerdo a lo anterior, la Dirección de Desarrollo Territorial y Urbano del Municipio de Ixtapaluca, elabora, conduce, aplica y vigila las políticas en materia de asentamientos humanos, ordenamiento territorial y vivienda, por lo que desarrollara sistemas de información automatizados y cartográficos para optimizar sus funciones.</w:t>
      </w:r>
    </w:p>
    <w:p w14:paraId="0C7B79B7"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77F90B5D"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lastRenderedPageBreak/>
        <w:t xml:space="preserve">Por lo anterior, resulta oportuno, esclarecer el significado de cartográfico, </w:t>
      </w:r>
      <w:proofErr w:type="gramStart"/>
      <w:r w:rsidRPr="006065EA">
        <w:rPr>
          <w:rFonts w:ascii="Palatino Linotype" w:eastAsia="Palatino Linotype" w:hAnsi="Palatino Linotype" w:cs="Palatino Linotype"/>
          <w:sz w:val="24"/>
          <w:szCs w:val="24"/>
        </w:rPr>
        <w:t>que</w:t>
      </w:r>
      <w:proofErr w:type="gramEnd"/>
      <w:r w:rsidRPr="006065EA">
        <w:rPr>
          <w:rFonts w:ascii="Palatino Linotype" w:eastAsia="Palatino Linotype" w:hAnsi="Palatino Linotype" w:cs="Palatino Linotype"/>
          <w:sz w:val="24"/>
          <w:szCs w:val="24"/>
        </w:rPr>
        <w:t xml:space="preserve"> de acuerdo a la Real Academia Española, menciona lo siguiente:</w:t>
      </w:r>
    </w:p>
    <w:p w14:paraId="2835DD3B"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574F062" w14:textId="77777777" w:rsidR="00C3402C" w:rsidRPr="006065EA" w:rsidRDefault="004845CB">
      <w:pPr>
        <w:spacing w:after="0" w:line="360" w:lineRule="auto"/>
        <w:jc w:val="both"/>
        <w:rPr>
          <w:rFonts w:ascii="Palatino Linotype" w:eastAsia="Palatino Linotype" w:hAnsi="Palatino Linotype" w:cs="Palatino Linotype"/>
          <w:sz w:val="24"/>
          <w:szCs w:val="24"/>
        </w:rPr>
      </w:pPr>
      <w:hyperlink r:id="rId8">
        <w:r w:rsidR="00BD4A67" w:rsidRPr="006065EA">
          <w:rPr>
            <w:rFonts w:ascii="Palatino Linotype" w:eastAsia="Palatino Linotype" w:hAnsi="Palatino Linotype" w:cs="Palatino Linotype"/>
            <w:color w:val="0563C1"/>
            <w:sz w:val="24"/>
            <w:szCs w:val="24"/>
            <w:u w:val="single"/>
          </w:rPr>
          <w:t>https://dle.rae.es/cartograf%C3%ADa</w:t>
        </w:r>
      </w:hyperlink>
      <w:r w:rsidR="00BD4A67" w:rsidRPr="006065EA">
        <w:rPr>
          <w:rFonts w:ascii="Palatino Linotype" w:eastAsia="Palatino Linotype" w:hAnsi="Palatino Linotype" w:cs="Palatino Linotype"/>
          <w:sz w:val="24"/>
          <w:szCs w:val="24"/>
        </w:rPr>
        <w:t xml:space="preserve"> </w:t>
      </w:r>
    </w:p>
    <w:p w14:paraId="6236B22C"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75E2244"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w:t>
      </w:r>
      <w:r w:rsidRPr="006065EA">
        <w:rPr>
          <w:rFonts w:ascii="Palatino Linotype" w:eastAsia="Palatino Linotype" w:hAnsi="Palatino Linotype" w:cs="Palatino Linotype"/>
          <w:b/>
          <w:i/>
          <w:sz w:val="24"/>
          <w:szCs w:val="24"/>
        </w:rPr>
        <w:t>Arte de trazar mapas geográficos</w:t>
      </w:r>
      <w:r w:rsidRPr="006065EA">
        <w:rPr>
          <w:rFonts w:ascii="Palatino Linotype" w:eastAsia="Palatino Linotype" w:hAnsi="Palatino Linotype" w:cs="Palatino Linotype"/>
          <w:sz w:val="24"/>
          <w:szCs w:val="24"/>
        </w:rPr>
        <w:t xml:space="preserve">”. </w:t>
      </w:r>
    </w:p>
    <w:p w14:paraId="21557434"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657BF23"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En ese tenor, se entiende que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desarrolla mapas geográficos, a efecto de optimizar sus funciones en materia de asentamientos humanos y ordenamiento territorial, motivo por el que se ordena, de ser necesario, en términos del considerando quinto, el documento en el que conste la ubicación dentro del territorio municipal del puente denominado "Tlapacoya”, vigente al diez de noviembre de dos mil veintidós.</w:t>
      </w:r>
    </w:p>
    <w:p w14:paraId="4F4C9029" w14:textId="77777777" w:rsidR="00C3402C" w:rsidRPr="006065EA" w:rsidRDefault="00C3402C">
      <w:pPr>
        <w:spacing w:after="0" w:line="360" w:lineRule="auto"/>
        <w:jc w:val="both"/>
        <w:rPr>
          <w:rFonts w:ascii="Palatino Linotype" w:eastAsia="Palatino Linotype" w:hAnsi="Palatino Linotype" w:cs="Palatino Linotype"/>
          <w:sz w:val="24"/>
          <w:szCs w:val="24"/>
        </w:rPr>
      </w:pPr>
    </w:p>
    <w:tbl>
      <w:tblPr>
        <w:tblStyle w:val="a8"/>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C3402C" w:rsidRPr="006065EA" w14:paraId="40475E9C" w14:textId="77777777">
        <w:tc>
          <w:tcPr>
            <w:tcW w:w="2291" w:type="dxa"/>
            <w:shd w:val="clear" w:color="auto" w:fill="BFBFBF"/>
          </w:tcPr>
          <w:p w14:paraId="474344B1"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Información requerida.</w:t>
            </w:r>
          </w:p>
        </w:tc>
        <w:tc>
          <w:tcPr>
            <w:tcW w:w="1226" w:type="dxa"/>
            <w:shd w:val="clear" w:color="auto" w:fill="BFBFBF"/>
          </w:tcPr>
          <w:p w14:paraId="7AAF254C"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Respuesta</w:t>
            </w:r>
          </w:p>
        </w:tc>
        <w:tc>
          <w:tcPr>
            <w:tcW w:w="3132" w:type="dxa"/>
            <w:shd w:val="clear" w:color="auto" w:fill="BFBFBF"/>
          </w:tcPr>
          <w:p w14:paraId="2C36BD23"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Informe Justificado</w:t>
            </w:r>
          </w:p>
        </w:tc>
        <w:tc>
          <w:tcPr>
            <w:tcW w:w="2179" w:type="dxa"/>
            <w:shd w:val="clear" w:color="auto" w:fill="BFBFBF"/>
          </w:tcPr>
          <w:p w14:paraId="4B02AA2D"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¿Colma?</w:t>
            </w:r>
          </w:p>
        </w:tc>
      </w:tr>
      <w:tr w:rsidR="00C3402C" w:rsidRPr="006065EA" w14:paraId="64CA200B" w14:textId="77777777">
        <w:tc>
          <w:tcPr>
            <w:tcW w:w="2291" w:type="dxa"/>
          </w:tcPr>
          <w:p w14:paraId="0D054D7C" w14:textId="77777777" w:rsidR="00C3402C" w:rsidRPr="006065EA" w:rsidRDefault="00BD4A67">
            <w:pPr>
              <w:spacing w:before="240" w:after="240"/>
              <w:jc w:val="both"/>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sz w:val="18"/>
                <w:szCs w:val="18"/>
              </w:rPr>
              <w:t>2. Informe cuales son los trabajos, tareas y/o actividades que las autoridades municipales realizan para el mantenimiento de la infraestructura del puente de "Tlapacoya"</w:t>
            </w:r>
          </w:p>
        </w:tc>
        <w:tc>
          <w:tcPr>
            <w:tcW w:w="1226" w:type="dxa"/>
            <w:vAlign w:val="center"/>
          </w:tcPr>
          <w:p w14:paraId="1F7A341D" w14:textId="77777777" w:rsidR="00C3402C" w:rsidRPr="006065EA" w:rsidRDefault="00BD4A67">
            <w:pPr>
              <w:spacing w:before="240" w:after="240"/>
              <w:jc w:val="center"/>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color w:val="000000"/>
                <w:sz w:val="18"/>
                <w:szCs w:val="18"/>
              </w:rPr>
              <w:t>N/A</w:t>
            </w:r>
          </w:p>
        </w:tc>
        <w:tc>
          <w:tcPr>
            <w:tcW w:w="3132" w:type="dxa"/>
            <w:vAlign w:val="center"/>
          </w:tcPr>
          <w:p w14:paraId="2E2DFA81"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No se están realizando ninguna actividad por parte del Ayuntamiento de Ixtapaluca en el </w:t>
            </w:r>
            <w:r w:rsidRPr="006065EA">
              <w:rPr>
                <w:rFonts w:ascii="Palatino Linotype" w:eastAsia="Palatino Linotype" w:hAnsi="Palatino Linotype" w:cs="Palatino Linotype"/>
                <w:sz w:val="18"/>
                <w:szCs w:val="18"/>
              </w:rPr>
              <w:t>puente de "Tlapacoya"</w:t>
            </w:r>
            <w:r w:rsidRPr="006065EA">
              <w:rPr>
                <w:rFonts w:ascii="Palatino Linotype" w:eastAsia="Palatino Linotype" w:hAnsi="Palatino Linotype" w:cs="Palatino Linotype"/>
                <w:color w:val="000000"/>
                <w:sz w:val="20"/>
                <w:szCs w:val="20"/>
              </w:rPr>
              <w:t xml:space="preserve"> </w:t>
            </w:r>
          </w:p>
        </w:tc>
        <w:tc>
          <w:tcPr>
            <w:tcW w:w="2179" w:type="dxa"/>
          </w:tcPr>
          <w:p w14:paraId="34EFE2A8"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S</w:t>
            </w:r>
            <w:r w:rsidRPr="006065EA">
              <w:rPr>
                <w:rFonts w:ascii="Palatino Linotype" w:eastAsia="Palatino Linotype" w:hAnsi="Palatino Linotype" w:cs="Palatino Linotype"/>
                <w:sz w:val="20"/>
                <w:szCs w:val="20"/>
              </w:rPr>
              <w:t>í</w:t>
            </w:r>
            <w:r w:rsidRPr="006065EA">
              <w:rPr>
                <w:rFonts w:ascii="Palatino Linotype" w:eastAsia="Palatino Linotype" w:hAnsi="Palatino Linotype" w:cs="Palatino Linotype"/>
                <w:color w:val="000000"/>
                <w:sz w:val="20"/>
                <w:szCs w:val="20"/>
              </w:rPr>
              <w:t xml:space="preserve">. </w:t>
            </w:r>
          </w:p>
          <w:p w14:paraId="71D71EEB"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 </w:t>
            </w:r>
          </w:p>
        </w:tc>
      </w:tr>
    </w:tbl>
    <w:p w14:paraId="393C3DCF"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571BF2AF" w14:textId="77777777" w:rsidR="00C3402C" w:rsidRPr="006065EA" w:rsidRDefault="00BD4A67">
      <w:pPr>
        <w:spacing w:after="0" w:line="360" w:lineRule="auto"/>
        <w:jc w:val="both"/>
        <w:rPr>
          <w:rFonts w:ascii="Palatino Linotype" w:eastAsia="Palatino Linotype" w:hAnsi="Palatino Linotype" w:cs="Palatino Linotype"/>
          <w:b/>
          <w:color w:val="000000"/>
          <w:sz w:val="24"/>
          <w:szCs w:val="24"/>
        </w:rPr>
      </w:pPr>
      <w:r w:rsidRPr="006065EA">
        <w:rPr>
          <w:rFonts w:ascii="Palatino Linotype" w:eastAsia="Palatino Linotype" w:hAnsi="Palatino Linotype" w:cs="Palatino Linotype"/>
          <w:sz w:val="24"/>
          <w:szCs w:val="24"/>
        </w:rPr>
        <w:lastRenderedPageBreak/>
        <w:t>T</w:t>
      </w:r>
      <w:r w:rsidRPr="006065EA">
        <w:rPr>
          <w:rFonts w:ascii="Palatino Linotype" w:eastAsia="Palatino Linotype" w:hAnsi="Palatino Linotype" w:cs="Palatino Linotype"/>
          <w:color w:val="000000"/>
          <w:sz w:val="24"/>
          <w:szCs w:val="24"/>
        </w:rPr>
        <w:t xml:space="preserve">oda vez que no posee, administra ni genera la información requerida por el particular, constituye un hecho negativo; entonces, si se considera el hecho negativo, es obvio que este no puede fácticamente obrar en los archivos del </w:t>
      </w:r>
      <w:r w:rsidRPr="006065EA">
        <w:rPr>
          <w:rFonts w:ascii="Palatino Linotype" w:eastAsia="Palatino Linotype" w:hAnsi="Palatino Linotype" w:cs="Palatino Linotype"/>
          <w:b/>
          <w:color w:val="000000"/>
          <w:sz w:val="24"/>
          <w:szCs w:val="24"/>
        </w:rPr>
        <w:t>SUJETO OBLIGADO</w:t>
      </w:r>
      <w:r w:rsidRPr="006065EA">
        <w:rPr>
          <w:rFonts w:ascii="Palatino Linotype" w:eastAsia="Palatino Linotype" w:hAnsi="Palatino Linotype" w:cs="Palatino Linotype"/>
          <w:color w:val="000000"/>
          <w:sz w:val="24"/>
          <w:szCs w:val="24"/>
        </w:rPr>
        <w:t>, ya que no puede probarse por ser lógica y materialmente imposible.</w:t>
      </w:r>
    </w:p>
    <w:p w14:paraId="6639FE29" w14:textId="77777777" w:rsidR="00C3402C" w:rsidRPr="006065EA" w:rsidRDefault="00C3402C">
      <w:pPr>
        <w:spacing w:after="0" w:line="360" w:lineRule="auto"/>
        <w:jc w:val="both"/>
        <w:rPr>
          <w:rFonts w:ascii="Times New Roman" w:eastAsia="Times New Roman" w:hAnsi="Times New Roman" w:cs="Times New Roman"/>
          <w:sz w:val="24"/>
          <w:szCs w:val="24"/>
        </w:rPr>
      </w:pPr>
    </w:p>
    <w:p w14:paraId="59D85BE3"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Asimismo, no se trata de un caso por el cual la negación del hecho implique la afirmación del mismo, simplemente se está ante una notoria y evidente inexistencia fáctica de la información solicitada.</w:t>
      </w:r>
    </w:p>
    <w:p w14:paraId="5C49EA01" w14:textId="77777777" w:rsidR="00C3402C" w:rsidRPr="006065EA" w:rsidRDefault="00C3402C">
      <w:pPr>
        <w:spacing w:after="0" w:line="360" w:lineRule="auto"/>
        <w:jc w:val="both"/>
        <w:rPr>
          <w:rFonts w:ascii="Palatino Linotype" w:eastAsia="Palatino Linotype" w:hAnsi="Palatino Linotype" w:cs="Palatino Linotype"/>
          <w:color w:val="000000"/>
          <w:sz w:val="24"/>
          <w:szCs w:val="24"/>
        </w:rPr>
      </w:pPr>
    </w:p>
    <w:p w14:paraId="1AA320B3"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Encontrándonos ante un hecho negativo, destacando entonces que el Pleno de este Organismo Garante, ha sostenido </w:t>
      </w:r>
      <w:proofErr w:type="gramStart"/>
      <w:r w:rsidRPr="006065EA">
        <w:rPr>
          <w:rFonts w:ascii="Palatino Linotype" w:eastAsia="Palatino Linotype" w:hAnsi="Palatino Linotype" w:cs="Palatino Linotype"/>
          <w:color w:val="000000"/>
          <w:sz w:val="24"/>
          <w:szCs w:val="24"/>
        </w:rPr>
        <w:t>que</w:t>
      </w:r>
      <w:proofErr w:type="gramEnd"/>
      <w:r w:rsidRPr="006065EA">
        <w:rPr>
          <w:rFonts w:ascii="Palatino Linotype" w:eastAsia="Palatino Linotype" w:hAnsi="Palatino Linotype" w:cs="Palatino Linotype"/>
          <w:color w:val="000000"/>
          <w:sz w:val="24"/>
          <w:szCs w:val="24"/>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F2A41EC" w14:textId="77777777" w:rsidR="00C3402C" w:rsidRPr="006065EA" w:rsidRDefault="00C3402C">
      <w:pPr>
        <w:spacing w:after="0" w:line="360" w:lineRule="auto"/>
        <w:jc w:val="both"/>
        <w:rPr>
          <w:rFonts w:ascii="Times New Roman" w:eastAsia="Times New Roman" w:hAnsi="Times New Roman" w:cs="Times New Roman"/>
          <w:sz w:val="24"/>
          <w:szCs w:val="24"/>
        </w:rPr>
      </w:pPr>
    </w:p>
    <w:p w14:paraId="13300534" w14:textId="77777777" w:rsidR="00C3402C" w:rsidRPr="006065EA" w:rsidRDefault="00BD4A67">
      <w:pPr>
        <w:spacing w:after="0" w:line="360" w:lineRule="auto"/>
        <w:ind w:left="860" w:right="560"/>
        <w:jc w:val="both"/>
        <w:rPr>
          <w:rFonts w:ascii="Times New Roman" w:eastAsia="Times New Roman" w:hAnsi="Times New Roman" w:cs="Times New Roman"/>
          <w:sz w:val="24"/>
          <w:szCs w:val="24"/>
        </w:rPr>
      </w:pPr>
      <w:r w:rsidRPr="006065EA">
        <w:rPr>
          <w:rFonts w:ascii="Palatino Linotype" w:eastAsia="Palatino Linotype" w:hAnsi="Palatino Linotype" w:cs="Palatino Linotype"/>
          <w:b/>
          <w:i/>
          <w:color w:val="000000"/>
        </w:rPr>
        <w:t>HECHOS NEGATIVOS, NO SON SUSCEPTIBLES DE DEMOSTRACIÓN.</w:t>
      </w:r>
    </w:p>
    <w:p w14:paraId="34446925" w14:textId="77777777" w:rsidR="00C3402C" w:rsidRPr="006065EA" w:rsidRDefault="00BD4A67">
      <w:pPr>
        <w:spacing w:after="0" w:line="360" w:lineRule="auto"/>
        <w:ind w:left="860" w:right="560"/>
        <w:jc w:val="both"/>
        <w:rPr>
          <w:rFonts w:ascii="Times New Roman" w:eastAsia="Times New Roman" w:hAnsi="Times New Roman" w:cs="Times New Roman"/>
          <w:sz w:val="24"/>
          <w:szCs w:val="24"/>
        </w:rPr>
      </w:pPr>
      <w:r w:rsidRPr="006065EA">
        <w:rPr>
          <w:rFonts w:ascii="Palatino Linotype" w:eastAsia="Palatino Linotype" w:hAnsi="Palatino Linotype" w:cs="Palatino Linotype"/>
          <w:i/>
          <w:color w:val="000000"/>
        </w:rPr>
        <w:t xml:space="preserve">Tratándose de un hecho negativo, el Juez no tiene </w:t>
      </w:r>
      <w:proofErr w:type="spellStart"/>
      <w:r w:rsidRPr="006065EA">
        <w:rPr>
          <w:rFonts w:ascii="Palatino Linotype" w:eastAsia="Palatino Linotype" w:hAnsi="Palatino Linotype" w:cs="Palatino Linotype"/>
          <w:i/>
          <w:color w:val="000000"/>
        </w:rPr>
        <w:t>por que</w:t>
      </w:r>
      <w:proofErr w:type="spellEnd"/>
      <w:r w:rsidRPr="006065EA">
        <w:rPr>
          <w:rFonts w:ascii="Palatino Linotype" w:eastAsia="Palatino Linotype" w:hAnsi="Palatino Linotype" w:cs="Palatino Linotype"/>
          <w:i/>
          <w:color w:val="000000"/>
        </w:rPr>
        <w:t xml:space="preserve"> invocar prueba alguna de la que se desprenda, ya que es bien sabido que esta clase de hechos no son susceptibles de demostración.</w:t>
      </w:r>
    </w:p>
    <w:p w14:paraId="3F826E55" w14:textId="77777777" w:rsidR="00C3402C" w:rsidRPr="006065EA" w:rsidRDefault="00BD4A67">
      <w:pPr>
        <w:spacing w:after="0" w:line="360" w:lineRule="auto"/>
        <w:ind w:left="860" w:right="560"/>
        <w:jc w:val="both"/>
        <w:rPr>
          <w:rFonts w:ascii="Palatino Linotype" w:eastAsia="Palatino Linotype" w:hAnsi="Palatino Linotype" w:cs="Palatino Linotype"/>
          <w:i/>
          <w:color w:val="000000"/>
        </w:rPr>
      </w:pPr>
      <w:r w:rsidRPr="006065EA">
        <w:rPr>
          <w:rFonts w:ascii="Palatino Linotype" w:eastAsia="Palatino Linotype" w:hAnsi="Palatino Linotype" w:cs="Palatino Linotype"/>
          <w:i/>
          <w:color w:val="000000"/>
        </w:rPr>
        <w:t xml:space="preserve">Amparo en revisión 2022/61. José García </w:t>
      </w:r>
      <w:proofErr w:type="gramStart"/>
      <w:r w:rsidRPr="006065EA">
        <w:rPr>
          <w:rFonts w:ascii="Palatino Linotype" w:eastAsia="Palatino Linotype" w:hAnsi="Palatino Linotype" w:cs="Palatino Linotype"/>
          <w:i/>
          <w:color w:val="000000"/>
        </w:rPr>
        <w:t>Florín</w:t>
      </w:r>
      <w:proofErr w:type="gramEnd"/>
      <w:r w:rsidRPr="006065EA">
        <w:rPr>
          <w:rFonts w:ascii="Palatino Linotype" w:eastAsia="Palatino Linotype" w:hAnsi="Palatino Linotype" w:cs="Palatino Linotype"/>
          <w:i/>
          <w:color w:val="000000"/>
        </w:rPr>
        <w:t xml:space="preserve"> (Menor). 9 de octubre de 1961. Cinco votos. Ponente: José Rivera Pérez Campos.”</w:t>
      </w:r>
    </w:p>
    <w:p w14:paraId="09CF8E12" w14:textId="77777777" w:rsidR="00C3402C" w:rsidRPr="006065EA" w:rsidRDefault="00C3402C">
      <w:pPr>
        <w:spacing w:after="0" w:line="360" w:lineRule="auto"/>
        <w:ind w:left="860" w:right="560"/>
        <w:jc w:val="both"/>
        <w:rPr>
          <w:rFonts w:ascii="Times New Roman" w:eastAsia="Times New Roman" w:hAnsi="Times New Roman" w:cs="Times New Roman"/>
          <w:sz w:val="24"/>
          <w:szCs w:val="24"/>
        </w:rPr>
      </w:pPr>
    </w:p>
    <w:p w14:paraId="7A89FE2F"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color w:val="000000"/>
          <w:sz w:val="24"/>
          <w:szCs w:val="24"/>
        </w:rPr>
        <w:lastRenderedPageBreak/>
        <w:t xml:space="preserve">Además, y de conformidad con lo establecido en el artículo 12 de la Ley de Transparencia y Acceso a la Información Pública del Estado de México y Municipios, anteriormente invocado el </w:t>
      </w:r>
      <w:r w:rsidRPr="006065EA">
        <w:rPr>
          <w:rFonts w:ascii="Palatino Linotype" w:eastAsia="Palatino Linotype" w:hAnsi="Palatino Linotype" w:cs="Palatino Linotype"/>
          <w:b/>
          <w:color w:val="000000"/>
          <w:sz w:val="24"/>
          <w:szCs w:val="24"/>
        </w:rPr>
        <w:t>SUJETO OBLIGADO</w:t>
      </w:r>
      <w:r w:rsidRPr="006065EA">
        <w:rPr>
          <w:rFonts w:ascii="Palatino Linotype" w:eastAsia="Palatino Linotype" w:hAnsi="Palatino Linotype" w:cs="Palatino Linotype"/>
          <w:color w:val="000000"/>
          <w:sz w:val="24"/>
          <w:szCs w:val="24"/>
        </w:rPr>
        <w:t xml:space="preserve"> sólo proporcionará la información que obra en sus archivos, lo que a</w:t>
      </w:r>
      <w:r w:rsidRPr="006065EA">
        <w:rPr>
          <w:rFonts w:ascii="Palatino Linotype" w:eastAsia="Palatino Linotype" w:hAnsi="Palatino Linotype" w:cs="Palatino Linotype"/>
          <w:i/>
          <w:color w:val="000000"/>
          <w:sz w:val="24"/>
          <w:szCs w:val="24"/>
        </w:rPr>
        <w:t xml:space="preserve"> contrario sensu</w:t>
      </w:r>
      <w:r w:rsidRPr="006065EA">
        <w:rPr>
          <w:rFonts w:ascii="Palatino Linotype" w:eastAsia="Palatino Linotype" w:hAnsi="Palatino Linotype" w:cs="Palatino Linotype"/>
          <w:color w:val="000000"/>
          <w:sz w:val="24"/>
          <w:szCs w:val="24"/>
        </w:rPr>
        <w:t xml:space="preserve"> significa que no se está obligado a proporcionar lo que no obre en sus archivos; motivo por el cual se colma el derecho de acceso a la información pública del particular en esta parte de la solicitud.</w:t>
      </w:r>
    </w:p>
    <w:p w14:paraId="1AE95361" w14:textId="77777777" w:rsidR="00C3402C" w:rsidRPr="006065EA" w:rsidRDefault="00C3402C">
      <w:pPr>
        <w:spacing w:after="0" w:line="360" w:lineRule="auto"/>
        <w:jc w:val="both"/>
        <w:rPr>
          <w:rFonts w:ascii="Palatino Linotype" w:eastAsia="Palatino Linotype" w:hAnsi="Palatino Linotype" w:cs="Palatino Linotype"/>
          <w:sz w:val="24"/>
          <w:szCs w:val="24"/>
        </w:rPr>
      </w:pPr>
    </w:p>
    <w:tbl>
      <w:tblPr>
        <w:tblStyle w:val="a9"/>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C3402C" w:rsidRPr="006065EA" w14:paraId="561E807C" w14:textId="77777777">
        <w:tc>
          <w:tcPr>
            <w:tcW w:w="2291" w:type="dxa"/>
            <w:shd w:val="clear" w:color="auto" w:fill="BFBFBF"/>
          </w:tcPr>
          <w:p w14:paraId="04305EEC"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Información requerida.</w:t>
            </w:r>
          </w:p>
        </w:tc>
        <w:tc>
          <w:tcPr>
            <w:tcW w:w="1226" w:type="dxa"/>
            <w:shd w:val="clear" w:color="auto" w:fill="BFBFBF"/>
          </w:tcPr>
          <w:p w14:paraId="4EB63D6E"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Respuesta</w:t>
            </w:r>
          </w:p>
        </w:tc>
        <w:tc>
          <w:tcPr>
            <w:tcW w:w="3132" w:type="dxa"/>
            <w:shd w:val="clear" w:color="auto" w:fill="BFBFBF"/>
          </w:tcPr>
          <w:p w14:paraId="405F798E"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Informe Justificado</w:t>
            </w:r>
          </w:p>
        </w:tc>
        <w:tc>
          <w:tcPr>
            <w:tcW w:w="2179" w:type="dxa"/>
            <w:shd w:val="clear" w:color="auto" w:fill="BFBFBF"/>
          </w:tcPr>
          <w:p w14:paraId="29C71933"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¿Colma?</w:t>
            </w:r>
          </w:p>
        </w:tc>
      </w:tr>
      <w:tr w:rsidR="00C3402C" w:rsidRPr="006065EA" w14:paraId="3F40F5B5" w14:textId="77777777">
        <w:tc>
          <w:tcPr>
            <w:tcW w:w="2291" w:type="dxa"/>
          </w:tcPr>
          <w:p w14:paraId="6B33EF68" w14:textId="77777777" w:rsidR="00C3402C" w:rsidRPr="006065EA" w:rsidRDefault="00BD4A67">
            <w:pPr>
              <w:spacing w:before="240" w:after="240"/>
              <w:jc w:val="both"/>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sz w:val="18"/>
                <w:szCs w:val="18"/>
              </w:rPr>
              <w:t>3. Informe que tipo de trabajos, tareas y/o actividades realizan las autoridades de tránsito para agilizar, mejorar y regular la movilidad por el puente de "Tlapacoya"</w:t>
            </w:r>
          </w:p>
        </w:tc>
        <w:tc>
          <w:tcPr>
            <w:tcW w:w="1226" w:type="dxa"/>
            <w:vAlign w:val="center"/>
          </w:tcPr>
          <w:p w14:paraId="42746B3B" w14:textId="77777777" w:rsidR="00C3402C" w:rsidRPr="006065EA" w:rsidRDefault="00BD4A67">
            <w:pPr>
              <w:spacing w:before="240" w:after="240"/>
              <w:jc w:val="center"/>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color w:val="000000"/>
                <w:sz w:val="18"/>
                <w:szCs w:val="18"/>
              </w:rPr>
              <w:t>N/A</w:t>
            </w:r>
          </w:p>
        </w:tc>
        <w:tc>
          <w:tcPr>
            <w:tcW w:w="3132" w:type="dxa"/>
            <w:vAlign w:val="center"/>
          </w:tcPr>
          <w:p w14:paraId="0742996B"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Se desconoce, ya que los trabajos, actividades o tareas se realizan por las autoridades de tránsito. </w:t>
            </w:r>
          </w:p>
        </w:tc>
        <w:tc>
          <w:tcPr>
            <w:tcW w:w="2179" w:type="dxa"/>
          </w:tcPr>
          <w:p w14:paraId="21044F53"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No. </w:t>
            </w:r>
          </w:p>
          <w:p w14:paraId="3D63F87F"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 </w:t>
            </w:r>
          </w:p>
        </w:tc>
      </w:tr>
      <w:tr w:rsidR="00C3402C" w:rsidRPr="006065EA" w14:paraId="673E13C8" w14:textId="77777777">
        <w:tc>
          <w:tcPr>
            <w:tcW w:w="2291" w:type="dxa"/>
          </w:tcPr>
          <w:p w14:paraId="3A1EE4DD" w14:textId="77777777" w:rsidR="00C3402C" w:rsidRPr="006065EA" w:rsidRDefault="00BD4A67">
            <w:pPr>
              <w:spacing w:before="240" w:after="240"/>
              <w:jc w:val="both"/>
              <w:rPr>
                <w:rFonts w:ascii="Palatino Linotype" w:eastAsia="Palatino Linotype" w:hAnsi="Palatino Linotype" w:cs="Palatino Linotype"/>
                <w:sz w:val="18"/>
                <w:szCs w:val="18"/>
              </w:rPr>
            </w:pPr>
            <w:r w:rsidRPr="006065EA">
              <w:rPr>
                <w:rFonts w:ascii="Palatino Linotype" w:eastAsia="Palatino Linotype" w:hAnsi="Palatino Linotype" w:cs="Palatino Linotype"/>
                <w:sz w:val="18"/>
                <w:szCs w:val="18"/>
              </w:rPr>
              <w:t>4. Informe si el puente de "Tlapacoya" cuenta con señalización sobre el sentido, direcciones y direcciones de tránsito en cada una de las entradas y vías con las que cuenta, en caso positivo agregar documento que sustente lo mencionado.</w:t>
            </w:r>
          </w:p>
        </w:tc>
        <w:tc>
          <w:tcPr>
            <w:tcW w:w="1226" w:type="dxa"/>
            <w:vAlign w:val="center"/>
          </w:tcPr>
          <w:p w14:paraId="4E3ED065" w14:textId="77777777" w:rsidR="00C3402C" w:rsidRPr="006065EA" w:rsidRDefault="00BD4A67">
            <w:pPr>
              <w:spacing w:before="240" w:after="240"/>
              <w:jc w:val="center"/>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color w:val="000000"/>
                <w:sz w:val="18"/>
                <w:szCs w:val="18"/>
              </w:rPr>
              <w:t>N/A</w:t>
            </w:r>
          </w:p>
        </w:tc>
        <w:tc>
          <w:tcPr>
            <w:tcW w:w="3132" w:type="dxa"/>
            <w:vAlign w:val="center"/>
          </w:tcPr>
          <w:p w14:paraId="5ACD91ED"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Se desconoce, si el puente cuenta con señalizaciones. </w:t>
            </w:r>
          </w:p>
        </w:tc>
        <w:tc>
          <w:tcPr>
            <w:tcW w:w="2179" w:type="dxa"/>
          </w:tcPr>
          <w:p w14:paraId="1B6405C5"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No. </w:t>
            </w:r>
          </w:p>
        </w:tc>
      </w:tr>
    </w:tbl>
    <w:p w14:paraId="5389C8DB" w14:textId="77777777" w:rsidR="00C3402C" w:rsidRPr="006065EA" w:rsidRDefault="00C3402C">
      <w:pPr>
        <w:spacing w:after="0" w:line="360" w:lineRule="auto"/>
        <w:ind w:right="900"/>
        <w:jc w:val="both"/>
        <w:rPr>
          <w:rFonts w:ascii="Palatino Linotype" w:eastAsia="Palatino Linotype" w:hAnsi="Palatino Linotype" w:cs="Palatino Linotype"/>
          <w:sz w:val="24"/>
          <w:szCs w:val="24"/>
        </w:rPr>
      </w:pPr>
    </w:p>
    <w:p w14:paraId="67EB544B" w14:textId="77777777" w:rsidR="00C3402C" w:rsidRPr="006065EA" w:rsidRDefault="00BD4A67">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De acuerdo a la respuesta otorgada a estos puntos de la solicitud, es importante señalar lo siguiente:</w:t>
      </w:r>
    </w:p>
    <w:p w14:paraId="4A0DC02D" w14:textId="77777777" w:rsidR="00C3402C" w:rsidRPr="006065EA" w:rsidRDefault="00C3402C">
      <w:pPr>
        <w:spacing w:after="0" w:line="360" w:lineRule="auto"/>
        <w:ind w:right="49"/>
        <w:jc w:val="both"/>
        <w:rPr>
          <w:rFonts w:ascii="Palatino Linotype" w:eastAsia="Palatino Linotype" w:hAnsi="Palatino Linotype" w:cs="Palatino Linotype"/>
          <w:sz w:val="24"/>
          <w:szCs w:val="24"/>
        </w:rPr>
      </w:pPr>
    </w:p>
    <w:p w14:paraId="0C924CA7" w14:textId="77777777" w:rsidR="00C3402C" w:rsidRPr="006065EA" w:rsidRDefault="00BD4A67">
      <w:pPr>
        <w:spacing w:after="0" w:line="360" w:lineRule="auto"/>
        <w:ind w:left="851" w:right="900"/>
        <w:jc w:val="both"/>
        <w:rPr>
          <w:rFonts w:ascii="Palatino Linotype" w:eastAsia="Palatino Linotype" w:hAnsi="Palatino Linotype" w:cs="Palatino Linotype"/>
          <w:b/>
          <w:i/>
        </w:rPr>
      </w:pPr>
      <w:r w:rsidRPr="006065EA">
        <w:rPr>
          <w:rFonts w:ascii="Palatino Linotype" w:eastAsia="Palatino Linotype" w:hAnsi="Palatino Linotype" w:cs="Palatino Linotype"/>
          <w:b/>
          <w:i/>
        </w:rPr>
        <w:lastRenderedPageBreak/>
        <w:t xml:space="preserve">BANDO MUNICIPAL DE IXTAPALUCA. </w:t>
      </w:r>
    </w:p>
    <w:p w14:paraId="63934F06" w14:textId="77777777" w:rsidR="00C3402C" w:rsidRPr="006065EA" w:rsidRDefault="00BD4A67">
      <w:pPr>
        <w:spacing w:after="0" w:line="360"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ARTÍCULO 194.- El Ayuntamiento tendrá a su cargo normar y regular el Tránsito y la Vialidad en el territorio del Municipio, que será ejercida a través de la Dirección General de Seguridad y Prevención Ciudadana en el ámbito de su competencia o en coordinación con la Dirección de Fomento y Desarrollo Económico, con apego a las disposiciones que al efecto establezcan los Reglamentos correspondientes</w:t>
      </w:r>
    </w:p>
    <w:p w14:paraId="254B8767" w14:textId="77777777" w:rsidR="00C3402C" w:rsidRPr="006065EA" w:rsidRDefault="00BD4A67">
      <w:pPr>
        <w:spacing w:after="0" w:line="360"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ARTÍCULO 195.- Son atribuciones del Ayuntamiento en materia de movilidad, además de las establecidas en la Ley de Movilidad del Estado de México: </w:t>
      </w:r>
    </w:p>
    <w:p w14:paraId="5D96354F" w14:textId="77777777" w:rsidR="00C3402C" w:rsidRPr="006065EA" w:rsidRDefault="00BD4A67">
      <w:pPr>
        <w:spacing w:after="0" w:line="360"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I. Dictar medidas tendientes al mejoramiento y regulación de los servicios de movilidad y tránsito municipal;</w:t>
      </w:r>
    </w:p>
    <w:p w14:paraId="66880F0F" w14:textId="77777777" w:rsidR="00C3402C" w:rsidRPr="006065EA" w:rsidRDefault="00C3402C">
      <w:pPr>
        <w:spacing w:after="0" w:line="360" w:lineRule="auto"/>
        <w:ind w:right="49"/>
        <w:jc w:val="both"/>
        <w:rPr>
          <w:rFonts w:ascii="Palatino Linotype" w:eastAsia="Palatino Linotype" w:hAnsi="Palatino Linotype" w:cs="Palatino Linotype"/>
          <w:sz w:val="24"/>
          <w:szCs w:val="24"/>
        </w:rPr>
      </w:pPr>
    </w:p>
    <w:p w14:paraId="0CB699DB" w14:textId="77777777" w:rsidR="00C3402C" w:rsidRPr="006065EA" w:rsidRDefault="00BD4A67">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De conformidad a lo anterior, </w:t>
      </w:r>
      <w:r w:rsidRPr="006065EA">
        <w:rPr>
          <w:rFonts w:ascii="Palatino Linotype" w:eastAsia="Palatino Linotype" w:hAnsi="Palatino Linotype" w:cs="Palatino Linotype"/>
          <w:b/>
          <w:sz w:val="24"/>
          <w:szCs w:val="24"/>
        </w:rPr>
        <w:t xml:space="preserve">EL SUJETO OBLIGADO </w:t>
      </w:r>
      <w:r w:rsidRPr="006065EA">
        <w:rPr>
          <w:rFonts w:ascii="Palatino Linotype" w:eastAsia="Palatino Linotype" w:hAnsi="Palatino Linotype" w:cs="Palatino Linotype"/>
          <w:sz w:val="24"/>
          <w:szCs w:val="24"/>
        </w:rPr>
        <w:t>tendrá que regular y normar el tránsito y vialidad</w:t>
      </w:r>
      <w:r w:rsidRPr="006065EA">
        <w:rPr>
          <w:rFonts w:ascii="Palatino Linotype" w:eastAsia="Palatino Linotype" w:hAnsi="Palatino Linotype" w:cs="Palatino Linotype"/>
          <w:b/>
          <w:sz w:val="24"/>
          <w:szCs w:val="24"/>
        </w:rPr>
        <w:t>,</w:t>
      </w:r>
      <w:r w:rsidRPr="006065EA">
        <w:rPr>
          <w:rFonts w:ascii="Palatino Linotype" w:eastAsia="Palatino Linotype" w:hAnsi="Palatino Linotype" w:cs="Palatino Linotype"/>
          <w:sz w:val="24"/>
          <w:szCs w:val="24"/>
        </w:rPr>
        <w:t xml:space="preserve"> a través de la Dirección General de Seguridad y Prevención Ciudadana, misma que deberá dictar medidas tendientes al mejoramiento y regulación de los servicios de movilidad y tránsito municipal</w:t>
      </w:r>
      <w:r w:rsidRPr="006065EA">
        <w:rPr>
          <w:rFonts w:ascii="Palatino Linotype" w:eastAsia="Palatino Linotype" w:hAnsi="Palatino Linotype" w:cs="Palatino Linotype"/>
          <w:b/>
          <w:sz w:val="24"/>
          <w:szCs w:val="24"/>
        </w:rPr>
        <w:t>, a</w:t>
      </w:r>
      <w:r w:rsidRPr="006065EA">
        <w:rPr>
          <w:rFonts w:ascii="Palatino Linotype" w:eastAsia="Palatino Linotype" w:hAnsi="Palatino Linotype" w:cs="Palatino Linotype"/>
          <w:sz w:val="24"/>
          <w:szCs w:val="24"/>
        </w:rPr>
        <w:t xml:space="preserve">l respecto, es de resultar que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xml:space="preserve"> no turnó la solicitud de información a la Dirección General de Seguridad y Prevención Ciudadana, por lo que se aprecia, que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ya que, no se puede perder de vista que para otorgar respuesta a la solicitud inicial, 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debe turnar la solicitud a las áreas en las que debe obrar la información de acuerdo a sus atribuciones, lo que no sucedió en el presente caso tal como se puede apreciar en el expediente </w:t>
      </w:r>
      <w:r w:rsidRPr="006065EA">
        <w:rPr>
          <w:rFonts w:ascii="Palatino Linotype" w:eastAsia="Palatino Linotype" w:hAnsi="Palatino Linotype" w:cs="Palatino Linotype"/>
          <w:sz w:val="24"/>
          <w:szCs w:val="24"/>
        </w:rPr>
        <w:lastRenderedPageBreak/>
        <w:t xml:space="preserve">electrónico, de conformidad con la fracción XXXIX del artículo tercero de la legislación local vigente en materia de transparencia, en donde señala que el Servidor Público Habilitado es el competente para apoyar, gestionar y entregar la información: </w:t>
      </w:r>
    </w:p>
    <w:p w14:paraId="54390D25"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2BBA3330" w14:textId="77777777" w:rsidR="00C3402C" w:rsidRPr="006065EA" w:rsidRDefault="00BD4A67">
      <w:pPr>
        <w:spacing w:after="0" w:line="276" w:lineRule="auto"/>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214A7DC0" w14:textId="77777777" w:rsidR="00C3402C" w:rsidRPr="006065EA" w:rsidRDefault="00C3402C">
      <w:pPr>
        <w:spacing w:after="0" w:line="360" w:lineRule="auto"/>
        <w:ind w:left="851" w:right="902"/>
        <w:jc w:val="both"/>
        <w:rPr>
          <w:rFonts w:ascii="Palatino Linotype" w:eastAsia="Palatino Linotype" w:hAnsi="Palatino Linotype" w:cs="Palatino Linotype"/>
          <w:i/>
        </w:rPr>
      </w:pPr>
    </w:p>
    <w:p w14:paraId="41C6E2E6" w14:textId="77777777" w:rsidR="00C3402C" w:rsidRPr="006065EA" w:rsidRDefault="00BD4A67">
      <w:pPr>
        <w:shd w:val="clear" w:color="auto" w:fill="FFFFFF"/>
        <w:spacing w:after="240" w:line="360" w:lineRule="auto"/>
        <w:jc w:val="both"/>
        <w:rPr>
          <w:color w:val="222222"/>
          <w:sz w:val="24"/>
          <w:szCs w:val="24"/>
        </w:rPr>
      </w:pPr>
      <w:r w:rsidRPr="006065EA">
        <w:rPr>
          <w:rFonts w:ascii="Palatino Linotype" w:eastAsia="Palatino Linotype" w:hAnsi="Palatino Linotype" w:cs="Palatino Linotype"/>
          <w:color w:val="222222"/>
          <w:sz w:val="24"/>
          <w:szCs w:val="24"/>
        </w:rPr>
        <w:t>En este orden de ideas, se advierte que efectivamente la Unidad de Transparencia no cumplió con lo expresado en el artículo 162 de la Ley </w:t>
      </w:r>
      <w:r w:rsidRPr="006065EA">
        <w:rPr>
          <w:rFonts w:ascii="Palatino Linotype" w:eastAsia="Palatino Linotype" w:hAnsi="Palatino Linotype" w:cs="Palatino Linotype"/>
          <w:color w:val="000000"/>
          <w:sz w:val="24"/>
          <w:szCs w:val="24"/>
        </w:rPr>
        <w:t>de Transparencia y Acceso a la Información Pública del Estado de México y Municipios, el cual menciona lo siguiente:</w:t>
      </w:r>
    </w:p>
    <w:p w14:paraId="05FB7B95" w14:textId="77777777" w:rsidR="00C3402C" w:rsidRPr="006065EA" w:rsidRDefault="00BD4A67">
      <w:pPr>
        <w:shd w:val="clear" w:color="auto" w:fill="FFFFFF"/>
        <w:spacing w:after="0" w:line="276" w:lineRule="auto"/>
        <w:ind w:left="993" w:right="1041"/>
        <w:jc w:val="both"/>
        <w:rPr>
          <w:rFonts w:ascii="Palatino Linotype" w:eastAsia="Palatino Linotype" w:hAnsi="Palatino Linotype" w:cs="Palatino Linotype"/>
          <w:i/>
          <w:color w:val="222222"/>
        </w:rPr>
      </w:pPr>
      <w:r w:rsidRPr="006065EA">
        <w:rPr>
          <w:rFonts w:ascii="Palatino Linotype" w:eastAsia="Palatino Linotype" w:hAnsi="Palatino Linotype" w:cs="Palatino Linotype"/>
          <w:b/>
          <w:i/>
          <w:color w:val="222222"/>
        </w:rPr>
        <w:t>“Artículo 162.</w:t>
      </w:r>
      <w:r w:rsidRPr="006065EA">
        <w:rPr>
          <w:rFonts w:ascii="Palatino Linotype" w:eastAsia="Palatino Linotype" w:hAnsi="Palatino Linotype" w:cs="Palatino Linotype"/>
          <w:i/>
          <w:color w:val="2222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6065EA">
        <w:rPr>
          <w:rFonts w:ascii="Palatino Linotype" w:eastAsia="Palatino Linotype" w:hAnsi="Palatino Linotype" w:cs="Palatino Linotype"/>
          <w:i/>
          <w:color w:val="222222"/>
        </w:rPr>
        <w:t>.”(</w:t>
      </w:r>
      <w:proofErr w:type="gramEnd"/>
      <w:r w:rsidRPr="006065EA">
        <w:rPr>
          <w:rFonts w:ascii="Palatino Linotype" w:eastAsia="Palatino Linotype" w:hAnsi="Palatino Linotype" w:cs="Palatino Linotype"/>
          <w:i/>
          <w:color w:val="222222"/>
        </w:rPr>
        <w:t>Sic)</w:t>
      </w:r>
    </w:p>
    <w:p w14:paraId="1BC0B76E" w14:textId="77777777" w:rsidR="00C3402C" w:rsidRPr="006065EA" w:rsidRDefault="00C3402C">
      <w:pPr>
        <w:shd w:val="clear" w:color="auto" w:fill="FFFFFF"/>
        <w:spacing w:after="0" w:line="360" w:lineRule="auto"/>
        <w:ind w:left="993" w:right="1041"/>
        <w:jc w:val="both"/>
        <w:rPr>
          <w:color w:val="222222"/>
        </w:rPr>
      </w:pPr>
    </w:p>
    <w:p w14:paraId="4B49C88F" w14:textId="77777777" w:rsidR="00C3402C" w:rsidRPr="006065EA" w:rsidRDefault="00BD4A67">
      <w:pPr>
        <w:shd w:val="clear" w:color="auto" w:fill="FFFFFF"/>
        <w:spacing w:after="0" w:line="360" w:lineRule="auto"/>
        <w:jc w:val="both"/>
        <w:rPr>
          <w:rFonts w:ascii="Palatino Linotype" w:eastAsia="Palatino Linotype" w:hAnsi="Palatino Linotype" w:cs="Palatino Linotype"/>
          <w:color w:val="222222"/>
          <w:sz w:val="24"/>
          <w:szCs w:val="24"/>
        </w:rPr>
      </w:pPr>
      <w:r w:rsidRPr="006065EA">
        <w:rPr>
          <w:rFonts w:ascii="Palatino Linotype" w:eastAsia="Palatino Linotype" w:hAnsi="Palatino Linotype" w:cs="Palatino Linotype"/>
          <w:color w:val="222222"/>
          <w:sz w:val="24"/>
          <w:szCs w:val="24"/>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sidRPr="006065EA">
        <w:rPr>
          <w:rFonts w:ascii="Palatino Linotype" w:eastAsia="Palatino Linotype" w:hAnsi="Palatino Linotype" w:cs="Palatino Linotype"/>
          <w:color w:val="222222"/>
          <w:sz w:val="24"/>
          <w:szCs w:val="24"/>
        </w:rPr>
        <w:lastRenderedPageBreak/>
        <w:t>particulares con el fin de otorgar la prote</w:t>
      </w:r>
      <w:bookmarkStart w:id="0" w:name="bookmark=id.gjdgxs" w:colFirst="0" w:colLast="0"/>
      <w:bookmarkEnd w:id="0"/>
      <w:r w:rsidRPr="006065EA">
        <w:rPr>
          <w:rFonts w:ascii="Palatino Linotype" w:eastAsia="Palatino Linotype" w:hAnsi="Palatino Linotype" w:cs="Palatino Linotype"/>
          <w:color w:val="222222"/>
          <w:sz w:val="24"/>
          <w:szCs w:val="24"/>
        </w:rPr>
        <w:t>cción más amplia de éste derecho</w:t>
      </w:r>
      <w:r w:rsidRPr="006065EA">
        <w:rPr>
          <w:rFonts w:ascii="Palatino Linotype" w:eastAsia="Palatino Linotype" w:hAnsi="Palatino Linotype" w:cs="Palatino Linotype"/>
          <w:color w:val="222222"/>
          <w:sz w:val="24"/>
          <w:szCs w:val="24"/>
          <w:vertAlign w:val="superscript"/>
        </w:rPr>
        <w:footnoteReference w:id="3"/>
      </w:r>
      <w:r w:rsidRPr="006065EA">
        <w:rPr>
          <w:rFonts w:ascii="Palatino Linotype" w:eastAsia="Palatino Linotype" w:hAnsi="Palatino Linotype" w:cs="Palatino Linotype"/>
          <w:color w:val="222222"/>
          <w:sz w:val="24"/>
          <w:szCs w:val="24"/>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689FE85E" w14:textId="77777777" w:rsidR="00C3402C" w:rsidRPr="006065EA" w:rsidRDefault="00C3402C">
      <w:pPr>
        <w:shd w:val="clear" w:color="auto" w:fill="FFFFFF"/>
        <w:spacing w:after="0" w:line="360" w:lineRule="auto"/>
        <w:jc w:val="both"/>
        <w:rPr>
          <w:color w:val="222222"/>
          <w:sz w:val="24"/>
          <w:szCs w:val="24"/>
        </w:rPr>
      </w:pPr>
    </w:p>
    <w:p w14:paraId="59A256DB"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b/>
          <w:i/>
          <w:color w:val="222222"/>
        </w:rPr>
        <w:t>“Artículo 160. </w:t>
      </w:r>
      <w:r w:rsidRPr="006065EA">
        <w:rPr>
          <w:rFonts w:ascii="Palatino Linotype" w:eastAsia="Palatino Linotype" w:hAnsi="Palatino Linotype" w:cs="Palatino Linotype"/>
          <w:i/>
          <w:color w:val="2222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3EB014D"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i/>
          <w:color w:val="222222"/>
        </w:rPr>
        <w:t>En caso que la información solicitada consista en bases de datos se deberá privilegiar la entrega de la misma en formatos abiertos.</w:t>
      </w:r>
    </w:p>
    <w:p w14:paraId="299DB679"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b/>
          <w:i/>
          <w:color w:val="222222"/>
        </w:rPr>
        <w:t>Artículo 163.</w:t>
      </w:r>
      <w:r w:rsidRPr="006065EA">
        <w:rPr>
          <w:rFonts w:ascii="Palatino Linotype" w:eastAsia="Palatino Linotype" w:hAnsi="Palatino Linotype" w:cs="Palatino Linotype"/>
          <w:i/>
          <w:color w:val="222222"/>
        </w:rPr>
        <w:t> La Unidad de Transparencia deberá notificar la respuesta a la solicitud al interesado en el menor tiempo posible, que no podrá exceder de quince días hábiles, contados a partir del día siguiente a la presentación de aquélla.</w:t>
      </w:r>
    </w:p>
    <w:p w14:paraId="226E0F15"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i/>
          <w:color w:val="2222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w:t>
      </w:r>
      <w:r w:rsidRPr="006065EA">
        <w:rPr>
          <w:rFonts w:ascii="Palatino Linotype" w:eastAsia="Palatino Linotype" w:hAnsi="Palatino Linotype" w:cs="Palatino Linotype"/>
          <w:i/>
          <w:color w:val="222222"/>
        </w:rPr>
        <w:lastRenderedPageBreak/>
        <w:t>antes de su vencimiento. No podrán invocarse como causales de ampliación del plazo motivos que supongan negligencia o descuido del sujeto obligado en el desahogo de la solicitud.</w:t>
      </w:r>
    </w:p>
    <w:p w14:paraId="73456B46"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b/>
          <w:i/>
          <w:color w:val="222222"/>
        </w:rPr>
        <w:t>Artículo 165.</w:t>
      </w:r>
      <w:r w:rsidRPr="006065EA">
        <w:rPr>
          <w:rFonts w:ascii="Palatino Linotype" w:eastAsia="Palatino Linotype" w:hAnsi="Palatino Linotype" w:cs="Palatino Linotype"/>
          <w:i/>
          <w:color w:val="222222"/>
        </w:rPr>
        <w:t> Los sujetos obligados establecerán la forma y términos en que darán trámite interno a las solicitudes en materia de acceso a la información.</w:t>
      </w:r>
    </w:p>
    <w:p w14:paraId="493143AE"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i/>
          <w:color w:val="222222"/>
        </w:rPr>
        <w:t>La información que se entregue en versión pública, cuya modalidad de reproducción o envío tenga un costo, procederá una vez que se acredite el pago respectivo. No puede entenderse como reproducción la elaboración de la misma.</w:t>
      </w:r>
    </w:p>
    <w:p w14:paraId="01FE4FBE" w14:textId="77777777" w:rsidR="00C3402C" w:rsidRPr="006065EA" w:rsidRDefault="00BD4A67">
      <w:pPr>
        <w:shd w:val="clear" w:color="auto" w:fill="FFFFFF"/>
        <w:spacing w:after="0" w:line="276" w:lineRule="auto"/>
        <w:ind w:left="993" w:right="1041"/>
        <w:jc w:val="both"/>
        <w:rPr>
          <w:rFonts w:ascii="Palatino Linotype" w:eastAsia="Palatino Linotype" w:hAnsi="Palatino Linotype" w:cs="Palatino Linotype"/>
          <w:i/>
          <w:color w:val="222222"/>
        </w:rPr>
      </w:pPr>
      <w:r w:rsidRPr="006065EA">
        <w:rPr>
          <w:rFonts w:ascii="Palatino Linotype" w:eastAsia="Palatino Linotype" w:hAnsi="Palatino Linotype" w:cs="Palatino Linotype"/>
          <w:i/>
          <w:color w:val="222222"/>
        </w:rPr>
        <w:t>Ante la falta de respuesta a una solicitud en el plazo previsto y en caso de que proceda el acceso, los costos de reproducción y envío correrán a cargo del sujeto obligado</w:t>
      </w:r>
      <w:proofErr w:type="gramStart"/>
      <w:r w:rsidRPr="006065EA">
        <w:rPr>
          <w:rFonts w:ascii="Palatino Linotype" w:eastAsia="Palatino Linotype" w:hAnsi="Palatino Linotype" w:cs="Palatino Linotype"/>
          <w:i/>
          <w:color w:val="222222"/>
        </w:rPr>
        <w:t>.”(</w:t>
      </w:r>
      <w:proofErr w:type="gramEnd"/>
      <w:r w:rsidRPr="006065EA">
        <w:rPr>
          <w:rFonts w:ascii="Palatino Linotype" w:eastAsia="Palatino Linotype" w:hAnsi="Palatino Linotype" w:cs="Palatino Linotype"/>
          <w:i/>
          <w:color w:val="222222"/>
        </w:rPr>
        <w:t>Sic)</w:t>
      </w:r>
    </w:p>
    <w:p w14:paraId="1445E439" w14:textId="77777777" w:rsidR="00C3402C" w:rsidRPr="006065EA" w:rsidRDefault="00C3402C">
      <w:pPr>
        <w:shd w:val="clear" w:color="auto" w:fill="FFFFFF"/>
        <w:spacing w:after="0" w:line="276" w:lineRule="auto"/>
        <w:ind w:left="993" w:right="1041"/>
        <w:jc w:val="both"/>
        <w:rPr>
          <w:color w:val="222222"/>
          <w:sz w:val="24"/>
          <w:szCs w:val="24"/>
        </w:rPr>
      </w:pPr>
    </w:p>
    <w:p w14:paraId="58511B07" w14:textId="77777777" w:rsidR="00C3402C" w:rsidRPr="006065EA" w:rsidRDefault="00BD4A67">
      <w:pPr>
        <w:shd w:val="clear" w:color="auto" w:fill="FFFFFF"/>
        <w:spacing w:after="0" w:line="360" w:lineRule="auto"/>
        <w:jc w:val="both"/>
        <w:rPr>
          <w:rFonts w:ascii="Palatino Linotype" w:eastAsia="Palatino Linotype" w:hAnsi="Palatino Linotype" w:cs="Palatino Linotype"/>
          <w:color w:val="222222"/>
          <w:sz w:val="24"/>
          <w:szCs w:val="24"/>
        </w:rPr>
      </w:pPr>
      <w:r w:rsidRPr="006065EA">
        <w:rPr>
          <w:rFonts w:ascii="Palatino Linotype" w:eastAsia="Palatino Linotype" w:hAnsi="Palatino Linotype" w:cs="Palatino Linotype"/>
          <w:color w:val="222222"/>
          <w:sz w:val="24"/>
          <w:szCs w:val="24"/>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6065EA">
        <w:rPr>
          <w:rFonts w:ascii="Palatino Linotype" w:eastAsia="Palatino Linotype" w:hAnsi="Palatino Linotype" w:cs="Palatino Linotype"/>
          <w:color w:val="222222"/>
          <w:sz w:val="24"/>
          <w:szCs w:val="24"/>
          <w:vertAlign w:val="superscript"/>
        </w:rPr>
        <w:footnoteReference w:id="4"/>
      </w:r>
      <w:r w:rsidRPr="006065EA">
        <w:rPr>
          <w:rFonts w:ascii="Palatino Linotype" w:eastAsia="Palatino Linotype" w:hAnsi="Palatino Linotype" w:cs="Palatino Linotype"/>
          <w:color w:val="222222"/>
          <w:sz w:val="24"/>
          <w:szCs w:val="24"/>
        </w:rPr>
        <w:t xml:space="preserve">, situación que no se advierte en el presente caso, toda vez que </w:t>
      </w:r>
      <w:r w:rsidRPr="006065EA">
        <w:rPr>
          <w:rFonts w:ascii="Palatino Linotype" w:eastAsia="Palatino Linotype" w:hAnsi="Palatino Linotype" w:cs="Palatino Linotype"/>
          <w:b/>
          <w:color w:val="222222"/>
          <w:sz w:val="24"/>
          <w:szCs w:val="24"/>
        </w:rPr>
        <w:t>EL SUJETO OBLIGADO</w:t>
      </w:r>
      <w:r w:rsidRPr="006065EA">
        <w:rPr>
          <w:rFonts w:ascii="Palatino Linotype" w:eastAsia="Palatino Linotype" w:hAnsi="Palatino Linotype" w:cs="Palatino Linotype"/>
          <w:color w:val="222222"/>
          <w:sz w:val="24"/>
          <w:szCs w:val="24"/>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3A86AE7D" w14:textId="77777777" w:rsidR="00C3402C" w:rsidRPr="006065EA" w:rsidRDefault="00C3402C">
      <w:pPr>
        <w:shd w:val="clear" w:color="auto" w:fill="FFFFFF"/>
        <w:spacing w:after="0" w:line="360" w:lineRule="auto"/>
        <w:jc w:val="both"/>
        <w:rPr>
          <w:color w:val="222222"/>
          <w:sz w:val="24"/>
          <w:szCs w:val="24"/>
        </w:rPr>
      </w:pPr>
    </w:p>
    <w:p w14:paraId="5BE0CE2C" w14:textId="77777777" w:rsidR="00C3402C" w:rsidRPr="006065EA" w:rsidRDefault="00BD4A67">
      <w:pPr>
        <w:shd w:val="clear" w:color="auto" w:fill="FFFFFF"/>
        <w:spacing w:after="0" w:line="360" w:lineRule="auto"/>
        <w:jc w:val="both"/>
        <w:rPr>
          <w:rFonts w:ascii="Palatino Linotype" w:eastAsia="Palatino Linotype" w:hAnsi="Palatino Linotype" w:cs="Palatino Linotype"/>
          <w:color w:val="222222"/>
          <w:sz w:val="24"/>
          <w:szCs w:val="24"/>
        </w:rPr>
      </w:pPr>
      <w:r w:rsidRPr="006065EA">
        <w:rPr>
          <w:rFonts w:ascii="Palatino Linotype" w:eastAsia="Palatino Linotype" w:hAnsi="Palatino Linotype" w:cs="Palatino Linotype"/>
          <w:color w:val="222222"/>
          <w:sz w:val="24"/>
          <w:szCs w:val="24"/>
        </w:rPr>
        <w:lastRenderedPageBreak/>
        <w:t xml:space="preserve">En mérito de lo anterior, se colige que el </w:t>
      </w:r>
      <w:r w:rsidRPr="006065EA">
        <w:rPr>
          <w:rFonts w:ascii="Palatino Linotype" w:eastAsia="Palatino Linotype" w:hAnsi="Palatino Linotype" w:cs="Palatino Linotype"/>
          <w:b/>
          <w:color w:val="222222"/>
          <w:sz w:val="24"/>
          <w:szCs w:val="24"/>
        </w:rPr>
        <w:t>SUJETO OBLIGADO</w:t>
      </w:r>
      <w:r w:rsidRPr="006065EA">
        <w:rPr>
          <w:rFonts w:ascii="Palatino Linotype" w:eastAsia="Palatino Linotype" w:hAnsi="Palatino Linotype" w:cs="Palatino Linotype"/>
          <w:color w:val="222222"/>
          <w:sz w:val="24"/>
          <w:szCs w:val="24"/>
        </w:rPr>
        <w:t xml:space="preserve"> debió realizar una búsqueda exhaustiva y razonable de la información peticionada en la Dirección General de Seguridad y Prevención Ciudadana para que se pronunciaran respecto a la información solicitada, motivo por el que se ordena el documento en el que consten los tipos de trabajos, tareas y/o actividades realizan las autoridades de tránsito para agilizar, mejorar y regular la movilidad, que de manera enunciativa más no limitativa podría ser un reglamento, manual o circular, así como, la señalización sobre el sentido, direcciones de tránsito sobre el tramo del puente de "Tlapacoya" que se encuentre dentro del Municipio de Ixtapaluca, al diez de noviembre de dos mil veintidós.</w:t>
      </w:r>
    </w:p>
    <w:p w14:paraId="5A5242E0" w14:textId="77777777" w:rsidR="00C3402C" w:rsidRPr="006065EA" w:rsidRDefault="00C3402C">
      <w:pPr>
        <w:shd w:val="clear" w:color="auto" w:fill="FFFFFF"/>
        <w:spacing w:after="0" w:line="360" w:lineRule="auto"/>
        <w:jc w:val="both"/>
        <w:rPr>
          <w:rFonts w:ascii="Palatino Linotype" w:eastAsia="Palatino Linotype" w:hAnsi="Palatino Linotype" w:cs="Palatino Linotype"/>
          <w:color w:val="222222"/>
          <w:sz w:val="24"/>
          <w:szCs w:val="24"/>
        </w:rPr>
      </w:pPr>
    </w:p>
    <w:p w14:paraId="20DC83DD"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Sin embargo, si derivado de la búsqueda que se ordena, no se llegara a localizar la información que se ordena relativa a la </w:t>
      </w:r>
      <w:r w:rsidRPr="006065EA">
        <w:rPr>
          <w:rFonts w:ascii="Palatino Linotype" w:eastAsia="Palatino Linotype" w:hAnsi="Palatino Linotype" w:cs="Palatino Linotype"/>
          <w:sz w:val="18"/>
          <w:szCs w:val="18"/>
        </w:rPr>
        <w:t>señalización sobre el sentido, direcciones y direcciones de tránsito en cada una de las entradas y vías con las que cuenta</w:t>
      </w:r>
      <w:r w:rsidRPr="006065EA">
        <w:rPr>
          <w:rFonts w:ascii="Palatino Linotype" w:eastAsia="Palatino Linotype" w:hAnsi="Palatino Linotype" w:cs="Palatino Linotype"/>
          <w:sz w:val="24"/>
          <w:szCs w:val="24"/>
        </w:rPr>
        <w:t>,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46BB6BC2"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F21CD57" w14:textId="77777777" w:rsidR="00C3402C" w:rsidRPr="006065EA" w:rsidRDefault="00BD4A67">
      <w:pPr>
        <w:spacing w:after="120" w:line="276" w:lineRule="auto"/>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r w:rsidRPr="006065EA">
        <w:rPr>
          <w:rFonts w:ascii="Palatino Linotype" w:eastAsia="Palatino Linotype" w:hAnsi="Palatino Linotype" w:cs="Palatino Linotype"/>
          <w:b/>
          <w:i/>
        </w:rPr>
        <w:t>Artículo 19</w:t>
      </w:r>
      <w:r w:rsidRPr="006065EA">
        <w:rPr>
          <w:rFonts w:ascii="Palatino Linotype" w:eastAsia="Palatino Linotype" w:hAnsi="Palatino Linotype" w:cs="Palatino Linotype"/>
          <w:i/>
        </w:rPr>
        <w:t>…</w:t>
      </w:r>
    </w:p>
    <w:p w14:paraId="6ECF509A" w14:textId="77777777" w:rsidR="00C3402C" w:rsidRPr="006065EA" w:rsidRDefault="00BD4A67">
      <w:pPr>
        <w:spacing w:before="120" w:after="0" w:line="276" w:lineRule="auto"/>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22542786" w14:textId="77777777" w:rsidR="00C3402C" w:rsidRPr="006065EA" w:rsidRDefault="00C3402C">
      <w:pPr>
        <w:shd w:val="clear" w:color="auto" w:fill="FFFFFF"/>
        <w:spacing w:after="0" w:line="360" w:lineRule="auto"/>
        <w:jc w:val="both"/>
        <w:rPr>
          <w:rFonts w:ascii="Palatino Linotype" w:eastAsia="Palatino Linotype" w:hAnsi="Palatino Linotype" w:cs="Palatino Linotype"/>
          <w:color w:val="222222"/>
          <w:sz w:val="24"/>
          <w:szCs w:val="24"/>
        </w:rPr>
      </w:pPr>
    </w:p>
    <w:p w14:paraId="117CF1A9" w14:textId="77777777" w:rsidR="00C3402C" w:rsidRPr="006065EA" w:rsidRDefault="00C3402C">
      <w:pPr>
        <w:shd w:val="clear" w:color="auto" w:fill="FFFFFF"/>
        <w:spacing w:after="0" w:line="360" w:lineRule="auto"/>
        <w:jc w:val="both"/>
        <w:rPr>
          <w:rFonts w:ascii="Palatino Linotype" w:eastAsia="Palatino Linotype" w:hAnsi="Palatino Linotype" w:cs="Palatino Linotype"/>
          <w:color w:val="222222"/>
          <w:sz w:val="24"/>
          <w:szCs w:val="24"/>
        </w:rPr>
      </w:pPr>
    </w:p>
    <w:tbl>
      <w:tblPr>
        <w:tblStyle w:val="aa"/>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C3402C" w:rsidRPr="006065EA" w14:paraId="1785031F" w14:textId="77777777">
        <w:tc>
          <w:tcPr>
            <w:tcW w:w="2291" w:type="dxa"/>
            <w:shd w:val="clear" w:color="auto" w:fill="BFBFBF"/>
          </w:tcPr>
          <w:p w14:paraId="014F99CB"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Información requerida.</w:t>
            </w:r>
          </w:p>
        </w:tc>
        <w:tc>
          <w:tcPr>
            <w:tcW w:w="1226" w:type="dxa"/>
            <w:shd w:val="clear" w:color="auto" w:fill="BFBFBF"/>
          </w:tcPr>
          <w:p w14:paraId="65CBB977"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Respuesta</w:t>
            </w:r>
          </w:p>
        </w:tc>
        <w:tc>
          <w:tcPr>
            <w:tcW w:w="3132" w:type="dxa"/>
            <w:shd w:val="clear" w:color="auto" w:fill="BFBFBF"/>
          </w:tcPr>
          <w:p w14:paraId="5396F754"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Informe Justificado</w:t>
            </w:r>
          </w:p>
        </w:tc>
        <w:tc>
          <w:tcPr>
            <w:tcW w:w="2179" w:type="dxa"/>
            <w:shd w:val="clear" w:color="auto" w:fill="BFBFBF"/>
          </w:tcPr>
          <w:p w14:paraId="619B2270"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¿Colma?</w:t>
            </w:r>
          </w:p>
        </w:tc>
      </w:tr>
      <w:tr w:rsidR="00C3402C" w:rsidRPr="006065EA" w14:paraId="1A426F06" w14:textId="77777777">
        <w:tc>
          <w:tcPr>
            <w:tcW w:w="2291" w:type="dxa"/>
          </w:tcPr>
          <w:p w14:paraId="64D58D55" w14:textId="77777777" w:rsidR="00C3402C" w:rsidRPr="006065EA" w:rsidRDefault="00BD4A67">
            <w:pPr>
              <w:spacing w:before="240" w:after="240"/>
              <w:jc w:val="both"/>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sz w:val="18"/>
                <w:szCs w:val="18"/>
              </w:rPr>
              <w:t>5. Informe si existe algún convenio de colaboración con los municipios colindantes de Chalco y Valle de Chalco para el mejoramiento y agilización del tránsito vehicular que circula sobre el puente de "Tlapacoya"</w:t>
            </w:r>
          </w:p>
        </w:tc>
        <w:tc>
          <w:tcPr>
            <w:tcW w:w="1226" w:type="dxa"/>
            <w:vAlign w:val="center"/>
          </w:tcPr>
          <w:p w14:paraId="6F9BE43F" w14:textId="77777777" w:rsidR="00C3402C" w:rsidRPr="006065EA" w:rsidRDefault="00BD4A67">
            <w:pPr>
              <w:spacing w:before="240" w:after="240"/>
              <w:jc w:val="center"/>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color w:val="000000"/>
                <w:sz w:val="18"/>
                <w:szCs w:val="18"/>
              </w:rPr>
              <w:t>N/A</w:t>
            </w:r>
          </w:p>
        </w:tc>
        <w:tc>
          <w:tcPr>
            <w:tcW w:w="3132" w:type="dxa"/>
            <w:vAlign w:val="center"/>
          </w:tcPr>
          <w:p w14:paraId="4A903414"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No existe ningún convenio por parte del Municipio de Ixtapaluca y los municipios colindantes de Chalco y Valle de Chalco. </w:t>
            </w:r>
          </w:p>
        </w:tc>
        <w:tc>
          <w:tcPr>
            <w:tcW w:w="2179" w:type="dxa"/>
          </w:tcPr>
          <w:p w14:paraId="192AD263"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No. </w:t>
            </w:r>
          </w:p>
          <w:p w14:paraId="1AD5E1C1"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 </w:t>
            </w:r>
          </w:p>
        </w:tc>
      </w:tr>
      <w:tr w:rsidR="00C3402C" w:rsidRPr="006065EA" w14:paraId="426B87DE" w14:textId="77777777">
        <w:tc>
          <w:tcPr>
            <w:tcW w:w="2291" w:type="dxa"/>
          </w:tcPr>
          <w:p w14:paraId="01A9FEB8" w14:textId="77777777" w:rsidR="00C3402C" w:rsidRPr="006065EA" w:rsidRDefault="00BD4A67">
            <w:pPr>
              <w:spacing w:before="240" w:after="240"/>
              <w:jc w:val="both"/>
              <w:rPr>
                <w:rFonts w:ascii="Palatino Linotype" w:eastAsia="Palatino Linotype" w:hAnsi="Palatino Linotype" w:cs="Palatino Linotype"/>
                <w:sz w:val="18"/>
                <w:szCs w:val="18"/>
              </w:rPr>
            </w:pPr>
            <w:r w:rsidRPr="006065EA">
              <w:rPr>
                <w:rFonts w:ascii="Palatino Linotype" w:eastAsia="Palatino Linotype" w:hAnsi="Palatino Linotype" w:cs="Palatino Linotype"/>
                <w:sz w:val="18"/>
                <w:szCs w:val="18"/>
              </w:rPr>
              <w:t>6. Informe si se cuenta con un convenio de colaboración con autoridades estatales o federales que contribuyan a las labores de tránsito, señalización o mantenimiento del puente de “Tlapacoya”, en caso positivo adjuntar evidencia que sustente su dicho.</w:t>
            </w:r>
          </w:p>
        </w:tc>
        <w:tc>
          <w:tcPr>
            <w:tcW w:w="1226" w:type="dxa"/>
            <w:vAlign w:val="center"/>
          </w:tcPr>
          <w:p w14:paraId="719D7B88" w14:textId="77777777" w:rsidR="00C3402C" w:rsidRPr="006065EA" w:rsidRDefault="00BD4A67">
            <w:pPr>
              <w:spacing w:before="240" w:after="240"/>
              <w:jc w:val="center"/>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color w:val="000000"/>
                <w:sz w:val="18"/>
                <w:szCs w:val="18"/>
              </w:rPr>
              <w:t>N/A</w:t>
            </w:r>
          </w:p>
        </w:tc>
        <w:tc>
          <w:tcPr>
            <w:tcW w:w="3132" w:type="dxa"/>
            <w:vAlign w:val="center"/>
          </w:tcPr>
          <w:p w14:paraId="4199146E"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Se desconoce por la Dirección a mi cargo si se cuenta con un convenio de colaboración con autoridades estatales y federales. </w:t>
            </w:r>
          </w:p>
        </w:tc>
        <w:tc>
          <w:tcPr>
            <w:tcW w:w="2179" w:type="dxa"/>
          </w:tcPr>
          <w:p w14:paraId="28B1A74A"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No. </w:t>
            </w:r>
          </w:p>
        </w:tc>
      </w:tr>
    </w:tbl>
    <w:p w14:paraId="32481C27"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36CC91B"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color w:val="000000"/>
          <w:sz w:val="24"/>
          <w:szCs w:val="24"/>
        </w:rPr>
        <w:t xml:space="preserve">Respecto a la información solicitada resulta conveniente citar </w:t>
      </w:r>
      <w:r w:rsidRPr="006065EA">
        <w:rPr>
          <w:rFonts w:ascii="Palatino Linotype" w:eastAsia="Palatino Linotype" w:hAnsi="Palatino Linotype" w:cs="Palatino Linotype"/>
          <w:sz w:val="24"/>
          <w:szCs w:val="24"/>
        </w:rPr>
        <w:t>la siguiente reglamentación, aplicable al presente recurso:</w:t>
      </w:r>
    </w:p>
    <w:p w14:paraId="4F6BC87B" w14:textId="77777777" w:rsidR="00C3402C" w:rsidRPr="006065EA" w:rsidRDefault="00C3402C">
      <w:pPr>
        <w:shd w:val="clear" w:color="auto" w:fill="FFFFFF"/>
        <w:spacing w:after="0" w:line="276" w:lineRule="auto"/>
        <w:ind w:left="993" w:right="1041"/>
        <w:jc w:val="both"/>
        <w:rPr>
          <w:rFonts w:ascii="Palatino Linotype" w:eastAsia="Palatino Linotype" w:hAnsi="Palatino Linotype" w:cs="Palatino Linotype"/>
          <w:b/>
          <w:i/>
        </w:rPr>
      </w:pPr>
    </w:p>
    <w:p w14:paraId="74F6EEF2"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b/>
          <w:i/>
        </w:rPr>
        <w:t>REGLAMENTO DE LA DIRECCIÓN DE ASUNTOS JURÍDICOS DEL MUNICIPIO DE IXTAPALUCA</w:t>
      </w:r>
    </w:p>
    <w:p w14:paraId="4039B911"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i/>
        </w:rPr>
        <w:lastRenderedPageBreak/>
        <w:t>Artículo 5.- La Dirección, tiene la atribución de programar, proyectar, ordenar y efectuar todas las acciones, defensas y excepciones propias de la materia de este Reglamento, para lo que de manera enunciativa y no limitativa podrá:</w:t>
      </w:r>
    </w:p>
    <w:p w14:paraId="017DA476"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i/>
        </w:rPr>
        <w:t>(…)</w:t>
      </w:r>
    </w:p>
    <w:p w14:paraId="4C1AE9D4" w14:textId="77777777" w:rsidR="00C3402C" w:rsidRPr="006065EA" w:rsidRDefault="00BD4A67">
      <w:pPr>
        <w:shd w:val="clear" w:color="auto" w:fill="FFFFFF"/>
        <w:spacing w:after="0" w:line="276" w:lineRule="auto"/>
        <w:ind w:left="993" w:right="1041"/>
        <w:jc w:val="both"/>
        <w:rPr>
          <w:color w:val="222222"/>
        </w:rPr>
      </w:pPr>
      <w:r w:rsidRPr="006065EA">
        <w:rPr>
          <w:rFonts w:ascii="Palatino Linotype" w:eastAsia="Palatino Linotype" w:hAnsi="Palatino Linotype" w:cs="Palatino Linotype"/>
          <w:i/>
        </w:rPr>
        <w:t>X. Diseñar los contratos y convenios en que el Municipio sea parte, o intervenir en su elaboración;</w:t>
      </w:r>
    </w:p>
    <w:p w14:paraId="3F89553D"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297E7B2"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Con lo que se entiende que la Dirección Jurídica del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diseña los contratos y convenios en que el Municipio sea parte, o intervenir en su elaboración.</w:t>
      </w:r>
    </w:p>
    <w:p w14:paraId="68A045AB"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color w:val="000000"/>
          <w:sz w:val="24"/>
          <w:szCs w:val="24"/>
        </w:rPr>
        <w:t xml:space="preserve">Además, sobre la información en referencia, se trata de una obligación de transparencia que le aplica al </w:t>
      </w:r>
      <w:r w:rsidRPr="006065EA">
        <w:rPr>
          <w:rFonts w:ascii="Palatino Linotype" w:eastAsia="Palatino Linotype" w:hAnsi="Palatino Linotype" w:cs="Palatino Linotype"/>
          <w:b/>
          <w:color w:val="000000"/>
          <w:sz w:val="24"/>
          <w:szCs w:val="24"/>
        </w:rPr>
        <w:t>SUJETO OBLIGADO</w:t>
      </w:r>
      <w:r w:rsidRPr="006065EA">
        <w:rPr>
          <w:rFonts w:ascii="Palatino Linotype" w:eastAsia="Palatino Linotype" w:hAnsi="Palatino Linotype" w:cs="Palatino Linotype"/>
          <w:color w:val="000000"/>
          <w:sz w:val="24"/>
          <w:szCs w:val="24"/>
        </w:rPr>
        <w:t xml:space="preserve">, de conformidad con lo dispuesto </w:t>
      </w:r>
      <w:r w:rsidRPr="006065EA">
        <w:rPr>
          <w:rFonts w:ascii="Palatino Linotype" w:eastAsia="Palatino Linotype" w:hAnsi="Palatino Linotype" w:cs="Palatino Linotype"/>
          <w:sz w:val="24"/>
          <w:szCs w:val="24"/>
        </w:rPr>
        <w:t>en el artículo 92 fracción XXXII de la Ley de Transparencia y Acceso a la Información Pública del Estado de México y Municipios; que a la letra señala:</w:t>
      </w:r>
    </w:p>
    <w:p w14:paraId="679D9F3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24F0EE1F" w14:textId="77777777" w:rsidR="00C3402C" w:rsidRPr="006065EA" w:rsidRDefault="00BD4A67">
      <w:pPr>
        <w:spacing w:after="0" w:line="360" w:lineRule="auto"/>
        <w:ind w:left="851" w:right="992"/>
        <w:jc w:val="center"/>
        <w:rPr>
          <w:rFonts w:ascii="Palatino Linotype" w:eastAsia="Palatino Linotype" w:hAnsi="Palatino Linotype" w:cs="Palatino Linotype"/>
          <w:i/>
        </w:rPr>
      </w:pPr>
      <w:r w:rsidRPr="006065EA">
        <w:rPr>
          <w:rFonts w:ascii="Palatino Linotype" w:eastAsia="Palatino Linotype" w:hAnsi="Palatino Linotype" w:cs="Palatino Linotype"/>
          <w:i/>
        </w:rPr>
        <w:t>Capítulo II</w:t>
      </w:r>
    </w:p>
    <w:p w14:paraId="49EBF480" w14:textId="77777777" w:rsidR="00C3402C" w:rsidRPr="006065EA" w:rsidRDefault="00BD4A67">
      <w:pPr>
        <w:spacing w:line="276" w:lineRule="auto"/>
        <w:ind w:left="851" w:right="992"/>
        <w:jc w:val="center"/>
        <w:rPr>
          <w:rFonts w:ascii="Palatino Linotype" w:eastAsia="Palatino Linotype" w:hAnsi="Palatino Linotype" w:cs="Palatino Linotype"/>
          <w:i/>
        </w:rPr>
      </w:pPr>
      <w:r w:rsidRPr="006065EA">
        <w:rPr>
          <w:rFonts w:ascii="Palatino Linotype" w:eastAsia="Palatino Linotype" w:hAnsi="Palatino Linotype" w:cs="Palatino Linotype"/>
          <w:i/>
        </w:rPr>
        <w:t>De las Obligaciones de Transparencia Comunes</w:t>
      </w:r>
    </w:p>
    <w:p w14:paraId="7C0FB926" w14:textId="77777777" w:rsidR="00C3402C" w:rsidRPr="006065EA" w:rsidRDefault="00BD4A67">
      <w:pPr>
        <w:spacing w:line="276" w:lineRule="auto"/>
        <w:ind w:left="851" w:right="992"/>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23EE12B" w14:textId="77777777" w:rsidR="00C3402C" w:rsidRPr="006065EA" w:rsidRDefault="00BD4A67">
      <w:pPr>
        <w:spacing w:line="276" w:lineRule="auto"/>
        <w:ind w:left="851" w:right="992"/>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I al XXXI… </w:t>
      </w:r>
    </w:p>
    <w:p w14:paraId="4150D390" w14:textId="77777777" w:rsidR="00C3402C" w:rsidRPr="006065EA" w:rsidRDefault="00BD4A67">
      <w:pPr>
        <w:spacing w:line="276" w:lineRule="auto"/>
        <w:ind w:left="851" w:right="992"/>
        <w:jc w:val="both"/>
        <w:rPr>
          <w:rFonts w:ascii="Palatino Linotype" w:eastAsia="Palatino Linotype" w:hAnsi="Palatino Linotype" w:cs="Palatino Linotype"/>
          <w:i/>
          <w:sz w:val="32"/>
          <w:szCs w:val="32"/>
        </w:rPr>
      </w:pPr>
      <w:r w:rsidRPr="006065EA">
        <w:rPr>
          <w:rFonts w:ascii="Palatino Linotype" w:eastAsia="Palatino Linotype" w:hAnsi="Palatino Linotype" w:cs="Palatino Linotype"/>
          <w:i/>
        </w:rPr>
        <w:t xml:space="preserve">XXXII. Las concesiones, </w:t>
      </w:r>
      <w:r w:rsidRPr="006065EA">
        <w:rPr>
          <w:rFonts w:ascii="Palatino Linotype" w:eastAsia="Palatino Linotype" w:hAnsi="Palatino Linotype" w:cs="Palatino Linotype"/>
          <w:b/>
          <w:i/>
          <w:u w:val="single"/>
        </w:rPr>
        <w:t>contratos, convenios</w:t>
      </w:r>
      <w:r w:rsidRPr="006065EA">
        <w:rPr>
          <w:rFonts w:ascii="Palatino Linotype" w:eastAsia="Palatino Linotype" w:hAnsi="Palatino Linotype" w:cs="Palatino Linotype"/>
          <w:i/>
        </w:rPr>
        <w:t xml:space="preserve">, permisos, licencias o autorizaciones otorgados, especificando los titulares de aquéllos, debiendo publicarse su objeto, nombre o razón social del titular, vigencia, tipo, términos, condiciones, monto y modificaciones, así como si el procedimiento involucra el </w:t>
      </w:r>
      <w:r w:rsidRPr="006065EA">
        <w:rPr>
          <w:rFonts w:ascii="Palatino Linotype" w:eastAsia="Palatino Linotype" w:hAnsi="Palatino Linotype" w:cs="Palatino Linotype"/>
          <w:i/>
        </w:rPr>
        <w:lastRenderedPageBreak/>
        <w:t>aprovechamiento de bienes, servicios y/o recursos públicos; XXXIII al LII. (Énfasis añadido)</w:t>
      </w:r>
    </w:p>
    <w:p w14:paraId="54D103D8"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718D5FB7"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579DDF0C" w14:textId="77777777" w:rsidR="00C3402C" w:rsidRPr="006065EA" w:rsidRDefault="00BD4A67">
      <w:pPr>
        <w:spacing w:after="0" w:line="276" w:lineRule="auto"/>
        <w:ind w:left="851" w:right="900"/>
        <w:jc w:val="center"/>
        <w:rPr>
          <w:rFonts w:ascii="Palatino Linotype" w:eastAsia="Palatino Linotype" w:hAnsi="Palatino Linotype" w:cs="Palatino Linotype"/>
          <w:i/>
        </w:rPr>
      </w:pPr>
      <w:r w:rsidRPr="006065EA">
        <w:rPr>
          <w:rFonts w:ascii="Palatino Linotype" w:eastAsia="Palatino Linotype" w:hAnsi="Palatino Linotype" w:cs="Palatino Linotype"/>
          <w:i/>
        </w:rPr>
        <w:t>OBLIGACIONES DE TRANSPARENCIA COMUNES</w:t>
      </w:r>
    </w:p>
    <w:p w14:paraId="5E82BB08" w14:textId="77777777" w:rsidR="00C3402C" w:rsidRPr="006065EA" w:rsidRDefault="00BD4A67">
      <w:pPr>
        <w:spacing w:line="276" w:lineRule="auto"/>
        <w:ind w:left="851" w:right="900"/>
        <w:jc w:val="center"/>
        <w:rPr>
          <w:rFonts w:ascii="Palatino Linotype" w:eastAsia="Palatino Linotype" w:hAnsi="Palatino Linotype" w:cs="Palatino Linotype"/>
          <w:i/>
        </w:rPr>
      </w:pPr>
      <w:r w:rsidRPr="006065EA">
        <w:rPr>
          <w:rFonts w:ascii="Palatino Linotype" w:eastAsia="Palatino Linotype" w:hAnsi="Palatino Linotype" w:cs="Palatino Linotype"/>
          <w:i/>
        </w:rPr>
        <w:t>TODOS LOS SUJETOS OBLIGADOS</w:t>
      </w:r>
    </w:p>
    <w:p w14:paraId="584DFC6B"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Criterios para las obligaciones de transparencia comunes</w:t>
      </w:r>
    </w:p>
    <w:p w14:paraId="42D97EE5"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2CE5F1DB"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0C7C3029"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El artículo 70 dice a la letra:</w:t>
      </w:r>
    </w:p>
    <w:p w14:paraId="135040F5"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8D8A2FE"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p>
    <w:p w14:paraId="79F18F49"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lastRenderedPageBreak/>
        <w:t>Periodo de actualización: trimestral</w:t>
      </w:r>
    </w:p>
    <w:p w14:paraId="4312D962"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Conservar en el sitio de Internet: información del ejercicio en curso y la correspondiente a dos ejercicios anteriores</w:t>
      </w:r>
    </w:p>
    <w:p w14:paraId="452A53CD"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Aplica a: todos los sujetos obligados</w:t>
      </w:r>
    </w:p>
    <w:p w14:paraId="03DDB917"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C12641F"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1897DF04"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La información se organizará por acto jurídico y respecto de cada uno se especificará su tipo. Por ejemplo:</w:t>
      </w:r>
    </w:p>
    <w:p w14:paraId="155369B5" w14:textId="77777777" w:rsidR="00C3402C" w:rsidRPr="006065EA" w:rsidRDefault="00BD4A67">
      <w:pPr>
        <w:spacing w:line="276"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p>
    <w:p w14:paraId="3C0B02A5" w14:textId="77777777" w:rsidR="00C3402C" w:rsidRPr="006065EA" w:rsidRDefault="00BD4A67">
      <w:pPr>
        <w:spacing w:after="0" w:line="360" w:lineRule="auto"/>
        <w:ind w:left="851" w:right="900"/>
        <w:jc w:val="both"/>
        <w:rPr>
          <w:rFonts w:ascii="Palatino Linotype" w:eastAsia="Palatino Linotype" w:hAnsi="Palatino Linotype" w:cs="Palatino Linotype"/>
          <w:i/>
        </w:rPr>
      </w:pPr>
      <w:r w:rsidRPr="006065EA">
        <w:rPr>
          <w:rFonts w:ascii="Palatino Linotype" w:eastAsia="Palatino Linotype" w:hAnsi="Palatino Linotype" w:cs="Palatino Linotype"/>
          <w:b/>
          <w:i/>
        </w:rPr>
        <w:t>Contrato.</w:t>
      </w:r>
      <w:r w:rsidRPr="006065EA">
        <w:rPr>
          <w:rFonts w:ascii="Palatino Linotype" w:eastAsia="Palatino Linotype" w:hAnsi="Palatino Linotype" w:cs="Palatino Linotype"/>
          <w:i/>
        </w:rPr>
        <w:t xml:space="preserve"> Aquellos celebrados por el sujeto obligado y que se realicen con cargo total o parcial a recursos públicos de acuerdo con las leyes que le sean aplicables 102.</w:t>
      </w:r>
    </w:p>
    <w:p w14:paraId="0D714F22" w14:textId="77777777" w:rsidR="00C3402C" w:rsidRPr="006065EA" w:rsidRDefault="00C3402C">
      <w:pPr>
        <w:spacing w:after="0" w:line="360" w:lineRule="auto"/>
        <w:ind w:left="851" w:right="900"/>
        <w:jc w:val="both"/>
        <w:rPr>
          <w:rFonts w:ascii="Palatino Linotype" w:eastAsia="Palatino Linotype" w:hAnsi="Palatino Linotype" w:cs="Palatino Linotype"/>
          <w:i/>
        </w:rPr>
      </w:pPr>
    </w:p>
    <w:p w14:paraId="4EF58100"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Además de que, como se mencionó con anterioridad,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xml:space="preserve"> no turnó la solicitud de información a la Dirección Jurídica, por lo que se aprecia, que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citado con anterioridad, motivo por el que se ordenan, de ser necesario, en términos </w:t>
      </w:r>
      <w:r w:rsidRPr="006065EA">
        <w:rPr>
          <w:rFonts w:ascii="Palatino Linotype" w:eastAsia="Palatino Linotype" w:hAnsi="Palatino Linotype" w:cs="Palatino Linotype"/>
          <w:sz w:val="24"/>
          <w:szCs w:val="24"/>
        </w:rPr>
        <w:lastRenderedPageBreak/>
        <w:t>del considerando quinto, los convenios de colaboración con los municipios colindantes de Chalco y Valle de Chalco para el mejoramiento y agilización del tránsito vehicular que circula sobre el puente de "Tlapacoya; y de colaboración con autoridades estatales o federales que contribuyan a las labores de tránsito, señalización o mantenimiento del puente de “Tlapacoya”.</w:t>
      </w:r>
    </w:p>
    <w:p w14:paraId="3B62B8F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555DA428"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Sin embargo, si derivado de la búsqueda que se ordena, no se llegara a localizar la información que se ordena,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046F6BA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41808B7A" w14:textId="77777777" w:rsidR="00C3402C" w:rsidRPr="006065EA" w:rsidRDefault="00BD4A67">
      <w:pPr>
        <w:spacing w:after="120" w:line="276" w:lineRule="auto"/>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r w:rsidRPr="006065EA">
        <w:rPr>
          <w:rFonts w:ascii="Palatino Linotype" w:eastAsia="Palatino Linotype" w:hAnsi="Palatino Linotype" w:cs="Palatino Linotype"/>
          <w:b/>
          <w:i/>
        </w:rPr>
        <w:t>Artículo 19</w:t>
      </w:r>
      <w:r w:rsidRPr="006065EA">
        <w:rPr>
          <w:rFonts w:ascii="Palatino Linotype" w:eastAsia="Palatino Linotype" w:hAnsi="Palatino Linotype" w:cs="Palatino Linotype"/>
          <w:i/>
        </w:rPr>
        <w:t>…</w:t>
      </w:r>
    </w:p>
    <w:p w14:paraId="7B73A38E" w14:textId="77777777" w:rsidR="00C3402C" w:rsidRPr="006065EA" w:rsidRDefault="00BD4A67">
      <w:pPr>
        <w:spacing w:before="120" w:after="0" w:line="276" w:lineRule="auto"/>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1E566F6E"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74FD97B7"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color w:val="000000"/>
          <w:sz w:val="24"/>
          <w:szCs w:val="24"/>
        </w:rPr>
        <w:t>Ahora bien</w:t>
      </w:r>
      <w:r w:rsidRPr="006065EA">
        <w:rPr>
          <w:rFonts w:ascii="Palatino Linotype" w:eastAsia="Palatino Linotype" w:hAnsi="Palatino Linotype" w:cs="Palatino Linotype"/>
          <w:sz w:val="24"/>
          <w:szCs w:val="24"/>
        </w:rPr>
        <w:t xml:space="preserve"> derivado que del contenido de la solicitud de información, se advierte que el particular omitió 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w:t>
      </w:r>
      <w:r w:rsidRPr="006065EA">
        <w:rPr>
          <w:rFonts w:ascii="Palatino Linotype" w:eastAsia="Palatino Linotype" w:hAnsi="Palatino Linotype" w:cs="Palatino Linotype"/>
          <w:sz w:val="24"/>
          <w:szCs w:val="24"/>
        </w:rPr>
        <w:lastRenderedPageBreak/>
        <w:t xml:space="preserve">anterior a la fecha en que fue presentada su solicitud; es decir, del diez de noviembre de dos mil veintiuno al diez de noviembre de dos mil veintidós. </w:t>
      </w:r>
    </w:p>
    <w:p w14:paraId="3FB22FA2"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1DA1FE9"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Es aplicable el Criterio 03-19, emitido por el Instituto Nacional de Transparencia, Acceso a la Información y Protección de Datos Personales, que dice: </w:t>
      </w:r>
    </w:p>
    <w:p w14:paraId="1807011E"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5FC29CB6" w14:textId="77777777" w:rsidR="00C3402C" w:rsidRPr="006065EA" w:rsidRDefault="00BD4A67">
      <w:pPr>
        <w:spacing w:line="276" w:lineRule="auto"/>
        <w:ind w:left="850" w:right="901"/>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r w:rsidRPr="006065EA">
        <w:rPr>
          <w:rFonts w:ascii="Palatino Linotype" w:eastAsia="Palatino Linotype" w:hAnsi="Palatino Linotype" w:cs="Palatino Linotype"/>
          <w:b/>
          <w:i/>
        </w:rPr>
        <w:t>Periodo de búsqueda de la información.</w:t>
      </w:r>
      <w:r w:rsidRPr="006065EA">
        <w:rPr>
          <w:rFonts w:ascii="Palatino Linotype" w:eastAsia="Palatino Linotype" w:hAnsi="Palatino Linotype" w:cs="Palatino Linotype"/>
          <w:i/>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802D087" w14:textId="77777777" w:rsidR="00C3402C" w:rsidRPr="006065EA" w:rsidRDefault="00C3402C">
      <w:pPr>
        <w:spacing w:after="0" w:line="360" w:lineRule="auto"/>
        <w:jc w:val="both"/>
        <w:rPr>
          <w:rFonts w:ascii="Palatino Linotype" w:eastAsia="Palatino Linotype" w:hAnsi="Palatino Linotype" w:cs="Palatino Linotype"/>
          <w:sz w:val="24"/>
          <w:szCs w:val="24"/>
        </w:rPr>
      </w:pPr>
    </w:p>
    <w:tbl>
      <w:tblPr>
        <w:tblStyle w:val="ab"/>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C3402C" w:rsidRPr="006065EA" w14:paraId="2B9EA41E" w14:textId="77777777">
        <w:tc>
          <w:tcPr>
            <w:tcW w:w="2291" w:type="dxa"/>
            <w:shd w:val="clear" w:color="auto" w:fill="BFBFBF"/>
          </w:tcPr>
          <w:p w14:paraId="2F069FCA"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Información requerida.</w:t>
            </w:r>
          </w:p>
        </w:tc>
        <w:tc>
          <w:tcPr>
            <w:tcW w:w="1226" w:type="dxa"/>
            <w:shd w:val="clear" w:color="auto" w:fill="BFBFBF"/>
          </w:tcPr>
          <w:p w14:paraId="2C2CCC92"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Respuesta</w:t>
            </w:r>
          </w:p>
        </w:tc>
        <w:tc>
          <w:tcPr>
            <w:tcW w:w="3132" w:type="dxa"/>
            <w:shd w:val="clear" w:color="auto" w:fill="BFBFBF"/>
          </w:tcPr>
          <w:p w14:paraId="4DB0BBC1"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Informe Justificado</w:t>
            </w:r>
          </w:p>
        </w:tc>
        <w:tc>
          <w:tcPr>
            <w:tcW w:w="2179" w:type="dxa"/>
            <w:shd w:val="clear" w:color="auto" w:fill="BFBFBF"/>
          </w:tcPr>
          <w:p w14:paraId="101FB63B" w14:textId="77777777" w:rsidR="00C3402C" w:rsidRPr="006065EA" w:rsidRDefault="00BD4A67">
            <w:pPr>
              <w:spacing w:before="240" w:after="240"/>
              <w:ind w:firstLine="114"/>
              <w:jc w:val="center"/>
              <w:rPr>
                <w:rFonts w:ascii="Palatino Linotype" w:eastAsia="Palatino Linotype" w:hAnsi="Palatino Linotype" w:cs="Palatino Linotype"/>
                <w:b/>
                <w:i/>
                <w:color w:val="000000"/>
                <w:sz w:val="18"/>
                <w:szCs w:val="18"/>
              </w:rPr>
            </w:pPr>
            <w:r w:rsidRPr="006065EA">
              <w:rPr>
                <w:rFonts w:ascii="Palatino Linotype" w:eastAsia="Palatino Linotype" w:hAnsi="Palatino Linotype" w:cs="Palatino Linotype"/>
                <w:b/>
                <w:i/>
                <w:color w:val="000000"/>
                <w:sz w:val="18"/>
                <w:szCs w:val="18"/>
              </w:rPr>
              <w:t>¿Colma?</w:t>
            </w:r>
          </w:p>
        </w:tc>
      </w:tr>
      <w:tr w:rsidR="00C3402C" w:rsidRPr="006065EA" w14:paraId="657DF515" w14:textId="77777777">
        <w:tc>
          <w:tcPr>
            <w:tcW w:w="2291" w:type="dxa"/>
          </w:tcPr>
          <w:p w14:paraId="000ACC99" w14:textId="77777777" w:rsidR="00C3402C" w:rsidRPr="006065EA" w:rsidRDefault="00BD4A67">
            <w:pPr>
              <w:spacing w:before="240" w:after="240"/>
              <w:jc w:val="both"/>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sz w:val="18"/>
                <w:szCs w:val="18"/>
              </w:rPr>
              <w:t>7. Informe en caso de no contar con competencia o información, cual es la autoridad competente en materia de tránsito y señalización que regule el tránsito por el puente de “Tlapacoya”</w:t>
            </w:r>
          </w:p>
        </w:tc>
        <w:tc>
          <w:tcPr>
            <w:tcW w:w="1226" w:type="dxa"/>
            <w:vAlign w:val="center"/>
          </w:tcPr>
          <w:p w14:paraId="3957B7D0" w14:textId="77777777" w:rsidR="00C3402C" w:rsidRPr="006065EA" w:rsidRDefault="00BD4A67">
            <w:pPr>
              <w:spacing w:before="240" w:after="240"/>
              <w:jc w:val="center"/>
              <w:rPr>
                <w:rFonts w:ascii="Palatino Linotype" w:eastAsia="Palatino Linotype" w:hAnsi="Palatino Linotype" w:cs="Palatino Linotype"/>
                <w:color w:val="000000"/>
                <w:sz w:val="18"/>
                <w:szCs w:val="18"/>
              </w:rPr>
            </w:pPr>
            <w:r w:rsidRPr="006065EA">
              <w:rPr>
                <w:rFonts w:ascii="Palatino Linotype" w:eastAsia="Palatino Linotype" w:hAnsi="Palatino Linotype" w:cs="Palatino Linotype"/>
                <w:color w:val="000000"/>
                <w:sz w:val="18"/>
                <w:szCs w:val="18"/>
              </w:rPr>
              <w:t>N/A</w:t>
            </w:r>
          </w:p>
        </w:tc>
        <w:tc>
          <w:tcPr>
            <w:tcW w:w="3132" w:type="dxa"/>
            <w:vAlign w:val="center"/>
          </w:tcPr>
          <w:p w14:paraId="7533832C"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Las autoridades competentes, son la junta de caminos y la </w:t>
            </w:r>
            <w:proofErr w:type="gramStart"/>
            <w:r w:rsidRPr="006065EA">
              <w:rPr>
                <w:rFonts w:ascii="Palatino Linotype" w:eastAsia="Palatino Linotype" w:hAnsi="Palatino Linotype" w:cs="Palatino Linotype"/>
                <w:color w:val="000000"/>
                <w:sz w:val="20"/>
                <w:szCs w:val="20"/>
              </w:rPr>
              <w:t>Secretaria</w:t>
            </w:r>
            <w:proofErr w:type="gramEnd"/>
            <w:r w:rsidRPr="006065EA">
              <w:rPr>
                <w:rFonts w:ascii="Palatino Linotype" w:eastAsia="Palatino Linotype" w:hAnsi="Palatino Linotype" w:cs="Palatino Linotype"/>
                <w:color w:val="000000"/>
                <w:sz w:val="20"/>
                <w:szCs w:val="20"/>
              </w:rPr>
              <w:t xml:space="preserve"> de Comunicaciones y Transportes, debido a que no cuenta con la información a su cargo.  </w:t>
            </w:r>
          </w:p>
        </w:tc>
        <w:tc>
          <w:tcPr>
            <w:tcW w:w="2179" w:type="dxa"/>
          </w:tcPr>
          <w:p w14:paraId="543C29F1"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No. </w:t>
            </w:r>
          </w:p>
          <w:p w14:paraId="2321DF3D" w14:textId="77777777" w:rsidR="00C3402C" w:rsidRPr="006065EA" w:rsidRDefault="00BD4A67">
            <w:pPr>
              <w:spacing w:before="240" w:after="240"/>
              <w:jc w:val="both"/>
              <w:rPr>
                <w:rFonts w:ascii="Palatino Linotype" w:eastAsia="Palatino Linotype" w:hAnsi="Palatino Linotype" w:cs="Palatino Linotype"/>
                <w:color w:val="000000"/>
                <w:sz w:val="20"/>
                <w:szCs w:val="20"/>
              </w:rPr>
            </w:pPr>
            <w:r w:rsidRPr="006065EA">
              <w:rPr>
                <w:rFonts w:ascii="Palatino Linotype" w:eastAsia="Palatino Linotype" w:hAnsi="Palatino Linotype" w:cs="Palatino Linotype"/>
                <w:color w:val="000000"/>
                <w:sz w:val="20"/>
                <w:szCs w:val="20"/>
              </w:rPr>
              <w:t xml:space="preserve"> </w:t>
            </w:r>
          </w:p>
        </w:tc>
      </w:tr>
    </w:tbl>
    <w:p w14:paraId="2C30233C"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4DC49142"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Es importante reiterar que </w:t>
      </w:r>
      <w:r w:rsidRPr="006065EA">
        <w:rPr>
          <w:rFonts w:ascii="Palatino Linotype" w:eastAsia="Palatino Linotype" w:hAnsi="Palatino Linotype" w:cs="Palatino Linotype"/>
          <w:b/>
          <w:sz w:val="24"/>
          <w:szCs w:val="24"/>
        </w:rPr>
        <w:t xml:space="preserve">EL SUJETO OBLIGADO </w:t>
      </w:r>
      <w:r w:rsidRPr="006065EA">
        <w:rPr>
          <w:rFonts w:ascii="Palatino Linotype" w:eastAsia="Palatino Linotype" w:hAnsi="Palatino Linotype" w:cs="Palatino Linotype"/>
          <w:sz w:val="24"/>
          <w:szCs w:val="24"/>
        </w:rPr>
        <w:t xml:space="preserve">en otro punto de la solicitud, menciona que solo es competente en un tramo del puente de “Tlapacoya”, siendo responsable en lo demás la Junta de Caminos y la </w:t>
      </w:r>
      <w:proofErr w:type="gramStart"/>
      <w:r w:rsidRPr="006065EA">
        <w:rPr>
          <w:rFonts w:ascii="Palatino Linotype" w:eastAsia="Palatino Linotype" w:hAnsi="Palatino Linotype" w:cs="Palatino Linotype"/>
          <w:sz w:val="24"/>
          <w:szCs w:val="24"/>
        </w:rPr>
        <w:t>Secretaria</w:t>
      </w:r>
      <w:proofErr w:type="gramEnd"/>
      <w:r w:rsidRPr="006065EA">
        <w:rPr>
          <w:rFonts w:ascii="Palatino Linotype" w:eastAsia="Palatino Linotype" w:hAnsi="Palatino Linotype" w:cs="Palatino Linotype"/>
          <w:sz w:val="24"/>
          <w:szCs w:val="24"/>
        </w:rPr>
        <w:t xml:space="preserve"> de Comunicaciones y Transportes, por lo que se advierte que el </w:t>
      </w:r>
      <w:r w:rsidRPr="006065EA">
        <w:rPr>
          <w:rFonts w:ascii="Palatino Linotype" w:eastAsia="Palatino Linotype" w:hAnsi="Palatino Linotype" w:cs="Palatino Linotype"/>
          <w:b/>
          <w:sz w:val="24"/>
          <w:szCs w:val="24"/>
        </w:rPr>
        <w:t xml:space="preserve">SUJETO OBLIGADO, </w:t>
      </w:r>
      <w:r w:rsidRPr="006065EA">
        <w:rPr>
          <w:rFonts w:ascii="Palatino Linotype" w:eastAsia="Palatino Linotype" w:hAnsi="Palatino Linotype" w:cs="Palatino Linotype"/>
          <w:sz w:val="24"/>
          <w:szCs w:val="24"/>
        </w:rPr>
        <w:t xml:space="preserve">resulta </w:t>
      </w:r>
      <w:r w:rsidRPr="006065EA">
        <w:rPr>
          <w:rFonts w:ascii="Palatino Linotype" w:eastAsia="Palatino Linotype" w:hAnsi="Palatino Linotype" w:cs="Palatino Linotype"/>
          <w:sz w:val="24"/>
          <w:szCs w:val="24"/>
        </w:rPr>
        <w:lastRenderedPageBreak/>
        <w:t>incompetente en una parte para tener en sus archivos la información relativa al puente de Tlapacoya.</w:t>
      </w:r>
    </w:p>
    <w:p w14:paraId="0905705D"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0B45C07" w14:textId="77777777" w:rsidR="00C3402C" w:rsidRPr="006065EA" w:rsidRDefault="00BD4A67">
      <w:pPr>
        <w:spacing w:after="0" w:line="360" w:lineRule="auto"/>
        <w:ind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sz w:val="24"/>
          <w:szCs w:val="24"/>
        </w:rPr>
        <w:t xml:space="preserve">Lo que se robustece con </w:t>
      </w:r>
      <w:r w:rsidRPr="006065EA">
        <w:rPr>
          <w:rFonts w:ascii="Palatino Linotype" w:eastAsia="Palatino Linotype" w:hAnsi="Palatino Linotype" w:cs="Palatino Linotype"/>
          <w:color w:val="000000"/>
          <w:sz w:val="24"/>
          <w:szCs w:val="24"/>
        </w:rPr>
        <w:t xml:space="preserve">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tal como se muestra a continuación: </w:t>
      </w:r>
    </w:p>
    <w:p w14:paraId="123B53E2" w14:textId="77777777" w:rsidR="00C3402C" w:rsidRPr="006065EA" w:rsidRDefault="00BD4A67">
      <w:pPr>
        <w:spacing w:after="0" w:line="360" w:lineRule="auto"/>
        <w:ind w:right="49"/>
        <w:jc w:val="both"/>
        <w:rPr>
          <w:rFonts w:ascii="Palatino Linotype" w:eastAsia="Palatino Linotype" w:hAnsi="Palatino Linotype" w:cs="Palatino Linotype"/>
          <w:i/>
          <w:sz w:val="40"/>
          <w:szCs w:val="40"/>
        </w:rPr>
      </w:pPr>
      <w:r w:rsidRPr="006065EA">
        <w:rPr>
          <w:noProof/>
        </w:rPr>
        <w:drawing>
          <wp:inline distT="0" distB="0" distL="0" distR="0" wp14:anchorId="34B4492A" wp14:editId="03678CE1">
            <wp:extent cx="5779743" cy="359437"/>
            <wp:effectExtent l="0" t="0" r="0" b="0"/>
            <wp:docPr id="19" name="image6.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6.png" descr="Texto&#10;&#10;Descripción generada automáticamente con confianza media"/>
                    <pic:cNvPicPr preferRelativeResize="0"/>
                  </pic:nvPicPr>
                  <pic:blipFill>
                    <a:blip r:embed="rId9"/>
                    <a:srcRect l="16803" t="59747" r="14969" b="32710"/>
                    <a:stretch>
                      <a:fillRect/>
                    </a:stretch>
                  </pic:blipFill>
                  <pic:spPr>
                    <a:xfrm>
                      <a:off x="0" y="0"/>
                      <a:ext cx="5779743" cy="359437"/>
                    </a:xfrm>
                    <a:prstGeom prst="rect">
                      <a:avLst/>
                    </a:prstGeom>
                    <a:ln/>
                  </pic:spPr>
                </pic:pic>
              </a:graphicData>
            </a:graphic>
          </wp:inline>
        </w:drawing>
      </w:r>
    </w:p>
    <w:p w14:paraId="090DC8B1" w14:textId="77777777" w:rsidR="00C3402C" w:rsidRPr="006065EA" w:rsidRDefault="00BD4A67">
      <w:pPr>
        <w:spacing w:after="0" w:line="360" w:lineRule="auto"/>
        <w:ind w:right="49"/>
        <w:jc w:val="both"/>
        <w:rPr>
          <w:rFonts w:ascii="Palatino Linotype" w:eastAsia="Palatino Linotype" w:hAnsi="Palatino Linotype" w:cs="Palatino Linotype"/>
          <w:i/>
          <w:sz w:val="40"/>
          <w:szCs w:val="40"/>
        </w:rPr>
      </w:pPr>
      <w:r w:rsidRPr="006065EA">
        <w:rPr>
          <w:noProof/>
        </w:rPr>
        <w:drawing>
          <wp:inline distT="0" distB="0" distL="0" distR="0" wp14:anchorId="36944531" wp14:editId="712F3E24">
            <wp:extent cx="5580170" cy="484631"/>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9022" t="23546" r="2581" b="65888"/>
                    <a:stretch>
                      <a:fillRect/>
                    </a:stretch>
                  </pic:blipFill>
                  <pic:spPr>
                    <a:xfrm>
                      <a:off x="0" y="0"/>
                      <a:ext cx="5580170" cy="484631"/>
                    </a:xfrm>
                    <a:prstGeom prst="rect">
                      <a:avLst/>
                    </a:prstGeom>
                    <a:ln/>
                  </pic:spPr>
                </pic:pic>
              </a:graphicData>
            </a:graphic>
          </wp:inline>
        </w:drawing>
      </w:r>
    </w:p>
    <w:p w14:paraId="70D8DBA1" w14:textId="77777777" w:rsidR="00C3402C" w:rsidRPr="006065EA" w:rsidRDefault="00BD4A67">
      <w:pPr>
        <w:spacing w:after="0" w:line="360" w:lineRule="auto"/>
        <w:ind w:right="49"/>
        <w:jc w:val="both"/>
        <w:rPr>
          <w:rFonts w:ascii="Palatino Linotype" w:eastAsia="Palatino Linotype" w:hAnsi="Palatino Linotype" w:cs="Palatino Linotype"/>
          <w:i/>
          <w:sz w:val="40"/>
          <w:szCs w:val="40"/>
        </w:rPr>
      </w:pPr>
      <w:r w:rsidRPr="006065EA">
        <w:rPr>
          <w:noProof/>
        </w:rPr>
        <w:drawing>
          <wp:inline distT="0" distB="0" distL="0" distR="0" wp14:anchorId="3C6FE703" wp14:editId="2BFE225A">
            <wp:extent cx="5670028" cy="415534"/>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6137" t="40149" r="2069" b="50493"/>
                    <a:stretch>
                      <a:fillRect/>
                    </a:stretch>
                  </pic:blipFill>
                  <pic:spPr>
                    <a:xfrm>
                      <a:off x="0" y="0"/>
                      <a:ext cx="5670028" cy="415534"/>
                    </a:xfrm>
                    <a:prstGeom prst="rect">
                      <a:avLst/>
                    </a:prstGeom>
                    <a:ln/>
                  </pic:spPr>
                </pic:pic>
              </a:graphicData>
            </a:graphic>
          </wp:inline>
        </w:drawing>
      </w:r>
    </w:p>
    <w:p w14:paraId="4A6EAB92" w14:textId="77777777" w:rsidR="00C3402C" w:rsidRPr="006065EA" w:rsidRDefault="00BD4A67">
      <w:pPr>
        <w:spacing w:after="0" w:line="360" w:lineRule="auto"/>
        <w:ind w:right="49"/>
        <w:jc w:val="both"/>
        <w:rPr>
          <w:rFonts w:ascii="Palatino Linotype" w:eastAsia="Palatino Linotype" w:hAnsi="Palatino Linotype" w:cs="Palatino Linotype"/>
          <w:i/>
          <w:sz w:val="40"/>
          <w:szCs w:val="40"/>
        </w:rPr>
      </w:pPr>
      <w:r w:rsidRPr="006065EA">
        <w:rPr>
          <w:noProof/>
        </w:rPr>
        <w:drawing>
          <wp:inline distT="0" distB="0" distL="0" distR="0" wp14:anchorId="4F789C61" wp14:editId="61140C3A">
            <wp:extent cx="5619748" cy="354398"/>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3761" t="35017" r="880" b="56530"/>
                    <a:stretch>
                      <a:fillRect/>
                    </a:stretch>
                  </pic:blipFill>
                  <pic:spPr>
                    <a:xfrm>
                      <a:off x="0" y="0"/>
                      <a:ext cx="5619748" cy="354398"/>
                    </a:xfrm>
                    <a:prstGeom prst="rect">
                      <a:avLst/>
                    </a:prstGeom>
                    <a:ln/>
                  </pic:spPr>
                </pic:pic>
              </a:graphicData>
            </a:graphic>
          </wp:inline>
        </w:drawing>
      </w:r>
    </w:p>
    <w:p w14:paraId="12B8D217" w14:textId="77777777" w:rsidR="00C3402C" w:rsidRPr="006065EA" w:rsidRDefault="00BD4A67">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Así como, la actualización de fecha del veintitrés de enero de dos mil veintitrés del Padrón de Sujetos Obligados del Ámbito Federal, como se observa en las siguientes imágenes:</w:t>
      </w:r>
    </w:p>
    <w:p w14:paraId="57606BDC" w14:textId="77777777" w:rsidR="00C3402C" w:rsidRPr="006065EA" w:rsidRDefault="00BD4A67">
      <w:pPr>
        <w:spacing w:after="0" w:line="360" w:lineRule="auto"/>
        <w:ind w:right="49"/>
        <w:jc w:val="both"/>
        <w:rPr>
          <w:rFonts w:ascii="Palatino Linotype" w:eastAsia="Palatino Linotype" w:hAnsi="Palatino Linotype" w:cs="Palatino Linotype"/>
          <w:i/>
          <w:sz w:val="40"/>
          <w:szCs w:val="40"/>
        </w:rPr>
      </w:pPr>
      <w:r w:rsidRPr="006065EA">
        <w:rPr>
          <w:noProof/>
        </w:rPr>
        <w:drawing>
          <wp:inline distT="0" distB="0" distL="0" distR="0" wp14:anchorId="592608DA" wp14:editId="232E6FBC">
            <wp:extent cx="5612130" cy="909320"/>
            <wp:effectExtent l="0" t="0" r="0" b="0"/>
            <wp:docPr id="22" name="image7.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Texto&#10;&#10;Descripción generada automáticamente"/>
                    <pic:cNvPicPr preferRelativeResize="0"/>
                  </pic:nvPicPr>
                  <pic:blipFill>
                    <a:blip r:embed="rId13"/>
                    <a:srcRect/>
                    <a:stretch>
                      <a:fillRect/>
                    </a:stretch>
                  </pic:blipFill>
                  <pic:spPr>
                    <a:xfrm>
                      <a:off x="0" y="0"/>
                      <a:ext cx="5612130" cy="909320"/>
                    </a:xfrm>
                    <a:prstGeom prst="rect">
                      <a:avLst/>
                    </a:prstGeom>
                    <a:ln/>
                  </pic:spPr>
                </pic:pic>
              </a:graphicData>
            </a:graphic>
          </wp:inline>
        </w:drawing>
      </w:r>
    </w:p>
    <w:p w14:paraId="2916B6E8" w14:textId="77777777" w:rsidR="00C3402C" w:rsidRPr="006065EA" w:rsidRDefault="00BD4A67">
      <w:pPr>
        <w:spacing w:after="0" w:line="360" w:lineRule="auto"/>
        <w:ind w:right="49"/>
        <w:jc w:val="both"/>
        <w:rPr>
          <w:rFonts w:ascii="Palatino Linotype" w:eastAsia="Palatino Linotype" w:hAnsi="Palatino Linotype" w:cs="Palatino Linotype"/>
          <w:i/>
          <w:sz w:val="40"/>
          <w:szCs w:val="40"/>
        </w:rPr>
      </w:pPr>
      <w:r w:rsidRPr="006065EA">
        <w:rPr>
          <w:noProof/>
        </w:rPr>
        <w:drawing>
          <wp:inline distT="0" distB="0" distL="0" distR="0" wp14:anchorId="47813F49" wp14:editId="4465B201">
            <wp:extent cx="5770369" cy="362108"/>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7466" t="35016" r="8689" b="55626"/>
                    <a:stretch>
                      <a:fillRect/>
                    </a:stretch>
                  </pic:blipFill>
                  <pic:spPr>
                    <a:xfrm>
                      <a:off x="0" y="0"/>
                      <a:ext cx="5770369" cy="362108"/>
                    </a:xfrm>
                    <a:prstGeom prst="rect">
                      <a:avLst/>
                    </a:prstGeom>
                    <a:ln/>
                  </pic:spPr>
                </pic:pic>
              </a:graphicData>
            </a:graphic>
          </wp:inline>
        </w:drawing>
      </w:r>
    </w:p>
    <w:p w14:paraId="6773AFE8" w14:textId="77777777" w:rsidR="00C3402C" w:rsidRPr="006065EA" w:rsidRDefault="00BD4A67">
      <w:pPr>
        <w:spacing w:after="0" w:line="360" w:lineRule="auto"/>
        <w:ind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lastRenderedPageBreak/>
        <w:t xml:space="preserve">Conforme a lo anterior, se advierte que el </w:t>
      </w:r>
      <w:r w:rsidRPr="006065EA">
        <w:rPr>
          <w:rFonts w:ascii="Palatino Linotype" w:eastAsia="Palatino Linotype" w:hAnsi="Palatino Linotype" w:cs="Palatino Linotype"/>
          <w:b/>
          <w:color w:val="000000"/>
          <w:sz w:val="24"/>
          <w:szCs w:val="24"/>
        </w:rPr>
        <w:t>SUJETO OBLIGADO</w:t>
      </w:r>
      <w:r w:rsidRPr="006065EA">
        <w:rPr>
          <w:rFonts w:ascii="Palatino Linotype" w:eastAsia="Palatino Linotype" w:hAnsi="Palatino Linotype" w:cs="Palatino Linotype"/>
          <w:color w:val="000000"/>
          <w:sz w:val="24"/>
          <w:szCs w:val="24"/>
        </w:rPr>
        <w:t xml:space="preserve"> no tiene atribuciones para contar en su totalidad con la información peticionada, toda vez que es información de sujetos obligados diversos.</w:t>
      </w:r>
    </w:p>
    <w:p w14:paraId="5C303803" w14:textId="77777777" w:rsidR="00C3402C" w:rsidRPr="006065EA" w:rsidRDefault="00C3402C">
      <w:pPr>
        <w:spacing w:after="0" w:line="360" w:lineRule="auto"/>
        <w:ind w:right="-147"/>
        <w:jc w:val="both"/>
        <w:rPr>
          <w:rFonts w:ascii="Palatino Linotype" w:eastAsia="Palatino Linotype" w:hAnsi="Palatino Linotype" w:cs="Palatino Linotype"/>
          <w:color w:val="000000"/>
          <w:sz w:val="24"/>
          <w:szCs w:val="24"/>
        </w:rPr>
      </w:pPr>
    </w:p>
    <w:p w14:paraId="40E1B809"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Resultando aplicable el criterio 13/17 emitido por el Pleno del Instituto Nacional de Transparencia, Acceso a la Información y Protección de Datos Personales, el cual, para pronta referencia se reproduce a continuación:</w:t>
      </w:r>
    </w:p>
    <w:p w14:paraId="2E5E0F28"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9783BDC" w14:textId="77777777" w:rsidR="00C3402C" w:rsidRPr="006065EA" w:rsidRDefault="00BD4A67">
      <w:pPr>
        <w:spacing w:after="0" w:line="276" w:lineRule="auto"/>
        <w:ind w:left="851" w:right="851"/>
        <w:jc w:val="both"/>
        <w:rPr>
          <w:rFonts w:ascii="Palatino Linotype" w:eastAsia="Palatino Linotype" w:hAnsi="Palatino Linotype" w:cs="Palatino Linotype"/>
          <w:i/>
        </w:rPr>
      </w:pPr>
      <w:r w:rsidRPr="006065EA">
        <w:rPr>
          <w:rFonts w:ascii="Palatino Linotype" w:eastAsia="Palatino Linotype" w:hAnsi="Palatino Linotype" w:cs="Palatino Linotype"/>
          <w:b/>
          <w:i/>
        </w:rPr>
        <w:t>“Incompetencia.</w:t>
      </w:r>
      <w:r w:rsidRPr="006065EA">
        <w:rPr>
          <w:rFonts w:ascii="Palatino Linotype" w:eastAsia="Palatino Linotype" w:hAnsi="Palatino Linotype" w:cs="Palatino Linotype"/>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449D47F4" w14:textId="77777777" w:rsidR="00C3402C" w:rsidRPr="006065EA" w:rsidRDefault="00C3402C">
      <w:pPr>
        <w:widowControl w:val="0"/>
        <w:tabs>
          <w:tab w:val="left" w:pos="1276"/>
        </w:tabs>
        <w:spacing w:after="0" w:line="360" w:lineRule="auto"/>
        <w:jc w:val="both"/>
        <w:rPr>
          <w:rFonts w:ascii="Palatino Linotype" w:eastAsia="Palatino Linotype" w:hAnsi="Palatino Linotype" w:cs="Palatino Linotype"/>
          <w:sz w:val="24"/>
          <w:szCs w:val="24"/>
        </w:rPr>
      </w:pPr>
    </w:p>
    <w:p w14:paraId="60DE3E18"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Así que, de acuerdo a lo anterior y a las manifestaciones del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atento a ello, es necesario manifestar que si bien es cierto la solicitud de información no es competencia del </w:t>
      </w:r>
      <w:r w:rsidRPr="006065EA">
        <w:rPr>
          <w:rFonts w:ascii="Palatino Linotype" w:eastAsia="Palatino Linotype" w:hAnsi="Palatino Linotype" w:cs="Palatino Linotype"/>
          <w:b/>
          <w:sz w:val="24"/>
          <w:szCs w:val="24"/>
        </w:rPr>
        <w:t xml:space="preserve">SUJETO OBLIGADO </w:t>
      </w:r>
      <w:r w:rsidRPr="006065EA">
        <w:rPr>
          <w:rFonts w:ascii="Palatino Linotype" w:eastAsia="Palatino Linotype" w:hAnsi="Palatino Linotype" w:cs="Palatino Linotype"/>
          <w:sz w:val="24"/>
          <w:szCs w:val="24"/>
        </w:rPr>
        <w:t xml:space="preserve">la Junta de Caminos y la Secretaria de Infraestructura, Comunicaciones y Transportes son los competentes para entregar respuesta al tramo faltante del puente en mención, también es cierto que nos debemos apegar a lo que establece la Ley de Transparencia y Acceso a la Información Pública del Estado de México y Municipios, siendo aplicable lo que se establece los artículos 49 fracción II y 167 de la Ley de, los cuales disponen lo siguiente: </w:t>
      </w:r>
    </w:p>
    <w:p w14:paraId="4901127C" w14:textId="77777777" w:rsidR="00C3402C" w:rsidRPr="006065EA" w:rsidRDefault="00C3402C">
      <w:pPr>
        <w:spacing w:after="0" w:line="360" w:lineRule="auto"/>
        <w:ind w:right="-147"/>
        <w:jc w:val="both"/>
        <w:rPr>
          <w:rFonts w:ascii="Palatino Linotype" w:eastAsia="Palatino Linotype" w:hAnsi="Palatino Linotype" w:cs="Palatino Linotype"/>
          <w:sz w:val="24"/>
          <w:szCs w:val="24"/>
          <w:shd w:val="clear" w:color="auto" w:fill="FF9900"/>
        </w:rPr>
      </w:pPr>
    </w:p>
    <w:p w14:paraId="492EEAE0" w14:textId="77777777" w:rsidR="00C3402C" w:rsidRPr="006065EA" w:rsidRDefault="00BD4A67">
      <w:pPr>
        <w:spacing w:line="276" w:lineRule="auto"/>
        <w:ind w:left="851" w:right="899"/>
        <w:jc w:val="both"/>
        <w:rPr>
          <w:rFonts w:ascii="Palatino Linotype" w:eastAsia="Palatino Linotype" w:hAnsi="Palatino Linotype" w:cs="Palatino Linotype"/>
          <w:i/>
        </w:rPr>
      </w:pPr>
      <w:r w:rsidRPr="006065EA">
        <w:rPr>
          <w:rFonts w:ascii="Palatino Linotype" w:eastAsia="Palatino Linotype" w:hAnsi="Palatino Linotype" w:cs="Palatino Linotype"/>
          <w:b/>
          <w:i/>
        </w:rPr>
        <w:t xml:space="preserve">“Artículo 49. </w:t>
      </w:r>
      <w:r w:rsidRPr="006065EA">
        <w:rPr>
          <w:rFonts w:ascii="Palatino Linotype" w:eastAsia="Palatino Linotype" w:hAnsi="Palatino Linotype" w:cs="Palatino Linotype"/>
          <w:i/>
        </w:rPr>
        <w:t>Los Comités de Transparencia tendrán las siguientes atribuciones:</w:t>
      </w:r>
    </w:p>
    <w:p w14:paraId="27F56653" w14:textId="77777777" w:rsidR="00C3402C" w:rsidRPr="006065EA" w:rsidRDefault="00BD4A67">
      <w:pPr>
        <w:spacing w:line="276" w:lineRule="auto"/>
        <w:ind w:left="851" w:right="899"/>
        <w:jc w:val="both"/>
        <w:rPr>
          <w:rFonts w:ascii="Palatino Linotype" w:eastAsia="Palatino Linotype" w:hAnsi="Palatino Linotype" w:cs="Palatino Linotype"/>
          <w:i/>
        </w:rPr>
      </w:pPr>
      <w:r w:rsidRPr="006065EA">
        <w:rPr>
          <w:rFonts w:ascii="Palatino Linotype" w:eastAsia="Palatino Linotype" w:hAnsi="Palatino Linotype" w:cs="Palatino Linotype"/>
          <w:b/>
          <w:i/>
        </w:rPr>
        <w:lastRenderedPageBreak/>
        <w:t xml:space="preserve">I. </w:t>
      </w:r>
      <w:r w:rsidRPr="006065EA">
        <w:rPr>
          <w:rFonts w:ascii="Palatino Linotype" w:eastAsia="Palatino Linotype" w:hAnsi="Palatino Linotype" w:cs="Palatino Linotype"/>
          <w:i/>
        </w:rPr>
        <w:t>Instituir, coordinar y supervisar en términos de las disposiciones aplicables, las acciones, medidas y procedimientos que coadyuven a asegurar una mayor eficacia en la gestión y atención de las solicitudes en materia de acceso a la información;</w:t>
      </w:r>
    </w:p>
    <w:p w14:paraId="0C63348E" w14:textId="77777777" w:rsidR="00C3402C" w:rsidRPr="006065EA" w:rsidRDefault="00BD4A67">
      <w:pPr>
        <w:spacing w:line="276" w:lineRule="auto"/>
        <w:ind w:left="851" w:right="899"/>
        <w:jc w:val="both"/>
        <w:rPr>
          <w:rFonts w:ascii="Palatino Linotype" w:eastAsia="Palatino Linotype" w:hAnsi="Palatino Linotype" w:cs="Palatino Linotype"/>
          <w:i/>
        </w:rPr>
      </w:pPr>
      <w:r w:rsidRPr="006065EA">
        <w:rPr>
          <w:rFonts w:ascii="Palatino Linotype" w:eastAsia="Palatino Linotype" w:hAnsi="Palatino Linotype" w:cs="Palatino Linotype"/>
          <w:b/>
          <w:i/>
        </w:rPr>
        <w:t xml:space="preserve">II. </w:t>
      </w:r>
      <w:r w:rsidRPr="006065EA">
        <w:rPr>
          <w:rFonts w:ascii="Palatino Linotype" w:eastAsia="Palatino Linotype" w:hAnsi="Palatino Linotype" w:cs="Palatino Linotype"/>
          <w:i/>
        </w:rPr>
        <w:t xml:space="preserve">Confirmar, modificar o revocar las determinaciones </w:t>
      </w:r>
      <w:proofErr w:type="gramStart"/>
      <w:r w:rsidRPr="006065EA">
        <w:rPr>
          <w:rFonts w:ascii="Palatino Linotype" w:eastAsia="Palatino Linotype" w:hAnsi="Palatino Linotype" w:cs="Palatino Linotype"/>
          <w:i/>
        </w:rPr>
        <w:t>que</w:t>
      </w:r>
      <w:proofErr w:type="gramEnd"/>
      <w:r w:rsidRPr="006065EA">
        <w:rPr>
          <w:rFonts w:ascii="Palatino Linotype" w:eastAsia="Palatino Linotype" w:hAnsi="Palatino Linotype" w:cs="Palatino Linotype"/>
          <w:i/>
        </w:rPr>
        <w:t xml:space="preserve"> en materia de ampliación del plazo de respuesta, clasificación de la información y declaración de inexistencia </w:t>
      </w:r>
      <w:r w:rsidRPr="006065EA">
        <w:rPr>
          <w:rFonts w:ascii="Palatino Linotype" w:eastAsia="Palatino Linotype" w:hAnsi="Palatino Linotype" w:cs="Palatino Linotype"/>
          <w:b/>
          <w:i/>
        </w:rPr>
        <w:t>o de incompetencia realicen los titulares de las áreas de los sujetos obligados</w:t>
      </w:r>
      <w:r w:rsidRPr="006065EA">
        <w:rPr>
          <w:rFonts w:ascii="Palatino Linotype" w:eastAsia="Palatino Linotype" w:hAnsi="Palatino Linotype" w:cs="Palatino Linotype"/>
          <w:i/>
        </w:rPr>
        <w:t>;</w:t>
      </w:r>
    </w:p>
    <w:p w14:paraId="54E3DA1E" w14:textId="77777777" w:rsidR="00C3402C" w:rsidRPr="006065EA" w:rsidRDefault="00BD4A67">
      <w:pPr>
        <w:spacing w:after="0" w:line="276" w:lineRule="auto"/>
        <w:ind w:left="851" w:right="899"/>
        <w:jc w:val="both"/>
        <w:rPr>
          <w:rFonts w:ascii="Palatino Linotype" w:eastAsia="Palatino Linotype" w:hAnsi="Palatino Linotype" w:cs="Palatino Linotype"/>
          <w:b/>
          <w:i/>
          <w:u w:val="single"/>
        </w:rPr>
      </w:pPr>
      <w:r w:rsidRPr="006065EA">
        <w:rPr>
          <w:rFonts w:ascii="Palatino Linotype" w:eastAsia="Palatino Linotype" w:hAnsi="Palatino Linotype" w:cs="Palatino Linotype"/>
          <w:b/>
          <w:i/>
        </w:rPr>
        <w:t xml:space="preserve">Artículo 167. </w:t>
      </w:r>
      <w:r w:rsidRPr="006065EA">
        <w:rPr>
          <w:rFonts w:ascii="Palatino Linotype" w:eastAsia="Palatino Linotype" w:hAnsi="Palatino Linotype" w:cs="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6065EA">
        <w:rPr>
          <w:rFonts w:ascii="Palatino Linotype" w:eastAsia="Palatino Linotype" w:hAnsi="Palatino Linotype" w:cs="Palatino Linotype"/>
          <w:b/>
          <w:i/>
          <w:u w:val="single"/>
        </w:rPr>
        <w:t>en su caso orientar al solicitante, el o los sujetos obligados competentes.</w:t>
      </w:r>
    </w:p>
    <w:p w14:paraId="44338305" w14:textId="77777777" w:rsidR="00C3402C" w:rsidRPr="006065EA" w:rsidRDefault="00C3402C">
      <w:pPr>
        <w:spacing w:after="0" w:line="360" w:lineRule="auto"/>
        <w:ind w:left="851" w:right="899"/>
        <w:jc w:val="both"/>
        <w:rPr>
          <w:rFonts w:ascii="Palatino Linotype" w:eastAsia="Palatino Linotype" w:hAnsi="Palatino Linotype" w:cs="Palatino Linotype"/>
          <w:b/>
          <w:i/>
          <w:u w:val="single"/>
        </w:rPr>
      </w:pPr>
    </w:p>
    <w:p w14:paraId="073633A8" w14:textId="77777777" w:rsidR="00C3402C" w:rsidRPr="006065EA" w:rsidRDefault="00BD4A67">
      <w:pPr>
        <w:tabs>
          <w:tab w:val="left" w:pos="709"/>
        </w:tabs>
        <w:spacing w:after="0" w:line="360" w:lineRule="auto"/>
        <w:ind w:right="51"/>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De esta manera, se sustenta que el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a través de su Comité de Transparencia debe confirmar la incompetencia que en el presente asunto encuadra en el supuesto de la Ley, es decir se deberá elaborar el acuerdo mediante el cual se confirme la incompetencia declarada por el Titular de la Unidad de Transparencia, respecto a la solicitud de información presentada por el Recurrente, debiendo notificarle de igual forma el Acuerdo de referencia; </w:t>
      </w:r>
    </w:p>
    <w:p w14:paraId="45686988" w14:textId="77777777" w:rsidR="00C3402C" w:rsidRPr="006065EA" w:rsidRDefault="00C3402C">
      <w:pPr>
        <w:tabs>
          <w:tab w:val="left" w:pos="709"/>
        </w:tabs>
        <w:spacing w:after="0" w:line="360" w:lineRule="auto"/>
        <w:ind w:right="51"/>
        <w:jc w:val="both"/>
        <w:rPr>
          <w:rFonts w:ascii="Palatino Linotype" w:eastAsia="Palatino Linotype" w:hAnsi="Palatino Linotype" w:cs="Palatino Linotype"/>
          <w:sz w:val="24"/>
          <w:szCs w:val="24"/>
        </w:rPr>
      </w:pPr>
    </w:p>
    <w:p w14:paraId="51A55468" w14:textId="77777777" w:rsidR="00C3402C" w:rsidRPr="006065EA" w:rsidRDefault="00BD4A67">
      <w:pPr>
        <w:tabs>
          <w:tab w:val="left" w:pos="709"/>
        </w:tabs>
        <w:spacing w:after="0" w:line="360" w:lineRule="auto"/>
        <w:ind w:right="51"/>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Por otra parte, ante la incompetencia,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xml:space="preserve"> tiene la potestad de orientar al particular sobre la dependencia pública ante quien deba presentar su solicitud de información. En este orden de ideas, se dejan a salvo los derechos del Recurrente para que formule una nueva solicitud de información ante el Sujeto Obligado competente. </w:t>
      </w:r>
    </w:p>
    <w:p w14:paraId="4EA3F6FE" w14:textId="77777777" w:rsidR="00C3402C" w:rsidRPr="006065EA" w:rsidRDefault="00C3402C">
      <w:pPr>
        <w:tabs>
          <w:tab w:val="left" w:pos="709"/>
        </w:tabs>
        <w:spacing w:after="0" w:line="360" w:lineRule="auto"/>
        <w:ind w:right="51"/>
        <w:jc w:val="both"/>
        <w:rPr>
          <w:rFonts w:ascii="Palatino Linotype" w:eastAsia="Palatino Linotype" w:hAnsi="Palatino Linotype" w:cs="Palatino Linotype"/>
          <w:sz w:val="24"/>
          <w:szCs w:val="24"/>
        </w:rPr>
      </w:pPr>
    </w:p>
    <w:p w14:paraId="0347469E"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sz w:val="24"/>
          <w:szCs w:val="24"/>
        </w:rPr>
        <w:lastRenderedPageBreak/>
        <w:t xml:space="preserve">Finalmente, es de señalar que, como ya se mencionó </w:t>
      </w:r>
      <w:r w:rsidRPr="006065EA">
        <w:rPr>
          <w:rFonts w:ascii="Palatino Linotype" w:eastAsia="Palatino Linotype" w:hAnsi="Palatino Linotype" w:cs="Palatino Linotype"/>
          <w:b/>
          <w:sz w:val="24"/>
          <w:szCs w:val="24"/>
        </w:rPr>
        <w:t>EL SUJETO OBLIGADO</w:t>
      </w:r>
      <w:r w:rsidRPr="006065EA">
        <w:rPr>
          <w:rFonts w:ascii="Palatino Linotype" w:eastAsia="Palatino Linotype" w:hAnsi="Palatino Linotype" w:cs="Palatino Linotype"/>
          <w:sz w:val="24"/>
          <w:szCs w:val="24"/>
        </w:rPr>
        <w:t xml:space="preserve">, omitió proporcionar la respuesta a las solicitudes de acceso a la información pública, en el término contemplado en el ya citado artículo 163 de la Ley de la materia, razón por la que se ordena dar vista </w:t>
      </w:r>
      <w:r w:rsidRPr="006065EA">
        <w:rPr>
          <w:rFonts w:ascii="Palatino Linotype" w:eastAsia="Palatino Linotype" w:hAnsi="Palatino Linotype" w:cs="Palatino Linotype"/>
          <w:color w:val="000000"/>
          <w:sz w:val="24"/>
          <w:szCs w:val="24"/>
        </w:rPr>
        <w:t>a la Secretaría Técnica del Pleno de este Instituto, para que resuelva lo conducente, en términos del artículo 190 de la Ley de Transparencia y Acceso a la Información Pública del Estado de México y Municipios.</w:t>
      </w:r>
    </w:p>
    <w:p w14:paraId="606CD4CB" w14:textId="77777777" w:rsidR="00C3402C" w:rsidRPr="006065EA" w:rsidRDefault="00BD4A67">
      <w:pPr>
        <w:spacing w:after="0"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 </w:t>
      </w:r>
    </w:p>
    <w:p w14:paraId="4A2C4ED5" w14:textId="77777777" w:rsidR="00C3402C" w:rsidRPr="006065EA" w:rsidRDefault="00BD4A67">
      <w:pPr>
        <w:spacing w:after="0" w:line="360" w:lineRule="auto"/>
        <w:ind w:right="-91"/>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QUINTO. VERSIÓN PÚBLICA.</w:t>
      </w:r>
      <w:r w:rsidRPr="006065EA">
        <w:rPr>
          <w:rFonts w:ascii="Palatino Linotype" w:eastAsia="Palatino Linotype" w:hAnsi="Palatino Linotype" w:cs="Palatino Linotype"/>
          <w:b/>
          <w:sz w:val="28"/>
          <w:szCs w:val="28"/>
        </w:rPr>
        <w:t xml:space="preserve"> </w:t>
      </w:r>
      <w:r w:rsidRPr="006065EA">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6065EA">
        <w:rPr>
          <w:rFonts w:ascii="Palatino Linotype" w:eastAsia="Palatino Linotype" w:hAnsi="Palatino Linotype" w:cs="Palatino Linotype"/>
          <w:b/>
          <w:sz w:val="24"/>
          <w:szCs w:val="24"/>
        </w:rPr>
        <w:t xml:space="preserve">SUJETO OBLIGADO </w:t>
      </w:r>
      <w:r w:rsidRPr="006065EA">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20D91F1E" w14:textId="77777777" w:rsidR="00C3402C" w:rsidRPr="006065EA" w:rsidRDefault="00C3402C">
      <w:pPr>
        <w:spacing w:after="0" w:line="360" w:lineRule="auto"/>
        <w:ind w:right="-91"/>
        <w:jc w:val="both"/>
        <w:rPr>
          <w:rFonts w:ascii="Palatino Linotype" w:eastAsia="Palatino Linotype" w:hAnsi="Palatino Linotype" w:cs="Palatino Linotype"/>
          <w:sz w:val="24"/>
          <w:szCs w:val="24"/>
        </w:rPr>
      </w:pPr>
    </w:p>
    <w:p w14:paraId="448B7E4A"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678C628"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5256CE3D" w14:textId="77777777" w:rsidR="00C3402C" w:rsidRPr="006065EA" w:rsidRDefault="00BD4A67">
      <w:pPr>
        <w:spacing w:after="0" w:line="360" w:lineRule="auto"/>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r w:rsidRPr="006065EA">
        <w:rPr>
          <w:rFonts w:ascii="Palatino Linotype" w:eastAsia="Palatino Linotype" w:hAnsi="Palatino Linotype" w:cs="Palatino Linotype"/>
          <w:b/>
          <w:i/>
        </w:rPr>
        <w:t>Artículo 3</w:t>
      </w:r>
      <w:r w:rsidRPr="006065EA">
        <w:rPr>
          <w:rFonts w:ascii="Palatino Linotype" w:eastAsia="Palatino Linotype" w:hAnsi="Palatino Linotype" w:cs="Palatino Linotype"/>
          <w:i/>
        </w:rPr>
        <w:t>. Para los efectos de la presente Ley se entenderá por:</w:t>
      </w:r>
    </w:p>
    <w:p w14:paraId="6732CE9A" w14:textId="77777777" w:rsidR="00C3402C" w:rsidRPr="006065EA" w:rsidRDefault="00BD4A67">
      <w:pPr>
        <w:spacing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p>
    <w:p w14:paraId="232CDEFC"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lastRenderedPageBreak/>
        <w:t>IX. Datos personales</w:t>
      </w:r>
      <w:r w:rsidRPr="006065EA">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B7338C0"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XX. Información clasificada</w:t>
      </w:r>
      <w:r w:rsidRPr="006065EA">
        <w:rPr>
          <w:rFonts w:ascii="Palatino Linotype" w:eastAsia="Palatino Linotype" w:hAnsi="Palatino Linotype" w:cs="Palatino Linotype"/>
          <w:i/>
        </w:rPr>
        <w:t>: Aquella considerada por la presente Ley como reservada o confidencial;</w:t>
      </w:r>
    </w:p>
    <w:p w14:paraId="5E54D100"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 xml:space="preserve">XXI. Información confidencial: </w:t>
      </w:r>
      <w:r w:rsidRPr="006065EA">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E2D021"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XLV. Versión pública:</w:t>
      </w:r>
      <w:r w:rsidRPr="006065EA">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65767BD"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p>
    <w:p w14:paraId="1233B147" w14:textId="77777777" w:rsidR="00C3402C" w:rsidRPr="006065EA" w:rsidRDefault="00BD4A67">
      <w:pPr>
        <w:spacing w:before="120"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Artículo 91.</w:t>
      </w:r>
      <w:r w:rsidRPr="006065EA">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424AEC2" w14:textId="77777777" w:rsidR="00C3402C" w:rsidRPr="006065EA" w:rsidRDefault="00BD4A67">
      <w:pPr>
        <w:spacing w:before="120"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Artículo 132.</w:t>
      </w:r>
      <w:r w:rsidRPr="006065EA">
        <w:rPr>
          <w:rFonts w:ascii="Palatino Linotype" w:eastAsia="Palatino Linotype" w:hAnsi="Palatino Linotype" w:cs="Palatino Linotype"/>
          <w:i/>
        </w:rPr>
        <w:t xml:space="preserve"> La clasificación de la información se llevará a cabo en el momento en que:</w:t>
      </w:r>
    </w:p>
    <w:p w14:paraId="6E512AA1"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I</w:t>
      </w:r>
      <w:r w:rsidRPr="006065EA">
        <w:rPr>
          <w:rFonts w:ascii="Palatino Linotype" w:eastAsia="Palatino Linotype" w:hAnsi="Palatino Linotype" w:cs="Palatino Linotype"/>
          <w:i/>
        </w:rPr>
        <w:t>. Se reciba una solicitud de acceso a la información;</w:t>
      </w:r>
    </w:p>
    <w:p w14:paraId="3ADD60BE"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II.</w:t>
      </w:r>
      <w:r w:rsidRPr="006065EA">
        <w:rPr>
          <w:rFonts w:ascii="Palatino Linotype" w:eastAsia="Palatino Linotype" w:hAnsi="Palatino Linotype" w:cs="Palatino Linotype"/>
          <w:i/>
        </w:rPr>
        <w:t xml:space="preserve"> Se determine mediante resolución de autoridad competente; o</w:t>
      </w:r>
    </w:p>
    <w:p w14:paraId="59D53569"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III.</w:t>
      </w:r>
      <w:r w:rsidRPr="006065EA">
        <w:rPr>
          <w:rFonts w:ascii="Palatino Linotype" w:eastAsia="Palatino Linotype" w:hAnsi="Palatino Linotype" w:cs="Palatino Linotype"/>
          <w:i/>
        </w:rPr>
        <w:t xml:space="preserve"> Se generen versiones públicas para dar cumplimiento a las obligaciones de transparencia previstas en esta Ley.</w:t>
      </w:r>
    </w:p>
    <w:p w14:paraId="636ED58F" w14:textId="77777777" w:rsidR="00C3402C" w:rsidRPr="006065EA" w:rsidRDefault="00BD4A67">
      <w:pPr>
        <w:spacing w:before="120"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w:t>
      </w:r>
    </w:p>
    <w:p w14:paraId="2E03B5AD" w14:textId="77777777" w:rsidR="00C3402C" w:rsidRPr="006065EA" w:rsidRDefault="00BD4A67">
      <w:pPr>
        <w:spacing w:before="120"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Artículo 143</w:t>
      </w:r>
      <w:r w:rsidRPr="006065EA">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F5D88CF"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I.</w:t>
      </w:r>
      <w:r w:rsidRPr="006065EA">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2565AAC"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II.</w:t>
      </w:r>
      <w:r w:rsidRPr="006065EA">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5E13A6B"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lastRenderedPageBreak/>
        <w:t>III.</w:t>
      </w:r>
      <w:r w:rsidRPr="006065EA">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C8B1515" w14:textId="77777777" w:rsidR="00C3402C" w:rsidRPr="006065EA" w:rsidRDefault="00BD4A67">
      <w:pPr>
        <w:spacing w:before="120"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4EB483EB" w14:textId="77777777" w:rsidR="00C3402C" w:rsidRPr="006065EA" w:rsidRDefault="00BD4A67">
      <w:pPr>
        <w:spacing w:before="120"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E35BE89" w14:textId="77777777" w:rsidR="00C3402C" w:rsidRPr="006065EA" w:rsidRDefault="00C3402C">
      <w:pPr>
        <w:spacing w:before="120" w:after="120"/>
        <w:ind w:left="851" w:right="902"/>
        <w:jc w:val="both"/>
        <w:rPr>
          <w:rFonts w:ascii="Palatino Linotype" w:eastAsia="Palatino Linotype" w:hAnsi="Palatino Linotype" w:cs="Palatino Linotype"/>
          <w:i/>
        </w:rPr>
      </w:pPr>
    </w:p>
    <w:p w14:paraId="6EDB8ABF" w14:textId="77777777" w:rsidR="00C3402C" w:rsidRPr="006065EA" w:rsidRDefault="00BD4A67">
      <w:pPr>
        <w:spacing w:before="120"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766C0B0"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3BFB1128"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29CDF0B1"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5C9782E0" w14:textId="77777777" w:rsidR="00C3402C" w:rsidRPr="006065EA" w:rsidRDefault="00BD4A67">
      <w:pPr>
        <w:spacing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“Quincuagésimo sexto</w:t>
      </w:r>
      <w:r w:rsidRPr="006065EA">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B84BDA4" w14:textId="77777777" w:rsidR="00C3402C" w:rsidRPr="006065EA" w:rsidRDefault="00BD4A67">
      <w:pPr>
        <w:spacing w:before="120"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lastRenderedPageBreak/>
        <w:t>Quincuagésimo séptimo</w:t>
      </w:r>
      <w:r w:rsidRPr="006065EA">
        <w:rPr>
          <w:rFonts w:ascii="Palatino Linotype" w:eastAsia="Palatino Linotype" w:hAnsi="Palatino Linotype" w:cs="Palatino Linotype"/>
          <w:i/>
        </w:rPr>
        <w:t xml:space="preserve">. Se considera, en principio, como información pública y no podrá omitirse de las versiones públicas la siguiente: </w:t>
      </w:r>
    </w:p>
    <w:p w14:paraId="6E6C167D"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I.</w:t>
      </w:r>
      <w:r w:rsidRPr="006065EA">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43A7B86A"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II.</w:t>
      </w:r>
      <w:r w:rsidRPr="006065EA">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145A8FDB" w14:textId="77777777" w:rsidR="00C3402C" w:rsidRPr="006065EA" w:rsidRDefault="00BD4A67">
      <w:pPr>
        <w:spacing w:before="120" w:after="120"/>
        <w:ind w:left="1134"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III.</w:t>
      </w:r>
      <w:r w:rsidRPr="006065EA">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14D73C3" w14:textId="77777777" w:rsidR="00C3402C" w:rsidRPr="006065EA" w:rsidRDefault="00BD4A67">
      <w:pPr>
        <w:spacing w:before="120" w:after="120"/>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6065EA">
        <w:rPr>
          <w:rFonts w:ascii="Palatino Linotype" w:eastAsia="Palatino Linotype" w:hAnsi="Palatino Linotype" w:cs="Palatino Linotype"/>
          <w:i/>
        </w:rPr>
        <w:t>internaciones suscritos</w:t>
      </w:r>
      <w:proofErr w:type="gramEnd"/>
      <w:r w:rsidRPr="006065EA">
        <w:rPr>
          <w:rFonts w:ascii="Palatino Linotype" w:eastAsia="Palatino Linotype" w:hAnsi="Palatino Linotype" w:cs="Palatino Linotype"/>
          <w:i/>
        </w:rPr>
        <w:t xml:space="preserve"> por el Estado mexicano. </w:t>
      </w:r>
    </w:p>
    <w:p w14:paraId="435EEA50" w14:textId="77777777" w:rsidR="00C3402C" w:rsidRPr="006065EA" w:rsidRDefault="00BD4A67">
      <w:pPr>
        <w:spacing w:before="120" w:after="0" w:line="360" w:lineRule="auto"/>
        <w:ind w:left="851" w:right="902"/>
        <w:jc w:val="both"/>
        <w:rPr>
          <w:rFonts w:ascii="Palatino Linotype" w:eastAsia="Palatino Linotype" w:hAnsi="Palatino Linotype" w:cs="Palatino Linotype"/>
          <w:i/>
        </w:rPr>
      </w:pPr>
      <w:r w:rsidRPr="006065EA">
        <w:rPr>
          <w:rFonts w:ascii="Palatino Linotype" w:eastAsia="Palatino Linotype" w:hAnsi="Palatino Linotype" w:cs="Palatino Linotype"/>
          <w:b/>
          <w:i/>
        </w:rPr>
        <w:t>Quincuagésimo octavo</w:t>
      </w:r>
      <w:r w:rsidRPr="006065EA">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2B4FDD40" w14:textId="77777777" w:rsidR="00C3402C" w:rsidRPr="006065EA" w:rsidRDefault="00C3402C">
      <w:pPr>
        <w:spacing w:after="0" w:line="360" w:lineRule="auto"/>
        <w:ind w:left="851" w:right="902"/>
        <w:jc w:val="both"/>
        <w:rPr>
          <w:rFonts w:ascii="Palatino Linotype" w:eastAsia="Palatino Linotype" w:hAnsi="Palatino Linotype" w:cs="Palatino Linotype"/>
          <w:i/>
        </w:rPr>
      </w:pPr>
    </w:p>
    <w:p w14:paraId="31E7A017"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065EA">
        <w:rPr>
          <w:rFonts w:ascii="Palatino Linotype" w:eastAsia="Palatino Linotype" w:hAnsi="Palatino Linotype" w:cs="Palatino Linotype"/>
          <w:b/>
          <w:sz w:val="24"/>
          <w:szCs w:val="24"/>
        </w:rPr>
        <w:t>SUJETO OBLIGADO</w:t>
      </w:r>
      <w:r w:rsidRPr="006065EA">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6065EA">
        <w:rPr>
          <w:rFonts w:ascii="Palatino Linotype" w:eastAsia="Palatino Linotype" w:hAnsi="Palatino Linotype" w:cs="Palatino Linotype"/>
          <w:sz w:val="24"/>
          <w:szCs w:val="24"/>
        </w:rPr>
        <w:lastRenderedPageBreak/>
        <w:t>sea porque se testan o suprimen- deja al solicitante en estado de incertidumbre, al no conocer o comprender porque no aparecen en la documentación respectiva.</w:t>
      </w:r>
    </w:p>
    <w:p w14:paraId="1DF562E8"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69E01BDF" w14:textId="77777777" w:rsidR="00C3402C" w:rsidRPr="006065EA" w:rsidRDefault="00BD4A67">
      <w:pPr>
        <w:spacing w:after="24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C3402C" w:rsidRPr="006065EA" w14:paraId="6D916FC3" w14:textId="77777777">
        <w:tc>
          <w:tcPr>
            <w:tcW w:w="4414" w:type="dxa"/>
            <w:gridSpan w:val="2"/>
          </w:tcPr>
          <w:p w14:paraId="559A1FB0" w14:textId="77777777" w:rsidR="00C3402C" w:rsidRPr="006065EA" w:rsidRDefault="00BD4A67">
            <w:pPr>
              <w:jc w:val="center"/>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Parcial</w:t>
            </w:r>
          </w:p>
        </w:tc>
        <w:tc>
          <w:tcPr>
            <w:tcW w:w="4414" w:type="dxa"/>
            <w:gridSpan w:val="2"/>
          </w:tcPr>
          <w:p w14:paraId="14BE8F70" w14:textId="77777777" w:rsidR="00C3402C" w:rsidRPr="006065EA" w:rsidRDefault="00BD4A67">
            <w:pPr>
              <w:jc w:val="center"/>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Total</w:t>
            </w:r>
          </w:p>
        </w:tc>
      </w:tr>
      <w:tr w:rsidR="00C3402C" w:rsidRPr="006065EA" w14:paraId="0B42B84F" w14:textId="77777777">
        <w:tc>
          <w:tcPr>
            <w:tcW w:w="993" w:type="dxa"/>
          </w:tcPr>
          <w:p w14:paraId="7F796EE4" w14:textId="77777777" w:rsidR="00C3402C" w:rsidRPr="006065EA" w:rsidRDefault="00BD4A67">
            <w:pPr>
              <w:jc w:val="center"/>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Concepto</w:t>
            </w:r>
          </w:p>
        </w:tc>
        <w:tc>
          <w:tcPr>
            <w:tcW w:w="3421" w:type="dxa"/>
          </w:tcPr>
          <w:p w14:paraId="70A0261F" w14:textId="77777777" w:rsidR="00C3402C" w:rsidRPr="006065EA" w:rsidRDefault="00BD4A67">
            <w:pPr>
              <w:jc w:val="center"/>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Dónde</w:t>
            </w:r>
          </w:p>
        </w:tc>
        <w:tc>
          <w:tcPr>
            <w:tcW w:w="968" w:type="dxa"/>
          </w:tcPr>
          <w:p w14:paraId="4AE378DC" w14:textId="77777777" w:rsidR="00C3402C" w:rsidRPr="006065EA" w:rsidRDefault="00BD4A67">
            <w:pPr>
              <w:jc w:val="center"/>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Concepto</w:t>
            </w:r>
          </w:p>
        </w:tc>
        <w:tc>
          <w:tcPr>
            <w:tcW w:w="3446" w:type="dxa"/>
          </w:tcPr>
          <w:p w14:paraId="13A064AB" w14:textId="77777777" w:rsidR="00C3402C" w:rsidRPr="006065EA" w:rsidRDefault="00BD4A67">
            <w:pPr>
              <w:jc w:val="center"/>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Dónde</w:t>
            </w:r>
          </w:p>
        </w:tc>
      </w:tr>
      <w:tr w:rsidR="00C3402C" w:rsidRPr="006065EA" w14:paraId="7A63569E" w14:textId="77777777">
        <w:tc>
          <w:tcPr>
            <w:tcW w:w="8828" w:type="dxa"/>
            <w:gridSpan w:val="4"/>
          </w:tcPr>
          <w:p w14:paraId="19A56D6B" w14:textId="77777777" w:rsidR="00C3402C" w:rsidRPr="006065EA" w:rsidRDefault="00BD4A67">
            <w:pPr>
              <w:jc w:val="center"/>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Sello oficial o logotipo del sujeto obligado</w:t>
            </w:r>
          </w:p>
        </w:tc>
      </w:tr>
      <w:tr w:rsidR="00C3402C" w:rsidRPr="006065EA" w14:paraId="0B942184" w14:textId="77777777">
        <w:tc>
          <w:tcPr>
            <w:tcW w:w="993" w:type="dxa"/>
          </w:tcPr>
          <w:p w14:paraId="4FFEE6CE"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Fecha de clasificación</w:t>
            </w:r>
          </w:p>
        </w:tc>
        <w:tc>
          <w:tcPr>
            <w:tcW w:w="3421" w:type="dxa"/>
          </w:tcPr>
          <w:p w14:paraId="00E94CF9"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113AA1A9"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Fecha de clasificación</w:t>
            </w:r>
          </w:p>
        </w:tc>
        <w:tc>
          <w:tcPr>
            <w:tcW w:w="3446" w:type="dxa"/>
          </w:tcPr>
          <w:p w14:paraId="11588287"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3402C" w:rsidRPr="006065EA" w14:paraId="0A307F84" w14:textId="77777777">
        <w:tc>
          <w:tcPr>
            <w:tcW w:w="993" w:type="dxa"/>
          </w:tcPr>
          <w:p w14:paraId="4CD68414"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Área</w:t>
            </w:r>
          </w:p>
        </w:tc>
        <w:tc>
          <w:tcPr>
            <w:tcW w:w="3421" w:type="dxa"/>
          </w:tcPr>
          <w:p w14:paraId="5C95E185"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señalará el nombre del área del cual es titular quien clasifica.</w:t>
            </w:r>
          </w:p>
        </w:tc>
        <w:tc>
          <w:tcPr>
            <w:tcW w:w="968" w:type="dxa"/>
          </w:tcPr>
          <w:p w14:paraId="7CF9A333"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Área</w:t>
            </w:r>
          </w:p>
        </w:tc>
        <w:tc>
          <w:tcPr>
            <w:tcW w:w="3446" w:type="dxa"/>
          </w:tcPr>
          <w:p w14:paraId="0FF6CD59"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señalará el nombre del área de la cual es el titular quien clasifica.</w:t>
            </w:r>
          </w:p>
        </w:tc>
      </w:tr>
      <w:tr w:rsidR="00C3402C" w:rsidRPr="006065EA" w14:paraId="742B5EF8" w14:textId="77777777">
        <w:tc>
          <w:tcPr>
            <w:tcW w:w="993" w:type="dxa"/>
          </w:tcPr>
          <w:p w14:paraId="01989691"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Información reservada</w:t>
            </w:r>
          </w:p>
        </w:tc>
        <w:tc>
          <w:tcPr>
            <w:tcW w:w="3421" w:type="dxa"/>
          </w:tcPr>
          <w:p w14:paraId="55D4E136"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2D0B8B9"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Reservado</w:t>
            </w:r>
          </w:p>
        </w:tc>
        <w:tc>
          <w:tcPr>
            <w:tcW w:w="3446" w:type="dxa"/>
          </w:tcPr>
          <w:p w14:paraId="7C4B69EB"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Leyenda de información RESERVADA.</w:t>
            </w:r>
          </w:p>
        </w:tc>
      </w:tr>
      <w:tr w:rsidR="00C3402C" w:rsidRPr="006065EA" w14:paraId="171C21AD" w14:textId="77777777">
        <w:tc>
          <w:tcPr>
            <w:tcW w:w="993" w:type="dxa"/>
          </w:tcPr>
          <w:p w14:paraId="3EE74103"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Fundamento legal</w:t>
            </w:r>
          </w:p>
        </w:tc>
        <w:tc>
          <w:tcPr>
            <w:tcW w:w="3421" w:type="dxa"/>
          </w:tcPr>
          <w:p w14:paraId="48B5DFBD"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45532BA"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Periodo de reserva</w:t>
            </w:r>
          </w:p>
        </w:tc>
        <w:tc>
          <w:tcPr>
            <w:tcW w:w="3446" w:type="dxa"/>
          </w:tcPr>
          <w:p w14:paraId="5387AD9C"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3402C" w:rsidRPr="006065EA" w14:paraId="5A379E99" w14:textId="77777777">
        <w:tc>
          <w:tcPr>
            <w:tcW w:w="993" w:type="dxa"/>
          </w:tcPr>
          <w:p w14:paraId="2D44A1D2"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Ampliación del periodo de reserva</w:t>
            </w:r>
          </w:p>
        </w:tc>
        <w:tc>
          <w:tcPr>
            <w:tcW w:w="3421" w:type="dxa"/>
          </w:tcPr>
          <w:p w14:paraId="3D00C311"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1482B7B"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Fundamento legal</w:t>
            </w:r>
          </w:p>
        </w:tc>
        <w:tc>
          <w:tcPr>
            <w:tcW w:w="3446" w:type="dxa"/>
          </w:tcPr>
          <w:p w14:paraId="28B8F264"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3402C" w:rsidRPr="006065EA" w14:paraId="295D5ABB" w14:textId="77777777">
        <w:tc>
          <w:tcPr>
            <w:tcW w:w="993" w:type="dxa"/>
          </w:tcPr>
          <w:p w14:paraId="22CC3D3C"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Confidencial</w:t>
            </w:r>
          </w:p>
        </w:tc>
        <w:tc>
          <w:tcPr>
            <w:tcW w:w="3421" w:type="dxa"/>
          </w:tcPr>
          <w:p w14:paraId="1055DE9F"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94A399A"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Ampliación del periodo de reserva</w:t>
            </w:r>
          </w:p>
        </w:tc>
        <w:tc>
          <w:tcPr>
            <w:tcW w:w="3446" w:type="dxa"/>
          </w:tcPr>
          <w:p w14:paraId="3F90997E"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3402C" w:rsidRPr="006065EA" w14:paraId="05962ABA" w14:textId="77777777">
        <w:tc>
          <w:tcPr>
            <w:tcW w:w="993" w:type="dxa"/>
          </w:tcPr>
          <w:p w14:paraId="7D6E773F"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Fundamento legal</w:t>
            </w:r>
          </w:p>
        </w:tc>
        <w:tc>
          <w:tcPr>
            <w:tcW w:w="3421" w:type="dxa"/>
          </w:tcPr>
          <w:p w14:paraId="11E19863"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69FC20B"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Confidencial</w:t>
            </w:r>
          </w:p>
        </w:tc>
        <w:tc>
          <w:tcPr>
            <w:tcW w:w="3446" w:type="dxa"/>
          </w:tcPr>
          <w:p w14:paraId="09E3DCB1"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Leyenda de información CONFIDENCIAL.</w:t>
            </w:r>
          </w:p>
        </w:tc>
      </w:tr>
      <w:tr w:rsidR="00C3402C" w:rsidRPr="006065EA" w14:paraId="1A00BBF4" w14:textId="77777777">
        <w:tc>
          <w:tcPr>
            <w:tcW w:w="993" w:type="dxa"/>
          </w:tcPr>
          <w:p w14:paraId="6CF1CC6D"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Rúbrica del titular del área</w:t>
            </w:r>
          </w:p>
        </w:tc>
        <w:tc>
          <w:tcPr>
            <w:tcW w:w="3421" w:type="dxa"/>
          </w:tcPr>
          <w:p w14:paraId="133C6DE8"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Rúbrica autógrafa de quien clasifica.</w:t>
            </w:r>
          </w:p>
        </w:tc>
        <w:tc>
          <w:tcPr>
            <w:tcW w:w="968" w:type="dxa"/>
          </w:tcPr>
          <w:p w14:paraId="10511DF3"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Fundamento legal</w:t>
            </w:r>
          </w:p>
        </w:tc>
        <w:tc>
          <w:tcPr>
            <w:tcW w:w="3446" w:type="dxa"/>
          </w:tcPr>
          <w:p w14:paraId="12F69D64"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3402C" w:rsidRPr="006065EA" w14:paraId="42894DDC" w14:textId="77777777">
        <w:tc>
          <w:tcPr>
            <w:tcW w:w="993" w:type="dxa"/>
          </w:tcPr>
          <w:p w14:paraId="29374314"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Fecha de desclasificación</w:t>
            </w:r>
          </w:p>
        </w:tc>
        <w:tc>
          <w:tcPr>
            <w:tcW w:w="3421" w:type="dxa"/>
          </w:tcPr>
          <w:p w14:paraId="48151C06"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anotará la fecha en que se desclasifica el documento.</w:t>
            </w:r>
          </w:p>
        </w:tc>
        <w:tc>
          <w:tcPr>
            <w:tcW w:w="968" w:type="dxa"/>
          </w:tcPr>
          <w:p w14:paraId="6CE0F023"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Rúbrica del titular del área</w:t>
            </w:r>
          </w:p>
        </w:tc>
        <w:tc>
          <w:tcPr>
            <w:tcW w:w="3446" w:type="dxa"/>
          </w:tcPr>
          <w:p w14:paraId="0C696661"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Rúbrica autógrafa de quien clasifica.</w:t>
            </w:r>
          </w:p>
        </w:tc>
      </w:tr>
      <w:tr w:rsidR="00C3402C" w:rsidRPr="006065EA" w14:paraId="697D7E7E" w14:textId="77777777">
        <w:tc>
          <w:tcPr>
            <w:tcW w:w="993" w:type="dxa"/>
          </w:tcPr>
          <w:p w14:paraId="287CDAB9"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Rúbrica y cargo del servidor público</w:t>
            </w:r>
          </w:p>
        </w:tc>
        <w:tc>
          <w:tcPr>
            <w:tcW w:w="3421" w:type="dxa"/>
          </w:tcPr>
          <w:p w14:paraId="58DFB0F7"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Rúbrica autógrafa de quien desclasifica.</w:t>
            </w:r>
          </w:p>
        </w:tc>
        <w:tc>
          <w:tcPr>
            <w:tcW w:w="968" w:type="dxa"/>
          </w:tcPr>
          <w:p w14:paraId="1894D1B1"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Fecha de desclasificación</w:t>
            </w:r>
          </w:p>
        </w:tc>
        <w:tc>
          <w:tcPr>
            <w:tcW w:w="3446" w:type="dxa"/>
          </w:tcPr>
          <w:p w14:paraId="203D449A"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Se anotará la fecha en que se desclasifica.</w:t>
            </w:r>
          </w:p>
        </w:tc>
      </w:tr>
      <w:tr w:rsidR="00C3402C" w:rsidRPr="006065EA" w14:paraId="14F33F28" w14:textId="77777777">
        <w:tc>
          <w:tcPr>
            <w:tcW w:w="993" w:type="dxa"/>
          </w:tcPr>
          <w:p w14:paraId="0E6A8A9B" w14:textId="77777777" w:rsidR="00C3402C" w:rsidRPr="006065EA" w:rsidRDefault="00C3402C">
            <w:pPr>
              <w:jc w:val="both"/>
              <w:rPr>
                <w:rFonts w:ascii="Palatino Linotype" w:eastAsia="Palatino Linotype" w:hAnsi="Palatino Linotype" w:cs="Palatino Linotype"/>
                <w:sz w:val="12"/>
                <w:szCs w:val="12"/>
              </w:rPr>
            </w:pPr>
          </w:p>
        </w:tc>
        <w:tc>
          <w:tcPr>
            <w:tcW w:w="3421" w:type="dxa"/>
          </w:tcPr>
          <w:p w14:paraId="28542631" w14:textId="77777777" w:rsidR="00C3402C" w:rsidRPr="006065EA" w:rsidRDefault="00C3402C">
            <w:pPr>
              <w:jc w:val="both"/>
              <w:rPr>
                <w:rFonts w:ascii="Palatino Linotype" w:eastAsia="Palatino Linotype" w:hAnsi="Palatino Linotype" w:cs="Palatino Linotype"/>
                <w:sz w:val="12"/>
                <w:szCs w:val="12"/>
              </w:rPr>
            </w:pPr>
          </w:p>
        </w:tc>
        <w:tc>
          <w:tcPr>
            <w:tcW w:w="968" w:type="dxa"/>
          </w:tcPr>
          <w:p w14:paraId="3F49DD06"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Partes o secciones reservadas o confidenciales</w:t>
            </w:r>
          </w:p>
        </w:tc>
        <w:tc>
          <w:tcPr>
            <w:tcW w:w="3446" w:type="dxa"/>
          </w:tcPr>
          <w:p w14:paraId="0FB10400"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 xml:space="preserve">En caso que una vez desclasificado el expediente, </w:t>
            </w:r>
            <w:proofErr w:type="spellStart"/>
            <w:r w:rsidRPr="006065EA">
              <w:rPr>
                <w:rFonts w:ascii="Palatino Linotype" w:eastAsia="Palatino Linotype" w:hAnsi="Palatino Linotype" w:cs="Palatino Linotype"/>
                <w:sz w:val="12"/>
                <w:szCs w:val="12"/>
              </w:rPr>
              <w:t>subsistanpartes</w:t>
            </w:r>
            <w:proofErr w:type="spellEnd"/>
            <w:r w:rsidRPr="006065EA">
              <w:rPr>
                <w:rFonts w:ascii="Palatino Linotype" w:eastAsia="Palatino Linotype" w:hAnsi="Palatino Linotype" w:cs="Palatino Linotype"/>
                <w:sz w:val="12"/>
                <w:szCs w:val="12"/>
              </w:rPr>
              <w:t xml:space="preserve"> o secciones del mismo reservadas o confidenciales, se señalará este hecho.</w:t>
            </w:r>
          </w:p>
        </w:tc>
      </w:tr>
      <w:tr w:rsidR="00C3402C" w:rsidRPr="006065EA" w14:paraId="009BAF64" w14:textId="77777777">
        <w:tc>
          <w:tcPr>
            <w:tcW w:w="993" w:type="dxa"/>
          </w:tcPr>
          <w:p w14:paraId="52CA9C20" w14:textId="77777777" w:rsidR="00C3402C" w:rsidRPr="006065EA" w:rsidRDefault="00C3402C">
            <w:pPr>
              <w:jc w:val="both"/>
              <w:rPr>
                <w:rFonts w:ascii="Palatino Linotype" w:eastAsia="Palatino Linotype" w:hAnsi="Palatino Linotype" w:cs="Palatino Linotype"/>
                <w:sz w:val="12"/>
                <w:szCs w:val="12"/>
              </w:rPr>
            </w:pPr>
          </w:p>
        </w:tc>
        <w:tc>
          <w:tcPr>
            <w:tcW w:w="3421" w:type="dxa"/>
          </w:tcPr>
          <w:p w14:paraId="41D4531D" w14:textId="77777777" w:rsidR="00C3402C" w:rsidRPr="006065EA" w:rsidRDefault="00C3402C">
            <w:pPr>
              <w:jc w:val="both"/>
              <w:rPr>
                <w:rFonts w:ascii="Palatino Linotype" w:eastAsia="Palatino Linotype" w:hAnsi="Palatino Linotype" w:cs="Palatino Linotype"/>
                <w:sz w:val="12"/>
                <w:szCs w:val="12"/>
              </w:rPr>
            </w:pPr>
          </w:p>
        </w:tc>
        <w:tc>
          <w:tcPr>
            <w:tcW w:w="968" w:type="dxa"/>
          </w:tcPr>
          <w:p w14:paraId="09855110" w14:textId="77777777" w:rsidR="00C3402C" w:rsidRPr="006065EA" w:rsidRDefault="00BD4A67">
            <w:pPr>
              <w:jc w:val="both"/>
              <w:rPr>
                <w:rFonts w:ascii="Palatino Linotype" w:eastAsia="Palatino Linotype" w:hAnsi="Palatino Linotype" w:cs="Palatino Linotype"/>
                <w:b/>
                <w:sz w:val="12"/>
                <w:szCs w:val="12"/>
              </w:rPr>
            </w:pPr>
            <w:r w:rsidRPr="006065EA">
              <w:rPr>
                <w:rFonts w:ascii="Palatino Linotype" w:eastAsia="Palatino Linotype" w:hAnsi="Palatino Linotype" w:cs="Palatino Linotype"/>
                <w:b/>
                <w:sz w:val="12"/>
                <w:szCs w:val="12"/>
              </w:rPr>
              <w:t>Rúbrica y cargo del servidor público</w:t>
            </w:r>
          </w:p>
        </w:tc>
        <w:tc>
          <w:tcPr>
            <w:tcW w:w="3446" w:type="dxa"/>
          </w:tcPr>
          <w:p w14:paraId="5A8377E7" w14:textId="77777777" w:rsidR="00C3402C" w:rsidRPr="006065EA" w:rsidRDefault="00BD4A67">
            <w:pPr>
              <w:jc w:val="both"/>
              <w:rPr>
                <w:rFonts w:ascii="Palatino Linotype" w:eastAsia="Palatino Linotype" w:hAnsi="Palatino Linotype" w:cs="Palatino Linotype"/>
                <w:sz w:val="12"/>
                <w:szCs w:val="12"/>
              </w:rPr>
            </w:pPr>
            <w:r w:rsidRPr="006065EA">
              <w:rPr>
                <w:rFonts w:ascii="Palatino Linotype" w:eastAsia="Palatino Linotype" w:hAnsi="Palatino Linotype" w:cs="Palatino Linotype"/>
                <w:sz w:val="12"/>
                <w:szCs w:val="12"/>
              </w:rPr>
              <w:t>Rúbrica autógrafa de quien desclasifica.</w:t>
            </w:r>
          </w:p>
        </w:tc>
      </w:tr>
    </w:tbl>
    <w:p w14:paraId="6FA433F7" w14:textId="77777777" w:rsidR="00C3402C" w:rsidRPr="006065EA" w:rsidRDefault="00C3402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96A841E" w14:textId="77777777" w:rsidR="00C3402C" w:rsidRPr="006065EA" w:rsidRDefault="00BD4A6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65B3BCD" w14:textId="77777777" w:rsidR="00C3402C" w:rsidRPr="006065EA" w:rsidRDefault="00C3402C">
      <w:pPr>
        <w:spacing w:after="0" w:line="360" w:lineRule="auto"/>
        <w:ind w:right="-147"/>
        <w:jc w:val="both"/>
        <w:rPr>
          <w:rFonts w:ascii="Palatino Linotype" w:eastAsia="Palatino Linotype" w:hAnsi="Palatino Linotype" w:cs="Palatino Linotype"/>
          <w:color w:val="000000"/>
          <w:sz w:val="24"/>
          <w:szCs w:val="24"/>
        </w:rPr>
      </w:pPr>
    </w:p>
    <w:p w14:paraId="05121D90" w14:textId="77777777" w:rsidR="00C3402C" w:rsidRPr="006065EA" w:rsidRDefault="00BD4A67">
      <w:pPr>
        <w:spacing w:after="0" w:line="360" w:lineRule="auto"/>
        <w:jc w:val="center"/>
        <w:rPr>
          <w:rFonts w:ascii="Palatino Linotype" w:eastAsia="Palatino Linotype" w:hAnsi="Palatino Linotype" w:cs="Palatino Linotype"/>
          <w:b/>
          <w:color w:val="000000"/>
          <w:sz w:val="24"/>
          <w:szCs w:val="24"/>
        </w:rPr>
      </w:pPr>
      <w:r w:rsidRPr="006065EA">
        <w:rPr>
          <w:rFonts w:ascii="Palatino Linotype" w:eastAsia="Palatino Linotype" w:hAnsi="Palatino Linotype" w:cs="Palatino Linotype"/>
          <w:b/>
          <w:color w:val="000000"/>
          <w:sz w:val="24"/>
          <w:szCs w:val="24"/>
        </w:rPr>
        <w:t>RESUELVE:</w:t>
      </w:r>
    </w:p>
    <w:p w14:paraId="2304DAFB" w14:textId="77777777" w:rsidR="00C3402C" w:rsidRPr="006065EA" w:rsidRDefault="00C3402C">
      <w:pPr>
        <w:spacing w:after="0" w:line="360" w:lineRule="auto"/>
        <w:ind w:right="-147"/>
        <w:jc w:val="both"/>
        <w:rPr>
          <w:rFonts w:ascii="Palatino Linotype" w:eastAsia="Palatino Linotype" w:hAnsi="Palatino Linotype" w:cs="Palatino Linotype"/>
          <w:color w:val="000000"/>
          <w:sz w:val="24"/>
          <w:szCs w:val="24"/>
        </w:rPr>
      </w:pPr>
    </w:p>
    <w:p w14:paraId="0C519578"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PRIMERO.</w:t>
      </w:r>
      <w:r w:rsidRPr="006065EA">
        <w:rPr>
          <w:rFonts w:ascii="Palatino Linotype" w:eastAsia="Palatino Linotype" w:hAnsi="Palatino Linotype" w:cs="Palatino Linotype"/>
          <w:sz w:val="24"/>
          <w:szCs w:val="24"/>
        </w:rPr>
        <w:t xml:space="preserve"> Resultan fundados los motivos de inconformidad hechos valer por la parte Recurrente en el Recurso de Revisión </w:t>
      </w:r>
      <w:r w:rsidRPr="006065EA">
        <w:rPr>
          <w:rFonts w:ascii="Palatino Linotype" w:eastAsia="Palatino Linotype" w:hAnsi="Palatino Linotype" w:cs="Palatino Linotype"/>
          <w:b/>
          <w:color w:val="000000"/>
          <w:sz w:val="24"/>
          <w:szCs w:val="24"/>
        </w:rPr>
        <w:t>17134/INFOEM/IP/RR/2022</w:t>
      </w:r>
      <w:r w:rsidRPr="006065EA">
        <w:rPr>
          <w:rFonts w:ascii="Palatino Linotype" w:eastAsia="Palatino Linotype" w:hAnsi="Palatino Linotype" w:cs="Palatino Linotype"/>
          <w:color w:val="000000"/>
          <w:sz w:val="24"/>
          <w:szCs w:val="24"/>
        </w:rPr>
        <w:t xml:space="preserve"> e</w:t>
      </w:r>
      <w:r w:rsidRPr="006065EA">
        <w:rPr>
          <w:rFonts w:ascii="Palatino Linotype" w:eastAsia="Palatino Linotype" w:hAnsi="Palatino Linotype" w:cs="Palatino Linotype"/>
          <w:sz w:val="24"/>
          <w:szCs w:val="24"/>
        </w:rPr>
        <w:t xml:space="preserve">n términos del Considerando Cuarto de la presente resolución. </w:t>
      </w:r>
    </w:p>
    <w:p w14:paraId="30DFDE9B"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176BBB20" w14:textId="77777777" w:rsidR="00C3402C" w:rsidRPr="006065EA" w:rsidRDefault="00BD4A67">
      <w:pPr>
        <w:spacing w:after="0" w:line="360" w:lineRule="auto"/>
        <w:ind w:right="51"/>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 xml:space="preserve">SEGUNDO. </w:t>
      </w:r>
      <w:r w:rsidRPr="006065EA">
        <w:rPr>
          <w:rFonts w:ascii="Palatino Linotype" w:eastAsia="Palatino Linotype" w:hAnsi="Palatino Linotype" w:cs="Palatino Linotype"/>
          <w:sz w:val="24"/>
          <w:szCs w:val="24"/>
        </w:rPr>
        <w:t xml:space="preserve">Se Ordena al </w:t>
      </w:r>
      <w:r w:rsidRPr="006065EA">
        <w:rPr>
          <w:rFonts w:ascii="Palatino Linotype" w:eastAsia="Palatino Linotype" w:hAnsi="Palatino Linotype" w:cs="Palatino Linotype"/>
          <w:b/>
          <w:color w:val="000000"/>
          <w:sz w:val="24"/>
          <w:szCs w:val="24"/>
        </w:rPr>
        <w:t>SUJETO OBLIGADO</w:t>
      </w:r>
      <w:r w:rsidRPr="006065EA">
        <w:rPr>
          <w:rFonts w:ascii="Palatino Linotype" w:eastAsia="Palatino Linotype" w:hAnsi="Palatino Linotype" w:cs="Palatino Linotype"/>
          <w:color w:val="000000"/>
          <w:sz w:val="24"/>
          <w:szCs w:val="24"/>
        </w:rPr>
        <w:t xml:space="preserve"> </w:t>
      </w:r>
      <w:r w:rsidRPr="006065EA">
        <w:rPr>
          <w:rFonts w:ascii="Palatino Linotype" w:eastAsia="Palatino Linotype" w:hAnsi="Palatino Linotype" w:cs="Palatino Linotype"/>
          <w:sz w:val="24"/>
          <w:szCs w:val="24"/>
        </w:rPr>
        <w:t xml:space="preserve">que en términos de los Considerandos Cuarto y Quinto de esta resolución haga entrega, en versión pública, a través del </w:t>
      </w:r>
      <w:proofErr w:type="gramStart"/>
      <w:r w:rsidRPr="006065EA">
        <w:rPr>
          <w:rFonts w:ascii="Palatino Linotype" w:eastAsia="Palatino Linotype" w:hAnsi="Palatino Linotype" w:cs="Palatino Linotype"/>
          <w:sz w:val="24"/>
          <w:szCs w:val="24"/>
        </w:rPr>
        <w:t>SAIMEX,  la</w:t>
      </w:r>
      <w:proofErr w:type="gramEnd"/>
      <w:r w:rsidRPr="006065EA">
        <w:rPr>
          <w:rFonts w:ascii="Palatino Linotype" w:eastAsia="Palatino Linotype" w:hAnsi="Palatino Linotype" w:cs="Palatino Linotype"/>
          <w:sz w:val="24"/>
          <w:szCs w:val="24"/>
        </w:rPr>
        <w:t xml:space="preserve"> documentación donde conste lo siguiente: </w:t>
      </w:r>
    </w:p>
    <w:p w14:paraId="1AF673CC" w14:textId="77777777" w:rsidR="00C3402C" w:rsidRPr="006065EA" w:rsidRDefault="00C3402C">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bookmarkStart w:id="1" w:name="_heading=h.30j0zll" w:colFirst="0" w:colLast="0"/>
      <w:bookmarkEnd w:id="1"/>
    </w:p>
    <w:p w14:paraId="7BC52349" w14:textId="77777777" w:rsidR="00C3402C" w:rsidRPr="006065EA" w:rsidRDefault="00BD4A67">
      <w:pPr>
        <w:numPr>
          <w:ilvl w:val="0"/>
          <w:numId w:val="2"/>
        </w:num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La ubicación dentro del territorio municipal del puente denominado "Tlapacoya” vigente al diez de noviembre de dos mil veintidós.</w:t>
      </w:r>
    </w:p>
    <w:p w14:paraId="54E7A0FA" w14:textId="77777777" w:rsidR="00C3402C" w:rsidRPr="006065EA" w:rsidRDefault="00C3402C">
      <w:pPr>
        <w:pBdr>
          <w:top w:val="nil"/>
          <w:left w:val="nil"/>
          <w:bottom w:val="nil"/>
          <w:right w:val="nil"/>
          <w:between w:val="nil"/>
        </w:pBdr>
        <w:spacing w:after="0" w:line="360" w:lineRule="auto"/>
        <w:ind w:left="720" w:right="-147"/>
        <w:jc w:val="both"/>
        <w:rPr>
          <w:rFonts w:ascii="Palatino Linotype" w:eastAsia="Palatino Linotype" w:hAnsi="Palatino Linotype" w:cs="Palatino Linotype"/>
          <w:sz w:val="24"/>
          <w:szCs w:val="24"/>
        </w:rPr>
      </w:pPr>
    </w:p>
    <w:p w14:paraId="55178198" w14:textId="77777777" w:rsidR="00C3402C" w:rsidRPr="006065EA" w:rsidRDefault="00BD4A67">
      <w:pPr>
        <w:numPr>
          <w:ilvl w:val="0"/>
          <w:numId w:val="2"/>
        </w:num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Los tipos de trabajos, tareas y/o actividades realizan las autoridades de tránsito para agilizar, mejorar y regular la movilidad </w:t>
      </w:r>
      <w:r w:rsidRPr="006065EA">
        <w:rPr>
          <w:rFonts w:ascii="Palatino Linotype" w:eastAsia="Palatino Linotype" w:hAnsi="Palatino Linotype" w:cs="Palatino Linotype"/>
          <w:sz w:val="24"/>
          <w:szCs w:val="24"/>
        </w:rPr>
        <w:t>del puente denominado "Tlapacoya</w:t>
      </w:r>
      <w:proofErr w:type="gramStart"/>
      <w:r w:rsidRPr="006065EA">
        <w:rPr>
          <w:rFonts w:ascii="Palatino Linotype" w:eastAsia="Palatino Linotype" w:hAnsi="Palatino Linotype" w:cs="Palatino Linotype"/>
          <w:sz w:val="24"/>
          <w:szCs w:val="24"/>
        </w:rPr>
        <w:t xml:space="preserve">”, </w:t>
      </w:r>
      <w:r w:rsidRPr="006065EA">
        <w:rPr>
          <w:rFonts w:ascii="Palatino Linotype" w:eastAsia="Palatino Linotype" w:hAnsi="Palatino Linotype" w:cs="Palatino Linotype"/>
          <w:color w:val="000000"/>
          <w:sz w:val="24"/>
          <w:szCs w:val="24"/>
        </w:rPr>
        <w:t xml:space="preserve"> al</w:t>
      </w:r>
      <w:proofErr w:type="gramEnd"/>
      <w:r w:rsidRPr="006065EA">
        <w:rPr>
          <w:rFonts w:ascii="Palatino Linotype" w:eastAsia="Palatino Linotype" w:hAnsi="Palatino Linotype" w:cs="Palatino Linotype"/>
          <w:color w:val="000000"/>
          <w:sz w:val="24"/>
          <w:szCs w:val="24"/>
        </w:rPr>
        <w:t xml:space="preserve"> diez de noviembre de dos mil veintidós.  </w:t>
      </w:r>
    </w:p>
    <w:p w14:paraId="01D377D8" w14:textId="77777777" w:rsidR="00C3402C" w:rsidRPr="006065EA" w:rsidRDefault="00C3402C">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28A941DB" w14:textId="77777777" w:rsidR="00C3402C" w:rsidRPr="006065EA" w:rsidRDefault="00BD4A67">
      <w:pPr>
        <w:numPr>
          <w:ilvl w:val="0"/>
          <w:numId w:val="2"/>
        </w:num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La señalización sobre el sentido, direcciones de tránsito sobre el tramo del puente de "Tlapacoya" que se encuentre dentro del Municipio de Ixtapaluca </w:t>
      </w:r>
      <w:proofErr w:type="gramStart"/>
      <w:r w:rsidRPr="006065EA">
        <w:rPr>
          <w:rFonts w:ascii="Palatino Linotype" w:eastAsia="Palatino Linotype" w:hAnsi="Palatino Linotype" w:cs="Palatino Linotype"/>
          <w:color w:val="000000"/>
          <w:sz w:val="24"/>
          <w:szCs w:val="24"/>
        </w:rPr>
        <w:t>vigente  al</w:t>
      </w:r>
      <w:proofErr w:type="gramEnd"/>
      <w:r w:rsidRPr="006065EA">
        <w:rPr>
          <w:rFonts w:ascii="Palatino Linotype" w:eastAsia="Palatino Linotype" w:hAnsi="Palatino Linotype" w:cs="Palatino Linotype"/>
          <w:color w:val="000000"/>
          <w:sz w:val="24"/>
          <w:szCs w:val="24"/>
        </w:rPr>
        <w:t xml:space="preserve"> diez de noviembre de dos mil veintidós. </w:t>
      </w:r>
    </w:p>
    <w:p w14:paraId="005044BC" w14:textId="77777777" w:rsidR="00C3402C" w:rsidRPr="006065EA" w:rsidRDefault="00C3402C">
      <w:pPr>
        <w:spacing w:after="0" w:line="360" w:lineRule="auto"/>
        <w:ind w:right="-147"/>
        <w:jc w:val="both"/>
        <w:rPr>
          <w:rFonts w:ascii="Palatino Linotype" w:eastAsia="Palatino Linotype" w:hAnsi="Palatino Linotype" w:cs="Palatino Linotype"/>
          <w:color w:val="000000"/>
          <w:sz w:val="24"/>
          <w:szCs w:val="24"/>
        </w:rPr>
      </w:pPr>
    </w:p>
    <w:p w14:paraId="22698012" w14:textId="77777777" w:rsidR="00C3402C" w:rsidRPr="006065EA" w:rsidRDefault="00BD4A67">
      <w:pPr>
        <w:numPr>
          <w:ilvl w:val="0"/>
          <w:numId w:val="2"/>
        </w:num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Los convenios de colaboración con los municipios colindantes de Chalco y Valle de Chalco para el mejoramiento y agilización del tránsito vehicular que circula sobre el puente de "Tlapacoya”, </w:t>
      </w:r>
      <w:r w:rsidRPr="006065EA">
        <w:rPr>
          <w:rFonts w:ascii="Palatino Linotype" w:eastAsia="Palatino Linotype" w:hAnsi="Palatino Linotype" w:cs="Palatino Linotype"/>
          <w:sz w:val="24"/>
          <w:szCs w:val="24"/>
        </w:rPr>
        <w:t>celebrados del diez de noviembre de dos mil veintiuno</w:t>
      </w:r>
      <w:r w:rsidRPr="006065EA">
        <w:rPr>
          <w:rFonts w:ascii="Palatino Linotype" w:eastAsia="Palatino Linotype" w:hAnsi="Palatino Linotype" w:cs="Palatino Linotype"/>
          <w:color w:val="000000"/>
          <w:sz w:val="24"/>
          <w:szCs w:val="24"/>
        </w:rPr>
        <w:t xml:space="preserve"> al diez de noviembre de dos mil veintidós</w:t>
      </w:r>
    </w:p>
    <w:p w14:paraId="4462E69E" w14:textId="77777777" w:rsidR="00C3402C" w:rsidRPr="006065EA" w:rsidRDefault="00C3402C">
      <w:pPr>
        <w:spacing w:after="0" w:line="360" w:lineRule="auto"/>
        <w:ind w:right="-147"/>
        <w:jc w:val="both"/>
        <w:rPr>
          <w:rFonts w:ascii="Palatino Linotype" w:eastAsia="Palatino Linotype" w:hAnsi="Palatino Linotype" w:cs="Palatino Linotype"/>
          <w:sz w:val="24"/>
          <w:szCs w:val="24"/>
        </w:rPr>
      </w:pPr>
    </w:p>
    <w:p w14:paraId="2136067B" w14:textId="77777777" w:rsidR="00C3402C" w:rsidRPr="006065EA" w:rsidRDefault="00BD4A67">
      <w:pPr>
        <w:numPr>
          <w:ilvl w:val="0"/>
          <w:numId w:val="2"/>
        </w:num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Los convenios de colaboración con autoridades estatales o federales que contribuyan a las labores de tránsito, señalización o mantenimiento del puente de “Tlapacoya”, </w:t>
      </w:r>
      <w:r w:rsidRPr="006065EA">
        <w:rPr>
          <w:rFonts w:ascii="Palatino Linotype" w:eastAsia="Palatino Linotype" w:hAnsi="Palatino Linotype" w:cs="Palatino Linotype"/>
          <w:sz w:val="24"/>
          <w:szCs w:val="24"/>
        </w:rPr>
        <w:t>celebradas del diez de noviembre de dos mil veintiuno</w:t>
      </w:r>
      <w:r w:rsidRPr="006065EA">
        <w:rPr>
          <w:rFonts w:ascii="Palatino Linotype" w:eastAsia="Palatino Linotype" w:hAnsi="Palatino Linotype" w:cs="Palatino Linotype"/>
          <w:color w:val="000000"/>
          <w:sz w:val="24"/>
          <w:szCs w:val="24"/>
        </w:rPr>
        <w:t xml:space="preserve"> al diez de noviembre de dos mil veintidós.</w:t>
      </w:r>
    </w:p>
    <w:p w14:paraId="30A3504F" w14:textId="77777777" w:rsidR="00C3402C" w:rsidRPr="006065EA" w:rsidRDefault="00C3402C">
      <w:pPr>
        <w:spacing w:after="0" w:line="360" w:lineRule="auto"/>
        <w:ind w:right="-147"/>
        <w:jc w:val="both"/>
        <w:rPr>
          <w:rFonts w:ascii="Palatino Linotype" w:eastAsia="Palatino Linotype" w:hAnsi="Palatino Linotype" w:cs="Palatino Linotype"/>
          <w:sz w:val="24"/>
          <w:szCs w:val="24"/>
        </w:rPr>
      </w:pPr>
    </w:p>
    <w:p w14:paraId="044CC650" w14:textId="77777777" w:rsidR="00C3402C" w:rsidRPr="006065EA" w:rsidRDefault="00BD4A67">
      <w:pPr>
        <w:numPr>
          <w:ilvl w:val="0"/>
          <w:numId w:val="2"/>
        </w:num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t xml:space="preserve">El Acuerdo que emita el Comité de Transparencia mediante el que confirme la declaratoria de incompetencia del </w:t>
      </w:r>
      <w:r w:rsidRPr="006065EA">
        <w:rPr>
          <w:rFonts w:ascii="Palatino Linotype" w:eastAsia="Palatino Linotype" w:hAnsi="Palatino Linotype" w:cs="Palatino Linotype"/>
          <w:b/>
          <w:color w:val="000000"/>
          <w:sz w:val="24"/>
          <w:szCs w:val="24"/>
        </w:rPr>
        <w:t>SUJETO OBLIGADO</w:t>
      </w:r>
      <w:r w:rsidRPr="006065EA">
        <w:rPr>
          <w:rFonts w:ascii="Palatino Linotype" w:eastAsia="Palatino Linotype" w:hAnsi="Palatino Linotype" w:cs="Palatino Linotype"/>
          <w:color w:val="000000"/>
          <w:sz w:val="24"/>
          <w:szCs w:val="24"/>
        </w:rPr>
        <w:t>, respecto a la señalización que regula el tránsito de la parte del “Tlapacoya” que no se encuentra dentro del territorio del Municipio de Ixtapaluca.</w:t>
      </w:r>
    </w:p>
    <w:p w14:paraId="106095DA" w14:textId="77777777" w:rsidR="00C3402C" w:rsidRPr="006065EA" w:rsidRDefault="00BD4A67">
      <w:pPr>
        <w:pBdr>
          <w:top w:val="nil"/>
          <w:left w:val="nil"/>
          <w:bottom w:val="nil"/>
          <w:right w:val="nil"/>
          <w:between w:val="nil"/>
        </w:pBdr>
        <w:spacing w:after="0" w:line="360" w:lineRule="auto"/>
        <w:ind w:left="720" w:right="-147"/>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color w:val="000000"/>
          <w:sz w:val="24"/>
          <w:szCs w:val="24"/>
        </w:rPr>
        <w:lastRenderedPageBreak/>
        <w:t xml:space="preserve"> </w:t>
      </w:r>
    </w:p>
    <w:p w14:paraId="646174CE" w14:textId="77777777" w:rsidR="00C3402C" w:rsidRPr="006065EA" w:rsidRDefault="00BD4A67">
      <w:pPr>
        <w:spacing w:after="0" w:line="276" w:lineRule="auto"/>
        <w:ind w:right="49"/>
        <w:jc w:val="both"/>
        <w:rPr>
          <w:rFonts w:ascii="Palatino Linotype" w:eastAsia="Palatino Linotype" w:hAnsi="Palatino Linotype" w:cs="Palatino Linotype"/>
          <w:i/>
          <w:color w:val="000000"/>
        </w:rPr>
      </w:pPr>
      <w:r w:rsidRPr="006065EA">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09CAEDE9" w14:textId="77777777" w:rsidR="00C3402C" w:rsidRPr="006065EA" w:rsidRDefault="00C3402C">
      <w:pPr>
        <w:spacing w:after="0" w:line="276" w:lineRule="auto"/>
        <w:jc w:val="both"/>
        <w:rPr>
          <w:rFonts w:ascii="Palatino Linotype" w:eastAsia="Palatino Linotype" w:hAnsi="Palatino Linotype" w:cs="Palatino Linotype"/>
          <w:i/>
          <w:sz w:val="20"/>
          <w:szCs w:val="20"/>
        </w:rPr>
      </w:pPr>
    </w:p>
    <w:p w14:paraId="4915CCC6" w14:textId="77777777" w:rsidR="00C3402C" w:rsidRPr="006065EA" w:rsidRDefault="00BD4A67">
      <w:pPr>
        <w:spacing w:after="0" w:line="276" w:lineRule="auto"/>
        <w:jc w:val="both"/>
        <w:rPr>
          <w:rFonts w:ascii="Palatino Linotype" w:eastAsia="Palatino Linotype" w:hAnsi="Palatino Linotype" w:cs="Palatino Linotype"/>
          <w:i/>
        </w:rPr>
      </w:pPr>
      <w:r w:rsidRPr="006065EA">
        <w:rPr>
          <w:rFonts w:ascii="Palatino Linotype" w:eastAsia="Palatino Linotype" w:hAnsi="Palatino Linotype" w:cs="Palatino Linotype"/>
          <w:i/>
        </w:rPr>
        <w:t>En el supuesto que la información ordenada en los incisos c) d) y e) no obre en los archivos del Sujeto Obligado por no haberse generado, bastará con que así lo haga del conocimiento de la parte Recurrente, de manera fundada y motivada, para tener por colmado el requerimiento de información.</w:t>
      </w:r>
    </w:p>
    <w:p w14:paraId="645DAC8E" w14:textId="77777777" w:rsidR="00C3402C" w:rsidRPr="006065EA" w:rsidRDefault="00C3402C">
      <w:pPr>
        <w:spacing w:after="0" w:line="360" w:lineRule="auto"/>
        <w:ind w:right="-147"/>
        <w:jc w:val="both"/>
        <w:rPr>
          <w:rFonts w:ascii="Palatino Linotype" w:eastAsia="Palatino Linotype" w:hAnsi="Palatino Linotype" w:cs="Palatino Linotype"/>
          <w:color w:val="000000"/>
          <w:sz w:val="24"/>
          <w:szCs w:val="24"/>
        </w:rPr>
      </w:pPr>
    </w:p>
    <w:p w14:paraId="78B1C19D" w14:textId="77777777" w:rsidR="00C3402C" w:rsidRPr="006065EA" w:rsidRDefault="00BD4A67">
      <w:pPr>
        <w:spacing w:after="0" w:line="360" w:lineRule="auto"/>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b/>
          <w:sz w:val="24"/>
          <w:szCs w:val="24"/>
        </w:rPr>
        <w:t xml:space="preserve">TERCERO.  Notifíquese vía SAIMEX, </w:t>
      </w:r>
      <w:r w:rsidRPr="006065EA">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5D91CE" w14:textId="77777777" w:rsidR="00C3402C" w:rsidRPr="006065EA" w:rsidRDefault="00C3402C">
      <w:pPr>
        <w:spacing w:after="0" w:line="360" w:lineRule="auto"/>
        <w:jc w:val="both"/>
        <w:rPr>
          <w:rFonts w:ascii="Palatino Linotype" w:eastAsia="Palatino Linotype" w:hAnsi="Palatino Linotype" w:cs="Palatino Linotype"/>
          <w:sz w:val="24"/>
          <w:szCs w:val="24"/>
        </w:rPr>
      </w:pPr>
    </w:p>
    <w:p w14:paraId="5EAF69B8" w14:textId="77777777" w:rsidR="008E2853" w:rsidRPr="006065EA" w:rsidRDefault="00DD7BC8" w:rsidP="008E2853">
      <w:pPr>
        <w:spacing w:line="360" w:lineRule="auto"/>
        <w:jc w:val="both"/>
        <w:rPr>
          <w:rFonts w:ascii="Palatino Linotype" w:eastAsia="Palatino Linotype" w:hAnsi="Palatino Linotype" w:cs="Palatino Linotype"/>
          <w:color w:val="000000"/>
          <w:sz w:val="24"/>
          <w:szCs w:val="24"/>
        </w:rPr>
      </w:pPr>
      <w:r w:rsidRPr="006065EA">
        <w:rPr>
          <w:rFonts w:ascii="Palatino Linotype" w:eastAsia="Palatino Linotype" w:hAnsi="Palatino Linotype" w:cs="Palatino Linotype"/>
          <w:b/>
          <w:sz w:val="24"/>
        </w:rPr>
        <w:t>CUARTO. NOTIFÍQUESE</w:t>
      </w:r>
      <w:r w:rsidRPr="006065EA">
        <w:rPr>
          <w:rFonts w:ascii="Palatino Linotype" w:eastAsia="Palatino Linotype" w:hAnsi="Palatino Linotype" w:cs="Palatino Linotype"/>
          <w:sz w:val="24"/>
        </w:rPr>
        <w:t xml:space="preserve"> vía SAIMEX,</w:t>
      </w:r>
      <w:r w:rsidRPr="006065EA">
        <w:rPr>
          <w:rFonts w:ascii="Palatino Linotype" w:eastAsia="Palatino Linotype" w:hAnsi="Palatino Linotype" w:cs="Palatino Linotype"/>
          <w:b/>
          <w:sz w:val="24"/>
        </w:rPr>
        <w:t xml:space="preserve"> </w:t>
      </w:r>
      <w:r w:rsidRPr="006065EA">
        <w:rPr>
          <w:rFonts w:ascii="Palatino Linotype" w:eastAsia="Palatino Linotype" w:hAnsi="Palatino Linotype" w:cs="Palatino Linotype"/>
          <w:sz w:val="24"/>
        </w:rPr>
        <w:t xml:space="preserve">a </w:t>
      </w:r>
      <w:r w:rsidRPr="006065EA">
        <w:rPr>
          <w:rFonts w:ascii="Palatino Linotype" w:eastAsia="Palatino Linotype" w:hAnsi="Palatino Linotype" w:cs="Palatino Linotype"/>
          <w:b/>
          <w:sz w:val="24"/>
        </w:rPr>
        <w:t>LA PARTE</w:t>
      </w:r>
      <w:r w:rsidRPr="006065EA">
        <w:rPr>
          <w:rFonts w:ascii="Palatino Linotype" w:eastAsia="Palatino Linotype" w:hAnsi="Palatino Linotype" w:cs="Palatino Linotype"/>
          <w:sz w:val="24"/>
        </w:rPr>
        <w:t xml:space="preserve"> </w:t>
      </w:r>
      <w:r w:rsidRPr="006065EA">
        <w:rPr>
          <w:rFonts w:ascii="Palatino Linotype" w:eastAsia="Palatino Linotype" w:hAnsi="Palatino Linotype" w:cs="Palatino Linotype"/>
          <w:b/>
          <w:sz w:val="24"/>
        </w:rPr>
        <w:t>RECURRENTE</w:t>
      </w:r>
      <w:r w:rsidRPr="006065EA">
        <w:rPr>
          <w:rFonts w:ascii="Palatino Linotype" w:eastAsia="Palatino Linotype" w:hAnsi="Palatino Linotype" w:cs="Palatino Linotype"/>
          <w:sz w:val="24"/>
        </w:rPr>
        <w:t xml:space="preserve"> la presente resolución, así </w:t>
      </w:r>
      <w:r w:rsidR="008E2853" w:rsidRPr="006065EA">
        <w:rPr>
          <w:rFonts w:ascii="Palatino Linotype" w:eastAsia="Palatino Linotype" w:hAnsi="Palatino Linotype" w:cs="Palatino Linotype"/>
          <w:sz w:val="24"/>
        </w:rPr>
        <w:t xml:space="preserve">mismo se hace de su conocimiento que </w:t>
      </w:r>
      <w:r w:rsidR="008E2853" w:rsidRPr="006065EA">
        <w:rPr>
          <w:rFonts w:ascii="Palatino Linotype" w:eastAsia="Palatino Linotype" w:hAnsi="Palatino Linotype" w:cs="Palatino Linotype"/>
          <w:sz w:val="24"/>
          <w:szCs w:val="24"/>
        </w:rPr>
        <w:t>de conformidad con lo establecido en el artículo 196 de la Ley de Transparencia y Acceso a la Información Pública del Estado de México y Municipios</w:t>
      </w:r>
      <w:r w:rsidR="008E2853" w:rsidRPr="006065EA">
        <w:rPr>
          <w:rFonts w:ascii="Palatino Linotype" w:eastAsia="Palatino Linotype" w:hAnsi="Palatino Linotype" w:cs="Palatino Linotype"/>
          <w:color w:val="000000"/>
          <w:sz w:val="24"/>
          <w:szCs w:val="24"/>
        </w:rPr>
        <w:t xml:space="preserve">, en caso de que considere que la </w:t>
      </w:r>
      <w:r w:rsidR="008E2853" w:rsidRPr="006065EA">
        <w:rPr>
          <w:rFonts w:ascii="Palatino Linotype" w:eastAsia="Palatino Linotype" w:hAnsi="Palatino Linotype" w:cs="Palatino Linotype"/>
          <w:color w:val="000000"/>
          <w:sz w:val="24"/>
          <w:szCs w:val="24"/>
        </w:rPr>
        <w:lastRenderedPageBreak/>
        <w:t>resolución le cause algún perjuicio podrá impugnarla vía juicio de amparo en los términos de las Leyes aplicables.</w:t>
      </w:r>
    </w:p>
    <w:p w14:paraId="0A77A88A" w14:textId="77777777" w:rsidR="008E2853" w:rsidRPr="006065EA" w:rsidRDefault="008E2853" w:rsidP="008E2853">
      <w:pPr>
        <w:spacing w:line="360" w:lineRule="auto"/>
        <w:jc w:val="both"/>
        <w:rPr>
          <w:rFonts w:ascii="Palatino Linotype" w:eastAsia="Palatino Linotype" w:hAnsi="Palatino Linotype" w:cs="Palatino Linotype"/>
          <w:color w:val="000000"/>
          <w:sz w:val="24"/>
          <w:szCs w:val="24"/>
        </w:rPr>
      </w:pPr>
    </w:p>
    <w:p w14:paraId="2B8970CE" w14:textId="77777777" w:rsidR="00C3402C" w:rsidRPr="006065EA" w:rsidRDefault="00DD7BC8" w:rsidP="00DD7BC8">
      <w:pPr>
        <w:spacing w:line="360" w:lineRule="auto"/>
        <w:jc w:val="both"/>
        <w:rPr>
          <w:rFonts w:ascii="Palatino Linotype" w:eastAsia="Palatino Linotype" w:hAnsi="Palatino Linotype" w:cs="Palatino Linotype"/>
          <w:sz w:val="24"/>
        </w:rPr>
      </w:pPr>
      <w:r w:rsidRPr="006065EA">
        <w:rPr>
          <w:rFonts w:ascii="Palatino Linotype" w:eastAsia="Palatino Linotype" w:hAnsi="Palatino Linotype" w:cs="Palatino Linotype"/>
          <w:b/>
          <w:sz w:val="24"/>
        </w:rPr>
        <w:t xml:space="preserve">QUINTO. </w:t>
      </w:r>
      <w:r w:rsidRPr="006065EA">
        <w:rPr>
          <w:rFonts w:ascii="Palatino Linotype" w:eastAsia="Palatino Linotype" w:hAnsi="Palatino Linotype" w:cs="Palatino Linotype"/>
          <w:sz w:val="24"/>
        </w:rPr>
        <w:t xml:space="preserve">Hágase del conocimiento de </w:t>
      </w:r>
      <w:r w:rsidRPr="006065EA">
        <w:rPr>
          <w:rFonts w:ascii="Palatino Linotype" w:eastAsia="Palatino Linotype" w:hAnsi="Palatino Linotype" w:cs="Palatino Linotype"/>
          <w:b/>
          <w:sz w:val="24"/>
        </w:rPr>
        <w:t>LA PARTE RECURRENTE</w:t>
      </w:r>
      <w:r w:rsidRPr="006065EA">
        <w:rPr>
          <w:rFonts w:ascii="Palatino Linotype" w:eastAsia="Palatino Linotype" w:hAnsi="Palatino Linotype" w:cs="Palatino Linotype"/>
          <w:sz w:val="24"/>
        </w:rPr>
        <w:t xml:space="preserve"> que la respuesta que dé </w:t>
      </w:r>
      <w:r w:rsidRPr="006065EA">
        <w:rPr>
          <w:rFonts w:ascii="Palatino Linotype" w:eastAsia="Palatino Linotype" w:hAnsi="Palatino Linotype" w:cs="Palatino Linotype"/>
          <w:b/>
          <w:sz w:val="24"/>
        </w:rPr>
        <w:t>EL SUJETO OBLIGADO</w:t>
      </w:r>
      <w:r w:rsidRPr="006065EA">
        <w:rPr>
          <w:rFonts w:ascii="Palatino Linotype" w:eastAsia="Palatino Linotype" w:hAnsi="Palatino Linotype" w:cs="Palatino Linotype"/>
          <w:sz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2B94AED" w14:textId="77777777" w:rsidR="00C3402C" w:rsidRPr="006065EA" w:rsidRDefault="00C3402C" w:rsidP="00DD7BC8">
      <w:pPr>
        <w:spacing w:after="0" w:line="360" w:lineRule="auto"/>
        <w:contextualSpacing/>
        <w:jc w:val="both"/>
        <w:rPr>
          <w:rFonts w:ascii="Palatino Linotype" w:eastAsia="Palatino Linotype" w:hAnsi="Palatino Linotype" w:cs="Palatino Linotype"/>
          <w:sz w:val="24"/>
          <w:szCs w:val="24"/>
        </w:rPr>
      </w:pPr>
    </w:p>
    <w:p w14:paraId="297C59DD" w14:textId="77777777" w:rsidR="00C3402C" w:rsidRPr="006065EA" w:rsidRDefault="00BD4A67" w:rsidP="00DD7BC8">
      <w:pPr>
        <w:spacing w:after="0" w:line="360" w:lineRule="auto"/>
        <w:ind w:right="49"/>
        <w:contextualSpacing/>
        <w:jc w:val="both"/>
        <w:rPr>
          <w:rFonts w:ascii="Palatino Linotype" w:eastAsia="Palatino Linotype" w:hAnsi="Palatino Linotype" w:cs="Palatino Linotype"/>
          <w:color w:val="FF0000"/>
          <w:sz w:val="24"/>
          <w:szCs w:val="24"/>
        </w:rPr>
      </w:pPr>
      <w:r w:rsidRPr="006065EA">
        <w:rPr>
          <w:rFonts w:ascii="Palatino Linotype" w:eastAsia="Palatino Linotype" w:hAnsi="Palatino Linotype" w:cs="Palatino Linotype"/>
          <w:b/>
          <w:sz w:val="24"/>
          <w:szCs w:val="24"/>
        </w:rPr>
        <w:t xml:space="preserve">SEXTO. Gírese oficio </w:t>
      </w:r>
      <w:r w:rsidRPr="006065EA">
        <w:rPr>
          <w:rFonts w:ascii="Palatino Linotype" w:eastAsia="Palatino Linotype" w:hAnsi="Palatino Linotype" w:cs="Palatino Linotype"/>
          <w:sz w:val="24"/>
          <w:szCs w:val="24"/>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22903F1D" w14:textId="77777777" w:rsidR="00C3402C" w:rsidRPr="006065EA" w:rsidRDefault="00C3402C">
      <w:pPr>
        <w:spacing w:after="0" w:line="360" w:lineRule="auto"/>
        <w:ind w:right="49"/>
        <w:jc w:val="both"/>
        <w:rPr>
          <w:rFonts w:ascii="Palatino Linotype" w:eastAsia="Palatino Linotype" w:hAnsi="Palatino Linotype" w:cs="Palatino Linotype"/>
          <w:color w:val="FF0000"/>
          <w:sz w:val="24"/>
          <w:szCs w:val="24"/>
        </w:rPr>
      </w:pPr>
    </w:p>
    <w:p w14:paraId="12D20E7C" w14:textId="77777777" w:rsidR="00C3402C" w:rsidRPr="006065EA" w:rsidRDefault="00BD4A67">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6065EA">
        <w:rPr>
          <w:rFonts w:ascii="Palatino Linotype" w:eastAsia="Palatino Linotype" w:hAnsi="Palatino Linotype" w:cs="Palatino Linotype"/>
          <w:sz w:val="24"/>
          <w:szCs w:val="24"/>
        </w:rPr>
        <w:lastRenderedPageBreak/>
        <w:t>RAMÍREZ PEÑA; EN LA DÉCIMO NOVENA SESIÓN ORDINARIA CELEBRADA EL VEINTICUATRO DE MAYO DE DOS MIL VEINTITRÉS, ANTE EL SECRETARIO TÉCNICO DEL PLENO ALEXIS TAPIA RAMÍREZ.</w:t>
      </w:r>
    </w:p>
    <w:p w14:paraId="1F826172" w14:textId="77777777" w:rsidR="00F80EA6" w:rsidRDefault="00F80EA6">
      <w:pPr>
        <w:spacing w:after="0" w:line="360" w:lineRule="auto"/>
        <w:ind w:right="49"/>
        <w:jc w:val="both"/>
        <w:rPr>
          <w:rFonts w:ascii="Palatino Linotype" w:eastAsia="Palatino Linotype" w:hAnsi="Palatino Linotype" w:cs="Palatino Linotype"/>
          <w:sz w:val="24"/>
          <w:szCs w:val="24"/>
        </w:rPr>
      </w:pPr>
      <w:r w:rsidRPr="006065EA">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0C6AAC14" wp14:editId="73583B54">
                <wp:simplePos x="0" y="0"/>
                <wp:positionH relativeFrom="column">
                  <wp:posOffset>153242</wp:posOffset>
                </wp:positionH>
                <wp:positionV relativeFrom="paragraph">
                  <wp:posOffset>247207</wp:posOffset>
                </wp:positionV>
                <wp:extent cx="5571460" cy="5645888"/>
                <wp:effectExtent l="0" t="0" r="29845" b="31115"/>
                <wp:wrapNone/>
                <wp:docPr id="1" name="Conector recto 1"/>
                <wp:cNvGraphicFramePr/>
                <a:graphic xmlns:a="http://schemas.openxmlformats.org/drawingml/2006/main">
                  <a:graphicData uri="http://schemas.microsoft.com/office/word/2010/wordprocessingShape">
                    <wps:wsp>
                      <wps:cNvCnPr/>
                      <wps:spPr>
                        <a:xfrm>
                          <a:off x="0" y="0"/>
                          <a:ext cx="5571460" cy="56458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41B1D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05pt,19.45pt" to="450.7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" strokecolor="#5b9bd5 [3204]" strokeweight=".5pt">
                <v:stroke joinstyle="miter"/>
              </v:line>
            </w:pict>
          </mc:Fallback>
        </mc:AlternateContent>
      </w:r>
    </w:p>
    <w:p w14:paraId="67E1274E"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43ADD3D2"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7EA3FC1F"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740C337C"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13201090"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5028292C"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2FC0540D"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0065531D"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4A323196"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02A52E39"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15EB03B2"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73F985FA"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4695AF25"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776D0ADC"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2D4693C2"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079F3A71"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0291C70A"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2D8D70C6"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262C20DE"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05F5B354"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3DED465A"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52B0C44F"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6267EDD4"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481BC3C5"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6C3229AA"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5B755B70" w14:textId="77777777" w:rsidR="00F80EA6" w:rsidRDefault="00F80EA6">
      <w:pPr>
        <w:spacing w:after="0" w:line="360" w:lineRule="auto"/>
        <w:ind w:right="49"/>
        <w:jc w:val="both"/>
        <w:rPr>
          <w:rFonts w:ascii="Palatino Linotype" w:eastAsia="Palatino Linotype" w:hAnsi="Palatino Linotype" w:cs="Palatino Linotype"/>
          <w:sz w:val="24"/>
          <w:szCs w:val="24"/>
        </w:rPr>
      </w:pPr>
    </w:p>
    <w:p w14:paraId="4041BB1E" w14:textId="77777777" w:rsidR="00C3402C" w:rsidRDefault="00C3402C">
      <w:pPr>
        <w:spacing w:after="0" w:line="360" w:lineRule="auto"/>
        <w:ind w:right="-147"/>
        <w:jc w:val="both"/>
        <w:rPr>
          <w:rFonts w:ascii="Palatino Linotype" w:eastAsia="Palatino Linotype" w:hAnsi="Palatino Linotype" w:cs="Palatino Linotype"/>
          <w:color w:val="000000"/>
          <w:sz w:val="24"/>
          <w:szCs w:val="24"/>
        </w:rPr>
      </w:pPr>
      <w:bookmarkStart w:id="2" w:name="_heading=h.gjdgxs" w:colFirst="0" w:colLast="0"/>
      <w:bookmarkEnd w:id="2"/>
    </w:p>
    <w:sectPr w:rsidR="00C3402C">
      <w:headerReference w:type="default" r:id="rId15"/>
      <w:footerReference w:type="default" r:id="rId16"/>
      <w:headerReference w:type="first" r:id="rId17"/>
      <w:footerReference w:type="first" r:id="rId1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10B54" w14:textId="77777777" w:rsidR="001D1944" w:rsidRDefault="001D1944">
      <w:pPr>
        <w:spacing w:after="0" w:line="240" w:lineRule="auto"/>
      </w:pPr>
      <w:r>
        <w:separator/>
      </w:r>
    </w:p>
  </w:endnote>
  <w:endnote w:type="continuationSeparator" w:id="0">
    <w:p w14:paraId="2D475D4C" w14:textId="77777777" w:rsidR="001D1944" w:rsidRDefault="001D1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0306" w14:textId="77777777" w:rsidR="008E2853" w:rsidRDefault="008E285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D2C51">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D2C51">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3AEBEA33" w14:textId="77777777" w:rsidR="008E2853" w:rsidRDefault="008E285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346F" w14:textId="77777777" w:rsidR="008E2853" w:rsidRDefault="008E285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D2C5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D2C51">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184F63C3" w14:textId="77777777" w:rsidR="008E2853" w:rsidRDefault="008E285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8EAF9" w14:textId="77777777" w:rsidR="001D1944" w:rsidRDefault="001D1944">
      <w:pPr>
        <w:spacing w:after="0" w:line="240" w:lineRule="auto"/>
      </w:pPr>
      <w:r>
        <w:separator/>
      </w:r>
    </w:p>
  </w:footnote>
  <w:footnote w:type="continuationSeparator" w:id="0">
    <w:p w14:paraId="141EF71F" w14:textId="77777777" w:rsidR="001D1944" w:rsidRDefault="001D1944">
      <w:pPr>
        <w:spacing w:after="0" w:line="240" w:lineRule="auto"/>
      </w:pPr>
      <w:r>
        <w:continuationSeparator/>
      </w:r>
    </w:p>
  </w:footnote>
  <w:footnote w:id="1">
    <w:p w14:paraId="39107329" w14:textId="77777777" w:rsidR="008E2853" w:rsidRDefault="008E285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Times New Roman" w:eastAsia="Times New Roman" w:hAnsi="Times New Roman" w:cs="Times New Roman"/>
          <w:color w:val="000000"/>
          <w:sz w:val="20"/>
          <w:szCs w:val="20"/>
        </w:rPr>
        <w:t xml:space="preserve"> (…)</w:t>
      </w:r>
    </w:p>
  </w:footnote>
  <w:footnote w:id="2">
    <w:p w14:paraId="471EC522" w14:textId="77777777" w:rsidR="008E2853" w:rsidRDefault="008E2853">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27D9002" w14:textId="77777777" w:rsidR="008E2853" w:rsidRDefault="008E285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4">
    <w:p w14:paraId="260A4A5C" w14:textId="77777777" w:rsidR="008E2853" w:rsidRDefault="008E285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E349" w14:textId="77777777" w:rsidR="008E2853" w:rsidRDefault="008E2853">
    <w:pPr>
      <w:widowControl w:val="0"/>
      <w:pBdr>
        <w:top w:val="nil"/>
        <w:left w:val="nil"/>
        <w:bottom w:val="nil"/>
        <w:right w:val="nil"/>
        <w:between w:val="nil"/>
      </w:pBdr>
      <w:spacing w:after="0" w:line="276" w:lineRule="auto"/>
      <w:rPr>
        <w:color w:val="000000"/>
      </w:rPr>
    </w:pPr>
  </w:p>
  <w:tbl>
    <w:tblPr>
      <w:tblStyle w:val="ae"/>
      <w:tblW w:w="10302" w:type="dxa"/>
      <w:tblInd w:w="-1281" w:type="dxa"/>
      <w:tblLayout w:type="fixed"/>
      <w:tblLook w:val="0400" w:firstRow="0" w:lastRow="0" w:firstColumn="0" w:lastColumn="0" w:noHBand="0" w:noVBand="1"/>
    </w:tblPr>
    <w:tblGrid>
      <w:gridCol w:w="5660"/>
      <w:gridCol w:w="4642"/>
    </w:tblGrid>
    <w:tr w:rsidR="008E2853" w14:paraId="3F91B9EF" w14:textId="77777777">
      <w:trPr>
        <w:trHeight w:val="260"/>
      </w:trPr>
      <w:tc>
        <w:tcPr>
          <w:tcW w:w="5660" w:type="dxa"/>
        </w:tcPr>
        <w:p w14:paraId="365D1DD8" w14:textId="77777777" w:rsidR="008E2853" w:rsidRDefault="008E28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2D4EB565" w14:textId="77777777" w:rsidR="008E2853" w:rsidRDefault="008E285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17134/INFOEM/IP/RR/2022.</w:t>
          </w:r>
        </w:p>
      </w:tc>
    </w:tr>
    <w:tr w:rsidR="008E2853" w14:paraId="68E12585" w14:textId="77777777">
      <w:trPr>
        <w:trHeight w:val="224"/>
      </w:trPr>
      <w:tc>
        <w:tcPr>
          <w:tcW w:w="5660" w:type="dxa"/>
        </w:tcPr>
        <w:p w14:paraId="5496E249" w14:textId="77777777" w:rsidR="008E2853" w:rsidRDefault="008E28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3B73E9E7" w14:textId="77777777" w:rsidR="008E2853" w:rsidRDefault="008E2853">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8E2853" w14:paraId="0ED1031E" w14:textId="77777777">
      <w:trPr>
        <w:trHeight w:val="278"/>
      </w:trPr>
      <w:tc>
        <w:tcPr>
          <w:tcW w:w="5660" w:type="dxa"/>
        </w:tcPr>
        <w:p w14:paraId="20696105" w14:textId="77777777" w:rsidR="008E2853" w:rsidRDefault="008E285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05BBC068" w14:textId="77777777" w:rsidR="008E2853" w:rsidRDefault="008E285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Ixtapaluca</w:t>
          </w:r>
        </w:p>
      </w:tc>
    </w:tr>
    <w:tr w:rsidR="008E2853" w14:paraId="1A724944" w14:textId="77777777">
      <w:trPr>
        <w:trHeight w:val="393"/>
      </w:trPr>
      <w:tc>
        <w:tcPr>
          <w:tcW w:w="5660" w:type="dxa"/>
        </w:tcPr>
        <w:p w14:paraId="03714542" w14:textId="77777777" w:rsidR="008E2853" w:rsidRDefault="008E285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2B7AA0A9" w14:textId="77777777" w:rsidR="008E2853" w:rsidRDefault="008E285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D716F53" w14:textId="77777777" w:rsidR="008E2853" w:rsidRDefault="008E285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BC7F628" wp14:editId="313B18B3">
          <wp:simplePos x="0" y="0"/>
          <wp:positionH relativeFrom="column">
            <wp:posOffset>-922018</wp:posOffset>
          </wp:positionH>
          <wp:positionV relativeFrom="paragraph">
            <wp:posOffset>-1454783</wp:posOffset>
          </wp:positionV>
          <wp:extent cx="7753350" cy="9942731"/>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D4AF" w14:textId="77777777" w:rsidR="008E2853" w:rsidRDefault="008E2853">
    <w:pPr>
      <w:widowControl w:val="0"/>
      <w:pBdr>
        <w:top w:val="nil"/>
        <w:left w:val="nil"/>
        <w:bottom w:val="nil"/>
        <w:right w:val="nil"/>
        <w:between w:val="nil"/>
      </w:pBdr>
      <w:spacing w:after="0" w:line="276" w:lineRule="auto"/>
      <w:rPr>
        <w:color w:val="000000"/>
        <w:sz w:val="20"/>
        <w:szCs w:val="20"/>
      </w:rPr>
    </w:pPr>
  </w:p>
  <w:tbl>
    <w:tblPr>
      <w:tblStyle w:val="ad"/>
      <w:tblW w:w="10302" w:type="dxa"/>
      <w:tblInd w:w="-1281" w:type="dxa"/>
      <w:tblLayout w:type="fixed"/>
      <w:tblLook w:val="0400" w:firstRow="0" w:lastRow="0" w:firstColumn="0" w:lastColumn="0" w:noHBand="0" w:noVBand="1"/>
    </w:tblPr>
    <w:tblGrid>
      <w:gridCol w:w="5660"/>
      <w:gridCol w:w="4642"/>
    </w:tblGrid>
    <w:tr w:rsidR="008E2853" w14:paraId="72E38720" w14:textId="77777777">
      <w:trPr>
        <w:trHeight w:val="260"/>
      </w:trPr>
      <w:tc>
        <w:tcPr>
          <w:tcW w:w="5660" w:type="dxa"/>
        </w:tcPr>
        <w:p w14:paraId="6C79F47F" w14:textId="77777777" w:rsidR="008E2853" w:rsidRDefault="008E28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1DA58B73" w14:textId="77777777" w:rsidR="008E2853" w:rsidRDefault="008E285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17134/INFOEM/IP/RR/2022.</w:t>
          </w:r>
        </w:p>
      </w:tc>
    </w:tr>
    <w:tr w:rsidR="008E2853" w14:paraId="7551EDED" w14:textId="77777777">
      <w:trPr>
        <w:trHeight w:val="224"/>
      </w:trPr>
      <w:tc>
        <w:tcPr>
          <w:tcW w:w="5660" w:type="dxa"/>
        </w:tcPr>
        <w:p w14:paraId="1DC3DA5A" w14:textId="77777777" w:rsidR="008E2853" w:rsidRDefault="008E28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7D9C6EC1" w14:textId="1E9E0636" w:rsidR="008E2853" w:rsidRDefault="001F07D4">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 XXXX XXXXX</w:t>
          </w:r>
        </w:p>
      </w:tc>
    </w:tr>
    <w:tr w:rsidR="008E2853" w14:paraId="4A1D3243" w14:textId="77777777">
      <w:trPr>
        <w:trHeight w:val="278"/>
      </w:trPr>
      <w:tc>
        <w:tcPr>
          <w:tcW w:w="5660" w:type="dxa"/>
        </w:tcPr>
        <w:p w14:paraId="63219B33" w14:textId="77777777" w:rsidR="008E2853" w:rsidRDefault="008E285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1B4BE858" w14:textId="77777777" w:rsidR="008E2853" w:rsidRDefault="008E285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Ixtapaluca</w:t>
          </w:r>
        </w:p>
      </w:tc>
    </w:tr>
    <w:tr w:rsidR="008E2853" w14:paraId="65C6A747" w14:textId="77777777">
      <w:trPr>
        <w:trHeight w:val="393"/>
      </w:trPr>
      <w:tc>
        <w:tcPr>
          <w:tcW w:w="5660" w:type="dxa"/>
        </w:tcPr>
        <w:p w14:paraId="5D1E1A51" w14:textId="77777777" w:rsidR="008E2853" w:rsidRDefault="008E285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66E4776E" w14:textId="77777777" w:rsidR="008E2853" w:rsidRDefault="008E285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10C335A" w14:textId="77777777" w:rsidR="008E2853" w:rsidRDefault="008E285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432F5F66" wp14:editId="0B6B93C4">
          <wp:simplePos x="0" y="0"/>
          <wp:positionH relativeFrom="column">
            <wp:posOffset>-950593</wp:posOffset>
          </wp:positionH>
          <wp:positionV relativeFrom="paragraph">
            <wp:posOffset>-1502408</wp:posOffset>
          </wp:positionV>
          <wp:extent cx="7753350" cy="9942731"/>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17A6"/>
    <w:multiLevelType w:val="multilevel"/>
    <w:tmpl w:val="E58E143A"/>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435C31"/>
    <w:multiLevelType w:val="multilevel"/>
    <w:tmpl w:val="1302A5C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9DF3DEF"/>
    <w:multiLevelType w:val="multilevel"/>
    <w:tmpl w:val="9364CB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CA56C1"/>
    <w:multiLevelType w:val="multilevel"/>
    <w:tmpl w:val="EDBA7DA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2C"/>
    <w:rsid w:val="0007158D"/>
    <w:rsid w:val="001D1944"/>
    <w:rsid w:val="001F07D4"/>
    <w:rsid w:val="0021412C"/>
    <w:rsid w:val="002D2C51"/>
    <w:rsid w:val="004845CB"/>
    <w:rsid w:val="00517164"/>
    <w:rsid w:val="006065EA"/>
    <w:rsid w:val="00661603"/>
    <w:rsid w:val="0075720D"/>
    <w:rsid w:val="008E2853"/>
    <w:rsid w:val="009C0890"/>
    <w:rsid w:val="00A20FFB"/>
    <w:rsid w:val="00B4691F"/>
    <w:rsid w:val="00BD4A67"/>
    <w:rsid w:val="00C3402C"/>
    <w:rsid w:val="00C60ABD"/>
    <w:rsid w:val="00DD7BC8"/>
    <w:rsid w:val="00F3144C"/>
    <w:rsid w:val="00F80EA6"/>
    <w:rsid w:val="00FD0B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77540"/>
  <w15:docId w15:val="{61231EC1-A1B9-4EA4-AC2C-BD2B56F3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2C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52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22C5"/>
  </w:style>
  <w:style w:type="paragraph" w:styleId="Piedepgina">
    <w:name w:val="footer"/>
    <w:basedOn w:val="Normal"/>
    <w:link w:val="PiedepginaCar"/>
    <w:uiPriority w:val="99"/>
    <w:unhideWhenUsed/>
    <w:rsid w:val="00752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22C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0B5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0B5A"/>
    <w:rPr>
      <w:rFonts w:ascii="Calibri" w:eastAsia="Calibri" w:hAnsi="Calibri" w:cs="Calibri"/>
      <w:lang w:eastAsia="es-MX"/>
    </w:rPr>
  </w:style>
  <w:style w:type="character" w:styleId="Hipervnculo">
    <w:name w:val="Hyperlink"/>
    <w:basedOn w:val="Fuentedeprrafopredeter"/>
    <w:uiPriority w:val="99"/>
    <w:unhideWhenUsed/>
    <w:rsid w:val="001C350E"/>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le.rae.es/cartograf%C3%ADa"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f3KusgvDSvylTA5BsPEi/tNYTg==">CgMxLjAyCWlkLmdqZGd4czIJaC4zMGowemxsMghoLmdqZGd4czgAciExa2NscVI4WjdjblNxU2t1aFJ2RWhKNEpzalkwOW9uRng=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11551</Words>
  <Characters>63531</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2023-05-26T21:02:00Z</cp:lastPrinted>
  <dcterms:created xsi:type="dcterms:W3CDTF">2023-06-05T18:47:00Z</dcterms:created>
  <dcterms:modified xsi:type="dcterms:W3CDTF">2023-06-05T18:47:00Z</dcterms:modified>
</cp:coreProperties>
</file>