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1t3h5sf"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veintiséis de abril de dos mil veintitrés.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17dp8vu" w:id="1"/>
      <w:bookmarkEnd w:id="1"/>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00134/INFOEM/IP/RR/2023</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XXXXXX XXXXX 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Cuautitlán Izcalli,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veinticuatro de noviembre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00141/DIFCUAUTIZ/IP/2022,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1440" w:right="902" w:firstLine="0"/>
        <w:jc w:val="both"/>
        <w:rPr>
          <w:rFonts w:ascii="Palatino Linotype" w:cs="Palatino Linotype" w:eastAsia="Palatino Linotype" w:hAnsi="Palatino Linotype"/>
          <w:b w:val="1"/>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“SOLICITO ME PROPORCIONEN DEL AREA DE PROCURACION DE FONDOS, TODAS LAS DONACIONES QUE HA RECIBIDO EL SISTEMA MUNICIPAL DEL DIF DEL MES DE ENERO AL MES DE OCTUBRE DE 2022 DESGLOSADO POR MES, ESPECIFICANDO DETALLADAMENTE EL CONCEPTO DE LA DONACION, LA PERSONA FISICA O MORAL QUE HIZO LA DONACION, Y A DONDE SE DESTINO DICHA DONACION ASI COMO EL SOPORTE CONTABLE DEL REGISTRO DE LAS MISMAS, SOPORTADO CON LA POLIZA, EL DIARIO GENERAL DE POLIZAS, LA BALANZA DE COMPROBACION DE CADA MES DONDE SE HAYA REGISTRADO.” (sic)</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trece de diciembre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“…le contestamos que:</w:t>
      </w:r>
    </w:p>
    <w:p w:rsidR="00000000" w:rsidDel="00000000" w:rsidP="00000000" w:rsidRDefault="00000000" w:rsidRPr="00000000" w14:paraId="0000000A">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entrega respuesta mediante oficio que se adjunta en tiempo y forma por medio de la plataforma SAIMEX de la solicitud de información pública 00141/DIDCUAUTIZ/IP2022...” (sic)</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Respuesta solicitud 0141.DIFCUAUTIZ.IP.2022.pdf</w:t>
      </w:r>
      <w:r w:rsidDel="00000000" w:rsidR="00000000" w:rsidRPr="00000000">
        <w:rPr>
          <w:rFonts w:ascii="Palatino Linotype" w:cs="Palatino Linotype" w:eastAsia="Palatino Linotype" w:hAnsi="Palatino Linotype"/>
          <w:rtl w:val="0"/>
        </w:rPr>
        <w:t xml:space="preserve">”, que consiste en el escrito de fecha trece de diciembre de dos mil veintidós, signado por el Titular de la Unidad de Procuración de Fondos y Asistencia Social, mediante el cual informa que después de la búsqueda exhaustiva en los archivos de la Unidad a su cargo, cuentan con la siguiente información respecto a las donaciones recibidas en el Sistema Municipal DIF, de enero a octubre de 2022, proporcionando en el acto, una relación de nueve donaciones, que contiene el nombre de los donantes, la descripción de la donación y la aplicación de la donación.</w:t>
      </w:r>
    </w:p>
    <w:p w:rsidR="00000000" w:rsidDel="00000000" w:rsidP="00000000" w:rsidRDefault="00000000" w:rsidRPr="00000000" w14:paraId="0000000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 respecto a las pólizas y requerimientos contables, señaló que, conforme al Reglamento Interior del Sistema Municipal DIF, no está dentro de las facultades de la Unidad de Procuración de Fondos y Asistencia Social, el registro contable de ingresos y egresos.</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nueve de enero de dos mil veintitrés,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E">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F">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ESTA INCOMPLETA” (sic)</w:t>
      </w:r>
    </w:p>
    <w:p w:rsidR="00000000" w:rsidDel="00000000" w:rsidP="00000000" w:rsidRDefault="00000000" w:rsidRPr="00000000" w14:paraId="00000010">
      <w:pPr>
        <w:spacing w:line="360" w:lineRule="auto"/>
        <w:jc w:val="both"/>
        <w:rPr>
          <w:rFonts w:ascii="Palatino Linotype" w:cs="Palatino Linotype" w:eastAsia="Palatino Linotype" w:hAnsi="Palatino Linotype"/>
        </w:rPr>
      </w:pPr>
      <w:bookmarkStart w:colFirst="0" w:colLast="0" w:name="_heading=h.30j0zll" w:id="3"/>
      <w:bookmarkEnd w:id="3"/>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1">
      <w:pPr>
        <w:tabs>
          <w:tab w:val="left" w:leader="none"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ENTREGARON COMPLETA LA INFORMACION SOLICITADA EN VIRTUD QUE LES </w:t>
      </w:r>
      <w:r w:rsidDel="00000000" w:rsidR="00000000" w:rsidRPr="00000000">
        <w:rPr>
          <w:rFonts w:ascii="Palatino Linotype" w:cs="Palatino Linotype" w:eastAsia="Palatino Linotype" w:hAnsi="Palatino Linotype"/>
          <w:b w:val="1"/>
          <w:i w:val="1"/>
          <w:sz w:val="22"/>
          <w:szCs w:val="22"/>
          <w:rtl w:val="0"/>
        </w:rPr>
        <w:t xml:space="preserve">FALTO ANEXAR TODO EL REGISTRO CONTABLE</w:t>
      </w:r>
      <w:r w:rsidDel="00000000" w:rsidR="00000000" w:rsidRPr="00000000">
        <w:rPr>
          <w:rFonts w:ascii="Palatino Linotype" w:cs="Palatino Linotype" w:eastAsia="Palatino Linotype" w:hAnsi="Palatino Linotype"/>
          <w:i w:val="1"/>
          <w:sz w:val="22"/>
          <w:szCs w:val="22"/>
          <w:rtl w:val="0"/>
        </w:rPr>
        <w:t xml:space="preserve"> DE LA MISMA, ES DECIR LAS POLIZAS CORRESPONDIENTES JUNTO CON SUS </w:t>
      </w:r>
      <w:r w:rsidDel="00000000" w:rsidR="00000000" w:rsidRPr="00000000">
        <w:rPr>
          <w:rFonts w:ascii="Palatino Linotype" w:cs="Palatino Linotype" w:eastAsia="Palatino Linotype" w:hAnsi="Palatino Linotype"/>
          <w:b w:val="1"/>
          <w:i w:val="1"/>
          <w:sz w:val="22"/>
          <w:szCs w:val="22"/>
          <w:rtl w:val="0"/>
        </w:rPr>
        <w:t xml:space="preserve">ANEXOS Y SU SOPORTE FINANCIERO</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3">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doce de enero de dos mil veintitrés,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bookmarkStart w:colFirst="0" w:colLast="0" w:name="_heading=h.2s8eyo1" w:id="4"/>
      <w:bookmarkEnd w:id="4"/>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0225" cy="1571625"/>
            <wp:effectExtent b="0" l="0" r="0" t="0"/>
            <wp:docPr id="193323593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610225" cy="15716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veinticinco de enero de dos mil veintitrés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diecinueve de abril de dos mil veintitrés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E">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F">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0">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1">
      <w:pPr>
        <w:numPr>
          <w:ilvl w:val="0"/>
          <w:numId w:val="2"/>
        </w:numPr>
        <w:tabs>
          <w:tab w:val="left" w:leader="none" w:pos="993"/>
        </w:tabs>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afectación generada en la situación jurídica de la persona involucrada en el proceso: Violación a sus derechos humanos.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6">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7">
      <w:pPr>
        <w:spacing w:after="240" w:before="240" w:lineRule="auto"/>
        <w:ind w:left="851"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A">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bookmarkStart w:colFirst="0" w:colLast="0" w:name="_heading=h.tyjcwt" w:id="5"/>
      <w:bookmarkEnd w:id="5"/>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trece de diciembre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nueve de enero de dos mil veintitrés</w:t>
      </w:r>
      <w:r w:rsidDel="00000000" w:rsidR="00000000" w:rsidRPr="00000000">
        <w:rPr>
          <w:rFonts w:ascii="Palatino Linotype" w:cs="Palatino Linotype" w:eastAsia="Palatino Linotype" w:hAnsi="Palatino Linotype"/>
          <w:rtl w:val="0"/>
        </w:rPr>
        <w:t xml:space="preserve">, esto es, a cuarto día hábil en que tuvo conocimiento de la respuesta impugnada.</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como la fecha en que se interpuso el recurso de revisión, se concluye que el presente recurso de revisión se encuentra dentro de los márgenes temporales previstos las disposiciones legales referidas.</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1">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2">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3">
      <w:pPr>
        <w:spacing w:after="120" w:before="120" w:lineRule="auto"/>
        <w:ind w:left="1134"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5">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6">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Me proporcionen del área de Procuración de Fondos, todas las donaciones que ha recibido el Sistema Municipal del DIF del mes de enero al mes de octubre de 2022, desglosado por mes, especificando detalladamente el concepto de la donación, la persona física o moral que hizo la donación, y a donde se destinó dicha donación.</w:t>
      </w:r>
    </w:p>
    <w:p w:rsidR="00000000" w:rsidDel="00000000" w:rsidP="00000000" w:rsidRDefault="00000000" w:rsidRPr="00000000" w14:paraId="00000037">
      <w:pPr>
        <w:spacing w:after="240" w:before="240" w:line="360" w:lineRule="auto"/>
        <w:ind w:left="284" w:right="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Así como el soporte contable del registro de las mismas, soportado con la póliza, el diario general de pólizas, la balanza de comprobación de cada mes donde se haya registrado.</w:t>
      </w:r>
    </w:p>
    <w:p w:rsidR="00000000" w:rsidDel="00000000" w:rsidP="00000000" w:rsidRDefault="00000000" w:rsidRPr="00000000" w14:paraId="00000038">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Unidad de Procuración de Fondos y Asistencia Social, proporcionó información de las donaciones recibidas por el Sistema Municipal DIF, derivado de la búsqueda exhaustiva en los archivos de la Unidad a su cargo, a través del siguiente documento:</w:t>
      </w:r>
    </w:p>
    <w:p w:rsidR="00000000" w:rsidDel="00000000" w:rsidP="00000000" w:rsidRDefault="00000000" w:rsidRPr="00000000" w14:paraId="00000039">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495925" cy="1809750"/>
            <wp:effectExtent b="0" l="0" r="0" t="0"/>
            <wp:docPr id="193323594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4959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05450" cy="2466975"/>
            <wp:effectExtent b="0" l="0" r="0" t="0"/>
            <wp:docPr id="193323593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50545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las pólizas y requerimientos contables, señaló que, conforme al Reglamento Interior del Sistema Municipal DIF, no está dentro de las facultades de la Unidad de Procuración de Fondos y Asistencia Social, el registro contable de ingresos y egresos.</w:t>
      </w:r>
    </w:p>
    <w:p w:rsidR="00000000" w:rsidDel="00000000" w:rsidP="00000000" w:rsidRDefault="00000000" w:rsidRPr="00000000" w14:paraId="0000003C">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como motivo de inconformidad refirió que no se le entregó completa la información solicitada, faltando todo el registro contable de la misma, es decir las pólizas correspondientes, junto con sus anexos y el soporte financiero.</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inadvertido para este Organismo Garante que los motivos de inconformidad aducidos, no versan sobre la totalidad de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pues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manifestó, de manera expresa, que faltó de anexar todo el registro contable de la información entregada, es decir, las pólizas correspondientes, junto con sus anexos y su soporte financiero.</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satisface la solicitud presentada.</w:t>
      </w:r>
    </w:p>
    <w:p w:rsidR="00000000" w:rsidDel="00000000" w:rsidP="00000000" w:rsidRDefault="00000000" w:rsidRPr="00000000" w14:paraId="0000003F">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impugna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éste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40">
      <w:pPr>
        <w:spacing w:after="36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bookmarkStart w:colFirst="0" w:colLast="0" w:name="_heading=h.2et92p0" w:id="7"/>
      <w:bookmarkEnd w:id="7"/>
      <w:r w:rsidDel="00000000" w:rsidR="00000000" w:rsidRPr="00000000">
        <w:rPr>
          <w:rFonts w:ascii="Palatino Linotype" w:cs="Palatino Linotype" w:eastAsia="Palatino Linotype" w:hAnsi="Palatino Linotype"/>
          <w:rtl w:val="0"/>
        </w:rPr>
        <w:t xml:space="preserve">Consecuentemente, se insiste, ante la falta de impugnación eficaz, la respuesta entregada debe declararse consentida por persona solicitante.</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 </w:t>
      </w:r>
      <w:r w:rsidDel="00000000" w:rsidR="00000000" w:rsidRPr="00000000">
        <w:rPr>
          <w:rFonts w:ascii="Palatino Linotype" w:cs="Palatino Linotype" w:eastAsia="Palatino Linotype" w:hAnsi="Palatino Linotype"/>
          <w:i w:val="1"/>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4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w:t>
      </w:r>
    </w:p>
    <w:p w:rsidR="00000000" w:rsidDel="00000000" w:rsidP="00000000" w:rsidRDefault="00000000" w:rsidRPr="00000000" w14:paraId="0000004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por cuanto hace al punto de la solicitud combatido, derivado del análisis de las constancias que obran en el expediente, se advirtió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emitir pronunciamiento alguno respecto del mismo, es decir, su respuesta no agotó los principios de congruencia y exhaustividad, ya que no se pronunció de manera particular sobre el registro contable de las donaciones, conforme a lo señalado en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consistente en las pólizas correspondientes, el diario general de pólizas y la balanza de comprobación de cada mes en que se hubiera registrado, y sólo se limitó a remitir, la relación de donaciones recibidas en el Sistema Municipal DIF, de enero a octubre de 2022, que contiene el nombre de los donantes, la descripción de la donación y la aplicación de la donación.</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Resultando aplicable el Criterio 02/17 emitido por el Peno del Instituto Nacional de Transparencia y Acceso a la Información y Protección de Datos Personales, de título y texto siguientes:</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este Organismo Garante, con la finalidad de garantizar el derecho humano de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 a fin de reparar el agravio causado ante la omisión en que incurriera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ya que, como se señaló, su respuesta careció de los principios de congruencia y exhaustividad, al no pronunciarse de manera particular sobre este punto de la solicitud, se estima procedente ordenar que, previa búsqueda exhaustiva y razonable, se haga entrega del soporte documental que de cuenta de lo solicitado.</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 efecto, resulta de suma importancia invocar el contenido de los artículos 162, 163, 164 y 165 de la Ley de Transparencia y Acceso a la Información Pública del Estado de México y Municipios, que rezan así:</w:t>
      </w:r>
    </w:p>
    <w:p w:rsidR="00000000" w:rsidDel="00000000" w:rsidP="00000000" w:rsidRDefault="00000000" w:rsidRPr="00000000" w14:paraId="0000004C">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04D">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4E">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04F">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050">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051">
      <w:pPr>
        <w:spacing w:after="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05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05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concreto, el Titular de la Unidad de Transparencia, turnó la solicitud de información únicamente a la Unidad de Procuración de Fondos y Asistencia Social, cuyo Titular, por cuanto hace al punto que nos ocupa, manifestó que no estaba dentro de las facultades del área a su cargo el registro contable de ingresos y egresos.</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de conformidad con el Reglamento Interno del Organismo Público y Descentralizado Denominado Sistema Municipal para el Desarrollo Integral de La Familia de Cuautitlán Izcalli, para el ejercicio de sus atribuciones, para el despacho eficaz de las responsabilidades y cumplimiento de sus objetivos, el DIF se conforma, entre otras áreas, de la Subdirección de Administración y Finanzas, de conformidad con el articulo 37, fracción III, inciso a. </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articulo 62 del Reglamento Interno, dispone que la Subdirección de Administración y Finanzas, a través de su Titular, en su parte conducente se encarga, de:</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tabs>
          <w:tab w:val="left" w:leader="none" w:pos="426"/>
        </w:tabs>
        <w:spacing w:before="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Fungir como Tesorero de la Junta de Gobierno y para ejercer las facultades previstas para dicho puesto en los comités requeridos por la Ley y normatividad aplicable.</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Mantener contablemente actualizados los inventarios de bienes muebles e inmuebles.</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Cumplir con las políticas y procedimientos para el registro y control de operaciones contables.</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Custodiar sus archivos, expedientes y documentación que se genere con motivo del desarrollo de sus funciones.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Gestionar, expedir y controlar los recibos deducibles de impuestos por concepto de donativos.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tabs>
          <w:tab w:val="left" w:leader="none" w:pos="426"/>
        </w:tabs>
        <w:spacing w:after="240" w:line="360" w:lineRule="auto"/>
        <w:ind w:left="284"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Emitir los recibos deducibles de impuestos por concepto de donativos en coordinación con la Unidad de Procuración de Fondos y Asistencia Social.</w:t>
      </w:r>
    </w:p>
    <w:p w:rsidR="00000000" w:rsidDel="00000000" w:rsidP="00000000" w:rsidRDefault="00000000" w:rsidRPr="00000000" w14:paraId="000000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para el cumplimiento de sus funciones, se auxilia de las siguientes unidades administrativas:</w:t>
      </w:r>
    </w:p>
    <w:p w:rsidR="00000000" w:rsidDel="00000000" w:rsidP="00000000" w:rsidRDefault="00000000" w:rsidRPr="00000000" w14:paraId="0000005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1186623"/>
            <wp:effectExtent b="0" l="0" r="0" t="0"/>
            <wp:docPr id="1933235942"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500000" cy="118662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unidad de ingresos y egresos, por su parte, cuenta con las siguientes atribuciones:</w:t>
      </w:r>
    </w:p>
    <w:p w:rsidR="00000000" w:rsidDel="00000000" w:rsidP="00000000" w:rsidRDefault="00000000" w:rsidRPr="00000000" w14:paraId="00000060">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3159154"/>
            <wp:effectExtent b="0" l="0" r="0" t="0"/>
            <wp:docPr id="1933235941" name="image5.png"/>
            <a:graphic>
              <a:graphicData uri="http://schemas.openxmlformats.org/drawingml/2006/picture">
                <pic:pic>
                  <pic:nvPicPr>
                    <pic:cNvPr id="0" name="image5.png"/>
                    <pic:cNvPicPr preferRelativeResize="0"/>
                  </pic:nvPicPr>
                  <pic:blipFill>
                    <a:blip r:embed="rId12"/>
                    <a:srcRect b="28527" l="0" r="0" t="0"/>
                    <a:stretch>
                      <a:fillRect/>
                    </a:stretch>
                  </pic:blipFill>
                  <pic:spPr>
                    <a:xfrm>
                      <a:off x="0" y="0"/>
                      <a:ext cx="4500000" cy="315915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00000" cy="1189060"/>
            <wp:effectExtent b="0" l="0" r="0" t="0"/>
            <wp:docPr id="1933235944" name="image5.png"/>
            <a:graphic>
              <a:graphicData uri="http://schemas.openxmlformats.org/drawingml/2006/picture">
                <pic:pic>
                  <pic:nvPicPr>
                    <pic:cNvPr id="0" name="image5.png"/>
                    <pic:cNvPicPr preferRelativeResize="0"/>
                  </pic:nvPicPr>
                  <pic:blipFill>
                    <a:blip r:embed="rId12"/>
                    <a:srcRect b="93" l="0" r="0" t="73005"/>
                    <a:stretch>
                      <a:fillRect/>
                    </a:stretch>
                  </pic:blipFill>
                  <pic:spPr>
                    <a:xfrm>
                      <a:off x="0" y="0"/>
                      <a:ext cx="4500000" cy="1189060"/>
                    </a:xfrm>
                    <a:prstGeom prst="rect"/>
                    <a:ln/>
                  </pic:spPr>
                </pic:pic>
              </a:graphicData>
            </a:graphic>
          </wp:inline>
        </w:drawing>
      </w:r>
      <w:r w:rsidDel="00000000" w:rsidR="00000000" w:rsidRPr="00000000">
        <w:rPr>
          <w:rFonts w:ascii="Palatino Linotype" w:cs="Palatino Linotype" w:eastAsia="Palatino Linotype" w:hAnsi="Palatino Linotype"/>
        </w:rPr>
        <w:drawing>
          <wp:inline distB="0" distT="0" distL="0" distR="0">
            <wp:extent cx="4500000" cy="2651104"/>
            <wp:effectExtent b="0" l="0" r="0" t="0"/>
            <wp:docPr id="193323594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500000" cy="2651104"/>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colige que la Subdirección de Administración y Finanzas, a través de la Unidad de Ingresos y Egresos cuenta con atribuciones para generar, administrar o poseer la información que es tema de estudio.</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oportuno mencionar que, de conformidad con el Manual Único de Contabilidad Gubernamental para las dependencias y entidades públicas del gobierno y municipios del Estado de México, 2022, las Políticas de Registro, respecto de los donativos, establecen lo siguiente:</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12) Donativos</w:t>
      </w:r>
    </w:p>
    <w:p w:rsidR="00000000" w:rsidDel="00000000" w:rsidP="00000000" w:rsidRDefault="00000000" w:rsidRPr="00000000" w14:paraId="00000066">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Tratándose de </w:t>
      </w:r>
      <w:r w:rsidDel="00000000" w:rsidR="00000000" w:rsidRPr="00000000">
        <w:rPr>
          <w:rFonts w:ascii="Palatino Linotype" w:cs="Palatino Linotype" w:eastAsia="Palatino Linotype" w:hAnsi="Palatino Linotype"/>
          <w:b w:val="1"/>
          <w:i w:val="1"/>
          <w:u w:val="single"/>
          <w:rtl w:val="0"/>
        </w:rPr>
        <w:t xml:space="preserve">donativos recibidos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 deberá elaborar el Comprobante Fiscal Digital por Internet (CFDI) respectivo y se deberá registrar contable y presupuestalmente como un ingreso.</w:t>
      </w:r>
    </w:p>
    <w:p w:rsidR="00000000" w:rsidDel="00000000" w:rsidP="00000000" w:rsidRDefault="00000000" w:rsidRPr="00000000" w14:paraId="00000067">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de </w:t>
      </w:r>
      <w:r w:rsidDel="00000000" w:rsidR="00000000" w:rsidRPr="00000000">
        <w:rPr>
          <w:rFonts w:ascii="Palatino Linotype" w:cs="Palatino Linotype" w:eastAsia="Palatino Linotype" w:hAnsi="Palatino Linotype"/>
          <w:b w:val="1"/>
          <w:i w:val="1"/>
          <w:rtl w:val="0"/>
        </w:rPr>
        <w:t xml:space="preserve">bienes recibidos por donación o transferencia entregados en especie que se consideren bienes de consumo duradero, se registra con un cargo en el Activo y un abono a la Cuenta de Ingresos</w:t>
      </w:r>
      <w:r w:rsidDel="00000000" w:rsidR="00000000" w:rsidRPr="00000000">
        <w:rPr>
          <w:rFonts w:ascii="Palatino Linotype" w:cs="Palatino Linotype" w:eastAsia="Palatino Linotype" w:hAnsi="Palatino Linotype"/>
          <w:i w:val="1"/>
          <w:rtl w:val="0"/>
        </w:rPr>
        <w:t xml:space="preserve">, así como </w:t>
      </w:r>
      <w:r w:rsidDel="00000000" w:rsidR="00000000" w:rsidRPr="00000000">
        <w:rPr>
          <w:rFonts w:ascii="Palatino Linotype" w:cs="Palatino Linotype" w:eastAsia="Palatino Linotype" w:hAnsi="Palatino Linotype"/>
          <w:b w:val="1"/>
          <w:i w:val="1"/>
          <w:rtl w:val="0"/>
        </w:rPr>
        <w:t xml:space="preserve">su registro presupuestal</w:t>
      </w:r>
      <w:r w:rsidDel="00000000" w:rsidR="00000000" w:rsidRPr="00000000">
        <w:rPr>
          <w:rFonts w:ascii="Palatino Linotype" w:cs="Palatino Linotype" w:eastAsia="Palatino Linotype" w:hAnsi="Palatino Linotype"/>
          <w:i w:val="1"/>
          <w:rtl w:val="0"/>
        </w:rPr>
        <w:t xml:space="preserve"> respectivamente.</w:t>
      </w:r>
    </w:p>
    <w:p w:rsidR="00000000" w:rsidDel="00000000" w:rsidP="00000000" w:rsidRDefault="00000000" w:rsidRPr="00000000" w14:paraId="00000068">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w:t>
      </w:r>
      <w:r w:rsidDel="00000000" w:rsidR="00000000" w:rsidRPr="00000000">
        <w:rPr>
          <w:rFonts w:ascii="Palatino Linotype" w:cs="Palatino Linotype" w:eastAsia="Palatino Linotype" w:hAnsi="Palatino Linotype"/>
          <w:b w:val="1"/>
          <w:i w:val="1"/>
          <w:rtl w:val="0"/>
        </w:rPr>
        <w:t xml:space="preserve">donativos en especie que son bienes consumibles se registrarán como ingreso y egreso contable y presupuestalmente</w:t>
      </w:r>
      <w:r w:rsidDel="00000000" w:rsidR="00000000" w:rsidRPr="00000000">
        <w:rPr>
          <w:rFonts w:ascii="Palatino Linotype" w:cs="Palatino Linotype" w:eastAsia="Palatino Linotype" w:hAnsi="Palatino Linotype"/>
          <w:i w:val="1"/>
          <w:rtl w:val="0"/>
        </w:rPr>
        <w:t xml:space="preserve">, solicitando en su caso la ampliación presupuestal no liquida correspondiente.</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Cuando el donativo en especie no tenga un valor de referencia se observará lo dispuesto en la política de Adquisición de Bienes Muebles e Inmuebles.</w:t>
      </w:r>
    </w:p>
    <w:p w:rsidR="00000000" w:rsidDel="00000000" w:rsidP="00000000" w:rsidRDefault="00000000" w:rsidRPr="00000000" w14:paraId="0000006A">
      <w:pPr>
        <w:spacing w:after="120" w:before="120" w:lineRule="auto"/>
        <w:ind w:left="851" w:right="902"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u w:val="single"/>
          <w:rtl w:val="0"/>
        </w:rPr>
        <w:t xml:space="preserve">En el caso de los Municipios</w:t>
      </w:r>
      <w:r w:rsidDel="00000000" w:rsidR="00000000" w:rsidRPr="00000000">
        <w:rPr>
          <w:rFonts w:ascii="Palatino Linotype" w:cs="Palatino Linotype" w:eastAsia="Palatino Linotype" w:hAnsi="Palatino Linotype"/>
          <w:i w:val="1"/>
          <w:rtl w:val="0"/>
        </w:rPr>
        <w:t xml:space="preserve"> y sus Organismos </w:t>
      </w:r>
      <w:r w:rsidDel="00000000" w:rsidR="00000000" w:rsidRPr="00000000">
        <w:rPr>
          <w:rFonts w:ascii="Palatino Linotype" w:cs="Palatino Linotype" w:eastAsia="Palatino Linotype" w:hAnsi="Palatino Linotype"/>
          <w:b w:val="1"/>
          <w:i w:val="1"/>
          <w:rtl w:val="0"/>
        </w:rPr>
        <w:t xml:space="preserve">Descentralizados el registro de los donativos será de acuerdo a los Lineamientos para el Registro y Control del Inventario y la Conciliación y Desincorporación de Bienes Muebles e Inmuebles para las Entidades Fiscalizables Municipales del Estado de México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el Lineamiento Quincuagésimo de los Lineamientos para el Registro y Control del Inventario y la Conciliación y Desincorporación de Bienes Muebles e Inmuebles para las entidades fiscalizables municipales del Estado de México, dispone que la adquisición por donación es el acto mediante el cual la entidad fiscalizable recibe bienes muebles de forma gratuita de una o varias personas físicas o jurídicas colectivas quienes los entregan de forma voluntaria con plena libertad, para lo cual se deben satisfacer los siguientes requisitos:</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Para adquirir bienes muebles por donación, se deberán satisfacer los siguientes requisitos: </w:t>
      </w:r>
    </w:p>
    <w:p w:rsidR="00000000" w:rsidDel="00000000" w:rsidP="00000000" w:rsidRDefault="00000000" w:rsidRPr="00000000" w14:paraId="000000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Observar lo establecido en la Ley de Bienes del Estado de México y sus Municipios; </w:t>
      </w:r>
    </w:p>
    <w:p w:rsidR="00000000" w:rsidDel="00000000" w:rsidP="00000000" w:rsidRDefault="00000000" w:rsidRPr="00000000" w14:paraId="0000006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Contar con el convenio de donación, donde se precisen las características del donativo, su valor y la legal procedencia del mismo. </w:t>
      </w:r>
    </w:p>
    <w:p w:rsidR="00000000" w:rsidDel="00000000" w:rsidP="00000000" w:rsidRDefault="00000000" w:rsidRPr="00000000" w14:paraId="0000006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valor de los muebles excede de la cantidad de quinientos días de salario mínimo vigente en la zona en que se celebre el contrato, la donación deberá hacerse en escritura pública.</w:t>
      </w:r>
    </w:p>
    <w:p w:rsidR="00000000" w:rsidDel="00000000" w:rsidP="00000000" w:rsidRDefault="00000000" w:rsidRPr="00000000" w14:paraId="0000007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secretario o en su caso el director general, elaborará la actualización del inventario de bienes muebles de manera mensual por la adquisición de los bienes y tendrá 30 días hábiles para su registro respectivo en el inventario de bienes muebles, así mismo se deberá integrar un expediente individual por bien. </w:t>
      </w:r>
    </w:p>
    <w:p w:rsidR="00000000" w:rsidDel="00000000" w:rsidP="00000000" w:rsidRDefault="00000000" w:rsidRPr="00000000" w14:paraId="0000007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tesorero, expedirá el recibo oficial de ingreso correspondiente por el valor del bien en especie; si este se desconoce se establecerá el precio estimado de mercado. </w:t>
      </w:r>
    </w:p>
    <w:p w:rsidR="00000000" w:rsidDel="00000000" w:rsidP="00000000" w:rsidRDefault="00000000" w:rsidRPr="00000000" w14:paraId="0000007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Contar con el registro en el inventario y en el libro especial</w:t>
      </w:r>
      <w:r w:rsidDel="00000000" w:rsidR="00000000" w:rsidRPr="00000000">
        <w:rPr>
          <w:rFonts w:ascii="Palatino Linotype" w:cs="Palatino Linotype" w:eastAsia="Palatino Linotype" w:hAnsi="Palatino Linotype"/>
          <w:i w:val="1"/>
          <w:sz w:val="22"/>
          <w:szCs w:val="22"/>
          <w:rtl w:val="0"/>
        </w:rPr>
        <w:t xml:space="preserve">; y </w:t>
      </w:r>
    </w:p>
    <w:p w:rsidR="00000000" w:rsidDel="00000000" w:rsidP="00000000" w:rsidRDefault="00000000" w:rsidRPr="00000000" w14:paraId="00000073">
      <w:pPr>
        <w:spacing w:after="120" w:before="120"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Póliza.”</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considera que para tener por satisfecho el derecho de acceso a la información de la persona solicitante,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previa búsqueda exhaustiva y razonable, deberá hacer entrega del soporte documental correspondiente al registro contable de las donaciones recibidas por el DIF de enero a octubre de dos mil veintidós, conforme a la respuesta emitida, en versión pública conforme al considerando siguiente.</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virtud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XXII.</w:t>
      </w:r>
      <w:r w:rsidDel="00000000" w:rsidR="00000000" w:rsidRPr="00000000">
        <w:rPr>
          <w:rFonts w:ascii="Palatino Linotype" w:cs="Palatino Linotype" w:eastAsia="Palatino Linotype" w:hAnsi="Palatino Linotype"/>
          <w:i w:val="1"/>
          <w:sz w:val="22"/>
          <w:szCs w:val="22"/>
          <w:rtl w:val="0"/>
        </w:rPr>
        <w:t xml:space="preserve"> Documentar todo acto que derive del ejercicio de sus facultades, competencias o funciones y abstenerse de destruirlos u ocultarlos, dentro de los que destacan los procesos deliberativos y de decisión definitiva;</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7C">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perder de vista que la obligación de transparencia, conforme a los artículos 12, párrafo segundo y 24, último párrafo de la Ley de la Materia, implica que los Sujetos Obligados entreguen la información que se les requiera y que obre en sus archivos, en el estado en el que esta se encuentre, más no les constriñe a generar información, hacer cálculos o practicar investigaciones, para entregar información conforme al interés de los solicitantes.</w:t>
      </w:r>
    </w:p>
    <w:p w:rsidR="00000000" w:rsidDel="00000000" w:rsidP="00000000" w:rsidRDefault="00000000" w:rsidRPr="00000000" w14:paraId="0000007D">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parcialmente fundados, siendo procedente </w:t>
      </w:r>
      <w:r w:rsidDel="00000000" w:rsidR="00000000" w:rsidRPr="00000000">
        <w:rPr>
          <w:rFonts w:ascii="Palatino Linotype" w:cs="Palatino Linotype" w:eastAsia="Palatino Linotype" w:hAnsi="Palatino Linotype"/>
          <w:i w:val="1"/>
          <w:rtl w:val="0"/>
        </w:rPr>
        <w:t xml:space="preserve">Modificar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7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7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8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8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8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8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8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8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8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8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8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8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8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8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8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91">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el Lineamiento Quincuagésimo segundo de los Lineamientos Generales en Materia de Clasificación y Desclasificación de la Información, así como para la Elaboración de Versiones Públicas, establece lo siguiente:</w:t>
      </w:r>
    </w:p>
    <w:p w:rsidR="00000000" w:rsidDel="00000000" w:rsidP="00000000" w:rsidRDefault="00000000" w:rsidRPr="00000000" w14:paraId="00000095">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9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especifico de la clasificación y elaboración de versiones públicas de documentos que contengan información confidencial, las áreas de los sujetos obligados deberán: </w:t>
      </w:r>
    </w:p>
    <w:p w:rsidR="00000000" w:rsidDel="00000000" w:rsidP="00000000" w:rsidRDefault="00000000" w:rsidRPr="00000000" w14:paraId="0000009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Fijar la fecha en que se elaboró la versión pública y la fecha en la cual el Comité de Transparencia confirmó dicha versión;</w:t>
      </w:r>
    </w:p>
    <w:p w:rsidR="00000000" w:rsidDel="00000000" w:rsidP="00000000" w:rsidRDefault="00000000" w:rsidRPr="00000000" w14:paraId="00000098">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099">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Señalar las personas o instancias autorizadas a acceder a la información clasificada.</w:t>
      </w:r>
    </w:p>
    <w:p w:rsidR="00000000" w:rsidDel="00000000" w:rsidP="00000000" w:rsidRDefault="00000000" w:rsidRPr="00000000" w14:paraId="0000009A">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9B">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Deberá observar el Lineamiento Quincuagésimo tercero de los Lineamientos Generales en Materia de Clasificación y Desclasificación de la Información supraindicados, que establece los formatos para la clasificación de los documentos, conforme a lo siguiente: </w:t>
      </w:r>
      <w:r w:rsidDel="00000000" w:rsidR="00000000" w:rsidRPr="00000000">
        <w:rPr>
          <w:rtl w:val="0"/>
        </w:rPr>
      </w:r>
    </w:p>
    <w:p w:rsidR="00000000" w:rsidDel="00000000" w:rsidP="00000000" w:rsidRDefault="00000000" w:rsidRPr="00000000" w14:paraId="0000009C">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09D">
      <w:pPr>
        <w:ind w:left="851" w:right="900"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 </w:t>
      </w:r>
    </w:p>
    <w:p w:rsidR="00000000" w:rsidDel="00000000" w:rsidP="00000000" w:rsidRDefault="00000000" w:rsidRPr="00000000" w14:paraId="0000009E">
      <w:pPr>
        <w:ind w:left="851" w:right="900"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de un documento o expediente que contenga información reservada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es el siguiente: </w:t>
      </w:r>
    </w:p>
    <w:p w:rsidR="00000000" w:rsidDel="00000000" w:rsidP="00000000" w:rsidRDefault="00000000" w:rsidRPr="00000000" w14:paraId="000000A0">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295775" cy="295275"/>
            <wp:effectExtent b="0" l="0" r="0" t="0"/>
            <wp:docPr id="1933235947" name="image2.png"/>
            <a:graphic>
              <a:graphicData uri="http://schemas.openxmlformats.org/drawingml/2006/picture">
                <pic:pic>
                  <pic:nvPicPr>
                    <pic:cNvPr id="0" name="image2.png"/>
                    <pic:cNvPicPr preferRelativeResize="0"/>
                  </pic:nvPicPr>
                  <pic:blipFill>
                    <a:blip r:embed="rId14"/>
                    <a:srcRect b="95731" l="0" r="0" t="0"/>
                    <a:stretch>
                      <a:fillRect/>
                    </a:stretch>
                  </pic:blipFill>
                  <pic:spPr>
                    <a:xfrm>
                      <a:off x="0" y="0"/>
                      <a:ext cx="4295775"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120" w:before="12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2952750"/>
            <wp:effectExtent b="0" l="0" r="0" t="0"/>
            <wp:docPr id="1933235946" name="image2.png"/>
            <a:graphic>
              <a:graphicData uri="http://schemas.openxmlformats.org/drawingml/2006/picture">
                <pic:pic>
                  <pic:nvPicPr>
                    <pic:cNvPr id="0" name="image2.png"/>
                    <pic:cNvPicPr preferRelativeResize="0"/>
                  </pic:nvPicPr>
                  <pic:blipFill>
                    <a:blip r:embed="rId14"/>
                    <a:srcRect b="26341" l="0" r="0" t="30908"/>
                    <a:stretch>
                      <a:fillRect/>
                    </a:stretch>
                  </pic:blipFill>
                  <pic:spPr>
                    <a:xfrm>
                      <a:off x="0" y="0"/>
                      <a:ext cx="4333875"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4333875" cy="1771650"/>
            <wp:effectExtent b="0" l="0" r="0" t="0"/>
            <wp:docPr id="1933235948" name="image2.png"/>
            <a:graphic>
              <a:graphicData uri="http://schemas.openxmlformats.org/drawingml/2006/picture">
                <pic:pic>
                  <pic:nvPicPr>
                    <pic:cNvPr id="0" name="image2.png"/>
                    <pic:cNvPicPr preferRelativeResize="0"/>
                  </pic:nvPicPr>
                  <pic:blipFill>
                    <a:blip r:embed="rId14"/>
                    <a:srcRect b="820" l="0" r="0" t="73526"/>
                    <a:stretch>
                      <a:fillRect/>
                    </a:stretch>
                  </pic:blipFill>
                  <pic:spPr>
                    <a:xfrm>
                      <a:off x="0" y="0"/>
                      <a:ext cx="433387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que integren un expediente reservado en su totalidad no deberán marcarse en lo individual.</w:t>
      </w:r>
    </w:p>
    <w:p w:rsidR="00000000" w:rsidDel="00000000" w:rsidP="00000000" w:rsidRDefault="00000000" w:rsidRPr="00000000" w14:paraId="000000A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Una vez desclasificados los expedientes, si existieren documentos que tuvieran el carácter de reservados deberán permanecer o ser marcados.”</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deberá observar los Lineamientos Quincuagésimo sexto, Quincuagésimo séptimo y Quincuagésimo octavo, establecen lo siguiente:</w:t>
      </w:r>
    </w:p>
    <w:p w:rsidR="00000000" w:rsidDel="00000000" w:rsidP="00000000" w:rsidRDefault="00000000" w:rsidRPr="00000000" w14:paraId="000000A6">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000000" w:rsidDel="00000000" w:rsidP="00000000" w:rsidRDefault="00000000" w:rsidRPr="00000000" w14:paraId="000000A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A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A9">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0AA">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0A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0A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0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B2">
      <w:pPr>
        <w:spacing w:after="240" w:before="240" w:line="360" w:lineRule="auto"/>
        <w:jc w:val="both"/>
        <w:rPr>
          <w:rFonts w:ascii="Palatino Linotype" w:cs="Palatino Linotype" w:eastAsia="Palatino Linotype" w:hAnsi="Palatino Linotype"/>
          <w:b w:val="1"/>
        </w:rPr>
      </w:pPr>
      <w:bookmarkStart w:colFirst="0" w:colLast="0" w:name="_heading=h.1fob9te" w:id="8"/>
      <w:bookmarkEnd w:id="8"/>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00134/INFOEM/IP/RR/2023,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B3">
      <w:pPr>
        <w:spacing w:after="240" w:before="240" w:line="360" w:lineRule="auto"/>
        <w:jc w:val="both"/>
        <w:rPr>
          <w:rFonts w:ascii="Palatino Linotype" w:cs="Palatino Linotype" w:eastAsia="Palatino Linotype" w:hAnsi="Palatino Linotype"/>
        </w:rPr>
      </w:pPr>
      <w:bookmarkStart w:colFirst="0" w:colLast="0" w:name="_heading=h.4d34og8" w:id="9"/>
      <w:bookmarkEnd w:id="9"/>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vía SAIMEX, previa búsqueda exhaustiva y razonable, en versión pública de ser necesario, de lo siguiente:</w:t>
      </w:r>
    </w:p>
    <w:p w:rsidR="00000000" w:rsidDel="00000000" w:rsidP="00000000" w:rsidRDefault="00000000" w:rsidRPr="00000000" w14:paraId="000000B4">
      <w:pPr>
        <w:spacing w:after="240" w:before="240" w:line="276" w:lineRule="auto"/>
        <w:ind w:left="42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Soporte documental contable que dé cuenta del registro de las donaciones recibidas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del uno de enero al treinta y uno de octubre dos mil veintidós, conforme al documento entregado en respuesta, así como la póliza, el diario general de pólizas y la balanza de comprobación de cada mes donde se haya registrado el movimiento.</w:t>
      </w:r>
    </w:p>
    <w:p w:rsidR="00000000" w:rsidDel="00000000" w:rsidP="00000000" w:rsidRDefault="00000000" w:rsidRPr="00000000" w14:paraId="000000B5">
      <w:pPr>
        <w:ind w:left="284"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sz w:val="20"/>
          <w:szCs w:val="20"/>
          <w:rtl w:val="0"/>
        </w:rPr>
        <w:t xml:space="preserve">Recurrente</w:t>
      </w:r>
      <w:r w:rsidDel="00000000" w:rsidR="00000000" w:rsidRPr="00000000">
        <w:rPr>
          <w:rFonts w:ascii="Palatino Linotype" w:cs="Palatino Linotype" w:eastAsia="Palatino Linotype" w:hAnsi="Palatino Linotype"/>
          <w:i w:val="1"/>
          <w:sz w:val="20"/>
          <w:szCs w:val="20"/>
          <w:rtl w:val="0"/>
        </w:rPr>
        <w:t xml:space="preserve">, mismo que igualmente hará de su conocimiento.</w:t>
      </w:r>
    </w:p>
    <w:p w:rsidR="00000000" w:rsidDel="00000000" w:rsidP="00000000" w:rsidRDefault="00000000" w:rsidRPr="00000000" w14:paraId="000000B6">
      <w:pPr>
        <w:ind w:left="284" w:right="4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B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rPr>
      </w:pPr>
      <w:bookmarkStart w:colFirst="0" w:colLast="0" w:name="_heading=h.3dy6vkm" w:id="10"/>
      <w:bookmarkEnd w:id="10"/>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a</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B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Y GUADALUPE RAMÍREZ PEÑA; EN LA DÉCIMO QUINTA SESIÓN ORDINARIA, CELEBRADA EL VEINTISÉIS DE ABRIL DE DOS MIL VEINTITRÉS, ANTE EL SECRETARIO TÉCNICO DEL PLENO ALEXIS TAPIA RAMÍREZ.</w:t>
      </w:r>
    </w:p>
    <w:p w:rsidR="00000000" w:rsidDel="00000000" w:rsidP="00000000" w:rsidRDefault="00000000" w:rsidRPr="00000000" w14:paraId="000000B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D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-309959</wp:posOffset>
          </wp:positionV>
          <wp:extent cx="7809865" cy="10165715"/>
          <wp:effectExtent b="0" l="0" r="0" t="0"/>
          <wp:wrapNone/>
          <wp:docPr id="19332359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6095.0" w:type="dxa"/>
      <w:jc w:val="left"/>
      <w:tblInd w:w="2972.0" w:type="dxa"/>
      <w:tblLayout w:type="fixed"/>
      <w:tblLook w:val="0400"/>
    </w:tblPr>
    <w:tblGrid>
      <w:gridCol w:w="2552"/>
      <w:gridCol w:w="3543"/>
      <w:tblGridChange w:id="0">
        <w:tblGrid>
          <w:gridCol w:w="2552"/>
          <w:gridCol w:w="3543"/>
        </w:tblGrid>
      </w:tblGridChange>
    </w:tblGrid>
    <w:tr>
      <w:trPr>
        <w:cantSplit w:val="0"/>
        <w:tblHeader w:val="0"/>
      </w:trPr>
      <w:tc>
        <w:tcPr>
          <w:shd w:fill="auto" w:val="clear"/>
          <w:vAlign w:val="center"/>
        </w:tcPr>
        <w:p w:rsidR="00000000" w:rsidDel="00000000" w:rsidP="00000000" w:rsidRDefault="00000000" w:rsidRPr="00000000" w14:paraId="000000D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D5">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00134/INFOEM/IP/RR/2023</w:t>
          </w:r>
        </w:p>
      </w:tc>
    </w:tr>
    <w:tr>
      <w:trPr>
        <w:cantSplit w:val="0"/>
        <w:trHeight w:val="130" w:hRule="atLeast"/>
        <w:tblHeader w:val="0"/>
      </w:trPr>
      <w:tc>
        <w:tcPr>
          <w:shd w:fill="auto" w:val="clear"/>
          <w:vAlign w:val="center"/>
        </w:tcPr>
        <w:p w:rsidR="00000000" w:rsidDel="00000000" w:rsidP="00000000" w:rsidRDefault="00000000" w:rsidRPr="00000000" w14:paraId="000000D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D7">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 XXXX</w:t>
          </w:r>
        </w:p>
      </w:tc>
    </w:tr>
    <w:tr>
      <w:trPr>
        <w:cantSplit w:val="0"/>
        <w:trHeight w:val="228" w:hRule="atLeast"/>
        <w:tblHeader w:val="0"/>
      </w:trPr>
      <w:tc>
        <w:tcPr>
          <w:shd w:fill="auto" w:val="clear"/>
          <w:vAlign w:val="center"/>
        </w:tcPr>
        <w:p w:rsidR="00000000" w:rsidDel="00000000" w:rsidP="00000000" w:rsidRDefault="00000000" w:rsidRPr="00000000" w14:paraId="000000D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9">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Cuautitlán Izcalli</w:t>
          </w:r>
        </w:p>
      </w:tc>
    </w:tr>
    <w:tr>
      <w:trPr>
        <w:cantSplit w:val="0"/>
        <w:tblHeader w:val="0"/>
      </w:trPr>
      <w:tc>
        <w:tcPr>
          <w:shd w:fill="auto" w:val="clear"/>
          <w:vAlign w:val="center"/>
        </w:tcPr>
        <w:p w:rsidR="00000000" w:rsidDel="00000000" w:rsidP="00000000" w:rsidRDefault="00000000" w:rsidRPr="00000000" w14:paraId="000000D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B">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-506727</wp:posOffset>
          </wp:positionV>
          <wp:extent cx="7809865" cy="10165715"/>
          <wp:effectExtent b="0" l="0" r="0" t="0"/>
          <wp:wrapNone/>
          <wp:docPr id="19332359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095.0" w:type="dxa"/>
      <w:jc w:val="left"/>
      <w:tblInd w:w="3119.0" w:type="dxa"/>
      <w:tblLayout w:type="fixed"/>
      <w:tblLook w:val="0400"/>
    </w:tblPr>
    <w:tblGrid>
      <w:gridCol w:w="2410"/>
      <w:gridCol w:w="3685"/>
      <w:tblGridChange w:id="0">
        <w:tblGrid>
          <w:gridCol w:w="2410"/>
          <w:gridCol w:w="3685"/>
        </w:tblGrid>
      </w:tblGridChange>
    </w:tblGrid>
    <w:tr>
      <w:trPr>
        <w:cantSplit w:val="0"/>
        <w:tblHeader w:val="0"/>
      </w:trPr>
      <w:tc>
        <w:tcPr>
          <w:shd w:fill="auto" w:val="clear"/>
        </w:tcPr>
        <w:p w:rsidR="00000000" w:rsidDel="00000000" w:rsidP="00000000" w:rsidRDefault="00000000" w:rsidRPr="00000000" w14:paraId="000000D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00134/INFOEM/IP/RR/2023</w:t>
          </w:r>
        </w:p>
      </w:tc>
    </w:tr>
    <w:tr>
      <w:trPr>
        <w:cantSplit w:val="0"/>
        <w:trHeight w:val="228" w:hRule="atLeast"/>
        <w:tblHeader w:val="0"/>
      </w:trPr>
      <w:tc>
        <w:tcPr>
          <w:shd w:fill="auto" w:val="clear"/>
          <w:vAlign w:val="center"/>
        </w:tcPr>
        <w:p w:rsidR="00000000" w:rsidDel="00000000" w:rsidP="00000000" w:rsidRDefault="00000000" w:rsidRPr="00000000" w14:paraId="000000E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Sistema Municipal Para el Desarrollo Integral de la Familia de Cuautitlán Izcalli</w:t>
          </w:r>
        </w:p>
      </w:tc>
    </w:tr>
    <w:tr>
      <w:trPr>
        <w:cantSplit w:val="0"/>
        <w:tblHeader w:val="0"/>
      </w:trPr>
      <w:tc>
        <w:tcPr>
          <w:shd w:fill="auto" w:val="clear"/>
          <w:vAlign w:val="center"/>
        </w:tcPr>
        <w:p w:rsidR="00000000" w:rsidDel="00000000" w:rsidP="00000000" w:rsidRDefault="00000000" w:rsidRPr="00000000" w14:paraId="000000E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top w:w="0.0" w:type="dxa"/>
        <w:left w:w="115.0" w:type="dxa"/>
        <w:bottom w:w="0.0" w:type="dxa"/>
        <w:right w:w="115.0" w:type="dxa"/>
      </w:tblCellMar>
    </w:tblPr>
  </w:style>
  <w:style w:type="table" w:styleId="3" w:customStyle="1">
    <w:name w:val="3"/>
    <w:basedOn w:val="TableNormal10"/>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top w:w="0.0" w:type="dxa"/>
        <w:left w:w="115.0" w:type="dxa"/>
        <w:bottom w:w="0.0" w:type="dxa"/>
        <w:right w:w="115.0" w:type="dxa"/>
      </w:tblCellMar>
    </w:tblPr>
  </w:style>
  <w:style w:type="table" w:styleId="1" w:customStyle="1">
    <w:name w:val="1"/>
    <w:basedOn w:val="TableNormal10"/>
    <w:tblPr>
      <w:tblStyleRowBandSize w:val="1"/>
      <w:tblStyleColBandSize w:val="1"/>
      <w:tblCellMar>
        <w:top w:w="0.0" w:type="dxa"/>
        <w:left w:w="115.0" w:type="dxa"/>
        <w:bottom w:w="0.0" w:type="dxa"/>
        <w:right w:w="115.0" w:type="dxa"/>
      </w:tblCellMar>
    </w:tblPr>
  </w:style>
  <w:style w:type="table" w:styleId="9" w:customStyle="1">
    <w:name w:val="9"/>
    <w:basedOn w:val="TableNormal20"/>
    <w:tblPr>
      <w:tblStyleRowBandSize w:val="1"/>
      <w:tblStyleColBandSize w:val="1"/>
      <w:tblCellMar>
        <w:top w:w="0.0" w:type="dxa"/>
        <w:left w:w="115.0" w:type="dxa"/>
        <w:bottom w:w="0.0" w:type="dxa"/>
        <w:right w:w="115.0" w:type="dxa"/>
      </w:tblCellMar>
    </w:tblPr>
  </w:style>
  <w:style w:type="table" w:styleId="8" w:customStyle="1">
    <w:name w:val="8"/>
    <w:basedOn w:val="TableNormal20"/>
    <w:tblPr>
      <w:tblStyleRowBandSize w:val="1"/>
      <w:tblStyleColBandSize w:val="1"/>
      <w:tblCellMar>
        <w:top w:w="0.0" w:type="dxa"/>
        <w:left w:w="115.0" w:type="dxa"/>
        <w:bottom w:w="0.0" w:type="dxa"/>
        <w:right w:w="115.0" w:type="dxa"/>
      </w:tblCellMar>
    </w:tblPr>
  </w:style>
  <w:style w:type="table" w:styleId="7" w:customStyle="1">
    <w:name w:val="7"/>
    <w:basedOn w:val="TableNormal3"/>
    <w:tblPr>
      <w:tblStyleRowBandSize w:val="1"/>
      <w:tblStyleColBandSize w:val="1"/>
      <w:tblCellMar>
        <w:top w:w="0.0" w:type="dxa"/>
        <w:left w:w="115.0" w:type="dxa"/>
        <w:bottom w:w="0.0" w:type="dxa"/>
        <w:right w:w="115.0" w:type="dxa"/>
      </w:tblCellMar>
    </w:tblPr>
  </w:style>
  <w:style w:type="table" w:styleId="6" w:customStyle="1">
    <w:name w:val="6"/>
    <w:basedOn w:val="TableNormal3"/>
    <w:tblPr>
      <w:tblStyleRowBandSize w:val="1"/>
      <w:tblStyleColBandSize w:val="1"/>
      <w:tblCellMar>
        <w:top w:w="0.0" w:type="dxa"/>
        <w:left w:w="115.0" w:type="dxa"/>
        <w:bottom w:w="0.0" w:type="dxa"/>
        <w:right w:w="115.0" w:type="dxa"/>
      </w:tblCellMar>
    </w:tblPr>
  </w:style>
  <w:style w:type="table" w:styleId="17" w:customStyle="1">
    <w:name w:val="17"/>
    <w:basedOn w:val="TableNormal4"/>
    <w:tblPr>
      <w:tblStyleRowBandSize w:val="1"/>
      <w:tblStyleColBandSize w:val="1"/>
      <w:tblCellMar>
        <w:top w:w="0.0" w:type="dxa"/>
        <w:left w:w="115.0" w:type="dxa"/>
        <w:bottom w:w="0.0" w:type="dxa"/>
        <w:right w:w="115.0" w:type="dxa"/>
      </w:tblCellMar>
    </w:tblPr>
  </w:style>
  <w:style w:type="table" w:styleId="16" w:customStyle="1">
    <w:name w:val="16"/>
    <w:basedOn w:val="TableNormal4"/>
    <w:tblPr>
      <w:tblStyleRowBandSize w:val="1"/>
      <w:tblStyleColBandSize w:val="1"/>
      <w:tblCellMar>
        <w:top w:w="0.0" w:type="dxa"/>
        <w:left w:w="115.0" w:type="dxa"/>
        <w:bottom w:w="0.0" w:type="dxa"/>
        <w:right w:w="115.0" w:type="dxa"/>
      </w:tblCellMar>
    </w:tblPr>
  </w:style>
  <w:style w:type="table" w:styleId="15" w:customStyle="1">
    <w:name w:val="15"/>
    <w:basedOn w:val="TableNormal5"/>
    <w:tblPr>
      <w:tblStyleRowBandSize w:val="1"/>
      <w:tblStyleColBandSize w:val="1"/>
      <w:tblCellMar>
        <w:top w:w="0.0" w:type="dxa"/>
        <w:left w:w="115.0" w:type="dxa"/>
        <w:bottom w:w="0.0" w:type="dxa"/>
        <w:right w:w="115.0" w:type="dxa"/>
      </w:tblCellMar>
    </w:tblPr>
  </w:style>
  <w:style w:type="table" w:styleId="14" w:customStyle="1">
    <w:name w:val="14"/>
    <w:basedOn w:val="TableNormal5"/>
    <w:tblPr>
      <w:tblStyleRowBandSize w:val="1"/>
      <w:tblStyleColBandSize w:val="1"/>
      <w:tblCellMar>
        <w:top w:w="0.0" w:type="dxa"/>
        <w:left w:w="115.0" w:type="dxa"/>
        <w:bottom w:w="0.0" w:type="dxa"/>
        <w:right w:w="115.0" w:type="dxa"/>
      </w:tblCellMar>
    </w:tblPr>
  </w:style>
  <w:style w:type="table" w:styleId="13" w:customStyle="1">
    <w:name w:val="13"/>
    <w:basedOn w:val="TableNormal6"/>
    <w:tblPr>
      <w:tblStyleRowBandSize w:val="1"/>
      <w:tblStyleColBandSize w:val="1"/>
      <w:tblCellMar>
        <w:top w:w="0.0" w:type="dxa"/>
        <w:left w:w="115.0" w:type="dxa"/>
        <w:bottom w:w="0.0" w:type="dxa"/>
        <w:right w:w="115.0" w:type="dxa"/>
      </w:tblCellMar>
    </w:tblPr>
  </w:style>
  <w:style w:type="table" w:styleId="12" w:customStyle="1">
    <w:name w:val="12"/>
    <w:basedOn w:val="TableNormal6"/>
    <w:tblPr>
      <w:tblStyleRowBandSize w:val="1"/>
      <w:tblStyleColBandSize w:val="1"/>
      <w:tblCellMar>
        <w:top w:w="0.0" w:type="dxa"/>
        <w:left w:w="115.0" w:type="dxa"/>
        <w:bottom w:w="0.0" w:type="dxa"/>
        <w:right w:w="115.0" w:type="dxa"/>
      </w:tblCellMar>
    </w:tblPr>
  </w:style>
  <w:style w:type="table" w:styleId="11" w:customStyle="1">
    <w:name w:val="11"/>
    <w:basedOn w:val="TableNormal7"/>
    <w:tblPr>
      <w:tblStyleRowBandSize w:val="1"/>
      <w:tblStyleColBandSize w:val="1"/>
      <w:tblCellMar>
        <w:top w:w="0.0" w:type="dxa"/>
        <w:left w:w="115.0" w:type="dxa"/>
        <w:bottom w:w="0.0" w:type="dxa"/>
        <w:right w:w="115.0" w:type="dxa"/>
      </w:tblCellMar>
    </w:tblPr>
  </w:style>
  <w:style w:type="table" w:styleId="10" w:customStyle="1">
    <w:name w:val="10"/>
    <w:basedOn w:val="TableNormal7"/>
    <w:tblPr>
      <w:tblStyleRowBandSize w:val="1"/>
      <w:tblStyleColBandSize w:val="1"/>
      <w:tblCellMar>
        <w:top w:w="0.0" w:type="dxa"/>
        <w:left w:w="115.0" w:type="dxa"/>
        <w:bottom w:w="0.0" w:type="dxa"/>
        <w:right w:w="115.0" w:type="dxa"/>
      </w:tblCellMar>
    </w:tblPr>
  </w:style>
  <w:style w:type="table" w:styleId="a" w:customStyle="1">
    <w:basedOn w:val="TableNormal2"/>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2"/>
    <w:tblPr>
      <w:tblStyleRowBandSize w:val="1"/>
      <w:tblStyleColBandSize w:val="1"/>
      <w:tblCellMar>
        <w:top w:w="0.0" w:type="dxa"/>
        <w:left w:w="115.0" w:type="dxa"/>
        <w:bottom w:w="0.0" w:type="dxa"/>
        <w:right w:w="115.0" w:type="dxa"/>
      </w:tblCellMar>
    </w:tblPr>
  </w:style>
  <w:style w:type="table" w:styleId="a2" w:customStyle="1">
    <w:basedOn w:val="TableNormal2"/>
    <w:tblPr>
      <w:tblStyleRowBandSize w:val="1"/>
      <w:tblStyleColBandSize w:val="1"/>
      <w:tblCellMar>
        <w:top w:w="0.0" w:type="dxa"/>
        <w:left w:w="115.0" w:type="dxa"/>
        <w:bottom w:w="0.0" w:type="dxa"/>
        <w:right w:w="115.0" w:type="dxa"/>
      </w:tblCellMar>
    </w:tblPr>
  </w:style>
  <w:style w:type="table" w:styleId="a3" w:customStyle="1">
    <w:basedOn w:val="TableNormal1"/>
    <w:tblPr>
      <w:tblStyleRowBandSize w:val="1"/>
      <w:tblStyleColBandSize w:val="1"/>
      <w:tblCellMar>
        <w:top w:w="0.0" w:type="dxa"/>
        <w:left w:w="115.0" w:type="dxa"/>
        <w:bottom w:w="0.0" w:type="dxa"/>
        <w:right w:w="115.0" w:type="dxa"/>
      </w:tblCellMar>
    </w:tblPr>
  </w:style>
  <w:style w:type="table" w:styleId="a4" w:customStyle="1">
    <w:basedOn w:val="TableNormal1"/>
    <w:tblPr>
      <w:tblStyleRowBandSize w:val="1"/>
      <w:tblStyleColBandSize w:val="1"/>
      <w:tblCellMar>
        <w:top w:w="0.0" w:type="dxa"/>
        <w:left w:w="115.0" w:type="dxa"/>
        <w:bottom w:w="0.0" w:type="dxa"/>
        <w:right w:w="115.0" w:type="dxa"/>
      </w:tblCellMar>
    </w:tblPr>
  </w:style>
  <w:style w:type="table" w:styleId="a5" w:customStyle="1">
    <w:basedOn w:val="TableNormal0"/>
    <w:tblPr>
      <w:tblStyleRowBandSize w:val="1"/>
      <w:tblStyleColBandSize w:val="1"/>
      <w:tblCellMar>
        <w:top w:w="0.0" w:type="dxa"/>
        <w:left w:w="115.0" w:type="dxa"/>
        <w:bottom w:w="0.0" w:type="dxa"/>
        <w:right w:w="115.0" w:type="dxa"/>
      </w:tblCellMar>
    </w:tblPr>
  </w:style>
  <w:style w:type="table" w:styleId="a6"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eader" Target="header2.xml"/><Relationship Id="rId14" Type="http://schemas.openxmlformats.org/officeDocument/2006/relationships/image" Target="media/image2.png"/><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0RC8R7Hfg5oLBDtWDZKKdRgf0Dw==">AMUW2mUcvtXmse5EG4O/CGtnf4yqx3I3QjgbIc2XITmkGSGc6hhC9YYZw1dGFrRvrfxWcuCmMS0KUdrpRyFFDNd4RTXjWVR/gjFFLMTOVEiTZ4B7RK/RQ/EUNvAFoUqtF0j497Pa1Vyr6vlbstii6HMySlx4NCPwzW9szzMrwN89PJQaTOqfDGUDZFIWfSFzKAx7nyO+kCw45ZDH5xdNSpX2Q3OsyiZ4zdlxlxNcuMFc62p6nqgwz0mXj1WhWBk0xMj/6VsF1jmbi/lEPK6u+fAJmlWE4gdn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2023-05-03T17:49:00Z</dcterms:created>
  <dc:creator>iMac</dc:creator>
</cp:coreProperties>
</file>