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85BB6" w14:textId="77777777" w:rsidR="00221903" w:rsidRPr="005164B9" w:rsidRDefault="006557AA">
      <w:pPr>
        <w:spacing w:line="360" w:lineRule="auto"/>
        <w:jc w:val="both"/>
        <w:rPr>
          <w:rFonts w:ascii="Palatino Linotype" w:eastAsia="Palatino Linotype" w:hAnsi="Palatino Linotype" w:cs="Palatino Linotype"/>
        </w:rPr>
      </w:pPr>
      <w:bookmarkStart w:id="0" w:name="_heading=h.tyjcwt" w:colFirst="0" w:colLast="0"/>
      <w:bookmarkEnd w:id="0"/>
      <w:r w:rsidRPr="005164B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mayo de dos mil veintitrés. </w:t>
      </w:r>
    </w:p>
    <w:p w14:paraId="3393589E" w14:textId="77777777" w:rsidR="00221903" w:rsidRPr="005164B9" w:rsidRDefault="00221903">
      <w:pPr>
        <w:spacing w:line="360" w:lineRule="auto"/>
        <w:jc w:val="both"/>
        <w:rPr>
          <w:rFonts w:ascii="Palatino Linotype" w:eastAsia="Palatino Linotype" w:hAnsi="Palatino Linotype" w:cs="Palatino Linotype"/>
        </w:rPr>
      </w:pPr>
    </w:p>
    <w:p w14:paraId="36BB76D9"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b/>
        </w:rPr>
        <w:t>VISTO</w:t>
      </w:r>
      <w:r w:rsidRPr="005164B9">
        <w:rPr>
          <w:rFonts w:ascii="Palatino Linotype" w:eastAsia="Palatino Linotype" w:hAnsi="Palatino Linotype" w:cs="Palatino Linotype"/>
        </w:rPr>
        <w:t xml:space="preserve"> el expediente formado con motivo del recurso de revisión </w:t>
      </w:r>
      <w:r w:rsidRPr="005164B9">
        <w:rPr>
          <w:rFonts w:ascii="Palatino Linotype" w:eastAsia="Palatino Linotype" w:hAnsi="Palatino Linotype" w:cs="Palatino Linotype"/>
          <w:b/>
        </w:rPr>
        <w:t>00629/INFOEM/IP/RR/2023</w:t>
      </w:r>
      <w:r w:rsidRPr="005164B9">
        <w:rPr>
          <w:rFonts w:ascii="Palatino Linotype" w:eastAsia="Palatino Linotype" w:hAnsi="Palatino Linotype" w:cs="Palatino Linotype"/>
        </w:rPr>
        <w:t>, interpuesto por quien dijo ser</w:t>
      </w:r>
      <w:r w:rsidR="00661C70">
        <w:rPr>
          <w:rFonts w:ascii="Palatino Linotype" w:eastAsia="Palatino Linotype" w:hAnsi="Palatino Linotype" w:cs="Palatino Linotype"/>
          <w:b/>
        </w:rPr>
        <w:t xml:space="preserve"> XXXXXX XXX XXXXXXXXXX</w:t>
      </w:r>
      <w:r w:rsidRPr="005164B9">
        <w:rPr>
          <w:rFonts w:ascii="Palatino Linotype" w:eastAsia="Palatino Linotype" w:hAnsi="Palatino Linotype" w:cs="Palatino Linotype"/>
          <w:b/>
        </w:rPr>
        <w:t xml:space="preserve">, </w:t>
      </w:r>
      <w:r w:rsidRPr="005164B9">
        <w:rPr>
          <w:rFonts w:ascii="Palatino Linotype" w:eastAsia="Palatino Linotype" w:hAnsi="Palatino Linotype" w:cs="Palatino Linotype"/>
        </w:rPr>
        <w:t>en lo sucesivo</w:t>
      </w:r>
      <w:r w:rsidRPr="005164B9">
        <w:rPr>
          <w:rFonts w:ascii="Palatino Linotype" w:eastAsia="Palatino Linotype" w:hAnsi="Palatino Linotype" w:cs="Palatino Linotype"/>
          <w:b/>
        </w:rPr>
        <w:t xml:space="preserve"> LA PARTE RECURRENTE,</w:t>
      </w:r>
      <w:r w:rsidRPr="005164B9">
        <w:rPr>
          <w:rFonts w:ascii="Palatino Linotype" w:eastAsia="Palatino Linotype" w:hAnsi="Palatino Linotype" w:cs="Palatino Linotype"/>
        </w:rPr>
        <w:t xml:space="preserve"> en contra de la respuesta a la solicitud </w:t>
      </w:r>
      <w:r w:rsidRPr="005164B9">
        <w:rPr>
          <w:rFonts w:ascii="Palatino Linotype" w:eastAsia="Palatino Linotype" w:hAnsi="Palatino Linotype" w:cs="Palatino Linotype"/>
          <w:b/>
        </w:rPr>
        <w:t>00015/MELOCAM/IP/2023</w:t>
      </w:r>
      <w:r w:rsidRPr="005164B9">
        <w:rPr>
          <w:rFonts w:ascii="Palatino Linotype" w:eastAsia="Palatino Linotype" w:hAnsi="Palatino Linotype" w:cs="Palatino Linotype"/>
        </w:rPr>
        <w:t xml:space="preserve"> por parte del</w:t>
      </w:r>
      <w:r w:rsidRPr="005164B9">
        <w:rPr>
          <w:rFonts w:ascii="Palatino Linotype" w:eastAsia="Palatino Linotype" w:hAnsi="Palatino Linotype" w:cs="Palatino Linotype"/>
          <w:b/>
        </w:rPr>
        <w:t xml:space="preserve"> Ayuntamiento de Melchor Ocampo, </w:t>
      </w:r>
      <w:r w:rsidRPr="005164B9">
        <w:rPr>
          <w:rFonts w:ascii="Palatino Linotype" w:eastAsia="Palatino Linotype" w:hAnsi="Palatino Linotype" w:cs="Palatino Linotype"/>
        </w:rPr>
        <w:t xml:space="preserve">en lo sucesivo </w:t>
      </w:r>
      <w:r w:rsidRPr="005164B9">
        <w:rPr>
          <w:rFonts w:ascii="Palatino Linotype" w:eastAsia="Palatino Linotype" w:hAnsi="Palatino Linotype" w:cs="Palatino Linotype"/>
          <w:b/>
        </w:rPr>
        <w:t xml:space="preserve">EL SUJETO OBLIGADO, </w:t>
      </w:r>
      <w:r w:rsidRPr="005164B9">
        <w:rPr>
          <w:rFonts w:ascii="Palatino Linotype" w:eastAsia="Palatino Linotype" w:hAnsi="Palatino Linotype" w:cs="Palatino Linotype"/>
        </w:rPr>
        <w:t xml:space="preserve">se procede a dictar la presente resolución con base en los siguientes: </w:t>
      </w:r>
    </w:p>
    <w:p w14:paraId="50CB2751" w14:textId="77777777" w:rsidR="00221903" w:rsidRPr="005164B9" w:rsidRDefault="00221903">
      <w:pPr>
        <w:spacing w:line="360" w:lineRule="auto"/>
        <w:jc w:val="both"/>
        <w:rPr>
          <w:rFonts w:ascii="Palatino Linotype" w:eastAsia="Palatino Linotype" w:hAnsi="Palatino Linotype" w:cs="Palatino Linotype"/>
        </w:rPr>
      </w:pPr>
    </w:p>
    <w:p w14:paraId="1CB02904" w14:textId="77777777" w:rsidR="00221903" w:rsidRPr="005164B9" w:rsidRDefault="006557AA">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rPr>
      </w:pPr>
      <w:r w:rsidRPr="005164B9">
        <w:rPr>
          <w:rFonts w:ascii="Palatino Linotype" w:eastAsia="Palatino Linotype" w:hAnsi="Palatino Linotype" w:cs="Palatino Linotype"/>
          <w:b/>
        </w:rPr>
        <w:t>A N T E C E D E N T E S</w:t>
      </w:r>
    </w:p>
    <w:p w14:paraId="2D224915" w14:textId="77777777" w:rsidR="00221903" w:rsidRPr="005164B9" w:rsidRDefault="00221903">
      <w:pPr>
        <w:pBdr>
          <w:top w:val="nil"/>
          <w:left w:val="nil"/>
          <w:bottom w:val="nil"/>
          <w:right w:val="nil"/>
          <w:between w:val="nil"/>
        </w:pBdr>
        <w:spacing w:line="360" w:lineRule="auto"/>
        <w:ind w:left="1080"/>
        <w:rPr>
          <w:rFonts w:ascii="Palatino Linotype" w:eastAsia="Palatino Linotype" w:hAnsi="Palatino Linotype" w:cs="Palatino Linotype"/>
          <w:b/>
        </w:rPr>
      </w:pPr>
    </w:p>
    <w:p w14:paraId="175A812D" w14:textId="77777777" w:rsidR="00221903" w:rsidRPr="005164B9" w:rsidRDefault="006557AA">
      <w:pPr>
        <w:spacing w:line="360" w:lineRule="auto"/>
        <w:jc w:val="both"/>
        <w:rPr>
          <w:rFonts w:ascii="Palatino Linotype" w:eastAsia="Palatino Linotype" w:hAnsi="Palatino Linotype" w:cs="Palatino Linotype"/>
        </w:rPr>
      </w:pPr>
      <w:bookmarkStart w:id="1" w:name="_heading=h.gjdgxs" w:colFirst="0" w:colLast="0"/>
      <w:bookmarkEnd w:id="1"/>
      <w:r w:rsidRPr="005164B9">
        <w:rPr>
          <w:rFonts w:ascii="Palatino Linotype" w:eastAsia="Palatino Linotype" w:hAnsi="Palatino Linotype" w:cs="Palatino Linotype"/>
          <w:b/>
        </w:rPr>
        <w:t>1. Solicitud de acceso a la información.</w:t>
      </w:r>
      <w:r w:rsidRPr="005164B9">
        <w:rPr>
          <w:rFonts w:ascii="Palatino Linotype" w:eastAsia="Palatino Linotype" w:hAnsi="Palatino Linotype" w:cs="Palatino Linotype"/>
        </w:rPr>
        <w:t xml:space="preserve"> El </w:t>
      </w:r>
      <w:r w:rsidRPr="005164B9">
        <w:rPr>
          <w:rFonts w:ascii="Palatino Linotype" w:eastAsia="Palatino Linotype" w:hAnsi="Palatino Linotype" w:cs="Palatino Linotype"/>
          <w:b/>
        </w:rPr>
        <w:t>veintiséis de enero de dos mil veintitrés,</w:t>
      </w:r>
      <w:r w:rsidRPr="005164B9">
        <w:rPr>
          <w:rFonts w:ascii="Palatino Linotype" w:eastAsia="Palatino Linotype" w:hAnsi="Palatino Linotype" w:cs="Palatino Linotype"/>
        </w:rPr>
        <w:t xml:space="preserve"> </w:t>
      </w:r>
      <w:r w:rsidRPr="005164B9">
        <w:rPr>
          <w:rFonts w:ascii="Palatino Linotype" w:eastAsia="Palatino Linotype" w:hAnsi="Palatino Linotype" w:cs="Palatino Linotype"/>
          <w:b/>
        </w:rPr>
        <w:t>LA PARTE</w:t>
      </w:r>
      <w:r w:rsidRPr="005164B9">
        <w:rPr>
          <w:rFonts w:ascii="Palatino Linotype" w:eastAsia="Palatino Linotype" w:hAnsi="Palatino Linotype" w:cs="Palatino Linotype"/>
        </w:rPr>
        <w:t xml:space="preserve"> </w:t>
      </w:r>
      <w:r w:rsidRPr="005164B9">
        <w:rPr>
          <w:rFonts w:ascii="Palatino Linotype" w:eastAsia="Palatino Linotype" w:hAnsi="Palatino Linotype" w:cs="Palatino Linotype"/>
          <w:b/>
        </w:rPr>
        <w:t xml:space="preserve">RECURRENTE </w:t>
      </w:r>
      <w:r w:rsidRPr="005164B9">
        <w:rPr>
          <w:rFonts w:ascii="Palatino Linotype" w:eastAsia="Palatino Linotype" w:hAnsi="Palatino Linotype" w:cs="Palatino Linotype"/>
        </w:rPr>
        <w:t>a través del Sistema de Acceso a la Información Mexiquense o SAIMEX</w:t>
      </w:r>
      <w:r w:rsidRPr="005164B9">
        <w:rPr>
          <w:rFonts w:ascii="Palatino Linotype" w:eastAsia="Palatino Linotype" w:hAnsi="Palatino Linotype" w:cs="Palatino Linotype"/>
          <w:b/>
        </w:rPr>
        <w:t>,</w:t>
      </w:r>
      <w:r w:rsidRPr="005164B9">
        <w:rPr>
          <w:rFonts w:ascii="Palatino Linotype" w:eastAsia="Palatino Linotype" w:hAnsi="Palatino Linotype" w:cs="Palatino Linotype"/>
        </w:rPr>
        <w:t xml:space="preserve"> realizó la solicitud de acceso a la información pública</w:t>
      </w:r>
      <w:r w:rsidRPr="005164B9">
        <w:rPr>
          <w:rFonts w:ascii="Palatino Linotype" w:eastAsia="Palatino Linotype" w:hAnsi="Palatino Linotype" w:cs="Palatino Linotype"/>
          <w:b/>
        </w:rPr>
        <w:t xml:space="preserve"> 00015/MELOCAM/IP/2023</w:t>
      </w:r>
      <w:r w:rsidRPr="005164B9">
        <w:rPr>
          <w:rFonts w:ascii="Palatino Linotype" w:eastAsia="Palatino Linotype" w:hAnsi="Palatino Linotype" w:cs="Palatino Linotype"/>
        </w:rPr>
        <w:t>, en la cual requirió de:</w:t>
      </w:r>
    </w:p>
    <w:p w14:paraId="061A46F6"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920F3E7"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 xml:space="preserve"> “De los siguientes regidores Israel Ávila Navarrete Fany Trujillo Espinoza Brisa Escalona declaración patrimonial, de intereses y cualquier otra que deban realizar por el ejercicio de sus funciones” (sic)</w:t>
      </w:r>
    </w:p>
    <w:p w14:paraId="4039C906"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3E1B86F"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b/>
        </w:rPr>
        <w:t>Modalidad de Entrega:</w:t>
      </w:r>
      <w:r w:rsidRPr="005164B9">
        <w:rPr>
          <w:rFonts w:ascii="Palatino Linotype" w:eastAsia="Palatino Linotype" w:hAnsi="Palatino Linotype" w:cs="Palatino Linotype"/>
        </w:rPr>
        <w:t xml:space="preserve"> A través del SAIMEX.</w:t>
      </w:r>
    </w:p>
    <w:p w14:paraId="056D3838"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b/>
        </w:rPr>
        <w:lastRenderedPageBreak/>
        <w:t xml:space="preserve">2. Respuesta. </w:t>
      </w:r>
      <w:r w:rsidRPr="005164B9">
        <w:rPr>
          <w:rFonts w:ascii="Palatino Linotype" w:eastAsia="Palatino Linotype" w:hAnsi="Palatino Linotype" w:cs="Palatino Linotype"/>
        </w:rPr>
        <w:t>El</w:t>
      </w:r>
      <w:r w:rsidRPr="005164B9">
        <w:rPr>
          <w:rFonts w:ascii="Palatino Linotype" w:eastAsia="Palatino Linotype" w:hAnsi="Palatino Linotype" w:cs="Palatino Linotype"/>
          <w:b/>
        </w:rPr>
        <w:t xml:space="preserve"> dos de febrero de dos mil veintitrés, EL SUJETO OBLIGADO </w:t>
      </w:r>
      <w:r w:rsidRPr="005164B9">
        <w:rPr>
          <w:rFonts w:ascii="Palatino Linotype" w:eastAsia="Palatino Linotype" w:hAnsi="Palatino Linotype" w:cs="Palatino Linotype"/>
        </w:rPr>
        <w:t xml:space="preserve">remitió a la persona solicitante la respuesta a su solicitud de acceso a la información, al tenor siguiente: </w:t>
      </w:r>
    </w:p>
    <w:p w14:paraId="4A12712B"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08C5AA2"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“Melchor Ocampo, México a 02 de Febrero de 2023</w:t>
      </w:r>
    </w:p>
    <w:p w14:paraId="637DD4C9" w14:textId="012623CA"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 xml:space="preserve">Nombre del solicitante: </w:t>
      </w:r>
      <w:r w:rsidR="00357377">
        <w:rPr>
          <w:rFonts w:ascii="Palatino Linotype" w:eastAsia="Palatino Linotype" w:hAnsi="Palatino Linotype" w:cs="Palatino Linotype"/>
          <w:i/>
          <w:sz w:val="22"/>
          <w:szCs w:val="22"/>
        </w:rPr>
        <w:t>XXXXXXXXXX</w:t>
      </w:r>
    </w:p>
    <w:p w14:paraId="6D591E59"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Folio de la solicitud: 00015/MELOCAM/IP/2023</w:t>
      </w:r>
    </w:p>
    <w:p w14:paraId="0EEE3BCA"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7866CF"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 xml:space="preserve">Me refiero a la solicitud de información con número de folio 00015/MELOCAM/IP/2023, recepcionada a través del Sistema Saimex, en la cual requiere: INFORMACIÓN SOLICITADA: " De los siguientes regidores Israel Ávila Navarrete Fany Trujillo Espinoza Brisa Escalona declaración patrimonial, de intereses y cualquier otra que deban realizar por el ejercicio de sus funciones" (Sic) Al respecto, le informo que esta Unidad de Transparencia requirió a la Contraloría Interna Municipal a efecto de llevar a cabo la búsqueda de la información solicitada, esto por ser la Dependencia que pudiera conocer del asunto, así pues, a través de su atento CIM/MO/042/2023 dirigido a quien le suscribe y que se adjunta al presente, comunicó que no cuenta con la información correspondiente a las Declaraciones Patrimoniales y de Intereses de los servidores públicos referidos, además, manifestó no ser competente para conocer del asunto. Es de resaltar que el tema en cuestión cuenta con un antecedente en el que, en su momento, y previo análisis, el Comité de Transparencia determinó Confirmar la Declaratoria de Incompetencia del Sujeto Obligado para conocer de las declaraciones patrimoniales de los servidores públicos adscritos al Ayuntamiento de Melchor Ocampo, Estado de México, propuesta hecha por la Contraloría Interna Municipal en la Decimoprimera Sesión con carácter de Extraordinaria celebrada en fecha 12 de octubre de 2022, de la cual se obtuvo el Acuerdo número 013/MELOCAMP/CT/CM/2022, en el que se describen a detalle, de manera fundada y motivada, los motivos y/o circunstancias de tal determinación. (se adjunta al presente) Así pues, le informo que no estamos en posibilidad de atender positivamente a su requerimiento de información, no obstante, le comento que se dejan a salvo sus derechos a efecto de que de considerarlo pertinente realice de nueva cuenta la solicitud objeto del presente al Sujeto Obligado competente (Secretaría de la Contraloría), o de interponer el recurso previsto en la Ley de la </w:t>
      </w:r>
      <w:r w:rsidRPr="005164B9">
        <w:rPr>
          <w:rFonts w:ascii="Palatino Linotype" w:eastAsia="Palatino Linotype" w:hAnsi="Palatino Linotype" w:cs="Palatino Linotype"/>
          <w:i/>
          <w:sz w:val="22"/>
          <w:szCs w:val="22"/>
        </w:rPr>
        <w:lastRenderedPageBreak/>
        <w:t>Materia si no estuviere conforme, esto en un plazo de quince días hábiles siguientes a la notificación de la respuesta. Lo anterior, con fundamento en el artículo 6° apartado "a" de la Constitución Política de los Estados Unidos Mexicanos; 5° de la Constitución Política del Estado Libre y Soberano de México; 12, 23 fracción IV, 24 fracción XI y XXV, 176, 186 y 194 de la Ley de Transparencia y Acceso a la Información Pública del Estado de México y Municipios. Sin otro particular por el momento, hago propicia la ocasión para enviarle un saludo cordial.</w:t>
      </w:r>
    </w:p>
    <w:p w14:paraId="7A0CF667"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ATENTAMENTE</w:t>
      </w:r>
    </w:p>
    <w:p w14:paraId="5E55BA23"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 xml:space="preserve">C. CRISTIAN PACHECO PINEDA” (Sic) </w:t>
      </w:r>
    </w:p>
    <w:p w14:paraId="19D2C023" w14:textId="77777777" w:rsidR="00221903" w:rsidRPr="005164B9" w:rsidRDefault="00221903">
      <w:pPr>
        <w:rPr>
          <w:rFonts w:ascii="Palatino Linotype" w:eastAsia="Palatino Linotype" w:hAnsi="Palatino Linotype" w:cs="Palatino Linotype"/>
        </w:rPr>
      </w:pPr>
    </w:p>
    <w:p w14:paraId="4521B603"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Al mismo tiempo, adjuntó los archivos PDF denominados </w:t>
      </w:r>
      <w:hyperlink r:id="rId8">
        <w:r w:rsidRPr="005164B9">
          <w:rPr>
            <w:rFonts w:ascii="Palatino Linotype" w:eastAsia="Palatino Linotype" w:hAnsi="Palatino Linotype" w:cs="Palatino Linotype"/>
            <w:i/>
          </w:rPr>
          <w:t>Ac_13 Incompetencia Dec. Pat. y de Int..pdf</w:t>
        </w:r>
      </w:hyperlink>
      <w:r w:rsidRPr="005164B9">
        <w:rPr>
          <w:rFonts w:ascii="Palatino Linotype" w:eastAsia="Palatino Linotype" w:hAnsi="Palatino Linotype" w:cs="Palatino Linotype"/>
          <w:i/>
        </w:rPr>
        <w:t xml:space="preserve"> </w:t>
      </w:r>
      <w:r w:rsidRPr="005164B9">
        <w:rPr>
          <w:rFonts w:ascii="Palatino Linotype" w:eastAsia="Palatino Linotype" w:hAnsi="Palatino Linotype" w:cs="Palatino Linotype"/>
        </w:rPr>
        <w:t xml:space="preserve">y </w:t>
      </w:r>
      <w:hyperlink r:id="rId9">
        <w:r w:rsidRPr="005164B9">
          <w:rPr>
            <w:rFonts w:ascii="Palatino Linotype" w:eastAsia="Palatino Linotype" w:hAnsi="Palatino Linotype" w:cs="Palatino Linotype"/>
            <w:i/>
          </w:rPr>
          <w:t>Ofs_Resp SIP 00015.pdf</w:t>
        </w:r>
      </w:hyperlink>
      <w:r w:rsidRPr="005164B9">
        <w:rPr>
          <w:rFonts w:ascii="Palatino Linotype" w:eastAsia="Palatino Linotype" w:hAnsi="Palatino Linotype" w:cs="Palatino Linotype"/>
          <w:i/>
        </w:rPr>
        <w:t xml:space="preserve"> </w:t>
      </w:r>
      <w:r w:rsidRPr="005164B9">
        <w:rPr>
          <w:rFonts w:ascii="Palatino Linotype" w:eastAsia="Palatino Linotype" w:hAnsi="Palatino Linotype" w:cs="Palatino Linotype"/>
        </w:rPr>
        <w:t xml:space="preserve">que contienen lo siguiente: </w:t>
      </w:r>
    </w:p>
    <w:p w14:paraId="39506CE1" w14:textId="77777777" w:rsidR="00221903" w:rsidRPr="005164B9" w:rsidRDefault="00221903">
      <w:pPr>
        <w:rPr>
          <w:rFonts w:ascii="Palatino Linotype" w:eastAsia="Palatino Linotype" w:hAnsi="Palatino Linotype" w:cs="Palatino Linotype"/>
        </w:rPr>
      </w:pPr>
    </w:p>
    <w:p w14:paraId="5D6DBAC5" w14:textId="77777777" w:rsidR="00221903" w:rsidRPr="005164B9" w:rsidRDefault="00357377">
      <w:pPr>
        <w:numPr>
          <w:ilvl w:val="0"/>
          <w:numId w:val="1"/>
        </w:numPr>
        <w:pBdr>
          <w:top w:val="nil"/>
          <w:left w:val="nil"/>
          <w:bottom w:val="nil"/>
          <w:right w:val="nil"/>
          <w:between w:val="nil"/>
        </w:pBdr>
        <w:rPr>
          <w:rFonts w:ascii="Palatino Linotype" w:eastAsia="Palatino Linotype" w:hAnsi="Palatino Linotype" w:cs="Palatino Linotype"/>
          <w:b/>
          <w:i/>
        </w:rPr>
      </w:pPr>
      <w:hyperlink r:id="rId10">
        <w:r w:rsidR="006557AA" w:rsidRPr="005164B9">
          <w:rPr>
            <w:rFonts w:ascii="Palatino Linotype" w:eastAsia="Palatino Linotype" w:hAnsi="Palatino Linotype" w:cs="Palatino Linotype"/>
            <w:b/>
            <w:i/>
          </w:rPr>
          <w:t>Ac_13 Incompetencia Dec. Pat. y de Int..pdf</w:t>
        </w:r>
      </w:hyperlink>
    </w:p>
    <w:p w14:paraId="55A2F8E6" w14:textId="77777777" w:rsidR="00221903" w:rsidRPr="005164B9" w:rsidRDefault="00221903">
      <w:pPr>
        <w:jc w:val="both"/>
        <w:rPr>
          <w:rFonts w:ascii="Palatino Linotype" w:eastAsia="Palatino Linotype" w:hAnsi="Palatino Linotype" w:cs="Palatino Linotype"/>
          <w:b/>
          <w:i/>
        </w:rPr>
      </w:pPr>
    </w:p>
    <w:p w14:paraId="68336785"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Contiene el acuerdo número </w:t>
      </w:r>
      <w:r w:rsidRPr="005164B9">
        <w:rPr>
          <w:rFonts w:ascii="Palatino Linotype" w:eastAsia="Palatino Linotype" w:hAnsi="Palatino Linotype" w:cs="Palatino Linotype"/>
          <w:i/>
        </w:rPr>
        <w:t>013/MELOCAMP/CT/CM/2022</w:t>
      </w:r>
      <w:r w:rsidRPr="005164B9">
        <w:rPr>
          <w:rFonts w:ascii="Palatino Linotype" w:eastAsia="Palatino Linotype" w:hAnsi="Palatino Linotype" w:cs="Palatino Linotype"/>
        </w:rPr>
        <w:t xml:space="preserve"> dictado por el Comité de Transparencia de Melchor Ocampo en fecha doce de octubre de dos mil veintidós, mediante el cual se emite la declaratoria de incompetencia para conocer de las declaraciones patrimoniales de los servidores públicos adscritos al Ayuntamiento de Melchor Ocampo. </w:t>
      </w:r>
    </w:p>
    <w:p w14:paraId="17173C99" w14:textId="77777777" w:rsidR="00221903" w:rsidRPr="005164B9" w:rsidRDefault="00221903">
      <w:pPr>
        <w:spacing w:line="360" w:lineRule="auto"/>
        <w:jc w:val="both"/>
        <w:rPr>
          <w:rFonts w:ascii="Palatino Linotype" w:eastAsia="Palatino Linotype" w:hAnsi="Palatino Linotype" w:cs="Palatino Linotype"/>
        </w:rPr>
      </w:pPr>
    </w:p>
    <w:p w14:paraId="717C86E8" w14:textId="77777777" w:rsidR="00221903" w:rsidRPr="005164B9" w:rsidRDefault="0035737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hyperlink r:id="rId11">
        <w:r w:rsidR="006557AA" w:rsidRPr="005164B9">
          <w:rPr>
            <w:rFonts w:ascii="Palatino Linotype" w:eastAsia="Palatino Linotype" w:hAnsi="Palatino Linotype" w:cs="Palatino Linotype"/>
            <w:b/>
            <w:i/>
          </w:rPr>
          <w:t>Ofs_Resp SIP 00015.pdf</w:t>
        </w:r>
      </w:hyperlink>
    </w:p>
    <w:p w14:paraId="51505D81" w14:textId="77777777" w:rsidR="00221903" w:rsidRPr="005164B9" w:rsidRDefault="00221903">
      <w:pPr>
        <w:spacing w:line="360" w:lineRule="auto"/>
        <w:jc w:val="both"/>
        <w:rPr>
          <w:rFonts w:ascii="Palatino Linotype" w:eastAsia="Palatino Linotype" w:hAnsi="Palatino Linotype" w:cs="Palatino Linotype"/>
          <w:b/>
        </w:rPr>
      </w:pPr>
    </w:p>
    <w:p w14:paraId="131FF502" w14:textId="77777777" w:rsidR="00221903" w:rsidRPr="005164B9" w:rsidRDefault="006557AA">
      <w:pPr>
        <w:spacing w:line="360" w:lineRule="auto"/>
        <w:jc w:val="both"/>
        <w:rPr>
          <w:rFonts w:ascii="Palatino Linotype" w:eastAsia="Palatino Linotype" w:hAnsi="Palatino Linotype" w:cs="Palatino Linotype"/>
          <w:i/>
        </w:rPr>
      </w:pPr>
      <w:r w:rsidRPr="005164B9">
        <w:rPr>
          <w:rFonts w:ascii="Palatino Linotype" w:eastAsia="Palatino Linotype" w:hAnsi="Palatino Linotype" w:cs="Palatino Linotype"/>
        </w:rPr>
        <w:t xml:space="preserve">Oficio de número </w:t>
      </w:r>
      <w:r w:rsidRPr="005164B9">
        <w:rPr>
          <w:rFonts w:ascii="Palatino Linotype" w:eastAsia="Palatino Linotype" w:hAnsi="Palatino Linotype" w:cs="Palatino Linotype"/>
          <w:i/>
        </w:rPr>
        <w:t>NMO/PM/UTyAIP/035/2023</w:t>
      </w:r>
      <w:r w:rsidRPr="005164B9">
        <w:rPr>
          <w:rFonts w:ascii="Palatino Linotype" w:eastAsia="Palatino Linotype" w:hAnsi="Palatino Linotype" w:cs="Palatino Linotype"/>
        </w:rPr>
        <w:t xml:space="preserve"> de fecha dos de febrero de dos mil veintitrés, mediante el cual la Unidad de Transparencia del </w:t>
      </w:r>
      <w:r w:rsidRPr="005164B9">
        <w:rPr>
          <w:rFonts w:ascii="Palatino Linotype" w:eastAsia="Palatino Linotype" w:hAnsi="Palatino Linotype" w:cs="Palatino Linotype"/>
          <w:b/>
        </w:rPr>
        <w:t>SUJETO OBLIGADO</w:t>
      </w:r>
      <w:r w:rsidRPr="005164B9">
        <w:rPr>
          <w:rFonts w:ascii="Palatino Linotype" w:eastAsia="Palatino Linotype" w:hAnsi="Palatino Linotype" w:cs="Palatino Linotype"/>
        </w:rPr>
        <w:t xml:space="preserve"> informa a </w:t>
      </w:r>
      <w:r w:rsidRPr="005164B9">
        <w:rPr>
          <w:rFonts w:ascii="Palatino Linotype" w:eastAsia="Palatino Linotype" w:hAnsi="Palatino Linotype" w:cs="Palatino Linotype"/>
          <w:b/>
        </w:rPr>
        <w:t>LA PARTE RECURRENTE</w:t>
      </w:r>
      <w:r w:rsidRPr="005164B9">
        <w:rPr>
          <w:rFonts w:ascii="Palatino Linotype" w:eastAsia="Palatino Linotype" w:hAnsi="Palatino Linotype" w:cs="Palatino Linotype"/>
        </w:rPr>
        <w:t xml:space="preserve"> que conforme al oficio </w:t>
      </w:r>
      <w:r w:rsidRPr="005164B9">
        <w:rPr>
          <w:rFonts w:ascii="Palatino Linotype" w:eastAsia="Palatino Linotype" w:hAnsi="Palatino Linotype" w:cs="Palatino Linotype"/>
          <w:i/>
        </w:rPr>
        <w:t>CIM/MO/042/2023</w:t>
      </w:r>
      <w:r w:rsidRPr="005164B9">
        <w:rPr>
          <w:rFonts w:ascii="Palatino Linotype" w:eastAsia="Palatino Linotype" w:hAnsi="Palatino Linotype" w:cs="Palatino Linotype"/>
        </w:rPr>
        <w:t xml:space="preserve"> suscrito por la Contraloría Interna Municipal, </w:t>
      </w:r>
      <w:r w:rsidRPr="005164B9">
        <w:rPr>
          <w:rFonts w:ascii="Palatino Linotype" w:eastAsia="Palatino Linotype" w:hAnsi="Palatino Linotype" w:cs="Palatino Linotype"/>
          <w:i/>
        </w:rPr>
        <w:t xml:space="preserve">“… no cuenta con la información correspondiente a las Declaraciones Patrimoniales y de Intereses de los servidores públicos </w:t>
      </w:r>
      <w:r w:rsidRPr="005164B9">
        <w:rPr>
          <w:rFonts w:ascii="Palatino Linotype" w:eastAsia="Palatino Linotype" w:hAnsi="Palatino Linotype" w:cs="Palatino Linotype"/>
          <w:i/>
        </w:rPr>
        <w:lastRenderedPageBreak/>
        <w:t xml:space="preserve">referidos, además, manifestó no ser competente para conocer del asunto…” (Sic), </w:t>
      </w:r>
      <w:r w:rsidRPr="005164B9">
        <w:rPr>
          <w:rFonts w:ascii="Palatino Linotype" w:eastAsia="Palatino Linotype" w:hAnsi="Palatino Linotype" w:cs="Palatino Linotype"/>
        </w:rPr>
        <w:t xml:space="preserve">esto aunado a </w:t>
      </w:r>
      <w:r w:rsidRPr="005164B9">
        <w:rPr>
          <w:rFonts w:ascii="Palatino Linotype" w:eastAsia="Palatino Linotype" w:hAnsi="Palatino Linotype" w:cs="Palatino Linotype"/>
          <w:i/>
        </w:rPr>
        <w:t xml:space="preserve">“… que el tema en cuestión cuenta con un antecedente en el que, en su momento, y previo análisis, el Comité de Transparencia determinó Confirmar la Declaratoria de Incompetencia del Sujeto Obligado para conocer de las declaraciones patrimoniales de los servidores públicos adscritos al Ayuntamiento de Melchor Ocampo…” (Sic). </w:t>
      </w:r>
    </w:p>
    <w:p w14:paraId="4C070AB8" w14:textId="77777777" w:rsidR="00221903" w:rsidRPr="005164B9" w:rsidRDefault="00221903">
      <w:pPr>
        <w:spacing w:line="360" w:lineRule="auto"/>
        <w:jc w:val="both"/>
        <w:rPr>
          <w:rFonts w:ascii="Palatino Linotype" w:eastAsia="Palatino Linotype" w:hAnsi="Palatino Linotype" w:cs="Palatino Linotype"/>
          <w:i/>
        </w:rPr>
      </w:pPr>
    </w:p>
    <w:p w14:paraId="45330923"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b/>
          <w:sz w:val="22"/>
          <w:szCs w:val="22"/>
        </w:rPr>
        <w:t>3.</w:t>
      </w:r>
      <w:r w:rsidRPr="005164B9">
        <w:rPr>
          <w:rFonts w:ascii="Palatino Linotype" w:eastAsia="Palatino Linotype" w:hAnsi="Palatino Linotype" w:cs="Palatino Linotype"/>
          <w:b/>
        </w:rPr>
        <w:t xml:space="preserve"> Interposición del recurso de revisión. </w:t>
      </w:r>
      <w:r w:rsidRPr="005164B9">
        <w:rPr>
          <w:rFonts w:ascii="Palatino Linotype" w:eastAsia="Palatino Linotype" w:hAnsi="Palatino Linotype" w:cs="Palatino Linotype"/>
        </w:rPr>
        <w:t xml:space="preserve">Inconforme la entonces persona solicitante con la respuesta del </w:t>
      </w:r>
      <w:r w:rsidRPr="005164B9">
        <w:rPr>
          <w:rFonts w:ascii="Palatino Linotype" w:eastAsia="Palatino Linotype" w:hAnsi="Palatino Linotype" w:cs="Palatino Linotype"/>
          <w:b/>
        </w:rPr>
        <w:t>SUJETO OBLIGADO</w:t>
      </w:r>
      <w:r w:rsidRPr="005164B9">
        <w:rPr>
          <w:rFonts w:ascii="Palatino Linotype" w:eastAsia="Palatino Linotype" w:hAnsi="Palatino Linotype" w:cs="Palatino Linotype"/>
        </w:rPr>
        <w:t>, el día</w:t>
      </w:r>
      <w:r w:rsidRPr="005164B9">
        <w:rPr>
          <w:rFonts w:ascii="Palatino Linotype" w:eastAsia="Palatino Linotype" w:hAnsi="Palatino Linotype" w:cs="Palatino Linotype"/>
          <w:b/>
        </w:rPr>
        <w:t xml:space="preserve"> cinco de febrero de dos mil veintitrés,</w:t>
      </w:r>
      <w:r w:rsidRPr="005164B9">
        <w:rPr>
          <w:rFonts w:ascii="Palatino Linotype" w:eastAsia="Palatino Linotype" w:hAnsi="Palatino Linotype" w:cs="Palatino Linotype"/>
        </w:rPr>
        <w:t xml:space="preserve"> interpuso el recurso de revisión a través de SAIMEX, sin embargo, este no se tuvo por presentado ante el Infoem hasta el día </w:t>
      </w:r>
      <w:r w:rsidRPr="005164B9">
        <w:rPr>
          <w:rFonts w:ascii="Palatino Linotype" w:eastAsia="Palatino Linotype" w:hAnsi="Palatino Linotype" w:cs="Palatino Linotype"/>
          <w:b/>
        </w:rPr>
        <w:t>siete de febrero de dos mil veintitrés</w:t>
      </w:r>
      <w:r w:rsidRPr="005164B9">
        <w:rPr>
          <w:rFonts w:ascii="Palatino Linotype" w:eastAsia="Palatino Linotype" w:hAnsi="Palatino Linotype" w:cs="Palatino Linotype"/>
        </w:rPr>
        <w:t>, conforme al calendario oficial en materia de Transparencia, Acceso a la Información Pública y Protección de Datos Personales del Estado de México y Municipios emitido por el Pleno de este Organismo Garante, y se manifestó de la siguiente manera:</w:t>
      </w:r>
    </w:p>
    <w:p w14:paraId="51F26AD1" w14:textId="77777777" w:rsidR="00221903" w:rsidRPr="005164B9" w:rsidRDefault="00221903">
      <w:pPr>
        <w:spacing w:line="360" w:lineRule="auto"/>
        <w:jc w:val="both"/>
        <w:rPr>
          <w:rFonts w:ascii="Palatino Linotype" w:eastAsia="Palatino Linotype" w:hAnsi="Palatino Linotype" w:cs="Palatino Linotype"/>
        </w:rPr>
      </w:pPr>
    </w:p>
    <w:p w14:paraId="5BF8AB5E" w14:textId="77777777" w:rsidR="00221903" w:rsidRPr="005164B9" w:rsidRDefault="006557AA">
      <w:pPr>
        <w:tabs>
          <w:tab w:val="left" w:pos="2745"/>
        </w:tabs>
        <w:spacing w:line="360" w:lineRule="auto"/>
        <w:jc w:val="both"/>
        <w:rPr>
          <w:rFonts w:ascii="Palatino Linotype" w:eastAsia="Palatino Linotype" w:hAnsi="Palatino Linotype" w:cs="Palatino Linotype"/>
          <w:b/>
        </w:rPr>
      </w:pPr>
      <w:r w:rsidRPr="005164B9">
        <w:rPr>
          <w:rFonts w:ascii="Palatino Linotype" w:eastAsia="Palatino Linotype" w:hAnsi="Palatino Linotype" w:cs="Palatino Linotype"/>
          <w:b/>
        </w:rPr>
        <w:t xml:space="preserve">Acto impugnado: </w:t>
      </w:r>
    </w:p>
    <w:p w14:paraId="6DD30E03"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sz w:val="22"/>
          <w:szCs w:val="22"/>
        </w:rPr>
      </w:pPr>
    </w:p>
    <w:p w14:paraId="54CD7343"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“Respuesta remitida” (sic)</w:t>
      </w:r>
    </w:p>
    <w:p w14:paraId="68CBBA03"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sz w:val="22"/>
          <w:szCs w:val="22"/>
        </w:rPr>
      </w:pPr>
    </w:p>
    <w:p w14:paraId="6AABFBC6"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b/>
        </w:rPr>
        <w:t>Razones o motivos de inconformidad</w:t>
      </w:r>
      <w:r w:rsidRPr="005164B9">
        <w:rPr>
          <w:rFonts w:ascii="Palatino Linotype" w:eastAsia="Palatino Linotype" w:hAnsi="Palatino Linotype" w:cs="Palatino Linotype"/>
        </w:rPr>
        <w:t>:</w:t>
      </w:r>
    </w:p>
    <w:p w14:paraId="62E6D057"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BD38BA5"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“Remiten un acuerdo fuera de tiempo establecido por la ley, acuerdo incompleto, falta de fundamentos, señalan otra solicitud y no se pronuncia por la totalidad de las declaraciones que se deben hacer en el ejercicio de sus funciones” (sic)</w:t>
      </w:r>
    </w:p>
    <w:p w14:paraId="0DA12451"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bookmarkStart w:id="2" w:name="_heading=h.30j0zll" w:colFirst="0" w:colLast="0"/>
      <w:bookmarkEnd w:id="2"/>
    </w:p>
    <w:p w14:paraId="79FAF610" w14:textId="77777777" w:rsidR="00221903" w:rsidRPr="005164B9" w:rsidRDefault="006557AA">
      <w:pPr>
        <w:spacing w:line="360" w:lineRule="auto"/>
        <w:ind w:right="51"/>
        <w:jc w:val="both"/>
        <w:rPr>
          <w:rFonts w:ascii="Palatino Linotype" w:eastAsia="Palatino Linotype" w:hAnsi="Palatino Linotype" w:cs="Palatino Linotype"/>
        </w:rPr>
      </w:pPr>
      <w:r w:rsidRPr="005164B9">
        <w:rPr>
          <w:rFonts w:ascii="Palatino Linotype" w:eastAsia="Palatino Linotype" w:hAnsi="Palatino Linotype" w:cs="Palatino Linotype"/>
          <w:b/>
        </w:rPr>
        <w:t xml:space="preserve">4. Turno. </w:t>
      </w:r>
      <w:r w:rsidRPr="005164B9">
        <w:rPr>
          <w:rFonts w:ascii="Palatino Linotype" w:eastAsia="Palatino Linotype" w:hAnsi="Palatino Linotype" w:cs="Palatino Linotype"/>
        </w:rPr>
        <w:t xml:space="preserve">De conformidad con el artículo 185 fracción I de la Ley de Transparencia, el presente recurso de revisión se turnó por el sistema electrónico de este Instituto, </w:t>
      </w:r>
      <w:r w:rsidRPr="005164B9">
        <w:rPr>
          <w:rFonts w:ascii="Palatino Linotype" w:eastAsia="Palatino Linotype" w:hAnsi="Palatino Linotype" w:cs="Palatino Linotype"/>
        </w:rPr>
        <w:lastRenderedPageBreak/>
        <w:t xml:space="preserve">a la </w:t>
      </w:r>
      <w:r w:rsidRPr="005164B9">
        <w:rPr>
          <w:rFonts w:ascii="Palatino Linotype" w:eastAsia="Palatino Linotype" w:hAnsi="Palatino Linotype" w:cs="Palatino Linotype"/>
          <w:b/>
        </w:rPr>
        <w:t xml:space="preserve">Comisionada Guadalupe Ramírez Peña, </w:t>
      </w:r>
      <w:r w:rsidRPr="005164B9">
        <w:rPr>
          <w:rFonts w:ascii="Palatino Linotype" w:eastAsia="Palatino Linotype" w:hAnsi="Palatino Linotype" w:cs="Palatino Linotype"/>
        </w:rPr>
        <w:t>a efecto de que analizara sobre su admisión o su desechamiento.</w:t>
      </w:r>
    </w:p>
    <w:p w14:paraId="2BBEBE52" w14:textId="77777777" w:rsidR="00221903" w:rsidRPr="005164B9" w:rsidRDefault="00221903">
      <w:pPr>
        <w:spacing w:line="360" w:lineRule="auto"/>
        <w:ind w:right="51"/>
        <w:jc w:val="both"/>
        <w:rPr>
          <w:rFonts w:ascii="Palatino Linotype" w:eastAsia="Palatino Linotype" w:hAnsi="Palatino Linotype" w:cs="Palatino Linotype"/>
        </w:rPr>
      </w:pPr>
    </w:p>
    <w:p w14:paraId="4F982907"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b/>
        </w:rPr>
        <w:t>5. Admisión del Recurso de revisión.</w:t>
      </w:r>
      <w:r w:rsidRPr="005164B9">
        <w:rPr>
          <w:rFonts w:ascii="Palatino Linotype" w:eastAsia="Palatino Linotype" w:hAnsi="Palatino Linotype" w:cs="Palatino Linotype"/>
        </w:rPr>
        <w:t xml:space="preserve"> El</w:t>
      </w:r>
      <w:r w:rsidRPr="005164B9">
        <w:rPr>
          <w:rFonts w:ascii="Palatino Linotype" w:eastAsia="Palatino Linotype" w:hAnsi="Palatino Linotype" w:cs="Palatino Linotype"/>
          <w:b/>
        </w:rPr>
        <w:t xml:space="preserve"> diez de febrero de dos mil veintitrés, </w:t>
      </w:r>
      <w:r w:rsidRPr="005164B9">
        <w:rPr>
          <w:rFonts w:ascii="Palatino Linotype" w:eastAsia="Palatino Linotype" w:hAnsi="Palatino Linotype" w:cs="Palatino Linotype"/>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sidRPr="005164B9">
        <w:rPr>
          <w:rFonts w:ascii="Palatino Linotype" w:eastAsia="Palatino Linotype" w:hAnsi="Palatino Linotype" w:cs="Palatino Linotype"/>
          <w:b/>
        </w:rPr>
        <w:t xml:space="preserve">EL SUJETO OBLIGADO </w:t>
      </w:r>
      <w:r w:rsidRPr="005164B9">
        <w:rPr>
          <w:rFonts w:ascii="Palatino Linotype" w:eastAsia="Palatino Linotype" w:hAnsi="Palatino Linotype" w:cs="Palatino Linotype"/>
        </w:rPr>
        <w:t>presentara su Informe Justificado.</w:t>
      </w:r>
    </w:p>
    <w:p w14:paraId="1B6AD833" w14:textId="77777777" w:rsidR="00221903" w:rsidRPr="005164B9" w:rsidRDefault="00221903">
      <w:pPr>
        <w:spacing w:line="360" w:lineRule="auto"/>
        <w:jc w:val="both"/>
        <w:rPr>
          <w:rFonts w:ascii="Palatino Linotype" w:eastAsia="Palatino Linotype" w:hAnsi="Palatino Linotype" w:cs="Palatino Linotype"/>
          <w:b/>
        </w:rPr>
      </w:pPr>
    </w:p>
    <w:p w14:paraId="6CF4CA28" w14:textId="77777777" w:rsidR="00221903" w:rsidRPr="005164B9" w:rsidRDefault="006557AA">
      <w:pPr>
        <w:spacing w:line="360" w:lineRule="auto"/>
        <w:ind w:right="49"/>
        <w:jc w:val="both"/>
        <w:rPr>
          <w:rFonts w:ascii="Palatino Linotype" w:eastAsia="Palatino Linotype" w:hAnsi="Palatino Linotype" w:cs="Palatino Linotype"/>
        </w:rPr>
      </w:pPr>
      <w:bookmarkStart w:id="3" w:name="_heading=h.2s8eyo1" w:colFirst="0" w:colLast="0"/>
      <w:bookmarkEnd w:id="3"/>
      <w:r w:rsidRPr="005164B9">
        <w:rPr>
          <w:rFonts w:ascii="Palatino Linotype" w:eastAsia="Palatino Linotype" w:hAnsi="Palatino Linotype" w:cs="Palatino Linotype"/>
          <w:b/>
        </w:rPr>
        <w:t>6. Manifestaciones</w:t>
      </w:r>
      <w:r w:rsidRPr="005164B9">
        <w:rPr>
          <w:rFonts w:ascii="Palatino Linotype" w:eastAsia="Palatino Linotype" w:hAnsi="Palatino Linotype" w:cs="Palatino Linotype"/>
        </w:rPr>
        <w:t xml:space="preserve">. De las constancias que integran el expediente electrónico en que se actúa se advierte que LA PARTE RECURRENTE dejó de manifestar lo que a su derecho resultara conveniente, al igual que EL SUJETO OBLIGADO omitió remitir su Informe Justificado, tal y como se aprecia en la imagen que se adjunta: </w:t>
      </w:r>
    </w:p>
    <w:p w14:paraId="05FC5220" w14:textId="77777777" w:rsidR="00221903" w:rsidRPr="005164B9" w:rsidRDefault="00221903">
      <w:pPr>
        <w:spacing w:line="360" w:lineRule="auto"/>
        <w:ind w:right="49"/>
        <w:jc w:val="both"/>
        <w:rPr>
          <w:rFonts w:ascii="Palatino Linotype" w:eastAsia="Palatino Linotype" w:hAnsi="Palatino Linotype" w:cs="Palatino Linotype"/>
        </w:rPr>
      </w:pPr>
    </w:p>
    <w:p w14:paraId="3BE75730" w14:textId="77777777" w:rsidR="00221903" w:rsidRPr="005164B9" w:rsidRDefault="006557AA">
      <w:pPr>
        <w:spacing w:line="360" w:lineRule="auto"/>
        <w:ind w:right="49"/>
        <w:jc w:val="center"/>
        <w:rPr>
          <w:rFonts w:ascii="Palatino Linotype" w:eastAsia="Palatino Linotype" w:hAnsi="Palatino Linotype" w:cs="Palatino Linotype"/>
        </w:rPr>
      </w:pPr>
      <w:r w:rsidRPr="005164B9">
        <w:rPr>
          <w:noProof/>
        </w:rPr>
        <w:drawing>
          <wp:inline distT="0" distB="0" distL="0" distR="0" wp14:anchorId="6CA7E94F" wp14:editId="00AE6A13">
            <wp:extent cx="5196941" cy="1262987"/>
            <wp:effectExtent l="0" t="0" r="0" b="0"/>
            <wp:docPr id="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9844" t="42749" r="13101" b="23958"/>
                    <a:stretch>
                      <a:fillRect/>
                    </a:stretch>
                  </pic:blipFill>
                  <pic:spPr>
                    <a:xfrm>
                      <a:off x="0" y="0"/>
                      <a:ext cx="5196941" cy="1262987"/>
                    </a:xfrm>
                    <a:prstGeom prst="rect">
                      <a:avLst/>
                    </a:prstGeom>
                    <a:ln/>
                  </pic:spPr>
                </pic:pic>
              </a:graphicData>
            </a:graphic>
          </wp:inline>
        </w:drawing>
      </w:r>
    </w:p>
    <w:p w14:paraId="3508A3CE" w14:textId="77777777" w:rsidR="00221903" w:rsidRPr="005164B9" w:rsidRDefault="00221903">
      <w:pPr>
        <w:spacing w:line="360" w:lineRule="auto"/>
        <w:ind w:right="49"/>
        <w:jc w:val="center"/>
        <w:rPr>
          <w:rFonts w:ascii="Palatino Linotype" w:eastAsia="Palatino Linotype" w:hAnsi="Palatino Linotype" w:cs="Palatino Linotype"/>
        </w:rPr>
      </w:pPr>
    </w:p>
    <w:p w14:paraId="2780E7BC" w14:textId="77777777" w:rsidR="00221903" w:rsidRPr="005164B9" w:rsidRDefault="006557AA">
      <w:pPr>
        <w:widowControl w:val="0"/>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b/>
        </w:rPr>
        <w:t>7. Ampliación del plazo para emitir resolución.</w:t>
      </w:r>
      <w:r w:rsidRPr="005164B9">
        <w:rPr>
          <w:rFonts w:ascii="Palatino Linotype" w:eastAsia="Palatino Linotype" w:hAnsi="Palatino Linotype" w:cs="Palatino Linotype"/>
        </w:rPr>
        <w:t xml:space="preserve"> El </w:t>
      </w:r>
      <w:r w:rsidRPr="005164B9">
        <w:rPr>
          <w:rFonts w:ascii="Palatino Linotype" w:eastAsia="Palatino Linotype" w:hAnsi="Palatino Linotype" w:cs="Palatino Linotype"/>
          <w:b/>
        </w:rPr>
        <w:t>dieciocho de abril de dos mil veintitrés,</w:t>
      </w:r>
      <w:r w:rsidRPr="005164B9">
        <w:rPr>
          <w:rFonts w:ascii="Palatino Linotype" w:eastAsia="Palatino Linotype" w:hAnsi="Palatino Linotype" w:cs="Palatino Linotype"/>
        </w:rPr>
        <w:t xml:space="preserve"> el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por </w:t>
      </w:r>
      <w:r w:rsidRPr="005164B9">
        <w:rPr>
          <w:rFonts w:ascii="Palatino Linotype" w:eastAsia="Palatino Linotype" w:hAnsi="Palatino Linotype" w:cs="Palatino Linotype"/>
        </w:rPr>
        <w:lastRenderedPageBreak/>
        <w:t>quince días hábiles el plazo para emitir la presente resolución.</w:t>
      </w:r>
    </w:p>
    <w:p w14:paraId="1746DF3B" w14:textId="77777777" w:rsidR="00221903" w:rsidRPr="005164B9" w:rsidRDefault="00221903">
      <w:pPr>
        <w:spacing w:line="360" w:lineRule="auto"/>
        <w:jc w:val="both"/>
        <w:rPr>
          <w:rFonts w:ascii="Palatino Linotype" w:eastAsia="Palatino Linotype" w:hAnsi="Palatino Linotype" w:cs="Palatino Linotype"/>
        </w:rPr>
      </w:pPr>
    </w:p>
    <w:p w14:paraId="14EE9C4C"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b/>
        </w:rPr>
        <w:t xml:space="preserve">8. Cierre de instrucción. </w:t>
      </w:r>
      <w:r w:rsidRPr="005164B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5164B9">
        <w:rPr>
          <w:rFonts w:ascii="Palatino Linotype" w:eastAsia="Palatino Linotype" w:hAnsi="Palatino Linotype" w:cs="Palatino Linotype"/>
          <w:b/>
        </w:rPr>
        <w:t>dieciocho de abril de dos mil veintitrés</w:t>
      </w:r>
      <w:r w:rsidRPr="005164B9">
        <w:rPr>
          <w:rFonts w:ascii="Palatino Linotype" w:eastAsia="Palatino Linotype" w:hAnsi="Palatino Linotype" w:cs="Palatino Linotype"/>
        </w:rPr>
        <w:t xml:space="preserve">, la </w:t>
      </w:r>
      <w:r w:rsidRPr="005164B9">
        <w:rPr>
          <w:rFonts w:ascii="Palatino Linotype" w:eastAsia="Palatino Linotype" w:hAnsi="Palatino Linotype" w:cs="Palatino Linotype"/>
          <w:b/>
        </w:rPr>
        <w:t>Comisionada Ponente</w:t>
      </w:r>
      <w:r w:rsidRPr="005164B9">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20EEDC7D" w14:textId="77777777" w:rsidR="00221903" w:rsidRPr="005164B9" w:rsidRDefault="00221903">
      <w:pPr>
        <w:spacing w:line="360" w:lineRule="auto"/>
        <w:jc w:val="both"/>
        <w:rPr>
          <w:rFonts w:ascii="Palatino Linotype" w:eastAsia="Palatino Linotype" w:hAnsi="Palatino Linotype" w:cs="Palatino Linotype"/>
          <w:b/>
        </w:rPr>
      </w:pPr>
    </w:p>
    <w:p w14:paraId="068D68D4"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79FB3014" w14:textId="77777777" w:rsidR="00221903" w:rsidRPr="005164B9" w:rsidRDefault="00221903">
      <w:pPr>
        <w:spacing w:line="360" w:lineRule="auto"/>
        <w:jc w:val="both"/>
        <w:rPr>
          <w:rFonts w:ascii="Palatino Linotype" w:eastAsia="Palatino Linotype" w:hAnsi="Palatino Linotype" w:cs="Palatino Linotype"/>
          <w:sz w:val="22"/>
          <w:szCs w:val="22"/>
        </w:rPr>
      </w:pPr>
    </w:p>
    <w:p w14:paraId="34706FC5" w14:textId="77777777" w:rsidR="00221903" w:rsidRPr="005164B9" w:rsidRDefault="006557AA">
      <w:pPr>
        <w:widowControl w:val="0"/>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rPr>
      </w:pPr>
      <w:r w:rsidRPr="005164B9">
        <w:rPr>
          <w:rFonts w:ascii="Palatino Linotype" w:eastAsia="Palatino Linotype" w:hAnsi="Palatino Linotype" w:cs="Palatino Linotype"/>
          <w:b/>
        </w:rPr>
        <w:t xml:space="preserve">C O N S I D E R A N D O </w:t>
      </w:r>
    </w:p>
    <w:p w14:paraId="587C9FD2" w14:textId="77777777" w:rsidR="00221903" w:rsidRPr="005164B9" w:rsidRDefault="00221903">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400C3187"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b/>
        </w:rPr>
        <w:t>PRIMERO. COMPETENCIA.</w:t>
      </w:r>
      <w:r w:rsidRPr="005164B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5164B9">
        <w:rPr>
          <w:rFonts w:ascii="Palatino Linotype" w:eastAsia="Palatino Linotype" w:hAnsi="Palatino Linotype" w:cs="Palatino Linotype"/>
          <w:b/>
        </w:rPr>
        <w:t>LA PARTE RECURRENTE</w:t>
      </w:r>
      <w:r w:rsidRPr="005164B9">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w:t>
      </w:r>
      <w:r w:rsidRPr="005164B9">
        <w:rPr>
          <w:rFonts w:ascii="Palatino Linotype" w:eastAsia="Palatino Linotype" w:hAnsi="Palatino Linotype" w:cs="Palatino Linotype"/>
        </w:rPr>
        <w:lastRenderedPageBreak/>
        <w:t>y XXIII, y 11 del Reglamento Interior del Instituto de Transparencia, Acceso a la Información Pública y Protección de Datos Personales del Estado de México y Municipios.</w:t>
      </w:r>
    </w:p>
    <w:p w14:paraId="2ED4D3A6" w14:textId="77777777" w:rsidR="00221903" w:rsidRPr="005164B9" w:rsidRDefault="00221903">
      <w:pPr>
        <w:spacing w:line="360" w:lineRule="auto"/>
        <w:jc w:val="both"/>
        <w:rPr>
          <w:rFonts w:ascii="Palatino Linotype" w:eastAsia="Palatino Linotype" w:hAnsi="Palatino Linotype" w:cs="Palatino Linotype"/>
        </w:rPr>
      </w:pPr>
    </w:p>
    <w:p w14:paraId="35C84559"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b/>
        </w:rPr>
        <w:t>SEGUNDO. OPORTUNIDAD Y PROCEDIBILIDAD DEL RECURSO DE REVISIÓN</w:t>
      </w:r>
      <w:r w:rsidRPr="005164B9">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192A17" w14:textId="77777777" w:rsidR="00221903" w:rsidRPr="005164B9" w:rsidRDefault="00221903">
      <w:pPr>
        <w:spacing w:line="360" w:lineRule="auto"/>
        <w:jc w:val="both"/>
        <w:rPr>
          <w:rFonts w:ascii="Palatino Linotype" w:eastAsia="Palatino Linotype" w:hAnsi="Palatino Linotype" w:cs="Palatino Linotype"/>
        </w:rPr>
      </w:pPr>
    </w:p>
    <w:p w14:paraId="6370AE7D"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El recurso de revisión fue interpuesto dentro del plazo de quince días hábiles, previsto en el artículo 178 de la Ley de Transparencia, toda vez que </w:t>
      </w:r>
      <w:r w:rsidRPr="005164B9">
        <w:rPr>
          <w:rFonts w:ascii="Palatino Linotype" w:eastAsia="Palatino Linotype" w:hAnsi="Palatino Linotype" w:cs="Palatino Linotype"/>
          <w:b/>
        </w:rPr>
        <w:t>EL SUJETO OBLIGADO</w:t>
      </w:r>
      <w:r w:rsidRPr="005164B9">
        <w:rPr>
          <w:rFonts w:ascii="Palatino Linotype" w:eastAsia="Palatino Linotype" w:hAnsi="Palatino Linotype" w:cs="Palatino Linotype"/>
        </w:rPr>
        <w:t xml:space="preserve"> respondió a la solicitud de información el </w:t>
      </w:r>
      <w:r w:rsidRPr="005164B9">
        <w:rPr>
          <w:rFonts w:ascii="Palatino Linotype" w:eastAsia="Palatino Linotype" w:hAnsi="Palatino Linotype" w:cs="Palatino Linotype"/>
          <w:b/>
        </w:rPr>
        <w:t xml:space="preserve">dos de febrero de dos mil veintitrés, </w:t>
      </w:r>
      <w:r w:rsidRPr="005164B9">
        <w:rPr>
          <w:rFonts w:ascii="Palatino Linotype" w:eastAsia="Palatino Linotype" w:hAnsi="Palatino Linotype" w:cs="Palatino Linotype"/>
        </w:rPr>
        <w:t xml:space="preserve">mientras que el recurso de revisión se interpuso el </w:t>
      </w:r>
      <w:r w:rsidRPr="005164B9">
        <w:rPr>
          <w:rFonts w:ascii="Palatino Linotype" w:eastAsia="Palatino Linotype" w:hAnsi="Palatino Linotype" w:cs="Palatino Linotype"/>
          <w:b/>
        </w:rPr>
        <w:t>siete de febrero de dos mil veintitrés</w:t>
      </w:r>
      <w:r w:rsidRPr="005164B9">
        <w:rPr>
          <w:rFonts w:ascii="Palatino Linotype" w:eastAsia="Palatino Linotype" w:hAnsi="Palatino Linotype" w:cs="Palatino Linotype"/>
        </w:rPr>
        <w:t xml:space="preserve">, esto es, el </w:t>
      </w:r>
      <w:r w:rsidRPr="005164B9">
        <w:rPr>
          <w:rFonts w:ascii="Palatino Linotype" w:eastAsia="Palatino Linotype" w:hAnsi="Palatino Linotype" w:cs="Palatino Linotype"/>
          <w:b/>
        </w:rPr>
        <w:t>segundo día hábil</w:t>
      </w:r>
      <w:r w:rsidRPr="005164B9">
        <w:rPr>
          <w:rFonts w:ascii="Palatino Linotype" w:eastAsia="Palatino Linotype" w:hAnsi="Palatino Linotype" w:cs="Palatino Linotype"/>
        </w:rPr>
        <w:t xml:space="preserve"> posterior en que tuvo conocimiento de la respuesta impugnada.</w:t>
      </w:r>
    </w:p>
    <w:p w14:paraId="74E2CE18" w14:textId="77777777" w:rsidR="00221903" w:rsidRPr="005164B9" w:rsidRDefault="00221903">
      <w:pPr>
        <w:spacing w:line="360" w:lineRule="auto"/>
        <w:jc w:val="both"/>
        <w:rPr>
          <w:rFonts w:ascii="Palatino Linotype" w:eastAsia="Palatino Linotype" w:hAnsi="Palatino Linotype" w:cs="Palatino Linotype"/>
        </w:rPr>
      </w:pPr>
    </w:p>
    <w:p w14:paraId="3C096302"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Asimismo, por cuanto hace a la procedibilidad del recurso de revisión, es de suma importancia señalar que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F2819F8" w14:textId="77777777" w:rsidR="00221903" w:rsidRPr="005164B9" w:rsidRDefault="00221903">
      <w:pPr>
        <w:spacing w:line="360" w:lineRule="auto"/>
        <w:jc w:val="both"/>
        <w:rPr>
          <w:rFonts w:ascii="Palatino Linotype" w:eastAsia="Palatino Linotype" w:hAnsi="Palatino Linotype" w:cs="Palatino Linotype"/>
        </w:rPr>
      </w:pPr>
    </w:p>
    <w:p w14:paraId="50791B8E"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lastRenderedPageBreak/>
        <w:t>Finalmente, se advierte que resulta procedente la interposición del recurso, según lo manifestado por el recurrente en sus motivos de inconformidad, de acuerdo a la fracción V y XIII del artículo 179 del ordenamiento legal citado, que a la letra dice: </w:t>
      </w:r>
    </w:p>
    <w:p w14:paraId="5122F5F8" w14:textId="77777777" w:rsidR="00221903" w:rsidRPr="005164B9" w:rsidRDefault="00221903">
      <w:pPr>
        <w:jc w:val="both"/>
        <w:rPr>
          <w:rFonts w:ascii="Palatino Linotype" w:eastAsia="Palatino Linotype" w:hAnsi="Palatino Linotype" w:cs="Palatino Linotype"/>
        </w:rPr>
      </w:pPr>
    </w:p>
    <w:p w14:paraId="45430DB3"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b/>
          <w:i/>
          <w:sz w:val="22"/>
          <w:szCs w:val="22"/>
        </w:rPr>
        <w:t>Artículo 179.</w:t>
      </w:r>
      <w:r w:rsidRPr="005164B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871675E"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164B9">
        <w:rPr>
          <w:rFonts w:ascii="Palatino Linotype" w:eastAsia="Palatino Linotype" w:hAnsi="Palatino Linotype" w:cs="Palatino Linotype"/>
          <w:b/>
          <w:i/>
          <w:sz w:val="22"/>
          <w:szCs w:val="22"/>
        </w:rPr>
        <w:t>(…)</w:t>
      </w:r>
    </w:p>
    <w:p w14:paraId="719744BB"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164B9">
        <w:rPr>
          <w:rFonts w:ascii="Palatino Linotype" w:eastAsia="Palatino Linotype" w:hAnsi="Palatino Linotype" w:cs="Palatino Linotype"/>
          <w:b/>
          <w:i/>
          <w:sz w:val="22"/>
          <w:szCs w:val="22"/>
        </w:rPr>
        <w:t>V. La entrega de información incompleta;</w:t>
      </w:r>
    </w:p>
    <w:p w14:paraId="5334B3FE"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164B9">
        <w:rPr>
          <w:rFonts w:ascii="Palatino Linotype" w:eastAsia="Palatino Linotype" w:hAnsi="Palatino Linotype" w:cs="Palatino Linotype"/>
          <w:b/>
          <w:i/>
          <w:sz w:val="22"/>
          <w:szCs w:val="22"/>
        </w:rPr>
        <w:t>(…)</w:t>
      </w:r>
    </w:p>
    <w:p w14:paraId="27E9ED11"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164B9">
        <w:rPr>
          <w:rFonts w:ascii="Palatino Linotype" w:eastAsia="Palatino Linotype" w:hAnsi="Palatino Linotype" w:cs="Palatino Linotype"/>
          <w:b/>
          <w:i/>
          <w:sz w:val="22"/>
          <w:szCs w:val="22"/>
        </w:rPr>
        <w:t>XIII. La falta, deficiencia o insuficiencia de la fundamentación y/o motivación en la respuesta; y</w:t>
      </w:r>
    </w:p>
    <w:p w14:paraId="54387E31"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b/>
          <w:i/>
          <w:sz w:val="22"/>
          <w:szCs w:val="22"/>
        </w:rPr>
        <w:t>(…)</w:t>
      </w:r>
    </w:p>
    <w:p w14:paraId="164DEF8D"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6EBAE38"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b/>
        </w:rPr>
        <w:t xml:space="preserve">TERCERO. MATERIA DE LA REVISIÓN. </w:t>
      </w:r>
      <w:r w:rsidRPr="005164B9">
        <w:rPr>
          <w:rFonts w:ascii="Palatino Linotype" w:eastAsia="Palatino Linotype" w:hAnsi="Palatino Linotype" w:cs="Palatino Linotype"/>
        </w:rPr>
        <w:t>De la revisión a las constancias y documentos que obran en el expediente electrónico se advierte, que el tema sobre el que este Órgano Garante de Transparencia y Acceso a la Información se pronunciará será: verificar si la respuesta otorgada por</w:t>
      </w:r>
      <w:r w:rsidRPr="005164B9">
        <w:rPr>
          <w:rFonts w:ascii="Palatino Linotype" w:eastAsia="Palatino Linotype" w:hAnsi="Palatino Linotype" w:cs="Palatino Linotype"/>
          <w:b/>
        </w:rPr>
        <w:t xml:space="preserve"> EL SUJETO OBLIGADO </w:t>
      </w:r>
      <w:r w:rsidRPr="005164B9">
        <w:rPr>
          <w:rFonts w:ascii="Palatino Linotype" w:eastAsia="Palatino Linotype" w:hAnsi="Palatino Linotype" w:cs="Palatino Linotype"/>
        </w:rPr>
        <w:t>es adecuada y suficiente para satisfacer el Derecho de Acceso a la Información Pública</w:t>
      </w:r>
      <w:r w:rsidRPr="005164B9">
        <w:rPr>
          <w:rFonts w:ascii="Palatino Linotype" w:eastAsia="Palatino Linotype" w:hAnsi="Palatino Linotype" w:cs="Palatino Linotype"/>
          <w:b/>
        </w:rPr>
        <w:t xml:space="preserve"> </w:t>
      </w:r>
      <w:r w:rsidRPr="005164B9">
        <w:rPr>
          <w:rFonts w:ascii="Palatino Linotype" w:eastAsia="Palatino Linotype" w:hAnsi="Palatino Linotype" w:cs="Palatino Linotype"/>
        </w:rPr>
        <w:t xml:space="preserve">de </w:t>
      </w:r>
      <w:r w:rsidRPr="005164B9">
        <w:rPr>
          <w:rFonts w:ascii="Palatino Linotype" w:eastAsia="Palatino Linotype" w:hAnsi="Palatino Linotype" w:cs="Palatino Linotype"/>
          <w:b/>
        </w:rPr>
        <w:t>LA PARTE RECURRENTE,</w:t>
      </w:r>
      <w:r w:rsidRPr="005164B9">
        <w:rPr>
          <w:rFonts w:ascii="Palatino Linotype" w:eastAsia="Palatino Linotype" w:hAnsi="Palatino Linotype" w:cs="Palatino Linotype"/>
        </w:rPr>
        <w:t xml:space="preserve"> o en su defecto, en caso de ser procedente, ordenar la entrega de información oportuna.</w:t>
      </w:r>
    </w:p>
    <w:p w14:paraId="5A876472" w14:textId="77777777" w:rsidR="00221903" w:rsidRPr="005164B9" w:rsidRDefault="00221903">
      <w:pPr>
        <w:spacing w:line="360" w:lineRule="auto"/>
        <w:jc w:val="both"/>
        <w:rPr>
          <w:rFonts w:ascii="Palatino Linotype" w:eastAsia="Palatino Linotype" w:hAnsi="Palatino Linotype" w:cs="Palatino Linotype"/>
        </w:rPr>
      </w:pPr>
    </w:p>
    <w:p w14:paraId="17255BE8" w14:textId="77777777" w:rsidR="00221903" w:rsidRPr="005164B9" w:rsidRDefault="006557AA">
      <w:pPr>
        <w:pBdr>
          <w:top w:val="nil"/>
          <w:left w:val="nil"/>
          <w:bottom w:val="nil"/>
          <w:right w:val="nil"/>
          <w:between w:val="nil"/>
        </w:pBd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b/>
        </w:rPr>
        <w:t xml:space="preserve">CUARTO. ESTUDIO DEL ASUNTO. </w:t>
      </w:r>
      <w:r w:rsidRPr="005164B9">
        <w:rPr>
          <w:rFonts w:ascii="Palatino Linotype" w:eastAsia="Palatino Linotype" w:hAnsi="Palatino Linotype" w:cs="Palatino Linotype"/>
        </w:rPr>
        <w:t xml:space="preserve">Antes de entrar al análisis de los pronunciamientos del </w:t>
      </w:r>
      <w:r w:rsidRPr="005164B9">
        <w:rPr>
          <w:rFonts w:ascii="Palatino Linotype" w:eastAsia="Palatino Linotype" w:hAnsi="Palatino Linotype" w:cs="Palatino Linotype"/>
          <w:b/>
        </w:rPr>
        <w:t>SUJETO OBLIGADO</w:t>
      </w:r>
      <w:r w:rsidRPr="005164B9">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w:t>
      </w:r>
      <w:r w:rsidRPr="005164B9">
        <w:rPr>
          <w:rFonts w:ascii="Palatino Linotype" w:eastAsia="Palatino Linotype" w:hAnsi="Palatino Linotype" w:cs="Palatino Linotype"/>
        </w:rPr>
        <w:lastRenderedPageBreak/>
        <w:t>arábigos 1 párrafos primero, segundo y tercero y 6 apartado A fracciones I, II, III, IV, V, VI y VII que a la letra señalan:</w:t>
      </w:r>
    </w:p>
    <w:p w14:paraId="0F439BBD"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rPr>
      </w:pPr>
    </w:p>
    <w:p w14:paraId="2FBA6DF0"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164B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E186695" w14:textId="77777777" w:rsidR="00221903" w:rsidRPr="005164B9" w:rsidRDefault="00221903"/>
    <w:p w14:paraId="2924262A"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164B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AD8F066" w14:textId="77777777" w:rsidR="00221903" w:rsidRPr="005164B9" w:rsidRDefault="00221903"/>
    <w:p w14:paraId="1F8B5C69"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rPr>
      </w:pPr>
      <w:r w:rsidRPr="005164B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164B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064FC97"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w:t>
      </w:r>
    </w:p>
    <w:p w14:paraId="7D3AFB87" w14:textId="77777777" w:rsidR="00221903" w:rsidRPr="005164B9" w:rsidRDefault="00221903"/>
    <w:p w14:paraId="5AD05F9B"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rPr>
      </w:pPr>
      <w:r w:rsidRPr="005164B9">
        <w:rPr>
          <w:rFonts w:ascii="Palatino Linotype" w:eastAsia="Palatino Linotype" w:hAnsi="Palatino Linotype" w:cs="Palatino Linotype"/>
          <w:b/>
          <w:i/>
          <w:sz w:val="22"/>
          <w:szCs w:val="22"/>
        </w:rPr>
        <w:t>Artículo 6o.</w:t>
      </w:r>
    </w:p>
    <w:p w14:paraId="06F09700"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rPr>
      </w:pPr>
      <w:r w:rsidRPr="005164B9">
        <w:rPr>
          <w:rFonts w:ascii="Palatino Linotype" w:eastAsia="Palatino Linotype" w:hAnsi="Palatino Linotype" w:cs="Palatino Linotype"/>
          <w:i/>
          <w:sz w:val="22"/>
          <w:szCs w:val="22"/>
        </w:rPr>
        <w:t>[...]</w:t>
      </w:r>
    </w:p>
    <w:p w14:paraId="56DD9EBC"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b/>
          <w:i/>
          <w:sz w:val="22"/>
          <w:szCs w:val="22"/>
        </w:rPr>
        <w:t xml:space="preserve">A. Para el ejercicio del derecho de acceso a la información, la Federación y </w:t>
      </w:r>
      <w:r w:rsidRPr="005164B9">
        <w:rPr>
          <w:rFonts w:ascii="Palatino Linotype" w:eastAsia="Palatino Linotype" w:hAnsi="Palatino Linotype" w:cs="Palatino Linotype"/>
          <w:b/>
          <w:i/>
          <w:sz w:val="22"/>
          <w:szCs w:val="22"/>
          <w:u w:val="single"/>
        </w:rPr>
        <w:t>las entidades federativas</w:t>
      </w:r>
      <w:r w:rsidRPr="005164B9">
        <w:rPr>
          <w:rFonts w:ascii="Palatino Linotype" w:eastAsia="Palatino Linotype" w:hAnsi="Palatino Linotype" w:cs="Palatino Linotype"/>
          <w:b/>
          <w:i/>
          <w:sz w:val="22"/>
          <w:szCs w:val="22"/>
        </w:rPr>
        <w:t>,</w:t>
      </w:r>
      <w:r w:rsidRPr="005164B9">
        <w:rPr>
          <w:rFonts w:ascii="Palatino Linotype" w:eastAsia="Palatino Linotype" w:hAnsi="Palatino Linotype" w:cs="Palatino Linotype"/>
          <w:i/>
          <w:sz w:val="22"/>
          <w:szCs w:val="22"/>
        </w:rPr>
        <w:t xml:space="preserve"> en el ámbito de sus respectivas competencias, se regirán por los siguientes principios y bases:</w:t>
      </w:r>
    </w:p>
    <w:p w14:paraId="0F1F73EF" w14:textId="77777777" w:rsidR="00221903" w:rsidRPr="005164B9" w:rsidRDefault="00221903"/>
    <w:p w14:paraId="44AF3EF0"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 </w:t>
      </w:r>
      <w:r w:rsidRPr="005164B9">
        <w:rPr>
          <w:rFonts w:ascii="Palatino Linotype" w:eastAsia="Palatino Linotype" w:hAnsi="Palatino Linotype" w:cs="Palatino Linotype"/>
          <w:b/>
          <w:i/>
          <w:sz w:val="22"/>
          <w:szCs w:val="22"/>
        </w:rPr>
        <w:t xml:space="preserve">I. </w:t>
      </w:r>
      <w:r w:rsidRPr="005164B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164B9">
        <w:rPr>
          <w:rFonts w:ascii="Palatino Linotype" w:eastAsia="Palatino Linotype" w:hAnsi="Palatino Linotype" w:cs="Palatino Linotype"/>
          <w:i/>
          <w:sz w:val="22"/>
          <w:szCs w:val="22"/>
        </w:rPr>
        <w:t xml:space="preserve"> Ejecutivo, Legislativo </w:t>
      </w:r>
      <w:r w:rsidRPr="005164B9">
        <w:rPr>
          <w:rFonts w:ascii="Palatino Linotype" w:eastAsia="Palatino Linotype" w:hAnsi="Palatino Linotype" w:cs="Palatino Linotype"/>
          <w:b/>
          <w:i/>
          <w:sz w:val="22"/>
          <w:szCs w:val="22"/>
          <w:u w:val="single"/>
        </w:rPr>
        <w:t>y Judicial</w:t>
      </w:r>
      <w:r w:rsidRPr="005164B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164B9">
        <w:rPr>
          <w:rFonts w:ascii="Palatino Linotype" w:eastAsia="Palatino Linotype" w:hAnsi="Palatino Linotype" w:cs="Palatino Linotype"/>
          <w:b/>
          <w:i/>
          <w:sz w:val="22"/>
          <w:szCs w:val="22"/>
        </w:rPr>
        <w:t>es pública y sólo podrá ser reservada temporalmente por razones de interés público y seguridad nacional,</w:t>
      </w:r>
      <w:r w:rsidRPr="005164B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w:t>
      </w:r>
      <w:r w:rsidRPr="005164B9">
        <w:rPr>
          <w:rFonts w:ascii="Palatino Linotype" w:eastAsia="Palatino Linotype" w:hAnsi="Palatino Linotype" w:cs="Palatino Linotype"/>
          <w:i/>
          <w:sz w:val="22"/>
          <w:szCs w:val="22"/>
        </w:rPr>
        <w:lastRenderedPageBreak/>
        <w:t>competencias o funciones, la ley determinará los supuestos específicos bajo los cuales procederá la declaración de inexistencia de la información.</w:t>
      </w:r>
    </w:p>
    <w:p w14:paraId="120E4FFD" w14:textId="77777777" w:rsidR="00221903" w:rsidRPr="005164B9" w:rsidRDefault="00221903"/>
    <w:p w14:paraId="4A1F455F"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164B9">
        <w:rPr>
          <w:rFonts w:ascii="Palatino Linotype" w:eastAsia="Palatino Linotype" w:hAnsi="Palatino Linotype" w:cs="Palatino Linotype"/>
          <w:i/>
          <w:sz w:val="22"/>
          <w:szCs w:val="22"/>
        </w:rPr>
        <w:t> </w:t>
      </w:r>
      <w:r w:rsidRPr="005164B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CB52AA6" w14:textId="77777777" w:rsidR="00221903" w:rsidRPr="005164B9" w:rsidRDefault="00221903"/>
    <w:p w14:paraId="3D31F3AD"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 </w:t>
      </w:r>
      <w:r w:rsidRPr="005164B9">
        <w:rPr>
          <w:rFonts w:ascii="Palatino Linotype" w:eastAsia="Palatino Linotype" w:hAnsi="Palatino Linotype" w:cs="Palatino Linotype"/>
          <w:b/>
          <w:i/>
          <w:sz w:val="22"/>
          <w:szCs w:val="22"/>
        </w:rPr>
        <w:t xml:space="preserve">III. </w:t>
      </w:r>
      <w:r w:rsidRPr="005164B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164B9">
        <w:rPr>
          <w:rFonts w:ascii="Palatino Linotype" w:eastAsia="Palatino Linotype" w:hAnsi="Palatino Linotype" w:cs="Palatino Linotype"/>
          <w:i/>
          <w:sz w:val="22"/>
          <w:szCs w:val="22"/>
        </w:rPr>
        <w:t xml:space="preserve"> a sus datos personales o a la rectificación de éstos.</w:t>
      </w:r>
    </w:p>
    <w:p w14:paraId="405E17BA" w14:textId="77777777" w:rsidR="00221903" w:rsidRPr="005164B9" w:rsidRDefault="00221903"/>
    <w:p w14:paraId="74C11947"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 </w:t>
      </w:r>
      <w:r w:rsidRPr="005164B9">
        <w:rPr>
          <w:rFonts w:ascii="Palatino Linotype" w:eastAsia="Palatino Linotype" w:hAnsi="Palatino Linotype" w:cs="Palatino Linotype"/>
          <w:b/>
          <w:i/>
          <w:sz w:val="22"/>
          <w:szCs w:val="22"/>
        </w:rPr>
        <w:t xml:space="preserve">IV. </w:t>
      </w:r>
      <w:r w:rsidRPr="005164B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EF3A969" w14:textId="77777777" w:rsidR="00221903" w:rsidRPr="005164B9" w:rsidRDefault="00221903"/>
    <w:p w14:paraId="54B6FB48"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b/>
          <w:i/>
          <w:sz w:val="22"/>
          <w:szCs w:val="22"/>
        </w:rPr>
        <w:t xml:space="preserve">V. </w:t>
      </w:r>
      <w:r w:rsidRPr="005164B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AD2E6B4" w14:textId="77777777" w:rsidR="00221903" w:rsidRPr="005164B9" w:rsidRDefault="00221903"/>
    <w:p w14:paraId="57E9504B"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 </w:t>
      </w:r>
      <w:r w:rsidRPr="005164B9">
        <w:rPr>
          <w:rFonts w:ascii="Palatino Linotype" w:eastAsia="Palatino Linotype" w:hAnsi="Palatino Linotype" w:cs="Palatino Linotype"/>
          <w:b/>
          <w:i/>
          <w:sz w:val="22"/>
          <w:szCs w:val="22"/>
        </w:rPr>
        <w:t xml:space="preserve">VI. </w:t>
      </w:r>
      <w:r w:rsidRPr="005164B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CBA4356" w14:textId="77777777" w:rsidR="00221903" w:rsidRPr="005164B9" w:rsidRDefault="00221903"/>
    <w:p w14:paraId="00B5F7EA"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 </w:t>
      </w:r>
      <w:r w:rsidRPr="005164B9">
        <w:rPr>
          <w:rFonts w:ascii="Palatino Linotype" w:eastAsia="Palatino Linotype" w:hAnsi="Palatino Linotype" w:cs="Palatino Linotype"/>
          <w:b/>
          <w:i/>
          <w:sz w:val="22"/>
          <w:szCs w:val="22"/>
        </w:rPr>
        <w:t xml:space="preserve">VII. </w:t>
      </w:r>
      <w:r w:rsidRPr="005164B9">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5FF46BED"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w:t>
      </w:r>
    </w:p>
    <w:p w14:paraId="3EDD4B79" w14:textId="77777777" w:rsidR="00221903" w:rsidRPr="005164B9" w:rsidRDefault="00221903"/>
    <w:p w14:paraId="4AA5473C" w14:textId="77777777" w:rsidR="00221903" w:rsidRPr="005164B9" w:rsidRDefault="006557AA">
      <w:pPr>
        <w:pBdr>
          <w:top w:val="nil"/>
          <w:left w:val="nil"/>
          <w:bottom w:val="nil"/>
          <w:right w:val="nil"/>
          <w:between w:val="nil"/>
        </w:pBd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w:t>
      </w:r>
      <w:r w:rsidRPr="005164B9">
        <w:rPr>
          <w:rFonts w:ascii="Palatino Linotype" w:eastAsia="Palatino Linotype" w:hAnsi="Palatino Linotype" w:cs="Palatino Linotype"/>
        </w:rPr>
        <w:lastRenderedPageBreak/>
        <w:t>privilegiando el principio de máxima publicidad, como así lo establece dicha determinación, que a continuación se transcribe para un mejor entendimiento:</w:t>
      </w:r>
    </w:p>
    <w:p w14:paraId="41AAA050"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49D4FCE5"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b/>
          <w:i/>
          <w:sz w:val="22"/>
          <w:szCs w:val="22"/>
        </w:rPr>
        <w:t>Artículo 4</w:t>
      </w:r>
      <w:r w:rsidRPr="005164B9">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0AF6C33F" w14:textId="77777777" w:rsidR="00221903" w:rsidRPr="005164B9" w:rsidRDefault="00221903"/>
    <w:p w14:paraId="37AD0A80"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164B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4789656" w14:textId="77777777" w:rsidR="00221903" w:rsidRPr="005164B9" w:rsidRDefault="00221903"/>
    <w:p w14:paraId="212C1FCF"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4CD1560" w14:textId="77777777" w:rsidR="00221903" w:rsidRPr="005164B9" w:rsidRDefault="00221903">
      <w:pPr>
        <w:pBdr>
          <w:top w:val="nil"/>
          <w:left w:val="nil"/>
          <w:bottom w:val="nil"/>
          <w:right w:val="nil"/>
          <w:between w:val="nil"/>
        </w:pBdr>
        <w:spacing w:line="360" w:lineRule="auto"/>
        <w:jc w:val="both"/>
        <w:rPr>
          <w:rFonts w:ascii="Palatino Linotype" w:eastAsia="Palatino Linotype" w:hAnsi="Palatino Linotype" w:cs="Palatino Linotype"/>
        </w:rPr>
      </w:pPr>
    </w:p>
    <w:p w14:paraId="3AB9E129" w14:textId="77777777" w:rsidR="00221903" w:rsidRPr="005164B9" w:rsidRDefault="006557AA">
      <w:pPr>
        <w:pBdr>
          <w:top w:val="nil"/>
          <w:left w:val="nil"/>
          <w:bottom w:val="nil"/>
          <w:right w:val="nil"/>
          <w:between w:val="nil"/>
        </w:pBd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7FFC135" w14:textId="77777777" w:rsidR="00221903" w:rsidRPr="005164B9" w:rsidRDefault="00221903">
      <w:pPr>
        <w:pBdr>
          <w:top w:val="nil"/>
          <w:left w:val="nil"/>
          <w:bottom w:val="nil"/>
          <w:right w:val="nil"/>
          <w:between w:val="nil"/>
        </w:pBdr>
        <w:ind w:left="864" w:right="864"/>
        <w:jc w:val="both"/>
        <w:rPr>
          <w:i/>
        </w:rPr>
      </w:pPr>
    </w:p>
    <w:p w14:paraId="79A3C386"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b/>
          <w:i/>
          <w:sz w:val="22"/>
          <w:szCs w:val="22"/>
        </w:rPr>
        <w:t>Artículo 12</w:t>
      </w:r>
      <w:r w:rsidRPr="005164B9">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1A90F181" w14:textId="77777777" w:rsidR="00221903" w:rsidRPr="005164B9" w:rsidRDefault="00221903">
      <w:pPr>
        <w:pBdr>
          <w:top w:val="nil"/>
          <w:left w:val="nil"/>
          <w:bottom w:val="nil"/>
          <w:right w:val="nil"/>
          <w:between w:val="nil"/>
        </w:pBdr>
        <w:ind w:left="864" w:right="864"/>
        <w:jc w:val="both"/>
        <w:rPr>
          <w:i/>
        </w:rPr>
      </w:pPr>
    </w:p>
    <w:p w14:paraId="458DA539"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60860DC" w14:textId="77777777" w:rsidR="00221903" w:rsidRPr="005164B9" w:rsidRDefault="00221903">
      <w:pPr>
        <w:pBdr>
          <w:top w:val="nil"/>
          <w:left w:val="nil"/>
          <w:bottom w:val="nil"/>
          <w:right w:val="nil"/>
          <w:between w:val="nil"/>
        </w:pBdr>
        <w:ind w:left="864" w:right="864"/>
        <w:jc w:val="both"/>
        <w:rPr>
          <w:i/>
        </w:rPr>
      </w:pPr>
    </w:p>
    <w:p w14:paraId="6A78BA00" w14:textId="77777777" w:rsidR="00221903" w:rsidRPr="005164B9" w:rsidRDefault="006557AA">
      <w:pPr>
        <w:pBdr>
          <w:top w:val="nil"/>
          <w:left w:val="nil"/>
          <w:bottom w:val="nil"/>
          <w:right w:val="nil"/>
          <w:between w:val="nil"/>
        </w:pBd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5164B9">
        <w:rPr>
          <w:rFonts w:ascii="Palatino Linotype" w:eastAsia="Palatino Linotype" w:hAnsi="Palatino Linotype" w:cs="Palatino Linotype"/>
          <w:b/>
        </w:rPr>
        <w:t xml:space="preserve"> </w:t>
      </w:r>
      <w:r w:rsidRPr="005164B9">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5164B9">
        <w:rPr>
          <w:rFonts w:ascii="Palatino Linotype" w:eastAsia="Palatino Linotype" w:hAnsi="Palatino Linotype" w:cs="Palatino Linotype"/>
          <w:i/>
        </w:rPr>
        <w:t>ad hoc</w:t>
      </w:r>
      <w:r w:rsidRPr="005164B9">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34848949" w14:textId="77777777" w:rsidR="00221903" w:rsidRPr="005164B9" w:rsidRDefault="00221903">
      <w:pPr>
        <w:pBdr>
          <w:top w:val="nil"/>
          <w:left w:val="nil"/>
          <w:bottom w:val="nil"/>
          <w:right w:val="nil"/>
          <w:between w:val="nil"/>
        </w:pBdr>
        <w:spacing w:line="360" w:lineRule="auto"/>
        <w:jc w:val="both"/>
      </w:pPr>
    </w:p>
    <w:p w14:paraId="5B9395F3"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03/17</w:t>
      </w:r>
    </w:p>
    <w:p w14:paraId="47EC82B6"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NO EXISTE OBLIGACIÓN DE ELABORAR DOCUMENTOS AD HOC PARA ATENDER LAS SOLICITUDES DE ACCESO A LA INFORMACIÓN.</w:t>
      </w:r>
    </w:p>
    <w:p w14:paraId="575F6E7C"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31E7A3F"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3446547" w14:textId="77777777" w:rsidR="00221903" w:rsidRPr="005164B9" w:rsidRDefault="006557AA">
      <w:pPr>
        <w:pBdr>
          <w:top w:val="nil"/>
          <w:left w:val="nil"/>
          <w:bottom w:val="nil"/>
          <w:right w:val="nil"/>
          <w:between w:val="nil"/>
        </w:pBd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Por otra parte, y aunado a lo antepuesto, el último párrafo del artículo 24 de la Ley de la materia, dispone que los Sujetos Obligados solo proporcionarán la información </w:t>
      </w:r>
      <w:r w:rsidRPr="005164B9">
        <w:rPr>
          <w:rFonts w:ascii="Palatino Linotype" w:eastAsia="Palatino Linotype" w:hAnsi="Palatino Linotype" w:cs="Palatino Linotype"/>
        </w:rPr>
        <w:lastRenderedPageBreak/>
        <w:t>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1EE3CF2" w14:textId="77777777" w:rsidR="00221903" w:rsidRPr="005164B9" w:rsidRDefault="00221903">
      <w:pPr>
        <w:pBdr>
          <w:top w:val="nil"/>
          <w:left w:val="nil"/>
          <w:bottom w:val="nil"/>
          <w:right w:val="nil"/>
          <w:between w:val="nil"/>
        </w:pBdr>
        <w:spacing w:line="360" w:lineRule="auto"/>
        <w:jc w:val="both"/>
      </w:pPr>
    </w:p>
    <w:p w14:paraId="1BA4ECD4" w14:textId="77777777" w:rsidR="00221903" w:rsidRPr="005164B9" w:rsidRDefault="006557AA">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5164B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11E3D7C" w14:textId="77777777" w:rsidR="00221903" w:rsidRPr="005164B9" w:rsidRDefault="00221903">
      <w:pPr>
        <w:pBdr>
          <w:top w:val="nil"/>
          <w:left w:val="nil"/>
          <w:bottom w:val="nil"/>
          <w:right w:val="nil"/>
          <w:between w:val="nil"/>
        </w:pBdr>
        <w:spacing w:line="360" w:lineRule="auto"/>
        <w:ind w:right="49"/>
        <w:jc w:val="both"/>
      </w:pPr>
    </w:p>
    <w:p w14:paraId="202987EE" w14:textId="77777777" w:rsidR="00221903" w:rsidRPr="005164B9" w:rsidRDefault="006557AA">
      <w:pPr>
        <w:pBdr>
          <w:top w:val="nil"/>
          <w:left w:val="nil"/>
          <w:bottom w:val="nil"/>
          <w:right w:val="nil"/>
          <w:between w:val="nil"/>
        </w:pBd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4506CAE" w14:textId="77777777" w:rsidR="00221903" w:rsidRPr="005164B9" w:rsidRDefault="00221903">
      <w:pPr>
        <w:pBdr>
          <w:top w:val="nil"/>
          <w:left w:val="nil"/>
          <w:bottom w:val="nil"/>
          <w:right w:val="nil"/>
          <w:between w:val="nil"/>
        </w:pBdr>
        <w:spacing w:line="360" w:lineRule="auto"/>
        <w:jc w:val="both"/>
        <w:rPr>
          <w:rFonts w:ascii="Palatino Linotype" w:eastAsia="Palatino Linotype" w:hAnsi="Palatino Linotype" w:cs="Palatino Linotype"/>
        </w:rPr>
      </w:pPr>
    </w:p>
    <w:p w14:paraId="4C664A65"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b/>
          <w:i/>
          <w:sz w:val="22"/>
          <w:szCs w:val="22"/>
        </w:rPr>
        <w:t xml:space="preserve">Artículo 3. </w:t>
      </w:r>
      <w:r w:rsidRPr="005164B9">
        <w:rPr>
          <w:rFonts w:ascii="Palatino Linotype" w:eastAsia="Palatino Linotype" w:hAnsi="Palatino Linotype" w:cs="Palatino Linotype"/>
          <w:i/>
          <w:sz w:val="22"/>
          <w:szCs w:val="22"/>
        </w:rPr>
        <w:t>Para los efectos de la presente Ley se entenderá por:</w:t>
      </w:r>
    </w:p>
    <w:p w14:paraId="0B40CFD9"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w:t>
      </w:r>
    </w:p>
    <w:p w14:paraId="5072726D"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b/>
          <w:i/>
          <w:sz w:val="22"/>
          <w:szCs w:val="22"/>
        </w:rPr>
        <w:lastRenderedPageBreak/>
        <w:t>XI. Documento:</w:t>
      </w:r>
      <w:r w:rsidRPr="005164B9">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19C9B16"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b/>
          <w:i/>
          <w:sz w:val="22"/>
          <w:szCs w:val="22"/>
        </w:rPr>
        <w:t>(…</w:t>
      </w:r>
      <w:r w:rsidRPr="005164B9">
        <w:rPr>
          <w:rFonts w:ascii="Palatino Linotype" w:eastAsia="Palatino Linotype" w:hAnsi="Palatino Linotype" w:cs="Palatino Linotype"/>
          <w:i/>
          <w:sz w:val="22"/>
          <w:szCs w:val="22"/>
        </w:rPr>
        <w:t>)</w:t>
      </w:r>
    </w:p>
    <w:p w14:paraId="7FF66C83"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BADCF68" w14:textId="77777777" w:rsidR="00221903" w:rsidRPr="005164B9" w:rsidRDefault="006557AA">
      <w:pPr>
        <w:pBdr>
          <w:top w:val="nil"/>
          <w:left w:val="nil"/>
          <w:bottom w:val="nil"/>
          <w:right w:val="nil"/>
          <w:between w:val="nil"/>
        </w:pBdr>
        <w:spacing w:line="360" w:lineRule="auto"/>
        <w:jc w:val="both"/>
      </w:pPr>
      <w:r w:rsidRPr="005164B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5FA9F53"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ABF0520"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CRITERIO 0002-11</w:t>
      </w:r>
    </w:p>
    <w:p w14:paraId="4D346B86"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0DD7C8"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11C0746"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B4FC666"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2E7AF2DA"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3DC3523A" w14:textId="77777777" w:rsidR="00221903" w:rsidRPr="005164B9" w:rsidRDefault="00221903">
      <w:pPr>
        <w:pBdr>
          <w:top w:val="nil"/>
          <w:left w:val="nil"/>
          <w:bottom w:val="nil"/>
          <w:right w:val="nil"/>
          <w:between w:val="nil"/>
        </w:pBdr>
        <w:spacing w:line="360" w:lineRule="auto"/>
        <w:jc w:val="both"/>
        <w:rPr>
          <w:rFonts w:ascii="Palatino Linotype" w:eastAsia="Palatino Linotype" w:hAnsi="Palatino Linotype" w:cs="Palatino Linotype"/>
        </w:rPr>
      </w:pPr>
    </w:p>
    <w:p w14:paraId="09363FAC" w14:textId="77777777" w:rsidR="00221903" w:rsidRPr="005164B9" w:rsidRDefault="006557AA">
      <w:pPr>
        <w:pBdr>
          <w:top w:val="nil"/>
          <w:left w:val="nil"/>
          <w:bottom w:val="nil"/>
          <w:right w:val="nil"/>
          <w:between w:val="nil"/>
        </w:pBd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lastRenderedPageBreak/>
        <w:t xml:space="preserve">De ahí que </w:t>
      </w:r>
      <w:r w:rsidRPr="005164B9">
        <w:rPr>
          <w:rFonts w:ascii="Palatino Linotype" w:eastAsia="Palatino Linotype" w:hAnsi="Palatino Linotype" w:cs="Palatino Linotype"/>
          <w:b/>
        </w:rPr>
        <w:t>EL SUJETO OBLIGADO</w:t>
      </w:r>
      <w:r w:rsidRPr="005164B9">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013554F2" w14:textId="77777777" w:rsidR="00221903" w:rsidRPr="005164B9" w:rsidRDefault="00221903">
      <w:pPr>
        <w:pBdr>
          <w:top w:val="nil"/>
          <w:left w:val="nil"/>
          <w:bottom w:val="nil"/>
          <w:right w:val="nil"/>
          <w:between w:val="nil"/>
        </w:pBdr>
        <w:spacing w:line="360" w:lineRule="auto"/>
        <w:jc w:val="both"/>
        <w:rPr>
          <w:rFonts w:ascii="Palatino Linotype" w:eastAsia="Palatino Linotype" w:hAnsi="Palatino Linotype" w:cs="Palatino Linotype"/>
        </w:rPr>
      </w:pPr>
    </w:p>
    <w:p w14:paraId="760888E0" w14:textId="77777777" w:rsidR="00221903" w:rsidRPr="005164B9" w:rsidRDefault="006557AA">
      <w:pPr>
        <w:pBdr>
          <w:top w:val="nil"/>
          <w:left w:val="nil"/>
          <w:bottom w:val="nil"/>
          <w:right w:val="nil"/>
          <w:between w:val="nil"/>
        </w:pBd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Apuntado lo anterior y del análisis de la solicitud de información </w:t>
      </w:r>
      <w:r w:rsidRPr="005164B9">
        <w:rPr>
          <w:rFonts w:ascii="Palatino Linotype" w:eastAsia="Palatino Linotype" w:hAnsi="Palatino Linotype" w:cs="Palatino Linotype"/>
          <w:b/>
        </w:rPr>
        <w:t>00015/MELOCAM/IP/2023</w:t>
      </w:r>
      <w:r w:rsidRPr="005164B9">
        <w:rPr>
          <w:rFonts w:ascii="Palatino Linotype" w:eastAsia="Palatino Linotype" w:hAnsi="Palatino Linotype" w:cs="Palatino Linotype"/>
        </w:rPr>
        <w:t xml:space="preserve">, motivo del recurso de revisión que ahora se resuelve, se advierte que </w:t>
      </w:r>
      <w:r w:rsidRPr="005164B9">
        <w:rPr>
          <w:rFonts w:ascii="Palatino Linotype" w:eastAsia="Palatino Linotype" w:hAnsi="Palatino Linotype" w:cs="Palatino Linotype"/>
          <w:b/>
        </w:rPr>
        <w:t>LA PARTE RECURRENTE</w:t>
      </w:r>
      <w:r w:rsidRPr="005164B9">
        <w:rPr>
          <w:rFonts w:ascii="Palatino Linotype" w:eastAsia="Palatino Linotype" w:hAnsi="Palatino Linotype" w:cs="Palatino Linotype"/>
        </w:rPr>
        <w:t xml:space="preserve"> requirió al </w:t>
      </w:r>
      <w:r w:rsidRPr="005164B9">
        <w:rPr>
          <w:rFonts w:ascii="Palatino Linotype" w:eastAsia="Palatino Linotype" w:hAnsi="Palatino Linotype" w:cs="Palatino Linotype"/>
          <w:b/>
        </w:rPr>
        <w:t>SUJETO OBLIGADO</w:t>
      </w:r>
      <w:r w:rsidRPr="005164B9">
        <w:rPr>
          <w:rFonts w:ascii="Palatino Linotype" w:eastAsia="Palatino Linotype" w:hAnsi="Palatino Linotype" w:cs="Palatino Linotype"/>
        </w:rPr>
        <w:t xml:space="preserve"> le proporcionara información consistente en lo siguiente:</w:t>
      </w:r>
    </w:p>
    <w:p w14:paraId="4077E5B9" w14:textId="77777777" w:rsidR="00221903" w:rsidRPr="005164B9" w:rsidRDefault="00221903">
      <w:pPr>
        <w:pBdr>
          <w:top w:val="nil"/>
          <w:left w:val="nil"/>
          <w:bottom w:val="nil"/>
          <w:right w:val="nil"/>
          <w:between w:val="nil"/>
        </w:pBdr>
        <w:spacing w:line="360" w:lineRule="auto"/>
        <w:jc w:val="both"/>
        <w:rPr>
          <w:rFonts w:ascii="Palatino Linotype" w:eastAsia="Palatino Linotype" w:hAnsi="Palatino Linotype" w:cs="Palatino Linotype"/>
        </w:rPr>
      </w:pPr>
    </w:p>
    <w:p w14:paraId="52B4C23F" w14:textId="77777777" w:rsidR="00221903" w:rsidRPr="005164B9" w:rsidRDefault="006557AA">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Declaraciones patrimoniales, de intereses y cualquiera diversa que deban realizar en ejercicio de sus funciones de los regidores Israel Ávila Navarrete, Fany Trujillo Espinoza y Brisa Escalona. </w:t>
      </w:r>
    </w:p>
    <w:p w14:paraId="7B8CD522" w14:textId="77777777" w:rsidR="00221903" w:rsidRPr="005164B9" w:rsidRDefault="00221903">
      <w:pPr>
        <w:spacing w:line="360" w:lineRule="auto"/>
        <w:ind w:right="51"/>
        <w:jc w:val="both"/>
        <w:rPr>
          <w:rFonts w:ascii="Palatino Linotype" w:eastAsia="Palatino Linotype" w:hAnsi="Palatino Linotype" w:cs="Palatino Linotype"/>
        </w:rPr>
      </w:pPr>
    </w:p>
    <w:p w14:paraId="64D968EB" w14:textId="77777777" w:rsidR="00221903" w:rsidRPr="005164B9" w:rsidRDefault="006557AA">
      <w:pPr>
        <w:spacing w:line="360" w:lineRule="auto"/>
        <w:ind w:right="51"/>
        <w:jc w:val="both"/>
        <w:rPr>
          <w:rFonts w:ascii="Palatino Linotype" w:eastAsia="Palatino Linotype" w:hAnsi="Palatino Linotype" w:cs="Palatino Linotype"/>
          <w:i/>
        </w:rPr>
      </w:pPr>
      <w:r w:rsidRPr="005164B9">
        <w:rPr>
          <w:rFonts w:ascii="Palatino Linotype" w:eastAsia="Palatino Linotype" w:hAnsi="Palatino Linotype" w:cs="Palatino Linotype"/>
        </w:rPr>
        <w:t xml:space="preserve">Como se hizo constar en el Antecedente número dos de esta Resolución, </w:t>
      </w:r>
      <w:r w:rsidRPr="005164B9">
        <w:rPr>
          <w:rFonts w:ascii="Palatino Linotype" w:eastAsia="Palatino Linotype" w:hAnsi="Palatino Linotype" w:cs="Palatino Linotype"/>
          <w:b/>
        </w:rPr>
        <w:t>EL SUJETO OBLIGADO</w:t>
      </w:r>
      <w:r w:rsidRPr="005164B9">
        <w:rPr>
          <w:rFonts w:ascii="Palatino Linotype" w:eastAsia="Palatino Linotype" w:hAnsi="Palatino Linotype" w:cs="Palatino Linotype"/>
        </w:rPr>
        <w:t xml:space="preserve"> mediante su respuesta primigenia, informó a </w:t>
      </w:r>
      <w:r w:rsidRPr="005164B9">
        <w:rPr>
          <w:rFonts w:ascii="Palatino Linotype" w:eastAsia="Palatino Linotype" w:hAnsi="Palatino Linotype" w:cs="Palatino Linotype"/>
          <w:b/>
        </w:rPr>
        <w:t>LA PARTE RECURRENTE</w:t>
      </w:r>
      <w:r w:rsidRPr="005164B9">
        <w:rPr>
          <w:rFonts w:ascii="Palatino Linotype" w:eastAsia="Palatino Linotype" w:hAnsi="Palatino Linotype" w:cs="Palatino Linotype"/>
        </w:rPr>
        <w:t xml:space="preserve"> que </w:t>
      </w:r>
      <w:r w:rsidRPr="005164B9">
        <w:rPr>
          <w:rFonts w:ascii="Palatino Linotype" w:eastAsia="Palatino Linotype" w:hAnsi="Palatino Linotype" w:cs="Palatino Linotype"/>
          <w:i/>
        </w:rPr>
        <w:t xml:space="preserve">“… requirió a la Contraloría Interna Municipal a efecto de llevar a cabo la búsqueda de la información solicitada, esto por ser la Dependencia que pudiera conocer del asunto, así pues, a través de su atento CIM/MO/042/2023 dirigido a quien le suscribe y que se adjunta al presente, comunicó que no cuenta con la información </w:t>
      </w:r>
      <w:r w:rsidRPr="005164B9">
        <w:rPr>
          <w:rFonts w:ascii="Palatino Linotype" w:eastAsia="Palatino Linotype" w:hAnsi="Palatino Linotype" w:cs="Palatino Linotype"/>
          <w:i/>
        </w:rPr>
        <w:lastRenderedPageBreak/>
        <w:t xml:space="preserve">correspondiente a las Declaraciones Patrimoniales y de Intereses de los servidores públicos referidos, además, manifestó no ser competente para conocer del asunto. Es de resaltar que el tema en cuestión cuenta con un antecedente en el que, en su momento, y previo análisis, el Comité de Transparencia determinó Confirmar la Declaratoria de Incompetencia del Sujeto Obligado para conocer de las declaraciones patrimoniales de los servidores públicos adscritos al Ayuntamiento de Melchor Ocampo, Estado de México, propuesta hecha por la Contraloría Interna Municipal en la Decimoprimera Sesión con carácter de Extraordinaria celebrada en fecha 12 de octubre de 2022, de la cual se obtuvo el Acuerdo número 013/MELOCAMP/CT/CM/2022, en el que se describen a detalle, de manera fundada y motivada, los motivos y/o circunstancias de tal determinación. (se adjunta al presente) Así pues, le informo que no estamos en posibilidad de atender positivamente a su requerimiento de información, no obstante, le comento que se dejan a salvo sus derechos a efecto de que de considerarlo pertinente realice de nueva cuenta la solicitud objeto del presente al Sujeto Obligado competente (Secretaría de la Contraloría)” (Sic). </w:t>
      </w:r>
    </w:p>
    <w:p w14:paraId="039AEB0C" w14:textId="77777777" w:rsidR="00221903" w:rsidRPr="005164B9" w:rsidRDefault="00221903">
      <w:pPr>
        <w:spacing w:line="360" w:lineRule="auto"/>
        <w:ind w:right="51"/>
        <w:jc w:val="both"/>
        <w:rPr>
          <w:rFonts w:ascii="Palatino Linotype" w:eastAsia="Palatino Linotype" w:hAnsi="Palatino Linotype" w:cs="Palatino Linotype"/>
          <w:i/>
        </w:rPr>
      </w:pPr>
    </w:p>
    <w:p w14:paraId="6937DF82" w14:textId="77777777" w:rsidR="00221903" w:rsidRPr="005164B9" w:rsidRDefault="006557AA">
      <w:pPr>
        <w:spacing w:line="360" w:lineRule="auto"/>
        <w:ind w:right="51"/>
        <w:jc w:val="both"/>
        <w:rPr>
          <w:rFonts w:ascii="Palatino Linotype" w:eastAsia="Palatino Linotype" w:hAnsi="Palatino Linotype" w:cs="Palatino Linotype"/>
          <w:i/>
        </w:rPr>
      </w:pPr>
      <w:r w:rsidRPr="005164B9">
        <w:rPr>
          <w:rFonts w:ascii="Palatino Linotype" w:eastAsia="Palatino Linotype" w:hAnsi="Palatino Linotype" w:cs="Palatino Linotype"/>
        </w:rPr>
        <w:t xml:space="preserve">Ante tales consideraciones </w:t>
      </w:r>
      <w:r w:rsidRPr="005164B9">
        <w:rPr>
          <w:rFonts w:ascii="Palatino Linotype" w:eastAsia="Palatino Linotype" w:hAnsi="Palatino Linotype" w:cs="Palatino Linotype"/>
          <w:b/>
        </w:rPr>
        <w:t>LA PARTE RECURRENTE</w:t>
      </w:r>
      <w:r w:rsidRPr="005164B9">
        <w:rPr>
          <w:rFonts w:ascii="Palatino Linotype" w:eastAsia="Palatino Linotype" w:hAnsi="Palatino Linotype" w:cs="Palatino Linotype"/>
        </w:rPr>
        <w:t xml:space="preserve"> accede a este medio de defensa, manifestándose por </w:t>
      </w:r>
      <w:r w:rsidRPr="005164B9">
        <w:rPr>
          <w:rFonts w:ascii="Palatino Linotype" w:eastAsia="Palatino Linotype" w:hAnsi="Palatino Linotype" w:cs="Palatino Linotype"/>
          <w:i/>
        </w:rPr>
        <w:t xml:space="preserve">“… un acuerdo fuera de tiempo establecido por la ley, acuerdo incompleto, falta de fundamentos, señalan otra solicitud y no se pronuncia por la totalidad de las declaraciones que se deben hacer en el ejercicio de sus funciones…” (Sic). </w:t>
      </w:r>
    </w:p>
    <w:p w14:paraId="1F866841" w14:textId="77777777" w:rsidR="00221903" w:rsidRPr="005164B9" w:rsidRDefault="00221903">
      <w:pPr>
        <w:spacing w:line="360" w:lineRule="auto"/>
        <w:ind w:right="51"/>
        <w:jc w:val="both"/>
        <w:rPr>
          <w:rFonts w:ascii="Palatino Linotype" w:eastAsia="Palatino Linotype" w:hAnsi="Palatino Linotype" w:cs="Palatino Linotype"/>
          <w:i/>
        </w:rPr>
      </w:pPr>
    </w:p>
    <w:p w14:paraId="025A39EB" w14:textId="77777777" w:rsidR="00221903" w:rsidRPr="005164B9" w:rsidRDefault="006557AA">
      <w:pPr>
        <w:spacing w:line="360" w:lineRule="auto"/>
        <w:ind w:right="51"/>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Este Instituto de Transparencia concentrará su atención en resolver si las consideraciones vertidas por </w:t>
      </w:r>
      <w:r w:rsidRPr="005164B9">
        <w:rPr>
          <w:rFonts w:ascii="Palatino Linotype" w:eastAsia="Palatino Linotype" w:hAnsi="Palatino Linotype" w:cs="Palatino Linotype"/>
          <w:b/>
        </w:rPr>
        <w:t>EL SUJETO OBLIGADO</w:t>
      </w:r>
      <w:r w:rsidRPr="005164B9">
        <w:rPr>
          <w:rFonts w:ascii="Palatino Linotype" w:eastAsia="Palatino Linotype" w:hAnsi="Palatino Linotype" w:cs="Palatino Linotype"/>
        </w:rPr>
        <w:t xml:space="preserve"> son susceptibles de considerarse válidas, o en consecuencia, ordenar lo que a Derecho proceda, y en tal entendido, es dable verificar el Marco Normativo con el que cuenta el </w:t>
      </w:r>
      <w:r w:rsidRPr="005164B9">
        <w:rPr>
          <w:rFonts w:ascii="Palatino Linotype" w:eastAsia="Palatino Linotype" w:hAnsi="Palatino Linotype" w:cs="Palatino Linotype"/>
        </w:rPr>
        <w:lastRenderedPageBreak/>
        <w:t xml:space="preserve">Ayuntamiento de Melchor Ocampo para hacer frente a la solicitud de acceso a la información recurrida en este medio de impugnación: </w:t>
      </w:r>
    </w:p>
    <w:p w14:paraId="5A6C979A" w14:textId="77777777" w:rsidR="00221903" w:rsidRPr="005164B9" w:rsidRDefault="006557AA">
      <w:pPr>
        <w:spacing w:line="360" w:lineRule="auto"/>
        <w:ind w:right="51"/>
        <w:jc w:val="both"/>
        <w:rPr>
          <w:rFonts w:ascii="Palatino Linotype" w:eastAsia="Palatino Linotype" w:hAnsi="Palatino Linotype" w:cs="Palatino Linotype"/>
          <w:b/>
        </w:rPr>
      </w:pPr>
      <w:r w:rsidRPr="005164B9">
        <w:rPr>
          <w:rFonts w:ascii="Palatino Linotype" w:eastAsia="Palatino Linotype" w:hAnsi="Palatino Linotype" w:cs="Palatino Linotype"/>
          <w:b/>
        </w:rPr>
        <w:t xml:space="preserve">Marco Normativo aplicable: </w:t>
      </w:r>
    </w:p>
    <w:p w14:paraId="1300E7BC"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4C6DA49"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LEY ORGÁNICA DE LA ADMINISTRACIÓN PÚBLICA DEL ESTADO DE MÉXICO</w:t>
      </w:r>
    </w:p>
    <w:p w14:paraId="7BB0E4D4"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CAPITULO TERCERO De la Competencia de las Dependencias del Ejecutivo</w:t>
      </w:r>
    </w:p>
    <w:p w14:paraId="4C478FB4"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164B9">
        <w:rPr>
          <w:rFonts w:ascii="Palatino Linotype" w:eastAsia="Palatino Linotype" w:hAnsi="Palatino Linotype" w:cs="Palatino Linotype"/>
          <w:i/>
          <w:sz w:val="22"/>
          <w:szCs w:val="22"/>
        </w:rPr>
        <w:t xml:space="preserve">Artículo 38 bis. </w:t>
      </w:r>
      <w:r w:rsidRPr="005164B9">
        <w:rPr>
          <w:rFonts w:ascii="Palatino Linotype" w:eastAsia="Palatino Linotype" w:hAnsi="Palatino Linotype" w:cs="Palatino Linotype"/>
          <w:b/>
          <w:i/>
          <w:sz w:val="22"/>
          <w:szCs w:val="22"/>
        </w:rPr>
        <w:t>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p>
    <w:p w14:paraId="7060BB70"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A la propia Secretaría, le corresponde el despacho de los siguientes asuntos:</w:t>
      </w:r>
    </w:p>
    <w:p w14:paraId="4A03A9BA"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w:t>
      </w:r>
    </w:p>
    <w:p w14:paraId="09933019"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 xml:space="preserve">XVII. </w:t>
      </w:r>
      <w:r w:rsidRPr="005164B9">
        <w:rPr>
          <w:rFonts w:ascii="Palatino Linotype" w:eastAsia="Palatino Linotype" w:hAnsi="Palatino Linotype" w:cs="Palatino Linotype"/>
          <w:b/>
          <w:i/>
          <w:sz w:val="22"/>
          <w:szCs w:val="22"/>
        </w:rPr>
        <w:t>Recibir y registrar la declaración de situación patrimonial, la declaración de intereses, la presentación de la constancia de declaración fiscal y determinar el Conflicto de Intereses de los servidores públicos del Estado y municipios,</w:t>
      </w:r>
      <w:r w:rsidRPr="005164B9">
        <w:rPr>
          <w:rFonts w:ascii="Palatino Linotype" w:eastAsia="Palatino Linotype" w:hAnsi="Palatino Linotype" w:cs="Palatino Linotype"/>
          <w:i/>
          <w:sz w:val="22"/>
          <w:szCs w:val="22"/>
        </w:rPr>
        <w:t xml:space="preserve">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p>
    <w:p w14:paraId="6EA8D54B"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w:t>
      </w:r>
    </w:p>
    <w:p w14:paraId="5E0B9083" w14:textId="77777777" w:rsidR="00221903" w:rsidRPr="005164B9" w:rsidRDefault="00221903">
      <w:pPr>
        <w:pBdr>
          <w:top w:val="nil"/>
          <w:left w:val="nil"/>
          <w:bottom w:val="nil"/>
          <w:right w:val="nil"/>
          <w:between w:val="nil"/>
        </w:pBdr>
        <w:ind w:right="864"/>
        <w:jc w:val="both"/>
        <w:rPr>
          <w:rFonts w:ascii="Palatino Linotype" w:eastAsia="Palatino Linotype" w:hAnsi="Palatino Linotype" w:cs="Palatino Linotype"/>
          <w:i/>
          <w:sz w:val="22"/>
          <w:szCs w:val="22"/>
        </w:rPr>
      </w:pPr>
    </w:p>
    <w:p w14:paraId="7CB3CB93"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El precepto legal invocado es fundamental para determinar que efectivamente al</w:t>
      </w:r>
      <w:r w:rsidRPr="005164B9">
        <w:rPr>
          <w:rFonts w:ascii="Palatino Linotype" w:eastAsia="Palatino Linotype" w:hAnsi="Palatino Linotype" w:cs="Palatino Linotype"/>
          <w:b/>
        </w:rPr>
        <w:t xml:space="preserve"> SUJETO OBLIGADO</w:t>
      </w:r>
      <w:r w:rsidRPr="005164B9">
        <w:rPr>
          <w:rFonts w:ascii="Palatino Linotype" w:eastAsia="Palatino Linotype" w:hAnsi="Palatino Linotype" w:cs="Palatino Linotype"/>
        </w:rPr>
        <w:t xml:space="preserve"> le asiste la razón, pues no es competente para dar contestación a la solicitud de información de folio </w:t>
      </w:r>
      <w:r w:rsidRPr="005164B9">
        <w:rPr>
          <w:rFonts w:ascii="Palatino Linotype" w:eastAsia="Palatino Linotype" w:hAnsi="Palatino Linotype" w:cs="Palatino Linotype"/>
          <w:b/>
        </w:rPr>
        <w:t xml:space="preserve">00015/MELOCAM/IP/2023, </w:t>
      </w:r>
      <w:r w:rsidRPr="005164B9">
        <w:rPr>
          <w:rFonts w:ascii="Palatino Linotype" w:eastAsia="Palatino Linotype" w:hAnsi="Palatino Linotype" w:cs="Palatino Linotype"/>
        </w:rPr>
        <w:t xml:space="preserve">tan es así que la fracción décima tercera del artículo noventa y dos de las Obligaciones de Transparencia Comunes consagradas en la Ley de Transparencia y Acceso a la Información Pública del Estado de México y Municipios, no le es aplicable al </w:t>
      </w:r>
      <w:r w:rsidRPr="005164B9">
        <w:rPr>
          <w:rFonts w:ascii="Palatino Linotype" w:eastAsia="Palatino Linotype" w:hAnsi="Palatino Linotype" w:cs="Palatino Linotype"/>
        </w:rPr>
        <w:lastRenderedPageBreak/>
        <w:t xml:space="preserve">Ayuntamiento de Melchor Ocampo, en virtud de que dicha información está dentro del ámbito de competencia de la Secretaría de la Contraloría del Estado de México, como consta en la tabla de aplicabilidad aprobada por el Pleno de este Instituto: </w:t>
      </w:r>
    </w:p>
    <w:p w14:paraId="1895CC60" w14:textId="77777777" w:rsidR="00221903" w:rsidRPr="005164B9" w:rsidRDefault="00221903">
      <w:pPr>
        <w:spacing w:line="360" w:lineRule="auto"/>
        <w:jc w:val="both"/>
      </w:pPr>
    </w:p>
    <w:p w14:paraId="45CE5006" w14:textId="77777777" w:rsidR="00221903" w:rsidRPr="005164B9" w:rsidRDefault="006557AA">
      <w:pPr>
        <w:spacing w:line="360" w:lineRule="auto"/>
        <w:jc w:val="center"/>
        <w:rPr>
          <w:rFonts w:ascii="Palatino Linotype" w:eastAsia="Palatino Linotype" w:hAnsi="Palatino Linotype" w:cs="Palatino Linotype"/>
        </w:rPr>
      </w:pPr>
      <w:r w:rsidRPr="005164B9">
        <w:rPr>
          <w:noProof/>
        </w:rPr>
        <w:drawing>
          <wp:inline distT="0" distB="0" distL="0" distR="0" wp14:anchorId="3E27FD72" wp14:editId="1F32CE24">
            <wp:extent cx="5141067" cy="2459416"/>
            <wp:effectExtent l="0" t="0" r="0" b="0"/>
            <wp:docPr id="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l="1753" t="23101" r="26668" b="16019"/>
                    <a:stretch>
                      <a:fillRect/>
                    </a:stretch>
                  </pic:blipFill>
                  <pic:spPr>
                    <a:xfrm>
                      <a:off x="0" y="0"/>
                      <a:ext cx="5141067" cy="2459416"/>
                    </a:xfrm>
                    <a:prstGeom prst="rect">
                      <a:avLst/>
                    </a:prstGeom>
                    <a:ln/>
                  </pic:spPr>
                </pic:pic>
              </a:graphicData>
            </a:graphic>
          </wp:inline>
        </w:drawing>
      </w:r>
      <w:r w:rsidRPr="005164B9">
        <w:rPr>
          <w:noProof/>
        </w:rPr>
        <mc:AlternateContent>
          <mc:Choice Requires="wps">
            <w:drawing>
              <wp:anchor distT="0" distB="0" distL="114300" distR="114300" simplePos="0" relativeHeight="251658240" behindDoc="0" locked="0" layoutInCell="1" hidden="0" allowOverlap="1" wp14:anchorId="7B1B0434" wp14:editId="567D49E2">
                <wp:simplePos x="0" y="0"/>
                <wp:positionH relativeFrom="column">
                  <wp:posOffset>50801</wp:posOffset>
                </wp:positionH>
                <wp:positionV relativeFrom="paragraph">
                  <wp:posOffset>1663700</wp:posOffset>
                </wp:positionV>
                <wp:extent cx="5557536" cy="325779"/>
                <wp:effectExtent l="0" t="0" r="0" b="0"/>
                <wp:wrapNone/>
                <wp:docPr id="46" name="Rectángulo 46"/>
                <wp:cNvGraphicFramePr/>
                <a:graphic xmlns:a="http://schemas.openxmlformats.org/drawingml/2006/main">
                  <a:graphicData uri="http://schemas.microsoft.com/office/word/2010/wordprocessingShape">
                    <wps:wsp>
                      <wps:cNvSpPr/>
                      <wps:spPr>
                        <a:xfrm>
                          <a:off x="2576757" y="3626636"/>
                          <a:ext cx="5538486" cy="306729"/>
                        </a:xfrm>
                        <a:prstGeom prst="rect">
                          <a:avLst/>
                        </a:prstGeom>
                        <a:noFill/>
                        <a:ln w="9525" cap="flat" cmpd="sng">
                          <a:solidFill>
                            <a:srgbClr val="FF0000"/>
                          </a:solidFill>
                          <a:prstDash val="solid"/>
                          <a:round/>
                          <a:headEnd type="none" w="sm" len="sm"/>
                          <a:tailEnd type="none" w="sm" len="sm"/>
                        </a:ln>
                      </wps:spPr>
                      <wps:txbx>
                        <w:txbxContent>
                          <w:p w14:paraId="576FCDF9" w14:textId="77777777" w:rsidR="00221903" w:rsidRDefault="00221903">
                            <w:pPr>
                              <w:textDirection w:val="btLr"/>
                            </w:pPr>
                          </w:p>
                        </w:txbxContent>
                      </wps:txbx>
                      <wps:bodyPr spcFirstLastPara="1" wrap="square" lIns="91425" tIns="91425" rIns="91425" bIns="91425" anchor="ctr" anchorCtr="0">
                        <a:noAutofit/>
                      </wps:bodyPr>
                    </wps:wsp>
                  </a:graphicData>
                </a:graphic>
              </wp:anchor>
            </w:drawing>
          </mc:Choice>
          <mc:Fallback>
            <w:pict>
              <v:rect w14:anchorId="7B1B0434" id="Rectángulo 46" o:spid="_x0000_s1026" style="position:absolute;left:0;text-align:left;margin-left:4pt;margin-top:131pt;width:437.6pt;height:25.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7u2MAIAAEEEAAAOAAAAZHJzL2Uyb0RvYy54bWysU1GO0zAQ/UfiDpb/2aRpk7ZR0xXaUoS0&#10;YisWDjB1nMSSYxvbbdPjcBYuxtgp2wIfSIh8ODP285uZ55nV/dBLcuTWCa0qOrlLKeGK6VqotqJf&#10;Pm/fLChxHlQNUite0TN39H79+tXqZEqe6U7LmluCJMqVJ1PRzntTJoljHe/B3WnDFR422vbg0bVt&#10;Uls4IXsvkyxNi+SkbW2sZtw53N2Mh3Qd+ZuGM//UNI57IiuKufm42rjuw5qsV1C2Fkwn2CUN+Ics&#10;ehAKg75QbcADOVjxB1UvmNVON/6O6T7RTSMYjzVgNZP0t2qeOzA81oLiOPMik/t/tOzjcWeJqCs6&#10;KyhR0OMbfULVvn9T7UFqgrso0cm4EpHPZmcvnkMz1Ds0tg9/rIQMFc3yeTHP55ScKzotsqKYxvtQ&#10;8sEThoA8ny5mCwzFAiIt5tkyBEiuTMY6/57rngSjohaTicrC8dH5EfoTEgIrvRVS4j6UUpFTRZd5&#10;liM9YDM1EjyavcHynGojjdNS1OFKuOFsu3+QlhwB22O7TfG7ZPMLLMTbgOtGXDwKMCitPqg6Wh2H&#10;+p2qiT8bVFBhr9OQjOspkRwnA42I8yDk33Eoh1SoStB9VDpYftgPSBLMva7P+G7OsK3A5B7B+R1Y&#10;7NwJhsVuxoBfD2AxCflBYbssJ7Ogir917K2zv3VAsU7jkDBvKRmdBx+HZlT87cHrRsTHuCZzSRf7&#10;ND7nZabCINz6EXWd/PUPAAAA//8DAFBLAwQUAAYACAAAACEALAHBpOAAAAAJAQAADwAAAGRycy9k&#10;b3ducmV2LnhtbEyPzWrDMBCE74W+g9hCb438Exzheh1KIZT0UKiTQ4+Kpdom0spYcuK8fdVTe5tl&#10;lplvqu1iDbvoyQ+OENJVAkxT69RAHcLxsHsSwHyQpKRxpBFu2sO2vr+rZKnclT71pQkdiyHkS4nQ&#10;hzCWnPu211b6lRs1Re/bTVaGeE4dV5O8xnBreJYkBbdyoNjQy1G/9ro9N7NF2JyFaNZvH6nZfW3W&#10;Ryr28/ttj/j4sLw8Awt6CX/P8Isf0aGOTCc3k/LMIIi4JCBkRRZF9IXIM2AnhDzNc+B1xf8vqH8A&#10;AAD//wMAUEsBAi0AFAAGAAgAAAAhALaDOJL+AAAA4QEAABMAAAAAAAAAAAAAAAAAAAAAAFtDb250&#10;ZW50X1R5cGVzXS54bWxQSwECLQAUAAYACAAAACEAOP0h/9YAAACUAQAACwAAAAAAAAAAAAAAAAAv&#10;AQAAX3JlbHMvLnJlbHNQSwECLQAUAAYACAAAACEAEVe7tjACAABBBAAADgAAAAAAAAAAAAAAAAAu&#10;AgAAZHJzL2Uyb0RvYy54bWxQSwECLQAUAAYACAAAACEALAHBpOAAAAAJAQAADwAAAAAAAAAAAAAA&#10;AACKBAAAZHJzL2Rvd25yZXYueG1sUEsFBgAAAAAEAAQA8wAAAJcFAAAAAA==&#10;" filled="f" strokecolor="red">
                <v:stroke startarrowwidth="narrow" startarrowlength="short" endarrowwidth="narrow" endarrowlength="short" joinstyle="round"/>
                <v:textbox inset="2.53958mm,2.53958mm,2.53958mm,2.53958mm">
                  <w:txbxContent>
                    <w:p w14:paraId="576FCDF9" w14:textId="77777777" w:rsidR="00221903" w:rsidRDefault="00221903">
                      <w:pPr>
                        <w:textDirection w:val="btLr"/>
                      </w:pPr>
                    </w:p>
                  </w:txbxContent>
                </v:textbox>
              </v:rect>
            </w:pict>
          </mc:Fallback>
        </mc:AlternateContent>
      </w:r>
    </w:p>
    <w:p w14:paraId="16E0C528" w14:textId="77777777" w:rsidR="00221903" w:rsidRPr="005164B9" w:rsidRDefault="00221903">
      <w:pPr>
        <w:spacing w:line="360" w:lineRule="auto"/>
        <w:jc w:val="both"/>
        <w:rPr>
          <w:rFonts w:ascii="Palatino Linotype" w:eastAsia="Palatino Linotype" w:hAnsi="Palatino Linotype" w:cs="Palatino Linotype"/>
        </w:rPr>
      </w:pPr>
    </w:p>
    <w:p w14:paraId="47F8543E"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No pasa por inadvertido para este Instituto de Transparencia hacer referencia a las declaraciones que deben presentar las personas físicas y morales según su régimen fiscal en nuestro país, sin embargo, destaca la notoria imposibilidad de poder enterar a </w:t>
      </w:r>
      <w:r w:rsidRPr="005164B9">
        <w:rPr>
          <w:rFonts w:ascii="Palatino Linotype" w:eastAsia="Palatino Linotype" w:hAnsi="Palatino Linotype" w:cs="Palatino Linotype"/>
          <w:b/>
        </w:rPr>
        <w:t>LA PARTE RECURRENTE</w:t>
      </w:r>
      <w:r w:rsidRPr="005164B9">
        <w:rPr>
          <w:rFonts w:ascii="Palatino Linotype" w:eastAsia="Palatino Linotype" w:hAnsi="Palatino Linotype" w:cs="Palatino Linotype"/>
        </w:rPr>
        <w:t xml:space="preserve"> de dicha información, en virtud de que la misma se encuentra en posesión exclusiva del Servicio de Administración Tributaria, órgano desconcentrado de la Secretaría de Hacienda y Crédito Público que tiene como responsabilidades sustanciales, las siguientes: </w:t>
      </w:r>
    </w:p>
    <w:p w14:paraId="1CC497A8"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CFAC64C"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 xml:space="preserve">CODIGO FISCAL DE LA FEDERACIÓN </w:t>
      </w:r>
    </w:p>
    <w:p w14:paraId="7B962946"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 xml:space="preserve">TITULO PRIMERO Disposiciones Generales </w:t>
      </w:r>
    </w:p>
    <w:p w14:paraId="4ABA5033"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CAPITULO I</w:t>
      </w:r>
    </w:p>
    <w:p w14:paraId="68A39269"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lastRenderedPageBreak/>
        <w:t>Artículo 6o.- Las contribuciones se causan conforme se realizan las situaciones jurídicas o de hecho, previstas en las leyes fiscales vigentes durante el lapso en que ocurran.</w:t>
      </w:r>
    </w:p>
    <w:p w14:paraId="6634B6D6"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w:t>
      </w:r>
    </w:p>
    <w:p w14:paraId="0F5710C7"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Las contribuciones se pagan en la fecha o dentro del plazo señalado en las disposiciones respectivas. A falta de disposición expresa el pago deberá hacerse mediante declaración que se presentará ante las oficinas autorizadas, dentro del plazo que a continuación se indica:</w:t>
      </w:r>
    </w:p>
    <w:p w14:paraId="1A2B5E63"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w:t>
      </w:r>
    </w:p>
    <w:p w14:paraId="0CD0C95F"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0C9E6FA"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 xml:space="preserve">REGLAMENTO DEL CÓDIGO FISCAL DE LA FEDERACIÓN </w:t>
      </w:r>
    </w:p>
    <w:p w14:paraId="1CAED7C5"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TÍTULO I Disposiciones Generales</w:t>
      </w:r>
    </w:p>
    <w:p w14:paraId="7A9856F6"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 xml:space="preserve">Artículo 2.- La obligación de presentar solicitudes, declaraciones y avisos ante las Autoridades Fiscales se llevará a cabo en los términos de las disposiciones fiscales aplicables y, en su caso, conforme a los procedimientos que se establezcan en este Reglamento y en las reglas de carácter general que emita el Servicio de Administración Tributaria. </w:t>
      </w:r>
    </w:p>
    <w:p w14:paraId="414D16A0"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569CA52"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 xml:space="preserve">LEY DEL SERVICIO DE ADMINISTRACIÓN TRIBUTARIA </w:t>
      </w:r>
    </w:p>
    <w:p w14:paraId="06838F99"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 xml:space="preserve">Título Primero De la Naturaleza, Objeto y Atribuciones </w:t>
      </w:r>
    </w:p>
    <w:p w14:paraId="002891F7"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Capítulo I De la Naturaleza y Objeto</w:t>
      </w:r>
    </w:p>
    <w:p w14:paraId="2F7458BE"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Artículo 2o. El Servicio de Administración Tributaria tiene la responsabilidad de aplicar la legislación fiscal y aduanera con el fin de que las personas físicas y morales contribuyan proporcional y equitativamente al gasto público, de fiscalizar a los contribuyentes para que cumplan con las disposiciones tributarias y aduaneras, de facilitar e incentivar el cumplimiento voluntario de dichas disposiciones, y de generar y proporcionar la información necesaria para el diseño y la evaluación de la política tributaria.</w:t>
      </w:r>
    </w:p>
    <w:p w14:paraId="1D7D4AB7"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AA82099"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Ante tales consideraciones, se advierte que existe una notoria incompetencia por parte del Ayuntamiento de Melchor Ocampo, como </w:t>
      </w:r>
      <w:r w:rsidRPr="005164B9">
        <w:rPr>
          <w:rFonts w:ascii="Palatino Linotype" w:eastAsia="Palatino Linotype" w:hAnsi="Palatino Linotype" w:cs="Palatino Linotype"/>
          <w:b/>
        </w:rPr>
        <w:t>SUJETO OBLIGADO</w:t>
      </w:r>
      <w:r w:rsidRPr="005164B9">
        <w:rPr>
          <w:rFonts w:ascii="Palatino Linotype" w:eastAsia="Palatino Linotype" w:hAnsi="Palatino Linotype" w:cs="Palatino Linotype"/>
        </w:rPr>
        <w:t xml:space="preserve"> para satisfacer lo solicitado, lo anterior es así, toda vez que, en el caso particular, no se observa que cuente con alguna atribución de la cual pudiera desprenderse la información que le fue solicitada, pues la normatividad aplicable no le confiere </w:t>
      </w:r>
      <w:r w:rsidRPr="005164B9">
        <w:rPr>
          <w:rFonts w:ascii="Palatino Linotype" w:eastAsia="Palatino Linotype" w:hAnsi="Palatino Linotype" w:cs="Palatino Linotype"/>
        </w:rPr>
        <w:lastRenderedPageBreak/>
        <w:t xml:space="preserve">alguna función que relacione con la información requerida por </w:t>
      </w:r>
      <w:r w:rsidRPr="005164B9">
        <w:rPr>
          <w:rFonts w:ascii="Palatino Linotype" w:eastAsia="Palatino Linotype" w:hAnsi="Palatino Linotype" w:cs="Palatino Linotype"/>
          <w:b/>
        </w:rPr>
        <w:t>LA PARTE RECURRENTE.</w:t>
      </w:r>
    </w:p>
    <w:p w14:paraId="4EF790C8" w14:textId="77777777" w:rsidR="00221903" w:rsidRPr="005164B9" w:rsidRDefault="00221903">
      <w:pPr>
        <w:spacing w:line="360" w:lineRule="auto"/>
        <w:jc w:val="both"/>
        <w:rPr>
          <w:rFonts w:ascii="Palatino Linotype" w:eastAsia="Palatino Linotype" w:hAnsi="Palatino Linotype" w:cs="Palatino Linotype"/>
        </w:rPr>
      </w:pPr>
    </w:p>
    <w:p w14:paraId="0A7A2486"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Hasta este punto de la resolución, es importante dirimir que la razón le asiste al Ayuntamiento de Melchor Ocampo, en virtud de declararse incompetente para conocer de la solicitud de </w:t>
      </w:r>
      <w:r w:rsidRPr="005164B9">
        <w:rPr>
          <w:rFonts w:ascii="Palatino Linotype" w:eastAsia="Palatino Linotype" w:hAnsi="Palatino Linotype" w:cs="Palatino Linotype"/>
          <w:b/>
        </w:rPr>
        <w:t xml:space="preserve">LA PARTE RECURRENTE, </w:t>
      </w:r>
      <w:r w:rsidRPr="005164B9">
        <w:rPr>
          <w:rFonts w:ascii="Palatino Linotype" w:eastAsia="Palatino Linotype" w:hAnsi="Palatino Linotype" w:cs="Palatino Linotype"/>
        </w:rPr>
        <w:t xml:space="preserve">sin embargo, de las constancias registradas en el expediente formado con motivo de este recurso de revisión, se colige que </w:t>
      </w:r>
      <w:r w:rsidRPr="005164B9">
        <w:rPr>
          <w:rFonts w:ascii="Palatino Linotype" w:eastAsia="Palatino Linotype" w:hAnsi="Palatino Linotype" w:cs="Palatino Linotype"/>
          <w:b/>
        </w:rPr>
        <w:t xml:space="preserve">EL SUJETO OBLIGADO </w:t>
      </w:r>
      <w:r w:rsidRPr="005164B9">
        <w:rPr>
          <w:rFonts w:ascii="Palatino Linotype" w:eastAsia="Palatino Linotype" w:hAnsi="Palatino Linotype" w:cs="Palatino Linotype"/>
        </w:rPr>
        <w:t xml:space="preserve">malamente decide fundar su respuesta con el acuerdo de incompetencia de su Comité de Transparencia de fecha </w:t>
      </w:r>
      <w:r w:rsidRPr="005164B9">
        <w:rPr>
          <w:rFonts w:ascii="Palatino Linotype" w:eastAsia="Palatino Linotype" w:hAnsi="Palatino Linotype" w:cs="Palatino Linotype"/>
          <w:b/>
        </w:rPr>
        <w:t xml:space="preserve">doce de octubre de dos mil veintidós, </w:t>
      </w:r>
      <w:r w:rsidRPr="005164B9">
        <w:rPr>
          <w:rFonts w:ascii="Palatino Linotype" w:eastAsia="Palatino Linotype" w:hAnsi="Palatino Linotype" w:cs="Palatino Linotype"/>
        </w:rPr>
        <w:t xml:space="preserve">emitido a todas luces con anterioridad a la fecha de recepción de la solicitud </w:t>
      </w:r>
      <w:r w:rsidRPr="005164B9">
        <w:rPr>
          <w:rFonts w:ascii="Palatino Linotype" w:eastAsia="Palatino Linotype" w:hAnsi="Palatino Linotype" w:cs="Palatino Linotype"/>
          <w:b/>
        </w:rPr>
        <w:t xml:space="preserve">00015/MELOCAM/IP/2023 </w:t>
      </w:r>
      <w:r w:rsidRPr="005164B9">
        <w:rPr>
          <w:rFonts w:ascii="Palatino Linotype" w:eastAsia="Palatino Linotype" w:hAnsi="Palatino Linotype" w:cs="Palatino Linotype"/>
        </w:rPr>
        <w:t>que fue el</w:t>
      </w:r>
      <w:r w:rsidRPr="005164B9">
        <w:rPr>
          <w:rFonts w:ascii="Palatino Linotype" w:eastAsia="Palatino Linotype" w:hAnsi="Palatino Linotype" w:cs="Palatino Linotype"/>
          <w:b/>
        </w:rPr>
        <w:t xml:space="preserve"> veintiséis de enero de dos mil veintitrés, </w:t>
      </w:r>
      <w:r w:rsidRPr="005164B9">
        <w:rPr>
          <w:rFonts w:ascii="Palatino Linotype" w:eastAsia="Palatino Linotype" w:hAnsi="Palatino Linotype" w:cs="Palatino Linotype"/>
        </w:rPr>
        <w:t xml:space="preserve">situación por la cual se ve afectada </w:t>
      </w:r>
      <w:r w:rsidRPr="005164B9">
        <w:rPr>
          <w:rFonts w:ascii="Palatino Linotype" w:eastAsia="Palatino Linotype" w:hAnsi="Palatino Linotype" w:cs="Palatino Linotype"/>
          <w:b/>
        </w:rPr>
        <w:t xml:space="preserve">LA PARTE RECURRENTE </w:t>
      </w:r>
      <w:r w:rsidRPr="005164B9">
        <w:rPr>
          <w:rFonts w:ascii="Palatino Linotype" w:eastAsia="Palatino Linotype" w:hAnsi="Palatino Linotype" w:cs="Palatino Linotype"/>
        </w:rPr>
        <w:t>en la expresión de sus motivos de inconformidad.</w:t>
      </w:r>
    </w:p>
    <w:p w14:paraId="0AD7D052" w14:textId="77777777" w:rsidR="00221903" w:rsidRPr="005164B9" w:rsidRDefault="00221903">
      <w:pPr>
        <w:spacing w:line="360" w:lineRule="auto"/>
        <w:jc w:val="both"/>
        <w:rPr>
          <w:rFonts w:ascii="Palatino Linotype" w:eastAsia="Palatino Linotype" w:hAnsi="Palatino Linotype" w:cs="Palatino Linotype"/>
        </w:rPr>
      </w:pPr>
    </w:p>
    <w:p w14:paraId="145F90A4"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Aunado a lo anterior, aunque </w:t>
      </w:r>
      <w:r w:rsidRPr="005164B9">
        <w:rPr>
          <w:rFonts w:ascii="Palatino Linotype" w:eastAsia="Palatino Linotype" w:hAnsi="Palatino Linotype" w:cs="Palatino Linotype"/>
          <w:b/>
        </w:rPr>
        <w:t>EL SUJETO OBLIGADO</w:t>
      </w:r>
      <w:r w:rsidRPr="005164B9">
        <w:rPr>
          <w:rFonts w:ascii="Palatino Linotype" w:eastAsia="Palatino Linotype" w:hAnsi="Palatino Linotype" w:cs="Palatino Linotype"/>
        </w:rPr>
        <w:t xml:space="preserve"> refirió en la respuesta de la Unidad de Transparencia a la solicitud </w:t>
      </w:r>
      <w:r w:rsidRPr="005164B9">
        <w:rPr>
          <w:rFonts w:ascii="Palatino Linotype" w:eastAsia="Palatino Linotype" w:hAnsi="Palatino Linotype" w:cs="Palatino Linotype"/>
          <w:b/>
        </w:rPr>
        <w:t xml:space="preserve">00015/MELOCAM/IP/2023 </w:t>
      </w:r>
      <w:r w:rsidRPr="005164B9">
        <w:rPr>
          <w:rFonts w:ascii="Palatino Linotype" w:eastAsia="Palatino Linotype" w:hAnsi="Palatino Linotype" w:cs="Palatino Linotype"/>
        </w:rPr>
        <w:t xml:space="preserve">que </w:t>
      </w:r>
      <w:r w:rsidRPr="005164B9">
        <w:rPr>
          <w:rFonts w:ascii="Palatino Linotype" w:eastAsia="Palatino Linotype" w:hAnsi="Palatino Linotype" w:cs="Palatino Linotype"/>
          <w:i/>
        </w:rPr>
        <w:t>“… no cuenta con la información correspondiente a las Declaraciones Patrimoniales y de Intereses…”,</w:t>
      </w:r>
      <w:r w:rsidRPr="005164B9">
        <w:rPr>
          <w:rFonts w:ascii="Palatino Linotype" w:eastAsia="Palatino Linotype" w:hAnsi="Palatino Linotype" w:cs="Palatino Linotype"/>
        </w:rPr>
        <w:t xml:space="preserve"> sin embargo, del análisis realizado al </w:t>
      </w:r>
      <w:r w:rsidRPr="005164B9">
        <w:rPr>
          <w:rFonts w:ascii="Palatino Linotype" w:eastAsia="Palatino Linotype" w:hAnsi="Palatino Linotype" w:cs="Palatino Linotype"/>
          <w:i/>
        </w:rPr>
        <w:t>Acuerdo 013/MELOCAMP/CT/CM/2022</w:t>
      </w:r>
      <w:r w:rsidRPr="005164B9">
        <w:rPr>
          <w:rFonts w:ascii="Palatino Linotype" w:eastAsia="Palatino Linotype" w:hAnsi="Palatino Linotype" w:cs="Palatino Linotype"/>
        </w:rPr>
        <w:t xml:space="preserve"> se advierte que este existe </w:t>
      </w:r>
      <w:r w:rsidRPr="005164B9">
        <w:rPr>
          <w:rFonts w:ascii="Palatino Linotype" w:eastAsia="Palatino Linotype" w:hAnsi="Palatino Linotype" w:cs="Palatino Linotype"/>
          <w:b/>
        </w:rPr>
        <w:t>únicamente</w:t>
      </w:r>
      <w:r w:rsidRPr="005164B9">
        <w:rPr>
          <w:rFonts w:ascii="Palatino Linotype" w:eastAsia="Palatino Linotype" w:hAnsi="Palatino Linotype" w:cs="Palatino Linotype"/>
        </w:rPr>
        <w:t xml:space="preserve"> para declarar la incompetencia del </w:t>
      </w:r>
      <w:r w:rsidRPr="005164B9">
        <w:rPr>
          <w:rFonts w:ascii="Palatino Linotype" w:eastAsia="Palatino Linotype" w:hAnsi="Palatino Linotype" w:cs="Palatino Linotype"/>
          <w:b/>
        </w:rPr>
        <w:t>SUJETO OBLIGADO</w:t>
      </w:r>
      <w:r w:rsidRPr="005164B9">
        <w:rPr>
          <w:rFonts w:ascii="Palatino Linotype" w:eastAsia="Palatino Linotype" w:hAnsi="Palatino Linotype" w:cs="Palatino Linotype"/>
        </w:rPr>
        <w:t xml:space="preserve"> en lo relativo a las Declaraciones Patrimoniales de sus Personas Servidoras Públicas, en consecuencia, es dable deducir que el Comité de Transparencia en dicho acuerdo dejó de lado el estudio referente a las Declaraciones de Intereses y las demás que pudieran ser una obligación de las referidas personas con cargos y puestos públicos.</w:t>
      </w:r>
    </w:p>
    <w:p w14:paraId="313C958E" w14:textId="77777777" w:rsidR="00221903" w:rsidRPr="005164B9" w:rsidRDefault="00221903">
      <w:pPr>
        <w:spacing w:line="360" w:lineRule="auto"/>
        <w:jc w:val="both"/>
        <w:rPr>
          <w:rFonts w:ascii="Palatino Linotype" w:eastAsia="Palatino Linotype" w:hAnsi="Palatino Linotype" w:cs="Palatino Linotype"/>
        </w:rPr>
      </w:pPr>
    </w:p>
    <w:p w14:paraId="7C424857"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Entonces, estamos frente a dos imposibilidades legales: la primera es de fundar la respuesta a la solicitud</w:t>
      </w:r>
      <w:r w:rsidRPr="005164B9">
        <w:rPr>
          <w:rFonts w:ascii="Palatino Linotype" w:eastAsia="Palatino Linotype" w:hAnsi="Palatino Linotype" w:cs="Palatino Linotype"/>
          <w:b/>
        </w:rPr>
        <w:t> 00015/MELOCAM/IP/2023</w:t>
      </w:r>
      <w:r w:rsidRPr="005164B9">
        <w:rPr>
          <w:rFonts w:ascii="Arial" w:eastAsia="Arial" w:hAnsi="Arial" w:cs="Arial"/>
          <w:b/>
          <w:sz w:val="15"/>
          <w:szCs w:val="15"/>
        </w:rPr>
        <w:t xml:space="preserve"> </w:t>
      </w:r>
      <w:r w:rsidRPr="005164B9">
        <w:rPr>
          <w:rFonts w:ascii="Palatino Linotype" w:eastAsia="Palatino Linotype" w:hAnsi="Palatino Linotype" w:cs="Palatino Linotype"/>
        </w:rPr>
        <w:t xml:space="preserve">en un Acuerdo realizado con anterioridad a su fecha de recepción; y la segunda, que se actualiza en razón de que el multireferido Acuerdo sólo se pronuncia por las Declaraciones Patrimoniales y no por las demás que son del mismo interés de </w:t>
      </w:r>
      <w:r w:rsidRPr="005164B9">
        <w:rPr>
          <w:rFonts w:ascii="Palatino Linotype" w:eastAsia="Palatino Linotype" w:hAnsi="Palatino Linotype" w:cs="Palatino Linotype"/>
          <w:b/>
        </w:rPr>
        <w:t>LA PARTE RECURRENTE.</w:t>
      </w:r>
      <w:r w:rsidRPr="005164B9">
        <w:rPr>
          <w:rFonts w:ascii="Palatino Linotype" w:eastAsia="Palatino Linotype" w:hAnsi="Palatino Linotype" w:cs="Palatino Linotype"/>
        </w:rPr>
        <w:t xml:space="preserve"> </w:t>
      </w:r>
    </w:p>
    <w:p w14:paraId="15DE370E" w14:textId="77777777" w:rsidR="00221903" w:rsidRPr="005164B9" w:rsidRDefault="00221903">
      <w:pPr>
        <w:spacing w:line="360" w:lineRule="auto"/>
        <w:jc w:val="both"/>
        <w:rPr>
          <w:rFonts w:ascii="Palatino Linotype" w:eastAsia="Palatino Linotype" w:hAnsi="Palatino Linotype" w:cs="Palatino Linotype"/>
        </w:rPr>
      </w:pPr>
    </w:p>
    <w:p w14:paraId="08F2DAE6"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Sirve de sustento lo establecido por el tercer párrafo del artículo cuarenta y siete de la Ley de Transparencia y Acceso a la Información Pública del Estado de México y Municipios, que dice: </w:t>
      </w:r>
    </w:p>
    <w:p w14:paraId="67C44F9E"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12F44BA"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Artículo 47. (…)</w:t>
      </w:r>
    </w:p>
    <w:p w14:paraId="3D6C75BA"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w:t>
      </w:r>
    </w:p>
    <w:p w14:paraId="04ED389D"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El Comité se reunirá en sesión ordinaria o extraordinaria las veces que estime necesario. El tipo de sesión se precisará en la convocatoria emitida.</w:t>
      </w:r>
    </w:p>
    <w:p w14:paraId="1BA1A2EC"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w:t>
      </w:r>
    </w:p>
    <w:p w14:paraId="22F400F1" w14:textId="77777777" w:rsidR="00221903" w:rsidRPr="005164B9" w:rsidRDefault="00221903">
      <w:pPr>
        <w:rPr>
          <w:rFonts w:ascii="Palatino Linotype" w:eastAsia="Palatino Linotype" w:hAnsi="Palatino Linotype" w:cs="Palatino Linotype"/>
          <w:i/>
          <w:sz w:val="22"/>
          <w:szCs w:val="22"/>
        </w:rPr>
      </w:pPr>
    </w:p>
    <w:p w14:paraId="05D4E2CA"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Deviene entonces que el Comité de Transparencia habrá de sesionar tantas veces sea necesario por el tipo de asuntos que sean hechos de su conocimiento, y resulta la imposibilidad del </w:t>
      </w:r>
      <w:r w:rsidRPr="005164B9">
        <w:rPr>
          <w:rFonts w:ascii="Palatino Linotype" w:eastAsia="Palatino Linotype" w:hAnsi="Palatino Linotype" w:cs="Palatino Linotype"/>
          <w:b/>
        </w:rPr>
        <w:t xml:space="preserve">SUJETO OBLIGADO </w:t>
      </w:r>
      <w:r w:rsidRPr="005164B9">
        <w:rPr>
          <w:rFonts w:ascii="Palatino Linotype" w:eastAsia="Palatino Linotype" w:hAnsi="Palatino Linotype" w:cs="Palatino Linotype"/>
        </w:rPr>
        <w:t xml:space="preserve">para emitir acuerdos de carácter general y particular antes de que ingrese una solicitud de acceso a la información, es decir, la declaratoria de incompetencia se realizará conforme a un análisis caso por caso, mediante la declaratoria de incompetencia debidamente expedida por el Comité de Transparencia. </w:t>
      </w:r>
    </w:p>
    <w:p w14:paraId="530D0C90" w14:textId="77777777" w:rsidR="00221903" w:rsidRPr="005164B9" w:rsidRDefault="00221903">
      <w:pPr>
        <w:spacing w:line="360" w:lineRule="auto"/>
        <w:jc w:val="both"/>
        <w:rPr>
          <w:rFonts w:ascii="Palatino Linotype" w:eastAsia="Palatino Linotype" w:hAnsi="Palatino Linotype" w:cs="Palatino Linotype"/>
        </w:rPr>
      </w:pPr>
    </w:p>
    <w:p w14:paraId="36A7DE75"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Derivado de lo expuesto, resulta una notoria incompetencia por parte </w:t>
      </w:r>
      <w:r w:rsidRPr="005164B9">
        <w:rPr>
          <w:rFonts w:ascii="Palatino Linotype" w:eastAsia="Palatino Linotype" w:hAnsi="Palatino Linotype" w:cs="Palatino Linotype"/>
          <w:b/>
        </w:rPr>
        <w:t xml:space="preserve">del SUJETO OBLIGADO </w:t>
      </w:r>
      <w:r w:rsidRPr="005164B9">
        <w:rPr>
          <w:rFonts w:ascii="Palatino Linotype" w:eastAsia="Palatino Linotype" w:hAnsi="Palatino Linotype" w:cs="Palatino Linotype"/>
        </w:rPr>
        <w:t xml:space="preserve">para dar respuesta al requerimiento de información, y si bien es cierto </w:t>
      </w:r>
      <w:r w:rsidRPr="005164B9">
        <w:rPr>
          <w:rFonts w:ascii="Palatino Linotype" w:eastAsia="Palatino Linotype" w:hAnsi="Palatino Linotype" w:cs="Palatino Linotype"/>
        </w:rPr>
        <w:lastRenderedPageBreak/>
        <w:t xml:space="preserve">que, a través de la Unidad de Transparencia dicha circunstancia se hizo de conocimiento de </w:t>
      </w:r>
      <w:r w:rsidRPr="005164B9">
        <w:rPr>
          <w:rFonts w:ascii="Palatino Linotype" w:eastAsia="Palatino Linotype" w:hAnsi="Palatino Linotype" w:cs="Palatino Linotype"/>
          <w:b/>
        </w:rPr>
        <w:t>LA PARTE RECURRENTE</w:t>
      </w:r>
      <w:r w:rsidRPr="005164B9">
        <w:rPr>
          <w:rFonts w:ascii="Palatino Linotype" w:eastAsia="Palatino Linotype" w:hAnsi="Palatino Linotype" w:cs="Palatino Linotype"/>
        </w:rPr>
        <w:t xml:space="preserve"> con el acuerdo de incompetencia de fecha anterior a su solicitud, no escapa a la óptica del Infoem que el plazo establecido para dictar la notoria incompetencia no se hizo de conformidad con el párrafo primero del artículo 167, párrafo primero de la Ley de Transparencia y Acceso a la Información Pública del Estado de México y Municipios, a saber:</w:t>
      </w:r>
    </w:p>
    <w:p w14:paraId="610E08CA"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27428DD"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D508D4F"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64A069C"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Del precepto normativo se desprende que cuando las Unidades de Transparencia, determinen una notoria incompetencia por parte de los entes públicos, deben hacerlo del conocimiento de los solicitantes en los siguientes tres días hábiles posteriores a la presentación de la solicitud, no obstante, la Unidad de Transparencia notificó dicha situación hasta el día </w:t>
      </w:r>
      <w:r w:rsidRPr="005164B9">
        <w:rPr>
          <w:rFonts w:ascii="Palatino Linotype" w:eastAsia="Palatino Linotype" w:hAnsi="Palatino Linotype" w:cs="Palatino Linotype"/>
          <w:b/>
        </w:rPr>
        <w:t>dos de febrero de dos mil veintitrés,</w:t>
      </w:r>
      <w:r w:rsidRPr="005164B9">
        <w:rPr>
          <w:rFonts w:ascii="Palatino Linotype" w:eastAsia="Palatino Linotype" w:hAnsi="Palatino Linotype" w:cs="Palatino Linotype"/>
        </w:rPr>
        <w:t xml:space="preserve"> es decir, al quinto día de recibida la solicitud </w:t>
      </w:r>
      <w:r w:rsidRPr="005164B9">
        <w:rPr>
          <w:rFonts w:ascii="Palatino Linotype" w:eastAsia="Palatino Linotype" w:hAnsi="Palatino Linotype" w:cs="Palatino Linotype"/>
          <w:b/>
        </w:rPr>
        <w:t>00015/MELOCAM/IP/2023;</w:t>
      </w:r>
      <w:r w:rsidRPr="005164B9">
        <w:rPr>
          <w:rFonts w:ascii="Palatino Linotype" w:eastAsia="Palatino Linotype" w:hAnsi="Palatino Linotype" w:cs="Palatino Linotype"/>
        </w:rPr>
        <w:t xml:space="preserve"> por lo que no se dio cumplimiento a lo establecido en el artículo 167 de la multicitada ley en la materia, el cual refiere que cuando las Unidades de Transparencia determinen la notoria incompetencia deben realizar lo siguiente:</w:t>
      </w:r>
    </w:p>
    <w:p w14:paraId="20EC72B4" w14:textId="77777777" w:rsidR="00221903" w:rsidRPr="005164B9" w:rsidRDefault="00221903">
      <w:pPr>
        <w:spacing w:line="360" w:lineRule="auto"/>
        <w:jc w:val="both"/>
        <w:rPr>
          <w:rFonts w:ascii="Palatino Linotype" w:eastAsia="Palatino Linotype" w:hAnsi="Palatino Linotype" w:cs="Palatino Linotype"/>
        </w:rPr>
      </w:pPr>
    </w:p>
    <w:p w14:paraId="29F929AD" w14:textId="77777777" w:rsidR="00221903" w:rsidRPr="005164B9" w:rsidRDefault="006557A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Hacerlo del conocimiento del Particular, dentro de los tres días hábiles, posteriores a la presentación de la solicitud de información, y</w:t>
      </w:r>
    </w:p>
    <w:p w14:paraId="56C093DC" w14:textId="77777777" w:rsidR="00221903" w:rsidRPr="005164B9" w:rsidRDefault="006557A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En caso de conocer el Sujeto Obligado competente, orientarlo a presentar la solicitud ante el mismo.</w:t>
      </w:r>
    </w:p>
    <w:p w14:paraId="34F539BC" w14:textId="77777777" w:rsidR="00221903" w:rsidRPr="005164B9" w:rsidRDefault="00221903">
      <w:pPr>
        <w:spacing w:line="360" w:lineRule="auto"/>
        <w:jc w:val="both"/>
        <w:rPr>
          <w:rFonts w:ascii="Palatino Linotype" w:eastAsia="Palatino Linotype" w:hAnsi="Palatino Linotype" w:cs="Palatino Linotype"/>
        </w:rPr>
      </w:pPr>
    </w:p>
    <w:p w14:paraId="3EB4C0D5"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Con base en lo anterior, se estima que es aplicable el contenido del artículo 49 fracción II de la ley de la materia, el cual dispone lo siguiente:</w:t>
      </w:r>
    </w:p>
    <w:p w14:paraId="3756758F"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AE8C20C"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Artículo 49. Los Comités de Transparencia tendrán las siguientes atribuciones:</w:t>
      </w:r>
    </w:p>
    <w:p w14:paraId="1E690AB2"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w:t>
      </w:r>
    </w:p>
    <w:p w14:paraId="3ECC1B51"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II.</w:t>
      </w:r>
      <w:r w:rsidRPr="005164B9">
        <w:rPr>
          <w:rFonts w:ascii="Palatino Linotype" w:eastAsia="Palatino Linotype" w:hAnsi="Palatino Linotype" w:cs="Palatino Linotype"/>
          <w:i/>
          <w:sz w:val="22"/>
          <w:szCs w:val="22"/>
        </w:rPr>
        <w:tab/>
        <w:t>Confirmar, modificar o revocar las determinaciones que en materia de ampliación del plazo de respuesta, clasificación de la información y declaración de inexistencia o de incompetencia realicen los titulares de las áreas de los sujetos obligados;</w:t>
      </w:r>
    </w:p>
    <w:p w14:paraId="3740C54C" w14:textId="77777777" w:rsidR="00221903" w:rsidRPr="005164B9" w:rsidRDefault="006557AA">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164B9">
        <w:rPr>
          <w:rFonts w:ascii="Palatino Linotype" w:eastAsia="Palatino Linotype" w:hAnsi="Palatino Linotype" w:cs="Palatino Linotype"/>
          <w:i/>
          <w:sz w:val="22"/>
          <w:szCs w:val="22"/>
        </w:rPr>
        <w:t>(…)</w:t>
      </w:r>
    </w:p>
    <w:p w14:paraId="4ADDCA67" w14:textId="77777777" w:rsidR="00221903" w:rsidRPr="005164B9" w:rsidRDefault="0022190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9AAAA6F"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De esta manera, se sustenta que </w:t>
      </w:r>
      <w:r w:rsidRPr="005164B9">
        <w:rPr>
          <w:rFonts w:ascii="Palatino Linotype" w:eastAsia="Palatino Linotype" w:hAnsi="Palatino Linotype" w:cs="Palatino Linotype"/>
          <w:b/>
        </w:rPr>
        <w:t>EL SUJETO OBLIGADO</w:t>
      </w:r>
      <w:r w:rsidRPr="005164B9">
        <w:rPr>
          <w:rFonts w:ascii="Palatino Linotype" w:eastAsia="Palatino Linotype" w:hAnsi="Palatino Linotype" w:cs="Palatino Linotype"/>
        </w:rPr>
        <w:t xml:space="preserve"> a través de su Comité de Transparencia debe confirmar la incompetencia que en el presente asunto encuadra en el supuesto de la ley, es decir, se deberá elaborar el acuerdo correspondiente mediante el cual se confirme la incompetencia declarada por la Contraloría Interna Municipal a través de la Unidad de Transparencia, únicamente respecto a la solicitud de información </w:t>
      </w:r>
      <w:r w:rsidRPr="005164B9">
        <w:rPr>
          <w:rFonts w:ascii="Palatino Linotype" w:eastAsia="Palatino Linotype" w:hAnsi="Palatino Linotype" w:cs="Palatino Linotype"/>
          <w:b/>
        </w:rPr>
        <w:t>00015/MELOCAM/IP/2023</w:t>
      </w:r>
      <w:r w:rsidRPr="005164B9">
        <w:rPr>
          <w:rFonts w:ascii="Palatino Linotype" w:eastAsia="Palatino Linotype" w:hAnsi="Palatino Linotype" w:cs="Palatino Linotype"/>
        </w:rPr>
        <w:t xml:space="preserve"> presentada por </w:t>
      </w:r>
      <w:r w:rsidRPr="005164B9">
        <w:rPr>
          <w:rFonts w:ascii="Palatino Linotype" w:eastAsia="Palatino Linotype" w:hAnsi="Palatino Linotype" w:cs="Palatino Linotype"/>
          <w:b/>
        </w:rPr>
        <w:t>LA PARTE RECURRENTE,</w:t>
      </w:r>
      <w:r w:rsidRPr="005164B9">
        <w:rPr>
          <w:rFonts w:ascii="Palatino Linotype" w:eastAsia="Palatino Linotype" w:hAnsi="Palatino Linotype" w:cs="Palatino Linotype"/>
        </w:rPr>
        <w:t xml:space="preserve"> debiendo notificarle de igual forma el Acuerdo de referencia.</w:t>
      </w:r>
    </w:p>
    <w:p w14:paraId="63593612" w14:textId="77777777" w:rsidR="00221903" w:rsidRPr="005164B9" w:rsidRDefault="00221903">
      <w:pPr>
        <w:spacing w:line="360" w:lineRule="auto"/>
        <w:jc w:val="both"/>
        <w:rPr>
          <w:rFonts w:ascii="Palatino Linotype" w:eastAsia="Palatino Linotype" w:hAnsi="Palatino Linotype" w:cs="Palatino Linotype"/>
        </w:rPr>
      </w:pPr>
    </w:p>
    <w:p w14:paraId="707C30E5"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 xml:space="preserve">Por otra parte, ante la incompetencia, </w:t>
      </w:r>
      <w:r w:rsidRPr="005164B9">
        <w:rPr>
          <w:rFonts w:ascii="Palatino Linotype" w:eastAsia="Palatino Linotype" w:hAnsi="Palatino Linotype" w:cs="Palatino Linotype"/>
          <w:b/>
        </w:rPr>
        <w:t>EL SUJETO OBLIGADO</w:t>
      </w:r>
      <w:r w:rsidRPr="005164B9">
        <w:rPr>
          <w:rFonts w:ascii="Palatino Linotype" w:eastAsia="Palatino Linotype" w:hAnsi="Palatino Linotype" w:cs="Palatino Linotype"/>
        </w:rPr>
        <w:t xml:space="preserve"> tiene la potestad de orientar al particular sobre la dependencia pública ante quien deba presentar su solicitud de información. En este orden de ideas, se dejan a salvo los derechos de </w:t>
      </w:r>
      <w:r w:rsidRPr="005164B9">
        <w:rPr>
          <w:rFonts w:ascii="Palatino Linotype" w:eastAsia="Palatino Linotype" w:hAnsi="Palatino Linotype" w:cs="Palatino Linotype"/>
          <w:b/>
        </w:rPr>
        <w:t>LA PARTE RECURRENTE</w:t>
      </w:r>
      <w:r w:rsidRPr="005164B9">
        <w:rPr>
          <w:rFonts w:ascii="Palatino Linotype" w:eastAsia="Palatino Linotype" w:hAnsi="Palatino Linotype" w:cs="Palatino Linotype"/>
        </w:rPr>
        <w:t xml:space="preserve"> para que formule una nueva solicitud de información ante el Sujeto Obligado competente.</w:t>
      </w:r>
    </w:p>
    <w:p w14:paraId="676CB1A8" w14:textId="77777777" w:rsidR="00221903" w:rsidRPr="005164B9" w:rsidRDefault="00221903">
      <w:pPr>
        <w:spacing w:line="360" w:lineRule="auto"/>
        <w:jc w:val="both"/>
        <w:rPr>
          <w:rFonts w:ascii="Palatino Linotype" w:eastAsia="Palatino Linotype" w:hAnsi="Palatino Linotype" w:cs="Palatino Linotype"/>
        </w:rPr>
      </w:pPr>
    </w:p>
    <w:p w14:paraId="4FE86C99"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lastRenderedPageBreak/>
        <w:t xml:space="preserve">De lo hasta aquí expuesto, se concluye que los motivos de inconformidad de </w:t>
      </w:r>
      <w:r w:rsidRPr="005164B9">
        <w:rPr>
          <w:rFonts w:ascii="Palatino Linotype" w:eastAsia="Palatino Linotype" w:hAnsi="Palatino Linotype" w:cs="Palatino Linotype"/>
          <w:b/>
        </w:rPr>
        <w:t>LA PARTE RECURRENTE</w:t>
      </w:r>
      <w:r w:rsidRPr="005164B9">
        <w:rPr>
          <w:rFonts w:ascii="Palatino Linotype" w:eastAsia="Palatino Linotype" w:hAnsi="Palatino Linotype" w:cs="Palatino Linotype"/>
        </w:rPr>
        <w:t xml:space="preserve"> devienen </w:t>
      </w:r>
      <w:r w:rsidRPr="005164B9">
        <w:rPr>
          <w:rFonts w:ascii="Palatino Linotype" w:eastAsia="Palatino Linotype" w:hAnsi="Palatino Linotype" w:cs="Palatino Linotype"/>
          <w:b/>
        </w:rPr>
        <w:t xml:space="preserve">PARCIALMENTE FUNDADOS, </w:t>
      </w:r>
      <w:r w:rsidRPr="005164B9">
        <w:rPr>
          <w:rFonts w:ascii="Palatino Linotype" w:eastAsia="Palatino Linotype" w:hAnsi="Palatino Linotype" w:cs="Palatino Linotype"/>
        </w:rPr>
        <w:t xml:space="preserve">siendo procedente </w:t>
      </w:r>
      <w:r w:rsidRPr="005164B9">
        <w:rPr>
          <w:rFonts w:ascii="Palatino Linotype" w:eastAsia="Palatino Linotype" w:hAnsi="Palatino Linotype" w:cs="Palatino Linotype"/>
          <w:b/>
        </w:rPr>
        <w:t>MODIFICAR</w:t>
      </w:r>
      <w:r w:rsidRPr="005164B9">
        <w:rPr>
          <w:rFonts w:ascii="Palatino Linotype" w:eastAsia="Palatino Linotype" w:hAnsi="Palatino Linotype" w:cs="Palatino Linotype"/>
        </w:rPr>
        <w:t xml:space="preserve"> la respuesta proporcionada por </w:t>
      </w:r>
      <w:r w:rsidRPr="005164B9">
        <w:rPr>
          <w:rFonts w:ascii="Palatino Linotype" w:eastAsia="Palatino Linotype" w:hAnsi="Palatino Linotype" w:cs="Palatino Linotype"/>
          <w:b/>
        </w:rPr>
        <w:t>EL SUJETO OBLIGADO</w:t>
      </w:r>
      <w:r w:rsidRPr="005164B9">
        <w:rPr>
          <w:rFonts w:ascii="Palatino Linotype" w:eastAsia="Palatino Linotype" w:hAnsi="Palatino Linotype" w:cs="Palatino Linotype"/>
        </w:rPr>
        <w:t xml:space="preserve"> en términos del artículo 186 fracción III de la Ley de Transparencia y Acceso a la Información Pública del Estado de México y Municipios.</w:t>
      </w:r>
    </w:p>
    <w:p w14:paraId="229AF902" w14:textId="77777777" w:rsidR="00221903" w:rsidRPr="005164B9" w:rsidRDefault="00221903">
      <w:pPr>
        <w:spacing w:line="360" w:lineRule="auto"/>
        <w:jc w:val="both"/>
        <w:rPr>
          <w:rFonts w:ascii="Palatino Linotype" w:eastAsia="Palatino Linotype" w:hAnsi="Palatino Linotype" w:cs="Palatino Linotype"/>
        </w:rPr>
      </w:pPr>
    </w:p>
    <w:p w14:paraId="2E4F89E2"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C6979DE" w14:textId="77777777" w:rsidR="00221903" w:rsidRPr="005164B9" w:rsidRDefault="00221903">
      <w:pPr>
        <w:spacing w:line="360" w:lineRule="auto"/>
        <w:jc w:val="both"/>
      </w:pPr>
    </w:p>
    <w:p w14:paraId="35752087" w14:textId="77777777" w:rsidR="00221903" w:rsidRPr="005164B9" w:rsidRDefault="006557AA">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rPr>
      </w:pPr>
      <w:bookmarkStart w:id="4" w:name="_heading=h.3znysh7" w:colFirst="0" w:colLast="0"/>
      <w:bookmarkEnd w:id="4"/>
      <w:r w:rsidRPr="005164B9">
        <w:rPr>
          <w:rFonts w:ascii="Palatino Linotype" w:eastAsia="Palatino Linotype" w:hAnsi="Palatino Linotype" w:cs="Palatino Linotype"/>
          <w:b/>
        </w:rPr>
        <w:t>R E S U E L V E:</w:t>
      </w:r>
    </w:p>
    <w:p w14:paraId="696D9D94" w14:textId="77777777" w:rsidR="00221903" w:rsidRPr="005164B9" w:rsidRDefault="00221903">
      <w:pPr>
        <w:pBdr>
          <w:top w:val="nil"/>
          <w:left w:val="nil"/>
          <w:bottom w:val="nil"/>
          <w:right w:val="nil"/>
          <w:between w:val="nil"/>
        </w:pBdr>
        <w:spacing w:line="360" w:lineRule="auto"/>
        <w:ind w:left="1080"/>
        <w:rPr>
          <w:rFonts w:ascii="Palatino Linotype" w:eastAsia="Palatino Linotype" w:hAnsi="Palatino Linotype" w:cs="Palatino Linotype"/>
          <w:b/>
        </w:rPr>
      </w:pPr>
    </w:p>
    <w:p w14:paraId="2D431BFF" w14:textId="77777777" w:rsidR="00221903" w:rsidRPr="005164B9" w:rsidRDefault="006557AA">
      <w:pPr>
        <w:spacing w:line="360" w:lineRule="auto"/>
        <w:jc w:val="both"/>
        <w:rPr>
          <w:rFonts w:ascii="Palatino Linotype" w:eastAsia="Palatino Linotype" w:hAnsi="Palatino Linotype" w:cs="Palatino Linotype"/>
          <w:b/>
        </w:rPr>
      </w:pPr>
      <w:bookmarkStart w:id="5" w:name="_heading=h.3rdcrjn" w:colFirst="0" w:colLast="0"/>
      <w:bookmarkEnd w:id="5"/>
      <w:r w:rsidRPr="005164B9">
        <w:rPr>
          <w:rFonts w:ascii="Palatino Linotype" w:eastAsia="Palatino Linotype" w:hAnsi="Palatino Linotype" w:cs="Palatino Linotype"/>
          <w:b/>
        </w:rPr>
        <w:t xml:space="preserve">PRIMERO. </w:t>
      </w:r>
      <w:r w:rsidRPr="005164B9">
        <w:rPr>
          <w:rFonts w:ascii="Palatino Linotype" w:eastAsia="Palatino Linotype" w:hAnsi="Palatino Linotype" w:cs="Palatino Linotype"/>
        </w:rPr>
        <w:t xml:space="preserve">Resultan </w:t>
      </w:r>
      <w:r w:rsidRPr="005164B9">
        <w:rPr>
          <w:rFonts w:ascii="Palatino Linotype" w:eastAsia="Palatino Linotype" w:hAnsi="Palatino Linotype" w:cs="Palatino Linotype"/>
          <w:b/>
        </w:rPr>
        <w:t>PARCIALMENTE FUNDADAS</w:t>
      </w:r>
      <w:r w:rsidRPr="005164B9">
        <w:rPr>
          <w:rFonts w:ascii="Palatino Linotype" w:eastAsia="Palatino Linotype" w:hAnsi="Palatino Linotype" w:cs="Palatino Linotype"/>
        </w:rPr>
        <w:t xml:space="preserve"> las razones o motivos de inconformidad hechos valer por </w:t>
      </w:r>
      <w:r w:rsidRPr="005164B9">
        <w:rPr>
          <w:rFonts w:ascii="Palatino Linotype" w:eastAsia="Palatino Linotype" w:hAnsi="Palatino Linotype" w:cs="Palatino Linotype"/>
          <w:b/>
        </w:rPr>
        <w:t>LA PARTE RECURRENTE</w:t>
      </w:r>
      <w:r w:rsidRPr="005164B9">
        <w:rPr>
          <w:rFonts w:ascii="Palatino Linotype" w:eastAsia="Palatino Linotype" w:hAnsi="Palatino Linotype" w:cs="Palatino Linotype"/>
        </w:rPr>
        <w:t xml:space="preserve"> en el recurso de revisión </w:t>
      </w:r>
      <w:r w:rsidRPr="005164B9">
        <w:rPr>
          <w:rFonts w:ascii="Palatino Linotype" w:eastAsia="Palatino Linotype" w:hAnsi="Palatino Linotype" w:cs="Palatino Linotype"/>
          <w:b/>
        </w:rPr>
        <w:t>00629/INFOEM/IP/RR/2023</w:t>
      </w:r>
      <w:r w:rsidRPr="005164B9">
        <w:rPr>
          <w:rFonts w:ascii="Palatino Linotype" w:eastAsia="Palatino Linotype" w:hAnsi="Palatino Linotype" w:cs="Palatino Linotype"/>
        </w:rPr>
        <w:t xml:space="preserve">; por lo que, en términos del </w:t>
      </w:r>
      <w:r w:rsidRPr="005164B9">
        <w:rPr>
          <w:rFonts w:ascii="Palatino Linotype" w:eastAsia="Palatino Linotype" w:hAnsi="Palatino Linotype" w:cs="Palatino Linotype"/>
          <w:b/>
        </w:rPr>
        <w:t>CONSIDERANDO</w:t>
      </w:r>
      <w:r w:rsidRPr="005164B9">
        <w:rPr>
          <w:rFonts w:ascii="Palatino Linotype" w:eastAsia="Palatino Linotype" w:hAnsi="Palatino Linotype" w:cs="Palatino Linotype"/>
        </w:rPr>
        <w:t xml:space="preserve"> </w:t>
      </w:r>
      <w:r w:rsidRPr="005164B9">
        <w:rPr>
          <w:rFonts w:ascii="Palatino Linotype" w:eastAsia="Palatino Linotype" w:hAnsi="Palatino Linotype" w:cs="Palatino Linotype"/>
          <w:b/>
        </w:rPr>
        <w:t xml:space="preserve">CUARTO </w:t>
      </w:r>
      <w:r w:rsidRPr="005164B9">
        <w:rPr>
          <w:rFonts w:ascii="Palatino Linotype" w:eastAsia="Palatino Linotype" w:hAnsi="Palatino Linotype" w:cs="Palatino Linotype"/>
        </w:rPr>
        <w:t xml:space="preserve">de esta resolución, se </w:t>
      </w:r>
      <w:r w:rsidRPr="005164B9">
        <w:rPr>
          <w:rFonts w:ascii="Palatino Linotype" w:eastAsia="Palatino Linotype" w:hAnsi="Palatino Linotype" w:cs="Palatino Linotype"/>
          <w:b/>
        </w:rPr>
        <w:t xml:space="preserve">MODIFICA </w:t>
      </w:r>
      <w:r w:rsidRPr="005164B9">
        <w:rPr>
          <w:rFonts w:ascii="Palatino Linotype" w:eastAsia="Palatino Linotype" w:hAnsi="Palatino Linotype" w:cs="Palatino Linotype"/>
        </w:rPr>
        <w:t xml:space="preserve">la respuesta emitida por </w:t>
      </w:r>
      <w:r w:rsidRPr="005164B9">
        <w:rPr>
          <w:rFonts w:ascii="Palatino Linotype" w:eastAsia="Palatino Linotype" w:hAnsi="Palatino Linotype" w:cs="Palatino Linotype"/>
          <w:b/>
        </w:rPr>
        <w:t xml:space="preserve">EL SUJETO OBLIGADO. </w:t>
      </w:r>
    </w:p>
    <w:p w14:paraId="0295C854" w14:textId="77777777" w:rsidR="00221903" w:rsidRPr="005164B9" w:rsidRDefault="00221903">
      <w:pPr>
        <w:spacing w:line="360" w:lineRule="auto"/>
        <w:jc w:val="both"/>
        <w:rPr>
          <w:rFonts w:ascii="Palatino Linotype" w:eastAsia="Palatino Linotype" w:hAnsi="Palatino Linotype" w:cs="Palatino Linotype"/>
        </w:rPr>
      </w:pPr>
    </w:p>
    <w:p w14:paraId="4732E4F4" w14:textId="77777777" w:rsidR="00221903" w:rsidRPr="005164B9" w:rsidRDefault="006557AA">
      <w:pPr>
        <w:spacing w:line="360" w:lineRule="auto"/>
        <w:ind w:right="49"/>
        <w:jc w:val="both"/>
        <w:rPr>
          <w:rFonts w:ascii="Palatino Linotype" w:eastAsia="Palatino Linotype" w:hAnsi="Palatino Linotype" w:cs="Palatino Linotype"/>
        </w:rPr>
      </w:pPr>
      <w:bookmarkStart w:id="6" w:name="_heading=h.1fob9te" w:colFirst="0" w:colLast="0"/>
      <w:bookmarkEnd w:id="6"/>
      <w:r w:rsidRPr="005164B9">
        <w:rPr>
          <w:rFonts w:ascii="Palatino Linotype" w:eastAsia="Palatino Linotype" w:hAnsi="Palatino Linotype" w:cs="Palatino Linotype"/>
          <w:b/>
        </w:rPr>
        <w:t xml:space="preserve">SEGUNDO. </w:t>
      </w:r>
      <w:r w:rsidRPr="005164B9">
        <w:rPr>
          <w:rFonts w:ascii="Palatino Linotype" w:eastAsia="Palatino Linotype" w:hAnsi="Palatino Linotype" w:cs="Palatino Linotype"/>
        </w:rPr>
        <w:t>Se</w:t>
      </w:r>
      <w:r w:rsidRPr="005164B9">
        <w:rPr>
          <w:rFonts w:ascii="Palatino Linotype" w:eastAsia="Palatino Linotype" w:hAnsi="Palatino Linotype" w:cs="Palatino Linotype"/>
          <w:b/>
        </w:rPr>
        <w:t xml:space="preserve"> ORDENA </w:t>
      </w:r>
      <w:r w:rsidRPr="005164B9">
        <w:rPr>
          <w:rFonts w:ascii="Palatino Linotype" w:eastAsia="Palatino Linotype" w:hAnsi="Palatino Linotype" w:cs="Palatino Linotype"/>
        </w:rPr>
        <w:t xml:space="preserve">al </w:t>
      </w:r>
      <w:r w:rsidRPr="005164B9">
        <w:rPr>
          <w:rFonts w:ascii="Palatino Linotype" w:eastAsia="Palatino Linotype" w:hAnsi="Palatino Linotype" w:cs="Palatino Linotype"/>
          <w:b/>
        </w:rPr>
        <w:t>SUJETO OBLIGADO</w:t>
      </w:r>
      <w:r w:rsidRPr="005164B9">
        <w:rPr>
          <w:rFonts w:ascii="Palatino Linotype" w:eastAsia="Palatino Linotype" w:hAnsi="Palatino Linotype" w:cs="Palatino Linotype"/>
        </w:rPr>
        <w:t xml:space="preserve"> haga entrega a </w:t>
      </w:r>
      <w:r w:rsidRPr="005164B9">
        <w:rPr>
          <w:rFonts w:ascii="Palatino Linotype" w:eastAsia="Palatino Linotype" w:hAnsi="Palatino Linotype" w:cs="Palatino Linotype"/>
          <w:b/>
        </w:rPr>
        <w:t>LA PARTE</w:t>
      </w:r>
      <w:r w:rsidRPr="005164B9">
        <w:rPr>
          <w:rFonts w:ascii="Palatino Linotype" w:eastAsia="Palatino Linotype" w:hAnsi="Palatino Linotype" w:cs="Palatino Linotype"/>
        </w:rPr>
        <w:t xml:space="preserve"> </w:t>
      </w:r>
      <w:r w:rsidRPr="005164B9">
        <w:rPr>
          <w:rFonts w:ascii="Palatino Linotype" w:eastAsia="Palatino Linotype" w:hAnsi="Palatino Linotype" w:cs="Palatino Linotype"/>
          <w:b/>
        </w:rPr>
        <w:t>RECURRENTE</w:t>
      </w:r>
      <w:r w:rsidRPr="005164B9">
        <w:rPr>
          <w:rFonts w:ascii="Palatino Linotype" w:eastAsia="Palatino Linotype" w:hAnsi="Palatino Linotype" w:cs="Palatino Linotype"/>
        </w:rPr>
        <w:t xml:space="preserve"> vía SAIMEX</w:t>
      </w:r>
      <w:r w:rsidRPr="005164B9">
        <w:rPr>
          <w:rFonts w:ascii="Palatino Linotype" w:eastAsia="Palatino Linotype" w:hAnsi="Palatino Linotype" w:cs="Palatino Linotype"/>
          <w:b/>
        </w:rPr>
        <w:t xml:space="preserve">, </w:t>
      </w:r>
      <w:r w:rsidRPr="005164B9">
        <w:rPr>
          <w:rFonts w:ascii="Palatino Linotype" w:eastAsia="Palatino Linotype" w:hAnsi="Palatino Linotype" w:cs="Palatino Linotype"/>
        </w:rPr>
        <w:t xml:space="preserve">en términos del </w:t>
      </w:r>
      <w:r w:rsidRPr="005164B9">
        <w:rPr>
          <w:rFonts w:ascii="Palatino Linotype" w:eastAsia="Palatino Linotype" w:hAnsi="Palatino Linotype" w:cs="Palatino Linotype"/>
          <w:b/>
        </w:rPr>
        <w:t>CONSIDERANDO</w:t>
      </w:r>
      <w:r w:rsidRPr="005164B9">
        <w:rPr>
          <w:rFonts w:ascii="Palatino Linotype" w:eastAsia="Palatino Linotype" w:hAnsi="Palatino Linotype" w:cs="Palatino Linotype"/>
        </w:rPr>
        <w:t xml:space="preserve"> </w:t>
      </w:r>
      <w:r w:rsidRPr="005164B9">
        <w:rPr>
          <w:rFonts w:ascii="Palatino Linotype" w:eastAsia="Palatino Linotype" w:hAnsi="Palatino Linotype" w:cs="Palatino Linotype"/>
          <w:b/>
        </w:rPr>
        <w:t xml:space="preserve">CUARTO </w:t>
      </w:r>
      <w:r w:rsidRPr="005164B9">
        <w:rPr>
          <w:rFonts w:ascii="Palatino Linotype" w:eastAsia="Palatino Linotype" w:hAnsi="Palatino Linotype" w:cs="Palatino Linotype"/>
        </w:rPr>
        <w:t xml:space="preserve">de la presente resolución, lo siguiente: </w:t>
      </w:r>
    </w:p>
    <w:p w14:paraId="06864574" w14:textId="77777777" w:rsidR="00221903" w:rsidRPr="005164B9" w:rsidRDefault="00221903">
      <w:pPr>
        <w:spacing w:line="360" w:lineRule="auto"/>
        <w:ind w:right="49"/>
        <w:jc w:val="both"/>
        <w:rPr>
          <w:rFonts w:ascii="Palatino Linotype" w:eastAsia="Palatino Linotype" w:hAnsi="Palatino Linotype" w:cs="Palatino Linotype"/>
        </w:rPr>
      </w:pPr>
    </w:p>
    <w:p w14:paraId="68233154" w14:textId="77777777" w:rsidR="00221903" w:rsidRPr="005164B9" w:rsidRDefault="006557AA">
      <w:pPr>
        <w:spacing w:line="360" w:lineRule="auto"/>
        <w:ind w:left="720" w:right="49"/>
        <w:jc w:val="both"/>
        <w:rPr>
          <w:rFonts w:ascii="Palatino Linotype" w:eastAsia="Palatino Linotype" w:hAnsi="Palatino Linotype" w:cs="Palatino Linotype"/>
        </w:rPr>
      </w:pPr>
      <w:r w:rsidRPr="005164B9">
        <w:rPr>
          <w:rFonts w:ascii="Palatino Linotype" w:eastAsia="Palatino Linotype" w:hAnsi="Palatino Linotype" w:cs="Palatino Linotype"/>
          <w:b/>
        </w:rPr>
        <w:lastRenderedPageBreak/>
        <w:t>1.</w:t>
      </w:r>
      <w:r w:rsidRPr="005164B9">
        <w:rPr>
          <w:rFonts w:ascii="Palatino Linotype" w:eastAsia="Palatino Linotype" w:hAnsi="Palatino Linotype" w:cs="Palatino Linotype"/>
        </w:rPr>
        <w:t xml:space="preserve"> Acuerdo del Comité de Transparencia mediante el que confirme la declaratoria de incompetencia del </w:t>
      </w:r>
      <w:r w:rsidRPr="005164B9">
        <w:rPr>
          <w:rFonts w:ascii="Palatino Linotype" w:eastAsia="Palatino Linotype" w:hAnsi="Palatino Linotype" w:cs="Palatino Linotype"/>
          <w:b/>
        </w:rPr>
        <w:t>SUJETO OBLIGADO</w:t>
      </w:r>
      <w:r w:rsidRPr="005164B9">
        <w:rPr>
          <w:rFonts w:ascii="Palatino Linotype" w:eastAsia="Palatino Linotype" w:hAnsi="Palatino Linotype" w:cs="Palatino Linotype"/>
        </w:rPr>
        <w:t xml:space="preserve">, respecto de la declaración patrimonial, de intereses y cualquier otra que deban realizar los servidores públicos referidos en la solicitud </w:t>
      </w:r>
      <w:r w:rsidRPr="005164B9">
        <w:rPr>
          <w:rFonts w:ascii="Palatino Linotype" w:eastAsia="Palatino Linotype" w:hAnsi="Palatino Linotype" w:cs="Palatino Linotype"/>
          <w:b/>
        </w:rPr>
        <w:t>00015/MELOCAM/IP/2023,</w:t>
      </w:r>
      <w:r w:rsidRPr="005164B9">
        <w:rPr>
          <w:rFonts w:ascii="Palatino Linotype" w:eastAsia="Palatino Linotype" w:hAnsi="Palatino Linotype" w:cs="Palatino Linotype"/>
        </w:rPr>
        <w:t xml:space="preserve"> en el ejercicio de sus funciones. </w:t>
      </w:r>
    </w:p>
    <w:p w14:paraId="29285A94" w14:textId="77777777" w:rsidR="00221903" w:rsidRPr="005164B9" w:rsidRDefault="00221903">
      <w:pPr>
        <w:spacing w:line="360" w:lineRule="auto"/>
        <w:ind w:left="720" w:right="49"/>
        <w:jc w:val="both"/>
        <w:rPr>
          <w:rFonts w:ascii="Palatino Linotype" w:eastAsia="Palatino Linotype" w:hAnsi="Palatino Linotype" w:cs="Palatino Linotype"/>
        </w:rPr>
      </w:pPr>
    </w:p>
    <w:p w14:paraId="0C27AB4C"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b/>
        </w:rPr>
        <w:t xml:space="preserve">TERCERO. Notifíquese vía SAIMEX </w:t>
      </w:r>
      <w:r w:rsidRPr="005164B9">
        <w:rPr>
          <w:rFonts w:ascii="Palatino Linotype" w:eastAsia="Palatino Linotype" w:hAnsi="Palatino Linotype" w:cs="Palatino Linotype"/>
        </w:rPr>
        <w:t xml:space="preserve">la presente resolución al Titular de la Unidad de Transparencia del </w:t>
      </w:r>
      <w:r w:rsidRPr="005164B9">
        <w:rPr>
          <w:rFonts w:ascii="Palatino Linotype" w:eastAsia="Palatino Linotype" w:hAnsi="Palatino Linotype" w:cs="Palatino Linotype"/>
          <w:b/>
        </w:rPr>
        <w:t xml:space="preserve">SUJETO OBLIGADO, </w:t>
      </w:r>
      <w:r w:rsidRPr="005164B9">
        <w:rPr>
          <w:rFonts w:ascii="Palatino Linotype" w:eastAsia="Palatino Linotype" w:hAnsi="Palatino Linotype" w:cs="Palatino Linotype"/>
        </w:rPr>
        <w:t>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E339AE" w14:textId="77777777" w:rsidR="00221903" w:rsidRPr="005164B9" w:rsidRDefault="00221903">
      <w:pPr>
        <w:spacing w:line="360" w:lineRule="auto"/>
        <w:jc w:val="both"/>
        <w:rPr>
          <w:rFonts w:ascii="Palatino Linotype" w:eastAsia="Palatino Linotype" w:hAnsi="Palatino Linotype" w:cs="Palatino Linotype"/>
        </w:rPr>
      </w:pPr>
    </w:p>
    <w:p w14:paraId="7028B574"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b/>
        </w:rPr>
        <w:t>CUARTO. De conformidad</w:t>
      </w:r>
      <w:r w:rsidRPr="005164B9">
        <w:rPr>
          <w:rFonts w:ascii="Palatino Linotype" w:eastAsia="Palatino Linotype" w:hAnsi="Palatino Linotype" w:cs="Palatino Linotype"/>
        </w:rPr>
        <w:t xml:space="preserve"> con el artículo 198 de la Ley de Transparencia y Acceso a la Información Pública del Estado de México y Municipios, de considerarlo procedente, </w:t>
      </w:r>
      <w:r w:rsidRPr="005164B9">
        <w:rPr>
          <w:rFonts w:ascii="Palatino Linotype" w:eastAsia="Palatino Linotype" w:hAnsi="Palatino Linotype" w:cs="Palatino Linotype"/>
          <w:b/>
        </w:rPr>
        <w:t>EL SUJETO OBLIGADO</w:t>
      </w:r>
      <w:r w:rsidRPr="005164B9">
        <w:rPr>
          <w:rFonts w:ascii="Palatino Linotype" w:eastAsia="Palatino Linotype" w:hAnsi="Palatino Linotype" w:cs="Palatino Linotype"/>
        </w:rPr>
        <w:t xml:space="preserve"> de manera fundada y motivada, podrá solicitar una ampliación de plazo para el cumplimiento de la presente resolución.</w:t>
      </w:r>
    </w:p>
    <w:p w14:paraId="64C61CE6" w14:textId="77777777" w:rsidR="00221903" w:rsidRPr="005164B9" w:rsidRDefault="00221903">
      <w:pPr>
        <w:spacing w:line="360" w:lineRule="auto"/>
        <w:jc w:val="both"/>
        <w:rPr>
          <w:rFonts w:ascii="Palatino Linotype" w:eastAsia="Palatino Linotype" w:hAnsi="Palatino Linotype" w:cs="Palatino Linotype"/>
          <w:b/>
        </w:rPr>
      </w:pPr>
    </w:p>
    <w:p w14:paraId="1F4F83D7"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b/>
        </w:rPr>
        <w:t>QUINTO. Notifíquese</w:t>
      </w:r>
      <w:r w:rsidRPr="005164B9">
        <w:rPr>
          <w:rFonts w:ascii="Palatino Linotype" w:eastAsia="Palatino Linotype" w:hAnsi="Palatino Linotype" w:cs="Palatino Linotype"/>
        </w:rPr>
        <w:t xml:space="preserve"> vía SAIMEX,</w:t>
      </w:r>
      <w:r w:rsidRPr="005164B9">
        <w:rPr>
          <w:rFonts w:ascii="Palatino Linotype" w:eastAsia="Palatino Linotype" w:hAnsi="Palatino Linotype" w:cs="Palatino Linotype"/>
          <w:b/>
        </w:rPr>
        <w:t xml:space="preserve"> </w:t>
      </w:r>
      <w:r w:rsidRPr="005164B9">
        <w:rPr>
          <w:rFonts w:ascii="Palatino Linotype" w:eastAsia="Palatino Linotype" w:hAnsi="Palatino Linotype" w:cs="Palatino Linotype"/>
        </w:rPr>
        <w:t xml:space="preserve">a </w:t>
      </w:r>
      <w:r w:rsidRPr="005164B9">
        <w:rPr>
          <w:rFonts w:ascii="Palatino Linotype" w:eastAsia="Palatino Linotype" w:hAnsi="Palatino Linotype" w:cs="Palatino Linotype"/>
          <w:b/>
        </w:rPr>
        <w:t>LA PARTE</w:t>
      </w:r>
      <w:r w:rsidRPr="005164B9">
        <w:rPr>
          <w:rFonts w:ascii="Palatino Linotype" w:eastAsia="Palatino Linotype" w:hAnsi="Palatino Linotype" w:cs="Palatino Linotype"/>
        </w:rPr>
        <w:t xml:space="preserve"> </w:t>
      </w:r>
      <w:r w:rsidRPr="005164B9">
        <w:rPr>
          <w:rFonts w:ascii="Palatino Linotype" w:eastAsia="Palatino Linotype" w:hAnsi="Palatino Linotype" w:cs="Palatino Linotype"/>
          <w:b/>
        </w:rPr>
        <w:t>RECURRENTE</w:t>
      </w:r>
      <w:r w:rsidRPr="005164B9">
        <w:rPr>
          <w:rFonts w:ascii="Palatino Linotype" w:eastAsia="Palatino Linotype" w:hAnsi="Palatino Linotype" w:cs="Palatino Linotype"/>
        </w:rPr>
        <w:t xml:space="preserve"> la presente resolución, así como que podrá impugnarla vía Juicio de Amparo en los términos de </w:t>
      </w:r>
      <w:r w:rsidRPr="005164B9">
        <w:rPr>
          <w:rFonts w:ascii="Palatino Linotype" w:eastAsia="Palatino Linotype" w:hAnsi="Palatino Linotype" w:cs="Palatino Linotype"/>
        </w:rPr>
        <w:lastRenderedPageBreak/>
        <w:t xml:space="preserve">las leyes aplicables, de conformidad con lo establecido en el artículo 196 de la Ley de Transparencia y Acceso a la Información Pública del Estado de México y Municipios. </w:t>
      </w:r>
    </w:p>
    <w:p w14:paraId="4881923E" w14:textId="77777777" w:rsidR="00221903" w:rsidRPr="005164B9" w:rsidRDefault="00221903">
      <w:pPr>
        <w:spacing w:line="360" w:lineRule="auto"/>
        <w:jc w:val="both"/>
        <w:rPr>
          <w:rFonts w:ascii="Palatino Linotype" w:eastAsia="Palatino Linotype" w:hAnsi="Palatino Linotype" w:cs="Palatino Linotype"/>
        </w:rPr>
      </w:pPr>
    </w:p>
    <w:p w14:paraId="2DD424C6" w14:textId="77777777" w:rsidR="00221903" w:rsidRPr="005164B9" w:rsidRDefault="006557AA">
      <w:pPr>
        <w:spacing w:line="360" w:lineRule="auto"/>
        <w:jc w:val="both"/>
        <w:rPr>
          <w:rFonts w:ascii="Palatino Linotype" w:eastAsia="Palatino Linotype" w:hAnsi="Palatino Linotype" w:cs="Palatino Linotype"/>
        </w:rPr>
      </w:pPr>
      <w:r w:rsidRPr="005164B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DIECISIETE DE MAYO DE DOS MIL VEINTITRÉS, ANTE EL SECRETARIO TÉCNICO DEL PLENO ALEXIS TAPIA RAMÍREZ.</w:t>
      </w:r>
    </w:p>
    <w:p w14:paraId="3E938803" w14:textId="77777777" w:rsidR="00221903" w:rsidRPr="005164B9" w:rsidRDefault="00221903">
      <w:pPr>
        <w:spacing w:line="360" w:lineRule="auto"/>
        <w:jc w:val="both"/>
        <w:rPr>
          <w:rFonts w:ascii="Palatino Linotype" w:eastAsia="Palatino Linotype" w:hAnsi="Palatino Linotype" w:cs="Palatino Linotype"/>
        </w:rPr>
      </w:pPr>
    </w:p>
    <w:p w14:paraId="3CD5AAE4" w14:textId="77777777" w:rsidR="00221903" w:rsidRPr="005164B9" w:rsidRDefault="00221903">
      <w:pPr>
        <w:spacing w:line="360" w:lineRule="auto"/>
        <w:jc w:val="both"/>
        <w:rPr>
          <w:rFonts w:ascii="Palatino Linotype" w:eastAsia="Palatino Linotype" w:hAnsi="Palatino Linotype" w:cs="Palatino Linotype"/>
        </w:rPr>
      </w:pPr>
    </w:p>
    <w:p w14:paraId="6C09B176" w14:textId="77777777" w:rsidR="00221903" w:rsidRPr="005164B9" w:rsidRDefault="00221903">
      <w:pPr>
        <w:spacing w:line="360" w:lineRule="auto"/>
        <w:jc w:val="both"/>
        <w:rPr>
          <w:rFonts w:ascii="Palatino Linotype" w:eastAsia="Palatino Linotype" w:hAnsi="Palatino Linotype" w:cs="Palatino Linotype"/>
        </w:rPr>
      </w:pPr>
    </w:p>
    <w:p w14:paraId="4AE9E464" w14:textId="77777777" w:rsidR="00221903" w:rsidRPr="005164B9" w:rsidRDefault="00221903">
      <w:pPr>
        <w:spacing w:line="360" w:lineRule="auto"/>
        <w:rPr>
          <w:rFonts w:ascii="Palatino Linotype" w:eastAsia="Palatino Linotype" w:hAnsi="Palatino Linotype" w:cs="Palatino Linotype"/>
        </w:rPr>
      </w:pPr>
    </w:p>
    <w:p w14:paraId="09EBB928" w14:textId="77777777" w:rsidR="00221903" w:rsidRPr="005164B9" w:rsidRDefault="00221903">
      <w:pPr>
        <w:spacing w:line="360" w:lineRule="auto"/>
        <w:jc w:val="both"/>
        <w:rPr>
          <w:rFonts w:ascii="Palatino Linotype" w:eastAsia="Palatino Linotype" w:hAnsi="Palatino Linotype" w:cs="Palatino Linotype"/>
        </w:rPr>
      </w:pPr>
    </w:p>
    <w:p w14:paraId="332AEB6E" w14:textId="77777777" w:rsidR="00221903" w:rsidRPr="005164B9" w:rsidRDefault="00221903">
      <w:pPr>
        <w:spacing w:line="360" w:lineRule="auto"/>
        <w:jc w:val="both"/>
        <w:rPr>
          <w:rFonts w:ascii="Palatino Linotype" w:eastAsia="Palatino Linotype" w:hAnsi="Palatino Linotype" w:cs="Palatino Linotype"/>
        </w:rPr>
      </w:pPr>
    </w:p>
    <w:p w14:paraId="1096A1C5" w14:textId="77777777" w:rsidR="00221903" w:rsidRPr="005164B9" w:rsidRDefault="00221903">
      <w:pPr>
        <w:spacing w:line="360" w:lineRule="auto"/>
        <w:jc w:val="both"/>
        <w:rPr>
          <w:rFonts w:ascii="Palatino Linotype" w:eastAsia="Palatino Linotype" w:hAnsi="Palatino Linotype" w:cs="Palatino Linotype"/>
        </w:rPr>
      </w:pPr>
    </w:p>
    <w:p w14:paraId="7DC8CEFD" w14:textId="77777777" w:rsidR="00221903" w:rsidRPr="005164B9" w:rsidRDefault="00221903">
      <w:pPr>
        <w:spacing w:line="360" w:lineRule="auto"/>
        <w:jc w:val="both"/>
        <w:rPr>
          <w:rFonts w:ascii="Palatino Linotype" w:eastAsia="Palatino Linotype" w:hAnsi="Palatino Linotype" w:cs="Palatino Linotype"/>
        </w:rPr>
      </w:pPr>
    </w:p>
    <w:p w14:paraId="1BB9CA9B" w14:textId="77777777" w:rsidR="00221903" w:rsidRPr="005164B9" w:rsidRDefault="00221903">
      <w:pPr>
        <w:spacing w:line="360" w:lineRule="auto"/>
        <w:jc w:val="both"/>
        <w:rPr>
          <w:rFonts w:ascii="Palatino Linotype" w:eastAsia="Palatino Linotype" w:hAnsi="Palatino Linotype" w:cs="Palatino Linotype"/>
        </w:rPr>
      </w:pPr>
    </w:p>
    <w:p w14:paraId="419E582D" w14:textId="77777777" w:rsidR="00221903" w:rsidRPr="005164B9" w:rsidRDefault="00221903">
      <w:pPr>
        <w:spacing w:line="360" w:lineRule="auto"/>
        <w:jc w:val="both"/>
        <w:rPr>
          <w:rFonts w:ascii="Palatino Linotype" w:eastAsia="Palatino Linotype" w:hAnsi="Palatino Linotype" w:cs="Palatino Linotype"/>
        </w:rPr>
      </w:pPr>
    </w:p>
    <w:p w14:paraId="72A99534" w14:textId="77777777" w:rsidR="00221903" w:rsidRPr="005164B9" w:rsidRDefault="00221903">
      <w:pPr>
        <w:spacing w:line="360" w:lineRule="auto"/>
        <w:jc w:val="both"/>
        <w:rPr>
          <w:rFonts w:ascii="Palatino Linotype" w:eastAsia="Palatino Linotype" w:hAnsi="Palatino Linotype" w:cs="Palatino Linotype"/>
        </w:rPr>
      </w:pPr>
    </w:p>
    <w:p w14:paraId="6ECDEA71" w14:textId="77777777" w:rsidR="00221903" w:rsidRPr="005164B9" w:rsidRDefault="00221903">
      <w:pPr>
        <w:spacing w:line="360" w:lineRule="auto"/>
        <w:jc w:val="both"/>
        <w:rPr>
          <w:rFonts w:ascii="Palatino Linotype" w:eastAsia="Palatino Linotype" w:hAnsi="Palatino Linotype" w:cs="Palatino Linotype"/>
        </w:rPr>
      </w:pPr>
      <w:bookmarkStart w:id="7" w:name="_heading=h.2et92p0" w:colFirst="0" w:colLast="0"/>
      <w:bookmarkEnd w:id="7"/>
    </w:p>
    <w:sectPr w:rsidR="00221903" w:rsidRPr="005164B9">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B781F" w14:textId="77777777" w:rsidR="002A23A5" w:rsidRDefault="002A23A5">
      <w:r>
        <w:separator/>
      </w:r>
    </w:p>
  </w:endnote>
  <w:endnote w:type="continuationSeparator" w:id="0">
    <w:p w14:paraId="3094C775" w14:textId="77777777" w:rsidR="002A23A5" w:rsidRDefault="002A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E746" w14:textId="77777777" w:rsidR="00221903" w:rsidRDefault="006557A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61C70">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61C70">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7E9F1E60" w14:textId="77777777" w:rsidR="00221903" w:rsidRDefault="0022190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9A2B" w14:textId="77777777" w:rsidR="00221903" w:rsidRDefault="006557A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61C7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61C70">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33B82B41" w14:textId="77777777" w:rsidR="00221903" w:rsidRDefault="0022190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83AD8" w14:textId="77777777" w:rsidR="002A23A5" w:rsidRDefault="002A23A5">
      <w:r>
        <w:separator/>
      </w:r>
    </w:p>
  </w:footnote>
  <w:footnote w:type="continuationSeparator" w:id="0">
    <w:p w14:paraId="49E5BE28" w14:textId="77777777" w:rsidR="002A23A5" w:rsidRDefault="002A2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4DA6" w14:textId="77777777" w:rsidR="00221903" w:rsidRDefault="006557AA">
    <w:pPr>
      <w:rPr>
        <w:rFonts w:ascii="Cambria" w:eastAsia="Cambria" w:hAnsi="Cambria" w:cs="Cambria"/>
      </w:rPr>
    </w:pPr>
    <w:r>
      <w:rPr>
        <w:noProof/>
      </w:rPr>
      <w:drawing>
        <wp:anchor distT="0" distB="0" distL="0" distR="0" simplePos="0" relativeHeight="251658240" behindDoc="1" locked="0" layoutInCell="1" hidden="0" allowOverlap="1" wp14:anchorId="579C7DA2" wp14:editId="298C8772">
          <wp:simplePos x="0" y="0"/>
          <wp:positionH relativeFrom="column">
            <wp:posOffset>-1080121</wp:posOffset>
          </wp:positionH>
          <wp:positionV relativeFrom="paragraph">
            <wp:posOffset>-488299</wp:posOffset>
          </wp:positionV>
          <wp:extent cx="7809865" cy="10165715"/>
          <wp:effectExtent l="0" t="0" r="0" b="0"/>
          <wp:wrapNone/>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221903" w14:paraId="6438904C" w14:textId="77777777">
      <w:tc>
        <w:tcPr>
          <w:tcW w:w="2489" w:type="dxa"/>
          <w:shd w:val="clear" w:color="auto" w:fill="auto"/>
        </w:tcPr>
        <w:p w14:paraId="07E3D10B" w14:textId="77777777" w:rsidR="00221903" w:rsidRDefault="006557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9D75083" w14:textId="77777777" w:rsidR="00221903" w:rsidRDefault="006557A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00629/INFOEM/IP/RR/2023</w:t>
          </w:r>
        </w:p>
      </w:tc>
    </w:tr>
    <w:tr w:rsidR="00221903" w14:paraId="624041ED" w14:textId="77777777">
      <w:trPr>
        <w:trHeight w:val="228"/>
      </w:trPr>
      <w:tc>
        <w:tcPr>
          <w:tcW w:w="2489" w:type="dxa"/>
          <w:shd w:val="clear" w:color="auto" w:fill="auto"/>
          <w:vAlign w:val="center"/>
        </w:tcPr>
        <w:p w14:paraId="6904A439" w14:textId="77777777" w:rsidR="00221903" w:rsidRDefault="006557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21D1F22" w14:textId="77777777" w:rsidR="00221903" w:rsidRDefault="006557A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Melchor Ocampo</w:t>
          </w:r>
        </w:p>
      </w:tc>
    </w:tr>
    <w:tr w:rsidR="00221903" w14:paraId="2D5339EB" w14:textId="77777777">
      <w:tc>
        <w:tcPr>
          <w:tcW w:w="2489" w:type="dxa"/>
          <w:shd w:val="clear" w:color="auto" w:fill="auto"/>
          <w:vAlign w:val="center"/>
        </w:tcPr>
        <w:p w14:paraId="562E1490" w14:textId="77777777" w:rsidR="00221903" w:rsidRDefault="006557A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0D7AEA1" w14:textId="77777777" w:rsidR="00221903" w:rsidRDefault="006557A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CE1C7A2" w14:textId="77777777" w:rsidR="00221903" w:rsidRDefault="006557AA">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647F" w14:textId="77777777" w:rsidR="00221903" w:rsidRDefault="0022190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9"/>
      <w:tblW w:w="5670" w:type="dxa"/>
      <w:tblInd w:w="3261" w:type="dxa"/>
      <w:tblLayout w:type="fixed"/>
      <w:tblLook w:val="0400" w:firstRow="0" w:lastRow="0" w:firstColumn="0" w:lastColumn="0" w:noHBand="0" w:noVBand="1"/>
    </w:tblPr>
    <w:tblGrid>
      <w:gridCol w:w="2551"/>
      <w:gridCol w:w="3119"/>
    </w:tblGrid>
    <w:tr w:rsidR="00221903" w14:paraId="27521AE7" w14:textId="77777777">
      <w:tc>
        <w:tcPr>
          <w:tcW w:w="2551" w:type="dxa"/>
          <w:shd w:val="clear" w:color="auto" w:fill="auto"/>
          <w:vAlign w:val="center"/>
        </w:tcPr>
        <w:p w14:paraId="6A273DB1" w14:textId="77777777" w:rsidR="00221903" w:rsidRDefault="006557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E769C2B" w14:textId="77777777" w:rsidR="00221903" w:rsidRDefault="006557AA">
          <w:pPr>
            <w:tabs>
              <w:tab w:val="left" w:pos="3153"/>
            </w:tabs>
            <w:ind w:left="-4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00629/INFOEM/IP/RR/2023</w:t>
          </w:r>
        </w:p>
      </w:tc>
    </w:tr>
    <w:tr w:rsidR="00221903" w14:paraId="3A5D70D0" w14:textId="77777777">
      <w:trPr>
        <w:trHeight w:val="130"/>
      </w:trPr>
      <w:tc>
        <w:tcPr>
          <w:tcW w:w="2551" w:type="dxa"/>
          <w:shd w:val="clear" w:color="auto" w:fill="auto"/>
          <w:vAlign w:val="center"/>
        </w:tcPr>
        <w:p w14:paraId="13DEDE5F" w14:textId="77777777" w:rsidR="00221903" w:rsidRDefault="006557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FFFFFF"/>
          <w:vAlign w:val="center"/>
        </w:tcPr>
        <w:p w14:paraId="68059CCE" w14:textId="77777777" w:rsidR="00221903" w:rsidRDefault="00661C70" w:rsidP="00661C7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 XXXXXXXXXX</w:t>
          </w:r>
        </w:p>
      </w:tc>
    </w:tr>
    <w:tr w:rsidR="00221903" w14:paraId="1D891BD4" w14:textId="77777777">
      <w:trPr>
        <w:trHeight w:val="228"/>
      </w:trPr>
      <w:tc>
        <w:tcPr>
          <w:tcW w:w="2551" w:type="dxa"/>
          <w:shd w:val="clear" w:color="auto" w:fill="auto"/>
          <w:vAlign w:val="center"/>
        </w:tcPr>
        <w:p w14:paraId="2DBDBD92" w14:textId="77777777" w:rsidR="00221903" w:rsidRDefault="006557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31E53FE" w14:textId="77777777" w:rsidR="00221903" w:rsidRDefault="006557A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Melchor Ocampo </w:t>
          </w:r>
        </w:p>
      </w:tc>
    </w:tr>
    <w:tr w:rsidR="00221903" w14:paraId="4DC10629" w14:textId="77777777">
      <w:tc>
        <w:tcPr>
          <w:tcW w:w="2551" w:type="dxa"/>
          <w:shd w:val="clear" w:color="auto" w:fill="auto"/>
          <w:vAlign w:val="center"/>
        </w:tcPr>
        <w:p w14:paraId="2FFD64B7" w14:textId="77777777" w:rsidR="00221903" w:rsidRDefault="006557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70D8C03" w14:textId="77777777" w:rsidR="00221903" w:rsidRDefault="006557A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1164025" w14:textId="77777777" w:rsidR="00221903" w:rsidRDefault="006557AA">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0F34E0DB" wp14:editId="7AA2ED20">
          <wp:simplePos x="0" y="0"/>
          <wp:positionH relativeFrom="column">
            <wp:posOffset>-1089646</wp:posOffset>
          </wp:positionH>
          <wp:positionV relativeFrom="paragraph">
            <wp:posOffset>-1169656</wp:posOffset>
          </wp:positionV>
          <wp:extent cx="7809865" cy="10165715"/>
          <wp:effectExtent l="0" t="0" r="0" b="0"/>
          <wp:wrapNone/>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6C11"/>
    <w:multiLevelType w:val="multilevel"/>
    <w:tmpl w:val="43CE9BD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936DCC"/>
    <w:multiLevelType w:val="multilevel"/>
    <w:tmpl w:val="FB9AD774"/>
    <w:lvl w:ilvl="0">
      <w:start w:val="1"/>
      <w:numFmt w:val="decimal"/>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CA651F"/>
    <w:multiLevelType w:val="multilevel"/>
    <w:tmpl w:val="534A986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903"/>
    <w:rsid w:val="001611E4"/>
    <w:rsid w:val="00221903"/>
    <w:rsid w:val="002A23A5"/>
    <w:rsid w:val="00357377"/>
    <w:rsid w:val="005164B9"/>
    <w:rsid w:val="006557AA"/>
    <w:rsid w:val="00661C70"/>
    <w:rsid w:val="007C69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3462"/>
  <w15:docId w15:val="{139901D9-7BBE-4254-99BA-6768D647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F3"/>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left w:w="115" w:type="dxa"/>
        <w:right w:w="115" w:type="dxa"/>
      </w:tblCellMar>
    </w:tblPr>
  </w:style>
  <w:style w:type="table" w:customStyle="1" w:styleId="9">
    <w:name w:val="9"/>
    <w:basedOn w:val="TableNormal1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left w:w="115" w:type="dxa"/>
        <w:right w:w="115" w:type="dxa"/>
      </w:tblCellMar>
    </w:tblPr>
  </w:style>
  <w:style w:type="table" w:customStyle="1" w:styleId="7">
    <w:name w:val="7"/>
    <w:basedOn w:val="TableNormal11"/>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
    <w:tblPr>
      <w:tblStyleRowBandSize w:val="1"/>
      <w:tblStyleColBandSize w:val="1"/>
      <w:tblCellMar>
        <w:left w:w="115" w:type="dxa"/>
        <w:right w:w="115" w:type="dxa"/>
      </w:tblCellMar>
    </w:tblPr>
  </w:style>
  <w:style w:type="table" w:customStyle="1" w:styleId="3">
    <w:name w:val="3"/>
    <w:basedOn w:val="TableNormal3"/>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table" w:customStyle="1" w:styleId="23">
    <w:name w:val="23"/>
    <w:basedOn w:val="TableNormal5"/>
    <w:tblPr>
      <w:tblStyleRowBandSize w:val="1"/>
      <w:tblStyleColBandSize w:val="1"/>
      <w:tblCellMar>
        <w:left w:w="115" w:type="dxa"/>
        <w:right w:w="115" w:type="dxa"/>
      </w:tblCellMar>
    </w:tblPr>
  </w:style>
  <w:style w:type="table" w:customStyle="1" w:styleId="22">
    <w:name w:val="22"/>
    <w:basedOn w:val="TableNormal5"/>
    <w:tblPr>
      <w:tblStyleRowBandSize w:val="1"/>
      <w:tblStyleColBandSize w:val="1"/>
      <w:tblCellMar>
        <w:left w:w="115" w:type="dxa"/>
        <w:right w:w="115" w:type="dxa"/>
      </w:tblCellMar>
    </w:tblPr>
  </w:style>
  <w:style w:type="table" w:customStyle="1" w:styleId="21">
    <w:name w:val="21"/>
    <w:basedOn w:val="TableNormal6"/>
    <w:tblPr>
      <w:tblStyleRowBandSize w:val="1"/>
      <w:tblStyleColBandSize w:val="1"/>
      <w:tblCellMar>
        <w:left w:w="115" w:type="dxa"/>
        <w:right w:w="115" w:type="dxa"/>
      </w:tblCellMar>
    </w:tblPr>
  </w:style>
  <w:style w:type="table" w:customStyle="1" w:styleId="20">
    <w:name w:val="20"/>
    <w:basedOn w:val="TableNormal6"/>
    <w:tblPr>
      <w:tblStyleRowBandSize w:val="1"/>
      <w:tblStyleColBandSize w:val="1"/>
      <w:tblCellMar>
        <w:left w:w="115" w:type="dxa"/>
        <w:right w:w="115" w:type="dxa"/>
      </w:tblCellMar>
    </w:tblPr>
  </w:style>
  <w:style w:type="table" w:customStyle="1" w:styleId="19">
    <w:name w:val="19"/>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left w:w="115" w:type="dxa"/>
        <w:right w:w="115" w:type="dxa"/>
      </w:tblCellMar>
    </w:tblPr>
  </w:style>
  <w:style w:type="table" w:customStyle="1" w:styleId="17">
    <w:name w:val="17"/>
    <w:basedOn w:val="TableNormal7"/>
    <w:tblPr>
      <w:tblStyleRowBandSize w:val="1"/>
      <w:tblStyleColBandSize w:val="1"/>
      <w:tblCellMar>
        <w:left w:w="115" w:type="dxa"/>
        <w:right w:w="115" w:type="dxa"/>
      </w:tblCellMar>
    </w:tblPr>
  </w:style>
  <w:style w:type="table" w:customStyle="1" w:styleId="16">
    <w:name w:val="16"/>
    <w:basedOn w:val="TableNormal8"/>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left w:w="115" w:type="dxa"/>
        <w:right w:w="115" w:type="dxa"/>
      </w:tblCellMar>
    </w:tblPr>
  </w:style>
  <w:style w:type="table" w:customStyle="1" w:styleId="14">
    <w:name w:val="14"/>
    <w:basedOn w:val="TableNormal8"/>
    <w:tblPr>
      <w:tblStyleRowBandSize w:val="1"/>
      <w:tblStyleColBandSize w:val="1"/>
      <w:tblCellMar>
        <w:left w:w="115" w:type="dxa"/>
        <w:right w:w="115" w:type="dxa"/>
      </w:tblCellMar>
    </w:tblPr>
  </w:style>
  <w:style w:type="table" w:customStyle="1" w:styleId="13">
    <w:name w:val="13"/>
    <w:basedOn w:val="TableNormal9"/>
    <w:tblPr>
      <w:tblStyleRowBandSize w:val="1"/>
      <w:tblStyleColBandSize w:val="1"/>
      <w:tblCellMar>
        <w:left w:w="115" w:type="dxa"/>
        <w:right w:w="115" w:type="dxa"/>
      </w:tblCellMar>
    </w:tblPr>
  </w:style>
  <w:style w:type="table" w:customStyle="1" w:styleId="12">
    <w:name w:val="12"/>
    <w:basedOn w:val="TableNormal9"/>
    <w:tblPr>
      <w:tblStyleRowBandSize w:val="1"/>
      <w:tblStyleColBandSize w:val="1"/>
      <w:tblCellMar>
        <w:left w:w="115" w:type="dxa"/>
        <w:right w:w="115" w:type="dxa"/>
      </w:tblCellMar>
    </w:tblPr>
  </w:style>
  <w:style w:type="table" w:customStyle="1" w:styleId="26">
    <w:name w:val="26"/>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left w:w="115" w:type="dxa"/>
        <w:right w:w="115" w:type="dxa"/>
      </w:tblCellMar>
    </w:tblPr>
  </w:style>
  <w:style w:type="table" w:customStyle="1" w:styleId="24">
    <w:name w:val="24"/>
    <w:basedOn w:val="TableNormal10"/>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00240.page"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00241.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700240.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700241.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xGlH7a08zC/hpzjb0Yw2Yy13hQ==">AMUW2mXWPYQeB0pfvVLxQG9yFd8wp+VQKzAkFkXNJx8sYNoS2gnIALCE9a3AWaJtf3k9aT/RAGzCMpn6lh9jorsXypxVjfOmrG+NBP2adn/voog9/RDEmx6yKaljaba8v2YkbcLuAH/5S8nIFF/t1v8pV/Sk7TZxyZmS4b/uskloPfg/hvcksMVStufPRvfT0uK/Y3eQ2q48L9iK9y45BuVs8UP/SzgzFnuo+oyRLyGANuKWbjSZw0w=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6513</Words>
  <Characters>35822</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3</cp:revision>
  <cp:lastPrinted>2023-05-19T16:14:00Z</cp:lastPrinted>
  <dcterms:created xsi:type="dcterms:W3CDTF">2023-05-24T18:54:00Z</dcterms:created>
  <dcterms:modified xsi:type="dcterms:W3CDTF">2023-06-06T19:49:00Z</dcterms:modified>
</cp:coreProperties>
</file>