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diez de mayo de dos mil veintitrés.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VISTO</w:t>
      </w:r>
      <w:r w:rsidRPr="00FB757F">
        <w:rPr>
          <w:rFonts w:ascii="Palatino Linotype" w:eastAsia="Palatino Linotype" w:hAnsi="Palatino Linotype" w:cs="Palatino Linotype"/>
        </w:rPr>
        <w:t xml:space="preserve"> el expediente formado con motivo del recurso de revisión </w:t>
      </w:r>
      <w:r w:rsidRPr="00FB757F">
        <w:rPr>
          <w:rFonts w:ascii="Palatino Linotype" w:eastAsia="Palatino Linotype" w:hAnsi="Palatino Linotype" w:cs="Palatino Linotype"/>
          <w:b/>
        </w:rPr>
        <w:t>15029/INFOEM/IP/RR/202</w:t>
      </w:r>
      <w:r w:rsidR="009353A2">
        <w:rPr>
          <w:rFonts w:ascii="Palatino Linotype" w:eastAsia="Palatino Linotype" w:hAnsi="Palatino Linotype" w:cs="Palatino Linotype"/>
          <w:b/>
        </w:rPr>
        <w:t>2</w:t>
      </w:r>
      <w:r w:rsidRPr="00FB757F">
        <w:rPr>
          <w:rFonts w:ascii="Palatino Linotype" w:eastAsia="Palatino Linotype" w:hAnsi="Palatino Linotype" w:cs="Palatino Linotype"/>
        </w:rPr>
        <w:t xml:space="preserve">, interpuesto por </w:t>
      </w:r>
      <w:r w:rsidR="0037615F">
        <w:rPr>
          <w:rFonts w:ascii="Palatino Linotype" w:eastAsia="Palatino Linotype" w:hAnsi="Palatino Linotype" w:cs="Palatino Linotype"/>
          <w:b/>
        </w:rPr>
        <w:t>XXXXXXXXXX XXXXX XXXXXXXX</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a quien en lo sucesivo se le denominará como</w:t>
      </w:r>
      <w:r w:rsidRPr="00FB757F">
        <w:rPr>
          <w:rFonts w:ascii="Palatino Linotype" w:eastAsia="Palatino Linotype" w:hAnsi="Palatino Linotype" w:cs="Palatino Linotype"/>
          <w:b/>
        </w:rPr>
        <w:t xml:space="preserve"> LA PARTE RECURRENTE,</w:t>
      </w:r>
      <w:r w:rsidRPr="00FB757F">
        <w:rPr>
          <w:rFonts w:ascii="Palatino Linotype" w:eastAsia="Palatino Linotype" w:hAnsi="Palatino Linotype" w:cs="Palatino Linotype"/>
        </w:rPr>
        <w:t xml:space="preserve"> en contra de la respuesta a la solicitud </w:t>
      </w:r>
      <w:r w:rsidRPr="00FB757F">
        <w:rPr>
          <w:rFonts w:ascii="Palatino Linotype" w:eastAsia="Palatino Linotype" w:hAnsi="Palatino Linotype" w:cs="Palatino Linotype"/>
          <w:b/>
        </w:rPr>
        <w:t xml:space="preserve">00519/TENANCIN/IP/2022 </w:t>
      </w:r>
      <w:r w:rsidRPr="00FB757F">
        <w:rPr>
          <w:rFonts w:ascii="Palatino Linotype" w:eastAsia="Palatino Linotype" w:hAnsi="Palatino Linotype" w:cs="Palatino Linotype"/>
        </w:rPr>
        <w:t>por parte del</w:t>
      </w:r>
      <w:r w:rsidRPr="00FB757F">
        <w:rPr>
          <w:rFonts w:ascii="Palatino Linotype" w:eastAsia="Palatino Linotype" w:hAnsi="Palatino Linotype" w:cs="Palatino Linotype"/>
          <w:b/>
        </w:rPr>
        <w:t xml:space="preserve"> Ayuntamiento de Tenancingo, </w:t>
      </w:r>
      <w:r w:rsidRPr="00FB757F">
        <w:rPr>
          <w:rFonts w:ascii="Palatino Linotype" w:eastAsia="Palatino Linotype" w:hAnsi="Palatino Linotype" w:cs="Palatino Linotype"/>
        </w:rPr>
        <w:t xml:space="preserve">en lo sucesivo </w:t>
      </w:r>
      <w:r w:rsidRPr="00FB757F">
        <w:rPr>
          <w:rFonts w:ascii="Palatino Linotype" w:eastAsia="Palatino Linotype" w:hAnsi="Palatino Linotype" w:cs="Palatino Linotype"/>
          <w:b/>
        </w:rPr>
        <w:t xml:space="preserve">EL SUJETO OBLIGADO, </w:t>
      </w:r>
      <w:r w:rsidRPr="00FB757F">
        <w:rPr>
          <w:rFonts w:ascii="Palatino Linotype" w:eastAsia="Palatino Linotype" w:hAnsi="Palatino Linotype" w:cs="Palatino Linotype"/>
        </w:rPr>
        <w:t xml:space="preserve">se procede a dictar la presente resolución con base en los siguientes: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FB757F">
        <w:rPr>
          <w:rFonts w:ascii="Palatino Linotype" w:eastAsia="Palatino Linotype" w:hAnsi="Palatino Linotype" w:cs="Palatino Linotype"/>
          <w:b/>
        </w:rPr>
        <w:t>A N T E C E D E N T E S</w:t>
      </w:r>
    </w:p>
    <w:p w:rsidR="001819CB" w:rsidRPr="00FB757F" w:rsidRDefault="001819CB">
      <w:pPr>
        <w:pBdr>
          <w:top w:val="nil"/>
          <w:left w:val="nil"/>
          <w:bottom w:val="nil"/>
          <w:right w:val="nil"/>
          <w:between w:val="nil"/>
        </w:pBdr>
        <w:spacing w:line="360" w:lineRule="auto"/>
        <w:ind w:left="1080"/>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bookmarkStart w:id="0" w:name="_heading=h.gjdgxs" w:colFirst="0" w:colLast="0"/>
      <w:bookmarkEnd w:id="0"/>
      <w:r w:rsidRPr="00FB757F">
        <w:rPr>
          <w:rFonts w:ascii="Palatino Linotype" w:eastAsia="Palatino Linotype" w:hAnsi="Palatino Linotype" w:cs="Palatino Linotype"/>
          <w:b/>
        </w:rPr>
        <w:t>1. Solicitud de acceso a la información.</w:t>
      </w:r>
      <w:r w:rsidRPr="00FB757F">
        <w:rPr>
          <w:rFonts w:ascii="Palatino Linotype" w:eastAsia="Palatino Linotype" w:hAnsi="Palatino Linotype" w:cs="Palatino Linotype"/>
        </w:rPr>
        <w:t xml:space="preserve"> El </w:t>
      </w:r>
      <w:r w:rsidRPr="00FB757F">
        <w:rPr>
          <w:rFonts w:ascii="Palatino Linotype" w:eastAsia="Palatino Linotype" w:hAnsi="Palatino Linotype" w:cs="Palatino Linotype"/>
          <w:b/>
        </w:rPr>
        <w:t>uno de septiembre de dos mil veintidós,</w:t>
      </w:r>
      <w:r w:rsidRPr="00FB757F">
        <w:rPr>
          <w:rFonts w:ascii="Palatino Linotype" w:eastAsia="Palatino Linotype" w:hAnsi="Palatino Linotype" w:cs="Palatino Linotype"/>
        </w:rPr>
        <w:t xml:space="preserve"> </w:t>
      </w:r>
      <w:r w:rsidRPr="00FB757F">
        <w:rPr>
          <w:rFonts w:ascii="Palatino Linotype" w:eastAsia="Palatino Linotype" w:hAnsi="Palatino Linotype" w:cs="Palatino Linotype"/>
          <w:b/>
        </w:rPr>
        <w:t>LA PARTE</w:t>
      </w:r>
      <w:r w:rsidRPr="00FB757F">
        <w:rPr>
          <w:rFonts w:ascii="Palatino Linotype" w:eastAsia="Palatino Linotype" w:hAnsi="Palatino Linotype" w:cs="Palatino Linotype"/>
        </w:rPr>
        <w:t xml:space="preserve"> </w:t>
      </w:r>
      <w:r w:rsidRPr="00FB757F">
        <w:rPr>
          <w:rFonts w:ascii="Palatino Linotype" w:eastAsia="Palatino Linotype" w:hAnsi="Palatino Linotype" w:cs="Palatino Linotype"/>
          <w:b/>
        </w:rPr>
        <w:t xml:space="preserve">RECURRENTE </w:t>
      </w:r>
      <w:r w:rsidRPr="00FB757F">
        <w:rPr>
          <w:rFonts w:ascii="Palatino Linotype" w:eastAsia="Palatino Linotype" w:hAnsi="Palatino Linotype" w:cs="Palatino Linotype"/>
        </w:rPr>
        <w:t>presentó, través del Sistema de Acceso a la Información Mexiquense o SAIMEX</w:t>
      </w:r>
      <w:r w:rsidRPr="00FB757F">
        <w:rPr>
          <w:rFonts w:ascii="Palatino Linotype" w:eastAsia="Palatino Linotype" w:hAnsi="Palatino Linotype" w:cs="Palatino Linotype"/>
          <w:b/>
        </w:rPr>
        <w:t>,</w:t>
      </w:r>
      <w:r w:rsidRPr="00FB757F">
        <w:rPr>
          <w:rFonts w:ascii="Palatino Linotype" w:eastAsia="Palatino Linotype" w:hAnsi="Palatino Linotype" w:cs="Palatino Linotype"/>
        </w:rPr>
        <w:t xml:space="preserve"> ante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la solicitud de acceso a la información pública</w:t>
      </w:r>
      <w:r w:rsidRPr="00FB757F">
        <w:rPr>
          <w:rFonts w:ascii="Palatino Linotype" w:eastAsia="Palatino Linotype" w:hAnsi="Palatino Linotype" w:cs="Palatino Linotype"/>
          <w:b/>
        </w:rPr>
        <w:t xml:space="preserve"> 00519/TENANCIN/IP/2022, </w:t>
      </w:r>
      <w:r w:rsidRPr="00FB757F">
        <w:rPr>
          <w:rFonts w:ascii="Palatino Linotype" w:eastAsia="Palatino Linotype" w:hAnsi="Palatino Linotype" w:cs="Palatino Linotype"/>
        </w:rPr>
        <w:t xml:space="preserve">mediante la cual requirió la información siguiente: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“Necesito conocer la </w:t>
      </w:r>
      <w:proofErr w:type="spellStart"/>
      <w:r w:rsidRPr="00FB757F">
        <w:rPr>
          <w:rFonts w:ascii="Palatino Linotype" w:eastAsia="Palatino Linotype" w:hAnsi="Palatino Linotype" w:cs="Palatino Linotype"/>
          <w:i/>
          <w:sz w:val="22"/>
          <w:szCs w:val="22"/>
        </w:rPr>
        <w:t>nomina</w:t>
      </w:r>
      <w:proofErr w:type="spellEnd"/>
      <w:r w:rsidRPr="00FB757F">
        <w:rPr>
          <w:rFonts w:ascii="Palatino Linotype" w:eastAsia="Palatino Linotype" w:hAnsi="Palatino Linotype" w:cs="Palatino Linotype"/>
          <w:i/>
          <w:sz w:val="22"/>
          <w:szCs w:val="22"/>
        </w:rPr>
        <w:t xml:space="preserve"> del ayuntamiento donde muestren sueldos de todos los trabajadores del ayuntamiento incluyendo a los miembros del cabildo todo esto de la segunda quincena del mes de julio del año 2022” (Sic)</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Modalidad de Entrega:</w:t>
      </w:r>
      <w:r w:rsidRPr="00FB757F">
        <w:rPr>
          <w:rFonts w:ascii="Palatino Linotype" w:eastAsia="Palatino Linotype" w:hAnsi="Palatino Linotype" w:cs="Palatino Linotype"/>
        </w:rPr>
        <w:t xml:space="preserve"> A través de SAIMEX.</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 xml:space="preserve">2. Respuesta. </w:t>
      </w:r>
      <w:r w:rsidRPr="00FB757F">
        <w:rPr>
          <w:rFonts w:ascii="Palatino Linotype" w:eastAsia="Palatino Linotype" w:hAnsi="Palatino Linotype" w:cs="Palatino Linotype"/>
        </w:rPr>
        <w:t xml:space="preserve">El </w:t>
      </w:r>
      <w:r w:rsidRPr="00FB757F">
        <w:rPr>
          <w:rFonts w:ascii="Palatino Linotype" w:eastAsia="Palatino Linotype" w:hAnsi="Palatino Linotype" w:cs="Palatino Linotype"/>
          <w:b/>
        </w:rPr>
        <w:t xml:space="preserve">veintitrés de septiembre de dos mil veintidós, EL SUJETO OBLIGADO </w:t>
      </w:r>
      <w:r w:rsidRPr="00FB757F">
        <w:rPr>
          <w:rFonts w:ascii="Palatino Linotype" w:eastAsia="Palatino Linotype" w:hAnsi="Palatino Linotype" w:cs="Palatino Linotype"/>
        </w:rPr>
        <w:t xml:space="preserve">respondió a este requerimiento en los siguientes términos: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“Tenancingo, México a 23 de Septiembre de 2022</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Nombre del solicitante: C. Solicitante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Folio de la solicitud: 00519/TENANCIN/IP/2022</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SE REMITE RESPUESTA A LA SOLICITUD</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ATENTAMENTE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L. </w:t>
      </w:r>
      <w:proofErr w:type="gramStart"/>
      <w:r w:rsidRPr="00FB757F">
        <w:rPr>
          <w:rFonts w:ascii="Palatino Linotype" w:eastAsia="Palatino Linotype" w:hAnsi="Palatino Linotype" w:cs="Palatino Linotype"/>
          <w:i/>
          <w:sz w:val="22"/>
          <w:szCs w:val="22"/>
        </w:rPr>
        <w:t>en</w:t>
      </w:r>
      <w:proofErr w:type="gramEnd"/>
      <w:r w:rsidRPr="00FB757F">
        <w:rPr>
          <w:rFonts w:ascii="Palatino Linotype" w:eastAsia="Palatino Linotype" w:hAnsi="Palatino Linotype" w:cs="Palatino Linotype"/>
          <w:i/>
          <w:sz w:val="22"/>
          <w:szCs w:val="22"/>
        </w:rPr>
        <w:t xml:space="preserve"> D. OSCAR MANUEL MARTINEZ RODRIGUEZ” (Sic)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Adjunto a dicho acto, remitió el archivo </w:t>
      </w:r>
      <w:hyperlink r:id="rId8">
        <w:r w:rsidRPr="00FB757F">
          <w:rPr>
            <w:rFonts w:ascii="Palatino Linotype" w:eastAsia="Palatino Linotype" w:hAnsi="Palatino Linotype" w:cs="Palatino Linotype"/>
            <w:i/>
          </w:rPr>
          <w:t>Contestación 00519 Tesorería.pdf</w:t>
        </w:r>
      </w:hyperlink>
      <w:r w:rsidRPr="00FB757F">
        <w:rPr>
          <w:rFonts w:ascii="Palatino Linotype" w:eastAsia="Palatino Linotype" w:hAnsi="Palatino Linotype" w:cs="Palatino Linotype"/>
          <w:i/>
        </w:rPr>
        <w:t xml:space="preserve"> </w:t>
      </w:r>
      <w:r w:rsidRPr="00FB757F">
        <w:rPr>
          <w:rFonts w:ascii="Palatino Linotype" w:eastAsia="Palatino Linotype" w:hAnsi="Palatino Linotype" w:cs="Palatino Linotype"/>
        </w:rPr>
        <w:t xml:space="preserve">que contiene el oficio </w:t>
      </w:r>
      <w:r w:rsidRPr="00FB757F">
        <w:rPr>
          <w:rFonts w:ascii="Palatino Linotype" w:eastAsia="Palatino Linotype" w:hAnsi="Palatino Linotype" w:cs="Palatino Linotype"/>
          <w:i/>
        </w:rPr>
        <w:t>PMT/058/TM/00459/2022</w:t>
      </w:r>
      <w:r w:rsidRPr="00FB757F">
        <w:rPr>
          <w:rFonts w:ascii="Palatino Linotype" w:eastAsia="Palatino Linotype" w:hAnsi="Palatino Linotype" w:cs="Palatino Linotype"/>
        </w:rPr>
        <w:t xml:space="preserve"> de fecha seis de septiembre de dos mil veintidós, signado por la Tesorería Municipal del Ayuntamiento de Tenancingo, mediante el cual se informa a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en términos generales que </w:t>
      </w:r>
      <w:r w:rsidRPr="00FB757F">
        <w:rPr>
          <w:rFonts w:ascii="Palatino Linotype" w:eastAsia="Palatino Linotype" w:hAnsi="Palatino Linotype" w:cs="Palatino Linotype"/>
          <w:i/>
        </w:rPr>
        <w:t xml:space="preserve">“NO NIEGA LA EXISTENCIA DE LA INFORMACIÓN, pero como ya se mencionó anteriormente, nos encontramos en la imposibilidad de entregar al solicitante la información en la modalidad que éste señala, por lo cual se realiza un cambio de modalidad a “CONSULTA DIRECTA”…” (Sic), </w:t>
      </w:r>
      <w:r w:rsidRPr="00FB757F">
        <w:rPr>
          <w:rFonts w:ascii="Palatino Linotype" w:eastAsia="Palatino Linotype" w:hAnsi="Palatino Linotype" w:cs="Palatino Linotype"/>
        </w:rPr>
        <w:t>y en esa tesitura se refiere a que</w:t>
      </w:r>
      <w:r w:rsidRPr="00FB757F">
        <w:rPr>
          <w:rFonts w:ascii="Palatino Linotype" w:eastAsia="Palatino Linotype" w:hAnsi="Palatino Linotype" w:cs="Palatino Linotype"/>
          <w:i/>
        </w:rPr>
        <w:t xml:space="preserve"> “Se le dará acceso a los archivos que contienen la información sobre: Las remuneraciones (sueldos y percepciones) pagadas al Presidente Municipal, de la primera quincena de enero a la segunda de febrero de dos mil veintidós…” (Sic). </w:t>
      </w:r>
    </w:p>
    <w:p w:rsidR="001819CB" w:rsidRPr="00FB757F" w:rsidRDefault="001819CB">
      <w:pPr>
        <w:spacing w:line="360" w:lineRule="auto"/>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bookmarkStart w:id="1" w:name="_heading=h.2et92p0" w:colFirst="0" w:colLast="0"/>
      <w:bookmarkEnd w:id="1"/>
      <w:r w:rsidRPr="00FB757F">
        <w:rPr>
          <w:rFonts w:ascii="Palatino Linotype" w:eastAsia="Palatino Linotype" w:hAnsi="Palatino Linotype" w:cs="Palatino Linotype"/>
          <w:b/>
          <w:sz w:val="22"/>
          <w:szCs w:val="22"/>
        </w:rPr>
        <w:t>3.</w:t>
      </w:r>
      <w:r w:rsidRPr="00FB757F">
        <w:rPr>
          <w:rFonts w:ascii="Palatino Linotype" w:eastAsia="Palatino Linotype" w:hAnsi="Palatino Linotype" w:cs="Palatino Linotype"/>
          <w:b/>
        </w:rPr>
        <w:t xml:space="preserve"> Interposición del recurso de revisión. </w:t>
      </w:r>
      <w:r w:rsidRPr="00FB757F">
        <w:rPr>
          <w:rFonts w:ascii="Palatino Linotype" w:eastAsia="Palatino Linotype" w:hAnsi="Palatino Linotype" w:cs="Palatino Linotype"/>
        </w:rPr>
        <w:t xml:space="preserve">Inconforme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con la respuesta del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el día</w:t>
      </w:r>
      <w:r w:rsidRPr="00FB757F">
        <w:rPr>
          <w:rFonts w:ascii="Palatino Linotype" w:eastAsia="Palatino Linotype" w:hAnsi="Palatino Linotype" w:cs="Palatino Linotype"/>
          <w:b/>
        </w:rPr>
        <w:t xml:space="preserve"> veintitrés de septiembre de dos </w:t>
      </w:r>
      <w:r w:rsidRPr="00FB757F">
        <w:rPr>
          <w:rFonts w:ascii="Palatino Linotype" w:eastAsia="Palatino Linotype" w:hAnsi="Palatino Linotype" w:cs="Palatino Linotype"/>
          <w:b/>
        </w:rPr>
        <w:lastRenderedPageBreak/>
        <w:t>mil veintidós,</w:t>
      </w:r>
      <w:r w:rsidRPr="00FB757F">
        <w:rPr>
          <w:rFonts w:ascii="Palatino Linotype" w:eastAsia="Palatino Linotype" w:hAnsi="Palatino Linotype" w:cs="Palatino Linotype"/>
        </w:rPr>
        <w:t xml:space="preserve"> interpuso el recurso de revisión a través de SAIMEX,</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en donde se manifestó de la siguiente manera: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tabs>
          <w:tab w:val="left" w:pos="2745"/>
        </w:tabs>
        <w:spacing w:line="360" w:lineRule="auto"/>
        <w:jc w:val="both"/>
        <w:rPr>
          <w:rFonts w:ascii="Palatino Linotype" w:eastAsia="Palatino Linotype" w:hAnsi="Palatino Linotype" w:cs="Palatino Linotype"/>
          <w:b/>
        </w:rPr>
      </w:pPr>
      <w:r w:rsidRPr="00FB757F">
        <w:rPr>
          <w:rFonts w:ascii="Palatino Linotype" w:eastAsia="Palatino Linotype" w:hAnsi="Palatino Linotype" w:cs="Palatino Linotype"/>
          <w:b/>
        </w:rPr>
        <w:t xml:space="preserve">Acto impugnado: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“Negativa de respuesta” (Sic)</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bookmarkStart w:id="2" w:name="_heading=h.30j0zll" w:colFirst="0" w:colLast="0"/>
      <w:bookmarkEnd w:id="2"/>
      <w:r w:rsidRPr="00FB757F">
        <w:rPr>
          <w:rFonts w:ascii="Palatino Linotype" w:eastAsia="Palatino Linotype" w:hAnsi="Palatino Linotype" w:cs="Palatino Linotype"/>
          <w:b/>
        </w:rPr>
        <w:t>Razones o motivos de inconformidad</w:t>
      </w:r>
      <w:r w:rsidRPr="00FB757F">
        <w:rPr>
          <w:rFonts w:ascii="Palatino Linotype" w:eastAsia="Palatino Linotype" w:hAnsi="Palatino Linotype" w:cs="Palatino Linotype"/>
        </w:rPr>
        <w:t>:</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roofErr w:type="spellStart"/>
      <w:r w:rsidRPr="00FB757F">
        <w:rPr>
          <w:rFonts w:ascii="Palatino Linotype" w:eastAsia="Palatino Linotype" w:hAnsi="Palatino Linotype" w:cs="Palatino Linotype"/>
          <w:i/>
          <w:sz w:val="22"/>
          <w:szCs w:val="22"/>
        </w:rPr>
        <w:t>Pedi</w:t>
      </w:r>
      <w:proofErr w:type="spellEnd"/>
      <w:r w:rsidRPr="00FB757F">
        <w:rPr>
          <w:rFonts w:ascii="Palatino Linotype" w:eastAsia="Palatino Linotype" w:hAnsi="Palatino Linotype" w:cs="Palatino Linotype"/>
          <w:i/>
          <w:sz w:val="22"/>
          <w:szCs w:val="22"/>
        </w:rPr>
        <w:t xml:space="preserve"> que me proporcionaran la </w:t>
      </w:r>
      <w:proofErr w:type="spellStart"/>
      <w:r w:rsidRPr="00FB757F">
        <w:rPr>
          <w:rFonts w:ascii="Palatino Linotype" w:eastAsia="Palatino Linotype" w:hAnsi="Palatino Linotype" w:cs="Palatino Linotype"/>
          <w:i/>
          <w:sz w:val="22"/>
          <w:szCs w:val="22"/>
        </w:rPr>
        <w:t>nomina</w:t>
      </w:r>
      <w:proofErr w:type="spellEnd"/>
      <w:r w:rsidRPr="00FB757F">
        <w:rPr>
          <w:rFonts w:ascii="Palatino Linotype" w:eastAsia="Palatino Linotype" w:hAnsi="Palatino Linotype" w:cs="Palatino Linotype"/>
          <w:i/>
          <w:sz w:val="22"/>
          <w:szCs w:val="22"/>
        </w:rPr>
        <w:t xml:space="preserve"> esta ya es la segunda vez, en la primera me dieron la </w:t>
      </w:r>
      <w:proofErr w:type="spellStart"/>
      <w:r w:rsidRPr="00FB757F">
        <w:rPr>
          <w:rFonts w:ascii="Palatino Linotype" w:eastAsia="Palatino Linotype" w:hAnsi="Palatino Linotype" w:cs="Palatino Linotype"/>
          <w:i/>
          <w:sz w:val="22"/>
          <w:szCs w:val="22"/>
        </w:rPr>
        <w:t>nomina</w:t>
      </w:r>
      <w:proofErr w:type="spellEnd"/>
      <w:r w:rsidRPr="00FB757F">
        <w:rPr>
          <w:rFonts w:ascii="Palatino Linotype" w:eastAsia="Palatino Linotype" w:hAnsi="Palatino Linotype" w:cs="Palatino Linotype"/>
          <w:i/>
          <w:sz w:val="22"/>
          <w:szCs w:val="22"/>
        </w:rPr>
        <w:t xml:space="preserve"> incompleta faltando los miembros de cabildo y en esta </w:t>
      </w:r>
      <w:proofErr w:type="spellStart"/>
      <w:r w:rsidRPr="00FB757F">
        <w:rPr>
          <w:rFonts w:ascii="Palatino Linotype" w:eastAsia="Palatino Linotype" w:hAnsi="Palatino Linotype" w:cs="Palatino Linotype"/>
          <w:i/>
          <w:sz w:val="22"/>
          <w:szCs w:val="22"/>
        </w:rPr>
        <w:t>ocacion</w:t>
      </w:r>
      <w:proofErr w:type="spellEnd"/>
      <w:r w:rsidRPr="00FB757F">
        <w:rPr>
          <w:rFonts w:ascii="Palatino Linotype" w:eastAsia="Palatino Linotype" w:hAnsi="Palatino Linotype" w:cs="Palatino Linotype"/>
          <w:i/>
          <w:sz w:val="22"/>
          <w:szCs w:val="22"/>
        </w:rPr>
        <w:t xml:space="preserve"> me quieren cambiar la modalidad a consulta directa pareciera que no quieren proporcionar la </w:t>
      </w:r>
      <w:proofErr w:type="spellStart"/>
      <w:r w:rsidRPr="00FB757F">
        <w:rPr>
          <w:rFonts w:ascii="Palatino Linotype" w:eastAsia="Palatino Linotype" w:hAnsi="Palatino Linotype" w:cs="Palatino Linotype"/>
          <w:i/>
          <w:sz w:val="22"/>
          <w:szCs w:val="22"/>
        </w:rPr>
        <w:t>informacion</w:t>
      </w:r>
      <w:proofErr w:type="spellEnd"/>
      <w:r w:rsidRPr="00FB757F">
        <w:rPr>
          <w:rFonts w:ascii="Palatino Linotype" w:eastAsia="Palatino Linotype" w:hAnsi="Palatino Linotype" w:cs="Palatino Linotype"/>
          <w:i/>
          <w:sz w:val="22"/>
          <w:szCs w:val="22"/>
        </w:rPr>
        <w:t xml:space="preserve"> requerida de los miembros del cabildo” (Sic)</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ind w:right="51"/>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4. Turno. </w:t>
      </w:r>
      <w:r w:rsidRPr="00FB757F">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sidRPr="00FB757F">
        <w:rPr>
          <w:rFonts w:ascii="Palatino Linotype" w:eastAsia="Palatino Linotype" w:hAnsi="Palatino Linotype" w:cs="Palatino Linotype"/>
          <w:b/>
        </w:rPr>
        <w:t xml:space="preserve">Comisionada Guadalupe Ramírez Peña, </w:t>
      </w:r>
      <w:r w:rsidRPr="00FB757F">
        <w:rPr>
          <w:rFonts w:ascii="Palatino Linotype" w:eastAsia="Palatino Linotype" w:hAnsi="Palatino Linotype" w:cs="Palatino Linotype"/>
        </w:rPr>
        <w:t xml:space="preserve">a efecto de que analizara sobre su admisión o su </w:t>
      </w:r>
      <w:proofErr w:type="spellStart"/>
      <w:r w:rsidRPr="00FB757F">
        <w:rPr>
          <w:rFonts w:ascii="Palatino Linotype" w:eastAsia="Palatino Linotype" w:hAnsi="Palatino Linotype" w:cs="Palatino Linotype"/>
        </w:rPr>
        <w:t>desechamiento</w:t>
      </w:r>
      <w:proofErr w:type="spellEnd"/>
      <w:r w:rsidRPr="00FB757F">
        <w:rPr>
          <w:rFonts w:ascii="Palatino Linotype" w:eastAsia="Palatino Linotype" w:hAnsi="Palatino Linotype" w:cs="Palatino Linotype"/>
        </w:rPr>
        <w:t>.</w:t>
      </w:r>
    </w:p>
    <w:p w:rsidR="001819CB" w:rsidRPr="00FB757F" w:rsidRDefault="001819CB">
      <w:pPr>
        <w:spacing w:line="360" w:lineRule="auto"/>
        <w:ind w:right="51"/>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5. Admisión del Recurso de revisión.</w:t>
      </w:r>
      <w:r w:rsidRPr="00FB757F">
        <w:rPr>
          <w:rFonts w:ascii="Palatino Linotype" w:eastAsia="Palatino Linotype" w:hAnsi="Palatino Linotype" w:cs="Palatino Linotype"/>
        </w:rPr>
        <w:t xml:space="preserve"> El</w:t>
      </w:r>
      <w:r w:rsidRPr="00FB757F">
        <w:rPr>
          <w:rFonts w:ascii="Palatino Linotype" w:eastAsia="Palatino Linotype" w:hAnsi="Palatino Linotype" w:cs="Palatino Linotype"/>
          <w:b/>
        </w:rPr>
        <w:t xml:space="preserve"> veintiocho de septiembre de dos mil veintidós, </w:t>
      </w:r>
      <w:r w:rsidRPr="00FB757F">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FB757F">
        <w:rPr>
          <w:rFonts w:ascii="Palatino Linotype" w:eastAsia="Palatino Linotype" w:hAnsi="Palatino Linotype" w:cs="Palatino Linotype"/>
          <w:b/>
        </w:rPr>
        <w:t xml:space="preserve">EL SUJETO OBLIGADO </w:t>
      </w:r>
      <w:r w:rsidRPr="00FB757F">
        <w:rPr>
          <w:rFonts w:ascii="Palatino Linotype" w:eastAsia="Palatino Linotype" w:hAnsi="Palatino Linotype" w:cs="Palatino Linotype"/>
        </w:rPr>
        <w:t>presentara su Informe Justificado.</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ind w:right="49"/>
        <w:jc w:val="both"/>
        <w:rPr>
          <w:rFonts w:ascii="Palatino Linotype" w:eastAsia="Palatino Linotype" w:hAnsi="Palatino Linotype" w:cs="Palatino Linotype"/>
        </w:rPr>
      </w:pPr>
      <w:bookmarkStart w:id="3" w:name="_heading=h.2s8eyo1" w:colFirst="0" w:colLast="0"/>
      <w:bookmarkEnd w:id="3"/>
      <w:r w:rsidRPr="00FB757F">
        <w:rPr>
          <w:rFonts w:ascii="Palatino Linotype" w:eastAsia="Palatino Linotype" w:hAnsi="Palatino Linotype" w:cs="Palatino Linotype"/>
          <w:b/>
        </w:rPr>
        <w:t>6. Manifestaciones</w:t>
      </w:r>
      <w:r w:rsidRPr="00FB757F">
        <w:rPr>
          <w:rFonts w:ascii="Palatino Linotype" w:eastAsia="Palatino Linotype" w:hAnsi="Palatino Linotype" w:cs="Palatino Linotype"/>
        </w:rPr>
        <w:t xml:space="preserve">. De las constancias que integran el expediente electrónico en que se actúa, se advierte que tanto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como </w:t>
      </w:r>
      <w:r w:rsidRPr="00FB757F">
        <w:rPr>
          <w:rFonts w:ascii="Palatino Linotype" w:eastAsia="Palatino Linotype" w:hAnsi="Palatino Linotype" w:cs="Palatino Linotype"/>
          <w:b/>
        </w:rPr>
        <w:t xml:space="preserve">LA PARTE </w:t>
      </w:r>
      <w:r w:rsidRPr="00FB757F">
        <w:rPr>
          <w:rFonts w:ascii="Palatino Linotype" w:eastAsia="Palatino Linotype" w:hAnsi="Palatino Linotype" w:cs="Palatino Linotype"/>
          <w:b/>
        </w:rPr>
        <w:lastRenderedPageBreak/>
        <w:t>RECURRENTE</w:t>
      </w:r>
      <w:r w:rsidRPr="00FB757F">
        <w:rPr>
          <w:rFonts w:ascii="Palatino Linotype" w:eastAsia="Palatino Linotype" w:hAnsi="Palatino Linotype" w:cs="Palatino Linotype"/>
        </w:rPr>
        <w:t xml:space="preserve"> omitieron hacer uso de este derecho procesal, dejando de emitir su Informe Justificado y las manifestaciones que estimaran conducentes respectivamente, como consta a continuación: </w:t>
      </w:r>
    </w:p>
    <w:p w:rsidR="001819CB" w:rsidRPr="00FB757F" w:rsidRDefault="005D59EC">
      <w:pPr>
        <w:spacing w:line="360" w:lineRule="auto"/>
        <w:ind w:right="49"/>
        <w:jc w:val="center"/>
        <w:rPr>
          <w:rFonts w:ascii="Palatino Linotype" w:eastAsia="Palatino Linotype" w:hAnsi="Palatino Linotype" w:cs="Palatino Linotype"/>
        </w:rPr>
      </w:pPr>
      <w:r w:rsidRPr="00FB757F">
        <w:rPr>
          <w:noProof/>
        </w:rPr>
        <w:drawing>
          <wp:inline distT="0" distB="0" distL="0" distR="0">
            <wp:extent cx="4824378" cy="1159173"/>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688" t="33048" r="6347" b="30229"/>
                    <a:stretch>
                      <a:fillRect/>
                    </a:stretch>
                  </pic:blipFill>
                  <pic:spPr>
                    <a:xfrm>
                      <a:off x="0" y="0"/>
                      <a:ext cx="4824378" cy="1159173"/>
                    </a:xfrm>
                    <a:prstGeom prst="rect">
                      <a:avLst/>
                    </a:prstGeom>
                    <a:ln/>
                  </pic:spPr>
                </pic:pic>
              </a:graphicData>
            </a:graphic>
          </wp:inline>
        </w:drawing>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widowControl w:val="0"/>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7. Ampliación del plazo para emitir resolución.</w:t>
      </w:r>
      <w:r w:rsidRPr="00FB757F">
        <w:rPr>
          <w:rFonts w:ascii="Palatino Linotype" w:eastAsia="Palatino Linotype" w:hAnsi="Palatino Linotype" w:cs="Palatino Linotype"/>
        </w:rPr>
        <w:t xml:space="preserve"> El pasado </w:t>
      </w:r>
      <w:r w:rsidRPr="00FB757F">
        <w:rPr>
          <w:rFonts w:ascii="Palatino Linotype" w:eastAsia="Palatino Linotype" w:hAnsi="Palatino Linotype" w:cs="Palatino Linotype"/>
          <w:b/>
        </w:rPr>
        <w:t>veinte de abril de dos mil veintitrés,</w:t>
      </w:r>
      <w:r w:rsidRPr="00FB757F">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1819CB" w:rsidRPr="00FB757F" w:rsidRDefault="001819CB">
      <w:pPr>
        <w:widowControl w:val="0"/>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bookmarkStart w:id="4" w:name="_heading=h.3znysh7" w:colFirst="0" w:colLast="0"/>
      <w:bookmarkEnd w:id="4"/>
      <w:r w:rsidRPr="00FB757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FB757F">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819CB" w:rsidRPr="00FB757F" w:rsidRDefault="001819CB">
      <w:pPr>
        <w:spacing w:line="360" w:lineRule="auto"/>
        <w:jc w:val="both"/>
        <w:rPr>
          <w:rFonts w:ascii="Palatino Linotype" w:eastAsia="Palatino Linotype" w:hAnsi="Palatino Linotype" w:cs="Palatino Linotype"/>
          <w:strike/>
        </w:rPr>
      </w:pPr>
    </w:p>
    <w:p w:rsidR="001819CB" w:rsidRPr="00FB757F" w:rsidRDefault="005D59EC">
      <w:pPr>
        <w:numPr>
          <w:ilvl w:val="0"/>
          <w:numId w:val="1"/>
        </w:num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Complejidad del Asunto: </w:t>
      </w:r>
      <w:r w:rsidRPr="00FB757F">
        <w:rPr>
          <w:rFonts w:ascii="Palatino Linotype" w:eastAsia="Palatino Linotype" w:hAnsi="Palatino Linotype" w:cs="Palatino Linotype"/>
        </w:rPr>
        <w:t xml:space="preserve">La complejidad de la prueba, la pluralidad de sujetos procesales, el tiempo transcurrido, las características y contexto del recurso. </w:t>
      </w:r>
    </w:p>
    <w:p w:rsidR="001819CB" w:rsidRPr="00FB757F" w:rsidRDefault="005D59EC">
      <w:pPr>
        <w:numPr>
          <w:ilvl w:val="0"/>
          <w:numId w:val="1"/>
        </w:num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Actividad Procesal del interesado:</w:t>
      </w:r>
      <w:r w:rsidRPr="00FB757F">
        <w:rPr>
          <w:rFonts w:ascii="Palatino Linotype" w:eastAsia="Palatino Linotype" w:hAnsi="Palatino Linotype" w:cs="Palatino Linotype"/>
        </w:rPr>
        <w:t xml:space="preserve"> Acciones u omisiones del interesado.</w:t>
      </w:r>
    </w:p>
    <w:p w:rsidR="001819CB" w:rsidRPr="00FB757F" w:rsidRDefault="005D59EC">
      <w:pPr>
        <w:numPr>
          <w:ilvl w:val="0"/>
          <w:numId w:val="1"/>
        </w:num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Conducta de la Autoridad:</w:t>
      </w:r>
      <w:r w:rsidRPr="00FB757F">
        <w:rPr>
          <w:rFonts w:ascii="Palatino Linotype" w:eastAsia="Palatino Linotype" w:hAnsi="Palatino Linotype" w:cs="Palatino Linotype"/>
        </w:rPr>
        <w:t xml:space="preserve"> Las Acciones u omisiones realizadas en el procedimiento. Así como si la autoridad actuó con la debida diligencia.</w:t>
      </w:r>
    </w:p>
    <w:p w:rsidR="001819CB" w:rsidRPr="00FB757F" w:rsidRDefault="005D59EC">
      <w:pPr>
        <w:spacing w:line="360" w:lineRule="auto"/>
        <w:ind w:left="567"/>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d) La afectación generada en la situación jurídica de la persona involucrada en el proceso:</w:t>
      </w:r>
      <w:r w:rsidRPr="00FB757F">
        <w:rPr>
          <w:rFonts w:ascii="Palatino Linotype" w:eastAsia="Palatino Linotype" w:hAnsi="Palatino Linotype" w:cs="Palatino Linotype"/>
        </w:rPr>
        <w:t xml:space="preserve"> Violación a sus derechos humanos.</w:t>
      </w:r>
    </w:p>
    <w:p w:rsidR="001819CB" w:rsidRPr="00FB757F" w:rsidRDefault="001819CB">
      <w:pPr>
        <w:spacing w:line="360" w:lineRule="auto"/>
        <w:ind w:left="567"/>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Argumento que encuentra sustento en la jurisprudencia P</w:t>
      </w:r>
      <w:proofErr w:type="gramStart"/>
      <w:r w:rsidRPr="00FB757F">
        <w:rPr>
          <w:rFonts w:ascii="Palatino Linotype" w:eastAsia="Palatino Linotype" w:hAnsi="Palatino Linotype" w:cs="Palatino Linotype"/>
        </w:rPr>
        <w:t>./</w:t>
      </w:r>
      <w:proofErr w:type="gramEnd"/>
      <w:r w:rsidRPr="00FB757F">
        <w:rPr>
          <w:rFonts w:ascii="Palatino Linotype" w:eastAsia="Palatino Linotype" w:hAnsi="Palatino Linotype" w:cs="Palatino Linotype"/>
        </w:rPr>
        <w:t xml:space="preserve">J. 32/92 emitida por el Pleno de la Suprema Corte de Justicia de la Nación de rubro </w:t>
      </w:r>
      <w:r w:rsidRPr="00FB757F">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FB757F">
        <w:rPr>
          <w:rFonts w:ascii="Palatino Linotype" w:eastAsia="Palatino Linotype" w:hAnsi="Palatino Linotype" w:cs="Palatino Linotype"/>
          <w:b/>
        </w:rPr>
        <w:t>,</w:t>
      </w:r>
      <w:r w:rsidRPr="00FB757F">
        <w:rPr>
          <w:rFonts w:ascii="Palatino Linotype" w:eastAsia="Palatino Linotype" w:hAnsi="Palatino Linotype" w:cs="Palatino Linotype"/>
        </w:rPr>
        <w:t xml:space="preserve"> visible en la Gaceta del Seminario Judicial de la Federación con el registro digital 205635.</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FB757F">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i/>
        </w:rPr>
        <w:t>“PLAZO RAZONABLE PARA RESOLVER. DIMENSIÓN Y EFECTOS DE ESTE CONCEPTO CUANDO SE ADUCE EXCESIVA CARGA DE TRABAJO.”</w:t>
      </w:r>
      <w:r w:rsidRPr="00FB757F">
        <w:rPr>
          <w:rFonts w:ascii="Palatino Linotype" w:eastAsia="Palatino Linotype" w:hAnsi="Palatino Linotype" w:cs="Palatino Linotype"/>
        </w:rPr>
        <w:t xml:space="preserve"> consultable en el Seminario Judicial de la Federación y su gaceta, con el registro digital 2002351.</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i/>
        </w:rPr>
        <w:t>“PLAZO RAZONABLE PARA RESOLVER. CONCEPTO Y ELEMENTOS QUE LO INTEGRAN A LA LUZ DEL DERECHO INTERNACIONAL DE LOS DERECHOS HUMANOS.”</w:t>
      </w:r>
      <w:r w:rsidRPr="00FB757F">
        <w:rPr>
          <w:rFonts w:ascii="Palatino Linotype" w:eastAsia="Palatino Linotype" w:hAnsi="Palatino Linotype" w:cs="Palatino Linotype"/>
          <w:b/>
        </w:rPr>
        <w:t>,</w:t>
      </w:r>
      <w:r w:rsidRPr="00FB757F">
        <w:rPr>
          <w:rFonts w:ascii="Palatino Linotype" w:eastAsia="Palatino Linotype" w:hAnsi="Palatino Linotype" w:cs="Palatino Linotype"/>
        </w:rPr>
        <w:t xml:space="preserve"> visible en el Seminario Judicial de la Federación y su gaceta, con el registro digital 2002350.</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 xml:space="preserve">8. Cierre de instrucción. </w:t>
      </w:r>
      <w:r w:rsidRPr="00FB757F">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B757F">
        <w:rPr>
          <w:rFonts w:ascii="Palatino Linotype" w:eastAsia="Palatino Linotype" w:hAnsi="Palatino Linotype" w:cs="Palatino Linotype"/>
          <w:b/>
        </w:rPr>
        <w:t>veintiséis de abril de dos mil veintitrés</w:t>
      </w:r>
      <w:r w:rsidRPr="00FB757F">
        <w:rPr>
          <w:rFonts w:ascii="Palatino Linotype" w:eastAsia="Palatino Linotype" w:hAnsi="Palatino Linotype" w:cs="Palatino Linotype"/>
        </w:rPr>
        <w:t xml:space="preserve">, la </w:t>
      </w:r>
      <w:r w:rsidRPr="00FB757F">
        <w:rPr>
          <w:rFonts w:ascii="Palatino Linotype" w:eastAsia="Palatino Linotype" w:hAnsi="Palatino Linotype" w:cs="Palatino Linotype"/>
          <w:b/>
        </w:rPr>
        <w:t>Comisionada Ponente</w:t>
      </w:r>
      <w:r w:rsidRPr="00FB757F">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rsidR="001819CB" w:rsidRPr="00FB757F" w:rsidRDefault="001819CB">
      <w:pPr>
        <w:spacing w:line="360" w:lineRule="auto"/>
        <w:jc w:val="both"/>
        <w:rPr>
          <w:rFonts w:ascii="Palatino Linotype" w:eastAsia="Palatino Linotype" w:hAnsi="Palatino Linotype" w:cs="Palatino Linotype"/>
          <w:sz w:val="22"/>
          <w:szCs w:val="22"/>
        </w:rPr>
      </w:pPr>
    </w:p>
    <w:p w:rsidR="001819CB" w:rsidRPr="00FB757F" w:rsidRDefault="005D59EC">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FB757F">
        <w:rPr>
          <w:rFonts w:ascii="Palatino Linotype" w:eastAsia="Palatino Linotype" w:hAnsi="Palatino Linotype" w:cs="Palatino Linotype"/>
          <w:b/>
        </w:rPr>
        <w:t xml:space="preserve">C O N S I D E R A N D O </w:t>
      </w:r>
    </w:p>
    <w:p w:rsidR="001819CB" w:rsidRPr="00FB757F" w:rsidRDefault="001819CB">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PRIMERO. COMPETENCIA.</w:t>
      </w:r>
      <w:r w:rsidRPr="00FB757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SEGUNDO. OPORTUNIDAD Y PROCEDIBILIDAD DEL RECURSO DE REVISIÓN</w:t>
      </w:r>
      <w:r w:rsidRPr="00FB757F">
        <w:rPr>
          <w:rFonts w:ascii="Palatino Linotype" w:eastAsia="Palatino Linotype" w:hAnsi="Palatino Linotype" w:cs="Palatino Linotype"/>
        </w:rPr>
        <w:t xml:space="preserve">. Previo al estudio del fondo del asunto, se procede a analizar los requisitos de oportunidad y </w:t>
      </w:r>
      <w:proofErr w:type="spellStart"/>
      <w:r w:rsidRPr="00FB757F">
        <w:rPr>
          <w:rFonts w:ascii="Palatino Linotype" w:eastAsia="Palatino Linotype" w:hAnsi="Palatino Linotype" w:cs="Palatino Linotype"/>
        </w:rPr>
        <w:t>procedibilidad</w:t>
      </w:r>
      <w:proofErr w:type="spellEnd"/>
      <w:r w:rsidRPr="00FB757F">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b/>
        </w:rPr>
      </w:pPr>
      <w:r w:rsidRPr="00FB757F">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respondió a la solicitud de información el </w:t>
      </w:r>
      <w:r w:rsidRPr="00FB757F">
        <w:rPr>
          <w:rFonts w:ascii="Palatino Linotype" w:eastAsia="Palatino Linotype" w:hAnsi="Palatino Linotype" w:cs="Palatino Linotype"/>
          <w:b/>
        </w:rPr>
        <w:t xml:space="preserve">veintitrés de septiembre de dos mil veintidós, </w:t>
      </w:r>
      <w:r w:rsidRPr="00FB757F">
        <w:rPr>
          <w:rFonts w:ascii="Palatino Linotype" w:eastAsia="Palatino Linotype" w:hAnsi="Palatino Linotype" w:cs="Palatino Linotype"/>
        </w:rPr>
        <w:t xml:space="preserve">y el recurso de revisión se interpuso el </w:t>
      </w:r>
      <w:r w:rsidRPr="00FB757F">
        <w:rPr>
          <w:rFonts w:ascii="Palatino Linotype" w:eastAsia="Palatino Linotype" w:hAnsi="Palatino Linotype" w:cs="Palatino Linotype"/>
          <w:b/>
        </w:rPr>
        <w:t xml:space="preserve">mismo día. </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Sin que contraríe a lo anterior, el artículo referido ordena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rPr>
      </w:pPr>
      <w:r w:rsidRPr="00FB757F">
        <w:rPr>
          <w:rFonts w:ascii="Palatino Linotype" w:eastAsia="Palatino Linotype" w:hAnsi="Palatino Linotype" w:cs="Palatino Linotype"/>
          <w:i/>
          <w:sz w:val="22"/>
          <w:szCs w:val="22"/>
        </w:rPr>
        <w:t>RECURSO DE RECLAMACIÓN. SU INTERPOSICIÓN NO ES EXTEMPORÁNEA SI SE REALIZA ANTES DE QUE INICIE EL PLAZO PARA HACERLO.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rPr>
      </w:pPr>
      <w:r w:rsidRPr="00FB757F">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w:t>
      </w:r>
      <w:r w:rsidRPr="00FB757F">
        <w:rPr>
          <w:rFonts w:ascii="Palatino Linotype" w:eastAsia="Palatino Linotype" w:hAnsi="Palatino Linotype" w:cs="Palatino Linotype"/>
          <w:i/>
          <w:sz w:val="22"/>
          <w:szCs w:val="22"/>
        </w:rPr>
        <w:lastRenderedPageBreak/>
        <w:t xml:space="preserve">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rPr>
      </w:pPr>
    </w:p>
    <w:p w:rsidR="001819CB" w:rsidRPr="00FB757F" w:rsidRDefault="005D59EC">
      <w:pPr>
        <w:spacing w:before="240" w:after="240"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Por otro lado, es de suma importancia mencionar que, si bien el</w:t>
      </w:r>
      <w:r w:rsidRPr="00FB757F">
        <w:rPr>
          <w:rFonts w:ascii="Palatino Linotype" w:eastAsia="Palatino Linotype" w:hAnsi="Palatino Linotype" w:cs="Palatino Linotype"/>
          <w:b/>
        </w:rPr>
        <w:t xml:space="preserve"> Recurrente</w:t>
      </w:r>
      <w:r w:rsidRPr="00FB757F">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1819CB" w:rsidRPr="00FB757F" w:rsidRDefault="005D59EC">
      <w:pPr>
        <w:spacing w:before="120" w:after="120" w:line="276" w:lineRule="auto"/>
        <w:ind w:left="851" w:right="902"/>
        <w:jc w:val="both"/>
        <w:rPr>
          <w:rFonts w:ascii="Palatino Linotype" w:eastAsia="Palatino Linotype" w:hAnsi="Palatino Linotype" w:cs="Palatino Linotype"/>
          <w:sz w:val="22"/>
          <w:szCs w:val="22"/>
        </w:rPr>
      </w:pPr>
      <w:r w:rsidRPr="00FB757F">
        <w:rPr>
          <w:rFonts w:ascii="Palatino Linotype" w:eastAsia="Palatino Linotype" w:hAnsi="Palatino Linotype" w:cs="Palatino Linotype"/>
          <w:b/>
          <w:i/>
          <w:sz w:val="22"/>
          <w:szCs w:val="22"/>
        </w:rPr>
        <w:t>Las solicitudes anónimas</w:t>
      </w:r>
      <w:r w:rsidRPr="00FB757F">
        <w:rPr>
          <w:rFonts w:ascii="Palatino Linotype" w:eastAsia="Palatino Linotype" w:hAnsi="Palatino Linotype" w:cs="Palatino Linotype"/>
          <w:i/>
          <w:sz w:val="22"/>
          <w:szCs w:val="22"/>
        </w:rPr>
        <w:t>, con nombre incompleto o seudónimo </w:t>
      </w:r>
      <w:r w:rsidRPr="00FB757F">
        <w:rPr>
          <w:rFonts w:ascii="Palatino Linotype" w:eastAsia="Palatino Linotype" w:hAnsi="Palatino Linotype" w:cs="Palatino Linotype"/>
          <w:b/>
          <w:i/>
          <w:sz w:val="22"/>
          <w:szCs w:val="22"/>
        </w:rPr>
        <w:t>serán procedentes para su trámite por parte del sujeto obligado ante quien se presente</w:t>
      </w:r>
      <w:r w:rsidRPr="00FB757F">
        <w:rPr>
          <w:rFonts w:ascii="Palatino Linotype" w:eastAsia="Palatino Linotype" w:hAnsi="Palatino Linotype" w:cs="Palatino Linotype"/>
          <w:i/>
          <w:sz w:val="22"/>
          <w:szCs w:val="22"/>
        </w:rPr>
        <w:t>. No podrá requerirse información adicional con motivo del nombre proporcionado por el solicitante.</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Ahora, por cuanto hace a la </w:t>
      </w:r>
      <w:proofErr w:type="spellStart"/>
      <w:r w:rsidRPr="00FB757F">
        <w:rPr>
          <w:rFonts w:ascii="Palatino Linotype" w:eastAsia="Palatino Linotype" w:hAnsi="Palatino Linotype" w:cs="Palatino Linotype"/>
        </w:rPr>
        <w:t>procedibilidad</w:t>
      </w:r>
      <w:proofErr w:type="spellEnd"/>
      <w:r w:rsidRPr="00FB757F">
        <w:rPr>
          <w:rFonts w:ascii="Palatino Linotype" w:eastAsia="Palatino Linotype" w:hAnsi="Palatino Linotype" w:cs="Palatino Linotype"/>
        </w:rPr>
        <w:t xml:space="preserve"> del recurso de revisión, es de suma importancia señalar que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Finalmente, se advierte que resulta procedente la interposición del recurso, según lo manifestado por </w:t>
      </w:r>
      <w:r w:rsidRPr="00FB757F">
        <w:rPr>
          <w:rFonts w:ascii="Palatino Linotype" w:eastAsia="Palatino Linotype" w:hAnsi="Palatino Linotype" w:cs="Palatino Linotype"/>
          <w:b/>
        </w:rPr>
        <w:t xml:space="preserve">LA PARTE RECURRENTE </w:t>
      </w:r>
      <w:r w:rsidRPr="00FB757F">
        <w:rPr>
          <w:rFonts w:ascii="Palatino Linotype" w:eastAsia="Palatino Linotype" w:hAnsi="Palatino Linotype" w:cs="Palatino Linotype"/>
        </w:rPr>
        <w:t xml:space="preserve">en sus motivos de inconformidad, de </w:t>
      </w:r>
      <w:r w:rsidRPr="00FB757F">
        <w:rPr>
          <w:rFonts w:ascii="Palatino Linotype" w:eastAsia="Palatino Linotype" w:hAnsi="Palatino Linotype" w:cs="Palatino Linotype"/>
        </w:rPr>
        <w:lastRenderedPageBreak/>
        <w:t>acuerdo a la fracción VIII del artículo 179 del ordenamiento legal citado, que a la letra dice: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179.</w:t>
      </w:r>
      <w:r w:rsidRPr="00FB757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w:t>
      </w: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w:t>
      </w:r>
    </w:p>
    <w:p w:rsidR="001819CB" w:rsidRPr="00FB757F" w:rsidRDefault="001819CB"/>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TERCERO. MATERIA DE LA REVISIÓN. </w:t>
      </w:r>
      <w:r w:rsidRPr="00FB757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se pronunciará será: verificar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haya puesto a disposición la información en una modalidad distinta a la solicitada cumpliendo con lo establecido por la ley en la materia, o en su defecto, en el caso, de que exista deficiencias en el cambio de modalidad propuesto, ordenar la entrega de lo solicitado.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CUARTO. ESTUDIO DEL ASUNTO. </w:t>
      </w:r>
      <w:r w:rsidRPr="00FB757F">
        <w:rPr>
          <w:rFonts w:ascii="Palatino Linotype" w:eastAsia="Palatino Linotype" w:hAnsi="Palatino Linotype" w:cs="Palatino Linotype"/>
        </w:rPr>
        <w:t xml:space="preserve">Antes de entrar al análisis de los pronunciamientos del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FB757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rPr>
      </w:pPr>
      <w:r w:rsidRPr="00FB757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B757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rPr>
      </w:pPr>
      <w:r w:rsidRPr="00FB757F">
        <w:rPr>
          <w:rFonts w:ascii="Palatino Linotype" w:eastAsia="Palatino Linotype" w:hAnsi="Palatino Linotype" w:cs="Palatino Linotype"/>
          <w:b/>
          <w:i/>
          <w:sz w:val="22"/>
          <w:szCs w:val="22"/>
        </w:rPr>
        <w:t>Artículo 6o.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rPr>
      </w:pP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A. Para el ejercicio del derecho de acceso a la información, la Federación y </w:t>
      </w:r>
      <w:r w:rsidRPr="00FB757F">
        <w:rPr>
          <w:rFonts w:ascii="Palatino Linotype" w:eastAsia="Palatino Linotype" w:hAnsi="Palatino Linotype" w:cs="Palatino Linotype"/>
          <w:b/>
          <w:i/>
          <w:sz w:val="22"/>
          <w:szCs w:val="22"/>
          <w:u w:val="single"/>
        </w:rPr>
        <w:t>las entidades federativas</w:t>
      </w:r>
      <w:r w:rsidRPr="00FB757F">
        <w:rPr>
          <w:rFonts w:ascii="Palatino Linotype" w:eastAsia="Palatino Linotype" w:hAnsi="Palatino Linotype" w:cs="Palatino Linotype"/>
          <w:b/>
          <w:i/>
          <w:sz w:val="22"/>
          <w:szCs w:val="22"/>
        </w:rPr>
        <w:t>,</w:t>
      </w:r>
      <w:r w:rsidRPr="00FB757F">
        <w:rPr>
          <w:rFonts w:ascii="Palatino Linotype" w:eastAsia="Palatino Linotype" w:hAnsi="Palatino Linotype" w:cs="Palatino Linotype"/>
          <w:i/>
          <w:sz w:val="22"/>
          <w:szCs w:val="22"/>
        </w:rPr>
        <w:t xml:space="preserve"> en el ámbito de sus respectivas competencias, se regirán por los siguientes principios y bases: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 xml:space="preserve">I. </w:t>
      </w:r>
      <w:r w:rsidRPr="00FB757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B757F">
        <w:rPr>
          <w:rFonts w:ascii="Palatino Linotype" w:eastAsia="Palatino Linotype" w:hAnsi="Palatino Linotype" w:cs="Palatino Linotype"/>
          <w:i/>
          <w:sz w:val="22"/>
          <w:szCs w:val="22"/>
        </w:rPr>
        <w:t xml:space="preserve"> Ejecutivo, Legislativo </w:t>
      </w:r>
      <w:r w:rsidRPr="00FB757F">
        <w:rPr>
          <w:rFonts w:ascii="Palatino Linotype" w:eastAsia="Palatino Linotype" w:hAnsi="Palatino Linotype" w:cs="Palatino Linotype"/>
          <w:b/>
          <w:i/>
          <w:sz w:val="22"/>
          <w:szCs w:val="22"/>
          <w:u w:val="single"/>
        </w:rPr>
        <w:t>y Judicial</w:t>
      </w:r>
      <w:r w:rsidRPr="00FB757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B757F">
        <w:rPr>
          <w:rFonts w:ascii="Palatino Linotype" w:eastAsia="Palatino Linotype" w:hAnsi="Palatino Linotype" w:cs="Palatino Linotype"/>
          <w:b/>
          <w:i/>
          <w:sz w:val="22"/>
          <w:szCs w:val="22"/>
        </w:rPr>
        <w:t>es pública y sólo podrá ser reservada temporalmente por razones de interés público y seguridad nacional,</w:t>
      </w:r>
      <w:r w:rsidRPr="00FB757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 </w:t>
      </w:r>
      <w:r w:rsidRPr="00FB757F">
        <w:rPr>
          <w:rFonts w:ascii="Palatino Linotype" w:eastAsia="Palatino Linotype" w:hAnsi="Palatino Linotype" w:cs="Palatino Linotype"/>
          <w:b/>
          <w:i/>
          <w:sz w:val="22"/>
          <w:szCs w:val="22"/>
        </w:rPr>
        <w:t xml:space="preserve">III. </w:t>
      </w:r>
      <w:r w:rsidRPr="00FB757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B757F">
        <w:rPr>
          <w:rFonts w:ascii="Palatino Linotype" w:eastAsia="Palatino Linotype" w:hAnsi="Palatino Linotype" w:cs="Palatino Linotype"/>
          <w:i/>
          <w:sz w:val="22"/>
          <w:szCs w:val="22"/>
        </w:rPr>
        <w:t xml:space="preserve"> a sus datos personales o a la rectificación de éstos.</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 xml:space="preserve">IV. </w:t>
      </w:r>
      <w:r w:rsidRPr="00FB757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V. </w:t>
      </w:r>
      <w:r w:rsidRPr="00FB757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 xml:space="preserve">VI. </w:t>
      </w:r>
      <w:r w:rsidRPr="00FB757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 xml:space="preserve">VII. </w:t>
      </w:r>
      <w:r w:rsidRPr="00FB757F">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4</w:t>
      </w:r>
      <w:r w:rsidRPr="00FB757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FB757F">
        <w:rPr>
          <w:rFonts w:ascii="Palatino Linotype" w:eastAsia="Palatino Linotype" w:hAnsi="Palatino Linotype" w:cs="Palatino Linotype"/>
          <w:i/>
          <w:sz w:val="22"/>
          <w:szCs w:val="22"/>
        </w:rPr>
        <w:lastRenderedPageBreak/>
        <w:t>solicitar información pública, sin necesidad de acreditar personalidad ni interés jurídico. </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819CB" w:rsidRPr="00FB757F" w:rsidRDefault="001819CB">
      <w:pPr>
        <w:pBdr>
          <w:top w:val="nil"/>
          <w:left w:val="nil"/>
          <w:bottom w:val="nil"/>
          <w:right w:val="nil"/>
          <w:between w:val="nil"/>
        </w:pBdr>
        <w:ind w:left="864" w:right="864"/>
        <w:jc w:val="both"/>
        <w:rPr>
          <w:i/>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12</w:t>
      </w:r>
      <w:r w:rsidRPr="00FB757F">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1819CB" w:rsidRPr="00FB757F" w:rsidRDefault="001819CB"/>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819CB" w:rsidRPr="00FB757F" w:rsidRDefault="001819CB">
      <w:pPr>
        <w:pBdr>
          <w:top w:val="nil"/>
          <w:left w:val="nil"/>
          <w:bottom w:val="nil"/>
          <w:right w:val="nil"/>
          <w:between w:val="nil"/>
        </w:pBdr>
        <w:ind w:left="864" w:right="864"/>
        <w:jc w:val="both"/>
        <w:rPr>
          <w:i/>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B757F">
        <w:rPr>
          <w:rFonts w:ascii="Palatino Linotype" w:eastAsia="Palatino Linotype" w:hAnsi="Palatino Linotype" w:cs="Palatino Linotype"/>
          <w:i/>
        </w:rPr>
        <w:t>ad hoc</w:t>
      </w:r>
      <w:r w:rsidRPr="00FB757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03/17</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NO EXISTE OBLIGACIÓN DE ELABORAR DOCUMENTOS AD HOC PARA ATENDER LAS SOLICITUDES DE ACCESO A LA INFORMACIÓN.</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819CB" w:rsidRPr="00FB757F" w:rsidRDefault="001819CB">
      <w:pPr>
        <w:pBdr>
          <w:top w:val="nil"/>
          <w:left w:val="nil"/>
          <w:bottom w:val="nil"/>
          <w:right w:val="nil"/>
          <w:between w:val="nil"/>
        </w:pBdr>
        <w:spacing w:line="360" w:lineRule="auto"/>
        <w:jc w:val="both"/>
      </w:pPr>
    </w:p>
    <w:p w:rsidR="001819CB" w:rsidRPr="00FB757F" w:rsidRDefault="005D59EC">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819CB" w:rsidRPr="00FB757F" w:rsidRDefault="001819CB">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Artículo 3. </w:t>
      </w:r>
      <w:r w:rsidRPr="00FB757F">
        <w:rPr>
          <w:rFonts w:ascii="Palatino Linotype" w:eastAsia="Palatino Linotype" w:hAnsi="Palatino Linotype" w:cs="Palatino Linotype"/>
          <w:i/>
          <w:sz w:val="22"/>
          <w:szCs w:val="22"/>
        </w:rPr>
        <w:t>Para los efectos de la presente Ley se entenderá por:</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XI. Documento:</w:t>
      </w:r>
      <w:r w:rsidRPr="00FB757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w:t>
      </w:r>
      <w:r w:rsidRPr="00FB757F">
        <w:rPr>
          <w:rFonts w:ascii="Palatino Linotype" w:eastAsia="Palatino Linotype" w:hAnsi="Palatino Linotype" w:cs="Palatino Linotype"/>
          <w:i/>
          <w:sz w:val="22"/>
          <w:szCs w:val="22"/>
        </w:rPr>
        <w:t>)</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spacing w:line="360" w:lineRule="auto"/>
        <w:jc w:val="both"/>
      </w:pPr>
      <w:r w:rsidRPr="00FB757F">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CRITERIO 0002-11</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1819CB" w:rsidRPr="00FB757F" w:rsidRDefault="001819CB">
      <w:pPr>
        <w:pBdr>
          <w:top w:val="nil"/>
          <w:left w:val="nil"/>
          <w:bottom w:val="nil"/>
          <w:right w:val="nil"/>
          <w:between w:val="nil"/>
        </w:pBdr>
        <w:spacing w:line="360" w:lineRule="auto"/>
        <w:ind w:left="567" w:right="567" w:hanging="284"/>
        <w:jc w:val="both"/>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 ahí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FB757F">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Apuntado lo anterior, este Órgano Garante centrará su atención en el estudio de fondo del agravio hecho valer por </w:t>
      </w:r>
      <w:r w:rsidRPr="00FB757F">
        <w:rPr>
          <w:rFonts w:ascii="Palatino Linotype" w:eastAsia="Palatino Linotype" w:hAnsi="Palatino Linotype" w:cs="Palatino Linotype"/>
          <w:b/>
        </w:rPr>
        <w:t xml:space="preserve">LA PARTE RECURRENTE, </w:t>
      </w:r>
      <w:r w:rsidRPr="00FB757F">
        <w:rPr>
          <w:rFonts w:ascii="Palatino Linotype" w:eastAsia="Palatino Linotype" w:hAnsi="Palatino Linotype" w:cs="Palatino Linotype"/>
        </w:rPr>
        <w:t xml:space="preserve">pues en la solicitud </w:t>
      </w:r>
      <w:r w:rsidRPr="00FB757F">
        <w:rPr>
          <w:rFonts w:ascii="Palatino Linotype" w:eastAsia="Palatino Linotype" w:hAnsi="Palatino Linotype" w:cs="Palatino Linotype"/>
          <w:b/>
        </w:rPr>
        <w:t>00519/TENANCIN/IP/2022</w:t>
      </w:r>
      <w:r w:rsidRPr="00FB757F">
        <w:rPr>
          <w:rFonts w:ascii="Arial" w:eastAsia="Arial" w:hAnsi="Arial" w:cs="Arial"/>
          <w:b/>
          <w:sz w:val="15"/>
          <w:szCs w:val="15"/>
        </w:rPr>
        <w:t xml:space="preserve"> </w:t>
      </w:r>
      <w:r w:rsidRPr="00FB757F">
        <w:rPr>
          <w:rFonts w:ascii="Palatino Linotype" w:eastAsia="Palatino Linotype" w:hAnsi="Palatino Linotype" w:cs="Palatino Linotype"/>
        </w:rPr>
        <w:t xml:space="preserve">requirió la siguiente información: </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Nómina de la segunda quincena del mes de julio de todos los trabajadores del Ayuntamiento, incluyendo a los miembros del Cabildo. </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b/>
          <w:i/>
          <w:u w:val="single"/>
        </w:rPr>
      </w:pPr>
      <w:r w:rsidRPr="00FB757F">
        <w:rPr>
          <w:rFonts w:ascii="Palatino Linotype" w:eastAsia="Palatino Linotype" w:hAnsi="Palatino Linotype" w:cs="Palatino Linotype"/>
        </w:rPr>
        <w:t xml:space="preserve">Entonces,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contestó con el oficio </w:t>
      </w:r>
      <w:r w:rsidRPr="00FB757F">
        <w:rPr>
          <w:rFonts w:ascii="Palatino Linotype" w:eastAsia="Palatino Linotype" w:hAnsi="Palatino Linotype" w:cs="Palatino Linotype"/>
          <w:i/>
        </w:rPr>
        <w:t>PMT/058/TM/00459/2022</w:t>
      </w:r>
      <w:r w:rsidRPr="00FB757F">
        <w:rPr>
          <w:rFonts w:ascii="Palatino Linotype" w:eastAsia="Palatino Linotype" w:hAnsi="Palatino Linotype" w:cs="Palatino Linotype"/>
        </w:rPr>
        <w:t xml:space="preserve"> donde </w:t>
      </w:r>
      <w:r w:rsidRPr="00FB757F">
        <w:rPr>
          <w:rFonts w:ascii="Palatino Linotype" w:eastAsia="Palatino Linotype" w:hAnsi="Palatino Linotype" w:cs="Palatino Linotype"/>
          <w:i/>
        </w:rPr>
        <w:t xml:space="preserve">“NO NIEGA LA EXISTENCIA DE LA INFORMACIÓN, pero como ya se mencionó anteriormente, nos encontramos en la imposibilidad de entregar al solicitante la información en la modalidad que éste señala, por lo cual se realiza un cambio de modalidad a “CONSULTA DIRECTA”…” (Sic). </w:t>
      </w:r>
    </w:p>
    <w:p w:rsidR="001819CB" w:rsidRPr="00FB757F" w:rsidRDefault="001819CB">
      <w:pPr>
        <w:spacing w:line="360" w:lineRule="auto"/>
        <w:jc w:val="both"/>
        <w:rPr>
          <w:rFonts w:ascii="Palatino Linotype" w:eastAsia="Palatino Linotype" w:hAnsi="Palatino Linotype" w:cs="Palatino Linotype"/>
          <w:b/>
          <w:i/>
          <w:u w:val="singl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No pasa por inadvertido para este Pleno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deja de fundar y motivar las causas que originaron el cambio de modalidad en la solicitud </w:t>
      </w:r>
      <w:r w:rsidRPr="00FB757F">
        <w:rPr>
          <w:rFonts w:ascii="Palatino Linotype" w:eastAsia="Palatino Linotype" w:hAnsi="Palatino Linotype" w:cs="Palatino Linotype"/>
          <w:b/>
        </w:rPr>
        <w:t>000519/TENANCIN/IP/2022</w:t>
      </w:r>
      <w:r w:rsidRPr="00FB757F">
        <w:rPr>
          <w:rFonts w:ascii="Palatino Linotype" w:eastAsia="Palatino Linotype" w:hAnsi="Palatino Linotype" w:cs="Palatino Linotype"/>
        </w:rPr>
        <w:t xml:space="preserve">, pues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hizo constar de manera clara su deseo de allegarse de la información a través del SAIMEX:</w:t>
      </w:r>
    </w:p>
    <w:p w:rsidR="001819CB" w:rsidRPr="00FB757F" w:rsidRDefault="001819CB">
      <w:pPr>
        <w:spacing w:line="360" w:lineRule="auto"/>
        <w:jc w:val="both"/>
      </w:pPr>
    </w:p>
    <w:p w:rsidR="001819CB" w:rsidRPr="00FB757F" w:rsidRDefault="005D59EC">
      <w:pPr>
        <w:spacing w:line="360" w:lineRule="auto"/>
        <w:jc w:val="center"/>
        <w:rPr>
          <w:rFonts w:ascii="Palatino Linotype" w:eastAsia="Palatino Linotype" w:hAnsi="Palatino Linotype" w:cs="Palatino Linotype"/>
        </w:rPr>
      </w:pPr>
      <w:r w:rsidRPr="00FB757F">
        <w:rPr>
          <w:noProof/>
        </w:rPr>
        <w:lastRenderedPageBreak/>
        <w:drawing>
          <wp:inline distT="0" distB="0" distL="0" distR="0">
            <wp:extent cx="5184322" cy="169376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4246" t="7956" r="3377" b="38386"/>
                    <a:stretch>
                      <a:fillRect/>
                    </a:stretch>
                  </pic:blipFill>
                  <pic:spPr>
                    <a:xfrm>
                      <a:off x="0" y="0"/>
                      <a:ext cx="5184322" cy="1693760"/>
                    </a:xfrm>
                    <a:prstGeom prst="rect">
                      <a:avLst/>
                    </a:prstGeom>
                    <a:ln/>
                  </pic:spPr>
                </pic:pic>
              </a:graphicData>
            </a:graphic>
          </wp:inline>
        </w:drawing>
      </w:r>
      <w:r w:rsidRPr="00FB757F">
        <w:rPr>
          <w:noProof/>
        </w:rPr>
        <mc:AlternateContent>
          <mc:Choice Requires="wpg">
            <w:drawing>
              <wp:anchor distT="0" distB="0" distL="114300" distR="114300" simplePos="0" relativeHeight="251658240" behindDoc="0" locked="0" layoutInCell="1" hidden="0" allowOverlap="1">
                <wp:simplePos x="0" y="0"/>
                <wp:positionH relativeFrom="column">
                  <wp:posOffset>266700</wp:posOffset>
                </wp:positionH>
                <wp:positionV relativeFrom="paragraph">
                  <wp:posOffset>1193800</wp:posOffset>
                </wp:positionV>
                <wp:extent cx="1387565" cy="164071"/>
                <wp:effectExtent l="0" t="0" r="0" b="0"/>
                <wp:wrapNone/>
                <wp:docPr id="56" name="Rectángulo 56"/>
                <wp:cNvGraphicFramePr/>
                <a:graphic xmlns:a="http://schemas.openxmlformats.org/drawingml/2006/main">
                  <a:graphicData uri="http://schemas.microsoft.com/office/word/2010/wordprocessingShape">
                    <wps:wsp>
                      <wps:cNvSpPr/>
                      <wps:spPr>
                        <a:xfrm>
                          <a:off x="4656980" y="3702727"/>
                          <a:ext cx="1378040" cy="154546"/>
                        </a:xfrm>
                        <a:prstGeom prst="rect">
                          <a:avLst/>
                        </a:prstGeom>
                        <a:noFill/>
                        <a:ln w="9525" cap="flat" cmpd="sng">
                          <a:solidFill>
                            <a:srgbClr val="FF0000"/>
                          </a:solidFill>
                          <a:prstDash val="solid"/>
                          <a:round/>
                          <a:headEnd type="none" w="sm" len="sm"/>
                          <a:tailEnd type="none" w="sm" len="sm"/>
                        </a:ln>
                      </wps:spPr>
                      <wps:txbx>
                        <w:txbxContent>
                          <w:p w:rsidR="001819CB" w:rsidRDefault="001819C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wp:posOffset>
                </wp:positionH>
                <wp:positionV relativeFrom="paragraph">
                  <wp:posOffset>1193800</wp:posOffset>
                </wp:positionV>
                <wp:extent cx="1387565" cy="164071"/>
                <wp:effectExtent b="0" l="0" r="0" t="0"/>
                <wp:wrapNone/>
                <wp:docPr id="56"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387565" cy="164071"/>
                        </a:xfrm>
                        <a:prstGeom prst="rect"/>
                        <a:ln/>
                      </pic:spPr>
                    </pic:pic>
                  </a:graphicData>
                </a:graphic>
              </wp:anchor>
            </w:drawing>
          </mc:Fallback>
        </mc:AlternateConten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En ese sentido,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1819CB" w:rsidRPr="00FB757F" w:rsidRDefault="001819CB">
      <w:pPr>
        <w:spacing w:line="276" w:lineRule="auto"/>
        <w:ind w:right="49"/>
        <w:jc w:val="both"/>
        <w:rPr>
          <w:rFonts w:ascii="Palatino Linotype" w:eastAsia="Palatino Linotype" w:hAnsi="Palatino Linotype" w:cs="Palatino Linotype"/>
        </w:rPr>
      </w:pP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155.</w:t>
      </w:r>
      <w:r w:rsidRPr="00FB757F">
        <w:rPr>
          <w:rFonts w:ascii="Palatino Linotype" w:eastAsia="Palatino Linotype" w:hAnsi="Palatino Linotype" w:cs="Palatino Linotype"/>
          <w:i/>
          <w:sz w:val="22"/>
          <w:szCs w:val="22"/>
        </w:rPr>
        <w:t xml:space="preserve"> Para presentar una solicitud por escrito, no se podrán exigir mayores requisitos que los siguientes:</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w:t>
      </w:r>
      <w:r w:rsidRPr="00FB757F">
        <w:rPr>
          <w:rFonts w:ascii="Palatino Linotype" w:eastAsia="Palatino Linotype" w:hAnsi="Palatino Linotype" w:cs="Palatino Linotype"/>
        </w:rPr>
        <w:lastRenderedPageBreak/>
        <w:t xml:space="preserve">entrega, para lo que </w:t>
      </w:r>
      <w:r w:rsidRPr="00FB757F">
        <w:rPr>
          <w:rFonts w:ascii="Palatino Linotype" w:eastAsia="Palatino Linotype" w:hAnsi="Palatino Linotype" w:cs="Palatino Linotype"/>
          <w:b/>
        </w:rPr>
        <w:t>se deberá fundar y motivar dicha necesidad</w:t>
      </w:r>
      <w:r w:rsidRPr="00FB757F">
        <w:rPr>
          <w:rFonts w:ascii="Palatino Linotype" w:eastAsia="Palatino Linotype" w:hAnsi="Palatino Linotype" w:cs="Palatino Linotype"/>
        </w:rPr>
        <w:t xml:space="preserve">, como se advierte a continuación: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164.</w:t>
      </w:r>
      <w:r w:rsidRPr="00FB757F">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cualquier caso, se deberá fundar y motivar la necesidad de ofrecer otras modalidades.</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b/>
        </w:rPr>
      </w:pPr>
      <w:r w:rsidRPr="00FB757F">
        <w:rPr>
          <w:rFonts w:ascii="Palatino Linotype" w:eastAsia="Palatino Linotype" w:hAnsi="Palatino Linotype" w:cs="Palatino Linotype"/>
        </w:rPr>
        <w:t>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se acredite la imposibilidad de atenderla.</w:t>
      </w:r>
      <w:r w:rsidRPr="00FB757F">
        <w:rPr>
          <w:rFonts w:ascii="Palatino Linotype" w:eastAsia="Palatino Linotype" w:hAnsi="Palatino Linotype" w:cs="Palatino Linotype"/>
          <w:b/>
        </w:rPr>
        <w:t xml:space="preserve"> </w:t>
      </w:r>
    </w:p>
    <w:p w:rsidR="001819CB" w:rsidRPr="00FB757F" w:rsidRDefault="001819CB">
      <w:pPr>
        <w:spacing w:line="360" w:lineRule="auto"/>
        <w:ind w:right="49"/>
        <w:jc w:val="both"/>
        <w:rPr>
          <w:rFonts w:ascii="Palatino Linotype" w:eastAsia="Palatino Linotype" w:hAnsi="Palatino Linotype" w:cs="Palatino Linotype"/>
          <w:b/>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FB757F">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w:t>
      </w:r>
      <w:r w:rsidRPr="00FB757F">
        <w:rPr>
          <w:rFonts w:ascii="Palatino Linotype" w:eastAsia="Palatino Linotype" w:hAnsi="Palatino Linotype" w:cs="Palatino Linotype"/>
          <w:i/>
          <w:sz w:val="22"/>
          <w:szCs w:val="22"/>
        </w:rPr>
        <w:lastRenderedPageBreak/>
        <w:t>que permita el documento de que se trate, procurando reducir, en todo momento, los costos de entrega.</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Es así que, se desprende que, cuando no sea posible atender la modalidad elegida por los solicitantes, los Sujetos Obligados deberán justificar el impedimento para atender esta y notificar a los particulares la puesta a disposición de la información en todas las modalidades que lo permitan, procurando reducir los costos de entrega.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Relacionado con lo anterior, el artículo 158 de la Ley de Transparencia, prevé que, de manera excepcional, cuando de forma fundada y motivada, así lo determine el sujeto obligado, la información solicitada, sobrepase las capacidades técnicas administrativas y humanas, se podrá poner a disposición del solicitante los documentos en consulta directa, salvo la información clasificada, tal como se reproduce a continuación: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158.</w:t>
      </w:r>
      <w:r w:rsidRPr="00FB757F">
        <w:rPr>
          <w:rFonts w:ascii="Palatino Linotype" w:eastAsia="Palatino Linotype" w:hAnsi="Palatino Linotype" w:cs="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En ese sentido, se tiene que cuando la información sobrepase las capacidades técnicas, administrativas y humanas, los Sujetos Obligados podrán poner a disposición del solicitante los documentos en consulta directa.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De esto, es necesario referir que resulta indispensable que los Sujetos Obligados acrediten que la información solicitada sobrepasa sus capacidades administrativas, humanas</w:t>
      </w:r>
      <w:r w:rsidRPr="00FB757F">
        <w:rPr>
          <w:rFonts w:ascii="Palatino Linotype" w:eastAsia="Palatino Linotype" w:hAnsi="Palatino Linotype" w:cs="Palatino Linotype"/>
          <w:b/>
        </w:rPr>
        <w:t xml:space="preserve"> y</w:t>
      </w:r>
      <w:r w:rsidRPr="00FB757F">
        <w:rPr>
          <w:rFonts w:ascii="Palatino Linotype" w:eastAsia="Palatino Linotype" w:hAnsi="Palatino Linotype" w:cs="Palatino Linotype"/>
        </w:rPr>
        <w:t xml:space="preserve"> técnicas, es decir; </w:t>
      </w:r>
      <w:r w:rsidRPr="00FB757F">
        <w:rPr>
          <w:rFonts w:ascii="Palatino Linotype" w:eastAsia="Palatino Linotype" w:hAnsi="Palatino Linotype" w:cs="Palatino Linotype"/>
          <w:b/>
        </w:rPr>
        <w:t>debe fundar y motivar</w:t>
      </w:r>
      <w:r w:rsidRPr="00FB757F">
        <w:rPr>
          <w:rFonts w:ascii="Palatino Linotype" w:eastAsia="Palatino Linotype" w:hAnsi="Palatino Linotype" w:cs="Palatino Linotype"/>
        </w:rPr>
        <w:t xml:space="preserve"> el cambio de modalidad propuesto actualizando los tres supuestos en su conjunto, en el entendido que, a falta de alguno de estos, el cambio de modalidad no resulta procedente.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relación con ello, es de entender como: </w:t>
      </w:r>
    </w:p>
    <w:p w:rsidR="001819CB" w:rsidRPr="00FB757F" w:rsidRDefault="001819CB">
      <w:pPr>
        <w:spacing w:line="360" w:lineRule="auto"/>
        <w:ind w:right="567"/>
        <w:jc w:val="both"/>
        <w:rPr>
          <w:rFonts w:ascii="Palatino Linotype" w:eastAsia="Palatino Linotype" w:hAnsi="Palatino Linotype" w:cs="Palatino Linotype"/>
        </w:rPr>
      </w:pPr>
    </w:p>
    <w:p w:rsidR="001819CB" w:rsidRPr="00FB757F" w:rsidRDefault="005D59E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sz w:val="22"/>
          <w:szCs w:val="22"/>
        </w:rPr>
      </w:pPr>
      <w:r w:rsidRPr="00FB757F">
        <w:rPr>
          <w:rFonts w:ascii="Palatino Linotype" w:eastAsia="Palatino Linotype" w:hAnsi="Palatino Linotype" w:cs="Palatino Linotype"/>
          <w:b/>
          <w:sz w:val="22"/>
          <w:szCs w:val="22"/>
        </w:rPr>
        <w:t>Fundamentación:</w:t>
      </w:r>
      <w:r w:rsidRPr="00FB757F">
        <w:rPr>
          <w:rFonts w:ascii="Palatino Linotype" w:eastAsia="Palatino Linotype" w:hAnsi="Palatino Linotype" w:cs="Palatino Linotype"/>
          <w:sz w:val="22"/>
          <w:szCs w:val="22"/>
        </w:rPr>
        <w:t xml:space="preserve"> Obligación de la autoridad que emite un acto, para citar los preceptos legales, sustantivos y adjetivos, en que se apoye para la determinación tomada y;</w:t>
      </w:r>
    </w:p>
    <w:p w:rsidR="001819CB" w:rsidRPr="00FB757F" w:rsidRDefault="005D59EC">
      <w:pPr>
        <w:numPr>
          <w:ilvl w:val="0"/>
          <w:numId w:val="3"/>
        </w:numPr>
        <w:pBdr>
          <w:top w:val="nil"/>
          <w:left w:val="nil"/>
          <w:bottom w:val="nil"/>
          <w:right w:val="nil"/>
          <w:between w:val="nil"/>
        </w:pBdr>
        <w:spacing w:line="360" w:lineRule="auto"/>
        <w:ind w:right="567"/>
        <w:jc w:val="both"/>
        <w:rPr>
          <w:rFonts w:ascii="Palatino Linotype" w:eastAsia="Palatino Linotype" w:hAnsi="Palatino Linotype" w:cs="Palatino Linotype"/>
          <w:sz w:val="22"/>
          <w:szCs w:val="22"/>
        </w:rPr>
      </w:pPr>
      <w:r w:rsidRPr="00FB757F">
        <w:rPr>
          <w:rFonts w:ascii="Palatino Linotype" w:eastAsia="Palatino Linotype" w:hAnsi="Palatino Linotype" w:cs="Palatino Linotype"/>
          <w:b/>
          <w:sz w:val="22"/>
          <w:szCs w:val="22"/>
        </w:rPr>
        <w:t>Motivación:</w:t>
      </w:r>
      <w:r w:rsidRPr="00FB757F">
        <w:rPr>
          <w:rFonts w:ascii="Palatino Linotype" w:eastAsia="Palatino Linotype" w:hAnsi="Palatino Linotype" w:cs="Palatino Linotype"/>
          <w:sz w:val="22"/>
          <w:szCs w:val="22"/>
        </w:rPr>
        <w:t xml:space="preserve"> Razonamientos lógico-jurídicos sobre porque se consideró en el caso en concreto, que se ajusta a la hipótesis normativa. </w:t>
      </w:r>
    </w:p>
    <w:p w:rsidR="001819CB" w:rsidRPr="00FB757F" w:rsidRDefault="001819CB">
      <w:pPr>
        <w:pBdr>
          <w:top w:val="nil"/>
          <w:left w:val="nil"/>
          <w:bottom w:val="nil"/>
          <w:right w:val="nil"/>
          <w:between w:val="nil"/>
        </w:pBdr>
        <w:spacing w:line="360" w:lineRule="auto"/>
        <w:ind w:left="720" w:right="567"/>
        <w:jc w:val="both"/>
        <w:rPr>
          <w:rFonts w:ascii="Palatino Linotype" w:eastAsia="Palatino Linotype" w:hAnsi="Palatino Linotype" w:cs="Palatino Linotype"/>
          <w:sz w:val="22"/>
          <w:szCs w:val="22"/>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Así pues,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en la respuesta a la solicitud, no señaló causal de procedencia válida para el cambio de modalidad combatido por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y en ese tenor, el </w:t>
      </w:r>
      <w:proofErr w:type="spellStart"/>
      <w:r w:rsidRPr="00FB757F">
        <w:rPr>
          <w:rFonts w:ascii="Palatino Linotype" w:eastAsia="Palatino Linotype" w:hAnsi="Palatino Linotype" w:cs="Palatino Linotype"/>
        </w:rPr>
        <w:t>Infoem</w:t>
      </w:r>
      <w:proofErr w:type="spellEnd"/>
      <w:r w:rsidRPr="00FB757F">
        <w:rPr>
          <w:rFonts w:ascii="Palatino Linotype" w:eastAsia="Palatino Linotype" w:hAnsi="Palatino Linotype" w:cs="Palatino Linotype"/>
        </w:rPr>
        <w:t xml:space="preserve">, mediante correo electrónico oficial enviado a </w:t>
      </w:r>
      <w:hyperlink r:id="rId12">
        <w:r w:rsidRPr="00FB757F">
          <w:rPr>
            <w:rFonts w:ascii="Palatino Linotype" w:eastAsia="Palatino Linotype" w:hAnsi="Palatino Linotype" w:cs="Palatino Linotype"/>
            <w:u w:val="single"/>
          </w:rPr>
          <w:t>tenancingo@itaipem.org.mx</w:t>
        </w:r>
      </w:hyperlink>
      <w:r w:rsidRPr="00FB757F">
        <w:rPr>
          <w:rFonts w:ascii="Palatino Linotype" w:eastAsia="Palatino Linotype" w:hAnsi="Palatino Linotype" w:cs="Palatino Linotype"/>
        </w:rPr>
        <w:t xml:space="preserve"> y </w:t>
      </w:r>
      <w:hyperlink r:id="rId13">
        <w:r w:rsidRPr="00FB757F">
          <w:rPr>
            <w:rFonts w:ascii="Palatino Linotype" w:eastAsia="Palatino Linotype" w:hAnsi="Palatino Linotype" w:cs="Palatino Linotype"/>
            <w:u w:val="single"/>
          </w:rPr>
          <w:t>transparencia@tenancingo.gob.mx</w:t>
        </w:r>
      </w:hyperlink>
      <w:r w:rsidRPr="00FB757F">
        <w:rPr>
          <w:rFonts w:ascii="Palatino Linotype" w:eastAsia="Palatino Linotype" w:hAnsi="Palatino Linotype" w:cs="Palatino Linotype"/>
        </w:rPr>
        <w:t xml:space="preserve"> de fecha </w:t>
      </w:r>
      <w:r w:rsidRPr="00FB757F">
        <w:rPr>
          <w:rFonts w:ascii="Palatino Linotype" w:eastAsia="Palatino Linotype" w:hAnsi="Palatino Linotype" w:cs="Palatino Linotype"/>
          <w:b/>
        </w:rPr>
        <w:t>veinte de abril de dos mil veintitrés</w:t>
      </w:r>
      <w:r w:rsidRPr="00FB757F">
        <w:rPr>
          <w:rFonts w:ascii="Palatino Linotype" w:eastAsia="Palatino Linotype" w:hAnsi="Palatino Linotype" w:cs="Palatino Linotype"/>
        </w:rPr>
        <w:t xml:space="preserve"> requirió a la Unidad de Transparencia en los siguientes términos: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 xml:space="preserve">“ÓSCAR MANUEL MARTÍNEZ RODRÍGUEZ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COORDINADOR DE TRANSPARENCIA Y ACCESO A LA INFORMACIÓN DEL AYUNTAMIENTO DE TENANCINGO, ESTADO DE MÉXICO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P R E S E N T E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Sirva la ocasión para enviarle un cordial saludo, y a su vez, referirme a las constancias que integran el expediente del recurso de revisión 15029/INFOEM/IP/RR/2022; originado de la respuesta a la solicitud de información 00519/TENANCIN/IP/2022, para la cual adjuntó el oficio PMT/058/TM/00459/2022 de fecha seis de septiembre de dos mil veintidós, signado por la Tesorería Municipal del Ayuntamiento de Tenancingo, mediante el cual se determina el cambio de modalidad de entrega de la información; de entrega a través del Sistema de Acceso a la Información Mexiquense a consulta directa, arguyendo que “… nos encontramos en la imposibilidad de entregar al solicitante la información en la modalidad que éste señala, por lo cual se realiza un cambio de modalidad a “CONSULTA DIRECTA”…“ (Sic).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Por lo anterior, se tiene que dejó de fundar y motivar las razones o motivos que originaron el cambio de modalidad de entrega de la información, por lo que, se carece de los elementos que permitan justificar su existencia, lo anterior en términos de los señalado por el artículo 155 fracción V, 158 y 164 de la Ley de Transparencia y Acceso a la Información Pública del Estado de México y Municipios. Por tanto, con fundamento en el artículo 14, fracciones I, III y XVI del Reglamento Interior del Instituto de Transparencia, Acceso a la Información Pública y Protección de Datos Personales del Estado de México y Municipios publicado en el Periódico Oficial Gaceta del Gobierno el catorce de marzo de dos mil veintitrés; con el objeto de contar con los elementos necesarios para la elaboración del proyecto de resolución correspondiente, se requiere informe lo siguiente: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1. Manifieste las razones y fundamentos suficientes para no entregar la información a través del Sistema de Acceso a la Información Pública Mexiquense;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2. Se refiera al cúmulo exacto de información que se trata y sí excede las capacidades del Sistema de Acceso a la Información Pública Mexiquense, esto mediante el reporte de incidencias realizado ante la Dirección General de Informática de este Instituto;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3. Que la información solicitada, sobrepase las capacidades técnicas administrativas y humanas del Sujeto Obligado para cumplir con la solicitud, en los plazos establecidos para dichos efectos, con los respectivos medios de convicción; y</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4. Si la información solicitada, es necesario que se entregue en versión pública.</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Es menester del suscrito referir que los requerimientos deberán ser colmados a este Instituto en un lapso no mayor a tres días hábiles, a través de los correos electrónicos alexis.moreno@itaipem.org.mx y berenice.carrillo@infoem.org.mx, de acuerdo a lo establecido en el artículo 29 del Código de Procedimientos Administrativos del Estado de México de aplicación supletoria a la Ley de Transparencia y Acceso a la Información Pública del Estado de México y Municipios.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Sin más por el momento, le reitero mi más distinguida consideración.</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ATENTAMENTE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ALEXIS ZURIEL MORENO ROCHA</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PROYECTISTA “E” ADSCRITO A LA PONENCIA DE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LA COMISIONADA GUADALUPE RAMÍREZ PEÑA” (Sic) </w:t>
      </w:r>
    </w:p>
    <w:p w:rsidR="001819CB" w:rsidRPr="00FB757F" w:rsidRDefault="001819CB">
      <w:pPr>
        <w:spacing w:line="360" w:lineRule="auto"/>
        <w:ind w:right="49"/>
        <w:jc w:val="both"/>
        <w:rPr>
          <w:rFonts w:ascii="Palatino Linotype" w:eastAsia="Palatino Linotype" w:hAnsi="Palatino Linotype" w:cs="Palatino Linotype"/>
          <w:i/>
          <w:sz w:val="22"/>
          <w:szCs w:val="22"/>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Ese mismo día y en igualdad de circunstancias, se requirió de la Dirección General de Informática, lo siguiente: </w:t>
      </w:r>
    </w:p>
    <w:p w:rsidR="001819CB" w:rsidRPr="00FB757F" w:rsidRDefault="005D59EC">
      <w:pPr>
        <w:spacing w:line="360" w:lineRule="auto"/>
        <w:ind w:right="49"/>
        <w:jc w:val="center"/>
        <w:rPr>
          <w:rFonts w:ascii="Palatino Linotype" w:eastAsia="Palatino Linotype" w:hAnsi="Palatino Linotype" w:cs="Palatino Linotype"/>
        </w:rPr>
      </w:pPr>
      <w:r w:rsidRPr="00FB757F">
        <w:rPr>
          <w:noProof/>
        </w:rPr>
        <w:drawing>
          <wp:inline distT="0" distB="0" distL="0" distR="0">
            <wp:extent cx="5255205" cy="2352675"/>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715" t="26173" r="15939" b="7488"/>
                    <a:stretch>
                      <a:fillRect/>
                    </a:stretch>
                  </pic:blipFill>
                  <pic:spPr>
                    <a:xfrm>
                      <a:off x="0" y="0"/>
                      <a:ext cx="5255205" cy="2352675"/>
                    </a:xfrm>
                    <a:prstGeom prst="rect">
                      <a:avLst/>
                    </a:prstGeom>
                    <a:ln/>
                  </pic:spPr>
                </pic:pic>
              </a:graphicData>
            </a:graphic>
          </wp:inline>
        </w:drawing>
      </w: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Derivado de dicha solicitud, la Dirección General de Informática se sirvió dar la contestación que se muestra: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rPr>
          <w:rFonts w:ascii="Palatino Linotype" w:eastAsia="Palatino Linotype" w:hAnsi="Palatino Linotype" w:cs="Palatino Linotype"/>
        </w:rPr>
      </w:pPr>
      <w:r w:rsidRPr="00FB757F">
        <w:rPr>
          <w:noProof/>
        </w:rPr>
        <w:lastRenderedPageBreak/>
        <w:drawing>
          <wp:inline distT="0" distB="0" distL="0" distR="0">
            <wp:extent cx="5803186" cy="2667000"/>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t="19565" r="15710" b="11563"/>
                    <a:stretch>
                      <a:fillRect/>
                    </a:stretch>
                  </pic:blipFill>
                  <pic:spPr>
                    <a:xfrm>
                      <a:off x="0" y="0"/>
                      <a:ext cx="5803186" cy="2667000"/>
                    </a:xfrm>
                    <a:prstGeom prst="rect">
                      <a:avLst/>
                    </a:prstGeom>
                    <a:ln/>
                  </pic:spPr>
                </pic:pic>
              </a:graphicData>
            </a:graphic>
          </wp:inline>
        </w:drawing>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 lo anterior se colige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dejó de manifestarse dentro del plazo otorgado para remitir a este Órgano Garante de información para mejor proveer, situación por la cual resulta necesario traer a colación lo que señala Carlos Báez Silva, al referir que</w:t>
      </w:r>
      <w:r w:rsidRPr="00FB757F">
        <w:rPr>
          <w:rFonts w:ascii="Palatino Linotype" w:eastAsia="Palatino Linotype" w:hAnsi="Palatino Linotype" w:cs="Palatino Linotype"/>
          <w:i/>
        </w:rPr>
        <w:t xml:space="preserve"> </w:t>
      </w:r>
      <w:r w:rsidRPr="00FB757F">
        <w:rPr>
          <w:rFonts w:ascii="Palatino Linotype" w:eastAsia="Palatino Linotype" w:hAnsi="Palatino Linotype" w:cs="Palatino Linotype"/>
        </w:rPr>
        <w:t xml:space="preserve">las razones por las cuales la autoridad actúa como lo hace, </w:t>
      </w:r>
      <w:r w:rsidRPr="00FB757F">
        <w:rPr>
          <w:rFonts w:ascii="Palatino Linotype" w:eastAsia="Palatino Linotype" w:hAnsi="Palatino Linotype" w:cs="Palatino Linotype"/>
          <w:b/>
        </w:rPr>
        <w:t>no consisten únicamente en la expresión de las circunstancias o causas de la actuación</w:t>
      </w:r>
      <w:r w:rsidRPr="00FB757F">
        <w:rPr>
          <w:rFonts w:ascii="Palatino Linotype" w:eastAsia="Palatino Linotype" w:hAnsi="Palatino Linotype" w:cs="Palatino Linotype"/>
        </w:rPr>
        <w:t xml:space="preserve">, es decir, el requisito de motivación de los actos de autoridad </w:t>
      </w:r>
      <w:r w:rsidRPr="00FB757F">
        <w:rPr>
          <w:rFonts w:ascii="Palatino Linotype" w:eastAsia="Palatino Linotype" w:hAnsi="Palatino Linotype" w:cs="Palatino Linotype"/>
          <w:b/>
        </w:rPr>
        <w:t>no se cumple sólo con la reseña de los hechos</w:t>
      </w:r>
      <w:r w:rsidRPr="00FB757F">
        <w:rPr>
          <w:rFonts w:ascii="Palatino Linotype" w:eastAsia="Palatino Linotype" w:hAnsi="Palatino Linotype" w:cs="Palatino Linotype"/>
        </w:rPr>
        <w:t xml:space="preserve"> de los que conoce una autoridad, sino que es necesario que se argumente de </w:t>
      </w:r>
      <w:r w:rsidRPr="00FB757F">
        <w:rPr>
          <w:rFonts w:ascii="Palatino Linotype" w:eastAsia="Palatino Linotype" w:hAnsi="Palatino Linotype" w:cs="Palatino Linotype"/>
          <w:b/>
        </w:rPr>
        <w:t>manera real y certera las causas aducidas al caso concreto para justificar el por qué las decisiones adoptadas no son arbitrarias o evidentes</w:t>
      </w:r>
      <w:r w:rsidRPr="00FB757F">
        <w:rPr>
          <w:rFonts w:ascii="Palatino Linotype" w:eastAsia="Palatino Linotype" w:hAnsi="Palatino Linotype" w:cs="Palatino Linotype"/>
        </w:rPr>
        <w:t xml:space="preserv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Ahora bien, cabe precisar que la Ley de Archivos y Administración de Documentos del Estado de México y Municipios señala en su artículo 11, fracción XI que: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11.</w:t>
      </w:r>
      <w:r w:rsidRPr="00FB757F">
        <w:rPr>
          <w:rFonts w:ascii="Palatino Linotype" w:eastAsia="Palatino Linotype" w:hAnsi="Palatino Linotype" w:cs="Palatino Linotype"/>
          <w:i/>
          <w:sz w:val="22"/>
          <w:szCs w:val="22"/>
        </w:rPr>
        <w:t xml:space="preserve"> Los Sujetos Obligados deberán:</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XI. Aplicar métodos y medidas para la organización, protección y conservación de los Documentos de Archivo, considerando el estado que guardan y el espacio para su almacenamiento; </w:t>
      </w:r>
      <w:r w:rsidRPr="00FB757F">
        <w:rPr>
          <w:rFonts w:ascii="Palatino Linotype" w:eastAsia="Palatino Linotype" w:hAnsi="Palatino Linotype" w:cs="Palatino Linotype"/>
          <w:b/>
          <w:i/>
          <w:sz w:val="22"/>
          <w:szCs w:val="22"/>
          <w:u w:val="single"/>
        </w:rPr>
        <w:t>así como procurar el resguardo digital de dichos documentos</w:t>
      </w:r>
      <w:r w:rsidRPr="00FB757F">
        <w:rPr>
          <w:rFonts w:ascii="Palatino Linotype" w:eastAsia="Palatino Linotype" w:hAnsi="Palatino Linotype" w:cs="Palatino Linotype"/>
          <w:i/>
          <w:sz w:val="22"/>
          <w:szCs w:val="22"/>
        </w:rPr>
        <w:t>, de conformidad con la Ley General, la Ley de Gobierno Digital del Estado de México y Municipios, la presente Ley y las demás disposiciones jurídicas aplicables, y</w:t>
      </w:r>
    </w:p>
    <w:p w:rsidR="001819CB" w:rsidRPr="00FB757F" w:rsidRDefault="005D59EC">
      <w:pPr>
        <w:spacing w:line="276" w:lineRule="auto"/>
        <w:ind w:left="567" w:right="567"/>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Asimismo, la Ley de Gobierno Digital del Estado de México y Municipios, menciona en su artículo 44, fracción I, lo siguiente: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276" w:lineRule="auto"/>
        <w:ind w:left="567" w:right="49"/>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44</w:t>
      </w:r>
      <w:r w:rsidRPr="00FB757F">
        <w:rPr>
          <w:rFonts w:ascii="Palatino Linotype" w:eastAsia="Palatino Linotype" w:hAnsi="Palatino Linotype" w:cs="Palatino Linotype"/>
          <w:i/>
          <w:sz w:val="22"/>
          <w:szCs w:val="22"/>
        </w:rPr>
        <w:t>. Las dependencias y los organismos auxiliares del Poder Ejecutivo, los órganos autónomos y los Notarios Públicos, tendrán las funciones siguientes:</w:t>
      </w:r>
    </w:p>
    <w:p w:rsidR="001819CB" w:rsidRPr="00FB757F" w:rsidRDefault="005D59EC">
      <w:pPr>
        <w:spacing w:line="276" w:lineRule="auto"/>
        <w:ind w:left="567" w:right="49"/>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w:t>
      </w:r>
      <w:r w:rsidRPr="00FB757F">
        <w:rPr>
          <w:rFonts w:ascii="Palatino Linotype" w:eastAsia="Palatino Linotype" w:hAnsi="Palatino Linotype" w:cs="Palatino Linotype"/>
          <w:b/>
          <w:i/>
          <w:sz w:val="22"/>
          <w:szCs w:val="22"/>
        </w:rPr>
        <w:t>. Desarrollar acciones y gestiones dirigidas a implementar en su funcionamiento y operación el uso de tecnologías de la información y comunicación</w:t>
      </w:r>
      <w:r w:rsidRPr="00FB757F">
        <w:rPr>
          <w:rFonts w:ascii="Palatino Linotype" w:eastAsia="Palatino Linotype" w:hAnsi="Palatino Linotype" w:cs="Palatino Linotype"/>
          <w:i/>
          <w:sz w:val="22"/>
          <w:szCs w:val="22"/>
        </w:rPr>
        <w:t>, con el fin de garantizar que los trámites y servicios que presten al ciudadano sean eficientes.</w:t>
      </w:r>
    </w:p>
    <w:p w:rsidR="001819CB" w:rsidRPr="00FB757F" w:rsidRDefault="005D59EC">
      <w:pPr>
        <w:spacing w:line="276" w:lineRule="auto"/>
        <w:ind w:left="567" w:right="49"/>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consecuencia, se advierte que los Sujetos Obligados deberán procurar el resguardo digital de los documentos y desarrollar acciones tendientes a implementar el uso de las tecnologías de la información y comunicación, además de ello, es de referir que existen otros medios para digitalizar la información, como el uso de dispositivos móviles a través de aplicaciones electrónicas gratuitas, las cuales permiten escanear documentos y convertirlos a PDF o imagen.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 lo hasta aquí dicho, quedó de manifiesto que las capacidades tecnológicas del SAIMEX abarcan hasta los quinientos megabytes, que equivalentemente responden a ocho mil hojas escaneadas en una resolución máxima de mil quinientos puntos </w:t>
      </w:r>
      <w:r w:rsidRPr="00FB757F">
        <w:rPr>
          <w:rFonts w:ascii="Palatino Linotype" w:eastAsia="Palatino Linotype" w:hAnsi="Palatino Linotype" w:cs="Palatino Linotype"/>
        </w:rPr>
        <w:lastRenderedPageBreak/>
        <w:t xml:space="preserve">por pulgada en escala de grises y en formato PDF, y es dable concluir que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no se pronunció en razón de las características físicas específicas de la información solicitada, y de los razonamientos fundados y motivados que originaron el cambio de modalidad del cual se afecta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otra parte, de la respuesta emitida por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es imperante destacar que este refirió que </w:t>
      </w:r>
      <w:r w:rsidRPr="00FB757F">
        <w:rPr>
          <w:rFonts w:ascii="Palatino Linotype" w:eastAsia="Palatino Linotype" w:hAnsi="Palatino Linotype" w:cs="Palatino Linotype"/>
          <w:i/>
        </w:rPr>
        <w:t xml:space="preserve">“… Se le dará acceso a los archivos que contienen la información sobre: Las remuneraciones (sueldos y percepciones) pagadas al Presidente Municipal, de la primera quincena de enero a la segunda de febrero de dos mil veintidós…” (Sic), </w:t>
      </w:r>
      <w:r w:rsidRPr="00FB757F">
        <w:rPr>
          <w:rFonts w:ascii="Palatino Linotype" w:eastAsia="Palatino Linotype" w:hAnsi="Palatino Linotype" w:cs="Palatino Linotype"/>
        </w:rPr>
        <w:t xml:space="preserve">situación por demás desapegada a los requerimientos invocados por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pues desde su petición inicial, fue determinante en señalar la temporalidad y la información requerida; que fue el conocer </w:t>
      </w:r>
      <w:r w:rsidRPr="00FB757F">
        <w:rPr>
          <w:rFonts w:ascii="Palatino Linotype" w:eastAsia="Palatino Linotype" w:hAnsi="Palatino Linotype" w:cs="Palatino Linotype"/>
          <w:b/>
        </w:rPr>
        <w:t xml:space="preserve">la nómina de la segunda quincena del mes de julio de dos mil veintidós, de todo el personal adscrito al Ayuntamiento de Tenancingo, incluidas las personas integrantes de su Cabildo, </w:t>
      </w:r>
      <w:r w:rsidRPr="00FB757F">
        <w:rPr>
          <w:rFonts w:ascii="Palatino Linotype" w:eastAsia="Palatino Linotype" w:hAnsi="Palatino Linotype" w:cs="Palatino Linotype"/>
        </w:rPr>
        <w:t xml:space="preserve">y no únicamente del Presidente Municipal. </w:t>
      </w:r>
    </w:p>
    <w:p w:rsidR="001819CB" w:rsidRPr="00FB757F" w:rsidRDefault="001819CB">
      <w:pPr>
        <w:spacing w:line="360" w:lineRule="auto"/>
        <w:ind w:right="49"/>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consiguiente, se verificará el Marco Normativo que faculta al </w:t>
      </w:r>
      <w:r w:rsidRPr="00FB757F">
        <w:rPr>
          <w:rFonts w:ascii="Palatino Linotype" w:eastAsia="Palatino Linotype" w:hAnsi="Palatino Linotype" w:cs="Palatino Linotype"/>
          <w:b/>
        </w:rPr>
        <w:t xml:space="preserve">SUJETO OBLIGADO </w:t>
      </w:r>
      <w:r w:rsidRPr="00FB757F">
        <w:rPr>
          <w:rFonts w:ascii="Palatino Linotype" w:eastAsia="Palatino Linotype" w:hAnsi="Palatino Linotype" w:cs="Palatino Linotype"/>
        </w:rPr>
        <w:t xml:space="preserve">para dar contestación a dicho pedimento: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 xml:space="preserve">Ley Orgánica Municipal del Estado de México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TITULO IV Régimen Administrativo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CAPITULO SEGUNDO De la Tesorería Municipal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93.- La tesorería municipal es el órgano encargado de la recaudación de los ingresos municipales y responsable de realizar las erogaciones que haga el ayuntamiento.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95.- Son atribuciones del tesorero municipal:</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IV. Llevar los registros contables, financieros y administrativos de los ingresos, egresos, e inventarios;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Bando de Policía y Gobierno Municipal de Tenancingo, Estado de México, 2022</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TÍTULO TERCERO DEL GOBIERNO</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CAPÍTULO II DE LA ADMINISTRACIÓN PÚBLICA CENTRALIZADA Y DESCENTRALIZADA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19. La estructura de la administración pública municipal centralizada estará subordinada al Presidente Municipal, siendo esta la siguiente:</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3. Tesorería Municipal:</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ind w:right="51"/>
        <w:jc w:val="both"/>
        <w:rPr>
          <w:rFonts w:ascii="Palatino Linotype" w:eastAsia="Palatino Linotype" w:hAnsi="Palatino Linotype" w:cs="Palatino Linotype"/>
        </w:rPr>
      </w:pPr>
      <w:r w:rsidRPr="00FB757F">
        <w:rPr>
          <w:rFonts w:ascii="Palatino Linotype" w:eastAsia="Palatino Linotype" w:hAnsi="Palatino Linotype" w:cs="Palatino Linotype"/>
        </w:rPr>
        <w:t>Es importante traer a contexto lo estipulado en la fracción XXXII del artículo 3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3.- Para efectos de este Código, Ley de Ingresos del Estado y del Presupuesto de Egresos se entenderá por:</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w:t>
      </w:r>
      <w:r w:rsidRPr="00FB757F">
        <w:rPr>
          <w:rFonts w:ascii="Palatino Linotype" w:eastAsia="Palatino Linotype" w:hAnsi="Palatino Linotype" w:cs="Palatino Linotype"/>
        </w:rPr>
        <w:lastRenderedPageBreak/>
        <w:t xml:space="preserve">de conservar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entre los que se encuentran los recibos de pagos, por lo tanto, se inserta lo siguiente: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220 K.-</w:t>
      </w:r>
      <w:r w:rsidRPr="00FB757F">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r w:rsidRPr="00FB757F">
        <w:rPr>
          <w:rFonts w:ascii="Palatino Linotype" w:eastAsia="Palatino Linotype" w:hAnsi="Palatino Linotype" w:cs="Palatino Linotype"/>
          <w:b/>
          <w:i/>
          <w:sz w:val="22"/>
          <w:szCs w:val="22"/>
        </w:rPr>
        <w:t>;</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III. Controles de asistencia o la información magnética o electrónica de asistencia de los servidores públicos;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 Los demás que señalen las leyes.</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after="160" w:line="259" w:lineRule="auto"/>
        <w:jc w:val="both"/>
        <w:rPr>
          <w:rFonts w:ascii="Palatino Linotype" w:eastAsia="Palatino Linotype" w:hAnsi="Palatino Linotype" w:cs="Palatino Linotype"/>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Asimismo, es importante mencionar que dicha información, se remite de manera digital al Órgano Superior de Fiscalización del Estado de México, ya que emite el </w:t>
      </w:r>
      <w:r w:rsidRPr="00FB757F">
        <w:rPr>
          <w:rFonts w:ascii="Palatino Linotype" w:eastAsia="Palatino Linotype" w:hAnsi="Palatino Linotype" w:cs="Palatino Linotype"/>
        </w:rPr>
        <w:lastRenderedPageBreak/>
        <w:t xml:space="preserve">Formato Informe Trimestral Municipal 2022, el cual tiene como objetivo establecer las especificaciones necesarias que las entidades fiscalizables deben cumplir para la elaboración y presentación de los informes trimestrales.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Este formato es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ind w:right="-28"/>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Se advierte el análisis que nos ocupa, específicamente el </w:t>
      </w:r>
      <w:proofErr w:type="spellStart"/>
      <w:r w:rsidRPr="00FB757F">
        <w:rPr>
          <w:rFonts w:ascii="Palatino Linotype" w:eastAsia="Palatino Linotype" w:hAnsi="Palatino Linotype" w:cs="Palatino Linotype"/>
        </w:rPr>
        <w:t>Submódulo</w:t>
      </w:r>
      <w:proofErr w:type="spellEnd"/>
      <w:r w:rsidRPr="00FB757F">
        <w:rPr>
          <w:rFonts w:ascii="Palatino Linotype" w:eastAsia="Palatino Linotype" w:hAnsi="Palatino Linotype" w:cs="Palatino Linotype"/>
        </w:rPr>
        <w:t>-Nómina y Comprobantes localiz</w:t>
      </w:r>
      <w:r w:rsidRPr="00FB757F">
        <w:t>able en</w:t>
      </w:r>
      <w:r w:rsidRPr="00FB757F">
        <w:rPr>
          <w:rFonts w:ascii="Palatino Linotype" w:eastAsia="Palatino Linotype" w:hAnsi="Palatino Linotype" w:cs="Palatino Linotype"/>
        </w:rPr>
        <w:t xml:space="preserve"> el Módulo 4, relativo a la información de nómina, el cual describe cómo debe llevarse a cabo la presentación de la información tal y como se muestra en las siguientes imágenes:</w:t>
      </w:r>
    </w:p>
    <w:p w:rsidR="001819CB" w:rsidRPr="00FB757F" w:rsidRDefault="005D59EC">
      <w:pPr>
        <w:spacing w:line="360" w:lineRule="auto"/>
        <w:jc w:val="center"/>
        <w:rPr>
          <w:rFonts w:ascii="Palatino Linotype" w:eastAsia="Palatino Linotype" w:hAnsi="Palatino Linotype" w:cs="Palatino Linotype"/>
        </w:rPr>
      </w:pPr>
      <w:r w:rsidRPr="00FB757F">
        <w:rPr>
          <w:noProof/>
        </w:rPr>
        <w:lastRenderedPageBreak/>
        <w:drawing>
          <wp:inline distT="0" distB="0" distL="0" distR="0">
            <wp:extent cx="5450104" cy="7379112"/>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40733" t="12812" r="23233" b="6967"/>
                    <a:stretch>
                      <a:fillRect/>
                    </a:stretch>
                  </pic:blipFill>
                  <pic:spPr>
                    <a:xfrm>
                      <a:off x="0" y="0"/>
                      <a:ext cx="5450104" cy="7379112"/>
                    </a:xfrm>
                    <a:prstGeom prst="rect">
                      <a:avLst/>
                    </a:prstGeom>
                    <a:ln/>
                  </pic:spPr>
                </pic:pic>
              </a:graphicData>
            </a:graphic>
          </wp:inline>
        </w:drawing>
      </w:r>
    </w:p>
    <w:p w:rsidR="001819CB" w:rsidRPr="00FB757F" w:rsidRDefault="005D59EC">
      <w:pPr>
        <w:spacing w:line="360" w:lineRule="auto"/>
        <w:jc w:val="both"/>
        <w:rPr>
          <w:rFonts w:ascii="Palatino Linotype" w:eastAsia="Palatino Linotype" w:hAnsi="Palatino Linotype" w:cs="Palatino Linotype"/>
        </w:rPr>
      </w:pPr>
      <w:r w:rsidRPr="00FB757F">
        <w:rPr>
          <w:noProof/>
        </w:rPr>
        <w:lastRenderedPageBreak/>
        <w:drawing>
          <wp:inline distT="0" distB="0" distL="0" distR="0">
            <wp:extent cx="5686106" cy="7408358"/>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41047" t="13370" r="25893" b="10048"/>
                    <a:stretch>
                      <a:fillRect/>
                    </a:stretch>
                  </pic:blipFill>
                  <pic:spPr>
                    <a:xfrm>
                      <a:off x="0" y="0"/>
                      <a:ext cx="5686106" cy="7408358"/>
                    </a:xfrm>
                    <a:prstGeom prst="rect">
                      <a:avLst/>
                    </a:prstGeom>
                    <a:ln/>
                  </pic:spPr>
                </pic:pic>
              </a:graphicData>
            </a:graphic>
          </wp:inline>
        </w:drawing>
      </w:r>
    </w:p>
    <w:p w:rsidR="001819CB" w:rsidRPr="00FB757F" w:rsidRDefault="005D59EC">
      <w:pPr>
        <w:spacing w:line="360" w:lineRule="auto"/>
        <w:ind w:right="142"/>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Efectivamente, todas las Personas Servidoras Públicas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1819CB" w:rsidRPr="00FB757F" w:rsidRDefault="001819CB">
      <w:pPr>
        <w:spacing w:line="360" w:lineRule="auto"/>
        <w:ind w:right="142"/>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Bajo ese amparo, es conducente determinar que respecto al requerimiento de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donde solicita la nómina de la segunda quincena del mes de julio de dos mil veintidós de todo el personal adscrito al Ayuntamiento de Tenancingo, de manera enunciativa más no limitativa podrían constar en la Conciliación de la Nómina, pues dicho documento contiene la información pública que requiere </w:t>
      </w:r>
      <w:r w:rsidRPr="00FB757F">
        <w:rPr>
          <w:rFonts w:ascii="Palatino Linotype" w:eastAsia="Palatino Linotype" w:hAnsi="Palatino Linotype" w:cs="Palatino Linotype"/>
          <w:b/>
        </w:rPr>
        <w:t xml:space="preserve">LA PARTE RECURRENTE. </w:t>
      </w:r>
    </w:p>
    <w:p w:rsidR="001819CB" w:rsidRPr="00FB757F" w:rsidRDefault="001819CB">
      <w:pPr>
        <w:spacing w:line="360" w:lineRule="auto"/>
        <w:ind w:right="142"/>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En tal virtud, la ley otorga publicidad a la información relacionada con la remuneración de los servidores públicos; tan es así, que el artículo veintitrés, penúltimo párrafo de la citada ley, dispone que los Sujetos Obligados deben hacer pública toda aquella información relativa a los montos y personas que por cualquier motivo reciba recursos públicos.</w:t>
      </w:r>
    </w:p>
    <w:p w:rsidR="001819CB" w:rsidRPr="00FB757F" w:rsidRDefault="001819CB">
      <w:pPr>
        <w:rPr>
          <w:sz w:val="2"/>
          <w:szCs w:val="2"/>
        </w:rPr>
      </w:pP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FB757F">
        <w:rPr>
          <w:rFonts w:ascii="Palatino Linotype" w:eastAsia="Palatino Linotype" w:hAnsi="Palatino Linotype" w:cs="Palatino Linotype"/>
        </w:rPr>
        <w:lastRenderedPageBreak/>
        <w:t xml:space="preserve">Datos Personales de la Suprema Corte de Justicia de la Nación, que a continuación se citan: </w:t>
      </w:r>
    </w:p>
    <w:p w:rsidR="001819CB" w:rsidRPr="00FB757F" w:rsidRDefault="005D59EC">
      <w:pPr>
        <w:pBdr>
          <w:top w:val="nil"/>
          <w:left w:val="nil"/>
          <w:bottom w:val="nil"/>
          <w:right w:val="nil"/>
          <w:between w:val="nil"/>
        </w:pBdr>
        <w:spacing w:before="200"/>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Criterio 01/2003.</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FB757F">
        <w:rPr>
          <w:rFonts w:ascii="Palatino Linotype" w:eastAsia="Palatino Linotype" w:hAnsi="Palatino Linotype" w:cs="Palatino Linotype"/>
          <w:b/>
          <w:i/>
          <w:sz w:val="22"/>
          <w:szCs w:val="22"/>
          <w:u w:val="single"/>
        </w:rPr>
        <w:t>.</w:t>
      </w:r>
      <w:r w:rsidRPr="00FB757F">
        <w:rPr>
          <w:rFonts w:ascii="Palatino Linotype" w:eastAsia="Palatino Linotype" w:hAnsi="Palatino Linotype" w:cs="Palatino Linotype"/>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i/>
          <w:sz w:val="22"/>
          <w:szCs w:val="22"/>
          <w:u w:val="single"/>
        </w:rPr>
        <w:t>debe reconocerse que aun y  cuando en ese supuesto podría encuadrar la relativa a las percepciones ordinarias y extraordinaria de los servidores públicos</w:t>
      </w:r>
      <w:r w:rsidRPr="00FB757F">
        <w:rPr>
          <w:rFonts w:ascii="Palatino Linotype" w:eastAsia="Palatino Linotype" w:hAnsi="Palatino Linotype" w:cs="Palatino Linotype"/>
          <w:i/>
          <w:sz w:val="22"/>
          <w:szCs w:val="22"/>
        </w:rPr>
        <w:t xml:space="preserve">, ello no obsta para reconocer que el legislador estableció en el artículo 7 de ese mismo ordenamiento que la referida información, como una obligación de trasparencia, </w:t>
      </w:r>
      <w:r w:rsidRPr="00FB757F">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
          <w:szCs w:val="2"/>
        </w:rPr>
      </w:pPr>
    </w:p>
    <w:p w:rsidR="001819CB" w:rsidRPr="00FB757F" w:rsidRDefault="001819CB">
      <w:pPr>
        <w:pBdr>
          <w:top w:val="nil"/>
          <w:left w:val="nil"/>
          <w:bottom w:val="nil"/>
          <w:right w:val="nil"/>
          <w:between w:val="nil"/>
        </w:pBdr>
        <w:ind w:right="864"/>
        <w:jc w:val="both"/>
        <w:rPr>
          <w:rFonts w:ascii="Palatino Linotype" w:eastAsia="Palatino Linotype" w:hAnsi="Palatino Linotype" w:cs="Palatino Linotype"/>
          <w:b/>
          <w:i/>
          <w:sz w:val="22"/>
          <w:szCs w:val="22"/>
        </w:rPr>
      </w:pP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Criterio 02/2003.</w:t>
      </w:r>
    </w:p>
    <w:p w:rsidR="001819CB" w:rsidRPr="00FB757F" w:rsidRDefault="005D59E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FB757F">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w:t>
      </w:r>
      <w:r w:rsidRPr="00FB757F">
        <w:rPr>
          <w:rFonts w:ascii="Palatino Linotype" w:eastAsia="Palatino Linotype" w:hAnsi="Palatino Linotype" w:cs="Palatino Linotype"/>
          <w:i/>
          <w:sz w:val="22"/>
          <w:szCs w:val="22"/>
          <w:u w:val="single"/>
        </w:rPr>
        <w:t>se advierte que no constituye información confidencial la relativa a los ingresos que reciben los servidores públicos, ya que aun y cuando se trata de datos personales relativos a su patrimonio</w:t>
      </w:r>
      <w:r w:rsidRPr="00FB757F">
        <w:rPr>
          <w:rFonts w:ascii="Palatino Linotype" w:eastAsia="Palatino Linotype" w:hAnsi="Palatino Linotype" w:cs="Palatino Linotype"/>
          <w:i/>
          <w:sz w:val="22"/>
          <w:szCs w:val="22"/>
        </w:rPr>
        <w:t xml:space="preserve">, para su difusión no se requiere consentimiento de aquellos, </w:t>
      </w:r>
      <w:r w:rsidRPr="00FB757F">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B757F">
        <w:rPr>
          <w:rFonts w:ascii="Palatino Linotype" w:eastAsia="Palatino Linotype" w:hAnsi="Palatino Linotype" w:cs="Palatino Linotype"/>
          <w:i/>
          <w:sz w:val="22"/>
          <w:szCs w:val="22"/>
        </w:rPr>
        <w:t xml:space="preserve"> el sistema de compensación. </w:t>
      </w:r>
    </w:p>
    <w:p w:rsidR="001819CB" w:rsidRPr="00FB757F" w:rsidRDefault="001819CB">
      <w:pPr>
        <w:pBdr>
          <w:top w:val="nil"/>
          <w:left w:val="nil"/>
          <w:bottom w:val="nil"/>
          <w:right w:val="nil"/>
          <w:between w:val="nil"/>
        </w:pBdr>
        <w:ind w:left="864" w:right="864"/>
        <w:jc w:val="both"/>
        <w:rPr>
          <w:rFonts w:ascii="Palatino Linotype" w:eastAsia="Palatino Linotype" w:hAnsi="Palatino Linotype" w:cs="Palatino Linotype"/>
          <w:i/>
          <w:sz w:val="20"/>
          <w:szCs w:val="20"/>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De lo dicho en párrafos anteriores, este Instituto estima procedente ordenar la entrega de la documentación, que dé constancia a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de la nómina de todo el personal y el Cabildo del Ayuntamiento de Tenancingo, que de manera enunciativa más no limitativa, puede constar en la Conciliación de la Nómina generada en la segunda quincena de julio de dos mil veintidós, atendiendo al Considerando Quinto de la presente resolución.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ind w:right="51"/>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QUINTO. VERSIÓN PÚBLICA. </w:t>
      </w:r>
      <w:r w:rsidRPr="00FB757F">
        <w:rPr>
          <w:rFonts w:ascii="Palatino Linotype" w:eastAsia="Palatino Linotype" w:hAnsi="Palatino Linotype" w:cs="Palatino Linotype"/>
        </w:rPr>
        <w:t xml:space="preserve">Como fue debidamente apuntado,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1819CB" w:rsidRPr="00FB757F" w:rsidRDefault="001819CB">
      <w:pPr>
        <w:spacing w:line="360" w:lineRule="auto"/>
        <w:ind w:right="51"/>
        <w:jc w:val="both"/>
        <w:rPr>
          <w:rFonts w:ascii="Palatino Linotype" w:eastAsia="Palatino Linotype" w:hAnsi="Palatino Linotype" w:cs="Palatino Linotype"/>
        </w:rPr>
      </w:pP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1819CB" w:rsidRPr="00FB757F" w:rsidRDefault="005D59EC">
      <w:pP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Al respecto, los artículos 3, fracciones IX, XX, XXI, XXXII, XLV; 6, 91, 137, 143 </w:t>
      </w:r>
      <w:proofErr w:type="gramStart"/>
      <w:r w:rsidRPr="00FB757F">
        <w:rPr>
          <w:rFonts w:ascii="Palatino Linotype" w:eastAsia="Palatino Linotype" w:hAnsi="Palatino Linotype" w:cs="Palatino Linotype"/>
        </w:rPr>
        <w:t>fracción</w:t>
      </w:r>
      <w:proofErr w:type="gramEnd"/>
      <w:r w:rsidRPr="00FB757F">
        <w:rPr>
          <w:rFonts w:ascii="Palatino Linotype" w:eastAsia="Palatino Linotype" w:hAnsi="Palatino Linotype" w:cs="Palatino Linotype"/>
        </w:rPr>
        <w:t xml:space="preserve"> I, de la Ley de Transparencia y Acceso a la Información Pública del Estado de México y Municipios vigente establecen:</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r w:rsidRPr="00FB757F">
        <w:rPr>
          <w:rFonts w:ascii="Palatino Linotype" w:eastAsia="Palatino Linotype" w:hAnsi="Palatino Linotype" w:cs="Palatino Linotype"/>
          <w:b/>
          <w:i/>
          <w:sz w:val="22"/>
          <w:szCs w:val="22"/>
        </w:rPr>
        <w:t>Artículo 3.</w:t>
      </w:r>
      <w:r w:rsidRPr="00FB757F">
        <w:rPr>
          <w:rFonts w:ascii="Palatino Linotype" w:eastAsia="Palatino Linotype" w:hAnsi="Palatino Linotype" w:cs="Palatino Linotype"/>
          <w:i/>
          <w:sz w:val="22"/>
          <w:szCs w:val="22"/>
        </w:rPr>
        <w:t xml:space="preserve"> Para los efectos de la presente Ley se entenderá por:</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IX. Datos personales</w:t>
      </w:r>
      <w:r w:rsidRPr="00FB757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XX. Información clasificada</w:t>
      </w:r>
      <w:r w:rsidRPr="00FB757F">
        <w:rPr>
          <w:rFonts w:ascii="Palatino Linotype" w:eastAsia="Palatino Linotype" w:hAnsi="Palatino Linotype" w:cs="Palatino Linotype"/>
          <w:i/>
          <w:sz w:val="22"/>
          <w:szCs w:val="22"/>
        </w:rPr>
        <w:t>: Aquella considerada por la presente Ley como reservada o confidencial;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XXI. Información confidencial</w:t>
      </w:r>
      <w:r w:rsidRPr="00FB757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XXXII. Protección de Datos Personales</w:t>
      </w:r>
      <w:r w:rsidRPr="00FB757F">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XLV. Versión pública</w:t>
      </w:r>
      <w:r w:rsidRPr="00FB757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Artículo 6</w:t>
      </w:r>
      <w:r w:rsidRPr="00FB757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91.</w:t>
      </w:r>
      <w:r w:rsidRPr="00FB757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Artículo 137.</w:t>
      </w:r>
      <w:r w:rsidRPr="00FB757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FB757F">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Artículo 143.</w:t>
      </w:r>
      <w:r w:rsidRPr="00FB757F">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w:t>
      </w:r>
      <w:r w:rsidRPr="00FB757F">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FB757F">
        <w:rPr>
          <w:rFonts w:ascii="Palatino Linotype" w:eastAsia="Palatino Linotype" w:hAnsi="Palatino Linotype" w:cs="Palatino Linotype"/>
          <w:i/>
          <w:sz w:val="22"/>
          <w:szCs w:val="22"/>
        </w:rPr>
        <w:t>jurídico</w:t>
      </w:r>
      <w:proofErr w:type="gramEnd"/>
      <w:r w:rsidRPr="00FB757F">
        <w:rPr>
          <w:rFonts w:ascii="Palatino Linotype" w:eastAsia="Palatino Linotype" w:hAnsi="Palatino Linotype" w:cs="Palatino Linotype"/>
          <w:i/>
          <w:sz w:val="22"/>
          <w:szCs w:val="22"/>
        </w:rPr>
        <w:t xml:space="preserve"> colectiva identificada o identificable;</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spacing w:line="360" w:lineRule="auto"/>
        <w:ind w:right="50"/>
        <w:jc w:val="both"/>
        <w:rPr>
          <w:rFonts w:ascii="Palatino Linotype" w:eastAsia="Palatino Linotype" w:hAnsi="Palatino Linotype" w:cs="Palatino Linotype"/>
          <w:i/>
        </w:rPr>
      </w:pPr>
    </w:p>
    <w:p w:rsidR="001819CB" w:rsidRPr="00FB757F" w:rsidRDefault="005D59EC">
      <w:pPr>
        <w:spacing w:line="360" w:lineRule="auto"/>
        <w:ind w:right="50"/>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FB757F">
        <w:rPr>
          <w:rFonts w:ascii="Palatino Linotype" w:eastAsia="Palatino Linotype" w:hAnsi="Palatino Linotype" w:cs="Palatino Linotype"/>
          <w:b/>
        </w:rPr>
        <w:t xml:space="preserve">EL SUJETO OBLIGADO </w:t>
      </w:r>
      <w:r w:rsidRPr="00FB757F">
        <w:rPr>
          <w:rFonts w:ascii="Palatino Linotype" w:eastAsia="Palatino Linotype" w:hAnsi="Palatino Linotype" w:cs="Palatino Linotype"/>
        </w:rPr>
        <w:t>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1819CB" w:rsidRPr="00FB757F" w:rsidRDefault="001819CB">
      <w:pPr>
        <w:spacing w:line="360" w:lineRule="auto"/>
        <w:ind w:right="50"/>
        <w:jc w:val="both"/>
        <w:rPr>
          <w:rFonts w:ascii="Palatino Linotype" w:eastAsia="Palatino Linotype" w:hAnsi="Palatino Linotype" w:cs="Palatino Linotype"/>
        </w:rPr>
      </w:pPr>
    </w:p>
    <w:p w:rsidR="001819CB" w:rsidRPr="00FB757F" w:rsidRDefault="005D59EC">
      <w:pPr>
        <w:spacing w:line="360" w:lineRule="auto"/>
        <w:ind w:right="50"/>
        <w:jc w:val="both"/>
        <w:rPr>
          <w:rFonts w:ascii="Palatino Linotype" w:eastAsia="Palatino Linotype" w:hAnsi="Palatino Linotype" w:cs="Palatino Linotype"/>
        </w:rPr>
      </w:pPr>
      <w:r w:rsidRPr="00FB757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819CB" w:rsidRPr="00FB757F" w:rsidRDefault="001819CB">
      <w:pPr>
        <w:spacing w:line="360" w:lineRule="auto"/>
        <w:ind w:right="50"/>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En el caso específico, dada la naturaleza de la información que se ordena, si bien tiene el carácter información pública en razón de que se trata de documentos que se encuentran en posesión del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B757F">
        <w:rPr>
          <w:rFonts w:ascii="Palatino Linotype" w:eastAsia="Palatino Linotype" w:hAnsi="Palatino Linotype" w:cs="Palatino Linotype"/>
          <w:b/>
        </w:rPr>
        <w:t>Registro Federal de Contribuyentes</w:t>
      </w:r>
      <w:r w:rsidRPr="00FB757F">
        <w:rPr>
          <w:rFonts w:ascii="Palatino Linotype" w:eastAsia="Palatino Linotype" w:hAnsi="Palatino Linotype" w:cs="Palatino Linotype"/>
        </w:rPr>
        <w:t xml:space="preserve"> (RFC), la </w:t>
      </w:r>
      <w:r w:rsidRPr="00FB757F">
        <w:rPr>
          <w:rFonts w:ascii="Palatino Linotype" w:eastAsia="Palatino Linotype" w:hAnsi="Palatino Linotype" w:cs="Palatino Linotype"/>
          <w:b/>
        </w:rPr>
        <w:t>Clave Única de Registro de Población</w:t>
      </w:r>
      <w:r w:rsidRPr="00FB757F">
        <w:rPr>
          <w:rFonts w:ascii="Palatino Linotype" w:eastAsia="Palatino Linotype" w:hAnsi="Palatino Linotype" w:cs="Palatino Linotype"/>
        </w:rPr>
        <w:t xml:space="preserve"> (CURP), la </w:t>
      </w:r>
      <w:r w:rsidRPr="00FB757F">
        <w:rPr>
          <w:rFonts w:ascii="Palatino Linotype" w:eastAsia="Palatino Linotype" w:hAnsi="Palatino Linotype" w:cs="Palatino Linotype"/>
          <w:b/>
        </w:rPr>
        <w:t>Clave de cualquier tipo de seguridad social</w:t>
      </w:r>
      <w:r w:rsidRPr="00FB757F">
        <w:rPr>
          <w:rFonts w:ascii="Palatino Linotype" w:eastAsia="Palatino Linotype" w:hAnsi="Palatino Linotype" w:cs="Palatino Linotype"/>
        </w:rPr>
        <w:t xml:space="preserve"> (ISSEMYM, u otros), los </w:t>
      </w:r>
      <w:r w:rsidRPr="00FB757F">
        <w:rPr>
          <w:rFonts w:ascii="Palatino Linotype" w:eastAsia="Palatino Linotype" w:hAnsi="Palatino Linotype" w:cs="Palatino Linotype"/>
          <w:b/>
        </w:rPr>
        <w:t>números de cuentas bancarias</w:t>
      </w:r>
      <w:r w:rsidRPr="00FB757F">
        <w:rPr>
          <w:rFonts w:ascii="Palatino Linotype" w:eastAsia="Palatino Linotype" w:hAnsi="Palatino Linotype" w:cs="Palatino Linotype"/>
        </w:rPr>
        <w:t xml:space="preserve">, claves estandarizadas – interbancarias - (CLABES) y de tarjetas, los </w:t>
      </w:r>
      <w:r w:rsidRPr="00FB757F">
        <w:rPr>
          <w:rFonts w:ascii="Palatino Linotype" w:eastAsia="Palatino Linotype" w:hAnsi="Palatino Linotype" w:cs="Palatino Linotype"/>
          <w:b/>
        </w:rPr>
        <w:t>préstamos o descuentos</w:t>
      </w:r>
      <w:r w:rsidRPr="00FB757F">
        <w:rPr>
          <w:rFonts w:ascii="Palatino Linotype" w:eastAsia="Palatino Linotype" w:hAnsi="Palatino Linotype" w:cs="Palatino Linotype"/>
        </w:rPr>
        <w:t xml:space="preserve"> que se le hagan a la persona y que no tengan relación con los impuestos o la cuota por seguridad social, el</w:t>
      </w:r>
      <w:r w:rsidRPr="00FB757F">
        <w:rPr>
          <w:rFonts w:ascii="Palatino Linotype" w:eastAsia="Palatino Linotype" w:hAnsi="Palatino Linotype" w:cs="Palatino Linotype"/>
          <w:b/>
        </w:rPr>
        <w:t xml:space="preserve"> número de empleado, </w:t>
      </w:r>
      <w:r w:rsidRPr="00FB757F">
        <w:rPr>
          <w:rFonts w:ascii="Palatino Linotype" w:eastAsia="Palatino Linotype" w:hAnsi="Palatino Linotype" w:cs="Palatino Linotype"/>
        </w:rPr>
        <w:t xml:space="preserve">así como de ser el caso, el </w:t>
      </w:r>
      <w:r w:rsidRPr="00FB757F">
        <w:rPr>
          <w:rFonts w:ascii="Palatino Linotype" w:eastAsia="Palatino Linotype" w:hAnsi="Palatino Linotype" w:cs="Palatino Linotype"/>
          <w:b/>
        </w:rPr>
        <w:t>folio fiscal</w:t>
      </w:r>
      <w:r w:rsidRPr="00FB757F">
        <w:rPr>
          <w:rFonts w:ascii="Palatino Linotype" w:eastAsia="Palatino Linotype" w:hAnsi="Palatino Linotype" w:cs="Palatino Linotype"/>
        </w:rPr>
        <w:t xml:space="preserve">, la  </w:t>
      </w:r>
      <w:r w:rsidRPr="00FB757F">
        <w:rPr>
          <w:rFonts w:ascii="Palatino Linotype" w:eastAsia="Palatino Linotype" w:hAnsi="Palatino Linotype" w:cs="Palatino Linotype"/>
          <w:b/>
        </w:rPr>
        <w:t xml:space="preserve">cadena original, </w:t>
      </w:r>
      <w:r w:rsidRPr="00FB757F">
        <w:rPr>
          <w:rFonts w:ascii="Palatino Linotype" w:eastAsia="Palatino Linotype" w:hAnsi="Palatino Linotype" w:cs="Palatino Linotype"/>
        </w:rPr>
        <w:t>los</w:t>
      </w:r>
      <w:r w:rsidRPr="00FB757F">
        <w:rPr>
          <w:rFonts w:ascii="Palatino Linotype" w:eastAsia="Palatino Linotype" w:hAnsi="Palatino Linotype" w:cs="Palatino Linotype"/>
          <w:b/>
        </w:rPr>
        <w:t xml:space="preserve"> códigos bidimensionales o códigos QR,</w:t>
      </w:r>
      <w:r w:rsidRPr="00FB757F">
        <w:rPr>
          <w:rFonts w:ascii="Palatino Linotype" w:eastAsia="Palatino Linotype" w:hAnsi="Palatino Linotype" w:cs="Palatino Linotype"/>
        </w:rPr>
        <w:t xml:space="preserve"> y cualquier información de carácter fiscal, bajo las siguientes consideraciones.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ind w:right="50"/>
        <w:jc w:val="both"/>
        <w:rPr>
          <w:rFonts w:ascii="Palatino Linotype" w:eastAsia="Palatino Linotype" w:hAnsi="Palatino Linotype" w:cs="Palatino Linotype"/>
        </w:rPr>
      </w:pPr>
      <w:r w:rsidRPr="00FB757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819CB" w:rsidRPr="00FB757F" w:rsidRDefault="001819CB">
      <w:pPr>
        <w:spacing w:line="360" w:lineRule="auto"/>
        <w:ind w:right="50"/>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FB757F">
        <w:rPr>
          <w:rFonts w:ascii="Palatino Linotype" w:eastAsia="Palatino Linotype" w:hAnsi="Palatino Linotype" w:cs="Palatino Linotype"/>
        </w:rPr>
        <w:t>homoclave</w:t>
      </w:r>
      <w:proofErr w:type="spellEnd"/>
      <w:r w:rsidRPr="00FB757F">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1819CB" w:rsidRPr="00FB757F" w:rsidRDefault="001819CB">
      <w:pPr>
        <w:spacing w:line="259" w:lineRule="auto"/>
        <w:ind w:left="864" w:right="864"/>
        <w:jc w:val="both"/>
        <w:rPr>
          <w:rFonts w:ascii="Palatino Linotype" w:eastAsia="Palatino Linotype" w:hAnsi="Palatino Linotype" w:cs="Palatino Linotype"/>
          <w:i/>
          <w:sz w:val="22"/>
          <w:szCs w:val="22"/>
        </w:rPr>
      </w:pPr>
    </w:p>
    <w:p w:rsidR="001819CB" w:rsidRPr="00FB757F" w:rsidRDefault="005D59EC">
      <w:pPr>
        <w:spacing w:line="259" w:lineRule="auto"/>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 Registro Federal de Contribuyentes (RFC) de personas físicas</w:t>
      </w:r>
      <w:r w:rsidRPr="00FB757F">
        <w:rPr>
          <w:rFonts w:ascii="Palatino Linotype" w:eastAsia="Palatino Linotype" w:hAnsi="Palatino Linotype" w:cs="Palatino Linotype"/>
          <w:i/>
          <w:sz w:val="22"/>
          <w:szCs w:val="22"/>
        </w:rPr>
        <w:t xml:space="preserve">. El RFC es una clave de carácter fiscal, </w:t>
      </w:r>
      <w:proofErr w:type="gramStart"/>
      <w:r w:rsidRPr="00FB757F">
        <w:rPr>
          <w:rFonts w:ascii="Palatino Linotype" w:eastAsia="Palatino Linotype" w:hAnsi="Palatino Linotype" w:cs="Palatino Linotype"/>
          <w:i/>
          <w:sz w:val="22"/>
          <w:szCs w:val="22"/>
        </w:rPr>
        <w:t>única</w:t>
      </w:r>
      <w:proofErr w:type="gramEnd"/>
      <w:r w:rsidRPr="00FB757F">
        <w:rPr>
          <w:rFonts w:ascii="Palatino Linotype" w:eastAsia="Palatino Linotype" w:hAnsi="Palatino Linotype" w:cs="Palatino Linotype"/>
          <w:i/>
          <w:sz w:val="22"/>
          <w:szCs w:val="22"/>
        </w:rPr>
        <w:t xml:space="preserve"> e irrepetible, que permite identificar al titular, su edad y fecha de nacimiento, por lo que es un dato personal de carácter confidencial.</w:t>
      </w:r>
    </w:p>
    <w:p w:rsidR="001819CB" w:rsidRPr="00FB757F" w:rsidRDefault="001819CB">
      <w:pPr>
        <w:spacing w:line="259" w:lineRule="auto"/>
        <w:ind w:left="864" w:right="864"/>
        <w:jc w:val="both"/>
        <w:rPr>
          <w:rFonts w:ascii="Palatino Linotype" w:eastAsia="Palatino Linotype" w:hAnsi="Palatino Linotype" w:cs="Palatino Linotype"/>
          <w:i/>
          <w:sz w:val="22"/>
          <w:szCs w:val="22"/>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FB757F">
        <w:rPr>
          <w:rFonts w:ascii="Palatino Linotype" w:eastAsia="Palatino Linotype" w:hAnsi="Palatino Linotype" w:cs="Palatino Linotype"/>
        </w:rPr>
        <w:t>homoclave</w:t>
      </w:r>
      <w:proofErr w:type="spellEnd"/>
      <w:r w:rsidRPr="00FB757F">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rsidR="001819CB" w:rsidRPr="00FB757F" w:rsidRDefault="005D59EC">
      <w:pPr>
        <w:spacing w:line="259" w:lineRule="auto"/>
        <w:ind w:left="864" w:right="864"/>
        <w:jc w:val="both"/>
        <w:rPr>
          <w:rFonts w:ascii="Palatino Linotype" w:eastAsia="Palatino Linotype" w:hAnsi="Palatino Linotype" w:cs="Palatino Linotype"/>
          <w:i/>
          <w:sz w:val="22"/>
          <w:szCs w:val="22"/>
        </w:rPr>
      </w:pPr>
      <w:r w:rsidRPr="00FB757F">
        <w:rPr>
          <w:rFonts w:ascii="Calibri" w:eastAsia="Calibri" w:hAnsi="Calibri" w:cs="Calibri"/>
          <w:i/>
          <w:sz w:val="22"/>
          <w:szCs w:val="22"/>
        </w:rPr>
        <w:t xml:space="preserve"> </w:t>
      </w:r>
    </w:p>
    <w:p w:rsidR="001819CB" w:rsidRPr="00FB757F" w:rsidRDefault="005D59EC">
      <w:pPr>
        <w:spacing w:line="259" w:lineRule="auto"/>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819CB" w:rsidRPr="00FB757F" w:rsidRDefault="001819CB">
      <w:pPr>
        <w:spacing w:line="259" w:lineRule="auto"/>
        <w:ind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Respecto de los números de cuentas bancarias, claves estandarizadas –interbancarias- (CLABES) y de tarjetas, el Pleno de este Instituto ha determinado que </w:t>
      </w:r>
      <w:r w:rsidRPr="00FB757F">
        <w:rPr>
          <w:rFonts w:ascii="Palatino Linotype" w:eastAsia="Palatino Linotype" w:hAnsi="Palatino Linotype" w:cs="Palatino Linotype"/>
        </w:rPr>
        <w:lastRenderedPageBreak/>
        <w:t>esa información debe clasificarse como confidencial, y elaborarse una versión pública en la que se teste la misma.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lastRenderedPageBreak/>
        <w:t>Cuentas bancarias y/o CLABE interbancaria de personas físicas y morales privadas.</w:t>
      </w:r>
      <w:r w:rsidRPr="00FB757F">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B757F">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cuanto hace a los </w:t>
      </w:r>
      <w:r w:rsidRPr="00FB757F">
        <w:rPr>
          <w:rFonts w:ascii="Palatino Linotype" w:eastAsia="Palatino Linotype" w:hAnsi="Palatino Linotype" w:cs="Palatino Linotype"/>
          <w:b/>
        </w:rPr>
        <w:t>préstamos o descuentos de carácter personal</w:t>
      </w:r>
      <w:r w:rsidRPr="00FB757F">
        <w:rPr>
          <w:rFonts w:ascii="Palatino Linotype" w:eastAsia="Palatino Linotype" w:hAnsi="Palatino Linotype" w:cs="Palatino Linotype"/>
        </w:rPr>
        <w:t>, en virtud de no tener relación con la prestación del servicio y al no involucrar instituciones públicas, se consideran datos confidenciales.</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 xml:space="preserve">ARTÍCULO 84. </w:t>
      </w:r>
      <w:r w:rsidRPr="00FB757F">
        <w:rPr>
          <w:rFonts w:ascii="Palatino Linotype" w:eastAsia="Palatino Linotype" w:hAnsi="Palatino Linotype" w:cs="Palatino Linotype"/>
          <w:i/>
          <w:sz w:val="22"/>
          <w:szCs w:val="22"/>
        </w:rPr>
        <w:t>Sólo podrán hacerse retenciones, descuentos o deducciones al sueldo de los servidores públicos por concepto de:</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 Gravámenes fiscales relacionados con el sueldo;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III. Cuotas sindicales;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VII. Faltas de puntualidad o de asistencia injustificadas;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VIII. Pensiones alimenticias ordenadas por la autoridad judicial;</w:t>
      </w:r>
      <w:r w:rsidRPr="00FB757F">
        <w:rPr>
          <w:rFonts w:ascii="Palatino Linotype" w:eastAsia="Palatino Linotype" w:hAnsi="Palatino Linotype" w:cs="Palatino Linotype"/>
          <w:i/>
          <w:sz w:val="22"/>
          <w:szCs w:val="22"/>
        </w:rPr>
        <w:t xml:space="preserve"> o</w:t>
      </w:r>
    </w:p>
    <w:p w:rsidR="001819CB" w:rsidRPr="00FB757F" w:rsidRDefault="005D59EC">
      <w:pPr>
        <w:ind w:left="864" w:right="864"/>
        <w:jc w:val="both"/>
        <w:rPr>
          <w:rFonts w:ascii="Palatino Linotype" w:eastAsia="Palatino Linotype" w:hAnsi="Palatino Linotype" w:cs="Palatino Linotype"/>
          <w:b/>
          <w:i/>
          <w:sz w:val="22"/>
          <w:szCs w:val="22"/>
        </w:rPr>
      </w:pPr>
      <w:r w:rsidRPr="00FB757F">
        <w:rPr>
          <w:rFonts w:ascii="Palatino Linotype" w:eastAsia="Palatino Linotype" w:hAnsi="Palatino Linotype" w:cs="Palatino Linotype"/>
          <w:b/>
          <w:i/>
          <w:sz w:val="22"/>
          <w:szCs w:val="22"/>
        </w:rPr>
        <w:t>IX. Cualquier otro convenido con instituciones de servicios y aceptado por el servidor público.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Con relación al </w:t>
      </w:r>
      <w:r w:rsidRPr="00FB757F">
        <w:rPr>
          <w:rFonts w:ascii="Palatino Linotype" w:eastAsia="Palatino Linotype" w:hAnsi="Palatino Linotype" w:cs="Palatino Linotype"/>
          <w:b/>
        </w:rPr>
        <w:t>número de empleado</w:t>
      </w:r>
      <w:r w:rsidRPr="00FB757F">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FB757F">
        <w:rPr>
          <w:rFonts w:ascii="Palatino Linotype" w:eastAsia="Palatino Linotype" w:hAnsi="Palatino Linotype" w:cs="Palatino Linotype"/>
          <w:vertAlign w:val="superscript"/>
        </w:rPr>
        <w:footnoteReference w:id="1"/>
      </w:r>
      <w:r w:rsidRPr="00FB757F">
        <w:rPr>
          <w:rFonts w:ascii="Palatino Linotype" w:eastAsia="Palatino Linotype" w:hAnsi="Palatino Linotype" w:cs="Palatino Linotype"/>
        </w:rPr>
        <w:t>.</w:t>
      </w: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Número de empleado. </w:t>
      </w:r>
      <w:r w:rsidRPr="00FB757F">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De la información fiscal</w:t>
      </w:r>
      <w:r w:rsidRPr="00FB757F">
        <w:rPr>
          <w:rFonts w:ascii="Palatino Linotype" w:eastAsia="Palatino Linotype" w:hAnsi="Palatino Linotype" w:cs="Palatino Linotype"/>
        </w:rPr>
        <w:t xml:space="preserve">: </w:t>
      </w: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La </w:t>
      </w:r>
      <w:r w:rsidRPr="00FB757F">
        <w:rPr>
          <w:rFonts w:ascii="Palatino Linotype" w:eastAsia="Palatino Linotype" w:hAnsi="Palatino Linotype" w:cs="Palatino Linotype"/>
          <w:b/>
        </w:rPr>
        <w:t>Cadena Original</w:t>
      </w:r>
      <w:r w:rsidRPr="00FB757F">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Los </w:t>
      </w:r>
      <w:r w:rsidRPr="00FB757F">
        <w:rPr>
          <w:rFonts w:ascii="Palatino Linotype" w:eastAsia="Palatino Linotype" w:hAnsi="Palatino Linotype" w:cs="Palatino Linotype"/>
          <w:b/>
        </w:rPr>
        <w:t>códigos bidimensionales</w:t>
      </w:r>
      <w:r w:rsidRPr="00FB757F">
        <w:rPr>
          <w:rFonts w:ascii="Palatino Linotype" w:eastAsia="Palatino Linotype" w:hAnsi="Palatino Linotype" w:cs="Palatino Linotype"/>
        </w:rPr>
        <w:t xml:space="preserve"> o </w:t>
      </w:r>
      <w:r w:rsidRPr="00FB757F">
        <w:rPr>
          <w:rFonts w:ascii="Palatino Linotype" w:eastAsia="Palatino Linotype" w:hAnsi="Palatino Linotype" w:cs="Palatino Linotype"/>
          <w:b/>
        </w:rPr>
        <w:t xml:space="preserve">códigos QR, </w:t>
      </w:r>
      <w:r w:rsidRPr="00FB757F">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FB757F">
        <w:rPr>
          <w:rFonts w:ascii="Palatino Linotype" w:eastAsia="Palatino Linotype" w:hAnsi="Palatino Linotype" w:cs="Palatino Linotype"/>
          <w:b/>
        </w:rPr>
        <w:t xml:space="preserve">Sujeto Obligado </w:t>
      </w:r>
      <w:r w:rsidRPr="00FB757F">
        <w:rPr>
          <w:rFonts w:ascii="Palatino Linotype" w:eastAsia="Palatino Linotype" w:hAnsi="Palatino Linotype" w:cs="Palatino Linotype"/>
        </w:rPr>
        <w:t>analizar dicha circunstancia con la finalidad de determinar si se actualiza algún supuesto de confidencialidad.</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tal sentido, si derivado del análisis efectuado por </w:t>
      </w:r>
      <w:r w:rsidRPr="00FB757F">
        <w:rPr>
          <w:rFonts w:ascii="Palatino Linotype" w:eastAsia="Palatino Linotype" w:hAnsi="Palatino Linotype" w:cs="Palatino Linotype"/>
          <w:b/>
        </w:rPr>
        <w:t xml:space="preserve">EL SUJETO OBLIGADO </w:t>
      </w:r>
      <w:r w:rsidRPr="00FB757F">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w:t>
      </w:r>
      <w:r w:rsidRPr="00FB757F">
        <w:rPr>
          <w:rFonts w:ascii="Palatino Linotype" w:eastAsia="Palatino Linotype" w:hAnsi="Palatino Linotype" w:cs="Palatino Linotype"/>
        </w:rPr>
        <w:lastRenderedPageBreak/>
        <w:t>fundada y motivada en términos del artículo 143, fracción I de la Ley de Transparencia y Acceso a la Información Pública del Estado de México y Municipios.</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Por otro lado, derivado de la información que se ordena entregar pudiera existir información de la </w:t>
      </w:r>
      <w:r w:rsidRPr="00FB757F">
        <w:rPr>
          <w:rFonts w:ascii="Palatino Linotype" w:eastAsia="Palatino Linotype" w:hAnsi="Palatino Linotype" w:cs="Palatino Linotype"/>
          <w:b/>
        </w:rPr>
        <w:t>Dirección de Seguridad Pública del Ayuntamiento o su equivalente,</w:t>
      </w:r>
      <w:r w:rsidRPr="00FB757F">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FB757F">
        <w:rPr>
          <w:rFonts w:ascii="Palatino Linotype" w:eastAsia="Palatino Linotype" w:hAnsi="Palatino Linotype" w:cs="Palatino Linotype"/>
          <w:b/>
        </w:rPr>
        <w:t>que desempeñen funciones operativas</w:t>
      </w:r>
      <w:r w:rsidRPr="00FB757F">
        <w:rPr>
          <w:rFonts w:ascii="Palatino Linotype" w:eastAsia="Palatino Linotype" w:hAnsi="Palatino Linotype" w:cs="Palatino Linotype"/>
        </w:rPr>
        <w:t>.</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w:t>
      </w:r>
      <w:r w:rsidRPr="00FB757F">
        <w:rPr>
          <w:rFonts w:ascii="Palatino Linotype" w:eastAsia="Palatino Linotype" w:hAnsi="Palatino Linotype" w:cs="Palatino Linotype"/>
        </w:rPr>
        <w:lastRenderedPageBreak/>
        <w:t>por los numerales Vigésimo tercero y Trigésimo tercero, de los Lineamientos generales en materia de clasificación y desclasificación de la información, así como para la elaboración de versiones públicas, al aplicar la prueba de daño correspondiente.</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w:t>
      </w:r>
      <w:r w:rsidRPr="00FB757F">
        <w:rPr>
          <w:rFonts w:ascii="Palatino Linotype" w:eastAsia="Palatino Linotype" w:hAnsi="Palatino Linotype" w:cs="Palatino Linotype"/>
        </w:rPr>
        <w:lastRenderedPageBreak/>
        <w:t>interpretación histórico 06/09, emitido por el entonces Instituto Federal de Acceso a la Información y Protección de Datos ahora Instituto Nacional de Transparencia, Acceso a la Información y Protección de Datos Personales, INAI, que establece lo siguiente:</w:t>
      </w:r>
    </w:p>
    <w:p w:rsidR="001819CB" w:rsidRPr="00FB757F" w:rsidRDefault="001819CB">
      <w:pPr>
        <w:spacing w:line="259" w:lineRule="auto"/>
        <w:ind w:left="864" w:right="864"/>
        <w:jc w:val="both"/>
        <w:rPr>
          <w:rFonts w:ascii="Palatino Linotype" w:eastAsia="Palatino Linotype" w:hAnsi="Palatino Linotype" w:cs="Palatino Linotype"/>
          <w:i/>
          <w:sz w:val="22"/>
          <w:szCs w:val="22"/>
        </w:rPr>
      </w:pPr>
    </w:p>
    <w:p w:rsidR="001819CB" w:rsidRPr="00FB757F" w:rsidRDefault="005D59EC">
      <w:pPr>
        <w:spacing w:line="259" w:lineRule="auto"/>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FB757F">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1819CB" w:rsidRPr="00FB757F" w:rsidRDefault="001819CB">
      <w:pPr>
        <w:tabs>
          <w:tab w:val="left" w:pos="4962"/>
        </w:tabs>
        <w:spacing w:line="360" w:lineRule="auto"/>
        <w:ind w:left="851" w:right="902"/>
        <w:jc w:val="both"/>
        <w:rPr>
          <w:rFonts w:ascii="Palatino Linotype" w:eastAsia="Palatino Linotype" w:hAnsi="Palatino Linotype" w:cs="Palatino Linotype"/>
          <w:i/>
        </w:rPr>
      </w:pPr>
    </w:p>
    <w:p w:rsidR="001819CB" w:rsidRPr="00FB757F" w:rsidRDefault="005D59EC">
      <w:pPr>
        <w:spacing w:line="360" w:lineRule="auto"/>
        <w:jc w:val="both"/>
        <w:rPr>
          <w:rFonts w:ascii="Palatino Linotype" w:eastAsia="Palatino Linotype" w:hAnsi="Palatino Linotype" w:cs="Palatino Linotype"/>
          <w:b/>
        </w:rPr>
      </w:pPr>
      <w:r w:rsidRPr="00FB757F">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w:t>
      </w:r>
      <w:r w:rsidRPr="00FB757F">
        <w:rPr>
          <w:rFonts w:ascii="Palatino Linotype" w:eastAsia="Palatino Linotype" w:hAnsi="Palatino Linotype" w:cs="Palatino Linotype"/>
        </w:rPr>
        <w:lastRenderedPageBreak/>
        <w:t xml:space="preserve">llegar a poner en riesgo la seguridad del País, Estado y Municipio, anulando, impidiendo u obstaculizando la actuación de los servidores públicos que realizan </w:t>
      </w:r>
      <w:r w:rsidRPr="00FB757F">
        <w:rPr>
          <w:rFonts w:ascii="Palatino Linotype" w:eastAsia="Palatino Linotype" w:hAnsi="Palatino Linotype" w:cs="Palatino Linotype"/>
          <w:b/>
        </w:rPr>
        <w:t>funciones de carácter operativo.</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sidRPr="00FB757F">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B757F">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sidRPr="00FB757F">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sidRPr="00FB757F">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p>
    <w:p w:rsidR="001819CB" w:rsidRPr="00FB757F" w:rsidRDefault="001819CB">
      <w:pPr>
        <w:ind w:left="864" w:right="864"/>
        <w:jc w:val="both"/>
        <w:rPr>
          <w:rFonts w:ascii="Palatino Linotype" w:eastAsia="Palatino Linotype" w:hAnsi="Palatino Linotype" w:cs="Palatino Linotype"/>
          <w:b/>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sidRPr="00FB757F">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w:t>
      </w:r>
      <w:r w:rsidRPr="00FB757F">
        <w:rPr>
          <w:rFonts w:ascii="Palatino Linotype" w:eastAsia="Palatino Linotype" w:hAnsi="Palatino Linotype" w:cs="Palatino Linotype"/>
          <w:i/>
          <w:sz w:val="22"/>
          <w:szCs w:val="22"/>
        </w:rPr>
        <w:lastRenderedPageBreak/>
        <w:t xml:space="preserve">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B757F">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B757F">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1819CB" w:rsidRPr="00FB757F" w:rsidRDefault="001819CB">
      <w:pPr>
        <w:spacing w:line="360" w:lineRule="auto"/>
        <w:ind w:left="851" w:right="760"/>
        <w:jc w:val="both"/>
        <w:rPr>
          <w:rFonts w:ascii="Palatino Linotype" w:eastAsia="Palatino Linotype" w:hAnsi="Palatino Linotype" w:cs="Palatino Linotype"/>
          <w:i/>
        </w:rPr>
      </w:pPr>
    </w:p>
    <w:p w:rsidR="001819CB" w:rsidRPr="00FB757F" w:rsidRDefault="005D59EC">
      <w:pPr>
        <w:widowControl w:val="0"/>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FB757F">
        <w:rPr>
          <w:rFonts w:ascii="Palatino Linotype" w:eastAsia="Palatino Linotype" w:hAnsi="Palatino Linotype" w:cs="Palatino Linotype"/>
          <w:b/>
          <w:u w:val="single"/>
        </w:rPr>
        <w:t>razones, motivos o circunstancias especiales</w:t>
      </w:r>
      <w:r w:rsidRPr="00FB757F">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w:t>
      </w:r>
      <w:r w:rsidRPr="00FB757F">
        <w:rPr>
          <w:rFonts w:ascii="Palatino Linotype" w:eastAsia="Palatino Linotype" w:hAnsi="Palatino Linotype" w:cs="Palatino Linotype"/>
        </w:rPr>
        <w:lastRenderedPageBreak/>
        <w:t>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1819CB" w:rsidRPr="00FB757F" w:rsidRDefault="001819CB">
      <w:pPr>
        <w:widowControl w:val="0"/>
        <w:spacing w:line="360" w:lineRule="auto"/>
        <w:jc w:val="both"/>
        <w:rPr>
          <w:rFonts w:ascii="Palatino Linotype" w:eastAsia="Palatino Linotype" w:hAnsi="Palatino Linotype" w:cs="Palatino Linotype"/>
        </w:rPr>
      </w:pPr>
    </w:p>
    <w:p w:rsidR="001819CB" w:rsidRPr="00FB757F" w:rsidRDefault="005D59EC">
      <w:pPr>
        <w:spacing w:line="360" w:lineRule="auto"/>
        <w:ind w:right="50"/>
        <w:jc w:val="both"/>
        <w:rPr>
          <w:rFonts w:ascii="Palatino Linotype" w:eastAsia="Palatino Linotype" w:hAnsi="Palatino Linotype" w:cs="Palatino Linotype"/>
        </w:rPr>
      </w:pPr>
      <w:r w:rsidRPr="00FB757F">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49. Los Comités de Transparencia tendrán las siguientes atribuciones: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VIII. Aprobar, modificar o revocar la clasificación de la información;</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53. Las Unidades de Transparencia tendrán las siguientes funciones: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X. Presentar ante el Comité, el proyecto de clasificación de información…</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59. Los servidores públicos habilitados tendrán las funciones siguientes: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ind w:right="51"/>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Es decir,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819CB" w:rsidRPr="00FB757F" w:rsidRDefault="005D59EC">
      <w:pPr>
        <w:spacing w:line="360" w:lineRule="auto"/>
        <w:ind w:right="49"/>
        <w:jc w:val="both"/>
        <w:rPr>
          <w:rFonts w:ascii="Palatino Linotype" w:eastAsia="Palatino Linotype" w:hAnsi="Palatino Linotype" w:cs="Palatino Linotype"/>
        </w:rPr>
      </w:pPr>
      <w:bookmarkStart w:id="5" w:name="_heading=h.3dy6vkm" w:colFirst="0" w:colLast="0"/>
      <w:bookmarkEnd w:id="5"/>
      <w:r w:rsidRPr="00FB757F">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sidRPr="00FB757F">
        <w:rPr>
          <w:rFonts w:ascii="Palatino Linotype" w:eastAsia="Palatino Linotype" w:hAnsi="Palatino Linotype" w:cs="Palatino Linotype"/>
          <w:b/>
        </w:rPr>
        <w:t xml:space="preserve">SUJETO OBLIGADO, </w:t>
      </w:r>
      <w:r w:rsidRPr="00FB757F">
        <w:rPr>
          <w:rFonts w:ascii="Palatino Linotype" w:eastAsia="Palatino Linotype" w:hAnsi="Palatino Linotype" w:cs="Palatino Linotype"/>
        </w:rPr>
        <w:t>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b/>
          <w:i/>
          <w:sz w:val="22"/>
          <w:szCs w:val="22"/>
        </w:rPr>
      </w:pPr>
      <w:bookmarkStart w:id="6" w:name="_heading=h.1t3h5sf" w:colFirst="0" w:colLast="0"/>
      <w:bookmarkEnd w:id="6"/>
      <w:r w:rsidRPr="00FB757F">
        <w:rPr>
          <w:rFonts w:ascii="Palatino Linotype" w:eastAsia="Palatino Linotype" w:hAnsi="Palatino Linotype" w:cs="Palatino Linotype"/>
          <w:b/>
          <w:i/>
          <w:sz w:val="22"/>
          <w:szCs w:val="22"/>
        </w:rPr>
        <w:t>Artículo 132.</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b/>
          <w:i/>
          <w:sz w:val="22"/>
          <w:szCs w:val="22"/>
        </w:rPr>
        <w:t>La clasificación de la información se llevará a cabo en el momento en que:</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II.</w:t>
      </w:r>
      <w:r w:rsidRPr="00FB757F">
        <w:rPr>
          <w:rFonts w:ascii="Palatino Linotype" w:eastAsia="Palatino Linotype" w:hAnsi="Palatino Linotype" w:cs="Palatino Linotype"/>
          <w:i/>
          <w:sz w:val="22"/>
          <w:szCs w:val="22"/>
        </w:rPr>
        <w:t xml:space="preserve"> Se determine mediante resolución de autoridad competente; 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III</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b/>
          <w:i/>
          <w:sz w:val="22"/>
          <w:szCs w:val="22"/>
        </w:rPr>
        <w:t>Se generen versiones públicas para dar cumplimiento a las obligaciones de transparencia previstas en esta Ley</w:t>
      </w: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Segundo.-</w:t>
      </w:r>
      <w:r w:rsidRPr="00FB757F">
        <w:rPr>
          <w:rFonts w:ascii="Palatino Linotype" w:eastAsia="Palatino Linotype" w:hAnsi="Palatino Linotype" w:cs="Palatino Linotype"/>
          <w:i/>
          <w:sz w:val="22"/>
          <w:szCs w:val="22"/>
        </w:rPr>
        <w:t xml:space="preserve"> Para efectos de los presentes Lineamientos Generales, se entenderá por:</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w:t>
      </w: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XVIII.</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b/>
          <w:i/>
          <w:sz w:val="22"/>
          <w:szCs w:val="22"/>
        </w:rPr>
        <w:t>Versión pública:</w:t>
      </w:r>
      <w:r w:rsidRPr="00FB757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B757F">
        <w:rPr>
          <w:rFonts w:ascii="Palatino Linotype" w:eastAsia="Palatino Linotype" w:hAnsi="Palatino Linotype" w:cs="Palatino Linotype"/>
          <w:b/>
          <w:i/>
          <w:sz w:val="22"/>
          <w:szCs w:val="22"/>
        </w:rPr>
        <w:t>fundando y motivando la</w:t>
      </w:r>
      <w:r w:rsidRPr="00FB757F">
        <w:rPr>
          <w:rFonts w:ascii="Palatino Linotype" w:eastAsia="Palatino Linotype" w:hAnsi="Palatino Linotype" w:cs="Palatino Linotype"/>
          <w:i/>
          <w:sz w:val="22"/>
          <w:szCs w:val="22"/>
        </w:rPr>
        <w:t xml:space="preserve"> reserva o </w:t>
      </w:r>
      <w:r w:rsidRPr="00FB757F">
        <w:rPr>
          <w:rFonts w:ascii="Palatino Linotype" w:eastAsia="Palatino Linotype" w:hAnsi="Palatino Linotype" w:cs="Palatino Linotype"/>
          <w:b/>
          <w:i/>
          <w:sz w:val="22"/>
          <w:szCs w:val="22"/>
        </w:rPr>
        <w:t>confidencialidad</w:t>
      </w:r>
      <w:r w:rsidRPr="00FB757F">
        <w:rPr>
          <w:rFonts w:ascii="Palatino Linotype" w:eastAsia="Palatino Linotype" w:hAnsi="Palatino Linotype" w:cs="Palatino Linotype"/>
          <w:i/>
          <w:sz w:val="22"/>
          <w:szCs w:val="22"/>
        </w:rPr>
        <w:t>, a través de la resolución que para tal efecto emita el Comité de Transparencia.</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w:t>
      </w: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Cuarto.</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b/>
          <w:i/>
          <w:sz w:val="22"/>
          <w:szCs w:val="22"/>
        </w:rPr>
        <w:t>Para clasificar la información como</w:t>
      </w:r>
      <w:r w:rsidRPr="00FB757F">
        <w:rPr>
          <w:rFonts w:ascii="Palatino Linotype" w:eastAsia="Palatino Linotype" w:hAnsi="Palatino Linotype" w:cs="Palatino Linotype"/>
          <w:i/>
          <w:sz w:val="22"/>
          <w:szCs w:val="22"/>
        </w:rPr>
        <w:t xml:space="preserve"> reservada o </w:t>
      </w:r>
      <w:r w:rsidRPr="00FB757F">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FB757F">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Quinto.</w:t>
      </w:r>
      <w:r w:rsidRPr="00FB757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Sexto.</w:t>
      </w:r>
      <w:r w:rsidRPr="00FB757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Séptimo.</w:t>
      </w:r>
      <w:r w:rsidRPr="00FB757F">
        <w:rPr>
          <w:rFonts w:ascii="Palatino Linotype" w:eastAsia="Palatino Linotype" w:hAnsi="Palatino Linotype" w:cs="Palatino Linotype"/>
          <w:i/>
          <w:sz w:val="22"/>
          <w:szCs w:val="22"/>
        </w:rPr>
        <w:t xml:space="preserve"> La clasificación de la información se llevará a cabo en el momento en que:</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w:t>
      </w:r>
      <w:r w:rsidRPr="00FB757F">
        <w:rPr>
          <w:rFonts w:ascii="Palatino Linotype" w:eastAsia="Palatino Linotype" w:hAnsi="Palatino Linotype" w:cs="Palatino Linotype"/>
          <w:i/>
          <w:sz w:val="22"/>
          <w:szCs w:val="22"/>
        </w:rPr>
        <w:t xml:space="preserve"> Se reciba una solicitud de acceso a la información;</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II.</w:t>
      </w:r>
      <w:r w:rsidRPr="00FB757F">
        <w:rPr>
          <w:rFonts w:ascii="Palatino Linotype" w:eastAsia="Palatino Linotype" w:hAnsi="Palatino Linotype" w:cs="Palatino Linotype"/>
          <w:i/>
          <w:sz w:val="22"/>
          <w:szCs w:val="22"/>
        </w:rPr>
        <w:t xml:space="preserve"> Se determine mediante resolución de autoridad competente, 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III.</w:t>
      </w:r>
      <w:r w:rsidRPr="00FB757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Octavo.</w:t>
      </w:r>
      <w:r w:rsidRPr="00FB757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Para motivar la clasificación se deberán señalar las raz</w:t>
      </w:r>
      <w:bookmarkStart w:id="7" w:name="_GoBack"/>
      <w:bookmarkEnd w:id="7"/>
      <w:r w:rsidRPr="00FB757F">
        <w:rPr>
          <w:rFonts w:ascii="Palatino Linotype" w:eastAsia="Palatino Linotype" w:hAnsi="Palatino Linotype" w:cs="Palatino Linotype"/>
          <w:i/>
          <w:sz w:val="22"/>
          <w:szCs w:val="22"/>
        </w:rPr>
        <w:t>ones o circunstancias especiales que lo llevaron a concluir que el caso particular se ajusta al supuesto previsto por la norma legal invocada como fundamento.</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Noveno.</w:t>
      </w:r>
      <w:r w:rsidRPr="00FB757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Décimo.</w:t>
      </w:r>
      <w:r w:rsidRPr="00FB757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1819CB" w:rsidRPr="00FB757F" w:rsidRDefault="001819CB">
      <w:pPr>
        <w:ind w:left="864" w:right="864"/>
        <w:jc w:val="both"/>
        <w:rPr>
          <w:rFonts w:ascii="Palatino Linotype" w:eastAsia="Palatino Linotype" w:hAnsi="Palatino Linotype" w:cs="Palatino Linotype"/>
          <w:b/>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b/>
          <w:i/>
          <w:sz w:val="22"/>
          <w:szCs w:val="22"/>
        </w:rPr>
        <w:t>Décimo primero.</w:t>
      </w:r>
      <w:r w:rsidRPr="00FB757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spacing w:line="360" w:lineRule="auto"/>
        <w:jc w:val="both"/>
        <w:rPr>
          <w:rFonts w:ascii="Palatino Linotype" w:eastAsia="Palatino Linotype" w:hAnsi="Palatino Linotype" w:cs="Palatino Linotype"/>
        </w:rPr>
      </w:pPr>
      <w:bookmarkStart w:id="8" w:name="_heading=h.4d34og8" w:colFirst="0" w:colLast="0"/>
      <w:bookmarkEnd w:id="8"/>
      <w:r w:rsidRPr="00FB757F">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FB757F">
        <w:rPr>
          <w:rFonts w:ascii="Palatino Linotype" w:eastAsia="Palatino Linotype" w:hAnsi="Palatino Linotype" w:cs="Palatino Linotype"/>
        </w:rPr>
        <w:t>supraindicados</w:t>
      </w:r>
      <w:proofErr w:type="spellEnd"/>
      <w:r w:rsidRPr="00FB757F">
        <w:rPr>
          <w:rFonts w:ascii="Palatino Linotype" w:eastAsia="Palatino Linotype" w:hAnsi="Palatino Linotype" w:cs="Palatino Linotype"/>
        </w:rPr>
        <w:t xml:space="preserve">, que establecen los formatos para la clasificación parcial y total de los documentos, conforme a lo siguiente: </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CAPÍTULO VIII</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DE LA LEYENDA DE CLASIFICACIÓN</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lastRenderedPageBreak/>
        <w:t xml:space="preserve">Quincuagésimo tercero. </w:t>
      </w:r>
      <w:r w:rsidRPr="00FB757F">
        <w:rPr>
          <w:rFonts w:ascii="Palatino Linotype" w:eastAsia="Palatino Linotype" w:hAnsi="Palatino Linotype" w:cs="Palatino Linotype"/>
          <w:i/>
          <w:sz w:val="22"/>
          <w:szCs w:val="22"/>
          <w:u w:val="single"/>
        </w:rPr>
        <w:t>El formato para señalar la clasificación parcial de un documento</w:t>
      </w:r>
      <w:r w:rsidRPr="00FB757F">
        <w:rPr>
          <w:rFonts w:ascii="Palatino Linotype" w:eastAsia="Palatino Linotype" w:hAnsi="Palatino Linotype" w:cs="Palatino Linotype"/>
          <w:i/>
          <w:sz w:val="22"/>
          <w:szCs w:val="22"/>
        </w:rPr>
        <w:t>, es el siguiente:</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w:t>
      </w:r>
    </w:p>
    <w:p w:rsidR="001819CB" w:rsidRPr="00FB757F" w:rsidRDefault="001819CB">
      <w:pPr>
        <w:ind w:left="864" w:right="864"/>
        <w:jc w:val="both"/>
        <w:rPr>
          <w:rFonts w:ascii="Palatino Linotype" w:eastAsia="Palatino Linotype" w:hAnsi="Palatino Linotype" w:cs="Palatino Linotype"/>
          <w:i/>
          <w:sz w:val="22"/>
          <w:szCs w:val="22"/>
        </w:rPr>
      </w:pP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Quincuagésimo quinto. Los documentos que integren un expediente reservado o confidencial en su totalidad no deberán marcarse en lo individual.</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rsidR="001819CB" w:rsidRPr="00FB757F" w:rsidRDefault="005D59EC">
      <w:pPr>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p w:rsidR="001819CB" w:rsidRPr="00FB757F" w:rsidRDefault="001819CB">
      <w:pPr>
        <w:spacing w:after="160" w:line="259" w:lineRule="auto"/>
        <w:rPr>
          <w:rFonts w:ascii="Calibri" w:eastAsia="Calibri" w:hAnsi="Calibri" w:cs="Calibri"/>
          <w:sz w:val="22"/>
          <w:szCs w:val="22"/>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FB757F" w:rsidRPr="00FB757F" w:rsidTr="00181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1819CB" w:rsidRPr="00FB757F" w:rsidRDefault="005D59EC">
            <w:pPr>
              <w:jc w:val="center"/>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Parcial</w:t>
            </w:r>
          </w:p>
        </w:tc>
        <w:tc>
          <w:tcPr>
            <w:tcW w:w="4414" w:type="dxa"/>
            <w:gridSpan w:val="2"/>
          </w:tcPr>
          <w:p w:rsidR="001819CB" w:rsidRPr="00FB757F" w:rsidRDefault="005D59EC">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Total</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center"/>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Concepto</w:t>
            </w:r>
          </w:p>
        </w:tc>
        <w:tc>
          <w:tcPr>
            <w:tcW w:w="3421" w:type="dxa"/>
          </w:tcPr>
          <w:p w:rsidR="001819CB" w:rsidRPr="00FB757F" w:rsidRDefault="005D59E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Dónde</w:t>
            </w:r>
          </w:p>
        </w:tc>
        <w:tc>
          <w:tcPr>
            <w:tcW w:w="968" w:type="dxa"/>
          </w:tcPr>
          <w:p w:rsidR="001819CB" w:rsidRPr="00FB757F" w:rsidRDefault="005D59E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Concepto</w:t>
            </w:r>
          </w:p>
        </w:tc>
        <w:tc>
          <w:tcPr>
            <w:tcW w:w="3446" w:type="dxa"/>
          </w:tcPr>
          <w:p w:rsidR="001819CB" w:rsidRPr="00FB757F" w:rsidRDefault="005D59EC">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Dónde</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8828" w:type="dxa"/>
            <w:gridSpan w:val="4"/>
          </w:tcPr>
          <w:p w:rsidR="001819CB" w:rsidRPr="00FB757F" w:rsidRDefault="005D59EC">
            <w:pPr>
              <w:jc w:val="center"/>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Sello oficial o logotipo del sujeto obligado</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Fecha de clasificación</w:t>
            </w:r>
          </w:p>
        </w:tc>
        <w:tc>
          <w:tcPr>
            <w:tcW w:w="3421"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Fecha de clasificación</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Área</w:t>
            </w:r>
          </w:p>
        </w:tc>
        <w:tc>
          <w:tcPr>
            <w:tcW w:w="3421"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área del cual es titular quien clasifica.</w:t>
            </w: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Área</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área de la cual es el titular quien clasifica.</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Información reservada</w:t>
            </w:r>
          </w:p>
        </w:tc>
        <w:tc>
          <w:tcPr>
            <w:tcW w:w="3421"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FB757F">
              <w:rPr>
                <w:rFonts w:ascii="Palatino Linotype" w:eastAsia="Palatino Linotype" w:hAnsi="Palatino Linotype" w:cs="Palatino Linotype"/>
                <w:sz w:val="12"/>
                <w:szCs w:val="12"/>
              </w:rPr>
              <w:t>anotarán</w:t>
            </w:r>
            <w:proofErr w:type="gramEnd"/>
            <w:r w:rsidRPr="00FB757F">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Reservado</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Leyenda de información RESERVADA.</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Fundamento legal</w:t>
            </w:r>
          </w:p>
        </w:tc>
        <w:tc>
          <w:tcPr>
            <w:tcW w:w="3421"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Periodo de reserva</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Ampliación del periodo de reserva</w:t>
            </w:r>
          </w:p>
        </w:tc>
        <w:tc>
          <w:tcPr>
            <w:tcW w:w="3421"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Fundamento legal</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Confidencial</w:t>
            </w:r>
          </w:p>
        </w:tc>
        <w:tc>
          <w:tcPr>
            <w:tcW w:w="3421"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Ampliación del periodo de reserva</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Fundamento legal</w:t>
            </w:r>
          </w:p>
        </w:tc>
        <w:tc>
          <w:tcPr>
            <w:tcW w:w="3421"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Confidencial</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Leyenda de información CONFIDENCIAL.</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del titular del área</w:t>
            </w:r>
          </w:p>
        </w:tc>
        <w:tc>
          <w:tcPr>
            <w:tcW w:w="3421"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autógrafa de quien clasifica.</w:t>
            </w: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Fundamento legal</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Fecha de desclasificación</w:t>
            </w:r>
          </w:p>
        </w:tc>
        <w:tc>
          <w:tcPr>
            <w:tcW w:w="3421"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anotará la fecha en que se desclasifica el documento.</w:t>
            </w: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Rúbrica del titular del área</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autógrafa de quien clasifica.</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5D59EC">
            <w:pPr>
              <w:jc w:val="both"/>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y cargo del servidor público</w:t>
            </w:r>
          </w:p>
        </w:tc>
        <w:tc>
          <w:tcPr>
            <w:tcW w:w="3421"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autógrafa de quien desclasifica.</w:t>
            </w: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Fecha de desclasificación</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Se anotará la fecha en que se desclasifica.</w:t>
            </w:r>
          </w:p>
        </w:tc>
      </w:tr>
      <w:tr w:rsidR="00FB757F" w:rsidRPr="00FB757F" w:rsidTr="0018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1819CB">
            <w:pPr>
              <w:jc w:val="both"/>
              <w:rPr>
                <w:rFonts w:ascii="Palatino Linotype" w:eastAsia="Palatino Linotype" w:hAnsi="Palatino Linotype" w:cs="Palatino Linotype"/>
                <w:sz w:val="12"/>
                <w:szCs w:val="12"/>
              </w:rPr>
            </w:pPr>
          </w:p>
        </w:tc>
        <w:tc>
          <w:tcPr>
            <w:tcW w:w="3421" w:type="dxa"/>
          </w:tcPr>
          <w:p w:rsidR="001819CB" w:rsidRPr="00FB757F" w:rsidRDefault="001819CB">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Partes o secciones reservadas o confidenciales</w:t>
            </w:r>
          </w:p>
        </w:tc>
        <w:tc>
          <w:tcPr>
            <w:tcW w:w="3446" w:type="dxa"/>
          </w:tcPr>
          <w:p w:rsidR="001819CB" w:rsidRPr="00FB757F" w:rsidRDefault="005D59EC">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 xml:space="preserve">En caso que una vez desclasificado el expediente, </w:t>
            </w:r>
            <w:proofErr w:type="spellStart"/>
            <w:r w:rsidRPr="00FB757F">
              <w:rPr>
                <w:rFonts w:ascii="Palatino Linotype" w:eastAsia="Palatino Linotype" w:hAnsi="Palatino Linotype" w:cs="Palatino Linotype"/>
                <w:sz w:val="12"/>
                <w:szCs w:val="12"/>
              </w:rPr>
              <w:t>subsistanpartes</w:t>
            </w:r>
            <w:proofErr w:type="spellEnd"/>
            <w:r w:rsidRPr="00FB757F">
              <w:rPr>
                <w:rFonts w:ascii="Palatino Linotype" w:eastAsia="Palatino Linotype" w:hAnsi="Palatino Linotype" w:cs="Palatino Linotype"/>
                <w:sz w:val="12"/>
                <w:szCs w:val="12"/>
              </w:rPr>
              <w:t xml:space="preserve"> o secciones del mismo reservadas o confidenciales, se señalará este hecho.</w:t>
            </w:r>
          </w:p>
        </w:tc>
      </w:tr>
      <w:tr w:rsidR="00FB757F" w:rsidRPr="00FB757F" w:rsidTr="001819CB">
        <w:tc>
          <w:tcPr>
            <w:cnfStyle w:val="001000000000" w:firstRow="0" w:lastRow="0" w:firstColumn="1" w:lastColumn="0" w:oddVBand="0" w:evenVBand="0" w:oddHBand="0" w:evenHBand="0" w:firstRowFirstColumn="0" w:firstRowLastColumn="0" w:lastRowFirstColumn="0" w:lastRowLastColumn="0"/>
            <w:tcW w:w="993" w:type="dxa"/>
          </w:tcPr>
          <w:p w:rsidR="001819CB" w:rsidRPr="00FB757F" w:rsidRDefault="001819CB">
            <w:pPr>
              <w:jc w:val="both"/>
              <w:rPr>
                <w:rFonts w:ascii="Palatino Linotype" w:eastAsia="Palatino Linotype" w:hAnsi="Palatino Linotype" w:cs="Palatino Linotype"/>
                <w:sz w:val="12"/>
                <w:szCs w:val="12"/>
              </w:rPr>
            </w:pPr>
          </w:p>
        </w:tc>
        <w:tc>
          <w:tcPr>
            <w:tcW w:w="3421" w:type="dxa"/>
          </w:tcPr>
          <w:p w:rsidR="001819CB" w:rsidRPr="00FB757F" w:rsidRDefault="001819CB">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FB757F">
              <w:rPr>
                <w:rFonts w:ascii="Palatino Linotype" w:eastAsia="Palatino Linotype" w:hAnsi="Palatino Linotype" w:cs="Palatino Linotype"/>
                <w:b/>
                <w:sz w:val="12"/>
                <w:szCs w:val="12"/>
              </w:rPr>
              <w:t>Rúbrica y cargo del servidor público</w:t>
            </w:r>
          </w:p>
        </w:tc>
        <w:tc>
          <w:tcPr>
            <w:tcW w:w="3446" w:type="dxa"/>
          </w:tcPr>
          <w:p w:rsidR="001819CB" w:rsidRPr="00FB757F" w:rsidRDefault="005D59EC">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FB757F">
              <w:rPr>
                <w:rFonts w:ascii="Palatino Linotype" w:eastAsia="Palatino Linotype" w:hAnsi="Palatino Linotype" w:cs="Palatino Linotype"/>
                <w:sz w:val="12"/>
                <w:szCs w:val="12"/>
              </w:rPr>
              <w:t>Rúbrica autógrafa de quien desclasifica.</w:t>
            </w:r>
          </w:p>
        </w:tc>
      </w:tr>
    </w:tbl>
    <w:p w:rsidR="001819CB" w:rsidRPr="00FB757F" w:rsidRDefault="001819CB">
      <w:pPr>
        <w:spacing w:line="360" w:lineRule="auto"/>
        <w:ind w:right="49"/>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lastRenderedPageBreak/>
        <w:t xml:space="preserve">De lo hasta aquí expuesto, se concluye que los motivos de inconformidad de </w:t>
      </w:r>
      <w:r w:rsidRPr="00FB757F">
        <w:rPr>
          <w:rFonts w:ascii="Palatino Linotype" w:eastAsia="Palatino Linotype" w:hAnsi="Palatino Linotype" w:cs="Palatino Linotype"/>
          <w:b/>
        </w:rPr>
        <w:t xml:space="preserve">LA PARTE RECURRENTE </w:t>
      </w:r>
      <w:r w:rsidRPr="00FB757F">
        <w:rPr>
          <w:rFonts w:ascii="Palatino Linotype" w:eastAsia="Palatino Linotype" w:hAnsi="Palatino Linotype" w:cs="Palatino Linotype"/>
        </w:rPr>
        <w:t xml:space="preserve">devienen </w:t>
      </w:r>
      <w:r w:rsidRPr="00FB757F">
        <w:rPr>
          <w:rFonts w:ascii="Palatino Linotype" w:eastAsia="Palatino Linotype" w:hAnsi="Palatino Linotype" w:cs="Palatino Linotype"/>
          <w:b/>
        </w:rPr>
        <w:t>PARCIALMENTE</w:t>
      </w:r>
      <w:r w:rsidRPr="00FB757F">
        <w:rPr>
          <w:rFonts w:ascii="Palatino Linotype" w:eastAsia="Palatino Linotype" w:hAnsi="Palatino Linotype" w:cs="Palatino Linotype"/>
        </w:rPr>
        <w:t xml:space="preserve"> </w:t>
      </w:r>
      <w:r w:rsidRPr="00FB757F">
        <w:rPr>
          <w:rFonts w:ascii="Palatino Linotype" w:eastAsia="Palatino Linotype" w:hAnsi="Palatino Linotype" w:cs="Palatino Linotype"/>
          <w:b/>
        </w:rPr>
        <w:t>FUNDADOS,</w:t>
      </w:r>
      <w:r w:rsidRPr="00FB757F">
        <w:rPr>
          <w:rFonts w:ascii="Palatino Linotype" w:eastAsia="Palatino Linotype" w:hAnsi="Palatino Linotype" w:cs="Palatino Linotype"/>
        </w:rPr>
        <w:t xml:space="preserve"> siendo procedente </w:t>
      </w:r>
      <w:r w:rsidRPr="00FB757F">
        <w:rPr>
          <w:rFonts w:ascii="Palatino Linotype" w:eastAsia="Palatino Linotype" w:hAnsi="Palatino Linotype" w:cs="Palatino Linotype"/>
          <w:b/>
        </w:rPr>
        <w:t>REVOCAR</w:t>
      </w:r>
      <w:r w:rsidRPr="00FB757F">
        <w:rPr>
          <w:rFonts w:ascii="Palatino Linotype" w:eastAsia="Palatino Linotype" w:hAnsi="Palatino Linotype" w:cs="Palatino Linotype"/>
        </w:rPr>
        <w:t xml:space="preserve"> la respuesta y </w:t>
      </w:r>
      <w:r w:rsidRPr="00FB757F">
        <w:rPr>
          <w:rFonts w:ascii="Palatino Linotype" w:eastAsia="Palatino Linotype" w:hAnsi="Palatino Linotype" w:cs="Palatino Linotype"/>
          <w:b/>
        </w:rPr>
        <w:t>ORDENAR</w:t>
      </w:r>
      <w:r w:rsidRPr="00FB757F">
        <w:rPr>
          <w:rFonts w:ascii="Palatino Linotype" w:eastAsia="Palatino Linotype" w:hAnsi="Palatino Linotype" w:cs="Palatino Linotype"/>
        </w:rPr>
        <w:t xml:space="preserve"> al </w:t>
      </w:r>
      <w:r w:rsidRPr="00FB757F">
        <w:rPr>
          <w:rFonts w:ascii="Palatino Linotype" w:eastAsia="Palatino Linotype" w:hAnsi="Palatino Linotype" w:cs="Palatino Linotype"/>
          <w:b/>
        </w:rPr>
        <w:t xml:space="preserve">SUJETO OBLIGADO </w:t>
      </w:r>
      <w:r w:rsidRPr="00FB757F">
        <w:rPr>
          <w:rFonts w:ascii="Palatino Linotype" w:eastAsia="Palatino Linotype" w:hAnsi="Palatino Linotype" w:cs="Palatino Linotype"/>
        </w:rPr>
        <w:t>la entrega de la información</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en términos del artículo 186 fracción III de la Ley de Transparencia y Acceso a la Información Pública del Estado de México y Municipios.</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pBdr>
          <w:top w:val="nil"/>
          <w:left w:val="nil"/>
          <w:bottom w:val="nil"/>
          <w:right w:val="nil"/>
          <w:between w:val="nil"/>
        </w:pBd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rsidR="001819CB" w:rsidRPr="00FB757F" w:rsidRDefault="001819CB">
      <w:pPr>
        <w:pBdr>
          <w:top w:val="nil"/>
          <w:left w:val="nil"/>
          <w:bottom w:val="nil"/>
          <w:right w:val="nil"/>
          <w:between w:val="nil"/>
        </w:pBdr>
        <w:spacing w:line="360" w:lineRule="auto"/>
        <w:jc w:val="both"/>
        <w:rPr>
          <w:rFonts w:ascii="Palatino Linotype" w:eastAsia="Palatino Linotype" w:hAnsi="Palatino Linotype" w:cs="Palatino Linotype"/>
        </w:rPr>
      </w:pPr>
    </w:p>
    <w:p w:rsidR="001819CB" w:rsidRPr="00FB757F" w:rsidRDefault="005D59EC">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FB757F">
        <w:rPr>
          <w:rFonts w:ascii="Palatino Linotype" w:eastAsia="Palatino Linotype" w:hAnsi="Palatino Linotype" w:cs="Palatino Linotype"/>
          <w:b/>
        </w:rPr>
        <w:t xml:space="preserve">R E S U E L V E: </w:t>
      </w:r>
    </w:p>
    <w:p w:rsidR="001819CB" w:rsidRPr="00FB757F" w:rsidRDefault="001819CB">
      <w:pPr>
        <w:pBdr>
          <w:top w:val="nil"/>
          <w:left w:val="nil"/>
          <w:bottom w:val="nil"/>
          <w:right w:val="nil"/>
          <w:between w:val="nil"/>
        </w:pBdr>
        <w:spacing w:line="360" w:lineRule="auto"/>
        <w:ind w:left="1080"/>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b/>
        </w:rPr>
      </w:pPr>
      <w:bookmarkStart w:id="9" w:name="_heading=h.3rdcrjn" w:colFirst="0" w:colLast="0"/>
      <w:bookmarkEnd w:id="9"/>
      <w:r w:rsidRPr="00FB757F">
        <w:rPr>
          <w:rFonts w:ascii="Palatino Linotype" w:eastAsia="Palatino Linotype" w:hAnsi="Palatino Linotype" w:cs="Palatino Linotype"/>
          <w:b/>
        </w:rPr>
        <w:t xml:space="preserve">PRIMERO. </w:t>
      </w:r>
      <w:r w:rsidRPr="00FB757F">
        <w:rPr>
          <w:rFonts w:ascii="Palatino Linotype" w:eastAsia="Palatino Linotype" w:hAnsi="Palatino Linotype" w:cs="Palatino Linotype"/>
        </w:rPr>
        <w:t xml:space="preserve">Resultan </w:t>
      </w:r>
      <w:r w:rsidRPr="00FB757F">
        <w:rPr>
          <w:rFonts w:ascii="Palatino Linotype" w:eastAsia="Palatino Linotype" w:hAnsi="Palatino Linotype" w:cs="Palatino Linotype"/>
          <w:b/>
        </w:rPr>
        <w:t>PARCIALMENTE</w:t>
      </w:r>
      <w:r w:rsidRPr="00FB757F">
        <w:rPr>
          <w:rFonts w:ascii="Palatino Linotype" w:eastAsia="Palatino Linotype" w:hAnsi="Palatino Linotype" w:cs="Palatino Linotype"/>
        </w:rPr>
        <w:t xml:space="preserve"> </w:t>
      </w:r>
      <w:r w:rsidRPr="00FB757F">
        <w:rPr>
          <w:rFonts w:ascii="Palatino Linotype" w:eastAsia="Palatino Linotype" w:hAnsi="Palatino Linotype" w:cs="Palatino Linotype"/>
          <w:b/>
        </w:rPr>
        <w:t>FUNDADAS</w:t>
      </w:r>
      <w:r w:rsidRPr="00FB757F">
        <w:rPr>
          <w:rFonts w:ascii="Palatino Linotype" w:eastAsia="Palatino Linotype" w:hAnsi="Palatino Linotype" w:cs="Palatino Linotype"/>
        </w:rPr>
        <w:t xml:space="preserve"> las razones o motivos de inconformidad hechos valer por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en el recurso de revisión </w:t>
      </w:r>
      <w:r w:rsidRPr="00FB757F">
        <w:rPr>
          <w:rFonts w:ascii="Palatino Linotype" w:eastAsia="Palatino Linotype" w:hAnsi="Palatino Linotype" w:cs="Palatino Linotype"/>
          <w:b/>
        </w:rPr>
        <w:t>15029/INFOEM/IP/RR/2022</w:t>
      </w:r>
      <w:r w:rsidRPr="00FB757F">
        <w:rPr>
          <w:rFonts w:ascii="Palatino Linotype" w:eastAsia="Palatino Linotype" w:hAnsi="Palatino Linotype" w:cs="Palatino Linotype"/>
        </w:rPr>
        <w:t xml:space="preserve">; por lo que, en términos de los </w:t>
      </w:r>
      <w:r w:rsidR="000F68C0" w:rsidRPr="00FB757F">
        <w:rPr>
          <w:rFonts w:ascii="Palatino Linotype" w:eastAsia="Palatino Linotype" w:hAnsi="Palatino Linotype" w:cs="Palatino Linotype"/>
          <w:b/>
        </w:rPr>
        <w:t>CONSIDERANDOS</w:t>
      </w:r>
      <w:r w:rsidR="000F68C0" w:rsidRPr="00FB757F">
        <w:rPr>
          <w:rFonts w:ascii="Palatino Linotype" w:eastAsia="Palatino Linotype" w:hAnsi="Palatino Linotype" w:cs="Palatino Linotype"/>
        </w:rPr>
        <w:t xml:space="preserve"> </w:t>
      </w:r>
      <w:r w:rsidR="000F68C0" w:rsidRPr="00FB757F">
        <w:rPr>
          <w:rFonts w:ascii="Palatino Linotype" w:eastAsia="Palatino Linotype" w:hAnsi="Palatino Linotype" w:cs="Palatino Linotype"/>
          <w:b/>
        </w:rPr>
        <w:t xml:space="preserve">CUARTO </w:t>
      </w:r>
      <w:r w:rsidR="000F68C0" w:rsidRPr="00FB757F">
        <w:rPr>
          <w:rFonts w:ascii="Palatino Linotype" w:eastAsia="Palatino Linotype" w:hAnsi="Palatino Linotype" w:cs="Palatino Linotype"/>
        </w:rPr>
        <w:t>y</w:t>
      </w:r>
      <w:r w:rsidR="000F68C0" w:rsidRPr="00FB757F">
        <w:rPr>
          <w:rFonts w:ascii="Palatino Linotype" w:eastAsia="Palatino Linotype" w:hAnsi="Palatino Linotype" w:cs="Palatino Linotype"/>
          <w:b/>
        </w:rPr>
        <w:t xml:space="preserve"> QUINTO</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 xml:space="preserve">de esta resolución, se </w:t>
      </w:r>
      <w:r w:rsidRPr="00FB757F">
        <w:rPr>
          <w:rFonts w:ascii="Palatino Linotype" w:eastAsia="Palatino Linotype" w:hAnsi="Palatino Linotype" w:cs="Palatino Linotype"/>
          <w:b/>
        </w:rPr>
        <w:t xml:space="preserve">REVOCA </w:t>
      </w:r>
      <w:r w:rsidRPr="00FB757F">
        <w:rPr>
          <w:rFonts w:ascii="Palatino Linotype" w:eastAsia="Palatino Linotype" w:hAnsi="Palatino Linotype" w:cs="Palatino Linotype"/>
        </w:rPr>
        <w:t xml:space="preserve">la respuesta a la solicitud </w:t>
      </w:r>
      <w:r w:rsidRPr="00FB757F">
        <w:rPr>
          <w:rFonts w:ascii="Palatino Linotype" w:eastAsia="Palatino Linotype" w:hAnsi="Palatino Linotype" w:cs="Palatino Linotype"/>
          <w:b/>
        </w:rPr>
        <w:t>00519/TENANCIN/IP/2022,</w:t>
      </w:r>
      <w:r w:rsidRPr="00FB757F">
        <w:rPr>
          <w:rFonts w:ascii="Palatino Linotype" w:eastAsia="Palatino Linotype" w:hAnsi="Palatino Linotype" w:cs="Palatino Linotype"/>
        </w:rPr>
        <w:t xml:space="preserve"> emitida por </w:t>
      </w:r>
      <w:r w:rsidRPr="00FB757F">
        <w:rPr>
          <w:rFonts w:ascii="Palatino Linotype" w:eastAsia="Palatino Linotype" w:hAnsi="Palatino Linotype" w:cs="Palatino Linotype"/>
          <w:b/>
        </w:rPr>
        <w:t xml:space="preserve">EL SUJETO OBLIGADO. </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ind w:right="49"/>
        <w:jc w:val="both"/>
        <w:rPr>
          <w:rFonts w:ascii="Palatino Linotype" w:eastAsia="Palatino Linotype" w:hAnsi="Palatino Linotype" w:cs="Palatino Linotype"/>
        </w:rPr>
      </w:pPr>
      <w:bookmarkStart w:id="10" w:name="_heading=h.1fob9te" w:colFirst="0" w:colLast="0"/>
      <w:bookmarkEnd w:id="10"/>
      <w:r w:rsidRPr="00FB757F">
        <w:rPr>
          <w:rFonts w:ascii="Palatino Linotype" w:eastAsia="Palatino Linotype" w:hAnsi="Palatino Linotype" w:cs="Palatino Linotype"/>
          <w:b/>
        </w:rPr>
        <w:t>SEGUNDO.</w:t>
      </w:r>
      <w:r w:rsidRPr="00FB757F">
        <w:rPr>
          <w:rFonts w:ascii="Palatino Linotype" w:eastAsia="Palatino Linotype" w:hAnsi="Palatino Linotype" w:cs="Palatino Linotype"/>
        </w:rPr>
        <w:t xml:space="preserve"> Se </w:t>
      </w:r>
      <w:r w:rsidRPr="00FB757F">
        <w:rPr>
          <w:rFonts w:ascii="Palatino Linotype" w:eastAsia="Palatino Linotype" w:hAnsi="Palatino Linotype" w:cs="Palatino Linotype"/>
          <w:b/>
        </w:rPr>
        <w:t>ORDENA</w:t>
      </w:r>
      <w:r w:rsidRPr="00FB757F">
        <w:rPr>
          <w:rFonts w:ascii="Palatino Linotype" w:eastAsia="Palatino Linotype" w:hAnsi="Palatino Linotype" w:cs="Palatino Linotype"/>
        </w:rPr>
        <w:t xml:space="preserve"> al </w:t>
      </w:r>
      <w:r w:rsidRPr="00FB757F">
        <w:rPr>
          <w:rFonts w:ascii="Palatino Linotype" w:eastAsia="Palatino Linotype" w:hAnsi="Palatino Linotype" w:cs="Palatino Linotype"/>
          <w:b/>
        </w:rPr>
        <w:t>SUJETO OBLIGADO</w:t>
      </w:r>
      <w:r w:rsidRPr="00FB757F">
        <w:rPr>
          <w:rFonts w:ascii="Palatino Linotype" w:eastAsia="Palatino Linotype" w:hAnsi="Palatino Linotype" w:cs="Palatino Linotype"/>
        </w:rPr>
        <w:t xml:space="preserve"> haga entrega a </w:t>
      </w:r>
      <w:r w:rsidRPr="00FB757F">
        <w:rPr>
          <w:rFonts w:ascii="Palatino Linotype" w:eastAsia="Palatino Linotype" w:hAnsi="Palatino Linotype" w:cs="Palatino Linotype"/>
          <w:b/>
        </w:rPr>
        <w:t>LA PARTE RECURRENTE</w:t>
      </w:r>
      <w:r w:rsidRPr="00FB757F">
        <w:rPr>
          <w:rFonts w:ascii="Palatino Linotype" w:eastAsia="Palatino Linotype" w:hAnsi="Palatino Linotype" w:cs="Palatino Linotype"/>
        </w:rPr>
        <w:t xml:space="preserve"> vía SAIMEX, en versión pública en términos de los </w:t>
      </w:r>
      <w:r w:rsidRPr="00FB757F">
        <w:rPr>
          <w:rFonts w:ascii="Palatino Linotype" w:eastAsia="Palatino Linotype" w:hAnsi="Palatino Linotype" w:cs="Palatino Linotype"/>
          <w:b/>
        </w:rPr>
        <w:t xml:space="preserve">CONSIDERANDOS CUARTO </w:t>
      </w:r>
      <w:r w:rsidRPr="00FB757F">
        <w:rPr>
          <w:rFonts w:ascii="Palatino Linotype" w:eastAsia="Palatino Linotype" w:hAnsi="Palatino Linotype" w:cs="Palatino Linotype"/>
        </w:rPr>
        <w:t xml:space="preserve">y </w:t>
      </w:r>
      <w:r w:rsidRPr="00FB757F">
        <w:rPr>
          <w:rFonts w:ascii="Palatino Linotype" w:eastAsia="Palatino Linotype" w:hAnsi="Palatino Linotype" w:cs="Palatino Linotype"/>
          <w:b/>
        </w:rPr>
        <w:t>QUINTO</w:t>
      </w:r>
      <w:r w:rsidRPr="00FB757F">
        <w:rPr>
          <w:rFonts w:ascii="Palatino Linotype" w:eastAsia="Palatino Linotype" w:hAnsi="Palatino Linotype" w:cs="Palatino Linotype"/>
        </w:rPr>
        <w:t xml:space="preserve"> la siguiente información: </w:t>
      </w:r>
    </w:p>
    <w:p w:rsidR="001819CB" w:rsidRPr="00FB757F" w:rsidRDefault="001819CB">
      <w:pPr>
        <w:spacing w:line="360" w:lineRule="auto"/>
        <w:ind w:right="49"/>
        <w:jc w:val="both"/>
        <w:rPr>
          <w:rFonts w:ascii="Palatino Linotype" w:eastAsia="Palatino Linotype" w:hAnsi="Palatino Linotype" w:cs="Palatino Linotype"/>
        </w:rPr>
      </w:pPr>
      <w:bookmarkStart w:id="11" w:name="_heading=h.azobc9whi0tg" w:colFirst="0" w:colLast="0"/>
      <w:bookmarkEnd w:id="11"/>
    </w:p>
    <w:p w:rsidR="001819CB" w:rsidRPr="00FB757F" w:rsidRDefault="005D59EC">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B757F">
        <w:rPr>
          <w:rFonts w:ascii="Palatino Linotype" w:eastAsia="Palatino Linotype" w:hAnsi="Palatino Linotype" w:cs="Palatino Linotype"/>
        </w:rPr>
        <w:t xml:space="preserve">Conciliación de nómina del Ayuntamiento de Tenancingo correspondiente a la segunda quincena de julio del dos mil veintidós. </w:t>
      </w:r>
    </w:p>
    <w:p w:rsidR="001819CB" w:rsidRPr="00FB757F" w:rsidRDefault="005D59EC">
      <w:pPr>
        <w:pBdr>
          <w:top w:val="nil"/>
          <w:left w:val="nil"/>
          <w:bottom w:val="nil"/>
          <w:right w:val="nil"/>
          <w:between w:val="nil"/>
        </w:pBdr>
        <w:spacing w:before="200" w:after="160"/>
        <w:ind w:left="864" w:right="864"/>
        <w:jc w:val="both"/>
        <w:rPr>
          <w:rFonts w:ascii="Palatino Linotype" w:eastAsia="Palatino Linotype" w:hAnsi="Palatino Linotype" w:cs="Palatino Linotype"/>
          <w:i/>
          <w:sz w:val="22"/>
          <w:szCs w:val="22"/>
        </w:rPr>
      </w:pPr>
      <w:r w:rsidRPr="00FB757F">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B757F">
        <w:rPr>
          <w:rFonts w:ascii="Palatino Linotype" w:eastAsia="Palatino Linotype" w:hAnsi="Palatino Linotype" w:cs="Palatino Linotype"/>
          <w:b/>
          <w:i/>
          <w:sz w:val="22"/>
          <w:szCs w:val="22"/>
        </w:rPr>
        <w:t>LA PARTE</w:t>
      </w:r>
      <w:r w:rsidRPr="00FB757F">
        <w:rPr>
          <w:rFonts w:ascii="Palatino Linotype" w:eastAsia="Palatino Linotype" w:hAnsi="Palatino Linotype" w:cs="Palatino Linotype"/>
          <w:i/>
          <w:sz w:val="22"/>
          <w:szCs w:val="22"/>
        </w:rPr>
        <w:t xml:space="preserve"> </w:t>
      </w:r>
      <w:r w:rsidRPr="00FB757F">
        <w:rPr>
          <w:rFonts w:ascii="Palatino Linotype" w:eastAsia="Palatino Linotype" w:hAnsi="Palatino Linotype" w:cs="Palatino Linotype"/>
          <w:b/>
          <w:i/>
          <w:sz w:val="22"/>
          <w:szCs w:val="22"/>
        </w:rPr>
        <w:t>RECURRENTE</w:t>
      </w:r>
      <w:r w:rsidRPr="00FB757F">
        <w:rPr>
          <w:rFonts w:ascii="Palatino Linotype" w:eastAsia="Palatino Linotype" w:hAnsi="Palatino Linotype" w:cs="Palatino Linotype"/>
          <w:i/>
          <w:sz w:val="22"/>
          <w:szCs w:val="22"/>
        </w:rPr>
        <w:t>.</w:t>
      </w:r>
    </w:p>
    <w:p w:rsidR="001819CB" w:rsidRPr="00FB757F" w:rsidRDefault="001819CB"/>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TERCERO. TERCERO. NOTIFÍQUESE </w:t>
      </w:r>
      <w:r w:rsidRPr="00FB757F">
        <w:rPr>
          <w:rFonts w:ascii="Palatino Linotype" w:eastAsia="Palatino Linotype" w:hAnsi="Palatino Linotype" w:cs="Palatino Linotype"/>
        </w:rPr>
        <w:t xml:space="preserve">la presente resolución al Titular de la Unidad de Transparencia del </w:t>
      </w:r>
      <w:r w:rsidRPr="00FB757F">
        <w:rPr>
          <w:rFonts w:ascii="Palatino Linotype" w:eastAsia="Palatino Linotype" w:hAnsi="Palatino Linotype" w:cs="Palatino Linotype"/>
          <w:b/>
        </w:rPr>
        <w:t xml:space="preserve">SUJETO OBLIGADO, </w:t>
      </w:r>
      <w:r w:rsidRPr="00FB757F">
        <w:rPr>
          <w:rFonts w:ascii="Palatino Linotype" w:eastAsia="Palatino Linotype" w:hAnsi="Palatino Linotype" w:cs="Palatino Linotype"/>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819CB" w:rsidRPr="00FB757F" w:rsidRDefault="001819CB">
      <w:pPr>
        <w:spacing w:line="360" w:lineRule="auto"/>
        <w:jc w:val="both"/>
        <w:rPr>
          <w:rFonts w:ascii="Palatino Linotype" w:eastAsia="Palatino Linotype" w:hAnsi="Palatino Linotype" w:cs="Palatino Linotype"/>
          <w:b/>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t xml:space="preserve">CUARTO. </w:t>
      </w:r>
      <w:r w:rsidRPr="00FB757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FB757F">
        <w:rPr>
          <w:rFonts w:ascii="Palatino Linotype" w:eastAsia="Palatino Linotype" w:hAnsi="Palatino Linotype" w:cs="Palatino Linotype"/>
          <w:b/>
        </w:rPr>
        <w:t>EL SUJETO OBLIGADO</w:t>
      </w:r>
      <w:r w:rsidRPr="00FB757F">
        <w:rPr>
          <w:rFonts w:ascii="Palatino Linotype" w:eastAsia="Palatino Linotype" w:hAnsi="Palatino Linotype" w:cs="Palatino Linotype"/>
        </w:rPr>
        <w:t xml:space="preserve"> de manera fundada y motivada, podrá solicitar una ampliación de plazo para el cumplimiento de la presente resolución.</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b/>
        </w:rPr>
        <w:lastRenderedPageBreak/>
        <w:t xml:space="preserve">QUINTO. </w:t>
      </w:r>
      <w:r w:rsidRPr="00FB757F">
        <w:rPr>
          <w:rFonts w:ascii="Palatino Linotype" w:eastAsia="Palatino Linotype" w:hAnsi="Palatino Linotype" w:cs="Palatino Linotype"/>
        </w:rPr>
        <w:t>Notifíquese vía SAIMEX,</w:t>
      </w:r>
      <w:r w:rsidRPr="00FB757F">
        <w:rPr>
          <w:rFonts w:ascii="Palatino Linotype" w:eastAsia="Palatino Linotype" w:hAnsi="Palatino Linotype" w:cs="Palatino Linotype"/>
          <w:b/>
        </w:rPr>
        <w:t xml:space="preserve"> </w:t>
      </w:r>
      <w:r w:rsidRPr="00FB757F">
        <w:rPr>
          <w:rFonts w:ascii="Palatino Linotype" w:eastAsia="Palatino Linotype" w:hAnsi="Palatino Linotype" w:cs="Palatino Linotype"/>
        </w:rPr>
        <w:t xml:space="preserve">a </w:t>
      </w:r>
      <w:r w:rsidRPr="00FB757F">
        <w:rPr>
          <w:rFonts w:ascii="Palatino Linotype" w:eastAsia="Palatino Linotype" w:hAnsi="Palatino Linotype" w:cs="Palatino Linotype"/>
          <w:b/>
        </w:rPr>
        <w:t>LA PARTE</w:t>
      </w:r>
      <w:r w:rsidRPr="00FB757F">
        <w:rPr>
          <w:rFonts w:ascii="Palatino Linotype" w:eastAsia="Palatino Linotype" w:hAnsi="Palatino Linotype" w:cs="Palatino Linotype"/>
        </w:rPr>
        <w:t xml:space="preserve"> </w:t>
      </w:r>
      <w:r w:rsidRPr="00FB757F">
        <w:rPr>
          <w:rFonts w:ascii="Palatino Linotype" w:eastAsia="Palatino Linotype" w:hAnsi="Palatino Linotype" w:cs="Palatino Linotype"/>
          <w:b/>
        </w:rPr>
        <w:t>RECURRENTE</w:t>
      </w:r>
      <w:r w:rsidRPr="00FB757F">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1819CB" w:rsidRPr="00FB757F" w:rsidRDefault="001819CB">
      <w:pPr>
        <w:spacing w:line="360" w:lineRule="auto"/>
        <w:jc w:val="both"/>
        <w:rPr>
          <w:rFonts w:ascii="Palatino Linotype" w:eastAsia="Palatino Linotype" w:hAnsi="Palatino Linotype" w:cs="Palatino Linotype"/>
        </w:rPr>
      </w:pPr>
    </w:p>
    <w:p w:rsidR="001819CB" w:rsidRPr="00FB757F" w:rsidRDefault="005D59EC">
      <w:pPr>
        <w:spacing w:line="360" w:lineRule="auto"/>
        <w:jc w:val="both"/>
        <w:rPr>
          <w:rFonts w:ascii="Palatino Linotype" w:eastAsia="Palatino Linotype" w:hAnsi="Palatino Linotype" w:cs="Palatino Linotype"/>
        </w:rPr>
      </w:pPr>
      <w:r w:rsidRPr="00FB757F">
        <w:rPr>
          <w:rFonts w:ascii="Palatino Linotype" w:eastAsia="Palatino Linotype" w:hAnsi="Palatino Linotype" w:cs="Palatino Linotype"/>
        </w:rPr>
        <w:t>ASÍ LO RESUELVE, POR MAYORÍA DE VOTOS, EL PLENO DEL INSTITUTO DE TRANSPARENCIA, ACCESO A LA INFORMACIÓN PÚBLICA Y PROTECCIÓN DE DATOS PERSONALES DEL ESTADO DE MÉXICO Y MUNICIPIOS, CONFORMADO POR LOS COMISIONADOS JOSÉ MARTÍNEZ VILCHIS, EMITIENDO VOTO PARTICULAR, MARÍA DEL ROSARIO MEJÍA AYALA, SHARON CRISTINA MORALES MARTÍNEZ, EMITIENDO VOTO DISIDENTE LUIS GUSTAVO PARRA NORIEGA, EMITIENDO VOTO PARTICULAR Y GUADALUPE RAMÍREZ PEÑA; EN LA DÉCIMA SÉPTIMA SESIÓN ORDINARIA CELEBRADA EL DIEZ DE MAYO DE DOS MIL VEINTITRÉS, ANTE EL SECRETARIO TÉCNICO DEL PLENO ALEXIS TAPIA RAMÍREZ.</w:t>
      </w:r>
    </w:p>
    <w:p w:rsidR="001819CB" w:rsidRPr="00FB757F" w:rsidRDefault="001819CB">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p w:rsidR="000F68C0" w:rsidRPr="00FB757F" w:rsidRDefault="000F68C0">
      <w:pPr>
        <w:spacing w:line="360" w:lineRule="auto"/>
        <w:jc w:val="both"/>
        <w:rPr>
          <w:rFonts w:ascii="Palatino Linotype" w:eastAsia="Palatino Linotype" w:hAnsi="Palatino Linotype" w:cs="Palatino Linotype"/>
        </w:rPr>
      </w:pPr>
    </w:p>
    <w:sectPr w:rsidR="000F68C0" w:rsidRPr="00FB757F">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28A" w:rsidRDefault="00FF128A">
      <w:r>
        <w:separator/>
      </w:r>
    </w:p>
  </w:endnote>
  <w:endnote w:type="continuationSeparator" w:id="0">
    <w:p w:rsidR="00FF128A" w:rsidRDefault="00FF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CB" w:rsidRDefault="005D59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615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615F">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1819CB" w:rsidRDefault="001819C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CB" w:rsidRDefault="005D59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7615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7615F">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rsidR="001819CB" w:rsidRDefault="001819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28A" w:rsidRDefault="00FF128A">
      <w:r>
        <w:separator/>
      </w:r>
    </w:p>
  </w:footnote>
  <w:footnote w:type="continuationSeparator" w:id="0">
    <w:p w:rsidR="00FF128A" w:rsidRDefault="00FF128A">
      <w:r>
        <w:continuationSeparator/>
      </w:r>
    </w:p>
  </w:footnote>
  <w:footnote w:id="1">
    <w:p w:rsidR="001819CB" w:rsidRDefault="005D59E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CB" w:rsidRDefault="005D59EC">
    <w:pPr>
      <w:rPr>
        <w:rFonts w:ascii="Cambria" w:eastAsia="Cambria" w:hAnsi="Cambria" w:cs="Cambria"/>
      </w:rPr>
    </w:pPr>
    <w:r>
      <w:rPr>
        <w:noProof/>
      </w:rPr>
      <w:drawing>
        <wp:anchor distT="0" distB="0" distL="0" distR="0" simplePos="0" relativeHeight="251658240" behindDoc="1" locked="0" layoutInCell="1" hidden="0" allowOverlap="1">
          <wp:simplePos x="0" y="0"/>
          <wp:positionH relativeFrom="column">
            <wp:posOffset>-1080121</wp:posOffset>
          </wp:positionH>
          <wp:positionV relativeFrom="paragraph">
            <wp:posOffset>-488299</wp:posOffset>
          </wp:positionV>
          <wp:extent cx="7809865" cy="1016571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1819CB">
      <w:tc>
        <w:tcPr>
          <w:tcW w:w="2489" w:type="dxa"/>
          <w:shd w:val="clear" w:color="auto" w:fill="auto"/>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1819CB" w:rsidRDefault="005D59E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15029/INFOEM/IP/RR/2022</w:t>
          </w:r>
        </w:p>
      </w:tc>
    </w:tr>
    <w:tr w:rsidR="001819CB">
      <w:trPr>
        <w:trHeight w:val="228"/>
      </w:trPr>
      <w:tc>
        <w:tcPr>
          <w:tcW w:w="2489" w:type="dxa"/>
          <w:shd w:val="clear" w:color="auto" w:fill="auto"/>
          <w:vAlign w:val="center"/>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1819CB" w:rsidRDefault="005D59E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1819CB">
      <w:tc>
        <w:tcPr>
          <w:tcW w:w="2489" w:type="dxa"/>
          <w:shd w:val="clear" w:color="auto" w:fill="auto"/>
          <w:vAlign w:val="center"/>
        </w:tcPr>
        <w:p w:rsidR="001819CB" w:rsidRDefault="005D59E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1819CB" w:rsidRDefault="005D59E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819CB" w:rsidRDefault="005D59EC">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9CB" w:rsidRDefault="001819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1819CB">
      <w:tc>
        <w:tcPr>
          <w:tcW w:w="2551" w:type="dxa"/>
          <w:shd w:val="clear" w:color="auto" w:fill="auto"/>
          <w:vAlign w:val="center"/>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1819CB" w:rsidRDefault="005D59EC">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15029/INFOEM/IP/RR/2022</w:t>
          </w:r>
        </w:p>
      </w:tc>
    </w:tr>
    <w:tr w:rsidR="001819CB">
      <w:trPr>
        <w:trHeight w:val="130"/>
      </w:trPr>
      <w:tc>
        <w:tcPr>
          <w:tcW w:w="2551" w:type="dxa"/>
          <w:shd w:val="clear" w:color="auto" w:fill="auto"/>
          <w:vAlign w:val="center"/>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1819CB" w:rsidRDefault="0037615F" w:rsidP="0037615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 XXXXX XXXXXXXX</w:t>
          </w:r>
        </w:p>
      </w:tc>
    </w:tr>
    <w:tr w:rsidR="001819CB">
      <w:trPr>
        <w:trHeight w:val="228"/>
      </w:trPr>
      <w:tc>
        <w:tcPr>
          <w:tcW w:w="2551" w:type="dxa"/>
          <w:shd w:val="clear" w:color="auto" w:fill="auto"/>
          <w:vAlign w:val="center"/>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1819CB" w:rsidRDefault="005D59E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Tenancingo</w:t>
          </w:r>
        </w:p>
      </w:tc>
    </w:tr>
    <w:tr w:rsidR="001819CB">
      <w:tc>
        <w:tcPr>
          <w:tcW w:w="2551" w:type="dxa"/>
          <w:shd w:val="clear" w:color="auto" w:fill="auto"/>
          <w:vAlign w:val="center"/>
        </w:tcPr>
        <w:p w:rsidR="001819CB" w:rsidRDefault="005D59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1819CB" w:rsidRDefault="005D59E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1819CB" w:rsidRDefault="005D59EC">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simplePos x="0" y="0"/>
          <wp:positionH relativeFrom="column">
            <wp:posOffset>-1089646</wp:posOffset>
          </wp:positionH>
          <wp:positionV relativeFrom="paragraph">
            <wp:posOffset>-1169656</wp:posOffset>
          </wp:positionV>
          <wp:extent cx="7809865" cy="10165715"/>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A5C04"/>
    <w:multiLevelType w:val="multilevel"/>
    <w:tmpl w:val="BB30D698"/>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6A184C"/>
    <w:multiLevelType w:val="multilevel"/>
    <w:tmpl w:val="94923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CA80906"/>
    <w:multiLevelType w:val="multilevel"/>
    <w:tmpl w:val="BFD035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E9D7C00"/>
    <w:multiLevelType w:val="multilevel"/>
    <w:tmpl w:val="B5F02B9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7C7A22AD"/>
    <w:multiLevelType w:val="multilevel"/>
    <w:tmpl w:val="11B6DA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9CB"/>
    <w:rsid w:val="000F68C0"/>
    <w:rsid w:val="001819CB"/>
    <w:rsid w:val="0037615F"/>
    <w:rsid w:val="00475F3A"/>
    <w:rsid w:val="005D59EC"/>
    <w:rsid w:val="007B4A19"/>
    <w:rsid w:val="009353A2"/>
    <w:rsid w:val="00FB757F"/>
    <w:rsid w:val="00FF1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7135DF-8C8C-46AA-B78C-17A82651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top w:w="0" w:type="dxa"/>
        <w:left w:w="115" w:type="dxa"/>
        <w:bottom w:w="0" w:type="dxa"/>
        <w:right w:w="115" w:type="dxa"/>
      </w:tblCellMar>
    </w:tblPr>
  </w:style>
  <w:style w:type="table" w:customStyle="1" w:styleId="9">
    <w:name w:val="9"/>
    <w:basedOn w:val="TableNormal11"/>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top w:w="0" w:type="dxa"/>
        <w:left w:w="115" w:type="dxa"/>
        <w:bottom w:w="0" w:type="dxa"/>
        <w:right w:w="115" w:type="dxa"/>
      </w:tblCellMar>
    </w:tblPr>
  </w:style>
  <w:style w:type="table" w:customStyle="1" w:styleId="7">
    <w:name w:val="7"/>
    <w:basedOn w:val="TableNormal11"/>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table" w:customStyle="1" w:styleId="23">
    <w:name w:val="23"/>
    <w:basedOn w:val="TableNormal5"/>
    <w:tblPr>
      <w:tblStyleRowBandSize w:val="1"/>
      <w:tblStyleColBandSize w:val="1"/>
      <w:tblCellMar>
        <w:top w:w="0" w:type="dxa"/>
        <w:left w:w="115" w:type="dxa"/>
        <w:bottom w:w="0" w:type="dxa"/>
        <w:right w:w="115" w:type="dxa"/>
      </w:tblCellMar>
    </w:tblPr>
  </w:style>
  <w:style w:type="table" w:customStyle="1" w:styleId="22">
    <w:name w:val="22"/>
    <w:basedOn w:val="TableNormal5"/>
    <w:tblPr>
      <w:tblStyleRowBandSize w:val="1"/>
      <w:tblStyleColBandSize w:val="1"/>
      <w:tblCellMar>
        <w:top w:w="0" w:type="dxa"/>
        <w:left w:w="115" w:type="dxa"/>
        <w:bottom w:w="0" w:type="dxa"/>
        <w:right w:w="115"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tblPr>
      <w:tblStyleRowBandSize w:val="1"/>
      <w:tblStyleColBandSize w:val="1"/>
      <w:tblCellMar>
        <w:top w:w="0" w:type="dxa"/>
        <w:left w:w="115" w:type="dxa"/>
        <w:bottom w:w="0" w:type="dxa"/>
        <w:right w:w="115" w:type="dxa"/>
      </w:tblCellMar>
    </w:tblPr>
  </w:style>
  <w:style w:type="table" w:customStyle="1" w:styleId="19">
    <w:name w:val="19"/>
    <w:basedOn w:val="TableNormal7"/>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top w:w="0" w:type="dxa"/>
        <w:left w:w="115" w:type="dxa"/>
        <w:bottom w:w="0" w:type="dxa"/>
        <w:right w:w="115" w:type="dxa"/>
      </w:tblCellMar>
    </w:tblPr>
  </w:style>
  <w:style w:type="table" w:customStyle="1" w:styleId="17">
    <w:name w:val="17"/>
    <w:basedOn w:val="TableNormal7"/>
    <w:tblPr>
      <w:tblStyleRowBandSize w:val="1"/>
      <w:tblStyleColBandSize w:val="1"/>
      <w:tblCellMar>
        <w:top w:w="0" w:type="dxa"/>
        <w:left w:w="115" w:type="dxa"/>
        <w:bottom w:w="0" w:type="dxa"/>
        <w:right w:w="115" w:type="dxa"/>
      </w:tblCellMar>
    </w:tblPr>
  </w:style>
  <w:style w:type="table" w:customStyle="1" w:styleId="16">
    <w:name w:val="16"/>
    <w:basedOn w:val="TableNormal8"/>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top w:w="0" w:type="dxa"/>
        <w:left w:w="115" w:type="dxa"/>
        <w:bottom w:w="0" w:type="dxa"/>
        <w:right w:w="115" w:type="dxa"/>
      </w:tblCellMar>
    </w:tblPr>
  </w:style>
  <w:style w:type="table" w:customStyle="1" w:styleId="14">
    <w:name w:val="14"/>
    <w:basedOn w:val="TableNormal8"/>
    <w:tblPr>
      <w:tblStyleRowBandSize w:val="1"/>
      <w:tblStyleColBandSize w:val="1"/>
      <w:tblCellMar>
        <w:top w:w="0" w:type="dxa"/>
        <w:left w:w="115" w:type="dxa"/>
        <w:bottom w:w="0" w:type="dxa"/>
        <w:right w:w="115" w:type="dxa"/>
      </w:tblCellMar>
    </w:tblPr>
  </w:style>
  <w:style w:type="table" w:customStyle="1" w:styleId="13">
    <w:name w:val="13"/>
    <w:basedOn w:val="TableNormal9"/>
    <w:tblPr>
      <w:tblStyleRowBandSize w:val="1"/>
      <w:tblStyleColBandSize w:val="1"/>
      <w:tblCellMar>
        <w:top w:w="0" w:type="dxa"/>
        <w:left w:w="115" w:type="dxa"/>
        <w:bottom w:w="0" w:type="dxa"/>
        <w:right w:w="115" w:type="dxa"/>
      </w:tblCellMar>
    </w:tblPr>
  </w:style>
  <w:style w:type="table" w:customStyle="1" w:styleId="12">
    <w:name w:val="12"/>
    <w:basedOn w:val="TableNormal9"/>
    <w:tblPr>
      <w:tblStyleRowBandSize w:val="1"/>
      <w:tblStyleColBandSize w:val="1"/>
      <w:tblCellMar>
        <w:top w:w="0" w:type="dxa"/>
        <w:left w:w="115" w:type="dxa"/>
        <w:bottom w:w="0" w:type="dxa"/>
        <w:right w:w="115" w:type="dxa"/>
      </w:tblCellMar>
    </w:tblPr>
  </w:style>
  <w:style w:type="table" w:customStyle="1" w:styleId="26">
    <w:name w:val="26"/>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Tabladelista1clara-nfasis112">
    <w:name w:val="Tabla de lista 1 clara - Énfasis 112"/>
    <w:basedOn w:val="Tablanormal"/>
    <w:uiPriority w:val="46"/>
    <w:rsid w:val="00EC736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2668.page" TargetMode="External"/><Relationship Id="rId13" Type="http://schemas.openxmlformats.org/officeDocument/2006/relationships/hyperlink" Target="mailto:transparencia@tenancingo.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enancingo@itaipem.org.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o5FyWP0dgJrrPZjDs/IPxjibMg==">AMUW2mWQ5x3LDW+9+CAa4IEQ6+ACBH440A1dk6uxUsajYkUOaBrtAqhbKuCovG1U4BnO/NmugCBi+E2TRJekIs5kvTt3RxLBg2ySXUtu4NXvqJHyO6Q9SyWZgCYjUL0NU7xLO1zUbGmq1jF7Kq1hoMKMtQB5irhx2H17GBMWFZKqv6gaapZKPnAq3pNAwMSeeIh3foOXw5B1ZkRuLXbq+2FY2BxkD8Vtnz/ANK1JmLdi0UaKIPqgHWVT3qyStDIKM0Udhqd7nRiNkQx4R4Dcvvob3+cLQEGH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15112</Words>
  <Characters>83118</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2023-05-12T16:01:00Z</cp:lastPrinted>
  <dcterms:created xsi:type="dcterms:W3CDTF">2023-05-17T20:47:00Z</dcterms:created>
  <dcterms:modified xsi:type="dcterms:W3CDTF">2023-05-17T20:47:00Z</dcterms:modified>
</cp:coreProperties>
</file>