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6602AED" w:rsidR="00EA0165" w:rsidRPr="00D64CCF" w:rsidRDefault="00EA0165" w:rsidP="009D607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64CCF">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D64CCF">
        <w:rPr>
          <w:rFonts w:ascii="Palatino Linotype" w:eastAsiaTheme="minorEastAsia" w:hAnsi="Palatino Linotype" w:cstheme="minorBidi"/>
          <w:color w:val="000000" w:themeColor="text1"/>
          <w:lang w:val="es-ES_tradnl"/>
        </w:rPr>
        <w:t xml:space="preserve">n Metepec, Estado </w:t>
      </w:r>
      <w:r w:rsidR="00A91A65" w:rsidRPr="00D64CCF">
        <w:rPr>
          <w:rFonts w:ascii="Palatino Linotype" w:eastAsiaTheme="minorEastAsia" w:hAnsi="Palatino Linotype" w:cstheme="minorBidi"/>
          <w:color w:val="000000" w:themeColor="text1"/>
          <w:lang w:val="es-ES_tradnl"/>
        </w:rPr>
        <w:t xml:space="preserve">de México; de </w:t>
      </w:r>
      <w:r w:rsidR="0022543B" w:rsidRPr="00D64CCF">
        <w:rPr>
          <w:rFonts w:ascii="Palatino Linotype" w:eastAsiaTheme="minorEastAsia" w:hAnsi="Palatino Linotype" w:cstheme="minorBidi"/>
          <w:color w:val="000000" w:themeColor="text1"/>
          <w:lang w:val="es-ES_tradnl"/>
        </w:rPr>
        <w:t>cinco</w:t>
      </w:r>
      <w:r w:rsidR="0012727A" w:rsidRPr="00D64CCF">
        <w:rPr>
          <w:rFonts w:ascii="Palatino Linotype" w:eastAsiaTheme="minorEastAsia" w:hAnsi="Palatino Linotype" w:cstheme="minorBidi"/>
          <w:color w:val="000000" w:themeColor="text1"/>
          <w:lang w:val="es-ES_tradnl"/>
        </w:rPr>
        <w:t xml:space="preserve"> </w:t>
      </w:r>
      <w:r w:rsidRPr="00D64CCF">
        <w:rPr>
          <w:rFonts w:ascii="Palatino Linotype" w:eastAsiaTheme="minorEastAsia" w:hAnsi="Palatino Linotype" w:cstheme="minorBidi"/>
          <w:color w:val="000000" w:themeColor="text1"/>
          <w:lang w:val="es-MX"/>
        </w:rPr>
        <w:t>(</w:t>
      </w:r>
      <w:r w:rsidR="00380D0E" w:rsidRPr="00D64CCF">
        <w:rPr>
          <w:rFonts w:ascii="Palatino Linotype" w:eastAsiaTheme="minorEastAsia" w:hAnsi="Palatino Linotype" w:cstheme="minorBidi"/>
          <w:color w:val="000000" w:themeColor="text1"/>
          <w:lang w:val="es-MX"/>
        </w:rPr>
        <w:t>05</w:t>
      </w:r>
      <w:r w:rsidRPr="00D64CCF">
        <w:rPr>
          <w:rFonts w:ascii="Palatino Linotype" w:eastAsiaTheme="minorEastAsia" w:hAnsi="Palatino Linotype" w:cstheme="minorBidi"/>
          <w:color w:val="000000" w:themeColor="text1"/>
          <w:lang w:val="es-MX"/>
        </w:rPr>
        <w:t>) de</w:t>
      </w:r>
      <w:r w:rsidR="00380D0E" w:rsidRPr="00D64CCF">
        <w:rPr>
          <w:rFonts w:ascii="Palatino Linotype" w:eastAsiaTheme="minorEastAsia" w:hAnsi="Palatino Linotype" w:cstheme="minorBidi"/>
          <w:color w:val="000000" w:themeColor="text1"/>
          <w:lang w:val="es-MX"/>
        </w:rPr>
        <w:t xml:space="preserve"> julio</w:t>
      </w:r>
      <w:r w:rsidR="0012727A" w:rsidRPr="00D64CCF">
        <w:rPr>
          <w:rFonts w:ascii="Palatino Linotype" w:eastAsiaTheme="minorEastAsia" w:hAnsi="Palatino Linotype" w:cstheme="minorBidi"/>
          <w:color w:val="000000" w:themeColor="text1"/>
          <w:lang w:val="es-MX"/>
        </w:rPr>
        <w:t xml:space="preserve"> </w:t>
      </w:r>
      <w:r w:rsidR="007E7D72" w:rsidRPr="00D64CCF">
        <w:rPr>
          <w:rFonts w:ascii="Palatino Linotype" w:eastAsiaTheme="minorEastAsia" w:hAnsi="Palatino Linotype" w:cstheme="minorBidi"/>
          <w:color w:val="000000" w:themeColor="text1"/>
          <w:lang w:val="es-MX"/>
        </w:rPr>
        <w:t>de dos mil veintitrés</w:t>
      </w:r>
      <w:r w:rsidRPr="00D64CCF">
        <w:rPr>
          <w:rFonts w:ascii="Palatino Linotype" w:eastAsiaTheme="minorEastAsia" w:hAnsi="Palatino Linotype" w:cstheme="minorBidi"/>
          <w:color w:val="000000" w:themeColor="text1"/>
          <w:lang w:val="es-ES_tradnl"/>
        </w:rPr>
        <w:t xml:space="preserve">. </w:t>
      </w:r>
    </w:p>
    <w:p w14:paraId="79BA84B1" w14:textId="042B341E" w:rsidR="00C36DF2" w:rsidRPr="00D64CCF" w:rsidRDefault="00C36DF2" w:rsidP="009D6075">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D64CCF">
        <w:rPr>
          <w:rFonts w:ascii="Palatino Linotype" w:eastAsiaTheme="minorEastAsia" w:hAnsi="Palatino Linotype" w:cstheme="minorBidi"/>
          <w:b/>
          <w:color w:val="000000" w:themeColor="text1"/>
          <w:lang w:val="es-ES_tradnl"/>
        </w:rPr>
        <w:t>VISTO</w:t>
      </w:r>
      <w:r w:rsidR="001A64A3" w:rsidRPr="00D64CCF">
        <w:rPr>
          <w:rFonts w:ascii="Palatino Linotype" w:eastAsiaTheme="minorEastAsia" w:hAnsi="Palatino Linotype" w:cstheme="minorBidi"/>
          <w:b/>
          <w:color w:val="000000" w:themeColor="text1"/>
          <w:lang w:val="es-ES_tradnl"/>
        </w:rPr>
        <w:t xml:space="preserve">S </w:t>
      </w:r>
      <w:r w:rsidR="007E7D72" w:rsidRPr="00D64CCF">
        <w:rPr>
          <w:rFonts w:ascii="Palatino Linotype" w:eastAsiaTheme="minorEastAsia" w:hAnsi="Palatino Linotype" w:cstheme="minorBidi"/>
          <w:color w:val="000000" w:themeColor="text1"/>
          <w:lang w:val="es-ES_tradnl"/>
        </w:rPr>
        <w:t>los expedientes electrónicos formados</w:t>
      </w:r>
      <w:r w:rsidR="00DD1145" w:rsidRPr="00D64CCF">
        <w:rPr>
          <w:rFonts w:ascii="Palatino Linotype" w:eastAsiaTheme="minorEastAsia" w:hAnsi="Palatino Linotype" w:cstheme="minorBidi"/>
          <w:color w:val="000000" w:themeColor="text1"/>
          <w:lang w:val="es-ES_tradnl"/>
        </w:rPr>
        <w:t xml:space="preserve"> con motivo de los</w:t>
      </w:r>
      <w:r w:rsidRPr="00D64CCF">
        <w:rPr>
          <w:rFonts w:ascii="Palatino Linotype" w:eastAsiaTheme="minorEastAsia" w:hAnsi="Palatino Linotype" w:cstheme="minorBidi"/>
          <w:color w:val="000000" w:themeColor="text1"/>
          <w:lang w:val="es-ES_tradnl"/>
        </w:rPr>
        <w:t xml:space="preserve"> recurso</w:t>
      </w:r>
      <w:r w:rsidR="001A64A3" w:rsidRPr="00D64CCF">
        <w:rPr>
          <w:rFonts w:ascii="Palatino Linotype" w:eastAsiaTheme="minorEastAsia" w:hAnsi="Palatino Linotype" w:cstheme="minorBidi"/>
          <w:color w:val="000000" w:themeColor="text1"/>
          <w:lang w:val="es-ES_tradnl"/>
        </w:rPr>
        <w:t>s</w:t>
      </w:r>
      <w:r w:rsidRPr="00D64CCF">
        <w:rPr>
          <w:rFonts w:ascii="Palatino Linotype" w:eastAsiaTheme="minorEastAsia" w:hAnsi="Palatino Linotype" w:cstheme="minorBidi"/>
          <w:color w:val="000000" w:themeColor="text1"/>
          <w:lang w:val="es-ES_tradnl"/>
        </w:rPr>
        <w:t xml:space="preserve"> de </w:t>
      </w:r>
      <w:r w:rsidR="0012727A" w:rsidRPr="00D64CCF">
        <w:rPr>
          <w:rFonts w:ascii="Palatino Linotype" w:eastAsiaTheme="minorEastAsia" w:hAnsi="Palatino Linotype" w:cstheme="minorBidi"/>
          <w:color w:val="000000" w:themeColor="text1"/>
          <w:lang w:val="es-ES_tradnl"/>
        </w:rPr>
        <w:t>revisión</w:t>
      </w:r>
      <w:r w:rsidR="00611F28" w:rsidRPr="00D64CCF">
        <w:rPr>
          <w:rFonts w:ascii="Palatino Linotype" w:eastAsiaTheme="minorEastAsia" w:hAnsi="Palatino Linotype" w:cstheme="minorBidi"/>
          <w:color w:val="000000" w:themeColor="text1"/>
          <w:lang w:val="es-ES_tradnl"/>
        </w:rPr>
        <w:t xml:space="preserve"> </w:t>
      </w:r>
      <w:r w:rsidR="00611F28" w:rsidRPr="00D64CCF">
        <w:rPr>
          <w:rFonts w:ascii="Palatino Linotype" w:eastAsiaTheme="minorEastAsia" w:hAnsi="Palatino Linotype" w:cstheme="minorBidi"/>
          <w:b/>
          <w:color w:val="000000" w:themeColor="text1"/>
          <w:lang w:val="es-ES_tradnl"/>
        </w:rPr>
        <w:t>03398/INFOEM/IP/RR/2022, 03399/INFOEM/IP/RR/2022, 03400/INFOEM/IP/RR/2022, 03401/INFOEM/IP/RR/2022, 03402/INFOEM/IP/RR/2022, 03403/INFOEM/IP/RR/2022, 03404/INFOEM/IP/RR/2022 y 03405/INFOEM/IP/RR/2022</w:t>
      </w:r>
      <w:r w:rsidR="00611F28" w:rsidRPr="00D64CCF">
        <w:rPr>
          <w:rFonts w:ascii="Palatino Linotype" w:eastAsiaTheme="minorEastAsia" w:hAnsi="Palatino Linotype" w:cstheme="minorBidi"/>
          <w:color w:val="000000" w:themeColor="text1"/>
          <w:lang w:val="es-ES_tradnl"/>
        </w:rPr>
        <w:t xml:space="preserve">, </w:t>
      </w:r>
      <w:r w:rsidR="0012727A" w:rsidRPr="00D64CCF">
        <w:rPr>
          <w:rFonts w:ascii="Palatino Linotype" w:eastAsiaTheme="minorEastAsia" w:hAnsi="Palatino Linotype" w:cstheme="minorBidi"/>
          <w:color w:val="000000" w:themeColor="text1"/>
          <w:lang w:val="es-ES_tradnl"/>
        </w:rPr>
        <w:t>promovido</w:t>
      </w:r>
      <w:r w:rsidR="00977B95" w:rsidRPr="00D64CCF">
        <w:rPr>
          <w:rFonts w:ascii="Palatino Linotype" w:eastAsiaTheme="minorEastAsia" w:hAnsi="Palatino Linotype" w:cstheme="minorBidi"/>
          <w:color w:val="000000" w:themeColor="text1"/>
          <w:lang w:val="es-ES_tradnl"/>
        </w:rPr>
        <w:t>s</w:t>
      </w:r>
      <w:r w:rsidR="0012727A" w:rsidRPr="00D64CCF">
        <w:rPr>
          <w:rFonts w:ascii="Palatino Linotype" w:eastAsiaTheme="minorEastAsia" w:hAnsi="Palatino Linotype" w:cstheme="minorBidi"/>
          <w:color w:val="000000" w:themeColor="text1"/>
          <w:lang w:val="es-ES_tradnl"/>
        </w:rPr>
        <w:t xml:space="preserve"> por </w:t>
      </w:r>
      <w:r w:rsidR="0012727A" w:rsidRPr="00D64CCF">
        <w:rPr>
          <w:rFonts w:ascii="Palatino Linotype" w:eastAsiaTheme="minorEastAsia" w:hAnsi="Palatino Linotype" w:cstheme="minorBidi"/>
          <w:b/>
          <w:color w:val="000000" w:themeColor="text1"/>
          <w:lang w:val="es-ES_tradnl"/>
        </w:rPr>
        <w:t>un usuario del Sistema de Acceso a la Información Mexiquense (SAIMEX),</w:t>
      </w:r>
      <w:r w:rsidR="0012727A" w:rsidRPr="00D64CCF">
        <w:rPr>
          <w:rFonts w:ascii="Palatino Linotype" w:eastAsiaTheme="minorEastAsia" w:hAnsi="Palatino Linotype" w:cstheme="minorBidi"/>
          <w:color w:val="000000" w:themeColor="text1"/>
          <w:lang w:val="es-ES_tradnl"/>
        </w:rPr>
        <w:t xml:space="preserve"> que no proporcionó nombre o seudónimo</w:t>
      </w:r>
      <w:r w:rsidR="00977B95" w:rsidRPr="00D64CCF">
        <w:rPr>
          <w:rFonts w:ascii="Palatino Linotype" w:eastAsiaTheme="minorEastAsia" w:hAnsi="Palatino Linotype" w:cstheme="minorBidi"/>
          <w:color w:val="000000" w:themeColor="text1"/>
          <w:lang w:val="es-ES_tradnl"/>
        </w:rPr>
        <w:t xml:space="preserve"> alguno</w:t>
      </w:r>
      <w:r w:rsidR="0012727A" w:rsidRPr="00D64CCF">
        <w:rPr>
          <w:rFonts w:ascii="Palatino Linotype" w:eastAsiaTheme="minorEastAsia" w:hAnsi="Palatino Linotype" w:cstheme="minorBidi"/>
          <w:color w:val="000000" w:themeColor="text1"/>
          <w:lang w:val="es-ES_tradnl"/>
        </w:rPr>
        <w:t xml:space="preserve"> para ser identificado y quien en lo sucesivo se identificará como el </w:t>
      </w:r>
      <w:r w:rsidR="0012727A" w:rsidRPr="00D64CCF">
        <w:rPr>
          <w:rFonts w:ascii="Palatino Linotype" w:eastAsiaTheme="minorEastAsia" w:hAnsi="Palatino Linotype" w:cstheme="minorBidi"/>
          <w:b/>
          <w:color w:val="000000" w:themeColor="text1"/>
          <w:lang w:val="es-ES_tradnl"/>
        </w:rPr>
        <w:t>RECURRENTE</w:t>
      </w:r>
      <w:r w:rsidR="0012727A" w:rsidRPr="00D64CCF">
        <w:rPr>
          <w:rFonts w:ascii="Palatino Linotype" w:eastAsiaTheme="minorEastAsia" w:hAnsi="Palatino Linotype" w:cstheme="minorBidi"/>
          <w:color w:val="000000" w:themeColor="text1"/>
          <w:lang w:val="es-ES_tradnl"/>
        </w:rPr>
        <w:t xml:space="preserve">, en contra de la respuesta del </w:t>
      </w:r>
      <w:r w:rsidR="00611F28" w:rsidRPr="00D64CCF">
        <w:rPr>
          <w:rFonts w:ascii="Palatino Linotype" w:eastAsiaTheme="minorEastAsia" w:hAnsi="Palatino Linotype" w:cstheme="minorBidi"/>
          <w:b/>
          <w:color w:val="000000" w:themeColor="text1"/>
          <w:lang w:val="es-ES_tradnl"/>
        </w:rPr>
        <w:t>Ayuntamiento de Metepec</w:t>
      </w:r>
      <w:r w:rsidR="00977B95" w:rsidRPr="00D64CCF">
        <w:rPr>
          <w:rFonts w:ascii="Palatino Linotype" w:eastAsiaTheme="minorEastAsia" w:hAnsi="Palatino Linotype" w:cstheme="minorBidi"/>
          <w:b/>
          <w:color w:val="000000" w:themeColor="text1"/>
          <w:lang w:val="es-ES_tradnl"/>
        </w:rPr>
        <w:t>,</w:t>
      </w:r>
      <w:r w:rsidR="00611F28" w:rsidRPr="00D64CCF">
        <w:rPr>
          <w:rFonts w:ascii="Palatino Linotype" w:eastAsiaTheme="minorEastAsia" w:hAnsi="Palatino Linotype" w:cstheme="minorBidi"/>
          <w:color w:val="000000" w:themeColor="text1"/>
          <w:lang w:val="es-ES_tradnl"/>
        </w:rPr>
        <w:t xml:space="preserve"> </w:t>
      </w:r>
      <w:r w:rsidRPr="00D64CCF">
        <w:rPr>
          <w:rFonts w:ascii="Palatino Linotype" w:eastAsiaTheme="minorEastAsia" w:hAnsi="Palatino Linotype" w:cstheme="minorBidi"/>
          <w:color w:val="000000" w:themeColor="text1"/>
          <w:lang w:val="es-ES_tradnl"/>
        </w:rPr>
        <w:t xml:space="preserve">en </w:t>
      </w:r>
      <w:r w:rsidR="00977B95" w:rsidRPr="00D64CCF">
        <w:rPr>
          <w:rFonts w:ascii="Palatino Linotype" w:eastAsiaTheme="minorEastAsia" w:hAnsi="Palatino Linotype" w:cstheme="minorBidi"/>
          <w:color w:val="000000" w:themeColor="text1"/>
          <w:lang w:val="es-ES_tradnl"/>
        </w:rPr>
        <w:t>adelante</w:t>
      </w:r>
      <w:r w:rsidRPr="00D64CCF">
        <w:rPr>
          <w:rFonts w:ascii="Palatino Linotype" w:eastAsiaTheme="minorEastAsia" w:hAnsi="Palatino Linotype" w:cstheme="minorBidi"/>
          <w:color w:val="000000" w:themeColor="text1"/>
          <w:lang w:val="es-ES_tradnl"/>
        </w:rPr>
        <w:t xml:space="preserve"> el</w:t>
      </w:r>
      <w:r w:rsidRPr="00D64CCF">
        <w:rPr>
          <w:rFonts w:ascii="Palatino Linotype" w:eastAsiaTheme="minorEastAsia" w:hAnsi="Palatino Linotype" w:cstheme="minorBidi"/>
          <w:b/>
          <w:color w:val="000000" w:themeColor="text1"/>
          <w:lang w:val="es-ES_tradnl"/>
        </w:rPr>
        <w:t xml:space="preserve"> SUJETO OBLIGADO, </w:t>
      </w:r>
      <w:r w:rsidR="005B0D1E" w:rsidRPr="00D64CCF">
        <w:rPr>
          <w:rFonts w:ascii="Palatino Linotype" w:eastAsiaTheme="minorEastAsia" w:hAnsi="Palatino Linotype" w:cstheme="minorBidi"/>
          <w:color w:val="000000" w:themeColor="text1"/>
          <w:lang w:val="es-ES_tradnl"/>
        </w:rPr>
        <w:t xml:space="preserve">se procede a dictar la presente </w:t>
      </w:r>
      <w:r w:rsidR="00A2033E" w:rsidRPr="00D64CCF">
        <w:rPr>
          <w:rFonts w:ascii="Palatino Linotype" w:eastAsiaTheme="minorEastAsia" w:hAnsi="Palatino Linotype" w:cstheme="minorBidi"/>
          <w:color w:val="000000" w:themeColor="text1"/>
          <w:lang w:val="es-ES_tradnl"/>
        </w:rPr>
        <w:t xml:space="preserve">resolución, con base </w:t>
      </w:r>
      <w:r w:rsidRPr="00D64CCF">
        <w:rPr>
          <w:rFonts w:ascii="Palatino Linotype" w:eastAsiaTheme="minorEastAsia" w:hAnsi="Palatino Linotype" w:cstheme="minorBidi"/>
          <w:color w:val="000000" w:themeColor="text1"/>
          <w:lang w:val="es-ES_tradnl"/>
        </w:rPr>
        <w:t xml:space="preserve">en los siguientes: </w:t>
      </w:r>
    </w:p>
    <w:p w14:paraId="64D30E95" w14:textId="0EC4B9AE" w:rsidR="00F216D7" w:rsidRPr="00D64CCF" w:rsidRDefault="00EA0165" w:rsidP="009D6075">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110984899"/>
      <w:r w:rsidRPr="00D64CCF">
        <w:rPr>
          <w:rFonts w:ascii="Palatino Linotype" w:hAnsi="Palatino Linotype"/>
          <w:b/>
          <w:color w:val="000000" w:themeColor="text1"/>
          <w:sz w:val="24"/>
          <w:szCs w:val="24"/>
          <w:lang w:val="es-MX" w:eastAsia="en-US"/>
        </w:rPr>
        <w:t>ANTECEDENTES</w:t>
      </w:r>
      <w:bookmarkEnd w:id="0"/>
      <w:bookmarkEnd w:id="1"/>
      <w:bookmarkEnd w:id="2"/>
      <w:bookmarkEnd w:id="3"/>
    </w:p>
    <w:p w14:paraId="067825A3" w14:textId="4E11B618" w:rsidR="00051A54" w:rsidRPr="00D64CCF" w:rsidRDefault="00611F28" w:rsidP="009D6075">
      <w:pPr>
        <w:pStyle w:val="Prrafodelista"/>
        <w:numPr>
          <w:ilvl w:val="0"/>
          <w:numId w:val="1"/>
        </w:numPr>
        <w:tabs>
          <w:tab w:val="left" w:pos="567"/>
        </w:tabs>
        <w:spacing w:before="240" w:after="240" w:line="360" w:lineRule="auto"/>
        <w:ind w:left="0" w:firstLine="0"/>
        <w:contextualSpacing/>
        <w:jc w:val="both"/>
        <w:rPr>
          <w:rFonts w:ascii="Palatino Linotype" w:eastAsia="Calibri" w:hAnsi="Palatino Linotype" w:cs="Arial"/>
          <w:color w:val="000000" w:themeColor="text1"/>
        </w:rPr>
      </w:pPr>
      <w:r w:rsidRPr="00D64CCF">
        <w:rPr>
          <w:rFonts w:ascii="Palatino Linotype" w:eastAsia="Calibri" w:hAnsi="Palatino Linotype" w:cs="Arial"/>
          <w:color w:val="000000" w:themeColor="text1"/>
        </w:rPr>
        <w:t>El dieciocho (18) de enero</w:t>
      </w:r>
      <w:r w:rsidR="002941BF" w:rsidRPr="00D64CCF">
        <w:rPr>
          <w:rFonts w:ascii="Palatino Linotype" w:eastAsia="Calibri" w:hAnsi="Palatino Linotype" w:cs="Arial"/>
          <w:color w:val="000000" w:themeColor="text1"/>
        </w:rPr>
        <w:t xml:space="preserve"> </w:t>
      </w:r>
      <w:r w:rsidRPr="00D64CCF">
        <w:rPr>
          <w:rFonts w:ascii="Palatino Linotype" w:eastAsia="Calibri" w:hAnsi="Palatino Linotype" w:cs="Arial"/>
          <w:color w:val="000000" w:themeColor="text1"/>
        </w:rPr>
        <w:t xml:space="preserve">de </w:t>
      </w:r>
      <w:r w:rsidR="00EA0165" w:rsidRPr="00D64CCF">
        <w:rPr>
          <w:rFonts w:ascii="Palatino Linotype" w:eastAsia="Calibri" w:hAnsi="Palatino Linotype" w:cs="Arial"/>
          <w:color w:val="000000" w:themeColor="text1"/>
        </w:rPr>
        <w:t xml:space="preserve">dos mil </w:t>
      </w:r>
      <w:r w:rsidR="0000008B" w:rsidRPr="00D64CCF">
        <w:rPr>
          <w:rFonts w:ascii="Palatino Linotype" w:eastAsia="Calibri" w:hAnsi="Palatino Linotype" w:cs="Arial"/>
          <w:color w:val="000000" w:themeColor="text1"/>
        </w:rPr>
        <w:t>veintidós</w:t>
      </w:r>
      <w:r w:rsidR="00EA0165" w:rsidRPr="00D64CCF">
        <w:rPr>
          <w:rFonts w:ascii="Palatino Linotype" w:eastAsia="Calibri" w:hAnsi="Palatino Linotype" w:cs="Arial"/>
          <w:color w:val="000000" w:themeColor="text1"/>
        </w:rPr>
        <w:t xml:space="preserve">, </w:t>
      </w:r>
      <w:r w:rsidR="00EA0165" w:rsidRPr="00D64CCF">
        <w:rPr>
          <w:rFonts w:ascii="Palatino Linotype" w:eastAsiaTheme="minorEastAsia" w:hAnsi="Palatino Linotype" w:cstheme="minorBidi"/>
          <w:color w:val="000000" w:themeColor="text1"/>
          <w:lang w:val="es-ES_tradnl"/>
        </w:rPr>
        <w:t>el particular presentó</w:t>
      </w:r>
      <w:r w:rsidR="00EA0165" w:rsidRPr="00D64CCF">
        <w:rPr>
          <w:rFonts w:ascii="Palatino Linotype" w:eastAsiaTheme="minorEastAsia" w:hAnsi="Palatino Linotype" w:cstheme="minorBidi"/>
          <w:b/>
          <w:color w:val="000000" w:themeColor="text1"/>
          <w:lang w:val="es-ES_tradnl"/>
        </w:rPr>
        <w:t xml:space="preserve"> </w:t>
      </w:r>
      <w:r w:rsidR="00936BED" w:rsidRPr="00D64CCF">
        <w:rPr>
          <w:rFonts w:ascii="Palatino Linotype" w:eastAsiaTheme="minorEastAsia" w:hAnsi="Palatino Linotype" w:cstheme="minorBidi"/>
          <w:bCs/>
          <w:color w:val="000000" w:themeColor="text1"/>
          <w:lang w:val="es-ES_tradnl"/>
        </w:rPr>
        <w:t>a través de</w:t>
      </w:r>
      <w:r w:rsidR="00923BD9" w:rsidRPr="00D64CCF">
        <w:rPr>
          <w:rFonts w:ascii="Palatino Linotype" w:eastAsiaTheme="minorEastAsia" w:hAnsi="Palatino Linotype" w:cstheme="minorBidi"/>
          <w:bCs/>
          <w:color w:val="000000" w:themeColor="text1"/>
          <w:lang w:val="es-ES_tradnl"/>
        </w:rPr>
        <w:t>l</w:t>
      </w:r>
      <w:r w:rsidR="00923BD9" w:rsidRPr="00D64CCF">
        <w:rPr>
          <w:rFonts w:ascii="Palatino Linotype" w:eastAsia="Calibri" w:hAnsi="Palatino Linotype" w:cs="Arial"/>
          <w:color w:val="000000" w:themeColor="text1"/>
        </w:rPr>
        <w:t xml:space="preserve"> </w:t>
      </w:r>
      <w:r w:rsidR="00923BD9" w:rsidRPr="00D64CCF">
        <w:rPr>
          <w:rFonts w:ascii="Palatino Linotype" w:eastAsiaTheme="minorEastAsia" w:hAnsi="Palatino Linotype" w:cstheme="minorBidi"/>
          <w:bCs/>
          <w:color w:val="000000" w:themeColor="text1"/>
        </w:rPr>
        <w:t xml:space="preserve">Sistema de Acceso a la Información Mexiquense </w:t>
      </w:r>
      <w:r w:rsidR="00923BD9" w:rsidRPr="00D64CCF">
        <w:rPr>
          <w:rFonts w:ascii="Palatino Linotype" w:eastAsiaTheme="minorEastAsia" w:hAnsi="Palatino Linotype" w:cstheme="minorBidi"/>
          <w:b/>
          <w:bCs/>
          <w:color w:val="000000" w:themeColor="text1"/>
        </w:rPr>
        <w:t>(SAIMEX)</w:t>
      </w:r>
      <w:r w:rsidR="00EA0165" w:rsidRPr="00D64CCF">
        <w:rPr>
          <w:rFonts w:ascii="Palatino Linotype" w:eastAsia="Calibri" w:hAnsi="Palatino Linotype" w:cs="Arial"/>
          <w:b/>
          <w:color w:val="000000" w:themeColor="text1"/>
        </w:rPr>
        <w:t xml:space="preserve">, </w:t>
      </w:r>
      <w:r w:rsidR="00EA0165" w:rsidRPr="00D64CCF">
        <w:rPr>
          <w:rFonts w:ascii="Palatino Linotype" w:eastAsia="Calibri" w:hAnsi="Palatino Linotype" w:cs="Arial"/>
          <w:color w:val="000000" w:themeColor="text1"/>
        </w:rPr>
        <w:t>la</w:t>
      </w:r>
      <w:r w:rsidR="00BD7E57" w:rsidRPr="00D64CCF">
        <w:rPr>
          <w:rFonts w:ascii="Palatino Linotype" w:eastAsia="Calibri" w:hAnsi="Palatino Linotype" w:cs="Arial"/>
          <w:color w:val="000000" w:themeColor="text1"/>
        </w:rPr>
        <w:t>s</w:t>
      </w:r>
      <w:r w:rsidR="00EA0165" w:rsidRPr="00D64CCF">
        <w:rPr>
          <w:rFonts w:ascii="Palatino Linotype" w:eastAsia="Calibri" w:hAnsi="Palatino Linotype" w:cs="Arial"/>
          <w:color w:val="000000" w:themeColor="text1"/>
        </w:rPr>
        <w:t xml:space="preserve"> solicitud</w:t>
      </w:r>
      <w:r w:rsidR="00BD7E57" w:rsidRPr="00D64CCF">
        <w:rPr>
          <w:rFonts w:ascii="Palatino Linotype" w:eastAsia="Calibri" w:hAnsi="Palatino Linotype" w:cs="Arial"/>
          <w:color w:val="000000" w:themeColor="text1"/>
        </w:rPr>
        <w:t>es</w:t>
      </w:r>
      <w:r w:rsidR="00EA0165" w:rsidRPr="00D64CCF">
        <w:rPr>
          <w:rFonts w:ascii="Palatino Linotype" w:eastAsia="Calibri" w:hAnsi="Palatino Linotype" w:cs="Arial"/>
          <w:color w:val="000000" w:themeColor="text1"/>
        </w:rPr>
        <w:t xml:space="preserve"> de información pública registrada con el número</w:t>
      </w:r>
      <w:r w:rsidRPr="00D64CCF">
        <w:rPr>
          <w:rFonts w:ascii="Palatino Linotype" w:eastAsia="Calibri" w:hAnsi="Palatino Linotype" w:cs="Arial"/>
          <w:color w:val="000000" w:themeColor="text1"/>
        </w:rPr>
        <w:t xml:space="preserve"> </w:t>
      </w:r>
      <w:r w:rsidRPr="00D64CCF">
        <w:rPr>
          <w:rFonts w:ascii="Palatino Linotype" w:eastAsia="Calibri" w:hAnsi="Palatino Linotype" w:cs="Arial"/>
          <w:b/>
          <w:color w:val="000000" w:themeColor="text1"/>
        </w:rPr>
        <w:t>01420/METEPEC/IP/2022, 01419/METEPEC/IP/2022, 01418/METEPEC/IP/2022, 01417/METEPEC/IP/2022, 01416/METEPEC/IP/2022, 01415/METEPEC/IP/2022, 01414/METEPEC/IP/2022 y 01413/METEPEC/IP/2022</w:t>
      </w:r>
      <w:r w:rsidR="00977B95" w:rsidRPr="00D64CCF">
        <w:rPr>
          <w:rFonts w:ascii="Palatino Linotype" w:eastAsia="Calibri" w:hAnsi="Palatino Linotype" w:cs="Arial"/>
          <w:color w:val="000000" w:themeColor="text1"/>
        </w:rPr>
        <w:t xml:space="preserve">, en las que </w:t>
      </w:r>
      <w:r w:rsidR="00EA0165" w:rsidRPr="00D64CCF">
        <w:rPr>
          <w:rFonts w:ascii="Palatino Linotype" w:eastAsia="Calibri" w:hAnsi="Palatino Linotype" w:cs="Arial"/>
          <w:color w:val="000000" w:themeColor="text1"/>
        </w:rPr>
        <w:t>requirió:</w:t>
      </w:r>
    </w:p>
    <w:p w14:paraId="334543DB" w14:textId="77777777" w:rsidR="00711756" w:rsidRPr="00D64CCF" w:rsidRDefault="00711756" w:rsidP="009D6075">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p>
    <w:p w14:paraId="43B41CDF" w14:textId="41704292" w:rsidR="008D24BE" w:rsidRPr="00D64CCF" w:rsidRDefault="00611F28" w:rsidP="009D6075">
      <w:pPr>
        <w:pStyle w:val="Prrafodelista"/>
        <w:tabs>
          <w:tab w:val="left" w:pos="426"/>
        </w:tabs>
        <w:spacing w:before="240" w:after="240" w:line="360" w:lineRule="auto"/>
        <w:ind w:left="0"/>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lastRenderedPageBreak/>
        <w:t>01420/METEPEC/IP/2022</w:t>
      </w:r>
    </w:p>
    <w:p w14:paraId="058CB1F9" w14:textId="015C275B" w:rsidR="00051A54" w:rsidRPr="00D64CCF" w:rsidRDefault="00051A54" w:rsidP="009D6075">
      <w:pPr>
        <w:pStyle w:val="Prrafodelista"/>
        <w:tabs>
          <w:tab w:val="left" w:pos="567"/>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w:t>
      </w:r>
      <w:r w:rsidR="00611F28" w:rsidRPr="00D64CCF">
        <w:rPr>
          <w:rFonts w:ascii="Palatino Linotype" w:eastAsia="Calibri" w:hAnsi="Palatino Linotype"/>
          <w:i/>
          <w:lang w:val="es-MX" w:eastAsia="en-US"/>
        </w:rPr>
        <w:t>Se solicitan los documentos que den cuenta de Resguardar expedientes generados con motivo de los diversos procesos adquisitivos sometidos a consideración y proceso ante el Comité de Adquisiciones y Contratación de Servicios;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1CF8C33B"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t>01419/METEPEC/IP/2022</w:t>
      </w:r>
    </w:p>
    <w:p w14:paraId="799A7DDD" w14:textId="21F7DBEC" w:rsidR="00611F28" w:rsidRPr="00D64CCF" w:rsidRDefault="00611F28" w:rsidP="009D6075">
      <w:pPr>
        <w:tabs>
          <w:tab w:val="left" w:pos="567"/>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“Se solicitan los documentos que den cuenta de Verificar que los contratos de adquisición de bienes y contratación de servicios, se hayan elaborado por la Consejería Jurídica en los procedimientos respectivos;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152BC6BE"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p>
    <w:p w14:paraId="4314D08C"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t>01418/METEPEC/IP/2022</w:t>
      </w:r>
    </w:p>
    <w:p w14:paraId="36DB74FB" w14:textId="40CBE2B5"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“Se solicitan los documentos que den cuenta de Recibir y remitir para resguardo en Tesorería, las fianzas que deriven de los procesos adquisitivos;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5763A1D6" w14:textId="77777777"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p>
    <w:p w14:paraId="3C222D23"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lastRenderedPageBreak/>
        <w:t>01417/METEPEC/IP/2022</w:t>
      </w:r>
    </w:p>
    <w:p w14:paraId="7BCE6B48" w14:textId="3A765422"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“Se solicitan los documentos que den cuenta de Facilitar los expedientes de adquisición de bienes o contratación de servicios, para su gestión de pago;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24446D4E"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p>
    <w:p w14:paraId="5A8F79E9"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t>01416/METEPEC/IP/2022</w:t>
      </w:r>
    </w:p>
    <w:p w14:paraId="68EEAA33" w14:textId="029C7C71"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“Se solicitan los documentos que den cuenta de Elaborar el proyecto de acta de fallo de conformidad a lo establecido en el dictamen de adjudicación formulado por el Comité de Adquisiciones y Servicios y presentarlo a consideración del superior jerárquico, a efecto de que la convocante emita e l fallo de adjudicación correspondiente;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38F6A397"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p>
    <w:p w14:paraId="10900EF0"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t>01415/METEPEC/IP/2022</w:t>
      </w:r>
    </w:p>
    <w:p w14:paraId="6CBB1E90" w14:textId="6C9E80D5"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 xml:space="preserve">“Se solicitan los documentos que den cuenta de Integrar la información de los cuadros comparativos de cotizaciones, cuando se hayan realizado los estudios de mercado correspondientes; y el dictamen técnico emitido por el área interesada en la adquisición de bienes o la contratación de servicios, a efecto de que el Comité de Adquisiciones y Servicios formule el dictamen de adjudicación correspondiente; a cargo del Departamento de Concursos, Dictamen y Apoyo </w:t>
      </w:r>
      <w:r w:rsidRPr="00D64CCF">
        <w:rPr>
          <w:rFonts w:ascii="Palatino Linotype" w:eastAsia="Calibri" w:hAnsi="Palatino Linotype"/>
          <w:i/>
          <w:lang w:val="es-MX" w:eastAsia="en-US"/>
        </w:rPr>
        <w:lastRenderedPageBreak/>
        <w:t>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27045845"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p>
    <w:p w14:paraId="5A932422"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t xml:space="preserve">01414/METEPEC/IP/2022  </w:t>
      </w:r>
    </w:p>
    <w:p w14:paraId="2158D338" w14:textId="47A47CBD"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“Se solicitan los documentos que den cuenta de Instrumentar las actas del Comité de Adquisiciones y Servicios, que se deriven durante el desarrollo del procedimiento, considerando los acuerdos que determinen los integrantes del Comité;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61906FCC"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p>
    <w:p w14:paraId="0C9DB51B" w14:textId="59DE103B" w:rsidR="0000008B"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r w:rsidRPr="00D64CCF">
        <w:rPr>
          <w:rFonts w:ascii="Palatino Linotype" w:eastAsia="Calibri" w:hAnsi="Palatino Linotype" w:cs="Arial"/>
          <w:b/>
          <w:bCs/>
          <w:color w:val="000000" w:themeColor="text1"/>
        </w:rPr>
        <w:t>01413/METEPEC/IP/2022</w:t>
      </w:r>
    </w:p>
    <w:p w14:paraId="7FA710A1" w14:textId="3FCCE4DF" w:rsidR="00611F28" w:rsidRPr="00D64CCF" w:rsidRDefault="00611F28" w:rsidP="009D6075">
      <w:pPr>
        <w:tabs>
          <w:tab w:val="left" w:pos="426"/>
        </w:tabs>
        <w:spacing w:before="240" w:after="240" w:line="360" w:lineRule="auto"/>
        <w:ind w:left="567" w:right="1134"/>
        <w:contextualSpacing/>
        <w:jc w:val="both"/>
        <w:rPr>
          <w:rFonts w:ascii="Palatino Linotype" w:eastAsia="Calibri" w:hAnsi="Palatino Linotype"/>
          <w:lang w:val="es-MX" w:eastAsia="en-US"/>
        </w:rPr>
      </w:pPr>
      <w:r w:rsidRPr="00D64CCF">
        <w:rPr>
          <w:rFonts w:ascii="Palatino Linotype" w:eastAsia="Calibri" w:hAnsi="Palatino Linotype"/>
          <w:i/>
          <w:lang w:val="es-MX" w:eastAsia="en-US"/>
        </w:rPr>
        <w:t>“Se solicitan los documentos que den cuenta de Colaborar en los procesos de adquisición, en la modalidad de licitación pública, invitación restringida y adjudicación directa; a cargo del Departamento de Concursos, Dictamen y Apoyo a Comité de la Subdirección de Adquisiciones y Contratación de Servicios de la Dirección de Administración de lo que va del 2022.</w:t>
      </w:r>
      <w:r w:rsidRPr="00D64CCF">
        <w:rPr>
          <w:rFonts w:ascii="Palatino Linotype" w:eastAsia="Calibri" w:hAnsi="Palatino Linotype"/>
          <w:lang w:val="es-MX" w:eastAsia="en-US"/>
        </w:rPr>
        <w:t>” (Sic)</w:t>
      </w:r>
    </w:p>
    <w:p w14:paraId="64906FC0" w14:textId="77777777" w:rsidR="00611F28" w:rsidRPr="00D64CCF" w:rsidRDefault="00611F28" w:rsidP="009D6075">
      <w:pPr>
        <w:tabs>
          <w:tab w:val="left" w:pos="426"/>
          <w:tab w:val="left" w:pos="7938"/>
        </w:tabs>
        <w:spacing w:before="240" w:after="240" w:line="360" w:lineRule="auto"/>
        <w:ind w:right="1134"/>
        <w:contextualSpacing/>
        <w:jc w:val="both"/>
        <w:rPr>
          <w:rFonts w:ascii="Palatino Linotype" w:eastAsia="Calibri" w:hAnsi="Palatino Linotype" w:cs="Arial"/>
          <w:b/>
          <w:bCs/>
          <w:color w:val="000000" w:themeColor="text1"/>
        </w:rPr>
      </w:pPr>
    </w:p>
    <w:p w14:paraId="19628469" w14:textId="778114E6" w:rsidR="00EB089B" w:rsidRPr="00D64CCF" w:rsidRDefault="00923BD9" w:rsidP="009D6075">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D64CCF">
        <w:rPr>
          <w:rFonts w:ascii="Palatino Linotype" w:hAnsi="Palatino Linotype" w:cs="Arial"/>
        </w:rPr>
        <w:t>Se hace constar que se señaló como modalidad de entrega de la información</w:t>
      </w:r>
      <w:r w:rsidRPr="00D64CCF">
        <w:rPr>
          <w:rFonts w:ascii="Palatino Linotype" w:hAnsi="Palatino Linotype" w:cs="Arial"/>
          <w:b/>
        </w:rPr>
        <w:t>:</w:t>
      </w:r>
      <w:r w:rsidRPr="00D64CCF">
        <w:rPr>
          <w:rFonts w:ascii="Palatino Linotype" w:hAnsi="Palatino Linotype" w:cs="Arial"/>
        </w:rPr>
        <w:t xml:space="preserve"> </w:t>
      </w:r>
      <w:r w:rsidRPr="00D64CCF">
        <w:rPr>
          <w:rFonts w:ascii="Palatino Linotype" w:hAnsi="Palatino Linotype" w:cs="Arial"/>
          <w:b/>
        </w:rPr>
        <w:t>A través del SAIMEX.</w:t>
      </w:r>
    </w:p>
    <w:p w14:paraId="08F6916C" w14:textId="77777777" w:rsidR="005913CE" w:rsidRPr="00D64CCF" w:rsidRDefault="005913CE" w:rsidP="00F511B5">
      <w:pPr>
        <w:pStyle w:val="Prrafodelista"/>
        <w:tabs>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E125E28" w14:textId="5E728437" w:rsidR="00F511B5" w:rsidRPr="00D64CCF" w:rsidRDefault="00F511B5" w:rsidP="00F511B5">
      <w:pPr>
        <w:pStyle w:val="Prrafodelista"/>
        <w:numPr>
          <w:ilvl w:val="0"/>
          <w:numId w:val="1"/>
        </w:numPr>
        <w:tabs>
          <w:tab w:val="left" w:pos="0"/>
        </w:tabs>
        <w:spacing w:before="100" w:beforeAutospacing="1" w:after="100" w:afterAutospacing="1" w:line="360" w:lineRule="auto"/>
        <w:ind w:left="0" w:right="141" w:firstLine="0"/>
        <w:contextualSpacing/>
        <w:jc w:val="both"/>
        <w:rPr>
          <w:rFonts w:ascii="Palatino Linotype" w:eastAsiaTheme="minorEastAsia" w:hAnsi="Palatino Linotype" w:cstheme="minorBidi"/>
          <w:color w:val="000000" w:themeColor="text1"/>
          <w:lang w:val="es-ES_tradnl"/>
        </w:rPr>
      </w:pPr>
      <w:r w:rsidRPr="00D64CCF">
        <w:rPr>
          <w:rFonts w:ascii="Palatino Linotype" w:hAnsi="Palatino Linotype" w:cs="Arial"/>
          <w:color w:val="000000" w:themeColor="text1"/>
        </w:rPr>
        <w:lastRenderedPageBreak/>
        <w:t xml:space="preserve">El cuatro (04) </w:t>
      </w:r>
      <w:r w:rsidR="00977B95" w:rsidRPr="00D64CCF">
        <w:rPr>
          <w:rFonts w:ascii="Palatino Linotype" w:hAnsi="Palatino Linotype" w:cs="Arial"/>
          <w:color w:val="000000" w:themeColor="text1"/>
        </w:rPr>
        <w:t>de febrero de dos mil veintidós</w:t>
      </w:r>
      <w:r w:rsidRPr="00D64CCF">
        <w:rPr>
          <w:rFonts w:ascii="Palatino Linotype" w:hAnsi="Palatino Linotype" w:cs="Arial"/>
          <w:color w:val="000000" w:themeColor="text1"/>
        </w:rPr>
        <w:t xml:space="preserve"> el </w:t>
      </w:r>
      <w:r w:rsidRPr="00D64CCF">
        <w:rPr>
          <w:rFonts w:ascii="Palatino Linotype" w:hAnsi="Palatino Linotype" w:cs="Arial"/>
          <w:b/>
          <w:color w:val="000000" w:themeColor="text1"/>
        </w:rPr>
        <w:t>SUJETO OBLIGADO</w:t>
      </w:r>
      <w:r w:rsidR="00977B95" w:rsidRPr="00D64CCF">
        <w:rPr>
          <w:rFonts w:ascii="Palatino Linotype" w:hAnsi="Palatino Linotype" w:cs="Arial"/>
          <w:b/>
          <w:color w:val="000000" w:themeColor="text1"/>
        </w:rPr>
        <w:t>,</w:t>
      </w:r>
      <w:r w:rsidRPr="00D64CCF">
        <w:rPr>
          <w:rFonts w:ascii="Palatino Linotype" w:hAnsi="Palatino Linotype" w:cs="Arial"/>
          <w:color w:val="000000" w:themeColor="text1"/>
        </w:rPr>
        <w:t xml:space="preserve"> notifica la ampliación del plazo por siete días más, aprobado por el comité de transparencia del Ayuntamiento de Metepec, Estado de México, mediante la primera sesión extraordinaria de fecha 21 de enero de 2022, por lo que adjunta el acta del comité No CT/MET/1RASE/2022</w:t>
      </w:r>
      <w:r w:rsidRPr="00D64CCF">
        <w:rPr>
          <w:rFonts w:ascii="Palatino Linotype" w:eastAsia="MS Mincho" w:hAnsi="Palatino Linotype" w:cs="Arial"/>
          <w:color w:val="000000" w:themeColor="text1"/>
        </w:rPr>
        <w:t>.</w:t>
      </w:r>
    </w:p>
    <w:p w14:paraId="716F8836" w14:textId="77777777" w:rsidR="00F511B5" w:rsidRPr="00D64CCF" w:rsidRDefault="00F511B5" w:rsidP="00F511B5">
      <w:pPr>
        <w:pStyle w:val="Prrafodelista"/>
        <w:rPr>
          <w:rFonts w:ascii="Palatino Linotype" w:eastAsia="MS Mincho" w:hAnsi="Palatino Linotype"/>
          <w:color w:val="000000" w:themeColor="text1"/>
        </w:rPr>
      </w:pPr>
    </w:p>
    <w:p w14:paraId="78178E47" w14:textId="6A470DB1" w:rsidR="00184EF5" w:rsidRPr="00D64CCF" w:rsidRDefault="00B268A1" w:rsidP="00F511B5">
      <w:pPr>
        <w:pStyle w:val="Prrafodelista"/>
        <w:numPr>
          <w:ilvl w:val="0"/>
          <w:numId w:val="1"/>
        </w:numPr>
        <w:tabs>
          <w:tab w:val="left" w:pos="0"/>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D64CCF">
        <w:rPr>
          <w:rFonts w:ascii="Palatino Linotype" w:eastAsia="MS Mincho" w:hAnsi="Palatino Linotype"/>
          <w:color w:val="000000" w:themeColor="text1"/>
        </w:rPr>
        <w:t xml:space="preserve">De las constancias que obran en el expediente electrónico </w:t>
      </w:r>
      <w:r w:rsidRPr="00D64CCF">
        <w:rPr>
          <w:rFonts w:ascii="Palatino Linotype" w:eastAsia="MS Mincho" w:hAnsi="Palatino Linotype"/>
          <w:b/>
          <w:color w:val="000000" w:themeColor="text1"/>
        </w:rPr>
        <w:t xml:space="preserve">SAIMEX </w:t>
      </w:r>
      <w:r w:rsidRPr="00D64CCF">
        <w:rPr>
          <w:rFonts w:ascii="Palatino Linotype" w:eastAsia="MS Mincho" w:hAnsi="Palatino Linotype"/>
          <w:color w:val="000000" w:themeColor="text1"/>
        </w:rPr>
        <w:t xml:space="preserve">se advierte el </w:t>
      </w:r>
      <w:r w:rsidRPr="00D64CCF">
        <w:rPr>
          <w:rFonts w:ascii="Palatino Linotype" w:eastAsia="MS Mincho" w:hAnsi="Palatino Linotype"/>
          <w:b/>
          <w:color w:val="000000" w:themeColor="text1"/>
        </w:rPr>
        <w:t>SUJETO OBLIGADO</w:t>
      </w:r>
      <w:r w:rsidR="00977B95" w:rsidRPr="00D64CCF">
        <w:rPr>
          <w:rFonts w:ascii="Palatino Linotype" w:eastAsia="MS Mincho" w:hAnsi="Palatino Linotype"/>
          <w:b/>
          <w:color w:val="000000" w:themeColor="text1"/>
        </w:rPr>
        <w:t>,</w:t>
      </w:r>
      <w:r w:rsidRPr="00D64CCF">
        <w:rPr>
          <w:rFonts w:ascii="Palatino Linotype" w:eastAsia="MS Mincho" w:hAnsi="Palatino Linotype"/>
          <w:color w:val="000000" w:themeColor="text1"/>
        </w:rPr>
        <w:t xml:space="preserve"> no emitió repuesta a las solicitudes de información.</w:t>
      </w:r>
    </w:p>
    <w:p w14:paraId="12673ECF" w14:textId="77777777" w:rsidR="00184EF5" w:rsidRPr="00D64CCF" w:rsidRDefault="00184EF5" w:rsidP="009D6075">
      <w:pPr>
        <w:pStyle w:val="Prrafodelista"/>
        <w:tabs>
          <w:tab w:val="left" w:pos="567"/>
        </w:tabs>
        <w:spacing w:before="100" w:beforeAutospacing="1" w:after="100" w:afterAutospacing="1" w:line="360" w:lineRule="auto"/>
        <w:ind w:left="0"/>
        <w:contextualSpacing/>
        <w:jc w:val="both"/>
        <w:rPr>
          <w:rFonts w:ascii="Palatino Linotype" w:eastAsiaTheme="minorEastAsia" w:hAnsi="Palatino Linotype" w:cstheme="minorBidi"/>
          <w:color w:val="000000" w:themeColor="text1"/>
          <w:lang w:val="es-ES_tradnl"/>
        </w:rPr>
      </w:pPr>
    </w:p>
    <w:p w14:paraId="4BB5C5BA" w14:textId="4B69D75C" w:rsidR="00EA0165" w:rsidRPr="00D64CCF" w:rsidRDefault="00184EF5" w:rsidP="009D6075">
      <w:pPr>
        <w:pStyle w:val="Prrafodelista"/>
        <w:numPr>
          <w:ilvl w:val="0"/>
          <w:numId w:val="1"/>
        </w:numPr>
        <w:tabs>
          <w:tab w:val="left" w:pos="567"/>
        </w:tabs>
        <w:spacing w:before="100" w:beforeAutospacing="1" w:after="100" w:afterAutospacing="1" w:line="360" w:lineRule="auto"/>
        <w:ind w:left="0" w:firstLine="0"/>
        <w:contextualSpacing/>
        <w:jc w:val="both"/>
        <w:rPr>
          <w:rFonts w:ascii="Palatino Linotype" w:eastAsiaTheme="minorEastAsia" w:hAnsi="Palatino Linotype" w:cstheme="minorBidi"/>
          <w:color w:val="000000" w:themeColor="text1"/>
          <w:lang w:val="es-ES_tradnl"/>
        </w:rPr>
      </w:pPr>
      <w:r w:rsidRPr="00D64CCF">
        <w:rPr>
          <w:rFonts w:ascii="Palatino Linotype" w:eastAsiaTheme="minorEastAsia" w:hAnsi="Palatino Linotype" w:cstheme="minorBidi"/>
          <w:color w:val="000000" w:themeColor="text1"/>
          <w:lang w:val="es-ES_tradnl"/>
        </w:rPr>
        <w:t xml:space="preserve">Derivado de la falta de respuesta por parte del </w:t>
      </w:r>
      <w:r w:rsidRPr="00D64CCF">
        <w:rPr>
          <w:rFonts w:ascii="Palatino Linotype" w:eastAsiaTheme="minorEastAsia" w:hAnsi="Palatino Linotype" w:cstheme="minorBidi"/>
          <w:b/>
          <w:color w:val="000000" w:themeColor="text1"/>
          <w:lang w:val="es-ES_tradnl"/>
        </w:rPr>
        <w:t>SUJETO OBLIGADO</w:t>
      </w:r>
      <w:r w:rsidR="00EA0165" w:rsidRPr="00D64CCF">
        <w:rPr>
          <w:rFonts w:ascii="Palatino Linotype" w:hAnsi="Palatino Linotype" w:cs="Arial"/>
          <w:color w:val="000000" w:themeColor="text1"/>
        </w:rPr>
        <w:t xml:space="preserve">, </w:t>
      </w:r>
      <w:r w:rsidR="00B268A1" w:rsidRPr="00D64CCF">
        <w:rPr>
          <w:rFonts w:ascii="Palatino Linotype" w:eastAsiaTheme="minorEastAsia" w:hAnsi="Palatino Linotype" w:cstheme="minorBidi"/>
          <w:color w:val="000000" w:themeColor="text1"/>
          <w:lang w:val="es-ES_tradnl"/>
        </w:rPr>
        <w:t>el cuatro (04</w:t>
      </w:r>
      <w:r w:rsidR="00F552DD" w:rsidRPr="00D64CCF">
        <w:rPr>
          <w:rFonts w:ascii="Palatino Linotype" w:eastAsiaTheme="minorEastAsia" w:hAnsi="Palatino Linotype" w:cstheme="minorBidi"/>
          <w:color w:val="000000" w:themeColor="text1"/>
          <w:lang w:val="es-ES_tradnl"/>
        </w:rPr>
        <w:t xml:space="preserve">) de marzo </w:t>
      </w:r>
      <w:r w:rsidR="0065453D" w:rsidRPr="00D64CCF">
        <w:rPr>
          <w:rFonts w:ascii="Palatino Linotype" w:eastAsiaTheme="minorEastAsia" w:hAnsi="Palatino Linotype" w:cstheme="minorBidi"/>
          <w:color w:val="000000" w:themeColor="text1"/>
          <w:lang w:val="es-ES_tradnl"/>
        </w:rPr>
        <w:t>de dos mil veintidós,</w:t>
      </w:r>
      <w:r w:rsidR="00537708" w:rsidRPr="00D64CCF">
        <w:rPr>
          <w:rFonts w:ascii="Palatino Linotype" w:hAnsi="Palatino Linotype" w:cs="Arial"/>
          <w:color w:val="000000" w:themeColor="text1"/>
        </w:rPr>
        <w:t xml:space="preserve"> </w:t>
      </w:r>
      <w:r w:rsidR="00EA0165" w:rsidRPr="00D64CCF">
        <w:rPr>
          <w:rFonts w:ascii="Palatino Linotype" w:hAnsi="Palatino Linotype" w:cs="Arial"/>
          <w:color w:val="000000" w:themeColor="text1"/>
        </w:rPr>
        <w:t xml:space="preserve">el particular </w:t>
      </w:r>
      <w:r w:rsidR="004E2B06" w:rsidRPr="00D64CCF">
        <w:rPr>
          <w:rFonts w:ascii="Palatino Linotype" w:hAnsi="Palatino Linotype" w:cs="Arial"/>
          <w:color w:val="000000" w:themeColor="text1"/>
        </w:rPr>
        <w:t>interpuso los</w:t>
      </w:r>
      <w:r w:rsidR="00861CF9" w:rsidRPr="00D64CCF">
        <w:rPr>
          <w:rFonts w:ascii="Palatino Linotype" w:hAnsi="Palatino Linotype" w:cs="Arial"/>
          <w:color w:val="000000" w:themeColor="text1"/>
        </w:rPr>
        <w:t xml:space="preserve"> recurso</w:t>
      </w:r>
      <w:r w:rsidR="004E2B06" w:rsidRPr="00D64CCF">
        <w:rPr>
          <w:rFonts w:ascii="Palatino Linotype" w:hAnsi="Palatino Linotype" w:cs="Arial"/>
          <w:color w:val="000000" w:themeColor="text1"/>
        </w:rPr>
        <w:t>s</w:t>
      </w:r>
      <w:r w:rsidR="00861CF9" w:rsidRPr="00D64CCF">
        <w:rPr>
          <w:rFonts w:ascii="Palatino Linotype" w:hAnsi="Palatino Linotype" w:cs="Arial"/>
          <w:color w:val="000000" w:themeColor="text1"/>
        </w:rPr>
        <w:t xml:space="preserve"> de revisión</w:t>
      </w:r>
      <w:r w:rsidR="001454A4" w:rsidRPr="00D64CCF">
        <w:rPr>
          <w:rFonts w:ascii="Palatino Linotype" w:hAnsi="Palatino Linotype" w:cs="Arial"/>
          <w:color w:val="000000" w:themeColor="text1"/>
        </w:rPr>
        <w:t xml:space="preserve">, </w:t>
      </w:r>
      <w:r w:rsidR="00A114F6" w:rsidRPr="00D64CCF">
        <w:rPr>
          <w:rFonts w:ascii="Palatino Linotype" w:hAnsi="Palatino Linotype" w:cs="Arial"/>
          <w:color w:val="000000" w:themeColor="text1"/>
        </w:rPr>
        <w:t>impugnaciones que se  real</w:t>
      </w:r>
      <w:r w:rsidR="00072C08" w:rsidRPr="00D64CCF">
        <w:rPr>
          <w:rFonts w:ascii="Palatino Linotype" w:hAnsi="Palatino Linotype" w:cs="Arial"/>
          <w:color w:val="000000" w:themeColor="text1"/>
        </w:rPr>
        <w:t xml:space="preserve">izaron en los </w:t>
      </w:r>
      <w:r w:rsidR="004D1B39" w:rsidRPr="00D64CCF">
        <w:rPr>
          <w:rFonts w:ascii="Palatino Linotype" w:hAnsi="Palatino Linotype" w:cs="Arial"/>
          <w:color w:val="000000" w:themeColor="text1"/>
        </w:rPr>
        <w:t>mismos</w:t>
      </w:r>
      <w:r w:rsidR="00072C08" w:rsidRPr="00D64CCF">
        <w:rPr>
          <w:rFonts w:ascii="Palatino Linotype" w:hAnsi="Palatino Linotype" w:cs="Arial"/>
          <w:color w:val="000000" w:themeColor="text1"/>
        </w:rPr>
        <w:t xml:space="preserve"> </w:t>
      </w:r>
      <w:r w:rsidR="00A114F6" w:rsidRPr="00D64CCF">
        <w:rPr>
          <w:rFonts w:ascii="Palatino Linotype" w:hAnsi="Palatino Linotype" w:cs="Arial"/>
          <w:color w:val="000000" w:themeColor="text1"/>
        </w:rPr>
        <w:t>términos:</w:t>
      </w:r>
    </w:p>
    <w:p w14:paraId="32E5BD14" w14:textId="53626D42" w:rsidR="00537708" w:rsidRPr="00D64CCF" w:rsidRDefault="00537708" w:rsidP="009D6075">
      <w:pPr>
        <w:numPr>
          <w:ilvl w:val="0"/>
          <w:numId w:val="5"/>
        </w:numPr>
        <w:tabs>
          <w:tab w:val="left" w:pos="851"/>
        </w:tabs>
        <w:spacing w:after="160" w:line="360" w:lineRule="auto"/>
        <w:ind w:left="567" w:right="1134" w:firstLine="0"/>
        <w:jc w:val="both"/>
        <w:rPr>
          <w:rFonts w:ascii="Palatino Linotype" w:eastAsiaTheme="minorEastAsia" w:hAnsi="Palatino Linotype"/>
          <w:i/>
          <w:color w:val="000000" w:themeColor="text1"/>
          <w:lang w:val="es-ES_tradnl"/>
        </w:rPr>
      </w:pPr>
      <w:r w:rsidRPr="00D64CCF">
        <w:rPr>
          <w:rFonts w:ascii="Palatino Linotype" w:eastAsiaTheme="minorEastAsia" w:hAnsi="Palatino Linotype"/>
          <w:b/>
          <w:color w:val="000000" w:themeColor="text1"/>
        </w:rPr>
        <w:t>Acto impugnado:</w:t>
      </w:r>
      <w:r w:rsidRPr="00D64CCF">
        <w:rPr>
          <w:rFonts w:ascii="Palatino Linotype" w:eastAsiaTheme="minorEastAsia" w:hAnsi="Palatino Linotype"/>
          <w:color w:val="000000" w:themeColor="text1"/>
        </w:rPr>
        <w:t xml:space="preserve"> </w:t>
      </w:r>
      <w:r w:rsidRPr="00D64CCF">
        <w:rPr>
          <w:rFonts w:ascii="Palatino Linotype" w:eastAsiaTheme="minorEastAsia" w:hAnsi="Palatino Linotype"/>
          <w:i/>
          <w:color w:val="000000" w:themeColor="text1"/>
        </w:rPr>
        <w:t>“</w:t>
      </w:r>
      <w:r w:rsidR="00F552DD" w:rsidRPr="00D64CCF">
        <w:rPr>
          <w:rFonts w:ascii="Palatino Linotype" w:eastAsiaTheme="minorEastAsia" w:hAnsi="Palatino Linotype"/>
          <w:i/>
          <w:color w:val="000000" w:themeColor="text1"/>
        </w:rPr>
        <w:t>La falta de respuesta del Sujeto Obligado.</w:t>
      </w:r>
      <w:r w:rsidRPr="00D64CCF">
        <w:rPr>
          <w:rFonts w:ascii="Palatino Linotype" w:eastAsiaTheme="minorEastAsia" w:hAnsi="Palatino Linotype"/>
          <w:i/>
          <w:color w:val="000000" w:themeColor="text1"/>
        </w:rPr>
        <w:t xml:space="preserve"> “(Sic).</w:t>
      </w:r>
    </w:p>
    <w:p w14:paraId="455FE12A" w14:textId="77777777" w:rsidR="001603AE" w:rsidRPr="00D64CCF" w:rsidRDefault="00537708" w:rsidP="009D6075">
      <w:pPr>
        <w:numPr>
          <w:ilvl w:val="0"/>
          <w:numId w:val="5"/>
        </w:numPr>
        <w:tabs>
          <w:tab w:val="left" w:pos="851"/>
        </w:tabs>
        <w:spacing w:after="160" w:line="360" w:lineRule="auto"/>
        <w:ind w:left="567" w:right="1134" w:firstLine="0"/>
        <w:jc w:val="both"/>
        <w:rPr>
          <w:rFonts w:ascii="Palatino Linotype" w:eastAsiaTheme="minorEastAsia" w:hAnsi="Palatino Linotype"/>
          <w:color w:val="000000" w:themeColor="text1"/>
        </w:rPr>
      </w:pPr>
      <w:r w:rsidRPr="00D64CCF">
        <w:rPr>
          <w:rFonts w:ascii="Palatino Linotype" w:eastAsiaTheme="minorEastAsia" w:hAnsi="Palatino Linotype"/>
          <w:b/>
          <w:color w:val="000000" w:themeColor="text1"/>
        </w:rPr>
        <w:t>Razones o motivos de inconformidad:</w:t>
      </w:r>
      <w:r w:rsidRPr="00D64CCF">
        <w:rPr>
          <w:rFonts w:ascii="Palatino Linotype" w:eastAsiaTheme="minorEastAsia" w:hAnsi="Palatino Linotype"/>
          <w:color w:val="000000" w:themeColor="text1"/>
        </w:rPr>
        <w:t xml:space="preserve"> </w:t>
      </w:r>
      <w:r w:rsidRPr="00D64CCF">
        <w:rPr>
          <w:rFonts w:ascii="Palatino Linotype" w:eastAsiaTheme="minorEastAsia" w:hAnsi="Palatino Linotype"/>
          <w:i/>
          <w:color w:val="000000" w:themeColor="text1"/>
        </w:rPr>
        <w:t>“</w:t>
      </w:r>
      <w:r w:rsidR="00F552DD" w:rsidRPr="00D64CCF">
        <w:rPr>
          <w:rFonts w:ascii="Palatino Linotype" w:eastAsiaTheme="minorEastAsia" w:hAnsi="Palatino Linotype"/>
          <w:i/>
          <w:color w:val="000000" w:themeColor="text1"/>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w:t>
      </w:r>
      <w:r w:rsidR="00F552DD" w:rsidRPr="00D64CCF">
        <w:rPr>
          <w:rFonts w:ascii="Palatino Linotype" w:eastAsiaTheme="minorEastAsia" w:hAnsi="Palatino Linotype"/>
          <w:i/>
          <w:color w:val="000000" w:themeColor="text1"/>
        </w:rPr>
        <w:lastRenderedPageBreak/>
        <w:t xml:space="preserve">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w:t>
      </w:r>
      <w:r w:rsidR="00F552DD" w:rsidRPr="00D64CCF">
        <w:rPr>
          <w:rFonts w:ascii="Palatino Linotype" w:eastAsiaTheme="minorEastAsia" w:hAnsi="Palatino Linotype"/>
          <w:i/>
          <w:color w:val="000000" w:themeColor="text1"/>
        </w:rPr>
        <w:lastRenderedPageBreak/>
        <w:t>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D64CCF">
        <w:rPr>
          <w:rFonts w:ascii="Palatino Linotype" w:eastAsiaTheme="minorEastAsia" w:hAnsi="Palatino Linotype"/>
          <w:i/>
          <w:color w:val="000000" w:themeColor="text1"/>
        </w:rPr>
        <w:t>” (Sic).</w:t>
      </w:r>
    </w:p>
    <w:p w14:paraId="3D9A8104" w14:textId="77777777" w:rsidR="001603AE" w:rsidRPr="00D64CCF" w:rsidRDefault="001603AE" w:rsidP="009D6075">
      <w:pPr>
        <w:tabs>
          <w:tab w:val="left" w:pos="851"/>
        </w:tabs>
        <w:spacing w:after="160" w:line="360" w:lineRule="auto"/>
        <w:ind w:left="567" w:right="1134"/>
        <w:jc w:val="both"/>
        <w:rPr>
          <w:rFonts w:ascii="Palatino Linotype" w:eastAsiaTheme="minorEastAsia" w:hAnsi="Palatino Linotype"/>
          <w:color w:val="000000" w:themeColor="text1"/>
        </w:rPr>
      </w:pPr>
    </w:p>
    <w:p w14:paraId="57E669F8" w14:textId="334CA63F" w:rsidR="00866BA6" w:rsidRPr="00D64CCF" w:rsidRDefault="00866BA6" w:rsidP="009D6075">
      <w:pPr>
        <w:numPr>
          <w:ilvl w:val="0"/>
          <w:numId w:val="1"/>
        </w:numPr>
        <w:tabs>
          <w:tab w:val="left" w:pos="567"/>
        </w:tabs>
        <w:spacing w:before="240" w:after="240" w:line="360" w:lineRule="auto"/>
        <w:ind w:left="0" w:firstLine="0"/>
        <w:contextualSpacing/>
        <w:jc w:val="both"/>
        <w:rPr>
          <w:rFonts w:ascii="Palatino Linotype" w:hAnsi="Palatino Linotype" w:cs="Arial"/>
          <w:lang w:val="es-ES_tradnl"/>
        </w:rPr>
      </w:pPr>
      <w:r w:rsidRPr="00D64CCF">
        <w:rPr>
          <w:rFonts w:ascii="Palatino Linotype" w:eastAsia="MS Mincho" w:hAnsi="Palatino Linotype" w:cs="Arial"/>
          <w:bCs/>
          <w:lang w:val="es-ES_tradnl"/>
        </w:rPr>
        <w:t xml:space="preserve">Consecuentemente,  con fundamento en lo dispuesto por el </w:t>
      </w:r>
      <w:r w:rsidRPr="00D64CCF">
        <w:rPr>
          <w:rFonts w:ascii="Palatino Linotype" w:eastAsia="Calibri" w:hAnsi="Palatino Linotype" w:cs="Arial"/>
          <w:lang w:val="es-ES_tradnl"/>
        </w:rPr>
        <w:t xml:space="preserve">artículo 185 fracción I de la </w:t>
      </w:r>
      <w:r w:rsidRPr="00D64CCF">
        <w:rPr>
          <w:rFonts w:ascii="Palatino Linotype" w:eastAsia="Calibri" w:hAnsi="Palatino Linotype" w:cs="Arial"/>
          <w:b/>
          <w:lang w:val="es-ES_tradnl"/>
        </w:rPr>
        <w:t>Ley de Transparencia y Acceso a la Información Pública del Estado de México y Municipios,</w:t>
      </w:r>
      <w:r w:rsidRPr="00D64CCF">
        <w:rPr>
          <w:rFonts w:ascii="Palatino Linotype" w:eastAsia="MS Mincho" w:hAnsi="Palatino Linotype" w:cs="Arial"/>
          <w:lang w:val="es-ES_tradnl"/>
        </w:rPr>
        <w:t xml:space="preserve"> el recurso </w:t>
      </w:r>
      <w:r w:rsidRPr="00D64CCF">
        <w:rPr>
          <w:rFonts w:ascii="Palatino Linotype" w:hAnsi="Palatino Linotype" w:cs="Arial"/>
          <w:lang w:val="es-ES_tradnl"/>
        </w:rPr>
        <w:t>de revisión con número</w:t>
      </w:r>
      <w:r w:rsidR="00A06C55" w:rsidRPr="00D64CCF">
        <w:rPr>
          <w:rFonts w:ascii="Palatino Linotype" w:hAnsi="Palatino Linotype" w:cs="Arial"/>
          <w:lang w:val="es-ES_tradnl"/>
        </w:rPr>
        <w:t xml:space="preserve"> </w:t>
      </w:r>
      <w:r w:rsidR="00A06C55" w:rsidRPr="00D64CCF">
        <w:rPr>
          <w:rFonts w:ascii="Palatino Linotype" w:hAnsi="Palatino Linotype" w:cs="Arial"/>
          <w:b/>
          <w:lang w:val="es-MX"/>
        </w:rPr>
        <w:t>03398/INFOEM/IP/RR/2022</w:t>
      </w:r>
      <w:r w:rsidR="004D1B39" w:rsidRPr="00D64CCF">
        <w:rPr>
          <w:rFonts w:ascii="Palatino Linotype" w:hAnsi="Palatino Linotype" w:cs="Arial"/>
          <w:b/>
          <w:lang w:val="es-MX"/>
        </w:rPr>
        <w:t xml:space="preserve">, </w:t>
      </w:r>
      <w:r w:rsidRPr="00D64CCF">
        <w:rPr>
          <w:rFonts w:ascii="Palatino Linotype" w:hAnsi="Palatino Linotype" w:cs="Arial"/>
          <w:lang w:val="es-ES_tradnl"/>
        </w:rPr>
        <w:t>fue turnado</w:t>
      </w:r>
      <w:r w:rsidRPr="00D64CCF">
        <w:rPr>
          <w:rFonts w:ascii="Palatino Linotype" w:eastAsia="Calibri" w:hAnsi="Palatino Linotype" w:cs="Arial"/>
          <w:b/>
          <w:lang w:val="es-ES_tradnl"/>
        </w:rPr>
        <w:t xml:space="preserve"> </w:t>
      </w:r>
      <w:r w:rsidRPr="00D64CCF">
        <w:rPr>
          <w:rFonts w:ascii="Palatino Linotype" w:hAnsi="Palatino Linotype" w:cs="Arial"/>
          <w:lang w:val="es-ES_tradnl"/>
        </w:rPr>
        <w:t>la Comisionada</w:t>
      </w:r>
      <w:r w:rsidRPr="00D64CCF">
        <w:rPr>
          <w:rFonts w:ascii="Palatino Linotype" w:hAnsi="Palatino Linotype" w:cs="Arial"/>
          <w:b/>
          <w:lang w:val="es-ES_tradnl"/>
        </w:rPr>
        <w:t xml:space="preserve"> María del Rosario Mejía Ayala </w:t>
      </w:r>
      <w:r w:rsidRPr="00D64CCF">
        <w:rPr>
          <w:rFonts w:ascii="Palatino Linotype" w:hAnsi="Palatino Linotype" w:cs="Arial"/>
          <w:lang w:val="es-ES_tradnl"/>
        </w:rPr>
        <w:t xml:space="preserve"> con el objeto de su análisis, posteriormente el Pleno </w:t>
      </w:r>
      <w:r w:rsidR="00A06C55" w:rsidRPr="00D64CCF">
        <w:rPr>
          <w:rFonts w:ascii="Palatino Linotype" w:eastAsia="MS Mincho" w:hAnsi="Palatino Linotype" w:cs="Arial"/>
          <w:lang w:val="es-ES_tradnl"/>
        </w:rPr>
        <w:t xml:space="preserve">de este Órgano Autónomo, dieciséis (16) de marzo </w:t>
      </w:r>
      <w:r w:rsidR="00F2072E" w:rsidRPr="00D64CCF">
        <w:rPr>
          <w:rFonts w:ascii="Palatino Linotype" w:eastAsia="MS Mincho" w:hAnsi="Palatino Linotype" w:cs="Arial"/>
          <w:lang w:val="es-ES_tradnl"/>
        </w:rPr>
        <w:t xml:space="preserve">de dos mil </w:t>
      </w:r>
      <w:r w:rsidR="000405D4" w:rsidRPr="00D64CCF">
        <w:rPr>
          <w:rFonts w:ascii="Palatino Linotype" w:eastAsia="MS Mincho" w:hAnsi="Palatino Linotype" w:cs="Arial"/>
          <w:lang w:val="es-ES_tradnl"/>
        </w:rPr>
        <w:t>veintidós en la Décima</w:t>
      </w:r>
      <w:r w:rsidR="002F2799" w:rsidRPr="00D64CCF">
        <w:rPr>
          <w:rFonts w:ascii="Palatino Linotype" w:eastAsia="MS Mincho" w:hAnsi="Palatino Linotype" w:cs="Arial"/>
          <w:lang w:val="es-ES_tradnl"/>
        </w:rPr>
        <w:t xml:space="preserve"> </w:t>
      </w:r>
      <w:r w:rsidR="007914BA" w:rsidRPr="00D64CCF">
        <w:rPr>
          <w:rFonts w:ascii="Palatino Linotype" w:eastAsia="MS Mincho" w:hAnsi="Palatino Linotype" w:cs="Arial"/>
          <w:lang w:val="es-ES_tradnl"/>
        </w:rPr>
        <w:t>sesión ordinaria</w:t>
      </w:r>
      <w:r w:rsidR="001B095A" w:rsidRPr="00D64CCF">
        <w:rPr>
          <w:rFonts w:ascii="Palatino Linotype" w:eastAsia="MS Mincho" w:hAnsi="Palatino Linotype" w:cs="Arial"/>
          <w:lang w:val="es-ES_tradnl"/>
        </w:rPr>
        <w:t xml:space="preserve">, ordenó la acumulación de los </w:t>
      </w:r>
      <w:r w:rsidRPr="00D64CCF">
        <w:rPr>
          <w:rFonts w:ascii="Palatino Linotype" w:hAnsi="Palatino Linotype" w:cs="Arial"/>
          <w:lang w:val="es-ES_tradnl"/>
        </w:rPr>
        <w:t>recurso</w:t>
      </w:r>
      <w:r w:rsidR="001B095A" w:rsidRPr="00D64CCF">
        <w:rPr>
          <w:rFonts w:ascii="Palatino Linotype" w:hAnsi="Palatino Linotype" w:cs="Arial"/>
          <w:lang w:val="es-ES_tradnl"/>
        </w:rPr>
        <w:t>s</w:t>
      </w:r>
      <w:r w:rsidRPr="00D64CCF">
        <w:rPr>
          <w:rFonts w:ascii="Palatino Linotype" w:hAnsi="Palatino Linotype" w:cs="Arial"/>
          <w:lang w:val="es-ES_tradnl"/>
        </w:rPr>
        <w:t xml:space="preserve"> de revisión</w:t>
      </w:r>
      <w:r w:rsidR="00537708" w:rsidRPr="00D64CCF">
        <w:rPr>
          <w:rFonts w:ascii="Palatino Linotype" w:hAnsi="Palatino Linotype" w:cs="Arial"/>
          <w:lang w:val="es-ES_tradnl"/>
        </w:rPr>
        <w:t xml:space="preserve"> </w:t>
      </w:r>
      <w:r w:rsidR="000405D4" w:rsidRPr="00D64CCF">
        <w:rPr>
          <w:rFonts w:ascii="Palatino Linotype" w:hAnsi="Palatino Linotype" w:cs="Arial"/>
          <w:b/>
          <w:lang w:val="es-ES_tradnl"/>
        </w:rPr>
        <w:t>03399/INFOEM/IP/RR/2022, 03400/INFOEM/IP/RR/2022, 03401/INFOEM/IP/RR/2022, 03402/INFOEM/IP/RR/2022, 03403/INFOEM/IP/RR/2022, 03404/INFOEM/IP/RR/2022 y 03405/INFOEM/IP/RR/2022</w:t>
      </w:r>
      <w:r w:rsidR="00537708" w:rsidRPr="00D64CCF">
        <w:rPr>
          <w:rFonts w:ascii="Palatino Linotype" w:hAnsi="Palatino Linotype" w:cs="Arial"/>
          <w:lang w:val="es-ES_tradnl"/>
        </w:rPr>
        <w:t xml:space="preserve">, </w:t>
      </w:r>
      <w:r w:rsidRPr="00D64CCF">
        <w:rPr>
          <w:rFonts w:ascii="Palatino Linotype" w:eastAsia="MS Mincho" w:hAnsi="Palatino Linotype" w:cs="Arial"/>
          <w:bCs/>
          <w:lang w:val="es-ES_tradnl"/>
        </w:rPr>
        <w:t>de</w:t>
      </w:r>
      <w:r w:rsidR="00F70B54" w:rsidRPr="00D64CCF">
        <w:rPr>
          <w:rFonts w:ascii="Palatino Linotype" w:eastAsia="MS Mincho" w:hAnsi="Palatino Linotype" w:cs="Arial"/>
          <w:bCs/>
          <w:lang w:val="es-ES_tradnl"/>
        </w:rPr>
        <w:t xml:space="preserve">l </w:t>
      </w:r>
      <w:r w:rsidR="00F70B54" w:rsidRPr="00D64CCF">
        <w:rPr>
          <w:rFonts w:ascii="Palatino Linotype" w:eastAsia="MS Mincho" w:hAnsi="Palatino Linotype" w:cs="Arial"/>
          <w:b/>
          <w:bCs/>
          <w:lang w:val="es-ES_tradnl"/>
        </w:rPr>
        <w:t>Co</w:t>
      </w:r>
      <w:r w:rsidR="007914BA" w:rsidRPr="00D64CCF">
        <w:rPr>
          <w:rFonts w:ascii="Palatino Linotype" w:eastAsia="MS Mincho" w:hAnsi="Palatino Linotype" w:cs="Arial"/>
          <w:b/>
          <w:bCs/>
          <w:lang w:val="es-ES_tradnl"/>
        </w:rPr>
        <w:t xml:space="preserve">misionado José </w:t>
      </w:r>
      <w:r w:rsidR="007914BA" w:rsidRPr="00D64CCF">
        <w:rPr>
          <w:rFonts w:ascii="Palatino Linotype" w:eastAsia="MS Mincho" w:hAnsi="Palatino Linotype" w:cs="Arial"/>
          <w:b/>
          <w:bCs/>
          <w:lang w:val="es-ES_tradnl"/>
        </w:rPr>
        <w:lastRenderedPageBreak/>
        <w:t>Martínez Vilchis</w:t>
      </w:r>
      <w:r w:rsidR="000405D4" w:rsidRPr="00D64CCF">
        <w:rPr>
          <w:rFonts w:ascii="Palatino Linotype" w:eastAsia="MS Mincho" w:hAnsi="Palatino Linotype" w:cs="Arial"/>
          <w:b/>
          <w:bCs/>
          <w:lang w:val="es-ES_tradnl"/>
        </w:rPr>
        <w:t>, Luis Gustavo Parra Noriega</w:t>
      </w:r>
      <w:r w:rsidR="000405D4" w:rsidRPr="00D64CCF">
        <w:rPr>
          <w:rFonts w:ascii="Palatino Linotype" w:hAnsi="Palatino Linotype" w:cs="Arial"/>
          <w:lang w:val="es-ES_tradnl"/>
        </w:rPr>
        <w:t xml:space="preserve"> </w:t>
      </w:r>
      <w:r w:rsidR="007914BA" w:rsidRPr="00D64CCF">
        <w:rPr>
          <w:rFonts w:ascii="Palatino Linotype" w:eastAsia="MS Mincho" w:hAnsi="Palatino Linotype" w:cs="Arial"/>
          <w:b/>
          <w:bCs/>
          <w:lang w:val="es-ES_tradnl"/>
        </w:rPr>
        <w:t xml:space="preserve">y </w:t>
      </w:r>
      <w:r w:rsidR="007914BA" w:rsidRPr="00D64CCF">
        <w:rPr>
          <w:rFonts w:ascii="Palatino Linotype" w:hAnsi="Palatino Linotype" w:cs="Arial"/>
          <w:b/>
          <w:lang w:val="es-ES_tradnl"/>
        </w:rPr>
        <w:t>Guadalupe Ramírez Peña</w:t>
      </w:r>
      <w:r w:rsidRPr="00D64CCF">
        <w:rPr>
          <w:rFonts w:ascii="Palatino Linotype" w:hAnsi="Palatino Linotype" w:cs="Arial"/>
          <w:b/>
          <w:lang w:val="es-ES_tradnl"/>
        </w:rPr>
        <w:t xml:space="preserve">;  </w:t>
      </w:r>
      <w:r w:rsidRPr="00D64CCF">
        <w:rPr>
          <w:rFonts w:ascii="Palatino Linotype" w:eastAsia="MS Mincho" w:hAnsi="Palatino Linotype" w:cs="Arial"/>
          <w:lang w:val="es-ES_tradnl"/>
        </w:rPr>
        <w:t>a efecto de que ésta Ponencia formulara y presentara el proyecto de resolución correspondiente</w:t>
      </w:r>
      <w:r w:rsidRPr="00D64CCF">
        <w:rPr>
          <w:rFonts w:ascii="Palatino Linotype" w:hAnsi="Palatino Linotype" w:cs="Arial"/>
          <w:lang w:val="es-ES_tradnl"/>
        </w:rPr>
        <w:t xml:space="preserve"> de conformidad con el numeral ONCE incisos b) y c) de los </w:t>
      </w:r>
      <w:r w:rsidRPr="00D64CCF">
        <w:rPr>
          <w:rFonts w:ascii="Palatino Linotype" w:hAnsi="Palatino Linotype" w:cs="Arial"/>
          <w:b/>
          <w:lang w:val="es-ES_tradnl"/>
        </w:rPr>
        <w:t>Lineamientos para la Recepción, Trámite y Resolución de las Solicitudes de Acceso a la Información Pública, así como de los Recursos de Revisión que deberán observar los Sujetos Obligados por la Ley de Transparencia Estatal</w:t>
      </w:r>
      <w:r w:rsidRPr="00D64CCF">
        <w:rPr>
          <w:rFonts w:ascii="Palatino Linotype" w:eastAsia="MS Mincho" w:hAnsi="Palatino Linotype"/>
          <w:i/>
          <w:vertAlign w:val="superscript"/>
          <w:lang w:val="es-ES_tradnl"/>
        </w:rPr>
        <w:footnoteReference w:id="1"/>
      </w:r>
      <w:r w:rsidRPr="00D64CCF">
        <w:rPr>
          <w:rFonts w:ascii="Palatino Linotype" w:hAnsi="Palatino Linotype" w:cs="Arial"/>
          <w:lang w:val="es-ES_tradnl"/>
        </w:rPr>
        <w:t>, que señala:</w:t>
      </w:r>
    </w:p>
    <w:p w14:paraId="3D7C215E" w14:textId="77777777" w:rsidR="00866BA6" w:rsidRPr="00D64CCF" w:rsidRDefault="00866BA6" w:rsidP="009D6075">
      <w:pPr>
        <w:spacing w:before="240" w:after="240" w:line="360" w:lineRule="auto"/>
        <w:contextualSpacing/>
        <w:jc w:val="both"/>
        <w:rPr>
          <w:rFonts w:ascii="Palatino Linotype" w:hAnsi="Palatino Linotype" w:cs="Arial"/>
          <w:lang w:val="es-ES_tradnl"/>
        </w:rPr>
      </w:pPr>
    </w:p>
    <w:p w14:paraId="5E18D78E" w14:textId="77777777" w:rsidR="00866BA6" w:rsidRPr="00D64CCF" w:rsidRDefault="00866BA6" w:rsidP="009D6075">
      <w:pPr>
        <w:autoSpaceDE w:val="0"/>
        <w:autoSpaceDN w:val="0"/>
        <w:adjustRightInd w:val="0"/>
        <w:spacing w:before="240" w:after="240" w:line="360" w:lineRule="auto"/>
        <w:ind w:left="567" w:right="1275"/>
        <w:contextualSpacing/>
        <w:jc w:val="both"/>
        <w:rPr>
          <w:rFonts w:ascii="Palatino Linotype" w:hAnsi="Palatino Linotype" w:cs="Arial"/>
          <w:i/>
          <w:lang w:val="es-ES_tradnl"/>
        </w:rPr>
      </w:pPr>
      <w:r w:rsidRPr="00D64CCF">
        <w:rPr>
          <w:rFonts w:ascii="Palatino Linotype" w:hAnsi="Palatino Linotype" w:cs="Arial"/>
          <w:b/>
          <w:i/>
          <w:lang w:val="es-ES_tradnl"/>
        </w:rPr>
        <w:t>ONCE.</w:t>
      </w:r>
      <w:r w:rsidRPr="00D64CCF">
        <w:rPr>
          <w:rFonts w:ascii="Palatino Linotype" w:hAnsi="Palatino Linotype" w:cs="Arial"/>
          <w:i/>
          <w:lang w:val="es-ES_tradnl"/>
        </w:rPr>
        <w:t xml:space="preserve"> El Instituto, para mejor resolver y evitar la emisión de resoluciones contradictorias, podrá acordar la acumulación de los expedientes de recursos de revisión, de oficio o a petición de parte cuando:</w:t>
      </w:r>
    </w:p>
    <w:p w14:paraId="7A125C91" w14:textId="77777777" w:rsidR="00866BA6" w:rsidRPr="00D64CCF" w:rsidRDefault="00866BA6" w:rsidP="009D6075">
      <w:pPr>
        <w:autoSpaceDE w:val="0"/>
        <w:autoSpaceDN w:val="0"/>
        <w:adjustRightInd w:val="0"/>
        <w:spacing w:before="240" w:after="240" w:line="360" w:lineRule="auto"/>
        <w:ind w:left="567" w:right="1275"/>
        <w:contextualSpacing/>
        <w:jc w:val="both"/>
        <w:rPr>
          <w:rFonts w:ascii="Palatino Linotype" w:hAnsi="Palatino Linotype" w:cs="Arial"/>
          <w:i/>
          <w:lang w:val="es-ES_tradnl"/>
        </w:rPr>
      </w:pPr>
      <w:r w:rsidRPr="00D64CCF">
        <w:rPr>
          <w:rFonts w:ascii="Palatino Linotype" w:hAnsi="Palatino Linotype" w:cs="Arial"/>
          <w:i/>
          <w:lang w:val="es-ES_tradnl"/>
        </w:rPr>
        <w:t>…</w:t>
      </w:r>
    </w:p>
    <w:p w14:paraId="2D761BCA" w14:textId="77777777" w:rsidR="00866BA6" w:rsidRPr="00D64CCF" w:rsidRDefault="00866BA6" w:rsidP="009D6075">
      <w:pPr>
        <w:spacing w:before="240" w:after="240" w:line="360" w:lineRule="auto"/>
        <w:ind w:left="567" w:right="1275"/>
        <w:jc w:val="both"/>
        <w:rPr>
          <w:rFonts w:ascii="Palatino Linotype" w:hAnsi="Palatino Linotype"/>
          <w:i/>
          <w:color w:val="000000"/>
          <w:lang w:val="es-ES_tradnl"/>
        </w:rPr>
      </w:pPr>
      <w:r w:rsidRPr="00D64CCF">
        <w:rPr>
          <w:rFonts w:ascii="Palatino Linotype" w:hAnsi="Palatino Linotype"/>
          <w:i/>
          <w:color w:val="000000"/>
          <w:lang w:val="es-ES_tradnl"/>
        </w:rPr>
        <w:t>b) Las partes o los actos impugnados sean iguales</w:t>
      </w:r>
    </w:p>
    <w:p w14:paraId="2714EAA1" w14:textId="77777777" w:rsidR="00866BA6" w:rsidRPr="00D64CCF" w:rsidRDefault="00866BA6" w:rsidP="009D6075">
      <w:pPr>
        <w:autoSpaceDE w:val="0"/>
        <w:autoSpaceDN w:val="0"/>
        <w:adjustRightInd w:val="0"/>
        <w:spacing w:before="240" w:after="240" w:line="360" w:lineRule="auto"/>
        <w:ind w:left="567" w:right="1275"/>
        <w:contextualSpacing/>
        <w:jc w:val="both"/>
        <w:rPr>
          <w:rFonts w:ascii="Palatino Linotype" w:hAnsi="Palatino Linotype" w:cs="Arial"/>
          <w:i/>
          <w:lang w:val="es-ES_tradnl"/>
        </w:rPr>
      </w:pPr>
      <w:r w:rsidRPr="00D64CCF">
        <w:rPr>
          <w:rFonts w:ascii="Palatino Linotype" w:hAnsi="Palatino Linotype" w:cs="Arial"/>
          <w:i/>
          <w:lang w:val="es-ES_tradnl"/>
        </w:rPr>
        <w:t>c) Cuando se trate del mismo solicitante, el mismo SUJETO OBLIGADO, aunque se trate de solicitudes diversas;</w:t>
      </w:r>
    </w:p>
    <w:p w14:paraId="6879D896" w14:textId="77777777" w:rsidR="00866BA6" w:rsidRPr="00D64CCF" w:rsidRDefault="00866BA6" w:rsidP="009D6075">
      <w:pPr>
        <w:autoSpaceDE w:val="0"/>
        <w:autoSpaceDN w:val="0"/>
        <w:adjustRightInd w:val="0"/>
        <w:spacing w:before="240" w:after="240" w:line="360" w:lineRule="auto"/>
        <w:ind w:left="567" w:right="1275"/>
        <w:contextualSpacing/>
        <w:jc w:val="both"/>
        <w:rPr>
          <w:rFonts w:ascii="Palatino Linotype" w:hAnsi="Palatino Linotype" w:cs="Arial"/>
          <w:i/>
          <w:lang w:val="es-ES_tradnl"/>
        </w:rPr>
      </w:pPr>
      <w:r w:rsidRPr="00D64CCF">
        <w:rPr>
          <w:rFonts w:ascii="Palatino Linotype" w:hAnsi="Palatino Linotype" w:cs="Arial"/>
          <w:i/>
          <w:lang w:val="es-ES_tradnl"/>
        </w:rPr>
        <w:t>(…)</w:t>
      </w:r>
    </w:p>
    <w:p w14:paraId="2576D1E1" w14:textId="77777777" w:rsidR="00866BA6" w:rsidRPr="00D64CCF" w:rsidRDefault="00866BA6" w:rsidP="009D6075">
      <w:pPr>
        <w:autoSpaceDE w:val="0"/>
        <w:autoSpaceDN w:val="0"/>
        <w:adjustRightInd w:val="0"/>
        <w:spacing w:before="240" w:after="240" w:line="360" w:lineRule="auto"/>
        <w:contextualSpacing/>
        <w:jc w:val="both"/>
        <w:rPr>
          <w:rFonts w:ascii="Palatino Linotype" w:hAnsi="Palatino Linotype" w:cs="Arial"/>
          <w:i/>
          <w:lang w:val="es-ES_tradnl"/>
        </w:rPr>
      </w:pPr>
    </w:p>
    <w:p w14:paraId="5C38177D" w14:textId="287050EA" w:rsidR="00866BA6" w:rsidRPr="00D64CCF" w:rsidRDefault="00866BA6" w:rsidP="009D6075">
      <w:pPr>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rPr>
      </w:pPr>
      <w:r w:rsidRPr="00D64CCF">
        <w:rPr>
          <w:rFonts w:ascii="Palatino Linotype" w:eastAsia="MS Mincho" w:hAnsi="Palatino Linotype"/>
          <w:lang w:val="es-ES_tradnl"/>
        </w:rPr>
        <w:t xml:space="preserve">En 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w:t>
      </w:r>
      <w:r w:rsidRPr="00D64CCF">
        <w:rPr>
          <w:rFonts w:ascii="Palatino Linotype" w:eastAsia="MS Mincho" w:hAnsi="Palatino Linotype"/>
          <w:lang w:val="es-ES_tradnl"/>
        </w:rPr>
        <w:lastRenderedPageBreak/>
        <w:t>aplicación supletoria en términos del artículo 195 de la Ley de Transparencia y Acceso a la Información Pública del Estado de México y Municipios en vigor, que a la letra señalan:</w:t>
      </w:r>
      <w:r w:rsidR="008733E9" w:rsidRPr="00D64CCF">
        <w:rPr>
          <w:rFonts w:ascii="Palatino Linotype" w:eastAsia="MS Mincho" w:hAnsi="Palatino Linotype"/>
          <w:lang w:val="es-ES_tradnl"/>
        </w:rPr>
        <w:t xml:space="preserve">                                                                                                                           </w:t>
      </w:r>
      <w:r w:rsidR="000405D4" w:rsidRPr="00D64CCF">
        <w:rPr>
          <w:rFonts w:ascii="Palatino Linotype" w:eastAsia="MS Mincho" w:hAnsi="Palatino Linotype"/>
          <w:lang w:val="es-ES_tradnl"/>
        </w:rPr>
        <w:t xml:space="preserve">                               </w:t>
      </w:r>
    </w:p>
    <w:p w14:paraId="49F28BD1" w14:textId="1BCC49C7" w:rsidR="00EA0165" w:rsidRPr="00D64CCF" w:rsidRDefault="006C2185" w:rsidP="009D6075">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color w:val="000000" w:themeColor="text1"/>
        </w:rPr>
      </w:pPr>
      <w:r w:rsidRPr="00D64CCF">
        <w:rPr>
          <w:rFonts w:ascii="Palatino Linotype" w:hAnsi="Palatino Linotype" w:cs="Arial"/>
          <w:color w:val="000000" w:themeColor="text1"/>
        </w:rPr>
        <w:t xml:space="preserve">Se registraron los </w:t>
      </w:r>
      <w:r w:rsidR="00EA0165" w:rsidRPr="00D64CCF">
        <w:rPr>
          <w:rFonts w:ascii="Palatino Linotype" w:hAnsi="Palatino Linotype" w:cs="Arial"/>
          <w:color w:val="000000" w:themeColor="text1"/>
        </w:rPr>
        <w:t>recurso</w:t>
      </w:r>
      <w:r w:rsidRPr="00D64CCF">
        <w:rPr>
          <w:rFonts w:ascii="Palatino Linotype" w:hAnsi="Palatino Linotype" w:cs="Arial"/>
          <w:color w:val="000000" w:themeColor="text1"/>
        </w:rPr>
        <w:t>s</w:t>
      </w:r>
      <w:r w:rsidR="00EA0165" w:rsidRPr="00D64CCF">
        <w:rPr>
          <w:rFonts w:ascii="Palatino Linotype" w:hAnsi="Palatino Linotype" w:cs="Arial"/>
          <w:color w:val="000000" w:themeColor="text1"/>
        </w:rPr>
        <w:t xml:space="preserve"> de revisión bajo el número de expediente</w:t>
      </w:r>
      <w:r w:rsidRPr="00D64CCF">
        <w:rPr>
          <w:rFonts w:ascii="Palatino Linotype" w:hAnsi="Palatino Linotype" w:cs="Arial"/>
          <w:color w:val="000000" w:themeColor="text1"/>
        </w:rPr>
        <w:t>s</w:t>
      </w:r>
      <w:r w:rsidR="00EA0165" w:rsidRPr="00D64CCF">
        <w:rPr>
          <w:rFonts w:ascii="Palatino Linotype" w:hAnsi="Palatino Linotype" w:cs="Arial"/>
          <w:color w:val="000000" w:themeColor="text1"/>
        </w:rPr>
        <w:t xml:space="preserve"> </w:t>
      </w:r>
      <w:r w:rsidR="00EA0165" w:rsidRPr="00D64CCF">
        <w:rPr>
          <w:rFonts w:ascii="Palatino Linotype" w:eastAsiaTheme="minorEastAsia" w:hAnsi="Palatino Linotype" w:cs="Arial"/>
          <w:bCs/>
          <w:color w:val="000000" w:themeColor="text1"/>
          <w:lang w:val="es-ES_tradnl"/>
        </w:rPr>
        <w:t xml:space="preserve">al rubro indicado, asimismo, con fundamento en lo dispuesto por el </w:t>
      </w:r>
      <w:r w:rsidR="00EA0165" w:rsidRPr="00D64CCF">
        <w:rPr>
          <w:rFonts w:ascii="Palatino Linotype" w:eastAsia="Calibri" w:hAnsi="Palatino Linotype" w:cs="Arial"/>
          <w:color w:val="000000" w:themeColor="text1"/>
        </w:rPr>
        <w:t xml:space="preserve">artículo 185 fracción I de la </w:t>
      </w:r>
      <w:r w:rsidR="00EA0165" w:rsidRPr="00D64CCF">
        <w:rPr>
          <w:rFonts w:ascii="Palatino Linotype" w:eastAsia="Calibri" w:hAnsi="Palatino Linotype" w:cs="Arial"/>
          <w:b/>
          <w:color w:val="000000" w:themeColor="text1"/>
        </w:rPr>
        <w:t xml:space="preserve">Ley de Transparencia y Acceso a la Información Pública del Estado de México y Municipios </w:t>
      </w:r>
      <w:r w:rsidR="005E6282" w:rsidRPr="00D64CCF">
        <w:rPr>
          <w:rFonts w:ascii="Palatino Linotype" w:hAnsi="Palatino Linotype" w:cs="Arial"/>
          <w:color w:val="000000" w:themeColor="text1"/>
        </w:rPr>
        <w:t>se turnó a</w:t>
      </w:r>
      <w:r w:rsidR="00351568" w:rsidRPr="00D64CCF">
        <w:rPr>
          <w:rFonts w:ascii="Palatino Linotype" w:hAnsi="Palatino Linotype" w:cs="Arial"/>
          <w:color w:val="000000" w:themeColor="text1"/>
        </w:rPr>
        <w:t xml:space="preserve"> la </w:t>
      </w:r>
      <w:r w:rsidR="00E3149E" w:rsidRPr="00D64CCF">
        <w:rPr>
          <w:rFonts w:ascii="Palatino Linotype" w:hAnsi="Palatino Linotype" w:cs="Arial"/>
          <w:b/>
          <w:color w:val="000000" w:themeColor="text1"/>
        </w:rPr>
        <w:t>C</w:t>
      </w:r>
      <w:r w:rsidR="00351568" w:rsidRPr="00D64CCF">
        <w:rPr>
          <w:rFonts w:ascii="Palatino Linotype" w:hAnsi="Palatino Linotype" w:cs="Arial"/>
          <w:b/>
          <w:color w:val="000000" w:themeColor="text1"/>
        </w:rPr>
        <w:t>omisionada María del Rosario Mejía Ayala</w:t>
      </w:r>
      <w:r w:rsidR="00EA0165" w:rsidRPr="00D64CCF">
        <w:rPr>
          <w:rFonts w:ascii="Palatino Linotype" w:hAnsi="Palatino Linotype" w:cs="Arial"/>
          <w:b/>
          <w:color w:val="000000" w:themeColor="text1"/>
        </w:rPr>
        <w:t xml:space="preserve">, </w:t>
      </w:r>
      <w:r w:rsidR="00EA0165" w:rsidRPr="00D64CCF">
        <w:rPr>
          <w:rFonts w:ascii="Palatino Linotype" w:hAnsi="Palatino Linotype" w:cs="Arial"/>
          <w:color w:val="000000" w:themeColor="text1"/>
        </w:rPr>
        <w:t xml:space="preserve">con el objeto de </w:t>
      </w:r>
      <w:r w:rsidR="00EA0165" w:rsidRPr="00D64CCF">
        <w:rPr>
          <w:rFonts w:ascii="Palatino Linotype" w:hAnsi="Palatino Linotype" w:cs="Arial"/>
          <w:color w:val="000000" w:themeColor="text1"/>
          <w:lang w:val="es-MX"/>
        </w:rPr>
        <w:t>su análisis.</w:t>
      </w:r>
    </w:p>
    <w:p w14:paraId="073717CF" w14:textId="77777777" w:rsidR="000405D4" w:rsidRPr="00D64CCF" w:rsidRDefault="000405D4" w:rsidP="009D6075">
      <w:pPr>
        <w:pStyle w:val="Prrafodelista"/>
        <w:tabs>
          <w:tab w:val="left" w:pos="567"/>
        </w:tabs>
        <w:spacing w:line="360" w:lineRule="auto"/>
        <w:ind w:left="0"/>
        <w:contextualSpacing/>
        <w:jc w:val="both"/>
        <w:rPr>
          <w:rFonts w:ascii="Palatino Linotype" w:eastAsia="Calibri" w:hAnsi="Palatino Linotype" w:cs="Arial"/>
          <w:color w:val="000000" w:themeColor="text1"/>
        </w:rPr>
      </w:pPr>
    </w:p>
    <w:p w14:paraId="19DF9A92" w14:textId="6423E9F0" w:rsidR="000B2704" w:rsidRPr="00D64CCF" w:rsidRDefault="002A7C18" w:rsidP="009D6075">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b/>
          <w:color w:val="000000" w:themeColor="text1"/>
        </w:rPr>
      </w:pPr>
      <w:r w:rsidRPr="00D64CCF">
        <w:rPr>
          <w:rFonts w:ascii="Palatino Linotype" w:hAnsi="Palatino Linotype" w:cs="Arial"/>
          <w:color w:val="000000" w:themeColor="text1"/>
        </w:rPr>
        <w:t>Los</w:t>
      </w:r>
      <w:r w:rsidR="00351568" w:rsidRPr="00D64CCF">
        <w:rPr>
          <w:rFonts w:ascii="Palatino Linotype" w:hAnsi="Palatino Linotype" w:cs="Arial"/>
          <w:color w:val="000000" w:themeColor="text1"/>
        </w:rPr>
        <w:t xml:space="preserve"> </w:t>
      </w:r>
      <w:r w:rsidRPr="00D64CCF">
        <w:rPr>
          <w:rFonts w:ascii="Palatino Linotype" w:hAnsi="Palatino Linotype" w:cs="Arial"/>
          <w:b/>
          <w:color w:val="000000" w:themeColor="text1"/>
        </w:rPr>
        <w:t>Comisionado</w:t>
      </w:r>
      <w:r w:rsidR="00866BA6" w:rsidRPr="00D64CCF">
        <w:rPr>
          <w:rFonts w:ascii="Palatino Linotype" w:hAnsi="Palatino Linotype" w:cs="Arial"/>
          <w:b/>
          <w:color w:val="000000" w:themeColor="text1"/>
        </w:rPr>
        <w:t>s</w:t>
      </w:r>
      <w:r w:rsidR="000405D4" w:rsidRPr="00D64CCF">
        <w:rPr>
          <w:rFonts w:ascii="Palatino Linotype" w:hAnsi="Palatino Linotype" w:cs="Arial"/>
          <w:b/>
          <w:color w:val="000000" w:themeColor="text1"/>
        </w:rPr>
        <w:t xml:space="preserve"> </w:t>
      </w:r>
      <w:r w:rsidR="000405D4" w:rsidRPr="00D64CCF">
        <w:rPr>
          <w:rFonts w:ascii="Palatino Linotype" w:eastAsia="Calibri" w:hAnsi="Palatino Linotype" w:cs="Arial"/>
          <w:b/>
          <w:color w:val="000000" w:themeColor="text1"/>
        </w:rPr>
        <w:t xml:space="preserve">José Martínez Vilchis, Luis Gustavo Parra Noriega, Guadalupe Ramírez Peña </w:t>
      </w:r>
      <w:r w:rsidRPr="00D64CCF">
        <w:rPr>
          <w:rFonts w:ascii="Palatino Linotype" w:eastAsia="Calibri" w:hAnsi="Palatino Linotype" w:cs="Arial"/>
          <w:b/>
          <w:color w:val="000000" w:themeColor="text1"/>
        </w:rPr>
        <w:t>y María del Rosario Mejía Ayala</w:t>
      </w:r>
      <w:r w:rsidRPr="00D64CCF">
        <w:rPr>
          <w:rFonts w:ascii="Palatino Linotype" w:eastAsia="Calibri" w:hAnsi="Palatino Linotype" w:cs="Arial"/>
          <w:color w:val="000000" w:themeColor="text1"/>
        </w:rPr>
        <w:t xml:space="preserve"> </w:t>
      </w:r>
      <w:r w:rsidR="00EA0165" w:rsidRPr="00D64CCF">
        <w:rPr>
          <w:rFonts w:ascii="Palatino Linotype" w:eastAsia="Calibri" w:hAnsi="Palatino Linotype" w:cs="Arial"/>
          <w:color w:val="000000" w:themeColor="text1"/>
        </w:rPr>
        <w:t>con fundamento en lo dispuesto por el artículo 185 fracción II de la ley de la materia, a t</w:t>
      </w:r>
      <w:r w:rsidR="00D052AE" w:rsidRPr="00D64CCF">
        <w:rPr>
          <w:rFonts w:ascii="Palatino Linotype" w:eastAsia="Calibri" w:hAnsi="Palatino Linotype" w:cs="Arial"/>
          <w:color w:val="000000" w:themeColor="text1"/>
        </w:rPr>
        <w:t>ravés de los</w:t>
      </w:r>
      <w:r w:rsidR="007A237F" w:rsidRPr="00D64CCF">
        <w:rPr>
          <w:rFonts w:ascii="Palatino Linotype" w:eastAsia="Calibri" w:hAnsi="Palatino Linotype" w:cs="Arial"/>
          <w:color w:val="000000" w:themeColor="text1"/>
        </w:rPr>
        <w:t xml:space="preserve"> </w:t>
      </w:r>
      <w:r w:rsidR="00272C04" w:rsidRPr="00D64CCF">
        <w:rPr>
          <w:rFonts w:ascii="Palatino Linotype" w:eastAsia="Calibri" w:hAnsi="Palatino Linotype" w:cs="Arial"/>
          <w:color w:val="000000" w:themeColor="text1"/>
        </w:rPr>
        <w:t>acuerdo</w:t>
      </w:r>
      <w:r w:rsidR="006C2185" w:rsidRPr="00D64CCF">
        <w:rPr>
          <w:rFonts w:ascii="Palatino Linotype" w:eastAsia="Calibri" w:hAnsi="Palatino Linotype" w:cs="Arial"/>
          <w:color w:val="000000" w:themeColor="text1"/>
        </w:rPr>
        <w:t>s</w:t>
      </w:r>
      <w:r w:rsidR="00FC0AD7" w:rsidRPr="00D64CCF">
        <w:rPr>
          <w:rFonts w:ascii="Palatino Linotype" w:eastAsia="Calibri" w:hAnsi="Palatino Linotype" w:cs="Arial"/>
          <w:color w:val="000000" w:themeColor="text1"/>
        </w:rPr>
        <w:t xml:space="preserve"> de admisión en fecha</w:t>
      </w:r>
      <w:r w:rsidRPr="00D64CCF">
        <w:rPr>
          <w:rFonts w:ascii="Palatino Linotype" w:eastAsia="Calibri" w:hAnsi="Palatino Linotype" w:cs="Arial"/>
          <w:color w:val="000000" w:themeColor="text1"/>
        </w:rPr>
        <w:t xml:space="preserve"> </w:t>
      </w:r>
      <w:r w:rsidR="000405D4" w:rsidRPr="00D64CCF">
        <w:rPr>
          <w:rFonts w:ascii="Palatino Linotype" w:eastAsia="Calibri" w:hAnsi="Palatino Linotype" w:cs="Arial"/>
          <w:color w:val="000000" w:themeColor="text1"/>
        </w:rPr>
        <w:t xml:space="preserve">siete (07), ocho (08), nueve (09) y diez (10) de marzo </w:t>
      </w:r>
      <w:r w:rsidR="0007342C" w:rsidRPr="00D64CCF">
        <w:rPr>
          <w:rFonts w:ascii="Palatino Linotype" w:eastAsia="Calibri" w:hAnsi="Palatino Linotype" w:cs="Arial"/>
          <w:color w:val="000000" w:themeColor="text1"/>
        </w:rPr>
        <w:t>de dos mil veintidós</w:t>
      </w:r>
      <w:r w:rsidR="006C2185" w:rsidRPr="00D64CCF">
        <w:rPr>
          <w:rFonts w:ascii="Palatino Linotype" w:eastAsia="Calibri" w:hAnsi="Palatino Linotype" w:cs="Arial"/>
          <w:color w:val="000000" w:themeColor="text1"/>
        </w:rPr>
        <w:t>, pusieron</w:t>
      </w:r>
      <w:r w:rsidR="00EA0165" w:rsidRPr="00D64CCF">
        <w:rPr>
          <w:rFonts w:ascii="Palatino Linotype" w:eastAsia="Calibri" w:hAnsi="Palatino Linotype" w:cs="Arial"/>
          <w:color w:val="000000" w:themeColor="text1"/>
        </w:rPr>
        <w:t xml:space="preserve"> a disposición de las partes el expediente electrónico </w:t>
      </w:r>
      <w:r w:rsidR="00EA0165" w:rsidRPr="00D64CCF">
        <w:rPr>
          <w:rFonts w:ascii="Palatino Linotype" w:eastAsia="Calibri" w:hAnsi="Palatino Linotype" w:cs="Arial"/>
          <w:color w:val="000000" w:themeColor="text1"/>
          <w:lang w:val="es-ES_tradnl"/>
        </w:rPr>
        <w:t xml:space="preserve">vía </w:t>
      </w:r>
      <w:r w:rsidR="00EA0165" w:rsidRPr="00D64CCF">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D64CCF">
        <w:rPr>
          <w:rFonts w:ascii="Palatino Linotype" w:eastAsia="Calibri" w:hAnsi="Palatino Linotype" w:cs="Arial"/>
          <w:b/>
          <w:color w:val="000000" w:themeColor="text1"/>
        </w:rPr>
        <w:t>SUJETO OBLIGADO</w:t>
      </w:r>
      <w:r w:rsidR="00EA0165" w:rsidRPr="00D64CCF">
        <w:rPr>
          <w:rFonts w:ascii="Palatino Linotype" w:eastAsia="Calibri" w:hAnsi="Palatino Linotype" w:cs="Arial"/>
          <w:color w:val="000000" w:themeColor="text1"/>
        </w:rPr>
        <w:t xml:space="preserve"> presentara el</w:t>
      </w:r>
      <w:r w:rsidR="00266490" w:rsidRPr="00D64CCF">
        <w:rPr>
          <w:rFonts w:ascii="Palatino Linotype" w:eastAsia="Calibri" w:hAnsi="Palatino Linotype" w:cs="Arial"/>
          <w:color w:val="000000" w:themeColor="text1"/>
        </w:rPr>
        <w:t xml:space="preserve"> </w:t>
      </w:r>
      <w:r w:rsidR="000B2704" w:rsidRPr="00D64CCF">
        <w:rPr>
          <w:rFonts w:ascii="Palatino Linotype" w:eastAsia="Calibri" w:hAnsi="Palatino Linotype" w:cs="Arial"/>
          <w:color w:val="000000" w:themeColor="text1"/>
        </w:rPr>
        <w:t>informe justificado procedente.</w:t>
      </w:r>
    </w:p>
    <w:p w14:paraId="1F90FCC7" w14:textId="77777777" w:rsidR="000B2704" w:rsidRPr="00D64CCF" w:rsidRDefault="000B2704" w:rsidP="009D6075">
      <w:pPr>
        <w:pStyle w:val="Prrafodelista"/>
        <w:spacing w:line="360" w:lineRule="auto"/>
        <w:rPr>
          <w:rFonts w:ascii="Palatino Linotype" w:eastAsia="Calibri" w:hAnsi="Palatino Linotype" w:cs="Arial"/>
          <w:b/>
          <w:color w:val="000000" w:themeColor="text1"/>
        </w:rPr>
      </w:pPr>
    </w:p>
    <w:p w14:paraId="1D7C2044" w14:textId="613E26E9" w:rsidR="00FB3CDC" w:rsidRPr="00D64CCF" w:rsidRDefault="002D03A1" w:rsidP="009D6075">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b/>
          <w:color w:val="000000" w:themeColor="text1"/>
        </w:rPr>
      </w:pPr>
      <w:r w:rsidRPr="00D64CCF">
        <w:rPr>
          <w:rFonts w:ascii="Palatino Linotype" w:eastAsia="Calibri" w:hAnsi="Palatino Linotype" w:cs="Arial"/>
          <w:color w:val="000000" w:themeColor="text1"/>
        </w:rPr>
        <w:t xml:space="preserve">De las constancias que obran en el expediente electrónico del </w:t>
      </w:r>
      <w:r w:rsidRPr="00D64CCF">
        <w:rPr>
          <w:rFonts w:ascii="Palatino Linotype" w:eastAsia="Calibri" w:hAnsi="Palatino Linotype" w:cs="Arial"/>
          <w:b/>
          <w:color w:val="000000" w:themeColor="text1"/>
        </w:rPr>
        <w:t>SAIMEX</w:t>
      </w:r>
      <w:r w:rsidRPr="00D64CCF">
        <w:rPr>
          <w:rFonts w:ascii="Palatino Linotype" w:eastAsia="Calibri" w:hAnsi="Palatino Linotype" w:cs="Arial"/>
          <w:color w:val="000000" w:themeColor="text1"/>
        </w:rPr>
        <w:t xml:space="preserve">, se aprecia que el </w:t>
      </w:r>
      <w:r w:rsidRPr="00D64CCF">
        <w:rPr>
          <w:rFonts w:ascii="Palatino Linotype" w:eastAsia="Calibri" w:hAnsi="Palatino Linotype" w:cs="Arial"/>
          <w:b/>
          <w:color w:val="000000" w:themeColor="text1"/>
        </w:rPr>
        <w:t>SUJETO OBLIGADO</w:t>
      </w:r>
      <w:r w:rsidR="00977B95" w:rsidRPr="00D64CCF">
        <w:rPr>
          <w:rFonts w:ascii="Palatino Linotype" w:eastAsia="Calibri" w:hAnsi="Palatino Linotype" w:cs="Arial"/>
          <w:b/>
          <w:color w:val="000000" w:themeColor="text1"/>
        </w:rPr>
        <w:t>,</w:t>
      </w:r>
      <w:r w:rsidRPr="00D64CCF">
        <w:rPr>
          <w:rFonts w:ascii="Palatino Linotype" w:eastAsia="Calibri" w:hAnsi="Palatino Linotype" w:cs="Arial"/>
          <w:color w:val="000000" w:themeColor="text1"/>
        </w:rPr>
        <w:t xml:space="preserve"> rindió informe justificado</w:t>
      </w:r>
      <w:r w:rsidR="00965297" w:rsidRPr="00D64CCF">
        <w:rPr>
          <w:rFonts w:ascii="Palatino Linotype" w:eastAsia="Calibri" w:hAnsi="Palatino Linotype" w:cs="Arial"/>
          <w:color w:val="000000" w:themeColor="text1"/>
        </w:rPr>
        <w:t xml:space="preserve"> en los mismos términos en todos los recursos de revisión</w:t>
      </w:r>
      <w:r w:rsidRPr="00D64CCF">
        <w:rPr>
          <w:rFonts w:ascii="Palatino Linotype" w:eastAsia="Calibri" w:hAnsi="Palatino Linotype" w:cs="Arial"/>
          <w:color w:val="000000" w:themeColor="text1"/>
        </w:rPr>
        <w:t>, el cual contiene lo siguiente:</w:t>
      </w:r>
    </w:p>
    <w:p w14:paraId="18071796" w14:textId="66816B64" w:rsidR="0026451B" w:rsidRPr="00D64CCF" w:rsidRDefault="000907D4" w:rsidP="00965297">
      <w:pPr>
        <w:pStyle w:val="Prrafodelista"/>
        <w:tabs>
          <w:tab w:val="left" w:pos="567"/>
          <w:tab w:val="left" w:pos="851"/>
        </w:tabs>
        <w:spacing w:line="360" w:lineRule="auto"/>
        <w:ind w:left="567"/>
        <w:contextualSpacing/>
        <w:jc w:val="both"/>
        <w:rPr>
          <w:rFonts w:ascii="Palatino Linotype" w:eastAsia="Calibri" w:hAnsi="Palatino Linotype" w:cs="Arial"/>
          <w:b/>
          <w:color w:val="000000" w:themeColor="text1"/>
          <w:u w:val="single"/>
        </w:rPr>
      </w:pPr>
      <w:r w:rsidRPr="00D64CCF">
        <w:rPr>
          <w:rFonts w:ascii="Palatino Linotype" w:eastAsia="Calibri" w:hAnsi="Palatino Linotype" w:cs="Arial"/>
          <w:color w:val="000000" w:themeColor="text1"/>
        </w:rPr>
        <w:lastRenderedPageBreak/>
        <w:t>Documento que consta de once (11) fojas</w:t>
      </w:r>
      <w:r w:rsidR="001D0368" w:rsidRPr="00D64CCF">
        <w:rPr>
          <w:rFonts w:ascii="Palatino Linotype" w:eastAsia="Calibri" w:hAnsi="Palatino Linotype" w:cs="Arial"/>
          <w:color w:val="000000" w:themeColor="text1"/>
        </w:rPr>
        <w:t>, refiriendo</w:t>
      </w:r>
      <w:r w:rsidR="0026451B" w:rsidRPr="00D64CCF">
        <w:rPr>
          <w:rFonts w:ascii="Palatino Linotype" w:eastAsia="Calibri" w:hAnsi="Palatino Linotype" w:cs="Arial"/>
          <w:color w:val="000000" w:themeColor="text1"/>
        </w:rPr>
        <w:t xml:space="preserve"> que </w:t>
      </w:r>
      <w:r w:rsidR="00FB3CDC" w:rsidRPr="00D64CCF">
        <w:rPr>
          <w:rFonts w:ascii="Palatino Linotype" w:eastAsia="Calibri" w:hAnsi="Palatino Linotype" w:cs="Arial"/>
          <w:color w:val="000000" w:themeColor="text1"/>
        </w:rPr>
        <w:t>sobrepasan las capacidades técnica</w:t>
      </w:r>
      <w:r w:rsidR="00265735" w:rsidRPr="00D64CCF">
        <w:rPr>
          <w:rFonts w:ascii="Palatino Linotype" w:eastAsia="Calibri" w:hAnsi="Palatino Linotype" w:cs="Arial"/>
          <w:color w:val="000000" w:themeColor="text1"/>
        </w:rPr>
        <w:t>s</w:t>
      </w:r>
      <w:r w:rsidR="00FB3CDC" w:rsidRPr="00D64CCF">
        <w:rPr>
          <w:rFonts w:ascii="Palatino Linotype" w:eastAsia="Calibri" w:hAnsi="Palatino Linotype" w:cs="Arial"/>
          <w:color w:val="000000" w:themeColor="text1"/>
        </w:rPr>
        <w:t xml:space="preserve">, administrativas y humanas del Sujeto Obligado, </w:t>
      </w:r>
      <w:r w:rsidR="00FE08B2" w:rsidRPr="00D64CCF">
        <w:rPr>
          <w:rFonts w:ascii="Palatino Linotype" w:eastAsia="Calibri" w:hAnsi="Palatino Linotype" w:cs="Arial"/>
          <w:color w:val="000000" w:themeColor="text1"/>
        </w:rPr>
        <w:t xml:space="preserve">derivado del número excesivo de solicitudes de acceso a la información, </w:t>
      </w:r>
      <w:r w:rsidR="00FB3CDC" w:rsidRPr="00D64CCF">
        <w:rPr>
          <w:rFonts w:ascii="Palatino Linotype" w:eastAsia="Calibri" w:hAnsi="Palatino Linotype" w:cs="Arial"/>
          <w:color w:val="000000" w:themeColor="text1"/>
        </w:rPr>
        <w:t xml:space="preserve">por lo que se solicita sobreseer </w:t>
      </w:r>
      <w:r w:rsidR="00265735" w:rsidRPr="00D64CCF">
        <w:rPr>
          <w:rFonts w:ascii="Palatino Linotype" w:eastAsia="Calibri" w:hAnsi="Palatino Linotype" w:cs="Arial"/>
          <w:color w:val="000000" w:themeColor="text1"/>
        </w:rPr>
        <w:t xml:space="preserve">los </w:t>
      </w:r>
      <w:r w:rsidR="00FB3CDC" w:rsidRPr="00D64CCF">
        <w:rPr>
          <w:rFonts w:ascii="Palatino Linotype" w:eastAsia="Calibri" w:hAnsi="Palatino Linotype" w:cs="Arial"/>
          <w:color w:val="000000" w:themeColor="text1"/>
        </w:rPr>
        <w:t>recurso</w:t>
      </w:r>
      <w:r w:rsidR="00265735" w:rsidRPr="00D64CCF">
        <w:rPr>
          <w:rFonts w:ascii="Palatino Linotype" w:eastAsia="Calibri" w:hAnsi="Palatino Linotype" w:cs="Arial"/>
          <w:color w:val="000000" w:themeColor="text1"/>
        </w:rPr>
        <w:t>s</w:t>
      </w:r>
      <w:r w:rsidR="00FB3CDC" w:rsidRPr="00D64CCF">
        <w:rPr>
          <w:rFonts w:ascii="Palatino Linotype" w:eastAsia="Calibri" w:hAnsi="Palatino Linotype" w:cs="Arial"/>
          <w:color w:val="000000" w:themeColor="text1"/>
        </w:rPr>
        <w:t xml:space="preserve"> </w:t>
      </w:r>
      <w:r w:rsidR="00265735" w:rsidRPr="00D64CCF">
        <w:rPr>
          <w:rFonts w:ascii="Palatino Linotype" w:eastAsia="Calibri" w:hAnsi="Palatino Linotype" w:cs="Arial"/>
          <w:color w:val="000000" w:themeColor="text1"/>
        </w:rPr>
        <w:t>de revisión.</w:t>
      </w:r>
    </w:p>
    <w:p w14:paraId="56FC5111" w14:textId="77777777" w:rsidR="00FE08B2" w:rsidRPr="00D64CCF" w:rsidRDefault="00FE08B2" w:rsidP="009D6075">
      <w:pPr>
        <w:pStyle w:val="Prrafodelista"/>
        <w:tabs>
          <w:tab w:val="left" w:pos="567"/>
          <w:tab w:val="left" w:pos="851"/>
        </w:tabs>
        <w:spacing w:line="360" w:lineRule="auto"/>
        <w:ind w:left="567"/>
        <w:contextualSpacing/>
        <w:jc w:val="both"/>
        <w:rPr>
          <w:rFonts w:ascii="Palatino Linotype" w:eastAsia="Calibri" w:hAnsi="Palatino Linotype" w:cs="Arial"/>
          <w:b/>
          <w:color w:val="000000" w:themeColor="text1"/>
          <w:u w:val="single"/>
        </w:rPr>
      </w:pPr>
    </w:p>
    <w:p w14:paraId="03C580BE" w14:textId="735EFAFB" w:rsidR="008F31E8" w:rsidRPr="00D64CCF" w:rsidRDefault="00F45BAA" w:rsidP="00920032">
      <w:pPr>
        <w:pStyle w:val="Prrafodelista"/>
        <w:numPr>
          <w:ilvl w:val="0"/>
          <w:numId w:val="11"/>
        </w:numPr>
        <w:tabs>
          <w:tab w:val="left" w:pos="0"/>
          <w:tab w:val="left" w:pos="426"/>
          <w:tab w:val="left" w:pos="567"/>
          <w:tab w:val="left" w:pos="851"/>
        </w:tabs>
        <w:spacing w:before="240" w:after="240" w:line="360" w:lineRule="auto"/>
        <w:ind w:left="426" w:right="49" w:firstLine="0"/>
        <w:contextualSpacing/>
        <w:jc w:val="both"/>
        <w:rPr>
          <w:rFonts w:ascii="Palatino Linotype" w:hAnsi="Palatino Linotype" w:cs="Arial"/>
          <w:lang w:val="es-ES_tradnl"/>
        </w:rPr>
      </w:pPr>
      <w:r w:rsidRPr="00D64CCF">
        <w:rPr>
          <w:rFonts w:ascii="Palatino Linotype" w:eastAsia="Calibri" w:hAnsi="Palatino Linotype" w:cs="Arial"/>
          <w:b/>
          <w:color w:val="000000" w:themeColor="text1"/>
          <w:u w:val="single"/>
        </w:rPr>
        <w:t>Anexo 1.pdf</w:t>
      </w:r>
      <w:r w:rsidRPr="00D64CCF">
        <w:rPr>
          <w:rFonts w:ascii="Palatino Linotype" w:eastAsia="Calibri" w:hAnsi="Palatino Linotype" w:cs="Arial"/>
          <w:color w:val="000000" w:themeColor="text1"/>
        </w:rPr>
        <w:t>:</w:t>
      </w:r>
      <w:r w:rsidRPr="00D64CCF">
        <w:rPr>
          <w:rFonts w:ascii="Palatino Linotype" w:hAnsi="Palatino Linotype"/>
        </w:rPr>
        <w:t xml:space="preserve"> </w:t>
      </w:r>
      <w:r w:rsidRPr="00D64CCF">
        <w:rPr>
          <w:rFonts w:ascii="Palatino Linotype" w:eastAsia="Calibri" w:hAnsi="Palatino Linotype" w:cs="Arial"/>
          <w:color w:val="000000" w:themeColor="text1"/>
        </w:rPr>
        <w:t>Correspond</w:t>
      </w:r>
      <w:r w:rsidR="008F31E8" w:rsidRPr="00D64CCF">
        <w:rPr>
          <w:rFonts w:ascii="Palatino Linotype" w:eastAsia="Calibri" w:hAnsi="Palatino Linotype" w:cs="Arial"/>
          <w:color w:val="000000" w:themeColor="text1"/>
        </w:rPr>
        <w:t>e al oficio número DA/0763/2022, mediante el cual hace del conocimiento que 198 solicitudes de acceso a la información, referidas en un listado versan sobre una misma función “funciones y atribuciones”, considerando pertinente la acumulación.</w:t>
      </w:r>
      <w:r w:rsidR="00396A66" w:rsidRPr="00D64CCF">
        <w:rPr>
          <w:rFonts w:ascii="Palatino Linotype" w:eastAsia="Calibri" w:hAnsi="Palatino Linotype" w:cs="Arial"/>
          <w:color w:val="000000" w:themeColor="text1"/>
        </w:rPr>
        <w:t xml:space="preserve"> Asimismo, </w:t>
      </w:r>
      <w:r w:rsidR="008F31E8" w:rsidRPr="00D64CCF">
        <w:rPr>
          <w:rFonts w:ascii="Palatino Linotype" w:hAnsi="Palatino Linotype" w:cs="Arial"/>
          <w:lang w:val="es-ES_tradnl"/>
        </w:rPr>
        <w:t xml:space="preserve">refiere que el documento donde "se da cuenta" o lo que es lo mismo, donde se notifica, advierten o se hacen saber las funciones y atribuciones que señala el ciudadano se encuentran previstas </w:t>
      </w:r>
      <w:r w:rsidR="00265735" w:rsidRPr="00D64CCF">
        <w:rPr>
          <w:rFonts w:ascii="Palatino Linotype" w:hAnsi="Palatino Linotype" w:cs="Arial"/>
          <w:lang w:val="es-ES_tradnl"/>
        </w:rPr>
        <w:t xml:space="preserve">en el Código de Reglamentación </w:t>
      </w:r>
      <w:r w:rsidR="008F31E8" w:rsidRPr="00D64CCF">
        <w:rPr>
          <w:rFonts w:ascii="Palatino Linotype" w:hAnsi="Palatino Linotype" w:cs="Arial"/>
          <w:lang w:val="es-ES_tradnl"/>
        </w:rPr>
        <w:t xml:space="preserve">Municipal de Metepec, Estado de México. </w:t>
      </w:r>
      <w:r w:rsidR="00396A66" w:rsidRPr="00D64CCF">
        <w:rPr>
          <w:rFonts w:ascii="Palatino Linotype" w:hAnsi="Palatino Linotype" w:cs="Arial"/>
          <w:lang w:val="es-ES_tradnl"/>
        </w:rPr>
        <w:t>Indica</w:t>
      </w:r>
      <w:r w:rsidR="008F31E8" w:rsidRPr="00D64CCF">
        <w:rPr>
          <w:rFonts w:ascii="Palatino Linotype" w:hAnsi="Palatino Linotype" w:cs="Arial"/>
          <w:lang w:val="es-ES_tradnl"/>
        </w:rPr>
        <w:t xml:space="preserve"> que a la fecha seguía vigente el documento en comento del año inmediato anterior y el ciudadano podrá consultarlo en el siguiente link:</w:t>
      </w:r>
    </w:p>
    <w:p w14:paraId="1DCF52C4" w14:textId="0179A0A3" w:rsidR="00265735" w:rsidRPr="00D64CCF" w:rsidRDefault="008F31E8" w:rsidP="00265735">
      <w:pPr>
        <w:pStyle w:val="Prrafodelista"/>
        <w:spacing w:line="360" w:lineRule="auto"/>
        <w:rPr>
          <w:rFonts w:ascii="Palatino Linotype" w:hAnsi="Palatino Linotype" w:cs="Arial"/>
          <w:lang w:val="es-ES_tradnl"/>
        </w:rPr>
      </w:pPr>
      <w:r w:rsidRPr="00D64CCF">
        <w:rPr>
          <w:rFonts w:ascii="Palatino Linotype" w:hAnsi="Palatino Linotype" w:cs="Arial"/>
          <w:lang w:val="es-ES_tradnl"/>
        </w:rPr>
        <w:t>Archivo Municipal (metepec.gob, mx)</w:t>
      </w:r>
    </w:p>
    <w:p w14:paraId="634EE93F" w14:textId="77777777" w:rsidR="00F45BAA" w:rsidRPr="00D64CCF" w:rsidRDefault="00F45BAA" w:rsidP="009D6075">
      <w:pPr>
        <w:tabs>
          <w:tab w:val="left" w:pos="0"/>
          <w:tab w:val="left" w:pos="851"/>
        </w:tabs>
        <w:spacing w:line="360" w:lineRule="auto"/>
        <w:ind w:left="567"/>
        <w:contextualSpacing/>
        <w:jc w:val="both"/>
        <w:rPr>
          <w:rFonts w:ascii="Palatino Linotype" w:eastAsia="Calibri" w:hAnsi="Palatino Linotype" w:cs="Arial"/>
          <w:color w:val="000000" w:themeColor="text1"/>
          <w:u w:val="single"/>
        </w:rPr>
      </w:pPr>
    </w:p>
    <w:p w14:paraId="58D7FAC8" w14:textId="54215C47" w:rsidR="002D03A1" w:rsidRPr="00D64CCF" w:rsidRDefault="002D03A1" w:rsidP="009D6075">
      <w:pPr>
        <w:pStyle w:val="Prrafodelista"/>
        <w:numPr>
          <w:ilvl w:val="0"/>
          <w:numId w:val="1"/>
        </w:numPr>
        <w:tabs>
          <w:tab w:val="left" w:pos="567"/>
        </w:tabs>
        <w:spacing w:line="360" w:lineRule="auto"/>
        <w:ind w:left="0" w:firstLine="0"/>
        <w:contextualSpacing/>
        <w:jc w:val="both"/>
        <w:rPr>
          <w:rFonts w:ascii="Palatino Linotype" w:eastAsia="Calibri" w:hAnsi="Palatino Linotype" w:cs="Arial"/>
          <w:b/>
          <w:color w:val="000000" w:themeColor="text1"/>
        </w:rPr>
      </w:pPr>
      <w:r w:rsidRPr="00D64CCF">
        <w:rPr>
          <w:rFonts w:ascii="Palatino Linotype" w:eastAsia="Calibri" w:hAnsi="Palatino Linotype" w:cs="Arial"/>
          <w:color w:val="000000" w:themeColor="text1"/>
        </w:rPr>
        <w:t xml:space="preserve">Por su parte </w:t>
      </w:r>
      <w:r w:rsidRPr="00D64CCF">
        <w:rPr>
          <w:rFonts w:ascii="Palatino Linotype" w:eastAsia="Calibri" w:hAnsi="Palatino Linotype" w:cs="Arial"/>
        </w:rPr>
        <w:t xml:space="preserve">el </w:t>
      </w:r>
      <w:r w:rsidRPr="00D64CCF">
        <w:rPr>
          <w:rFonts w:ascii="Palatino Linotype" w:eastAsia="Calibri" w:hAnsi="Palatino Linotype" w:cs="Arial"/>
          <w:b/>
        </w:rPr>
        <w:t>RECURRENTE</w:t>
      </w:r>
      <w:r w:rsidRPr="00D64CCF">
        <w:rPr>
          <w:rFonts w:ascii="Palatino Linotype" w:eastAsia="Calibri" w:hAnsi="Palatino Linotype" w:cs="Arial"/>
        </w:rPr>
        <w:t xml:space="preserve"> no realizó manifestaciones, ni ofreció pruebas o alegatos que a su derecho convinieran. </w:t>
      </w:r>
    </w:p>
    <w:p w14:paraId="1EDDE391" w14:textId="77777777" w:rsidR="002D03A1" w:rsidRPr="00D64CCF" w:rsidRDefault="002D03A1" w:rsidP="009D6075">
      <w:pPr>
        <w:pStyle w:val="Prrafodelista"/>
        <w:tabs>
          <w:tab w:val="left" w:pos="567"/>
        </w:tabs>
        <w:spacing w:line="360" w:lineRule="auto"/>
        <w:ind w:left="0"/>
        <w:contextualSpacing/>
        <w:jc w:val="both"/>
        <w:rPr>
          <w:rFonts w:ascii="Palatino Linotype" w:eastAsia="Calibri" w:hAnsi="Palatino Linotype" w:cs="Arial"/>
          <w:b/>
          <w:color w:val="000000" w:themeColor="text1"/>
        </w:rPr>
      </w:pPr>
    </w:p>
    <w:p w14:paraId="13107460" w14:textId="781DF840" w:rsidR="00074F21" w:rsidRPr="00D64CCF" w:rsidRDefault="0007342C" w:rsidP="009D6075">
      <w:pPr>
        <w:pStyle w:val="Prrafodelista"/>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bookmarkStart w:id="4" w:name="_Toc461555889"/>
      <w:bookmarkStart w:id="5" w:name="_Toc466371858"/>
      <w:bookmarkStart w:id="6" w:name="_Toc68804758"/>
      <w:r w:rsidRPr="00D64CCF">
        <w:rPr>
          <w:rFonts w:ascii="Palatino Linotype" w:eastAsiaTheme="minorEastAsia" w:hAnsi="Palatino Linotype" w:cstheme="minorBidi"/>
          <w:color w:val="000000" w:themeColor="text1"/>
          <w:lang w:val="es-MX"/>
        </w:rPr>
        <w:t xml:space="preserve">El </w:t>
      </w:r>
      <w:r w:rsidR="002D03A1" w:rsidRPr="00D64CCF">
        <w:rPr>
          <w:rFonts w:ascii="Palatino Linotype" w:eastAsiaTheme="minorEastAsia" w:hAnsi="Palatino Linotype" w:cstheme="minorBidi"/>
          <w:color w:val="000000" w:themeColor="text1"/>
          <w:lang w:val="es-MX"/>
        </w:rPr>
        <w:t xml:space="preserve">nueve (09) de diciembre de dos mil veintidós </w:t>
      </w:r>
      <w:r w:rsidR="00272C04" w:rsidRPr="00D64CCF">
        <w:rPr>
          <w:rFonts w:ascii="Palatino Linotype" w:eastAsiaTheme="minorEastAsia" w:hAnsi="Palatino Linotype" w:cstheme="minorBidi"/>
          <w:color w:val="000000" w:themeColor="text1"/>
          <w:lang w:val="es-MX"/>
        </w:rPr>
        <w:t>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6050DA3D" w14:textId="162B5F4D" w:rsidR="000A0D59" w:rsidRPr="00D64CCF" w:rsidRDefault="00E03293" w:rsidP="009D6075">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64CCF">
        <w:rPr>
          <w:rFonts w:ascii="Palatino Linotype" w:hAnsi="Palatino Linotype"/>
          <w:lang w:val="es-ES_tradnl" w:eastAsia="en-US"/>
        </w:rPr>
        <w:lastRenderedPageBreak/>
        <w:t>Señalado lo anterior</w:t>
      </w:r>
      <w:r w:rsidR="000A0D59" w:rsidRPr="00D64CCF">
        <w:rPr>
          <w:rFonts w:ascii="Palatino Linotype" w:hAnsi="Palatino Linotype"/>
          <w:lang w:val="es-ES_tradnl" w:eastAsia="en-US"/>
        </w:rPr>
        <w:t>,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8D133D3" w14:textId="77777777" w:rsidR="000A0D59" w:rsidRPr="00D64CCF" w:rsidRDefault="000A0D59" w:rsidP="009D6075">
      <w:pPr>
        <w:spacing w:line="360" w:lineRule="auto"/>
        <w:ind w:left="708"/>
        <w:rPr>
          <w:rFonts w:ascii="Palatino Linotype" w:hAnsi="Palatino Linotype"/>
          <w:lang w:val="es-ES_tradnl" w:eastAsia="en-US"/>
        </w:rPr>
      </w:pPr>
    </w:p>
    <w:p w14:paraId="2CBDDB14" w14:textId="77777777" w:rsidR="000A0D59" w:rsidRPr="00D64CCF" w:rsidRDefault="000A0D59" w:rsidP="009D6075">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64CCF">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A8A554D" w14:textId="77777777" w:rsidR="000A0D59" w:rsidRPr="00D64CCF" w:rsidRDefault="000A0D59" w:rsidP="009D6075">
      <w:pPr>
        <w:spacing w:line="360" w:lineRule="auto"/>
        <w:ind w:left="708"/>
        <w:rPr>
          <w:rFonts w:ascii="Palatino Linotype" w:hAnsi="Palatino Linotype"/>
          <w:lang w:val="es-ES_tradnl" w:eastAsia="en-US"/>
        </w:rPr>
      </w:pPr>
    </w:p>
    <w:p w14:paraId="77F725F0" w14:textId="77777777" w:rsidR="000A0D59" w:rsidRPr="00D64CCF" w:rsidRDefault="000A0D59" w:rsidP="009D6075">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64CCF">
        <w:rPr>
          <w:rFonts w:ascii="Palatino Linotype" w:hAnsi="Palatino Linotype"/>
          <w:lang w:val="es-ES_tradnl"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6684" w14:textId="77777777" w:rsidR="000A0D59" w:rsidRPr="00D64CCF" w:rsidRDefault="000A0D59" w:rsidP="009D6075">
      <w:pPr>
        <w:spacing w:line="360" w:lineRule="auto"/>
        <w:ind w:left="708"/>
        <w:rPr>
          <w:rFonts w:ascii="Palatino Linotype" w:hAnsi="Palatino Linotype"/>
          <w:lang w:val="es-ES_tradnl" w:eastAsia="en-US"/>
        </w:rPr>
      </w:pPr>
    </w:p>
    <w:p w14:paraId="02A4B963" w14:textId="77777777" w:rsidR="000A0D59" w:rsidRPr="00D64CCF" w:rsidRDefault="000A0D59" w:rsidP="009D6075">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64CCF">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w:t>
      </w:r>
      <w:r w:rsidRPr="00D64CCF">
        <w:rPr>
          <w:rFonts w:ascii="Palatino Linotype" w:hAnsi="Palatino Linotype"/>
          <w:lang w:val="es-ES_tradnl" w:eastAsia="en-US"/>
        </w:rPr>
        <w:lastRenderedPageBreak/>
        <w:t xml:space="preserve">órganos jurisdiccionales o cuasi jurisdiccionales, tanto por la complejidad de los hechos, como por el número de casos que conocen. </w:t>
      </w:r>
    </w:p>
    <w:p w14:paraId="0468BFDE" w14:textId="77777777" w:rsidR="000A0D59" w:rsidRPr="00D64CCF" w:rsidRDefault="000A0D59" w:rsidP="009D6075">
      <w:pPr>
        <w:spacing w:line="360" w:lineRule="auto"/>
        <w:ind w:left="708"/>
        <w:rPr>
          <w:rFonts w:ascii="Palatino Linotype" w:hAnsi="Palatino Linotype"/>
          <w:lang w:val="es-ES_tradnl" w:eastAsia="en-US"/>
        </w:rPr>
      </w:pPr>
    </w:p>
    <w:p w14:paraId="41956445" w14:textId="77777777" w:rsidR="000A0D59" w:rsidRPr="00D64CCF" w:rsidRDefault="000A0D59" w:rsidP="009D6075">
      <w:pPr>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64CCF">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1B347384" w14:textId="77777777" w:rsidR="000A0D59" w:rsidRPr="00D64CCF" w:rsidRDefault="000A0D59" w:rsidP="009D6075">
      <w:pPr>
        <w:spacing w:line="360" w:lineRule="auto"/>
        <w:rPr>
          <w:rFonts w:ascii="Palatino Linotype" w:hAnsi="Palatino Linotype"/>
          <w:lang w:val="es-ES_tradnl" w:eastAsia="en-US"/>
        </w:rPr>
      </w:pPr>
    </w:p>
    <w:p w14:paraId="18DEEA7C" w14:textId="77777777" w:rsidR="001F157E" w:rsidRPr="00D64CCF" w:rsidRDefault="000A0D59" w:rsidP="009D6075">
      <w:pPr>
        <w:pStyle w:val="Prrafodelista"/>
        <w:numPr>
          <w:ilvl w:val="0"/>
          <w:numId w:val="3"/>
        </w:numPr>
        <w:spacing w:line="360" w:lineRule="auto"/>
        <w:ind w:left="567" w:right="1134" w:firstLine="0"/>
        <w:jc w:val="both"/>
        <w:rPr>
          <w:rFonts w:ascii="Palatino Linotype" w:hAnsi="Palatino Linotype"/>
          <w:b/>
          <w:lang w:val="es-MX" w:eastAsia="en-US"/>
        </w:rPr>
      </w:pPr>
      <w:r w:rsidRPr="00D64CCF">
        <w:rPr>
          <w:rFonts w:ascii="Palatino Linotype" w:hAnsi="Palatino Linotype"/>
          <w:b/>
          <w:lang w:val="es-MX" w:eastAsia="en-US"/>
        </w:rPr>
        <w:t xml:space="preserve">Complejidad del Asunto: La complejidad de la prueba, la pluralidad de sujetos procesales, el tiempo transcurrido, las características y contexto del recurso. </w:t>
      </w:r>
    </w:p>
    <w:p w14:paraId="01EC6019" w14:textId="77777777" w:rsidR="001F157E" w:rsidRPr="00D64CCF" w:rsidRDefault="000A0D59" w:rsidP="009D6075">
      <w:pPr>
        <w:pStyle w:val="Prrafodelista"/>
        <w:numPr>
          <w:ilvl w:val="0"/>
          <w:numId w:val="3"/>
        </w:numPr>
        <w:spacing w:line="360" w:lineRule="auto"/>
        <w:ind w:left="567" w:right="1134" w:firstLine="0"/>
        <w:jc w:val="both"/>
        <w:rPr>
          <w:rFonts w:ascii="Palatino Linotype" w:hAnsi="Palatino Linotype"/>
          <w:b/>
          <w:lang w:val="es-MX" w:eastAsia="en-US"/>
        </w:rPr>
      </w:pPr>
      <w:r w:rsidRPr="00D64CCF">
        <w:rPr>
          <w:rFonts w:ascii="Palatino Linotype" w:hAnsi="Palatino Linotype"/>
          <w:b/>
          <w:lang w:val="es-MX" w:eastAsia="en-US"/>
        </w:rPr>
        <w:t>Actividad Procesal del interesado. Acciones u omisiones del interesado.</w:t>
      </w:r>
    </w:p>
    <w:p w14:paraId="740FA45D" w14:textId="642F503C" w:rsidR="000A0D59" w:rsidRPr="00D64CCF" w:rsidRDefault="000A0D59" w:rsidP="009D6075">
      <w:pPr>
        <w:pStyle w:val="Prrafodelista"/>
        <w:numPr>
          <w:ilvl w:val="0"/>
          <w:numId w:val="3"/>
        </w:numPr>
        <w:spacing w:line="360" w:lineRule="auto"/>
        <w:ind w:left="567" w:right="1134" w:firstLine="0"/>
        <w:jc w:val="both"/>
        <w:rPr>
          <w:rFonts w:ascii="Palatino Linotype" w:hAnsi="Palatino Linotype"/>
          <w:b/>
          <w:lang w:val="es-MX" w:eastAsia="en-US"/>
        </w:rPr>
      </w:pPr>
      <w:r w:rsidRPr="00D64CCF">
        <w:rPr>
          <w:rFonts w:ascii="Palatino Linotype" w:hAnsi="Palatino Linotype"/>
          <w:b/>
          <w:lang w:val="es-MX" w:eastAsia="en-US"/>
        </w:rPr>
        <w:t>Conducta de la Autoridad: Las Acciones u omisiones realizadas en el procedimiento. Así como si la autoridad actuó con la debida diligencia.</w:t>
      </w:r>
    </w:p>
    <w:p w14:paraId="17216E1C" w14:textId="77777777" w:rsidR="000A0D59" w:rsidRPr="00D64CCF" w:rsidRDefault="000A0D59" w:rsidP="009D6075">
      <w:pPr>
        <w:spacing w:line="360" w:lineRule="auto"/>
        <w:ind w:left="567" w:right="1134"/>
        <w:jc w:val="both"/>
        <w:rPr>
          <w:rFonts w:ascii="Palatino Linotype" w:hAnsi="Palatino Linotype"/>
          <w:b/>
          <w:lang w:val="es-MX" w:eastAsia="en-US"/>
        </w:rPr>
      </w:pPr>
    </w:p>
    <w:p w14:paraId="7889F86B" w14:textId="66FBDAAD" w:rsidR="000A0D59" w:rsidRPr="00D64CCF" w:rsidRDefault="000A0D59" w:rsidP="009D6075">
      <w:pPr>
        <w:spacing w:line="360" w:lineRule="auto"/>
        <w:ind w:left="567" w:right="1134"/>
        <w:jc w:val="both"/>
        <w:rPr>
          <w:rFonts w:ascii="Palatino Linotype" w:hAnsi="Palatino Linotype"/>
          <w:b/>
          <w:lang w:val="es-ES_tradnl" w:eastAsia="en-US"/>
        </w:rPr>
      </w:pPr>
      <w:r w:rsidRPr="00D64CCF">
        <w:rPr>
          <w:rFonts w:ascii="Palatino Linotype" w:hAnsi="Palatino Linotype"/>
          <w:b/>
          <w:lang w:val="es-ES_tradnl" w:eastAsia="en-US"/>
        </w:rPr>
        <w:t xml:space="preserve">d) </w:t>
      </w:r>
      <w:r w:rsidR="00977B95" w:rsidRPr="00D64CCF">
        <w:rPr>
          <w:rFonts w:ascii="Palatino Linotype" w:hAnsi="Palatino Linotype"/>
          <w:b/>
          <w:lang w:val="es-ES_tradnl" w:eastAsia="en-US"/>
        </w:rPr>
        <w:t xml:space="preserve">        </w:t>
      </w:r>
      <w:r w:rsidRPr="00D64CCF">
        <w:rPr>
          <w:rFonts w:ascii="Palatino Linotype" w:hAnsi="Palatino Linotype"/>
          <w:b/>
          <w:lang w:val="es-ES_tradnl" w:eastAsia="en-US"/>
        </w:rPr>
        <w:t>La afectación generada en la situación jurídica de la persona involucrada en el proceso: Violación a sus derechos humanos.</w:t>
      </w:r>
    </w:p>
    <w:p w14:paraId="600C0F50" w14:textId="77777777" w:rsidR="000A0D59" w:rsidRPr="00D64CCF" w:rsidRDefault="000A0D59" w:rsidP="009D6075">
      <w:pPr>
        <w:spacing w:line="360" w:lineRule="auto"/>
        <w:rPr>
          <w:rFonts w:ascii="Palatino Linotype" w:hAnsi="Palatino Linotype"/>
          <w:lang w:val="es-ES_tradnl" w:eastAsia="en-US"/>
        </w:rPr>
      </w:pPr>
    </w:p>
    <w:p w14:paraId="49B46660" w14:textId="77777777" w:rsidR="000A0D59" w:rsidRPr="00D64CCF" w:rsidRDefault="000A0D59" w:rsidP="009D6075">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64CCF">
        <w:rPr>
          <w:rFonts w:ascii="Palatino Linotype" w:hAnsi="Palatino Linotype"/>
          <w:lang w:val="es-ES_tradnl" w:eastAsia="en-US"/>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D64CCF">
        <w:rPr>
          <w:rFonts w:ascii="Palatino Linotype" w:hAnsi="Palatino Linotype"/>
          <w:lang w:val="es-ES_tradnl" w:eastAsia="en-US"/>
        </w:rPr>
        <w:lastRenderedPageBreak/>
        <w:t>considerarse normal, debe concluirse que es una excluyente de responsabilidad en relación con la actuación del funcionario, como ha acontecido en el caso que nos ocupa.</w:t>
      </w:r>
    </w:p>
    <w:p w14:paraId="28C84373" w14:textId="77777777" w:rsidR="000A0D59" w:rsidRPr="00D64CCF" w:rsidRDefault="000A0D59" w:rsidP="009D6075">
      <w:pPr>
        <w:spacing w:line="360" w:lineRule="auto"/>
        <w:rPr>
          <w:rFonts w:ascii="Palatino Linotype" w:hAnsi="Palatino Linotype"/>
          <w:lang w:val="es-ES_tradnl" w:eastAsia="en-US"/>
        </w:rPr>
      </w:pPr>
    </w:p>
    <w:p w14:paraId="25D04CB3" w14:textId="77777777" w:rsidR="000A0D59" w:rsidRPr="00D64CCF" w:rsidRDefault="000A0D59" w:rsidP="009D6075">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64CCF">
        <w:rPr>
          <w:rFonts w:ascii="Palatino Linotype" w:hAnsi="Palatino Linotype"/>
          <w:lang w:val="es-ES_tradnl" w:eastAsia="en-US"/>
        </w:rPr>
        <w:t xml:space="preserve">Argumento que encuentra sustento en la jurisprudencia P./J. 32/92 emitida por el Pleno de la Suprema Corte de Justicia de la Nación de rubro </w:t>
      </w:r>
      <w:r w:rsidRPr="00D64CCF">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D64CCF">
        <w:rPr>
          <w:rFonts w:ascii="Palatino Linotype" w:hAnsi="Palatino Linotype"/>
          <w:lang w:val="es-ES_tradnl" w:eastAsia="en-US"/>
        </w:rPr>
        <w:t>, visible en la Gaceta del Seminario Judicial de la Federación con el registro digital 205635.</w:t>
      </w:r>
    </w:p>
    <w:p w14:paraId="431B322A" w14:textId="77777777" w:rsidR="000A0D59" w:rsidRPr="00D64CCF" w:rsidRDefault="000A0D59" w:rsidP="009D6075">
      <w:pPr>
        <w:tabs>
          <w:tab w:val="left" w:pos="0"/>
        </w:tabs>
        <w:spacing w:line="360" w:lineRule="auto"/>
        <w:jc w:val="both"/>
        <w:rPr>
          <w:rFonts w:ascii="Palatino Linotype" w:hAnsi="Palatino Linotype"/>
          <w:lang w:val="es-ES_tradnl" w:eastAsia="en-US"/>
        </w:rPr>
      </w:pPr>
    </w:p>
    <w:p w14:paraId="05604583" w14:textId="77777777" w:rsidR="000A0D59" w:rsidRPr="00D64CCF" w:rsidRDefault="000A0D59" w:rsidP="009D6075">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64CCF">
        <w:rPr>
          <w:rFonts w:ascii="Palatino Linotype" w:hAnsi="Palatino Linotype"/>
          <w:lang w:val="es-ES_tradnl"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957544E" w14:textId="77777777" w:rsidR="000A0D59" w:rsidRPr="00D64CCF" w:rsidRDefault="000A0D59" w:rsidP="009D6075">
      <w:pPr>
        <w:tabs>
          <w:tab w:val="left" w:pos="0"/>
        </w:tabs>
        <w:spacing w:line="360" w:lineRule="auto"/>
        <w:jc w:val="both"/>
        <w:rPr>
          <w:rFonts w:ascii="Palatino Linotype" w:hAnsi="Palatino Linotype"/>
          <w:lang w:val="es-ES_tradnl" w:eastAsia="en-US"/>
        </w:rPr>
      </w:pPr>
    </w:p>
    <w:p w14:paraId="064A2A80" w14:textId="77777777" w:rsidR="000A0D59" w:rsidRPr="00D64CCF" w:rsidRDefault="000A0D59" w:rsidP="009D6075">
      <w:pPr>
        <w:numPr>
          <w:ilvl w:val="0"/>
          <w:numId w:val="1"/>
        </w:numPr>
        <w:tabs>
          <w:tab w:val="left" w:pos="0"/>
          <w:tab w:val="left" w:pos="567"/>
        </w:tabs>
        <w:spacing w:line="360" w:lineRule="auto"/>
        <w:ind w:left="0" w:firstLine="0"/>
        <w:jc w:val="both"/>
        <w:rPr>
          <w:rFonts w:ascii="Palatino Linotype" w:hAnsi="Palatino Linotype"/>
          <w:lang w:val="es-ES_tradnl" w:eastAsia="en-US"/>
        </w:rPr>
      </w:pPr>
      <w:r w:rsidRPr="00D64CCF">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664D3522" w14:textId="77777777" w:rsidR="000A0D59" w:rsidRPr="00D64CCF" w:rsidRDefault="000A0D59" w:rsidP="009D6075">
      <w:pPr>
        <w:spacing w:line="360" w:lineRule="auto"/>
        <w:rPr>
          <w:rFonts w:ascii="Palatino Linotype" w:hAnsi="Palatino Linotype"/>
          <w:lang w:val="es-ES_tradnl" w:eastAsia="en-US"/>
        </w:rPr>
      </w:pPr>
    </w:p>
    <w:p w14:paraId="3AFC41E1" w14:textId="77777777" w:rsidR="000A0D59" w:rsidRPr="00D64CCF" w:rsidRDefault="000A0D59" w:rsidP="009D6075">
      <w:pPr>
        <w:numPr>
          <w:ilvl w:val="0"/>
          <w:numId w:val="1"/>
        </w:numPr>
        <w:tabs>
          <w:tab w:val="left" w:pos="567"/>
        </w:tabs>
        <w:spacing w:line="360" w:lineRule="auto"/>
        <w:ind w:left="0" w:firstLine="0"/>
        <w:jc w:val="both"/>
        <w:rPr>
          <w:rFonts w:ascii="Palatino Linotype" w:hAnsi="Palatino Linotype"/>
          <w:lang w:val="es-ES_tradnl" w:eastAsia="en-US"/>
        </w:rPr>
      </w:pPr>
      <w:r w:rsidRPr="00D64CCF">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7A78171F" w14:textId="77777777" w:rsidR="000A0D59" w:rsidRPr="00D64CCF" w:rsidRDefault="000A0D59" w:rsidP="009D6075">
      <w:pPr>
        <w:spacing w:line="360" w:lineRule="auto"/>
        <w:rPr>
          <w:rFonts w:ascii="Palatino Linotype" w:hAnsi="Palatino Linotype"/>
          <w:lang w:val="es-ES_tradnl" w:eastAsia="en-US"/>
        </w:rPr>
      </w:pPr>
    </w:p>
    <w:p w14:paraId="6C1BFDEA" w14:textId="77777777" w:rsidR="000A0D59" w:rsidRPr="00D64CCF" w:rsidRDefault="000A0D59" w:rsidP="009D6075">
      <w:pPr>
        <w:tabs>
          <w:tab w:val="left" w:pos="7938"/>
        </w:tabs>
        <w:spacing w:line="360" w:lineRule="auto"/>
        <w:ind w:left="567" w:right="992"/>
        <w:jc w:val="both"/>
        <w:rPr>
          <w:rFonts w:ascii="Palatino Linotype" w:hAnsi="Palatino Linotype"/>
          <w:i/>
          <w:lang w:val="es-ES_tradnl" w:eastAsia="en-US"/>
        </w:rPr>
      </w:pPr>
      <w:r w:rsidRPr="00D64CCF">
        <w:rPr>
          <w:rFonts w:ascii="Palatino Linotype" w:hAnsi="Palatino Linotype"/>
          <w:lang w:val="es-ES_tradnl" w:eastAsia="en-US"/>
        </w:rPr>
        <w:t xml:space="preserve"> </w:t>
      </w:r>
      <w:r w:rsidRPr="00D64CCF">
        <w:rPr>
          <w:rFonts w:ascii="Palatino Linotype" w:hAnsi="Palatino Linotype"/>
          <w:i/>
          <w:lang w:val="es-ES_tradnl" w:eastAsia="en-US"/>
        </w:rPr>
        <w:t>“</w:t>
      </w:r>
      <w:r w:rsidRPr="00D64CCF">
        <w:rPr>
          <w:rFonts w:ascii="Palatino Linotype" w:hAnsi="Palatino Linotype"/>
          <w:b/>
          <w:i/>
          <w:lang w:val="es-ES_tradnl" w:eastAsia="en-US"/>
        </w:rPr>
        <w:t>PLAZO RAZONABLE PARA RESOLVER. DIMENSIÓN Y EFECTOS DE ESTE CONCEPTO CUANDO SE ADUCE EXCESIVA CARGA DE TRABAJO</w:t>
      </w:r>
      <w:r w:rsidRPr="00D64CCF">
        <w:rPr>
          <w:rFonts w:ascii="Palatino Linotype" w:hAnsi="Palatino Linotype"/>
          <w:i/>
          <w:lang w:val="es-ES_tradnl" w:eastAsia="en-US"/>
        </w:rPr>
        <w:t>.” consultable en el Seminario Judicial de la Federación y su gaceta, con el registro digital 2002351.</w:t>
      </w:r>
    </w:p>
    <w:p w14:paraId="08E8EB61" w14:textId="77777777" w:rsidR="000A0D59" w:rsidRPr="00D64CCF" w:rsidRDefault="000A0D59" w:rsidP="009D6075">
      <w:pPr>
        <w:tabs>
          <w:tab w:val="left" w:pos="7938"/>
        </w:tabs>
        <w:spacing w:line="360" w:lineRule="auto"/>
        <w:ind w:left="567" w:right="992"/>
        <w:jc w:val="both"/>
        <w:rPr>
          <w:rFonts w:ascii="Palatino Linotype" w:hAnsi="Palatino Linotype"/>
          <w:i/>
          <w:lang w:val="es-ES_tradnl" w:eastAsia="en-US"/>
        </w:rPr>
      </w:pPr>
    </w:p>
    <w:p w14:paraId="29F6B066" w14:textId="70F8ABAF" w:rsidR="000A0D59" w:rsidRPr="00D64CCF" w:rsidRDefault="005913CE" w:rsidP="009D6075">
      <w:pPr>
        <w:tabs>
          <w:tab w:val="left" w:pos="7938"/>
        </w:tabs>
        <w:spacing w:line="360" w:lineRule="auto"/>
        <w:ind w:left="567" w:right="992"/>
        <w:jc w:val="both"/>
        <w:rPr>
          <w:rFonts w:ascii="Palatino Linotype" w:hAnsi="Palatino Linotype"/>
          <w:i/>
          <w:lang w:val="es-ES_tradnl" w:eastAsia="en-US"/>
        </w:rPr>
      </w:pPr>
      <w:r w:rsidRPr="00D64CCF">
        <w:rPr>
          <w:rFonts w:ascii="Palatino Linotype" w:hAnsi="Palatino Linotype"/>
          <w:i/>
          <w:lang w:val="es-ES_tradnl" w:eastAsia="en-US"/>
        </w:rPr>
        <w:t xml:space="preserve"> </w:t>
      </w:r>
      <w:r w:rsidR="000A0D59" w:rsidRPr="00D64CCF">
        <w:rPr>
          <w:rFonts w:ascii="Palatino Linotype" w:hAnsi="Palatino Linotype"/>
          <w:i/>
          <w:lang w:val="es-ES_tradnl" w:eastAsia="en-US"/>
        </w:rPr>
        <w:t>“</w:t>
      </w:r>
      <w:r w:rsidR="000A0D59" w:rsidRPr="00D64CCF">
        <w:rPr>
          <w:rFonts w:ascii="Palatino Linotype" w:hAnsi="Palatino Linotype"/>
          <w:b/>
          <w:i/>
          <w:lang w:val="es-ES_tradnl" w:eastAsia="en-US"/>
        </w:rPr>
        <w:t>PLAZO RAZONABLE PARA RESOLVER. CONCEPTO Y ELEMENTOS QUE LO INTEGRAN A LA LUZ DEL DERECHO INTERNACIONAL DE LOS DERECHOS HUMANOS</w:t>
      </w:r>
      <w:r w:rsidR="000A0D59" w:rsidRPr="00D64CCF">
        <w:rPr>
          <w:rFonts w:ascii="Palatino Linotype" w:hAnsi="Palatino Linotype"/>
          <w:i/>
          <w:lang w:val="es-ES_tradnl" w:eastAsia="en-US"/>
        </w:rPr>
        <w:t>.”, visible en el Seminario Judicial de la Federación y su gaceta, con el registro digital 2002350.</w:t>
      </w:r>
    </w:p>
    <w:p w14:paraId="77DA0BEC" w14:textId="77777777" w:rsidR="000A0D59" w:rsidRPr="00D64CCF" w:rsidRDefault="000A0D59" w:rsidP="009D6075">
      <w:pPr>
        <w:tabs>
          <w:tab w:val="left" w:pos="7938"/>
        </w:tabs>
        <w:spacing w:line="360" w:lineRule="auto"/>
        <w:ind w:left="567" w:right="992"/>
        <w:jc w:val="both"/>
        <w:rPr>
          <w:rFonts w:ascii="Palatino Linotype" w:hAnsi="Palatino Linotype"/>
          <w:i/>
          <w:lang w:val="es-ES_tradnl" w:eastAsia="en-US"/>
        </w:rPr>
      </w:pPr>
    </w:p>
    <w:p w14:paraId="283B3F17" w14:textId="77777777" w:rsidR="000A0D59" w:rsidRPr="00D64CCF" w:rsidRDefault="000A0D59" w:rsidP="009D6075">
      <w:pPr>
        <w:numPr>
          <w:ilvl w:val="0"/>
          <w:numId w:val="1"/>
        </w:numPr>
        <w:spacing w:line="360" w:lineRule="auto"/>
        <w:ind w:left="0" w:firstLine="0"/>
        <w:rPr>
          <w:rFonts w:ascii="Palatino Linotype" w:hAnsi="Palatino Linotype"/>
          <w:lang w:val="es-ES_tradnl" w:eastAsia="en-US"/>
        </w:rPr>
      </w:pPr>
      <w:r w:rsidRPr="00D64CCF">
        <w:rPr>
          <w:rFonts w:ascii="Palatino Linotype" w:hAnsi="Palatino Linotype"/>
          <w:lang w:val="es-ES_tradnl" w:eastAsia="en-US"/>
        </w:rPr>
        <w:t>Por ello, este organismo garante comprometido con la tutela de los derechos humanos confiados, señala que este exceso del plazo legal para resolver el presente asunto, resulta de carácter excepcional.</w:t>
      </w:r>
    </w:p>
    <w:p w14:paraId="3AB20C2A" w14:textId="4D21459D" w:rsidR="00272C04" w:rsidRPr="00D64CCF" w:rsidRDefault="00272C04" w:rsidP="009D6075">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p>
    <w:p w14:paraId="33A25BC9" w14:textId="40861C13" w:rsidR="00272C04" w:rsidRPr="00D64CCF" w:rsidRDefault="00272C04" w:rsidP="009D6075">
      <w:pPr>
        <w:pStyle w:val="Prrafodelista"/>
        <w:numPr>
          <w:ilvl w:val="0"/>
          <w:numId w:val="1"/>
        </w:numPr>
        <w:tabs>
          <w:tab w:val="left" w:pos="567"/>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D64CCF">
        <w:rPr>
          <w:rFonts w:ascii="Palatino Linotype" w:eastAsiaTheme="minorEastAsia" w:hAnsi="Palatino Linotype" w:cstheme="minorBidi"/>
          <w:color w:val="000000" w:themeColor="text1"/>
          <w:lang w:val="es-ES_tradnl"/>
        </w:rPr>
        <w:lastRenderedPageBreak/>
        <w:t>Así las cosas, la</w:t>
      </w:r>
      <w:r w:rsidR="00977B95" w:rsidRPr="00D64CCF">
        <w:rPr>
          <w:rFonts w:ascii="Palatino Linotype" w:eastAsiaTheme="minorEastAsia" w:hAnsi="Palatino Linotype" w:cstheme="minorBidi"/>
          <w:b/>
          <w:color w:val="000000" w:themeColor="text1"/>
          <w:lang w:val="es-ES_tradnl"/>
        </w:rPr>
        <w:t xml:space="preserve"> c</w:t>
      </w:r>
      <w:r w:rsidRPr="00D64CCF">
        <w:rPr>
          <w:rFonts w:ascii="Palatino Linotype" w:eastAsiaTheme="minorEastAsia" w:hAnsi="Palatino Linotype" w:cstheme="minorBidi"/>
          <w:b/>
          <w:color w:val="000000" w:themeColor="text1"/>
          <w:lang w:val="es-ES_tradnl"/>
        </w:rPr>
        <w:t>omisionada María del Rosario Mejía Ayala</w:t>
      </w:r>
      <w:r w:rsidR="00977B95" w:rsidRPr="00D64CCF">
        <w:rPr>
          <w:rFonts w:ascii="Palatino Linotype" w:eastAsiaTheme="minorEastAsia" w:hAnsi="Palatino Linotype" w:cstheme="minorBidi"/>
          <w:b/>
          <w:color w:val="000000" w:themeColor="text1"/>
          <w:lang w:val="es-ES_tradnl"/>
        </w:rPr>
        <w:t>,</w:t>
      </w:r>
      <w:r w:rsidRPr="00D64CCF">
        <w:rPr>
          <w:rFonts w:ascii="Palatino Linotype" w:eastAsiaTheme="minorEastAsia" w:hAnsi="Palatino Linotype" w:cstheme="minorBidi"/>
          <w:color w:val="000000" w:themeColor="text1"/>
          <w:lang w:val="es-ES_tradnl"/>
        </w:rPr>
        <w:t xml:space="preserve"> decretó el cierre de instrucción med</w:t>
      </w:r>
      <w:r w:rsidR="000A0D59" w:rsidRPr="00D64CCF">
        <w:rPr>
          <w:rFonts w:ascii="Palatino Linotype" w:eastAsiaTheme="minorEastAsia" w:hAnsi="Palatino Linotype" w:cstheme="minorBidi"/>
          <w:color w:val="000000" w:themeColor="text1"/>
          <w:lang w:val="es-ES_tradnl"/>
        </w:rPr>
        <w:t>iant</w:t>
      </w:r>
      <w:r w:rsidR="00AB30EB" w:rsidRPr="00D64CCF">
        <w:rPr>
          <w:rFonts w:ascii="Palatino Linotype" w:eastAsiaTheme="minorEastAsia" w:hAnsi="Palatino Linotype" w:cstheme="minorBidi"/>
          <w:color w:val="000000" w:themeColor="text1"/>
          <w:lang w:val="es-ES_tradnl"/>
        </w:rPr>
        <w:t>e acuerdo de fecha veintiocho (28</w:t>
      </w:r>
      <w:r w:rsidR="007244B1" w:rsidRPr="00D64CCF">
        <w:rPr>
          <w:rFonts w:ascii="Palatino Linotype" w:eastAsiaTheme="minorEastAsia" w:hAnsi="Palatino Linotype" w:cstheme="minorBidi"/>
          <w:color w:val="000000" w:themeColor="text1"/>
          <w:lang w:val="es-ES_tradnl"/>
        </w:rPr>
        <w:t>) de junio</w:t>
      </w:r>
      <w:r w:rsidR="00EF5097" w:rsidRPr="00D64CCF">
        <w:rPr>
          <w:rFonts w:ascii="Palatino Linotype" w:eastAsiaTheme="minorEastAsia" w:hAnsi="Palatino Linotype" w:cstheme="minorBidi"/>
          <w:color w:val="000000" w:themeColor="text1"/>
          <w:lang w:val="es-ES_tradnl"/>
        </w:rPr>
        <w:t xml:space="preserve"> </w:t>
      </w:r>
      <w:r w:rsidRPr="00D64CCF">
        <w:rPr>
          <w:rFonts w:ascii="Palatino Linotype" w:eastAsiaTheme="minorEastAsia" w:hAnsi="Palatino Linotype" w:cstheme="minorBidi"/>
          <w:color w:val="000000" w:themeColor="text1"/>
          <w:lang w:val="es-ES_tradnl"/>
        </w:rPr>
        <w:t>de dos mil</w:t>
      </w:r>
      <w:r w:rsidR="008A0595" w:rsidRPr="00D64CCF">
        <w:rPr>
          <w:rFonts w:ascii="Palatino Linotype" w:eastAsiaTheme="minorEastAsia" w:hAnsi="Palatino Linotype" w:cstheme="minorBidi"/>
          <w:color w:val="000000" w:themeColor="text1"/>
          <w:lang w:val="es-ES_tradnl"/>
        </w:rPr>
        <w:t xml:space="preserve"> veintitrés</w:t>
      </w:r>
      <w:r w:rsidRPr="00D64CCF">
        <w:rPr>
          <w:rFonts w:ascii="Palatino Linotype" w:eastAsiaTheme="minorEastAsia" w:hAnsi="Palatino Linotype" w:cstheme="minorBidi"/>
          <w:color w:val="000000" w:themeColor="text1"/>
          <w:lang w:val="es-ES_tradnl"/>
        </w:rPr>
        <w:t>.</w:t>
      </w:r>
    </w:p>
    <w:p w14:paraId="1A06EC63" w14:textId="486D9D99" w:rsidR="0028674A" w:rsidRPr="00D64CCF" w:rsidRDefault="00272C04" w:rsidP="009D6075">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r w:rsidRPr="00D64CCF">
        <w:rPr>
          <w:rFonts w:ascii="Palatino Linotype" w:eastAsiaTheme="minorEastAsia" w:hAnsi="Palatino Linotype" w:cstheme="minorBidi"/>
          <w:color w:val="000000" w:themeColor="text1"/>
          <w:lang w:val="es-ES_tradnl"/>
        </w:rPr>
        <w:t xml:space="preserve"> </w:t>
      </w:r>
    </w:p>
    <w:p w14:paraId="0D7AA06B" w14:textId="3C149640" w:rsidR="00EA0165" w:rsidRPr="00D64CCF" w:rsidRDefault="00EA0165" w:rsidP="009D6075">
      <w:pPr>
        <w:pStyle w:val="Ttulo1"/>
        <w:spacing w:line="360" w:lineRule="auto"/>
        <w:jc w:val="center"/>
        <w:rPr>
          <w:rFonts w:ascii="Palatino Linotype" w:hAnsi="Palatino Linotype"/>
          <w:b/>
          <w:color w:val="000000" w:themeColor="text1"/>
          <w:sz w:val="24"/>
          <w:szCs w:val="24"/>
          <w:lang w:val="es-MX" w:eastAsia="en-US"/>
        </w:rPr>
      </w:pPr>
      <w:bookmarkStart w:id="7" w:name="_Toc110984900"/>
      <w:r w:rsidRPr="00D64CCF">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12C00E99" w:rsidR="00EA0165" w:rsidRPr="00D64CCF" w:rsidRDefault="00EA0165" w:rsidP="009D6075">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10984901"/>
      <w:r w:rsidRPr="00D64CCF">
        <w:rPr>
          <w:rFonts w:ascii="Palatino Linotype" w:hAnsi="Palatino Linotype"/>
          <w:b/>
          <w:color w:val="000000" w:themeColor="text1"/>
          <w:sz w:val="24"/>
          <w:szCs w:val="24"/>
          <w:lang w:val="es-MX" w:eastAsia="en-US"/>
        </w:rPr>
        <w:t>PRIMERO. De la competencia</w:t>
      </w:r>
      <w:bookmarkEnd w:id="8"/>
      <w:bookmarkEnd w:id="9"/>
      <w:bookmarkEnd w:id="10"/>
      <w:r w:rsidR="00537427" w:rsidRPr="00D64CCF">
        <w:rPr>
          <w:rFonts w:ascii="Palatino Linotype" w:hAnsi="Palatino Linotype"/>
          <w:b/>
          <w:color w:val="000000" w:themeColor="text1"/>
          <w:sz w:val="24"/>
          <w:szCs w:val="24"/>
          <w:lang w:val="es-MX" w:eastAsia="en-US"/>
        </w:rPr>
        <w:t>.</w:t>
      </w:r>
      <w:bookmarkEnd w:id="11"/>
    </w:p>
    <w:p w14:paraId="341F67EC" w14:textId="77777777" w:rsidR="00EA0165" w:rsidRPr="00D64CCF" w:rsidRDefault="00EA0165" w:rsidP="009D6075">
      <w:pPr>
        <w:spacing w:line="360" w:lineRule="auto"/>
        <w:rPr>
          <w:rFonts w:ascii="Palatino Linotype" w:eastAsiaTheme="minorEastAsia" w:hAnsi="Palatino Linotype" w:cstheme="minorBidi"/>
          <w:color w:val="000000" w:themeColor="text1"/>
          <w:lang w:val="es-MX" w:eastAsia="en-US"/>
        </w:rPr>
      </w:pPr>
    </w:p>
    <w:p w14:paraId="15D1D21E" w14:textId="73B88C9B" w:rsidR="00EA0165" w:rsidRPr="00D64CCF" w:rsidRDefault="00EA0165" w:rsidP="009D6075">
      <w:pPr>
        <w:pStyle w:val="Prrafodelista"/>
        <w:numPr>
          <w:ilvl w:val="0"/>
          <w:numId w:val="1"/>
        </w:numPr>
        <w:tabs>
          <w:tab w:val="left" w:pos="0"/>
          <w:tab w:val="left" w:pos="567"/>
        </w:tabs>
        <w:spacing w:after="160" w:line="360" w:lineRule="auto"/>
        <w:ind w:left="0" w:firstLine="0"/>
        <w:contextualSpacing/>
        <w:jc w:val="both"/>
        <w:rPr>
          <w:rFonts w:ascii="Palatino Linotype" w:eastAsia="MS Mincho" w:hAnsi="Palatino Linotype"/>
          <w:lang w:val="es-ES_tradnl"/>
        </w:rPr>
      </w:pPr>
      <w:r w:rsidRPr="00D64CCF">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64CCF">
        <w:rPr>
          <w:rFonts w:ascii="Palatino Linotype" w:eastAsia="Calibri" w:hAnsi="Palatino Linotype"/>
          <w:b/>
        </w:rPr>
        <w:t>Constitución Política de los Estados Unidos Mexicanos</w:t>
      </w:r>
      <w:r w:rsidRPr="00D64CCF">
        <w:rPr>
          <w:rFonts w:ascii="Palatino Linotype" w:eastAsia="Calibri" w:hAnsi="Palatino Linotype"/>
        </w:rPr>
        <w:t xml:space="preserve">; </w:t>
      </w:r>
      <w:r w:rsidRPr="00D64CCF">
        <w:rPr>
          <w:rFonts w:ascii="Palatino Linotype" w:eastAsia="Calibri" w:hAnsi="Palatino Linotype" w:cs="Arial"/>
          <w:bCs/>
          <w:color w:val="222222"/>
          <w:shd w:val="clear" w:color="auto" w:fill="FFFFFF"/>
          <w:lang w:eastAsia="en-US"/>
        </w:rPr>
        <w:t>5, párrafo</w:t>
      </w:r>
      <w:r w:rsidR="00543BF9" w:rsidRPr="00D64CCF">
        <w:rPr>
          <w:rFonts w:ascii="Palatino Linotype" w:eastAsia="Calibri" w:hAnsi="Palatino Linotype"/>
          <w:lang w:val="es-MX" w:eastAsia="en-US"/>
        </w:rPr>
        <w:t xml:space="preserve"> trigésimo, trigésimo primero y trigésimo segundo, fracciones I, II, III, IV y V</w:t>
      </w:r>
      <w:r w:rsidR="00543BF9" w:rsidRPr="00D64CCF">
        <w:rPr>
          <w:rFonts w:ascii="Palatino Linotype" w:eastAsia="MS Mincho" w:hAnsi="Palatino Linotype"/>
          <w:lang w:val="es-ES_tradnl"/>
        </w:rPr>
        <w:t xml:space="preserve"> </w:t>
      </w:r>
      <w:r w:rsidRPr="00D64CCF">
        <w:rPr>
          <w:rFonts w:ascii="Palatino Linotype" w:eastAsia="Calibri" w:hAnsi="Palatino Linotype"/>
        </w:rPr>
        <w:t xml:space="preserve">de la </w:t>
      </w:r>
      <w:r w:rsidRPr="00D64CCF">
        <w:rPr>
          <w:rFonts w:ascii="Palatino Linotype" w:eastAsia="Calibri" w:hAnsi="Palatino Linotype"/>
          <w:b/>
        </w:rPr>
        <w:t>Constitución Política del Estado Libre y Soberano de México</w:t>
      </w:r>
      <w:r w:rsidRPr="00D64CCF">
        <w:rPr>
          <w:rFonts w:ascii="Palatino Linotype" w:eastAsia="Calibri" w:hAnsi="Palatino Linotype"/>
        </w:rPr>
        <w:t xml:space="preserve">; artículos 1, 2 fracción II, 13, 29, 36 fracciones I y II, 176, 178, 179, 181 párrafo tercero y 185 </w:t>
      </w:r>
      <w:r w:rsidRPr="00D64CCF">
        <w:rPr>
          <w:rFonts w:ascii="Palatino Linotype" w:eastAsia="Calibri" w:hAnsi="Palatino Linotype" w:cs="Arial"/>
        </w:rPr>
        <w:t xml:space="preserve">de la </w:t>
      </w:r>
      <w:r w:rsidRPr="00D64CCF">
        <w:rPr>
          <w:rFonts w:ascii="Palatino Linotype" w:eastAsia="Calibri" w:hAnsi="Palatino Linotype" w:cs="Arial"/>
          <w:b/>
        </w:rPr>
        <w:t>Ley de Transparencia y Acceso a la Información Pública del Estado de México y Municipios</w:t>
      </w:r>
      <w:r w:rsidRPr="00D64CCF">
        <w:rPr>
          <w:rFonts w:ascii="Palatino Linotype" w:eastAsia="Calibri" w:hAnsi="Palatino Linotype" w:cs="Arial"/>
        </w:rPr>
        <w:t xml:space="preserve">; </w:t>
      </w:r>
      <w:r w:rsidRPr="00D64CCF">
        <w:rPr>
          <w:rFonts w:ascii="Palatino Linotype" w:eastAsia="Calibri" w:hAnsi="Palatino Linotype" w:cs="Arial"/>
          <w:b/>
        </w:rPr>
        <w:t>7, 9 fracciones I y XXIV, y 11</w:t>
      </w:r>
      <w:r w:rsidRPr="00D64CCF">
        <w:rPr>
          <w:rFonts w:ascii="Palatino Linotype" w:eastAsia="Calibri" w:hAnsi="Palatino Linotype" w:cs="Arial"/>
        </w:rPr>
        <w:t xml:space="preserve"> del </w:t>
      </w:r>
      <w:r w:rsidRPr="00D64CCF">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D64CCF">
        <w:rPr>
          <w:rFonts w:ascii="Palatino Linotype" w:eastAsia="Calibri" w:hAnsi="Palatino Linotype" w:cs="Arial"/>
          <w:b/>
        </w:rPr>
        <w:t>.</w:t>
      </w:r>
    </w:p>
    <w:p w14:paraId="46D21867" w14:textId="77777777" w:rsidR="00AB30EB" w:rsidRPr="00D64CCF" w:rsidRDefault="00AB30EB" w:rsidP="009D6075">
      <w:pPr>
        <w:pStyle w:val="Prrafodelista"/>
        <w:tabs>
          <w:tab w:val="left" w:pos="0"/>
          <w:tab w:val="left" w:pos="567"/>
        </w:tabs>
        <w:spacing w:after="160" w:line="360" w:lineRule="auto"/>
        <w:ind w:left="0"/>
        <w:contextualSpacing/>
        <w:jc w:val="both"/>
        <w:rPr>
          <w:rFonts w:ascii="Palatino Linotype" w:eastAsia="MS Mincho" w:hAnsi="Palatino Linotype"/>
          <w:lang w:val="es-ES_tradnl"/>
        </w:rPr>
      </w:pPr>
    </w:p>
    <w:p w14:paraId="343B0FCF" w14:textId="2B9D62DC" w:rsidR="00EA0165" w:rsidRPr="00D64CCF" w:rsidRDefault="00EA0165" w:rsidP="009D6075">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10984902"/>
      <w:r w:rsidRPr="00D64CCF">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743ADEF5" w14:textId="73EFD7EC" w:rsidR="007244B1" w:rsidRPr="00D64CCF" w:rsidRDefault="007244B1" w:rsidP="009D6075">
      <w:pPr>
        <w:pStyle w:val="Prrafodelista"/>
        <w:numPr>
          <w:ilvl w:val="0"/>
          <w:numId w:val="1"/>
        </w:numPr>
        <w:tabs>
          <w:tab w:val="left" w:pos="567"/>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rPr>
        <w:t xml:space="preserve">Es de precisar, que la Ley de Transparencia y Acceso a la Información Pública del Estado de México y Municipios, en el artículo 178 describe la procedencia del recurso </w:t>
      </w:r>
      <w:r w:rsidRPr="00D64CCF">
        <w:rPr>
          <w:rFonts w:ascii="Palatino Linotype" w:eastAsia="Calibri" w:hAnsi="Palatino Linotype" w:cs="Arial"/>
        </w:rPr>
        <w:lastRenderedPageBreak/>
        <w:t xml:space="preserve">de revisión, asimismo señala que el plazo del </w:t>
      </w:r>
      <w:r w:rsidRPr="00D64CCF">
        <w:rPr>
          <w:rFonts w:ascii="Palatino Linotype" w:eastAsia="Calibri" w:hAnsi="Palatino Linotype" w:cs="Arial"/>
          <w:b/>
        </w:rPr>
        <w:t>SUJETO OBLIGADO</w:t>
      </w:r>
      <w:r w:rsidR="00977B95" w:rsidRPr="00D64CCF">
        <w:rPr>
          <w:rFonts w:ascii="Palatino Linotype" w:eastAsia="Calibri" w:hAnsi="Palatino Linotype" w:cs="Arial"/>
          <w:b/>
        </w:rPr>
        <w:t>,</w:t>
      </w:r>
      <w:r w:rsidRPr="00D64CCF">
        <w:rPr>
          <w:rFonts w:ascii="Palatino Linotype" w:eastAsia="Calibri" w:hAnsi="Palatino Linotype" w:cs="Arial"/>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11885B30" w14:textId="77777777" w:rsidR="007244B1" w:rsidRPr="00D64CCF" w:rsidRDefault="007244B1" w:rsidP="009D6075">
      <w:pPr>
        <w:spacing w:before="240" w:after="240" w:line="360" w:lineRule="auto"/>
        <w:contextualSpacing/>
        <w:jc w:val="both"/>
        <w:rPr>
          <w:rFonts w:ascii="Palatino Linotype" w:hAnsi="Palatino Linotype" w:cs="Arial"/>
          <w:lang w:val="es-ES_tradnl"/>
        </w:rPr>
      </w:pPr>
    </w:p>
    <w:p w14:paraId="371EEF6B" w14:textId="77777777" w:rsidR="007244B1" w:rsidRPr="00D64CCF" w:rsidRDefault="007244B1" w:rsidP="009D6075">
      <w:pPr>
        <w:numPr>
          <w:ilvl w:val="0"/>
          <w:numId w:val="1"/>
        </w:numPr>
        <w:tabs>
          <w:tab w:val="left" w:pos="567"/>
        </w:tabs>
        <w:spacing w:before="240" w:after="240" w:line="360" w:lineRule="auto"/>
        <w:ind w:left="0" w:firstLine="0"/>
        <w:contextualSpacing/>
        <w:jc w:val="both"/>
        <w:rPr>
          <w:rFonts w:ascii="Palatino Linotype" w:hAnsi="Palatino Linotype" w:cs="Arial"/>
          <w:lang w:val="es-ES_tradnl"/>
        </w:rPr>
      </w:pPr>
      <w:r w:rsidRPr="00D64CCF">
        <w:rPr>
          <w:rFonts w:ascii="Palatino Linotype" w:eastAsia="Calibri" w:hAnsi="Palatino Linotype" w:cs="Arial"/>
        </w:rPr>
        <w:t xml:space="preserve">Por ende, se constituye la figura jurídica de la </w:t>
      </w:r>
      <w:r w:rsidRPr="00D64CCF">
        <w:rPr>
          <w:rFonts w:ascii="Palatino Linotype" w:eastAsia="Calibri" w:hAnsi="Palatino Linotype" w:cs="Arial"/>
          <w:i/>
        </w:rPr>
        <w:t>negativa ficta</w:t>
      </w:r>
      <w:r w:rsidRPr="00D64CCF">
        <w:rPr>
          <w:rFonts w:ascii="Palatino Linotype" w:eastAsia="Calibri" w:hAnsi="Palatino Linotype" w:cs="Arial"/>
        </w:rPr>
        <w:t xml:space="preserve">, cuya esencia es atribuir un efecto negativo al silencio de la autoridad administrativa frente a las instancias y solicitudes que hagan los particulares, lo cual encuentra sustento en lo que establece el artículo </w:t>
      </w:r>
      <w:r w:rsidRPr="00D64CCF">
        <w:rPr>
          <w:rFonts w:ascii="Palatino Linotype" w:eastAsia="Calibri" w:hAnsi="Palatino Linotype" w:cs="Arial"/>
          <w:b/>
        </w:rPr>
        <w:t>178</w:t>
      </w:r>
      <w:r w:rsidRPr="00D64CCF">
        <w:rPr>
          <w:rFonts w:ascii="Palatino Linotype" w:eastAsia="Calibri" w:hAnsi="Palatino Linotype" w:cs="Arial"/>
        </w:rPr>
        <w:t xml:space="preserve"> segundo párrafo de </w:t>
      </w:r>
      <w:r w:rsidRPr="00D64CCF">
        <w:rPr>
          <w:rFonts w:ascii="Palatino Linotype" w:eastAsia="Calibri" w:hAnsi="Palatino Linotype" w:cs="Arial"/>
          <w:b/>
        </w:rPr>
        <w:t>Ley de Transparencia y Acceso a la Información Pública del Estado de México y Municipios</w:t>
      </w:r>
      <w:r w:rsidRPr="00D64CCF">
        <w:rPr>
          <w:rFonts w:ascii="Palatino Linotype" w:eastAsia="Calibri" w:hAnsi="Palatino Linotype"/>
          <w:shd w:val="clear" w:color="auto" w:fill="FFFFFF"/>
        </w:rPr>
        <w:t xml:space="preserve">, que dispone; ante la falta de respuesta del </w:t>
      </w:r>
      <w:r w:rsidRPr="00D64CCF">
        <w:rPr>
          <w:rFonts w:ascii="Palatino Linotype" w:eastAsia="Calibri" w:hAnsi="Palatino Linotype"/>
          <w:b/>
          <w:shd w:val="clear" w:color="auto" w:fill="FFFFFF"/>
        </w:rPr>
        <w:t>SUJETO OBLIGADO,</w:t>
      </w:r>
      <w:r w:rsidRPr="00D64CCF">
        <w:rPr>
          <w:rFonts w:ascii="Palatino Linotype" w:eastAsia="Calibri" w:hAnsi="Palatino Linotype"/>
          <w:shd w:val="clear" w:color="auto" w:fill="FFFFFF"/>
        </w:rPr>
        <w:t xml:space="preserve"> dentro de los plazos establecidos en esta Ley, a una solicitud de acceso a la información pública, el recurso </w:t>
      </w:r>
      <w:r w:rsidRPr="00D64CCF">
        <w:rPr>
          <w:rFonts w:ascii="Palatino Linotype" w:eastAsia="Calibri" w:hAnsi="Palatino Linotype"/>
          <w:b/>
          <w:shd w:val="clear" w:color="auto" w:fill="FFFFFF"/>
        </w:rPr>
        <w:t xml:space="preserve">podrá ser interpuesto en cualquier momento. </w:t>
      </w:r>
    </w:p>
    <w:p w14:paraId="38D3B171" w14:textId="77777777" w:rsidR="007244B1" w:rsidRPr="00D64CCF" w:rsidRDefault="007244B1" w:rsidP="009D6075">
      <w:pPr>
        <w:spacing w:line="360" w:lineRule="auto"/>
        <w:ind w:left="284"/>
        <w:contextualSpacing/>
        <w:rPr>
          <w:rFonts w:ascii="Palatino Linotype" w:hAnsi="Palatino Linotype" w:cs="Arial"/>
          <w:lang w:val="es-ES_tradnl"/>
        </w:rPr>
      </w:pPr>
    </w:p>
    <w:p w14:paraId="2C4B002A" w14:textId="77777777" w:rsidR="007244B1" w:rsidRPr="00D64CCF" w:rsidRDefault="007244B1" w:rsidP="009D6075">
      <w:pPr>
        <w:numPr>
          <w:ilvl w:val="0"/>
          <w:numId w:val="1"/>
        </w:numPr>
        <w:tabs>
          <w:tab w:val="left" w:pos="567"/>
        </w:tabs>
        <w:spacing w:before="240" w:after="240" w:line="360" w:lineRule="auto"/>
        <w:ind w:left="0" w:firstLine="0"/>
        <w:contextualSpacing/>
        <w:jc w:val="both"/>
        <w:rPr>
          <w:rFonts w:ascii="Palatino Linotype" w:hAnsi="Palatino Linotype" w:cs="Arial"/>
          <w:lang w:val="es-ES_tradnl"/>
        </w:rPr>
      </w:pPr>
      <w:r w:rsidRPr="00D64CCF">
        <w:rPr>
          <w:rFonts w:ascii="Palatino Linotype" w:eastAsia="Calibri" w:hAnsi="Palatino Linotype" w:cs="Arial"/>
        </w:rPr>
        <w:t xml:space="preserve">Por lo que, tratándose de la </w:t>
      </w:r>
      <w:r w:rsidRPr="00D64CCF">
        <w:rPr>
          <w:rFonts w:ascii="Palatino Linotype" w:eastAsia="Calibri" w:hAnsi="Palatino Linotype" w:cs="Arial"/>
          <w:i/>
        </w:rPr>
        <w:t>negativa ficta</w:t>
      </w:r>
      <w:r w:rsidRPr="00D64CCF">
        <w:rPr>
          <w:rFonts w:ascii="Palatino Linotype" w:eastAsia="Calibri" w:hAnsi="Palatino Linotype" w:cs="Arial"/>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w:t>
      </w:r>
      <w:r w:rsidRPr="00D64CCF">
        <w:rPr>
          <w:rFonts w:ascii="Palatino Linotype" w:eastAsia="Calibri" w:hAnsi="Palatino Linotype" w:cs="Arial"/>
        </w:rPr>
        <w:lastRenderedPageBreak/>
        <w:t xml:space="preserve">Municipios, en la Sexta Sesión Ordinaria, y publicada en el Periódico Oficial “Gaceta del Gobierno” el veintitrés de abril de dos mil quince, relativo a la interposición del recurso de revisión en cualquier tiempo cuando exista </w:t>
      </w:r>
      <w:r w:rsidRPr="00D64CCF">
        <w:rPr>
          <w:rFonts w:ascii="Palatino Linotype" w:eastAsia="Calibri" w:hAnsi="Palatino Linotype" w:cs="Arial"/>
          <w:i/>
        </w:rPr>
        <w:t>negativa ficta</w:t>
      </w:r>
      <w:r w:rsidRPr="00D64CCF">
        <w:rPr>
          <w:rFonts w:ascii="Palatino Linotype" w:eastAsia="Calibri" w:hAnsi="Palatino Linotype" w:cs="Arial"/>
        </w:rPr>
        <w:t>, que señala:</w:t>
      </w:r>
    </w:p>
    <w:p w14:paraId="54520301" w14:textId="77777777" w:rsidR="007244B1" w:rsidRPr="00D64CCF" w:rsidRDefault="007244B1" w:rsidP="009D6075">
      <w:pPr>
        <w:spacing w:before="240" w:after="240" w:line="360" w:lineRule="auto"/>
        <w:contextualSpacing/>
        <w:jc w:val="both"/>
        <w:rPr>
          <w:rFonts w:ascii="Palatino Linotype" w:hAnsi="Palatino Linotype" w:cs="Arial"/>
          <w:lang w:val="es-ES_tradnl"/>
        </w:rPr>
      </w:pPr>
    </w:p>
    <w:p w14:paraId="694A1C98" w14:textId="77777777" w:rsidR="007244B1" w:rsidRPr="00D64CCF" w:rsidRDefault="007244B1" w:rsidP="009D6075">
      <w:pPr>
        <w:tabs>
          <w:tab w:val="left" w:pos="7655"/>
        </w:tabs>
        <w:spacing w:before="240" w:after="240" w:line="360" w:lineRule="auto"/>
        <w:ind w:left="567" w:right="1275"/>
        <w:jc w:val="center"/>
        <w:rPr>
          <w:rFonts w:ascii="Palatino Linotype" w:eastAsia="Calibri" w:hAnsi="Palatino Linotype" w:cs="Arial"/>
          <w:b/>
        </w:rPr>
      </w:pPr>
      <w:r w:rsidRPr="00D64CCF">
        <w:rPr>
          <w:rFonts w:ascii="Palatino Linotype" w:eastAsia="Calibri" w:hAnsi="Palatino Linotype" w:cs="Arial"/>
          <w:b/>
        </w:rPr>
        <w:t>Criterio 0001-15</w:t>
      </w:r>
    </w:p>
    <w:p w14:paraId="0BBBF0D5" w14:textId="0495FBA7" w:rsidR="007244B1" w:rsidRPr="00D64CCF" w:rsidRDefault="007244B1" w:rsidP="009D6075">
      <w:pPr>
        <w:tabs>
          <w:tab w:val="left" w:pos="7655"/>
        </w:tabs>
        <w:spacing w:before="240" w:after="240" w:line="360" w:lineRule="auto"/>
        <w:ind w:left="567" w:right="1275"/>
        <w:jc w:val="both"/>
        <w:rPr>
          <w:rFonts w:ascii="Palatino Linotype" w:eastAsia="Calibri" w:hAnsi="Palatino Linotype" w:cs="Arial"/>
          <w:i/>
        </w:rPr>
      </w:pPr>
      <w:r w:rsidRPr="00D64CCF">
        <w:rPr>
          <w:rFonts w:ascii="Palatino Linotype" w:eastAsia="Calibri" w:hAnsi="Palatino Linotype" w:cs="Arial"/>
          <w:b/>
          <w:i/>
        </w:rPr>
        <w:t>NEGATIVA FICTA. PLAZO PARA INTERPONER EL RECURSO DE REVISIÓN TRATÁNDOSE DE.</w:t>
      </w:r>
      <w:r w:rsidRPr="00D64CCF">
        <w:rPr>
          <w:rFonts w:ascii="Palatino Linotype" w:eastAsia="Calibri" w:hAnsi="Palatino Linotype" w:cs="Arial"/>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4412DE37" w14:textId="77777777" w:rsidR="007244B1" w:rsidRPr="00D64CCF" w:rsidRDefault="007244B1" w:rsidP="009D6075">
      <w:pPr>
        <w:numPr>
          <w:ilvl w:val="0"/>
          <w:numId w:val="1"/>
        </w:numPr>
        <w:tabs>
          <w:tab w:val="left" w:pos="567"/>
        </w:tabs>
        <w:spacing w:before="240" w:after="240" w:line="360" w:lineRule="auto"/>
        <w:ind w:left="0" w:firstLine="0"/>
        <w:contextualSpacing/>
        <w:jc w:val="both"/>
        <w:rPr>
          <w:rFonts w:ascii="Palatino Linotype" w:hAnsi="Palatino Linotype" w:cs="Arial"/>
        </w:rPr>
      </w:pPr>
      <w:r w:rsidRPr="00D64CCF">
        <w:rPr>
          <w:rFonts w:ascii="Palatino Linotype" w:hAnsi="Palatino Linotype" w:cs="Arial"/>
        </w:rPr>
        <w:lastRenderedPageBreak/>
        <w:t xml:space="preserve">Lo anterior, se explica porque la </w:t>
      </w:r>
      <w:r w:rsidRPr="00D64CCF">
        <w:rPr>
          <w:rFonts w:ascii="Palatino Linotype" w:hAnsi="Palatino Linotype" w:cs="Arial"/>
          <w:b/>
          <w:u w:val="single"/>
        </w:rPr>
        <w:t>posible ausencia</w:t>
      </w:r>
      <w:r w:rsidRPr="00D64CCF">
        <w:rPr>
          <w:rFonts w:ascii="Palatino Linotype" w:hAnsi="Palatino Linotype" w:cs="Arial"/>
        </w:rPr>
        <w:t xml:space="preserve"> de una respuesta en la solicitud constituye un acto que vulnera el derecho de manera continua y actualizable cada día en tanto, no se emita la respuesta a la que esté impuesto el </w:t>
      </w:r>
      <w:r w:rsidRPr="00D64CCF">
        <w:rPr>
          <w:rFonts w:ascii="Palatino Linotype" w:hAnsi="Palatino Linotype" w:cs="Arial"/>
          <w:b/>
        </w:rPr>
        <w:t>SUJETO OBLIGADO</w:t>
      </w:r>
      <w:r w:rsidRPr="00D64CCF">
        <w:rPr>
          <w:rFonts w:ascii="Palatino Linotype" w:hAnsi="Palatino Linotype" w:cs="Arial"/>
        </w:rPr>
        <w:t>.</w:t>
      </w:r>
    </w:p>
    <w:p w14:paraId="2AF847AA" w14:textId="77777777" w:rsidR="00C85A18" w:rsidRPr="00D64CCF" w:rsidRDefault="00C85A18" w:rsidP="009D6075">
      <w:pPr>
        <w:spacing w:before="240" w:after="240" w:line="360" w:lineRule="auto"/>
        <w:contextualSpacing/>
        <w:jc w:val="both"/>
        <w:rPr>
          <w:rFonts w:ascii="Palatino Linotype" w:hAnsi="Palatino Linotype" w:cs="Arial"/>
        </w:rPr>
      </w:pPr>
    </w:p>
    <w:p w14:paraId="64BAD659" w14:textId="77777777" w:rsidR="00C85A18" w:rsidRPr="00D64CCF" w:rsidRDefault="00C85A18" w:rsidP="009D6075">
      <w:pPr>
        <w:numPr>
          <w:ilvl w:val="0"/>
          <w:numId w:val="1"/>
        </w:numPr>
        <w:tabs>
          <w:tab w:val="left" w:pos="567"/>
          <w:tab w:val="left" w:pos="851"/>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lang w:val="es-ES_tradnl"/>
        </w:rPr>
        <w:t xml:space="preserve">Por otra parte, de la revisión al expediente electrónico del </w:t>
      </w:r>
      <w:r w:rsidRPr="00D64CCF">
        <w:rPr>
          <w:rFonts w:ascii="Palatino Linotype" w:eastAsia="Calibri" w:hAnsi="Palatino Linotype" w:cs="Arial"/>
          <w:b/>
          <w:lang w:val="es-ES_tradnl"/>
        </w:rPr>
        <w:t>SAIMEX</w:t>
      </w:r>
      <w:r w:rsidRPr="00D64CCF">
        <w:rPr>
          <w:rFonts w:ascii="Palatino Linotype" w:eastAsia="Calibri" w:hAnsi="Palatino Linotype" w:cs="Arial"/>
          <w:lang w:val="es-ES_tradnl"/>
        </w:rPr>
        <w:t xml:space="preserve"> se desprende que la parte solicitante en ejercicio de su derecho de acceso a la información pública en el expediente que se revisa, tanto en la solicitud de información como en el recurso de revisión no proporciona su nombre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9C28480" w14:textId="77777777" w:rsidR="00C85A18" w:rsidRPr="00D64CCF" w:rsidRDefault="00C85A18" w:rsidP="009D6075">
      <w:pPr>
        <w:spacing w:line="360" w:lineRule="auto"/>
        <w:rPr>
          <w:rFonts w:ascii="Palatino Linotype" w:eastAsia="Calibri" w:hAnsi="Palatino Linotype" w:cs="Arial"/>
          <w:lang w:val="es-ES_tradnl"/>
        </w:rPr>
      </w:pPr>
    </w:p>
    <w:p w14:paraId="1FC0D8BB" w14:textId="4A30B21D" w:rsidR="00AB30EB" w:rsidRPr="00D64CCF" w:rsidRDefault="00C85A18" w:rsidP="009D6075">
      <w:pPr>
        <w:numPr>
          <w:ilvl w:val="0"/>
          <w:numId w:val="1"/>
        </w:numPr>
        <w:tabs>
          <w:tab w:val="left" w:pos="567"/>
          <w:tab w:val="left" w:pos="851"/>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lang w:val="es-ES_tradnl"/>
        </w:rPr>
        <w:t xml:space="preserve">Esto es así, ya que de conformidad con los artículos 6, Apartado A, fracciones III y IV de la Constitución Política de los Estados Unidos Mexicanos y </w:t>
      </w:r>
      <w:r w:rsidRPr="00D64CCF">
        <w:rPr>
          <w:rFonts w:ascii="Palatino Linotype" w:eastAsia="Calibri" w:hAnsi="Palatino Linotype" w:cs="Arial"/>
          <w:bCs/>
        </w:rPr>
        <w:t xml:space="preserve">5, párrafos vigésimo, vigésimo primero y vigésimo </w:t>
      </w:r>
      <w:r w:rsidR="00AB30EB" w:rsidRPr="00D64CCF">
        <w:rPr>
          <w:rFonts w:ascii="Palatino Linotype" w:eastAsia="Calibri" w:hAnsi="Palatino Linotype" w:cs="Arial"/>
          <w:bCs/>
        </w:rPr>
        <w:t>segundo</w:t>
      </w:r>
      <w:r w:rsidRPr="00D64CCF">
        <w:rPr>
          <w:rFonts w:ascii="Palatino Linotype" w:eastAsia="Calibri" w:hAnsi="Palatino Linotype" w:cs="Arial"/>
          <w:bCs/>
        </w:rPr>
        <w:t> fracciones IV y V </w:t>
      </w:r>
      <w:r w:rsidRPr="00D64CCF">
        <w:rPr>
          <w:rFonts w:ascii="Palatino Linotype" w:eastAsia="Calibri" w:hAnsi="Palatino Linotype" w:cs="Arial"/>
          <w:lang w:val="es-ES_tradnl"/>
        </w:rPr>
        <w:t>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E765F76" w14:textId="77777777" w:rsidR="00C85A18" w:rsidRPr="00D64CCF" w:rsidRDefault="00C85A18" w:rsidP="009D6075">
      <w:pPr>
        <w:numPr>
          <w:ilvl w:val="0"/>
          <w:numId w:val="1"/>
        </w:numPr>
        <w:tabs>
          <w:tab w:val="left" w:pos="567"/>
          <w:tab w:val="left" w:pos="851"/>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lang w:val="es-ES_tradnl"/>
        </w:rPr>
        <w:lastRenderedPageBreak/>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DCDAD10" w14:textId="77777777" w:rsidR="00C85A18" w:rsidRPr="00D64CCF" w:rsidRDefault="00C85A18" w:rsidP="009D6075">
      <w:pPr>
        <w:spacing w:line="360" w:lineRule="auto"/>
        <w:rPr>
          <w:rFonts w:ascii="Palatino Linotype" w:eastAsia="Calibri" w:hAnsi="Palatino Linotype" w:cs="Arial"/>
          <w:lang w:val="es-ES_tradnl"/>
        </w:rPr>
      </w:pPr>
    </w:p>
    <w:p w14:paraId="78282FFF" w14:textId="77777777" w:rsidR="00C85A18" w:rsidRPr="00D64CCF" w:rsidRDefault="00C85A18" w:rsidP="009D6075">
      <w:pPr>
        <w:numPr>
          <w:ilvl w:val="0"/>
          <w:numId w:val="1"/>
        </w:numPr>
        <w:tabs>
          <w:tab w:val="left" w:pos="567"/>
          <w:tab w:val="left" w:pos="851"/>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lang w:val="es-ES_tradnl"/>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29D4F13C" w14:textId="77777777" w:rsidR="00C85A18" w:rsidRPr="00D64CCF" w:rsidRDefault="00C85A18" w:rsidP="009D6075">
      <w:pPr>
        <w:spacing w:line="360" w:lineRule="auto"/>
        <w:rPr>
          <w:rFonts w:ascii="Palatino Linotype" w:eastAsia="Calibri" w:hAnsi="Palatino Linotype" w:cs="Arial"/>
          <w:lang w:val="es-ES_tradnl"/>
        </w:rPr>
      </w:pPr>
    </w:p>
    <w:p w14:paraId="56EC4E38" w14:textId="77777777" w:rsidR="00C85A18" w:rsidRPr="00D64CCF" w:rsidRDefault="00C85A18" w:rsidP="009D6075">
      <w:pPr>
        <w:numPr>
          <w:ilvl w:val="0"/>
          <w:numId w:val="1"/>
        </w:numPr>
        <w:tabs>
          <w:tab w:val="left" w:pos="567"/>
          <w:tab w:val="left" w:pos="851"/>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lang w:val="es-ES_tradnl"/>
        </w:rPr>
        <w:t>Por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14:paraId="04856E0E" w14:textId="77777777" w:rsidR="00C85A18" w:rsidRPr="00D64CCF" w:rsidRDefault="00C85A18" w:rsidP="009D6075">
      <w:pPr>
        <w:spacing w:line="360" w:lineRule="auto"/>
        <w:rPr>
          <w:rFonts w:ascii="Palatino Linotype" w:eastAsia="Calibri" w:hAnsi="Palatino Linotype" w:cs="Arial"/>
          <w:lang w:val="es-ES_tradnl"/>
        </w:rPr>
      </w:pPr>
    </w:p>
    <w:p w14:paraId="65B82725" w14:textId="3EADC27C" w:rsidR="00C85A18" w:rsidRPr="00D64CCF" w:rsidRDefault="007244B1" w:rsidP="009D6075">
      <w:pPr>
        <w:numPr>
          <w:ilvl w:val="0"/>
          <w:numId w:val="1"/>
        </w:numPr>
        <w:tabs>
          <w:tab w:val="left" w:pos="567"/>
          <w:tab w:val="left" w:pos="851"/>
        </w:tabs>
        <w:spacing w:before="240" w:after="240" w:line="360" w:lineRule="auto"/>
        <w:ind w:left="0" w:firstLine="0"/>
        <w:contextualSpacing/>
        <w:jc w:val="both"/>
        <w:rPr>
          <w:rFonts w:ascii="Palatino Linotype" w:hAnsi="Palatino Linotype" w:cs="Arial"/>
        </w:rPr>
      </w:pPr>
      <w:r w:rsidRPr="00D64CCF">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B2E86A" w14:textId="09724DF4" w:rsidR="003669E8" w:rsidRPr="00D64CCF" w:rsidRDefault="00992BC7" w:rsidP="009D6075">
      <w:pPr>
        <w:pStyle w:val="Ttulo1"/>
        <w:spacing w:line="360" w:lineRule="auto"/>
        <w:rPr>
          <w:rFonts w:ascii="Palatino Linotype" w:hAnsi="Palatino Linotype"/>
          <w:sz w:val="24"/>
          <w:szCs w:val="24"/>
          <w:lang w:eastAsia="es-ES_tradnl"/>
        </w:rPr>
      </w:pPr>
      <w:bookmarkStart w:id="16" w:name="_Toc110984906"/>
      <w:r w:rsidRPr="00D64CCF">
        <w:rPr>
          <w:rFonts w:ascii="Palatino Linotype" w:eastAsia="MS Mincho" w:hAnsi="Palatino Linotype"/>
          <w:b/>
          <w:color w:val="000000" w:themeColor="text1"/>
          <w:sz w:val="24"/>
          <w:szCs w:val="24"/>
          <w:lang w:val="es-ES_tradnl"/>
        </w:rPr>
        <w:lastRenderedPageBreak/>
        <w:t>TERCERO</w:t>
      </w:r>
      <w:r w:rsidRPr="00D64CCF">
        <w:rPr>
          <w:rFonts w:ascii="Palatino Linotype" w:hAnsi="Palatino Linotype" w:cs="Times New Roman"/>
          <w:b/>
          <w:color w:val="000000" w:themeColor="text1"/>
          <w:sz w:val="24"/>
          <w:szCs w:val="24"/>
        </w:rPr>
        <w:t>.</w:t>
      </w:r>
      <w:bookmarkStart w:id="17" w:name="_Toc67587990"/>
      <w:bookmarkStart w:id="18" w:name="_Toc68804766"/>
      <w:bookmarkStart w:id="19" w:name="_Toc455991148"/>
      <w:bookmarkStart w:id="20" w:name="_Toc450120669"/>
      <w:bookmarkStart w:id="21" w:name="_Toc461555896"/>
      <w:bookmarkStart w:id="22" w:name="_Toc462154385"/>
      <w:bookmarkStart w:id="23" w:name="_Toc462660376"/>
      <w:bookmarkStart w:id="24" w:name="_Toc462660687"/>
      <w:bookmarkStart w:id="25" w:name="_Toc462660766"/>
      <w:bookmarkStart w:id="26" w:name="_Toc465264624"/>
      <w:bookmarkStart w:id="27" w:name="_Toc465264870"/>
      <w:bookmarkStart w:id="28" w:name="_Toc465266520"/>
      <w:bookmarkStart w:id="29" w:name="_Toc466302258"/>
      <w:bookmarkStart w:id="30" w:name="_Toc466371866"/>
      <w:bookmarkStart w:id="31" w:name="_Toc466371925"/>
      <w:bookmarkStart w:id="32" w:name="_Toc466377654"/>
      <w:bookmarkStart w:id="33" w:name="_Toc478549736"/>
      <w:bookmarkStart w:id="34" w:name="_Toc478572850"/>
      <w:bookmarkStart w:id="35" w:name="_Toc479238537"/>
      <w:r w:rsidR="0065578F" w:rsidRPr="00D64CCF">
        <w:rPr>
          <w:rFonts w:ascii="Palatino Linotype" w:hAnsi="Palatino Linotype" w:cs="Times New Roman"/>
          <w:b/>
          <w:color w:val="000000" w:themeColor="text1"/>
          <w:sz w:val="24"/>
          <w:szCs w:val="24"/>
        </w:rPr>
        <w:t xml:space="preserve"> </w:t>
      </w:r>
      <w:r w:rsidR="00EA0165" w:rsidRPr="00D64CCF">
        <w:rPr>
          <w:rFonts w:ascii="Palatino Linotype" w:hAnsi="Palatino Linotype"/>
          <w:b/>
          <w:color w:val="000000" w:themeColor="text1"/>
          <w:sz w:val="24"/>
          <w:szCs w:val="24"/>
          <w:lang w:val="es-MX" w:eastAsia="en-US"/>
        </w:rPr>
        <w:t xml:space="preserve">Del planteamiento de la </w:t>
      </w:r>
      <w:r w:rsidR="00EA0165" w:rsidRPr="00D64CCF">
        <w:rPr>
          <w:rFonts w:ascii="Palatino Linotype" w:hAnsi="Palatino Linotype"/>
          <w:b/>
          <w:i/>
          <w:color w:val="000000" w:themeColor="text1"/>
          <w:sz w:val="24"/>
          <w:szCs w:val="24"/>
          <w:lang w:val="es-MX" w:eastAsia="en-US"/>
        </w:rPr>
        <w:t>Litis.</w:t>
      </w:r>
      <w:bookmarkEnd w:id="16"/>
      <w:bookmarkEnd w:id="17"/>
      <w:bookmarkEnd w:id="18"/>
    </w:p>
    <w:p w14:paraId="6B097BE2" w14:textId="6E8AFDB3" w:rsidR="00D217A4" w:rsidRPr="00D64CCF" w:rsidRDefault="00E03293" w:rsidP="009D6075">
      <w:pPr>
        <w:pStyle w:val="Prrafodelista"/>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64CCF">
        <w:rPr>
          <w:rFonts w:ascii="Palatino Linotype" w:hAnsi="Palatino Linotype" w:cs="Arial"/>
        </w:rPr>
        <w:t>Los</w:t>
      </w:r>
      <w:r w:rsidR="00EA0165" w:rsidRPr="00D64CCF">
        <w:rPr>
          <w:rFonts w:ascii="Palatino Linotype" w:hAnsi="Palatino Linotype" w:cs="Arial"/>
          <w:lang w:val="es-ES_tradnl"/>
        </w:rPr>
        <w:t xml:space="preserve"> recurso</w:t>
      </w:r>
      <w:r w:rsidRPr="00D64CCF">
        <w:rPr>
          <w:rFonts w:ascii="Palatino Linotype" w:hAnsi="Palatino Linotype" w:cs="Arial"/>
          <w:lang w:val="es-ES_tradnl"/>
        </w:rPr>
        <w:t>s</w:t>
      </w:r>
      <w:r w:rsidR="00EA0165" w:rsidRPr="00D64CCF">
        <w:rPr>
          <w:rFonts w:ascii="Palatino Linotype" w:hAnsi="Palatino Linotype" w:cs="Arial"/>
          <w:lang w:val="es-ES_tradnl"/>
        </w:rPr>
        <w:t xml:space="preserve"> revisión tiene</w:t>
      </w:r>
      <w:r w:rsidRPr="00D64CCF">
        <w:rPr>
          <w:rFonts w:ascii="Palatino Linotype" w:hAnsi="Palatino Linotype" w:cs="Arial"/>
          <w:lang w:val="es-ES_tradnl"/>
        </w:rPr>
        <w:t>n</w:t>
      </w:r>
      <w:r w:rsidR="00EA0165" w:rsidRPr="00D64CCF">
        <w:rPr>
          <w:rFonts w:ascii="Palatino Linotype" w:hAnsi="Palatino Linotype" w:cs="Arial"/>
          <w:lang w:val="es-ES_tradnl"/>
        </w:rPr>
        <w:t xml:space="preserve"> como finalidad reparar cualquier posible afectación al derecho de acceso a la información pública en términos del Título Octavo de la </w:t>
      </w:r>
      <w:r w:rsidR="00EA0165" w:rsidRPr="00D64CCF">
        <w:rPr>
          <w:rFonts w:ascii="Palatino Linotype" w:eastAsia="Calibri" w:hAnsi="Palatino Linotype" w:cs="Arial"/>
          <w:b/>
        </w:rPr>
        <w:t>Ley de Transparencia y Acceso a la Información Pública del Estado de México y Municipios</w:t>
      </w:r>
      <w:r w:rsidR="00EA0165" w:rsidRPr="00D64CCF">
        <w:rPr>
          <w:rFonts w:ascii="Palatino Linotype" w:hAnsi="Palatino Linotype" w:cs="Arial"/>
          <w:lang w:val="es-ES_tradnl"/>
        </w:rPr>
        <w:t xml:space="preserve"> y determinar la confirmación; revocación o modificación; desechamiento o sobreseimiento; y en su </w:t>
      </w:r>
      <w:r w:rsidR="00EA0165" w:rsidRPr="00D64CCF">
        <w:rPr>
          <w:rFonts w:ascii="Palatino Linotype" w:hAnsi="Palatino Linotype" w:cs="Arial"/>
          <w:b/>
          <w:lang w:val="es-ES_tradnl"/>
        </w:rPr>
        <w:t>caso ordenar la entrega de la información,</w:t>
      </w:r>
      <w:r w:rsidR="00EA0165" w:rsidRPr="00D64CCF">
        <w:rPr>
          <w:rFonts w:ascii="Palatino Linotype" w:hAnsi="Palatino Linotype" w:cs="Arial"/>
          <w:lang w:val="es-ES_tradnl"/>
        </w:rPr>
        <w:t xml:space="preserve"> respecto a las respuestas o falta de ellas de los Sujetos Obligados.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3E5F6627" w14:textId="77777777" w:rsidR="00D217A4" w:rsidRPr="00D64CCF" w:rsidRDefault="00D217A4" w:rsidP="009D6075">
      <w:pPr>
        <w:pStyle w:val="Prrafodelista"/>
        <w:spacing w:before="240" w:after="240" w:line="360" w:lineRule="auto"/>
        <w:ind w:left="0"/>
        <w:contextualSpacing/>
        <w:jc w:val="both"/>
        <w:rPr>
          <w:rFonts w:ascii="Palatino Linotype" w:hAnsi="Palatino Linotype"/>
          <w:i/>
          <w:lang w:val="es-ES_tradnl"/>
        </w:rPr>
      </w:pPr>
    </w:p>
    <w:p w14:paraId="3FC2812F" w14:textId="10BE75C7" w:rsidR="004E74DD" w:rsidRPr="00D64CCF" w:rsidRDefault="00607DFD" w:rsidP="004E74DD">
      <w:pPr>
        <w:pStyle w:val="Prrafodelista"/>
        <w:numPr>
          <w:ilvl w:val="0"/>
          <w:numId w:val="1"/>
        </w:numPr>
        <w:tabs>
          <w:tab w:val="left" w:pos="567"/>
        </w:tabs>
        <w:spacing w:before="240" w:after="240" w:line="360" w:lineRule="auto"/>
        <w:ind w:left="0" w:firstLine="0"/>
        <w:contextualSpacing/>
        <w:jc w:val="both"/>
        <w:rPr>
          <w:rFonts w:ascii="Palatino Linotype" w:hAnsi="Palatino Linotype"/>
          <w:b/>
          <w:lang w:val="es-MX"/>
        </w:rPr>
      </w:pPr>
      <w:r w:rsidRPr="00D64CCF">
        <w:rPr>
          <w:rFonts w:ascii="Palatino Linotype" w:eastAsia="MS Mincho" w:hAnsi="Palatino Linotype"/>
          <w:lang w:val="es-ES_tradnl"/>
        </w:rPr>
        <w:t>De las constancias en los</w:t>
      </w:r>
      <w:r w:rsidR="00EA0165" w:rsidRPr="00D64CCF">
        <w:rPr>
          <w:rFonts w:ascii="Palatino Linotype" w:eastAsia="MS Mincho" w:hAnsi="Palatino Linotype"/>
          <w:lang w:val="es-ES_tradnl"/>
        </w:rPr>
        <w:t xml:space="preserve"> expediente</w:t>
      </w:r>
      <w:r w:rsidRPr="00D64CCF">
        <w:rPr>
          <w:rFonts w:ascii="Palatino Linotype" w:eastAsia="MS Mincho" w:hAnsi="Palatino Linotype"/>
          <w:lang w:val="es-ES_tradnl"/>
        </w:rPr>
        <w:t>s</w:t>
      </w:r>
      <w:r w:rsidR="00EA0165" w:rsidRPr="00D64CCF">
        <w:rPr>
          <w:rFonts w:ascii="Palatino Linotype" w:eastAsia="MS Mincho" w:hAnsi="Palatino Linotype"/>
          <w:lang w:val="es-ES_tradnl"/>
        </w:rPr>
        <w:t xml:space="preserve"> al rubro indicado</w:t>
      </w:r>
      <w:r w:rsidRPr="00D64CCF">
        <w:rPr>
          <w:rFonts w:ascii="Palatino Linotype" w:eastAsia="MS Mincho" w:hAnsi="Palatino Linotype"/>
          <w:lang w:val="es-ES_tradnl"/>
        </w:rPr>
        <w:t>s</w:t>
      </w:r>
      <w:r w:rsidR="00EA0165" w:rsidRPr="00D64CCF">
        <w:rPr>
          <w:rFonts w:ascii="Palatino Linotype" w:eastAsia="MS Mincho" w:hAnsi="Palatino Linotype"/>
          <w:lang w:val="es-ES_tradnl"/>
        </w:rPr>
        <w:t xml:space="preserve">, se desprende </w:t>
      </w:r>
      <w:r w:rsidR="00C26BD9" w:rsidRPr="00D64CCF">
        <w:rPr>
          <w:rFonts w:ascii="Palatino Linotype" w:eastAsia="MS Mincho" w:hAnsi="Palatino Linotype"/>
          <w:lang w:val="es-ES_tradnl"/>
        </w:rPr>
        <w:t xml:space="preserve">que el </w:t>
      </w:r>
      <w:r w:rsidR="007810A1" w:rsidRPr="00D64CCF">
        <w:rPr>
          <w:rFonts w:ascii="Palatino Linotype" w:eastAsia="MS Mincho" w:hAnsi="Palatino Linotype"/>
          <w:lang w:val="es-ES_tradnl"/>
        </w:rPr>
        <w:t>P</w:t>
      </w:r>
      <w:r w:rsidR="00C26BD9" w:rsidRPr="00D64CCF">
        <w:rPr>
          <w:rFonts w:ascii="Palatino Linotype" w:eastAsia="MS Mincho" w:hAnsi="Palatino Linotype"/>
          <w:lang w:val="es-ES_tradnl"/>
        </w:rPr>
        <w:t xml:space="preserve">articular realizo las solicitudes de información pública registrada con el </w:t>
      </w:r>
      <w:r w:rsidR="004E6725" w:rsidRPr="00D64CCF">
        <w:rPr>
          <w:rFonts w:ascii="Palatino Linotype" w:eastAsia="MS Mincho" w:hAnsi="Palatino Linotype"/>
          <w:lang w:val="es-ES_tradnl"/>
        </w:rPr>
        <w:t>número</w:t>
      </w:r>
      <w:r w:rsidR="007810A1" w:rsidRPr="00D64CCF">
        <w:rPr>
          <w:rFonts w:ascii="Palatino Linotype" w:eastAsia="MS Mincho" w:hAnsi="Palatino Linotype"/>
          <w:lang w:val="es-ES_tradnl"/>
        </w:rPr>
        <w:t xml:space="preserve"> </w:t>
      </w:r>
      <w:r w:rsidR="000C1B7E" w:rsidRPr="00D64CCF">
        <w:rPr>
          <w:rFonts w:ascii="Palatino Linotype" w:hAnsi="Palatino Linotype"/>
          <w:b/>
          <w:lang w:val="es-MX"/>
        </w:rPr>
        <w:t xml:space="preserve">01420/METEPEC/IP/2022, 01419/METEPEC/IP/2022, 01418/METEPEC/IP/2022, 01417/METEPEC/IP/2022, 01416/METEPEC/IP/2022, 01415/METEPEC/IP/2022, 01414/METEPEC/IP/2022 y 01413/METEPEC/IP/2022 </w:t>
      </w:r>
      <w:r w:rsidR="00CC390B" w:rsidRPr="00D64CCF">
        <w:rPr>
          <w:rFonts w:ascii="Palatino Linotype" w:eastAsia="Calibri" w:hAnsi="Palatino Linotype" w:cs="Arial"/>
          <w:color w:val="000000" w:themeColor="text1"/>
        </w:rPr>
        <w:t xml:space="preserve">mediante las cuales requirió </w:t>
      </w:r>
      <w:r w:rsidR="00CC390B" w:rsidRPr="00D64CCF">
        <w:rPr>
          <w:rFonts w:ascii="Palatino Linotype" w:eastAsia="Calibri" w:hAnsi="Palatino Linotype" w:cs="Arial"/>
          <w:bCs/>
          <w:color w:val="000000"/>
        </w:rPr>
        <w:t>del Departamento de Concursos, Dictamen y Apoyo al Comité de la Subdirección de Adquisiciones y Contratación de Servicios de la Dirección de Administración, los documento</w:t>
      </w:r>
      <w:r w:rsidR="0004227E" w:rsidRPr="00D64CCF">
        <w:rPr>
          <w:rFonts w:ascii="Palatino Linotype" w:eastAsia="Calibri" w:hAnsi="Palatino Linotype" w:cs="Arial"/>
          <w:bCs/>
          <w:color w:val="000000"/>
        </w:rPr>
        <w:t>s</w:t>
      </w:r>
      <w:r w:rsidR="00CC390B" w:rsidRPr="00D64CCF">
        <w:rPr>
          <w:rFonts w:ascii="Palatino Linotype" w:eastAsia="Calibri" w:hAnsi="Palatino Linotype" w:cs="Arial"/>
          <w:bCs/>
          <w:color w:val="000000"/>
        </w:rPr>
        <w:t xml:space="preserve"> en donde conste</w:t>
      </w:r>
      <w:r w:rsidR="0004227E" w:rsidRPr="00D64CCF">
        <w:rPr>
          <w:rFonts w:ascii="Palatino Linotype" w:eastAsia="Calibri" w:hAnsi="Palatino Linotype" w:cs="Arial"/>
          <w:bCs/>
          <w:color w:val="000000"/>
        </w:rPr>
        <w:t>n</w:t>
      </w:r>
      <w:r w:rsidR="00CC390B" w:rsidRPr="00D64CCF">
        <w:rPr>
          <w:rFonts w:ascii="Palatino Linotype" w:eastAsia="Calibri" w:hAnsi="Palatino Linotype" w:cs="Arial"/>
          <w:bCs/>
          <w:color w:val="000000"/>
        </w:rPr>
        <w:t xml:space="preserve"> o se advierta</w:t>
      </w:r>
      <w:r w:rsidR="0004227E" w:rsidRPr="00D64CCF">
        <w:rPr>
          <w:rFonts w:ascii="Palatino Linotype" w:eastAsia="Calibri" w:hAnsi="Palatino Linotype" w:cs="Arial"/>
          <w:bCs/>
          <w:color w:val="000000"/>
        </w:rPr>
        <w:t>n</w:t>
      </w:r>
      <w:r w:rsidR="004E74DD" w:rsidRPr="00D64CCF">
        <w:rPr>
          <w:rFonts w:ascii="Palatino Linotype" w:eastAsia="Calibri" w:hAnsi="Palatino Linotype" w:cs="Arial"/>
          <w:bCs/>
          <w:color w:val="000000"/>
        </w:rPr>
        <w:t xml:space="preserve"> d</w:t>
      </w:r>
      <w:r w:rsidR="004E74DD" w:rsidRPr="00D64CCF">
        <w:rPr>
          <w:rFonts w:ascii="Palatino Linotype" w:hAnsi="Palatino Linotype" w:cs="Arial"/>
          <w:lang w:val="es-ES_tradnl"/>
        </w:rPr>
        <w:t>el uno (01) al dieciocho (18) de enero de 2022:</w:t>
      </w:r>
    </w:p>
    <w:p w14:paraId="1FF2B668" w14:textId="77777777" w:rsidR="004E74DD" w:rsidRPr="00D64CCF" w:rsidRDefault="004E74DD" w:rsidP="004E74DD">
      <w:pPr>
        <w:pStyle w:val="Prrafodelista"/>
        <w:tabs>
          <w:tab w:val="left" w:pos="567"/>
        </w:tabs>
        <w:spacing w:before="240" w:after="240" w:line="360" w:lineRule="auto"/>
        <w:ind w:left="0"/>
        <w:contextualSpacing/>
        <w:jc w:val="both"/>
        <w:rPr>
          <w:rFonts w:ascii="Palatino Linotype" w:hAnsi="Palatino Linotype"/>
          <w:b/>
          <w:lang w:val="es-MX"/>
        </w:rPr>
      </w:pPr>
    </w:p>
    <w:p w14:paraId="5DDDFE7C" w14:textId="77777777" w:rsidR="00CC390B" w:rsidRPr="00D64CCF" w:rsidRDefault="00CC390B" w:rsidP="009D6075">
      <w:pPr>
        <w:tabs>
          <w:tab w:val="left" w:pos="426"/>
          <w:tab w:val="left" w:pos="7938"/>
        </w:tabs>
        <w:spacing w:before="240" w:after="240" w:line="360" w:lineRule="auto"/>
        <w:ind w:left="567" w:right="1134"/>
        <w:jc w:val="both"/>
        <w:rPr>
          <w:rFonts w:ascii="Palatino Linotype" w:eastAsia="Calibri" w:hAnsi="Palatino Linotype" w:cs="Arial"/>
          <w:bCs/>
          <w:color w:val="000000"/>
        </w:rPr>
      </w:pPr>
      <w:r w:rsidRPr="00D64CCF">
        <w:rPr>
          <w:rFonts w:ascii="Palatino Linotype" w:eastAsia="Calibri" w:hAnsi="Palatino Linotype" w:cs="Arial"/>
          <w:bCs/>
          <w:color w:val="000000"/>
        </w:rPr>
        <w:t>-El Resguardo de los expedientes generados con motivo de los diversos procesos adquisitivos sometidos a consideración y proceso ante el Comité de Adquisiciones y Contratación de Servicios.</w:t>
      </w:r>
    </w:p>
    <w:p w14:paraId="2878C213" w14:textId="77777777" w:rsidR="00CC390B" w:rsidRPr="00D64CCF" w:rsidRDefault="00CC390B" w:rsidP="009D6075">
      <w:pPr>
        <w:tabs>
          <w:tab w:val="left" w:pos="426"/>
          <w:tab w:val="left" w:pos="7938"/>
        </w:tabs>
        <w:spacing w:before="240" w:after="240" w:line="360" w:lineRule="auto"/>
        <w:ind w:left="567" w:right="1134"/>
        <w:jc w:val="both"/>
        <w:rPr>
          <w:rFonts w:ascii="Palatino Linotype" w:eastAsia="Calibri" w:hAnsi="Palatino Linotype" w:cs="Arial"/>
          <w:bCs/>
          <w:color w:val="000000"/>
        </w:rPr>
      </w:pPr>
      <w:r w:rsidRPr="00D64CCF">
        <w:rPr>
          <w:rFonts w:ascii="Palatino Linotype" w:eastAsia="Calibri" w:hAnsi="Palatino Linotype" w:cs="Arial"/>
          <w:bCs/>
          <w:color w:val="000000"/>
        </w:rPr>
        <w:lastRenderedPageBreak/>
        <w:t>-La verificación de los contratos de adquisición de bienes y contratación de servicios, que se hayan elaborado por la Consejería Jurídica en los procedimientos respectivos-</w:t>
      </w:r>
    </w:p>
    <w:p w14:paraId="3BBA2360" w14:textId="65A9A89A" w:rsidR="00CC390B" w:rsidRPr="00D64CCF" w:rsidRDefault="00CC390B" w:rsidP="009D6075">
      <w:pPr>
        <w:tabs>
          <w:tab w:val="left" w:pos="426"/>
          <w:tab w:val="left" w:pos="7938"/>
        </w:tabs>
        <w:spacing w:before="240" w:after="240" w:line="360" w:lineRule="auto"/>
        <w:ind w:left="567" w:right="1134"/>
        <w:jc w:val="both"/>
        <w:rPr>
          <w:rFonts w:ascii="Palatino Linotype" w:eastAsia="Calibri" w:hAnsi="Palatino Linotype" w:cs="Arial"/>
          <w:bCs/>
          <w:color w:val="000000"/>
        </w:rPr>
      </w:pPr>
      <w:r w:rsidRPr="00D64CCF">
        <w:rPr>
          <w:rFonts w:ascii="Palatino Linotype" w:hAnsi="Palatino Linotype"/>
        </w:rPr>
        <w:t>-</w:t>
      </w:r>
      <w:r w:rsidRPr="00D64CCF">
        <w:rPr>
          <w:rFonts w:ascii="Palatino Linotype" w:eastAsia="Calibri" w:hAnsi="Palatino Linotype" w:cs="Arial"/>
          <w:bCs/>
          <w:color w:val="000000"/>
        </w:rPr>
        <w:t>El resguardo en Tesorería, las fianzas que deriven de los procesos adquisitivos, recibidos y remitido</w:t>
      </w:r>
      <w:r w:rsidR="0004227E" w:rsidRPr="00D64CCF">
        <w:rPr>
          <w:rFonts w:ascii="Palatino Linotype" w:eastAsia="Calibri" w:hAnsi="Palatino Linotype" w:cs="Arial"/>
          <w:bCs/>
          <w:color w:val="000000"/>
        </w:rPr>
        <w:t>s</w:t>
      </w:r>
      <w:r w:rsidRPr="00D64CCF">
        <w:rPr>
          <w:rFonts w:ascii="Palatino Linotype" w:eastAsia="Calibri" w:hAnsi="Palatino Linotype" w:cs="Arial"/>
          <w:bCs/>
          <w:color w:val="000000"/>
        </w:rPr>
        <w:t>.</w:t>
      </w:r>
    </w:p>
    <w:p w14:paraId="6EEBF6DC" w14:textId="5757D553" w:rsidR="00CC390B" w:rsidRPr="00D64CCF" w:rsidRDefault="00CC390B" w:rsidP="009D6075">
      <w:pPr>
        <w:tabs>
          <w:tab w:val="left" w:pos="426"/>
          <w:tab w:val="left" w:pos="7938"/>
        </w:tabs>
        <w:spacing w:before="240" w:after="240" w:line="360" w:lineRule="auto"/>
        <w:ind w:left="567" w:right="1134"/>
        <w:jc w:val="both"/>
        <w:rPr>
          <w:rFonts w:ascii="Palatino Linotype" w:eastAsia="Calibri" w:hAnsi="Palatino Linotype" w:cs="Arial"/>
          <w:bCs/>
          <w:color w:val="000000"/>
        </w:rPr>
      </w:pPr>
      <w:r w:rsidRPr="00D64CCF">
        <w:rPr>
          <w:rFonts w:ascii="Palatino Linotype" w:eastAsia="Calibri" w:hAnsi="Palatino Linotype" w:cs="Arial"/>
          <w:bCs/>
          <w:color w:val="000000"/>
        </w:rPr>
        <w:t>-La Facilitación de los expedientes de adquisición de bienes o contratación de servicios, para su gestión de pago.</w:t>
      </w:r>
    </w:p>
    <w:p w14:paraId="6D6A3FB8" w14:textId="5D2F4C0B" w:rsidR="00CC390B" w:rsidRPr="00D64CCF" w:rsidRDefault="00CC390B" w:rsidP="009D6075">
      <w:pPr>
        <w:tabs>
          <w:tab w:val="left" w:pos="426"/>
          <w:tab w:val="left" w:pos="7938"/>
        </w:tabs>
        <w:spacing w:before="240" w:after="240" w:line="360" w:lineRule="auto"/>
        <w:ind w:left="567" w:right="1134"/>
        <w:jc w:val="both"/>
        <w:rPr>
          <w:rFonts w:ascii="Palatino Linotype" w:eastAsia="Palatino Linotype" w:hAnsi="Palatino Linotype" w:cs="Palatino Linotype"/>
        </w:rPr>
      </w:pPr>
      <w:r w:rsidRPr="00D64CCF">
        <w:rPr>
          <w:rFonts w:ascii="Palatino Linotype" w:eastAsia="Palatino Linotype" w:hAnsi="Palatino Linotype" w:cs="Palatino Linotype"/>
          <w:i/>
        </w:rPr>
        <w:t>-</w:t>
      </w:r>
      <w:r w:rsidR="0004227E" w:rsidRPr="00D64CCF">
        <w:rPr>
          <w:rFonts w:ascii="Palatino Linotype" w:eastAsia="Palatino Linotype" w:hAnsi="Palatino Linotype" w:cs="Palatino Linotype"/>
        </w:rPr>
        <w:t>L</w:t>
      </w:r>
      <w:r w:rsidRPr="00D64CCF">
        <w:rPr>
          <w:rFonts w:ascii="Palatino Linotype" w:eastAsia="Palatino Linotype" w:hAnsi="Palatino Linotype" w:cs="Palatino Linotype"/>
        </w:rPr>
        <w:t>a elaborar el proyecto de acta de fallo de conformidad a lo establecido en el dictamen de adjudicación formulado por el Comité de Adquisiciones y Servicios y presentarlo a consideración del superior jerárquico, a efecto de que la convocante emita el fallo de adjudicación correspondiente.</w:t>
      </w:r>
    </w:p>
    <w:p w14:paraId="201B61F8" w14:textId="61024178" w:rsidR="00CC390B" w:rsidRPr="00D64CCF" w:rsidRDefault="0004227E" w:rsidP="009D6075">
      <w:pPr>
        <w:tabs>
          <w:tab w:val="left" w:pos="426"/>
          <w:tab w:val="left" w:pos="7938"/>
        </w:tabs>
        <w:spacing w:before="240" w:after="240" w:line="360" w:lineRule="auto"/>
        <w:ind w:left="567" w:right="1134"/>
        <w:jc w:val="both"/>
        <w:rPr>
          <w:rFonts w:ascii="Palatino Linotype" w:eastAsia="Palatino Linotype" w:hAnsi="Palatino Linotype" w:cs="Palatino Linotype"/>
        </w:rPr>
      </w:pPr>
      <w:r w:rsidRPr="00D64CCF">
        <w:rPr>
          <w:rFonts w:ascii="Palatino Linotype" w:eastAsia="Palatino Linotype" w:hAnsi="Palatino Linotype" w:cs="Palatino Linotype"/>
        </w:rPr>
        <w:t>-L</w:t>
      </w:r>
      <w:r w:rsidR="00CC390B" w:rsidRPr="00D64CCF">
        <w:rPr>
          <w:rFonts w:ascii="Palatino Linotype" w:eastAsia="Palatino Linotype" w:hAnsi="Palatino Linotype" w:cs="Palatino Linotype"/>
        </w:rPr>
        <w:t>a Integración de la información de los cuadros comparativos de cotizaciones, cuando se hayan realizado los estudios de mercado correspondientes; y el dictamen técnico emitido por el área interesada en la adquisición de bienes o la contratación de servicios, a efecto de que el Comité de Adquisiciones y Servicios formule el dictamen de adjudicación correspondiente.</w:t>
      </w:r>
    </w:p>
    <w:p w14:paraId="558A1EC4" w14:textId="61F7E136" w:rsidR="00CC390B" w:rsidRPr="00D64CCF" w:rsidRDefault="0004227E" w:rsidP="009D6075">
      <w:pPr>
        <w:tabs>
          <w:tab w:val="left" w:pos="426"/>
          <w:tab w:val="left" w:pos="7938"/>
        </w:tabs>
        <w:spacing w:before="240" w:after="240" w:line="360" w:lineRule="auto"/>
        <w:ind w:left="567" w:right="1134"/>
        <w:jc w:val="both"/>
        <w:rPr>
          <w:rFonts w:ascii="Palatino Linotype" w:eastAsia="Palatino Linotype" w:hAnsi="Palatino Linotype" w:cs="Palatino Linotype"/>
        </w:rPr>
      </w:pPr>
      <w:r w:rsidRPr="00D64CCF">
        <w:rPr>
          <w:rFonts w:ascii="Palatino Linotype" w:eastAsia="Palatino Linotype" w:hAnsi="Palatino Linotype" w:cs="Palatino Linotype"/>
        </w:rPr>
        <w:lastRenderedPageBreak/>
        <w:t>-L</w:t>
      </w:r>
      <w:r w:rsidR="00CC390B" w:rsidRPr="00D64CCF">
        <w:rPr>
          <w:rFonts w:ascii="Palatino Linotype" w:eastAsia="Palatino Linotype" w:hAnsi="Palatino Linotype" w:cs="Palatino Linotype"/>
        </w:rPr>
        <w:t>a Instrumentación de las actas del Comité de Adquisiciones y Servicios, que se deriven durante el desarrollo del procedimiento, considerando los acuerdos que determinen los integrantes del Comité.</w:t>
      </w:r>
    </w:p>
    <w:p w14:paraId="17ACC7F8" w14:textId="5C1C6F11" w:rsidR="0004227E" w:rsidRPr="00D64CCF" w:rsidRDefault="0004227E" w:rsidP="009D6075">
      <w:pPr>
        <w:tabs>
          <w:tab w:val="left" w:pos="426"/>
          <w:tab w:val="left" w:pos="7938"/>
        </w:tabs>
        <w:spacing w:before="240" w:after="240" w:line="360" w:lineRule="auto"/>
        <w:ind w:left="567" w:right="1134"/>
        <w:jc w:val="both"/>
        <w:rPr>
          <w:rFonts w:ascii="Palatino Linotype" w:eastAsia="Palatino Linotype" w:hAnsi="Palatino Linotype" w:cs="Palatino Linotype"/>
        </w:rPr>
      </w:pPr>
      <w:r w:rsidRPr="00D64CCF">
        <w:rPr>
          <w:rFonts w:ascii="Palatino Linotype" w:eastAsia="Palatino Linotype" w:hAnsi="Palatino Linotype" w:cs="Palatino Linotype"/>
        </w:rPr>
        <w:t>-L</w:t>
      </w:r>
      <w:r w:rsidR="00CC390B" w:rsidRPr="00D64CCF">
        <w:rPr>
          <w:rFonts w:ascii="Palatino Linotype" w:eastAsia="Palatino Linotype" w:hAnsi="Palatino Linotype" w:cs="Palatino Linotype"/>
        </w:rPr>
        <w:t>a Colaboración de los procesos de adquisición, en la modalidad de licitación pública, invitación restringida y adjudicación directa.</w:t>
      </w:r>
    </w:p>
    <w:p w14:paraId="5A4E977D" w14:textId="77777777" w:rsidR="00D87374" w:rsidRPr="00D64CCF" w:rsidRDefault="00D87374" w:rsidP="00D87374">
      <w:pPr>
        <w:pStyle w:val="Prrafodelista"/>
        <w:tabs>
          <w:tab w:val="left" w:pos="567"/>
        </w:tabs>
        <w:spacing w:before="240" w:after="240" w:line="360" w:lineRule="auto"/>
        <w:ind w:left="0"/>
        <w:contextualSpacing/>
        <w:jc w:val="both"/>
        <w:rPr>
          <w:rFonts w:ascii="Palatino Linotype" w:hAnsi="Palatino Linotype"/>
          <w:i/>
          <w:lang w:val="es-ES_tradnl"/>
        </w:rPr>
      </w:pPr>
    </w:p>
    <w:p w14:paraId="0F7D6BEA" w14:textId="7CAA1FAB" w:rsidR="00690FC8" w:rsidRPr="00D64CCF" w:rsidRDefault="00DF26DF" w:rsidP="009D6075">
      <w:pPr>
        <w:pStyle w:val="Prrafodelista"/>
        <w:numPr>
          <w:ilvl w:val="0"/>
          <w:numId w:val="1"/>
        </w:numPr>
        <w:tabs>
          <w:tab w:val="left" w:pos="567"/>
        </w:tabs>
        <w:spacing w:before="240" w:after="240" w:line="360" w:lineRule="auto"/>
        <w:ind w:left="0" w:firstLine="0"/>
        <w:contextualSpacing/>
        <w:jc w:val="both"/>
        <w:rPr>
          <w:rFonts w:ascii="Palatino Linotype" w:hAnsi="Palatino Linotype"/>
          <w:i/>
          <w:lang w:val="es-ES_tradnl"/>
        </w:rPr>
      </w:pPr>
      <w:r w:rsidRPr="00D64CCF">
        <w:rPr>
          <w:rFonts w:ascii="Palatino Linotype" w:hAnsi="Palatino Linotype"/>
          <w:lang w:val="es-ES_tradnl"/>
        </w:rPr>
        <w:t>El</w:t>
      </w:r>
      <w:r w:rsidR="00690FC8" w:rsidRPr="00D64CCF">
        <w:rPr>
          <w:rFonts w:ascii="Palatino Linotype" w:hAnsi="Palatino Linotype"/>
          <w:lang w:val="es-ES_tradnl"/>
        </w:rPr>
        <w:t xml:space="preserve"> </w:t>
      </w:r>
      <w:r w:rsidR="00690FC8" w:rsidRPr="00D64CCF">
        <w:rPr>
          <w:rFonts w:ascii="Palatino Linotype" w:hAnsi="Palatino Linotype"/>
          <w:b/>
          <w:lang w:val="es-ES_tradnl"/>
        </w:rPr>
        <w:t>SUJETO OBLIGADO</w:t>
      </w:r>
      <w:r w:rsidR="00690FC8" w:rsidRPr="00D64CCF">
        <w:rPr>
          <w:rFonts w:ascii="Palatino Linotype" w:hAnsi="Palatino Linotype"/>
          <w:lang w:val="es-ES_tradnl"/>
        </w:rPr>
        <w:t xml:space="preserve"> </w:t>
      </w:r>
      <w:r w:rsidRPr="00D64CCF">
        <w:rPr>
          <w:rFonts w:ascii="Palatino Linotype" w:hAnsi="Palatino Linotype"/>
          <w:lang w:val="es-ES_tradnl"/>
        </w:rPr>
        <w:t>no proporcionó respuesta.</w:t>
      </w:r>
    </w:p>
    <w:p w14:paraId="3EC96D59" w14:textId="77777777" w:rsidR="00690FC8" w:rsidRPr="00D64CCF" w:rsidRDefault="00690FC8" w:rsidP="009D6075">
      <w:pPr>
        <w:pStyle w:val="Prrafodelista"/>
        <w:spacing w:before="240" w:after="240" w:line="360" w:lineRule="auto"/>
        <w:ind w:left="0"/>
        <w:contextualSpacing/>
        <w:jc w:val="both"/>
        <w:rPr>
          <w:rFonts w:ascii="Palatino Linotype" w:hAnsi="Palatino Linotype"/>
          <w:i/>
          <w:lang w:val="es-ES_tradnl"/>
        </w:rPr>
      </w:pPr>
    </w:p>
    <w:p w14:paraId="14AB8A39" w14:textId="5C418D4C" w:rsidR="007C1550" w:rsidRPr="00D64CCF" w:rsidRDefault="007C1550" w:rsidP="009D6075">
      <w:pPr>
        <w:pStyle w:val="Prrafodelista"/>
        <w:numPr>
          <w:ilvl w:val="0"/>
          <w:numId w:val="1"/>
        </w:numPr>
        <w:tabs>
          <w:tab w:val="left" w:pos="567"/>
        </w:tabs>
        <w:spacing w:before="240" w:after="240" w:line="360" w:lineRule="auto"/>
        <w:ind w:left="0" w:firstLine="0"/>
        <w:contextualSpacing/>
        <w:jc w:val="both"/>
        <w:rPr>
          <w:rFonts w:ascii="Palatino Linotype" w:eastAsia="MS Mincho" w:hAnsi="Palatino Linotype"/>
          <w:lang w:val="es-ES_tradnl"/>
        </w:rPr>
      </w:pPr>
      <w:r w:rsidRPr="00D64CCF">
        <w:rPr>
          <w:rFonts w:ascii="Palatino Linotype" w:eastAsia="MS Mincho" w:hAnsi="Palatino Linotype"/>
          <w:lang w:val="es-ES_tradnl"/>
        </w:rPr>
        <w:t xml:space="preserve">Por lo anterior, la Litis a resolver en el presente recurso se circunscribe en determinar si la respuesta del </w:t>
      </w:r>
      <w:r w:rsidRPr="00D64CCF">
        <w:rPr>
          <w:rFonts w:ascii="Palatino Linotype" w:eastAsia="MS Mincho" w:hAnsi="Palatino Linotype"/>
          <w:b/>
          <w:lang w:val="es-ES_tradnl"/>
        </w:rPr>
        <w:t>SUJETO OBLIGADO</w:t>
      </w:r>
      <w:r w:rsidR="000A5994" w:rsidRPr="00D64CCF">
        <w:rPr>
          <w:rFonts w:ascii="Palatino Linotype" w:eastAsia="MS Mincho" w:hAnsi="Palatino Linotype"/>
          <w:b/>
          <w:lang w:val="es-ES_tradnl"/>
        </w:rPr>
        <w:t>,</w:t>
      </w:r>
      <w:r w:rsidRPr="00D64CCF">
        <w:rPr>
          <w:rFonts w:ascii="Palatino Linotype" w:eastAsia="MS Mincho" w:hAnsi="Palatino Linotype"/>
          <w:lang w:val="es-ES_tradnl"/>
        </w:rPr>
        <w:t xml:space="preserve"> colma el derecho de acceso a la información ejercido por el </w:t>
      </w:r>
      <w:r w:rsidRPr="00D64CCF">
        <w:rPr>
          <w:rFonts w:ascii="Palatino Linotype" w:eastAsia="MS Mincho" w:hAnsi="Palatino Linotype"/>
          <w:b/>
          <w:lang w:val="es-ES_tradnl"/>
        </w:rPr>
        <w:t>RECURRENTE</w:t>
      </w:r>
      <w:r w:rsidRPr="00D64CCF">
        <w:rPr>
          <w:rFonts w:ascii="Palatino Linotype" w:eastAsia="MS Mincho" w:hAnsi="Palatino Linotype"/>
          <w:lang w:val="es-ES_tradnl"/>
        </w:rPr>
        <w:t xml:space="preserve">; o si, por el contrario, se actualiza la causal de procedencia del recurso de revisión establecida </w:t>
      </w:r>
      <w:r w:rsidR="0015702E" w:rsidRPr="00D64CCF">
        <w:rPr>
          <w:rFonts w:ascii="Palatino Linotype" w:eastAsia="MS Mincho" w:hAnsi="Palatino Linotype"/>
          <w:lang w:val="es-ES_tradnl"/>
        </w:rPr>
        <w:t xml:space="preserve">en el artículo 179, fracción I y VII </w:t>
      </w:r>
      <w:r w:rsidRPr="00D64CCF">
        <w:rPr>
          <w:rFonts w:ascii="Palatino Linotype" w:eastAsia="MS Mincho" w:hAnsi="Palatino Linotype"/>
          <w:lang w:val="es-ES_tradnl"/>
        </w:rPr>
        <w:t>de la Ley de Transparencia y Acceso a la Información Pública del Estado de México y Municipios, misma que se transcribe a continuación:</w:t>
      </w:r>
    </w:p>
    <w:p w14:paraId="7D3CB2BB" w14:textId="77777777" w:rsidR="007C1550" w:rsidRPr="00D64CCF" w:rsidRDefault="007C1550" w:rsidP="009D6075">
      <w:pPr>
        <w:pStyle w:val="Prrafodelista"/>
        <w:tabs>
          <w:tab w:val="left" w:pos="7938"/>
        </w:tabs>
        <w:spacing w:before="240" w:after="240" w:line="360" w:lineRule="auto"/>
        <w:ind w:left="567" w:right="1134"/>
        <w:contextualSpacing/>
        <w:jc w:val="both"/>
        <w:rPr>
          <w:rFonts w:ascii="Palatino Linotype" w:eastAsia="MS Mincho" w:hAnsi="Palatino Linotype"/>
          <w:lang w:val="es-ES_tradnl"/>
        </w:rPr>
      </w:pPr>
    </w:p>
    <w:p w14:paraId="085806F8" w14:textId="5135BB0C" w:rsidR="007C1550" w:rsidRPr="00D64CCF" w:rsidRDefault="007C1550" w:rsidP="009D6075">
      <w:pPr>
        <w:pStyle w:val="Prrafodelista"/>
        <w:tabs>
          <w:tab w:val="left" w:pos="7938"/>
        </w:tabs>
        <w:spacing w:line="360" w:lineRule="auto"/>
        <w:ind w:left="567" w:right="1134"/>
        <w:jc w:val="both"/>
        <w:rPr>
          <w:rFonts w:ascii="Palatino Linotype" w:eastAsia="MS Mincho" w:hAnsi="Palatino Linotype"/>
          <w:i/>
          <w:lang w:val="es-ES_tradnl"/>
        </w:rPr>
      </w:pPr>
      <w:r w:rsidRPr="00D64CCF">
        <w:rPr>
          <w:rFonts w:ascii="Palatino Linotype" w:eastAsia="MS Mincho" w:hAnsi="Palatino Linotype"/>
          <w:i/>
          <w:lang w:val="es-ES_tradnl"/>
        </w:rPr>
        <w:t>“Artículo 179. El recurso de revisión es un medio de protección que la Ley otorga a los particulares, para hacer valer su derecho de acceso a la información pública, y procederá en contra de las siguientes causas:</w:t>
      </w:r>
    </w:p>
    <w:p w14:paraId="38C07DE0" w14:textId="11B9C86B" w:rsidR="00E71964" w:rsidRPr="00D64CCF" w:rsidRDefault="00E71964" w:rsidP="009D6075">
      <w:pPr>
        <w:pStyle w:val="Prrafodelista"/>
        <w:tabs>
          <w:tab w:val="left" w:pos="7938"/>
        </w:tabs>
        <w:spacing w:line="360" w:lineRule="auto"/>
        <w:ind w:left="567" w:right="1134"/>
        <w:jc w:val="both"/>
        <w:rPr>
          <w:rFonts w:ascii="Palatino Linotype" w:eastAsia="MS Mincho" w:hAnsi="Palatino Linotype"/>
          <w:i/>
          <w:lang w:val="es-ES_tradnl"/>
        </w:rPr>
      </w:pPr>
      <w:r w:rsidRPr="00D64CCF">
        <w:rPr>
          <w:rFonts w:ascii="Palatino Linotype" w:eastAsia="MS Mincho" w:hAnsi="Palatino Linotype"/>
          <w:i/>
          <w:lang w:val="es-ES_tradnl"/>
        </w:rPr>
        <w:t>I. La negativa a la información solicitada;</w:t>
      </w:r>
      <w:r w:rsidR="0015702E" w:rsidRPr="00D64CCF">
        <w:rPr>
          <w:rFonts w:ascii="Palatino Linotype" w:eastAsia="MS Mincho" w:hAnsi="Palatino Linotype"/>
          <w:i/>
          <w:lang w:val="es-ES_tradnl"/>
        </w:rPr>
        <w:t xml:space="preserve"> </w:t>
      </w:r>
    </w:p>
    <w:p w14:paraId="5E26CE00" w14:textId="57152B55" w:rsidR="0015702E" w:rsidRPr="00D64CCF" w:rsidRDefault="0015702E" w:rsidP="009D6075">
      <w:pPr>
        <w:pStyle w:val="Prrafodelista"/>
        <w:tabs>
          <w:tab w:val="left" w:pos="7938"/>
        </w:tabs>
        <w:spacing w:line="360" w:lineRule="auto"/>
        <w:ind w:left="567" w:right="1134"/>
        <w:jc w:val="both"/>
        <w:rPr>
          <w:rFonts w:ascii="Palatino Linotype" w:eastAsia="MS Mincho" w:hAnsi="Palatino Linotype"/>
          <w:i/>
          <w:lang w:val="es-ES_tradnl"/>
        </w:rPr>
      </w:pPr>
      <w:r w:rsidRPr="00D64CCF">
        <w:rPr>
          <w:rFonts w:ascii="Palatino Linotype" w:eastAsia="MS Mincho" w:hAnsi="Palatino Linotype"/>
          <w:i/>
          <w:lang w:val="es-ES_tradnl"/>
        </w:rPr>
        <w:t>VII. La falta de respuesta a una solicitud de acceso a la información;</w:t>
      </w:r>
    </w:p>
    <w:p w14:paraId="622C41DB" w14:textId="77777777" w:rsidR="0015702E" w:rsidRPr="00D64CCF" w:rsidRDefault="0015702E" w:rsidP="009D6075">
      <w:pPr>
        <w:pStyle w:val="Prrafodelista"/>
        <w:spacing w:line="360" w:lineRule="auto"/>
        <w:ind w:left="567" w:right="1134"/>
        <w:jc w:val="both"/>
        <w:rPr>
          <w:rFonts w:ascii="Palatino Linotype" w:eastAsia="MS Mincho" w:hAnsi="Palatino Linotype"/>
          <w:i/>
          <w:lang w:val="es-ES_tradnl"/>
        </w:rPr>
      </w:pPr>
    </w:p>
    <w:p w14:paraId="5162A17C" w14:textId="71549F44" w:rsidR="00286C23" w:rsidRPr="00D64CCF" w:rsidRDefault="009A1E3F" w:rsidP="009D6075">
      <w:pPr>
        <w:pStyle w:val="Ttulo1"/>
        <w:spacing w:line="360" w:lineRule="auto"/>
        <w:rPr>
          <w:rFonts w:ascii="Palatino Linotype" w:hAnsi="Palatino Linotype"/>
          <w:b/>
          <w:color w:val="000000" w:themeColor="text1"/>
          <w:sz w:val="24"/>
          <w:szCs w:val="24"/>
          <w:lang w:val="es-MX" w:eastAsia="en-US"/>
        </w:rPr>
      </w:pPr>
      <w:bookmarkStart w:id="36" w:name="_Toc68804767"/>
      <w:bookmarkStart w:id="37" w:name="_Toc110984907"/>
      <w:bookmarkStart w:id="38" w:name="_Toc459174366"/>
      <w:bookmarkStart w:id="39" w:name="_Toc459659884"/>
      <w:bookmarkStart w:id="40" w:name="_Toc461687280"/>
      <w:bookmarkStart w:id="41" w:name="_Toc462771051"/>
      <w:bookmarkStart w:id="42" w:name="_Toc464139201"/>
      <w:r w:rsidRPr="00D64CCF">
        <w:rPr>
          <w:rFonts w:ascii="Palatino Linotype" w:hAnsi="Palatino Linotype"/>
          <w:b/>
          <w:color w:val="000000" w:themeColor="text1"/>
          <w:sz w:val="24"/>
          <w:szCs w:val="24"/>
          <w:lang w:val="es-MX" w:eastAsia="en-US"/>
        </w:rPr>
        <w:lastRenderedPageBreak/>
        <w:t>CUARTO</w:t>
      </w:r>
      <w:r w:rsidR="00F041CF" w:rsidRPr="00D64CCF">
        <w:rPr>
          <w:rFonts w:ascii="Palatino Linotype" w:hAnsi="Palatino Linotype"/>
          <w:b/>
          <w:color w:val="000000" w:themeColor="text1"/>
          <w:sz w:val="24"/>
          <w:szCs w:val="24"/>
          <w:lang w:val="es-MX" w:eastAsia="en-US"/>
        </w:rPr>
        <w:t>. Estudio y r</w:t>
      </w:r>
      <w:r w:rsidR="00EA0165" w:rsidRPr="00D64CCF">
        <w:rPr>
          <w:rFonts w:ascii="Palatino Linotype" w:hAnsi="Palatino Linotype"/>
          <w:b/>
          <w:color w:val="000000" w:themeColor="text1"/>
          <w:sz w:val="24"/>
          <w:szCs w:val="24"/>
          <w:lang w:val="es-MX" w:eastAsia="en-US"/>
        </w:rPr>
        <w:t>esolución del asunto.</w:t>
      </w:r>
      <w:bookmarkEnd w:id="36"/>
      <w:bookmarkEnd w:id="37"/>
    </w:p>
    <w:p w14:paraId="026D1081" w14:textId="77777777" w:rsidR="00D87374" w:rsidRPr="00D64CCF" w:rsidRDefault="00D87374" w:rsidP="00D87374">
      <w:pPr>
        <w:rPr>
          <w:lang w:val="es-MX" w:eastAsia="en-US"/>
        </w:rPr>
      </w:pPr>
    </w:p>
    <w:p w14:paraId="2D1ED7BE" w14:textId="5593B68D" w:rsidR="00D87374" w:rsidRPr="00D64CCF" w:rsidRDefault="00D87374" w:rsidP="00920032">
      <w:pPr>
        <w:pStyle w:val="Prrafodelista"/>
        <w:numPr>
          <w:ilvl w:val="0"/>
          <w:numId w:val="1"/>
        </w:numPr>
        <w:spacing w:line="360" w:lineRule="auto"/>
        <w:ind w:left="0" w:firstLine="0"/>
        <w:contextualSpacing/>
        <w:jc w:val="both"/>
        <w:rPr>
          <w:lang w:val="es-MX" w:eastAsia="en-US"/>
        </w:rPr>
      </w:pPr>
      <w:r w:rsidRPr="00D64CCF">
        <w:rPr>
          <w:rFonts w:ascii="Palatino Linotype" w:hAnsi="Palatino Linotype"/>
          <w:color w:val="000000" w:themeColor="text1"/>
        </w:rPr>
        <w:t xml:space="preserve">Acotada la </w:t>
      </w:r>
      <w:r w:rsidRPr="00D64CCF">
        <w:rPr>
          <w:rFonts w:ascii="Palatino Linotype" w:hAnsi="Palatino Linotype"/>
          <w:i/>
          <w:color w:val="000000" w:themeColor="text1"/>
        </w:rPr>
        <w:t>Litis</w:t>
      </w:r>
      <w:r w:rsidRPr="00D64CCF">
        <w:rPr>
          <w:rFonts w:ascii="Palatino Linotype" w:hAnsi="Palatino Linotype"/>
          <w:color w:val="000000" w:themeColor="text1"/>
        </w:rPr>
        <w:t xml:space="preserve"> del presente asunto, es dable señalar que se advierten procedentes los </w:t>
      </w:r>
      <w:r w:rsidRPr="00D64CCF">
        <w:rPr>
          <w:rFonts w:ascii="Palatino Linotype" w:hAnsi="Palatino Linotype" w:cs="Arial"/>
          <w:color w:val="000000" w:themeColor="text1"/>
          <w:lang w:eastAsia="es-MX"/>
        </w:rPr>
        <w:t>motivos</w:t>
      </w:r>
      <w:r w:rsidRPr="00D64CCF">
        <w:rPr>
          <w:rFonts w:ascii="Palatino Linotype" w:hAnsi="Palatino Linotype"/>
          <w:color w:val="000000" w:themeColor="text1"/>
        </w:rPr>
        <w:t xml:space="preserve"> de inconformidad en su parte relativa a la </w:t>
      </w:r>
      <w:r w:rsidR="0022543B" w:rsidRPr="00D64CCF">
        <w:rPr>
          <w:rFonts w:ascii="Palatino Linotype" w:eastAsia="MS Mincho" w:hAnsi="Palatino Linotype"/>
          <w:i/>
          <w:lang w:val="es-ES_tradnl"/>
        </w:rPr>
        <w:t xml:space="preserve"> falta de respuesta a una solicitud de acceso a la información</w:t>
      </w:r>
      <w:r w:rsidRPr="00D64CCF">
        <w:rPr>
          <w:rFonts w:ascii="Palatino Linotype" w:hAnsi="Palatino Linotype"/>
          <w:color w:val="000000" w:themeColor="text1"/>
        </w:rPr>
        <w:t>, toda vez que de las constancias que obran en el expediente electrónico en que se actúa,</w:t>
      </w:r>
      <w:r w:rsidR="0022543B" w:rsidRPr="00D64CCF">
        <w:rPr>
          <w:rFonts w:ascii="Palatino Linotype" w:hAnsi="Palatino Linotype"/>
          <w:color w:val="000000" w:themeColor="text1"/>
        </w:rPr>
        <w:t xml:space="preserve"> se advierte que así aconteció.</w:t>
      </w:r>
    </w:p>
    <w:bookmarkEnd w:id="38"/>
    <w:bookmarkEnd w:id="39"/>
    <w:bookmarkEnd w:id="40"/>
    <w:bookmarkEnd w:id="41"/>
    <w:bookmarkEnd w:id="42"/>
    <w:p w14:paraId="44887D9B" w14:textId="59D679E5" w:rsidR="00693623" w:rsidRPr="00D64CCF" w:rsidRDefault="00BB19F7" w:rsidP="009D6075">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rPr>
        <w:t>Asimis</w:t>
      </w:r>
      <w:r w:rsidR="00E72E97" w:rsidRPr="00D64CCF">
        <w:rPr>
          <w:rFonts w:ascii="Palatino Linotype" w:hAnsi="Palatino Linotype" w:cs="Arial"/>
        </w:rPr>
        <w:t xml:space="preserve">mo, no pasa desapercibido que en el informe justificado presentado en </w:t>
      </w:r>
      <w:r w:rsidR="0022543B" w:rsidRPr="00D64CCF">
        <w:rPr>
          <w:rFonts w:ascii="Palatino Linotype" w:hAnsi="Palatino Linotype" w:cs="Arial"/>
        </w:rPr>
        <w:t>los</w:t>
      </w:r>
      <w:r w:rsidRPr="00D64CCF">
        <w:rPr>
          <w:rFonts w:ascii="Palatino Linotype" w:hAnsi="Palatino Linotype" w:cs="Arial"/>
        </w:rPr>
        <w:t xml:space="preserve"> </w:t>
      </w:r>
      <w:r w:rsidR="0022543B" w:rsidRPr="00D64CCF">
        <w:rPr>
          <w:rFonts w:ascii="Palatino Linotype" w:hAnsi="Palatino Linotype" w:cs="Arial"/>
        </w:rPr>
        <w:t xml:space="preserve">recursos de revisión </w:t>
      </w:r>
      <w:r w:rsidR="0022543B" w:rsidRPr="00D64CCF">
        <w:rPr>
          <w:rFonts w:ascii="Palatino Linotype" w:hAnsi="Palatino Linotype" w:cs="Arial"/>
          <w:b/>
          <w:lang w:val="es-ES_tradnl"/>
        </w:rPr>
        <w:t>03398/INFOEM/IP/RR/2022, 03399/INFOEM/IP/RR/2022, 03401/INFOEM/IP/RR/2022, 03402/INFOEM/IP/RR/2022, 03403/INFOEM/IP/RR/2022, 03404/INFOEM/IP/RR/2022 y 03405/INFOEM/IP/RR/2022</w:t>
      </w:r>
      <w:r w:rsidR="000C1B7E" w:rsidRPr="00D64CCF">
        <w:rPr>
          <w:rFonts w:ascii="Palatino Linotype" w:hAnsi="Palatino Linotype" w:cs="Arial"/>
          <w:lang w:val="es-ES_tradnl"/>
        </w:rPr>
        <w:t xml:space="preserve"> </w:t>
      </w:r>
      <w:r w:rsidRPr="00D64CCF">
        <w:rPr>
          <w:rFonts w:ascii="Palatino Linotype" w:hAnsi="Palatino Linotype" w:cs="Arial"/>
        </w:rPr>
        <w:t>se advierte</w:t>
      </w:r>
      <w:r w:rsidR="00693623" w:rsidRPr="00D64CCF">
        <w:rPr>
          <w:rFonts w:ascii="Palatino Linotype" w:hAnsi="Palatino Linotype" w:cs="Arial"/>
        </w:rPr>
        <w:t xml:space="preserve"> que el </w:t>
      </w:r>
      <w:r w:rsidR="00693623" w:rsidRPr="00D64CCF">
        <w:rPr>
          <w:rFonts w:ascii="Palatino Linotype" w:hAnsi="Palatino Linotype" w:cs="Arial"/>
          <w:b/>
        </w:rPr>
        <w:t>SUJETO OBLIGADO</w:t>
      </w:r>
      <w:r w:rsidR="000A5994" w:rsidRPr="00D64CCF">
        <w:rPr>
          <w:rFonts w:ascii="Palatino Linotype" w:hAnsi="Palatino Linotype" w:cs="Arial"/>
          <w:b/>
        </w:rPr>
        <w:t>,</w:t>
      </w:r>
      <w:r w:rsidR="00693623" w:rsidRPr="00D64CCF">
        <w:rPr>
          <w:rFonts w:ascii="Palatino Linotype" w:hAnsi="Palatino Linotype" w:cs="Arial"/>
        </w:rPr>
        <w:t xml:space="preserve"> </w:t>
      </w:r>
      <w:r w:rsidR="00C21CFB" w:rsidRPr="00D64CCF">
        <w:rPr>
          <w:rFonts w:ascii="Palatino Linotype" w:hAnsi="Palatino Linotype" w:cs="Arial"/>
        </w:rPr>
        <w:t>refiere</w:t>
      </w:r>
      <w:r w:rsidR="00E72E97" w:rsidRPr="00D64CCF">
        <w:rPr>
          <w:rFonts w:ascii="Palatino Linotype" w:hAnsi="Palatino Linotype" w:cs="Arial"/>
        </w:rPr>
        <w:t xml:space="preserve"> que </w:t>
      </w:r>
      <w:r w:rsidR="00693623" w:rsidRPr="00D64CCF">
        <w:rPr>
          <w:rFonts w:ascii="Palatino Linotype" w:hAnsi="Palatino Linotype" w:cs="Arial"/>
          <w:lang w:val="es-ES_tradnl"/>
        </w:rPr>
        <w:t xml:space="preserve">aunando al número excesivo de </w:t>
      </w:r>
      <w:r w:rsidR="0022543B" w:rsidRPr="00D64CCF">
        <w:rPr>
          <w:rFonts w:ascii="Palatino Linotype" w:hAnsi="Palatino Linotype" w:cs="Arial"/>
          <w:lang w:val="es-ES_tradnl"/>
        </w:rPr>
        <w:t xml:space="preserve">solicitudes de información, </w:t>
      </w:r>
      <w:r w:rsidR="00693623" w:rsidRPr="00D64CCF">
        <w:rPr>
          <w:rFonts w:ascii="Palatino Linotype" w:hAnsi="Palatino Linotype" w:cs="Arial"/>
          <w:lang w:val="es-ES_tradnl"/>
        </w:rPr>
        <w:t>mismas que sobrepasan las capacidades técnicas, administrativas y humanas del sujeto obligado, para cumplir con las solicitudes en los plazos establecidos por la ley sustantiva en la materia, ya que de acuerdo al principio general del derecho “nadie está obligado a lo imposible”, pues como lo hemos manifestado en los precedentes, el sujeto obligado se encontró en condiciones de dar respuesta a las solicitudes.</w:t>
      </w:r>
    </w:p>
    <w:p w14:paraId="5699FC68" w14:textId="77777777" w:rsidR="00F511B5" w:rsidRPr="00D64CCF" w:rsidRDefault="00F511B5" w:rsidP="00F511B5">
      <w:pPr>
        <w:spacing w:line="360" w:lineRule="auto"/>
        <w:contextualSpacing/>
        <w:jc w:val="both"/>
        <w:rPr>
          <w:rFonts w:ascii="Palatino Linotype" w:hAnsi="Palatino Linotype"/>
          <w:color w:val="000000" w:themeColor="text1"/>
          <w:lang w:val="es-ES_tradnl"/>
        </w:rPr>
      </w:pPr>
    </w:p>
    <w:p w14:paraId="247FB918" w14:textId="1423DE55" w:rsidR="00F511B5" w:rsidRPr="00D64CCF" w:rsidRDefault="00F511B5" w:rsidP="00F511B5">
      <w:pPr>
        <w:pStyle w:val="Prrafodelista"/>
        <w:numPr>
          <w:ilvl w:val="0"/>
          <w:numId w:val="1"/>
        </w:numPr>
        <w:spacing w:line="360" w:lineRule="auto"/>
        <w:ind w:left="0" w:firstLine="0"/>
        <w:contextualSpacing/>
        <w:jc w:val="both"/>
        <w:rPr>
          <w:rFonts w:ascii="Palatino Linotype" w:hAnsi="Palatino Linotype"/>
          <w:color w:val="000000" w:themeColor="text1"/>
          <w:lang w:val="es-ES_tradnl"/>
        </w:rPr>
      </w:pPr>
      <w:r w:rsidRPr="00D64CCF">
        <w:rPr>
          <w:rFonts w:ascii="Palatino Linotype" w:hAnsi="Palatino Linotype"/>
          <w:color w:val="000000" w:themeColor="text1"/>
        </w:rPr>
        <w:t>Si bien es cierto, los sujetos obligados pueden proponer cambios de modalidad cuando así se amerite; también lo es que debe ser de manera fundada y motivada, en ese sentido se advierte notoriamente fuera del marco normativo de la materia para proponer un cambio de modalidad de entrega de la información, razón por la que se estima dable realizar las siguientes precisiones al respecto.</w:t>
      </w:r>
    </w:p>
    <w:p w14:paraId="52EC810B" w14:textId="77777777" w:rsidR="00F511B5" w:rsidRPr="00D64CCF" w:rsidRDefault="00F511B5" w:rsidP="00F511B5">
      <w:pPr>
        <w:spacing w:line="360" w:lineRule="auto"/>
        <w:jc w:val="both"/>
        <w:rPr>
          <w:rFonts w:ascii="Palatino Linotype" w:hAnsi="Palatino Linotype"/>
          <w:color w:val="000000" w:themeColor="text1"/>
        </w:rPr>
      </w:pPr>
    </w:p>
    <w:p w14:paraId="561F6D18" w14:textId="77777777" w:rsidR="00F511B5" w:rsidRPr="00D64CCF" w:rsidRDefault="00F511B5" w:rsidP="00F511B5">
      <w:pPr>
        <w:pStyle w:val="Ttulo2"/>
        <w:numPr>
          <w:ilvl w:val="0"/>
          <w:numId w:val="18"/>
        </w:numPr>
        <w:spacing w:before="0" w:line="360" w:lineRule="auto"/>
        <w:rPr>
          <w:rFonts w:ascii="Palatino Linotype" w:hAnsi="Palatino Linotype"/>
          <w:b/>
          <w:color w:val="000000" w:themeColor="text1"/>
          <w:sz w:val="24"/>
          <w:szCs w:val="24"/>
        </w:rPr>
      </w:pPr>
      <w:bookmarkStart w:id="43" w:name="_Toc83128583"/>
      <w:bookmarkStart w:id="44" w:name="_Toc71674114"/>
      <w:r w:rsidRPr="00D64CCF">
        <w:rPr>
          <w:rFonts w:ascii="Palatino Linotype" w:hAnsi="Palatino Linotype"/>
          <w:b/>
          <w:color w:val="000000" w:themeColor="text1"/>
          <w:sz w:val="24"/>
          <w:szCs w:val="24"/>
        </w:rPr>
        <w:lastRenderedPageBreak/>
        <w:t>Del cambio de modalidad</w:t>
      </w:r>
      <w:bookmarkEnd w:id="43"/>
      <w:bookmarkEnd w:id="44"/>
    </w:p>
    <w:p w14:paraId="0EA9135B" w14:textId="77777777" w:rsidR="00F511B5" w:rsidRPr="00D64CCF" w:rsidRDefault="00F511B5" w:rsidP="00F511B5">
      <w:pPr>
        <w:spacing w:line="360" w:lineRule="auto"/>
        <w:jc w:val="both"/>
        <w:rPr>
          <w:rFonts w:ascii="Palatino Linotype" w:eastAsia="MS Mincho" w:hAnsi="Palatino Linotype" w:cs="Arial"/>
        </w:rPr>
      </w:pPr>
    </w:p>
    <w:p w14:paraId="0758312D" w14:textId="140F2581" w:rsidR="00F511B5" w:rsidRPr="00D64CCF" w:rsidRDefault="00F511B5" w:rsidP="00F511B5">
      <w:pPr>
        <w:pStyle w:val="Prrafodelista"/>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 xml:space="preserve">Primeramente subrayar que el </w:t>
      </w:r>
      <w:r w:rsidRPr="00D64CCF">
        <w:rPr>
          <w:rFonts w:ascii="Palatino Linotype" w:eastAsia="MS Mincho" w:hAnsi="Palatino Linotype" w:cs="Arial"/>
          <w:b/>
        </w:rPr>
        <w:t>SUJETO OBLIGADO</w:t>
      </w:r>
      <w:r w:rsidR="000A5994" w:rsidRPr="00D64CCF">
        <w:rPr>
          <w:rFonts w:ascii="Palatino Linotype" w:eastAsia="MS Mincho" w:hAnsi="Palatino Linotype" w:cs="Arial"/>
          <w:b/>
        </w:rPr>
        <w:t>,</w:t>
      </w:r>
      <w:r w:rsidRPr="00D64CCF">
        <w:rPr>
          <w:rFonts w:ascii="Palatino Linotype" w:eastAsia="MS Mincho" w:hAnsi="Palatino Linotype" w:cs="Arial"/>
        </w:rPr>
        <w:t xml:space="preserve"> ya asumió que genera, posee o administra la información requerida.</w:t>
      </w:r>
    </w:p>
    <w:p w14:paraId="5D6337C7" w14:textId="77777777" w:rsidR="00F511B5" w:rsidRPr="00D64CCF" w:rsidRDefault="00F511B5" w:rsidP="00F511B5">
      <w:pPr>
        <w:spacing w:line="360" w:lineRule="auto"/>
        <w:jc w:val="both"/>
        <w:rPr>
          <w:rFonts w:ascii="Palatino Linotype" w:eastAsia="MS Mincho" w:hAnsi="Palatino Linotype" w:cs="Arial"/>
        </w:rPr>
      </w:pPr>
    </w:p>
    <w:p w14:paraId="425FC27B" w14:textId="77777777" w:rsidR="00F511B5" w:rsidRPr="00D64CCF" w:rsidRDefault="00F511B5" w:rsidP="00F511B5">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De acuerdo a lo anterior, se advierte que se estima innecesario un análisis pormenorizado de su fuente obligacional para poder concluir si la genera, posee y administra, pues –se insiste– ya asumió que si cuenta con lo solicitado.</w:t>
      </w:r>
    </w:p>
    <w:p w14:paraId="6EB4C5D1" w14:textId="77777777" w:rsidR="00F511B5" w:rsidRPr="00D64CCF" w:rsidRDefault="00F511B5" w:rsidP="00F511B5">
      <w:pPr>
        <w:pStyle w:val="Prrafodelista"/>
        <w:spacing w:line="360" w:lineRule="auto"/>
        <w:ind w:left="0"/>
        <w:rPr>
          <w:rFonts w:ascii="Palatino Linotype" w:eastAsia="MS Mincho" w:hAnsi="Palatino Linotype" w:cs="Arial"/>
        </w:rPr>
      </w:pPr>
    </w:p>
    <w:p w14:paraId="2815DAAA" w14:textId="77777777" w:rsidR="00F511B5" w:rsidRPr="00D64CCF" w:rsidRDefault="00F511B5" w:rsidP="00F511B5">
      <w:pPr>
        <w:numPr>
          <w:ilvl w:val="0"/>
          <w:numId w:val="1"/>
        </w:numPr>
        <w:spacing w:line="360" w:lineRule="auto"/>
        <w:ind w:left="0" w:firstLine="0"/>
        <w:contextualSpacing/>
        <w:jc w:val="both"/>
        <w:rPr>
          <w:rFonts w:ascii="Palatino Linotype" w:eastAsiaTheme="minorEastAsia" w:hAnsi="Palatino Linotype" w:cstheme="minorBidi"/>
        </w:rPr>
      </w:pPr>
      <w:r w:rsidRPr="00D64CCF">
        <w:rPr>
          <w:rFonts w:ascii="Palatino Linotype" w:hAnsi="Palatino Linotype"/>
        </w:rPr>
        <w:t xml:space="preserve">Ahora bien, la modalidad de entrega como la forma de envío de la información se hará preferentemente como haya señalado el requirente; no obstante en los casos en que esto no sea posible, los sujetos obligados podrán garantizar la entrega a través de cualquier otro medio, siempre y cuando funde y motive la razón para hacerlo; nuevamente reiterando que la necesidad de fundar y motivar es imperante en todos los actos que emite cualquier autoridad. </w:t>
      </w:r>
    </w:p>
    <w:p w14:paraId="6972696C" w14:textId="77777777" w:rsidR="00F511B5" w:rsidRPr="00D64CCF" w:rsidRDefault="00F511B5" w:rsidP="00F511B5">
      <w:pPr>
        <w:pStyle w:val="Prrafodelista"/>
        <w:spacing w:line="360" w:lineRule="auto"/>
        <w:ind w:left="0"/>
        <w:rPr>
          <w:rFonts w:ascii="Palatino Linotype" w:hAnsi="Palatino Linotype"/>
        </w:rPr>
      </w:pPr>
    </w:p>
    <w:p w14:paraId="654340E1" w14:textId="241E7B24" w:rsidR="00F511B5" w:rsidRPr="00D64CCF" w:rsidRDefault="00F511B5" w:rsidP="00CE4558">
      <w:pPr>
        <w:numPr>
          <w:ilvl w:val="0"/>
          <w:numId w:val="1"/>
        </w:numPr>
        <w:spacing w:line="360" w:lineRule="auto"/>
        <w:ind w:left="0" w:firstLine="0"/>
        <w:contextualSpacing/>
        <w:jc w:val="both"/>
        <w:rPr>
          <w:rFonts w:ascii="Palatino Linotype" w:hAnsi="Palatino Linotype"/>
        </w:rPr>
      </w:pPr>
      <w:r w:rsidRPr="00D64CCF">
        <w:rPr>
          <w:rFonts w:ascii="Palatino Linotype" w:hAnsi="Palatino Linotype"/>
        </w:rPr>
        <w:t xml:space="preserve">En los casos que ocupan la presente resolución, se ha pretendido realizar el cambio de modalidad, derivado de que el </w:t>
      </w:r>
      <w:r w:rsidRPr="00D64CCF">
        <w:rPr>
          <w:rFonts w:ascii="Palatino Linotype" w:hAnsi="Palatino Linotype"/>
          <w:b/>
          <w:bCs/>
          <w:color w:val="000000"/>
        </w:rPr>
        <w:t>Ayuntamiento de Metepec</w:t>
      </w:r>
      <w:r w:rsidR="000A5994" w:rsidRPr="00D64CCF">
        <w:rPr>
          <w:rFonts w:ascii="Palatino Linotype" w:hAnsi="Palatino Linotype"/>
          <w:b/>
          <w:bCs/>
          <w:color w:val="000000"/>
        </w:rPr>
        <w:t>,</w:t>
      </w:r>
      <w:r w:rsidRPr="00D64CCF">
        <w:rPr>
          <w:rFonts w:ascii="Palatino Linotype" w:hAnsi="Palatino Linotype"/>
        </w:rPr>
        <w:t xml:space="preserve"> estima que se están rebasando sus capacidades humanas sin aportar mayor argumento del porque ello resulta así.</w:t>
      </w:r>
    </w:p>
    <w:p w14:paraId="71DEF490" w14:textId="77777777" w:rsidR="00F511B5" w:rsidRPr="00D64CCF" w:rsidRDefault="00F511B5" w:rsidP="00CE4558">
      <w:pPr>
        <w:pStyle w:val="Prrafodelista"/>
        <w:ind w:left="0"/>
        <w:rPr>
          <w:rFonts w:ascii="Palatino Linotype" w:hAnsi="Palatino Linotype"/>
        </w:rPr>
      </w:pPr>
    </w:p>
    <w:p w14:paraId="601CE01D" w14:textId="3F6E172B" w:rsidR="00F511B5" w:rsidRPr="00D64CCF" w:rsidRDefault="000A5994"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rPr>
        <w:t>En ese contexto</w:t>
      </w:r>
      <w:r w:rsidR="00F511B5" w:rsidRPr="00D64CCF">
        <w:rPr>
          <w:rFonts w:ascii="Palatino Linotype" w:eastAsia="MS Mincho" w:hAnsi="Palatino Linotype"/>
        </w:rPr>
        <w:t xml:space="preserve"> el</w:t>
      </w:r>
      <w:r w:rsidR="00F511B5" w:rsidRPr="00D64CCF">
        <w:rPr>
          <w:rFonts w:ascii="Palatino Linotype" w:eastAsia="MS Mincho" w:hAnsi="Palatino Linotype"/>
          <w:b/>
        </w:rPr>
        <w:t xml:space="preserve"> SUJETO OBLIGADO</w:t>
      </w:r>
      <w:r w:rsidRPr="00D64CCF">
        <w:rPr>
          <w:rFonts w:ascii="Palatino Linotype" w:eastAsia="MS Mincho" w:hAnsi="Palatino Linotype"/>
          <w:b/>
        </w:rPr>
        <w:t>,</w:t>
      </w:r>
      <w:r w:rsidR="00F511B5" w:rsidRPr="00D64CCF">
        <w:rPr>
          <w:rFonts w:ascii="Palatino Linotype" w:eastAsia="MS Mincho" w:hAnsi="Palatino Linotype"/>
          <w:b/>
        </w:rPr>
        <w:t xml:space="preserve"> </w:t>
      </w:r>
      <w:r w:rsidR="00F511B5" w:rsidRPr="00D64CCF">
        <w:rPr>
          <w:rFonts w:ascii="Palatino Linotype" w:eastAsia="MS Mincho" w:hAnsi="Palatino Linotype"/>
        </w:rPr>
        <w:t xml:space="preserve">con la intención legítima de no lesionar el derecho humano, ofrece que se realice la entrega </w:t>
      </w:r>
      <w:r w:rsidR="00F511B5" w:rsidRPr="00D64CCF">
        <w:rPr>
          <w:rFonts w:ascii="Palatino Linotype" w:eastAsia="MS Mincho" w:hAnsi="Palatino Linotype"/>
          <w:i/>
        </w:rPr>
        <w:t>in situ</w:t>
      </w:r>
      <w:r w:rsidR="00F511B5" w:rsidRPr="00D64CCF">
        <w:rPr>
          <w:rFonts w:ascii="Palatino Linotype" w:eastAsia="MS Mincho" w:hAnsi="Palatino Linotype"/>
        </w:rPr>
        <w:t xml:space="preserve">, que corresponde a una </w:t>
      </w:r>
      <w:r w:rsidR="00F511B5" w:rsidRPr="00D64CCF">
        <w:rPr>
          <w:rFonts w:ascii="Palatino Linotype" w:eastAsia="MS Mincho" w:hAnsi="Palatino Linotype"/>
        </w:rPr>
        <w:lastRenderedPageBreak/>
        <w:t>locución latina que se utiliza en varios contextos para referirse a una acción o proceso que ocurre en el lugar o sitio donde se encuentra la información pública. En general, se utiliza para indicar que se realice una consulta en su ubicación original del soporte documental, sin ser trasladado o modificado.</w:t>
      </w:r>
    </w:p>
    <w:p w14:paraId="4ECE9359" w14:textId="77777777" w:rsidR="00F511B5" w:rsidRPr="00D64CCF" w:rsidRDefault="00F511B5" w:rsidP="00CE4558">
      <w:pPr>
        <w:spacing w:line="360" w:lineRule="auto"/>
        <w:jc w:val="both"/>
        <w:rPr>
          <w:rFonts w:ascii="Palatino Linotype" w:eastAsia="MS Mincho" w:hAnsi="Palatino Linotype" w:cs="Arial"/>
        </w:rPr>
      </w:pPr>
    </w:p>
    <w:p w14:paraId="65F79CDD"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rPr>
        <w:t xml:space="preserve">Lo anterior conforme a los términos de lo establecido en los artículos 53, fracciones IV y VII, 158 y 165 de la </w:t>
      </w:r>
      <w:r w:rsidRPr="00D64CCF">
        <w:rPr>
          <w:rFonts w:ascii="Palatino Linotype" w:eastAsia="MS Mincho" w:hAnsi="Palatino Linotype" w:cs="Arial"/>
        </w:rPr>
        <w:t>Ley de Transparencia y Acceso a la Información Pública del Estado de México y Municipios, que establece que excepcionalmente, de forma fundada y motivada,</w:t>
      </w:r>
      <w:r w:rsidRPr="00D64CCF">
        <w:rPr>
          <w:rFonts w:ascii="Palatino Linotype" w:eastAsia="MS Mincho" w:hAnsi="Palatino Linotype" w:cs="Arial"/>
          <w:b/>
        </w:rPr>
        <w:t xml:space="preserve"> </w:t>
      </w:r>
      <w:r w:rsidRPr="00D64CCF">
        <w:rPr>
          <w:rFonts w:ascii="Palatino Linotype" w:eastAsia="MS Mincho" w:hAnsi="Palatino Linotype" w:cs="Arial"/>
        </w:rPr>
        <w:t>en el caso de que la información solicitada sobrepase las capacidades técnicas, administrativas y humanas del sujeto obligado,</w:t>
      </w:r>
      <w:r w:rsidRPr="00D64CCF">
        <w:rPr>
          <w:rFonts w:ascii="Palatino Linotype" w:eastAsia="MS Mincho" w:hAnsi="Palatino Linotype" w:cs="Arial"/>
          <w:b/>
        </w:rPr>
        <w:t xml:space="preserve"> </w:t>
      </w:r>
      <w:r w:rsidRPr="00D64CCF">
        <w:rPr>
          <w:rFonts w:ascii="Palatino Linotype" w:eastAsia="MS Mincho" w:hAnsi="Palatino Linotype" w:cs="Arial"/>
        </w:rPr>
        <w:t>se podrá poner a disposición del solicitante los documentos en otra modalidad de entrega.</w:t>
      </w:r>
    </w:p>
    <w:p w14:paraId="6749BAD3" w14:textId="77777777" w:rsidR="00F511B5" w:rsidRPr="00D64CCF" w:rsidRDefault="00F511B5" w:rsidP="00CE4558">
      <w:pPr>
        <w:pStyle w:val="Prrafodelista"/>
        <w:spacing w:line="360" w:lineRule="auto"/>
        <w:ind w:left="0"/>
        <w:rPr>
          <w:rFonts w:ascii="Palatino Linotype" w:eastAsia="MS Mincho" w:hAnsi="Palatino Linotype" w:cs="Arial"/>
        </w:rPr>
      </w:pPr>
    </w:p>
    <w:p w14:paraId="12912A1D"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 xml:space="preserve"> De los artículos de referencia, se derivan tres hipótesis que en conjunto y de manera fundada y motivada, validan el cambio de modalidad de entrega de la información y las cuales son: que las documentales a proporcionar </w:t>
      </w:r>
      <w:r w:rsidRPr="00D64CCF">
        <w:rPr>
          <w:rFonts w:ascii="Palatino Linotype" w:eastAsia="MS Mincho" w:hAnsi="Palatino Linotype" w:cs="Arial"/>
          <w:b/>
        </w:rPr>
        <w:t>sobrepasen las capacidades técnicas, administrativas y humanas del sujeto obligado.</w:t>
      </w:r>
    </w:p>
    <w:p w14:paraId="66095EDE" w14:textId="77777777" w:rsidR="00F511B5" w:rsidRPr="00D64CCF" w:rsidRDefault="00F511B5" w:rsidP="00F511B5">
      <w:pPr>
        <w:pStyle w:val="Prrafodelista"/>
        <w:spacing w:line="360" w:lineRule="auto"/>
        <w:rPr>
          <w:rFonts w:ascii="Palatino Linotype" w:eastAsia="MS Mincho" w:hAnsi="Palatino Linotype" w:cs="Arial"/>
        </w:rPr>
      </w:pPr>
    </w:p>
    <w:p w14:paraId="10895DAB" w14:textId="3645E486"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 xml:space="preserve">En ese sentido, del oficio remitido en </w:t>
      </w:r>
      <w:r w:rsidR="00CE4558" w:rsidRPr="00D64CCF">
        <w:rPr>
          <w:rFonts w:ascii="Palatino Linotype" w:eastAsia="MS Mincho" w:hAnsi="Palatino Linotype" w:cs="Arial"/>
        </w:rPr>
        <w:t>informe justificado</w:t>
      </w:r>
      <w:r w:rsidRPr="00D64CCF">
        <w:rPr>
          <w:rFonts w:ascii="Palatino Linotype" w:eastAsia="MS Mincho" w:hAnsi="Palatino Linotype" w:cs="Arial"/>
        </w:rPr>
        <w:t>, se advierte que es insuficiente para soportar y aceptar el cambio de modalidad pretendido; toda vez que no se abarcan los siguientes elementos.</w:t>
      </w:r>
    </w:p>
    <w:p w14:paraId="00DB15A2" w14:textId="77777777" w:rsidR="00F511B5" w:rsidRPr="00D64CCF" w:rsidRDefault="00F511B5" w:rsidP="00CE4558">
      <w:pPr>
        <w:pStyle w:val="Prrafodelista"/>
        <w:spacing w:line="360" w:lineRule="auto"/>
        <w:ind w:left="0"/>
        <w:rPr>
          <w:rFonts w:ascii="Palatino Linotype" w:eastAsia="MS Mincho" w:hAnsi="Palatino Linotype" w:cs="Arial"/>
        </w:rPr>
      </w:pPr>
    </w:p>
    <w:p w14:paraId="6FD99747" w14:textId="77777777" w:rsidR="00F511B5" w:rsidRPr="00D64CCF" w:rsidRDefault="00F511B5" w:rsidP="00CE4558">
      <w:pPr>
        <w:pStyle w:val="Ttulo1"/>
        <w:numPr>
          <w:ilvl w:val="0"/>
          <w:numId w:val="19"/>
        </w:numPr>
        <w:spacing w:before="0" w:line="360" w:lineRule="auto"/>
        <w:ind w:left="0" w:firstLine="0"/>
        <w:rPr>
          <w:rFonts w:ascii="Palatino Linotype" w:eastAsia="MS Mincho" w:hAnsi="Palatino Linotype"/>
          <w:b/>
          <w:color w:val="000000" w:themeColor="text1"/>
          <w:sz w:val="24"/>
          <w:szCs w:val="24"/>
        </w:rPr>
      </w:pPr>
      <w:bookmarkStart w:id="45" w:name="_Toc83128584"/>
      <w:bookmarkStart w:id="46" w:name="_Toc71674115"/>
      <w:bookmarkStart w:id="47" w:name="_Toc67312758"/>
      <w:r w:rsidRPr="00D64CCF">
        <w:rPr>
          <w:rFonts w:ascii="Palatino Linotype" w:eastAsia="MS Mincho" w:hAnsi="Palatino Linotype"/>
          <w:b/>
          <w:color w:val="000000" w:themeColor="text1"/>
          <w:sz w:val="24"/>
          <w:szCs w:val="24"/>
        </w:rPr>
        <w:t>Temporalidad de las solicitudes de información.</w:t>
      </w:r>
      <w:bookmarkEnd w:id="45"/>
      <w:bookmarkEnd w:id="46"/>
      <w:bookmarkEnd w:id="47"/>
    </w:p>
    <w:p w14:paraId="098D7E2D" w14:textId="77777777" w:rsidR="00F511B5" w:rsidRPr="00D64CCF" w:rsidRDefault="00F511B5" w:rsidP="00CE4558">
      <w:pPr>
        <w:spacing w:line="360" w:lineRule="auto"/>
        <w:rPr>
          <w:rFonts w:ascii="Palatino Linotype" w:eastAsiaTheme="minorEastAsia" w:hAnsi="Palatino Linotype"/>
          <w:lang w:val="es-MX" w:eastAsia="en-US"/>
        </w:rPr>
      </w:pPr>
    </w:p>
    <w:p w14:paraId="142E3B46" w14:textId="08608AF3"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b/>
          <w:i/>
          <w:lang w:val="es-ES_tradnl"/>
        </w:rPr>
      </w:pPr>
      <w:r w:rsidRPr="00D64CCF">
        <w:rPr>
          <w:rFonts w:ascii="Palatino Linotype" w:eastAsia="MS Mincho" w:hAnsi="Palatino Linotype" w:cs="Arial"/>
        </w:rPr>
        <w:lastRenderedPageBreak/>
        <w:t xml:space="preserve">En el Acuerdo que los sujetos obligados remitan para realizar el cambio de modalidad a </w:t>
      </w:r>
      <w:r w:rsidRPr="00D64CCF">
        <w:rPr>
          <w:rFonts w:ascii="Palatino Linotype" w:eastAsia="MS Mincho" w:hAnsi="Palatino Linotype" w:cs="Arial"/>
          <w:b/>
          <w:i/>
        </w:rPr>
        <w:t>medio digital aportado por el solicitante</w:t>
      </w:r>
      <w:r w:rsidRPr="00D64CCF">
        <w:rPr>
          <w:rFonts w:ascii="Palatino Linotype" w:eastAsia="MS Mincho" w:hAnsi="Palatino Linotype" w:cs="Arial"/>
        </w:rPr>
        <w:t xml:space="preserve">, y que no fue generado para los presentes asuntos por parte del Comité de Transparencia del </w:t>
      </w:r>
      <w:r w:rsidR="00CE4558" w:rsidRPr="00D64CCF">
        <w:rPr>
          <w:rFonts w:ascii="Palatino Linotype" w:hAnsi="Palatino Linotype"/>
          <w:bCs/>
          <w:color w:val="000000"/>
        </w:rPr>
        <w:t xml:space="preserve">Ayuntamiento </w:t>
      </w:r>
      <w:r w:rsidRPr="00D64CCF">
        <w:rPr>
          <w:rFonts w:ascii="Palatino Linotype" w:hAnsi="Palatino Linotype"/>
          <w:bCs/>
          <w:color w:val="000000"/>
        </w:rPr>
        <w:t>de Metepec</w:t>
      </w:r>
      <w:r w:rsidRPr="00D64CCF">
        <w:rPr>
          <w:rFonts w:ascii="Palatino Linotype" w:eastAsia="MS Mincho" w:hAnsi="Palatino Linotype" w:cs="Arial"/>
        </w:rPr>
        <w:t>, se deben identificar en que lapso temporal se interpusieron determinado número de solicitudes y recursos de revisión; es decir se estará identificado el intervalo de número de solicitudes de información e interposición de recursos de revisión, que les estén siendo remitidos y que deben sustanciar en un mismo lapso de tiempo que la ley les obliga, de modo tal que determinando el número de asuntos que tiene que atender el sujeto obligado es visiblemente excesivo, y está soportando como se están sobrepasando sus  capacidades técnicas, administrativas y humanas.</w:t>
      </w:r>
    </w:p>
    <w:p w14:paraId="4CA4A560" w14:textId="77777777" w:rsidR="00F511B5" w:rsidRPr="00D64CCF" w:rsidRDefault="00F511B5" w:rsidP="00CE4558">
      <w:pPr>
        <w:spacing w:line="360" w:lineRule="auto"/>
        <w:jc w:val="both"/>
        <w:rPr>
          <w:rFonts w:ascii="Palatino Linotype" w:eastAsia="MS Mincho" w:hAnsi="Palatino Linotype" w:cs="Arial"/>
          <w:b/>
          <w:i/>
        </w:rPr>
      </w:pPr>
    </w:p>
    <w:p w14:paraId="63692F83" w14:textId="77777777" w:rsidR="00F511B5" w:rsidRPr="00D64CCF" w:rsidRDefault="00F511B5" w:rsidP="00CE4558">
      <w:pPr>
        <w:pStyle w:val="Ttulo1"/>
        <w:numPr>
          <w:ilvl w:val="0"/>
          <w:numId w:val="19"/>
        </w:numPr>
        <w:spacing w:before="0" w:line="360" w:lineRule="auto"/>
        <w:ind w:left="0" w:firstLine="0"/>
        <w:rPr>
          <w:rFonts w:ascii="Palatino Linotype" w:eastAsia="MS Mincho" w:hAnsi="Palatino Linotype"/>
          <w:b/>
          <w:color w:val="000000" w:themeColor="text1"/>
          <w:sz w:val="24"/>
          <w:szCs w:val="24"/>
        </w:rPr>
      </w:pPr>
      <w:bookmarkStart w:id="48" w:name="_Toc83128585"/>
      <w:bookmarkStart w:id="49" w:name="_Toc71674116"/>
      <w:bookmarkStart w:id="50" w:name="_Toc67312759"/>
      <w:r w:rsidRPr="00D64CCF">
        <w:rPr>
          <w:rFonts w:ascii="Palatino Linotype" w:eastAsia="MS Mincho" w:hAnsi="Palatino Linotype"/>
          <w:b/>
          <w:color w:val="000000" w:themeColor="text1"/>
          <w:sz w:val="24"/>
          <w:szCs w:val="24"/>
        </w:rPr>
        <w:t>Del solicitante.</w:t>
      </w:r>
      <w:bookmarkEnd w:id="48"/>
      <w:bookmarkEnd w:id="49"/>
      <w:bookmarkEnd w:id="50"/>
    </w:p>
    <w:p w14:paraId="5550940C" w14:textId="77777777" w:rsidR="00F511B5" w:rsidRPr="00D64CCF" w:rsidRDefault="00F511B5" w:rsidP="00CE4558">
      <w:pPr>
        <w:spacing w:line="360" w:lineRule="auto"/>
        <w:rPr>
          <w:rFonts w:ascii="Palatino Linotype" w:eastAsiaTheme="minorEastAsia" w:hAnsi="Palatino Linotype"/>
          <w:lang w:val="es-MX" w:eastAsia="en-US"/>
        </w:rPr>
      </w:pPr>
    </w:p>
    <w:p w14:paraId="0F4C79F0"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i/>
          <w:lang w:val="es-ES_tradnl"/>
        </w:rPr>
      </w:pPr>
      <w:r w:rsidRPr="00D64CCF">
        <w:rPr>
          <w:rFonts w:ascii="Palatino Linotype" w:eastAsia="MS Mincho" w:hAnsi="Palatino Linotype" w:cs="Arial"/>
        </w:rPr>
        <w:t>Por otro lado, se debe identificar que el solicitante o quejoso según sea el caso, sea el mismo que ha ingresado el mismo cumulo de solicitudes de información y recursos de revisión.</w:t>
      </w:r>
    </w:p>
    <w:p w14:paraId="03EE9D0B" w14:textId="77777777" w:rsidR="00F511B5" w:rsidRPr="00D64CCF" w:rsidRDefault="00F511B5" w:rsidP="00F511B5">
      <w:pPr>
        <w:spacing w:line="360" w:lineRule="auto"/>
        <w:jc w:val="both"/>
        <w:rPr>
          <w:rFonts w:ascii="Palatino Linotype" w:eastAsia="MS Mincho" w:hAnsi="Palatino Linotype" w:cs="Arial"/>
        </w:rPr>
      </w:pPr>
    </w:p>
    <w:p w14:paraId="740B72F4" w14:textId="34F43649"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Lo anterior, para poder arribar a la conclusión de que a resulta insuficiente el recurso humano con el que cuenta el Sujeto Obligado</w:t>
      </w:r>
      <w:r w:rsidRPr="00D64CCF">
        <w:rPr>
          <w:rFonts w:ascii="Palatino Linotype" w:eastAsia="MS Mincho" w:hAnsi="Palatino Linotype" w:cs="Arial"/>
          <w:b/>
        </w:rPr>
        <w:t xml:space="preserve"> </w:t>
      </w:r>
      <w:r w:rsidRPr="00D64CCF">
        <w:rPr>
          <w:rFonts w:ascii="Palatino Linotype" w:eastAsia="MS Mincho" w:hAnsi="Palatino Linotype" w:cs="Arial"/>
        </w:rPr>
        <w:t xml:space="preserve">para atender la cantidad de solicitudes cumpliendo con los plazos establecidos para tal efecto, más aun cuando guardan identidad de parte; es decir, fueron interpuestas por un mismo solicitante, resultando inviable atender únicamente lo solicitado por un ciudadano, excluyendo las </w:t>
      </w:r>
      <w:r w:rsidRPr="00D64CCF">
        <w:rPr>
          <w:rFonts w:ascii="Palatino Linotype" w:eastAsia="MS Mincho" w:hAnsi="Palatino Linotype" w:cs="Arial"/>
        </w:rPr>
        <w:lastRenderedPageBreak/>
        <w:t xml:space="preserve">demás actividades encomendadas a los servidores públicos del </w:t>
      </w:r>
      <w:r w:rsidR="00CE4558" w:rsidRPr="00D64CCF">
        <w:rPr>
          <w:rFonts w:ascii="Palatino Linotype" w:hAnsi="Palatino Linotype"/>
          <w:b/>
          <w:bCs/>
          <w:color w:val="000000"/>
        </w:rPr>
        <w:t xml:space="preserve">Ayuntamiento de </w:t>
      </w:r>
      <w:r w:rsidRPr="00D64CCF">
        <w:rPr>
          <w:rFonts w:ascii="Palatino Linotype" w:hAnsi="Palatino Linotype"/>
          <w:b/>
          <w:bCs/>
          <w:color w:val="000000"/>
        </w:rPr>
        <w:t xml:space="preserve"> Metepec</w:t>
      </w:r>
      <w:r w:rsidRPr="00D64CCF">
        <w:rPr>
          <w:rFonts w:ascii="Palatino Linotype" w:eastAsia="MS Mincho" w:hAnsi="Palatino Linotype" w:cs="Arial"/>
        </w:rPr>
        <w:t>, en pro de la sociedad en general.</w:t>
      </w:r>
    </w:p>
    <w:p w14:paraId="7645F12D" w14:textId="77777777" w:rsidR="00F511B5" w:rsidRPr="00D64CCF" w:rsidRDefault="00F511B5" w:rsidP="00CE4558">
      <w:pPr>
        <w:pStyle w:val="Prrafodelista"/>
        <w:spacing w:line="360" w:lineRule="auto"/>
        <w:ind w:left="0"/>
        <w:rPr>
          <w:rFonts w:ascii="Palatino Linotype" w:eastAsia="MS Mincho" w:hAnsi="Palatino Linotype" w:cs="Arial"/>
        </w:rPr>
      </w:pPr>
    </w:p>
    <w:p w14:paraId="744232F8"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Contexto que como se aprecia del oficio remitidos anteriormente trascrito, no se identifica al solicitante y el intervalo de fechas en que ingresó eventualmente algún cumulo de solicitudes de información que colapse sus capacidades.</w:t>
      </w:r>
    </w:p>
    <w:p w14:paraId="2AAA5C64" w14:textId="77777777" w:rsidR="00F511B5" w:rsidRPr="00D64CCF" w:rsidRDefault="00F511B5" w:rsidP="00CE4558">
      <w:pPr>
        <w:pStyle w:val="Prrafodelista"/>
        <w:spacing w:line="360" w:lineRule="auto"/>
        <w:ind w:left="0"/>
        <w:rPr>
          <w:rFonts w:ascii="Palatino Linotype" w:eastAsia="MS Mincho" w:hAnsi="Palatino Linotype" w:cs="Arial"/>
        </w:rPr>
      </w:pPr>
    </w:p>
    <w:p w14:paraId="64A72B63" w14:textId="77777777" w:rsidR="00F511B5" w:rsidRPr="00D64CCF" w:rsidRDefault="00F511B5" w:rsidP="00CE4558">
      <w:pPr>
        <w:pStyle w:val="Ttulo1"/>
        <w:numPr>
          <w:ilvl w:val="0"/>
          <w:numId w:val="19"/>
        </w:numPr>
        <w:spacing w:before="0" w:line="360" w:lineRule="auto"/>
        <w:ind w:left="0" w:firstLine="0"/>
        <w:rPr>
          <w:rFonts w:ascii="Palatino Linotype" w:eastAsia="MS Mincho" w:hAnsi="Palatino Linotype"/>
          <w:b/>
          <w:color w:val="000000" w:themeColor="text1"/>
          <w:sz w:val="24"/>
          <w:szCs w:val="24"/>
        </w:rPr>
      </w:pPr>
      <w:bookmarkStart w:id="51" w:name="_Toc83128586"/>
      <w:bookmarkStart w:id="52" w:name="_Toc71674117"/>
      <w:bookmarkStart w:id="53" w:name="_Toc67312760"/>
      <w:r w:rsidRPr="00D64CCF">
        <w:rPr>
          <w:rFonts w:ascii="Palatino Linotype" w:eastAsia="MS Mincho" w:hAnsi="Palatino Linotype"/>
          <w:b/>
          <w:color w:val="000000" w:themeColor="text1"/>
          <w:sz w:val="24"/>
          <w:szCs w:val="24"/>
        </w:rPr>
        <w:t>El tiempo estimado de atención.</w:t>
      </w:r>
      <w:bookmarkEnd w:id="51"/>
      <w:bookmarkEnd w:id="52"/>
      <w:bookmarkEnd w:id="53"/>
    </w:p>
    <w:p w14:paraId="7C38649B" w14:textId="77777777" w:rsidR="00F511B5" w:rsidRPr="00D64CCF" w:rsidRDefault="00F511B5" w:rsidP="00CE4558">
      <w:pPr>
        <w:spacing w:line="360" w:lineRule="auto"/>
        <w:rPr>
          <w:rFonts w:ascii="Palatino Linotype" w:eastAsiaTheme="minorEastAsia" w:hAnsi="Palatino Linotype"/>
          <w:lang w:val="es-MX" w:eastAsia="en-US"/>
        </w:rPr>
      </w:pPr>
    </w:p>
    <w:p w14:paraId="1A7880E0"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lang w:val="es-ES_tradnl"/>
        </w:rPr>
      </w:pPr>
      <w:r w:rsidRPr="00D64CCF">
        <w:rPr>
          <w:rFonts w:ascii="Palatino Linotype" w:eastAsia="MS Mincho" w:hAnsi="Palatino Linotype" w:cs="Arial"/>
        </w:rPr>
        <w:t xml:space="preserve">El </w:t>
      </w:r>
      <w:r w:rsidRPr="00D64CCF">
        <w:rPr>
          <w:rFonts w:ascii="Palatino Linotype" w:eastAsia="MS Mincho" w:hAnsi="Palatino Linotype" w:cs="Arial"/>
          <w:b/>
        </w:rPr>
        <w:t>SUJETO OBLIGADO</w:t>
      </w:r>
      <w:r w:rsidRPr="00D64CCF">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14:paraId="1BF4E0E0" w14:textId="77777777" w:rsidR="00F511B5" w:rsidRPr="00D64CCF" w:rsidRDefault="00F511B5" w:rsidP="00CE4558">
      <w:pPr>
        <w:pStyle w:val="Prrafodelista"/>
        <w:spacing w:line="360" w:lineRule="auto"/>
        <w:ind w:left="0"/>
        <w:rPr>
          <w:rFonts w:ascii="Palatino Linotype" w:eastAsia="MS Mincho" w:hAnsi="Palatino Linotype" w:cs="Arial"/>
        </w:rPr>
      </w:pPr>
    </w:p>
    <w:p w14:paraId="1C63C080"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t>Lo anterior</w:t>
      </w:r>
      <w:r w:rsidRPr="00D64CCF">
        <w:rPr>
          <w:rFonts w:ascii="Palatino Linotype" w:hAnsi="Palatino Linotype" w:cs="Arial"/>
        </w:rPr>
        <w:t xml:space="preserve">, para acreditar que se cumple a cabalidad con el </w:t>
      </w:r>
      <w:r w:rsidRPr="00D64CCF">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D64CCF">
        <w:rPr>
          <w:rFonts w:ascii="Palatino Linotype" w:eastAsia="MS Mincho" w:hAnsi="Palatino Linotype" w:cs="Arial"/>
          <w:i/>
        </w:rPr>
        <w:t xml:space="preserve">a todas las áreas competentes que cuenten con la información o deban tenerla de acuerdo a sus facultades, competencias y funciones, </w:t>
      </w:r>
      <w:r w:rsidRPr="00D64CCF">
        <w:rPr>
          <w:rFonts w:ascii="Palatino Linotype" w:eastAsia="MS Mincho" w:hAnsi="Palatino Linotype" w:cs="Arial"/>
          <w:b/>
          <w:i/>
          <w:u w:val="single"/>
        </w:rPr>
        <w:t>con el objeto de que realicen una búsqueda exhaustiva y razonable de la información solicitada</w:t>
      </w:r>
      <w:r w:rsidRPr="00D64CCF">
        <w:rPr>
          <w:rFonts w:ascii="Palatino Linotype" w:eastAsia="MS Mincho" w:hAnsi="Palatino Linotype" w:cs="Arial"/>
          <w:i/>
        </w:rPr>
        <w:t>,</w:t>
      </w:r>
      <w:r w:rsidRPr="00D64CCF">
        <w:rPr>
          <w:rFonts w:ascii="Palatino Linotype" w:eastAsia="MS Mincho" w:hAnsi="Palatino Linotype" w:cs="Arial"/>
        </w:rPr>
        <w:t xml:space="preserve"> según se asienta en el artículo 162 de la ley citada. </w:t>
      </w:r>
    </w:p>
    <w:p w14:paraId="39DCC126" w14:textId="77777777" w:rsidR="00F511B5" w:rsidRPr="00D64CCF" w:rsidRDefault="00F511B5" w:rsidP="00CE4558">
      <w:pPr>
        <w:pStyle w:val="Prrafodelista"/>
        <w:spacing w:line="360" w:lineRule="auto"/>
        <w:ind w:left="0"/>
        <w:rPr>
          <w:rFonts w:ascii="Palatino Linotype" w:eastAsia="MS Mincho" w:hAnsi="Palatino Linotype" w:cs="Arial"/>
        </w:rPr>
      </w:pPr>
    </w:p>
    <w:p w14:paraId="64EA8FB1" w14:textId="77777777" w:rsidR="00F511B5" w:rsidRPr="00D64CCF" w:rsidRDefault="00F511B5" w:rsidP="00CE4558">
      <w:pPr>
        <w:numPr>
          <w:ilvl w:val="0"/>
          <w:numId w:val="1"/>
        </w:numPr>
        <w:spacing w:line="360" w:lineRule="auto"/>
        <w:ind w:left="0" w:firstLine="0"/>
        <w:contextualSpacing/>
        <w:jc w:val="both"/>
        <w:rPr>
          <w:rFonts w:ascii="Palatino Linotype" w:eastAsia="MS Mincho" w:hAnsi="Palatino Linotype" w:cs="Arial"/>
        </w:rPr>
      </w:pPr>
      <w:r w:rsidRPr="00D64CCF">
        <w:rPr>
          <w:rFonts w:ascii="Palatino Linotype" w:eastAsia="MS Mincho" w:hAnsi="Palatino Linotype" w:cs="Arial"/>
        </w:rPr>
        <w:lastRenderedPageBreak/>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14:paraId="15975EAF" w14:textId="77777777" w:rsidR="00F511B5" w:rsidRPr="00D64CCF" w:rsidRDefault="00F511B5" w:rsidP="00CE4558">
      <w:pPr>
        <w:pStyle w:val="Prrafodelista"/>
        <w:spacing w:line="360" w:lineRule="auto"/>
        <w:ind w:left="0"/>
        <w:rPr>
          <w:rFonts w:ascii="Palatino Linotype" w:eastAsia="MS Mincho" w:hAnsi="Palatino Linotype" w:cs="Arial"/>
        </w:rPr>
      </w:pPr>
    </w:p>
    <w:p w14:paraId="6B1809D5" w14:textId="77777777" w:rsidR="00F511B5" w:rsidRPr="00D64CCF" w:rsidRDefault="00F511B5" w:rsidP="00CE4558">
      <w:pPr>
        <w:numPr>
          <w:ilvl w:val="0"/>
          <w:numId w:val="1"/>
        </w:numPr>
        <w:spacing w:line="360" w:lineRule="auto"/>
        <w:ind w:left="0" w:firstLine="0"/>
        <w:contextualSpacing/>
        <w:jc w:val="both"/>
        <w:rPr>
          <w:rFonts w:ascii="Palatino Linotype" w:eastAsiaTheme="minorEastAsia" w:hAnsi="Palatino Linotype" w:cstheme="minorBidi"/>
        </w:rPr>
      </w:pPr>
      <w:r w:rsidRPr="00D64CCF">
        <w:rPr>
          <w:rFonts w:ascii="Palatino Linotype" w:hAnsi="Palatino Linotype"/>
        </w:rPr>
        <w:t xml:space="preserve">El </w:t>
      </w:r>
      <w:r w:rsidRPr="00D64CCF">
        <w:rPr>
          <w:rFonts w:ascii="Palatino Linotype" w:eastAsia="MS Mincho" w:hAnsi="Palatino Linotype" w:cs="Arial"/>
        </w:rPr>
        <w:t>Titular</w:t>
      </w:r>
      <w:r w:rsidRPr="00D64CCF">
        <w:rPr>
          <w:rFonts w:ascii="Palatino Linotype" w:hAnsi="Palatino Linotype"/>
        </w:rPr>
        <w:t xml:space="preserve"> de la Unidad de Transparencia tiene la obligación de cumplir con lo </w:t>
      </w:r>
      <w:r w:rsidRPr="00D64CCF">
        <w:rPr>
          <w:rFonts w:ascii="Palatino Linotype" w:eastAsia="MS Mincho" w:hAnsi="Palatino Linotype" w:cs="Arial"/>
        </w:rPr>
        <w:t>que</w:t>
      </w:r>
      <w:r w:rsidRPr="00D64CCF">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14:paraId="143E1B4E" w14:textId="77777777" w:rsidR="00F511B5" w:rsidRPr="00D64CCF" w:rsidRDefault="00F511B5" w:rsidP="00CE4558">
      <w:pPr>
        <w:pStyle w:val="Prrafodelista"/>
        <w:spacing w:line="360" w:lineRule="auto"/>
        <w:ind w:left="0"/>
        <w:rPr>
          <w:rFonts w:ascii="Palatino Linotype" w:hAnsi="Palatino Linotype"/>
        </w:rPr>
      </w:pPr>
    </w:p>
    <w:p w14:paraId="61D8C27E" w14:textId="4DF0A1C1" w:rsidR="00E72E97" w:rsidRPr="00D64CCF" w:rsidRDefault="00E72E97" w:rsidP="009D6075">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La normatividad en materia establece que se privilegiará la modalidad de entrega elegida por el Recurrente y será excepcional un cambio de modalidad cuando la información sobrepase las capacidades técnicas administrativas y humanas, dicho cambio será debidamente fundado y motivado.</w:t>
      </w:r>
    </w:p>
    <w:p w14:paraId="740A7573" w14:textId="77777777" w:rsidR="00C21CFB" w:rsidRPr="00D64CCF" w:rsidRDefault="00C21CFB" w:rsidP="009D6075">
      <w:pPr>
        <w:spacing w:line="360" w:lineRule="auto"/>
        <w:rPr>
          <w:rFonts w:ascii="Palatino Linotype" w:hAnsi="Palatino Linotype" w:cs="Arial"/>
          <w:lang w:val="es-ES_tradnl"/>
        </w:rPr>
      </w:pPr>
    </w:p>
    <w:p w14:paraId="0B9EBDC7" w14:textId="645B422A" w:rsidR="00C21CFB" w:rsidRPr="00D64CCF" w:rsidRDefault="00C21CFB" w:rsidP="009D6075">
      <w:pPr>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14:paraId="63E33223" w14:textId="77777777" w:rsidR="00C21CFB" w:rsidRPr="00D64CCF" w:rsidRDefault="00C21CFB" w:rsidP="009D6075">
      <w:pPr>
        <w:tabs>
          <w:tab w:val="left" w:pos="0"/>
          <w:tab w:val="left" w:pos="567"/>
        </w:tabs>
        <w:spacing w:before="240" w:after="240" w:line="360" w:lineRule="auto"/>
        <w:ind w:right="49"/>
        <w:contextualSpacing/>
        <w:jc w:val="both"/>
        <w:rPr>
          <w:rFonts w:ascii="Palatino Linotype" w:hAnsi="Palatino Linotype" w:cs="Arial"/>
          <w:lang w:val="es-ES_tradnl"/>
        </w:rPr>
      </w:pPr>
    </w:p>
    <w:p w14:paraId="1E07676C" w14:textId="77777777" w:rsidR="00C21CFB" w:rsidRPr="00D64CCF" w:rsidRDefault="00C21CFB" w:rsidP="009D6075">
      <w:pPr>
        <w:tabs>
          <w:tab w:val="left" w:pos="0"/>
          <w:tab w:val="left" w:pos="567"/>
        </w:tabs>
        <w:spacing w:before="240" w:after="240" w:line="360" w:lineRule="auto"/>
        <w:ind w:left="567" w:right="1134"/>
        <w:contextualSpacing/>
        <w:jc w:val="both"/>
        <w:rPr>
          <w:rFonts w:ascii="Palatino Linotype" w:hAnsi="Palatino Linotype" w:cs="Arial"/>
          <w:i/>
          <w:lang w:val="es-ES_tradnl"/>
        </w:rPr>
      </w:pPr>
      <w:r w:rsidRPr="00D64CCF">
        <w:rPr>
          <w:rFonts w:ascii="Palatino Linotype" w:hAnsi="Palatino Linotype" w:cs="Arial"/>
          <w:i/>
          <w:lang w:val="es-ES_tradnl"/>
        </w:rPr>
        <w:lastRenderedPageBreak/>
        <w:t>“Artículo 88. La información referente a las obligaciones de transparencia será puesta a disposición de los particulares por cualquier medio que facilite su acceso, dando preferencia al uso de sistemas computacionales y las nuevas tecnologías de información.”</w:t>
      </w:r>
    </w:p>
    <w:p w14:paraId="1D1753A2" w14:textId="77777777" w:rsidR="00C21CFB" w:rsidRPr="00D64CCF" w:rsidRDefault="00C21CFB" w:rsidP="009D6075">
      <w:pPr>
        <w:tabs>
          <w:tab w:val="left" w:pos="0"/>
          <w:tab w:val="left" w:pos="567"/>
        </w:tabs>
        <w:spacing w:before="240" w:after="240" w:line="360" w:lineRule="auto"/>
        <w:ind w:right="49"/>
        <w:contextualSpacing/>
        <w:jc w:val="both"/>
        <w:rPr>
          <w:rFonts w:ascii="Palatino Linotype" w:hAnsi="Palatino Linotype" w:cs="Arial"/>
          <w:lang w:val="es-ES_tradnl"/>
        </w:rPr>
      </w:pPr>
    </w:p>
    <w:p w14:paraId="6B85E1C1" w14:textId="77777777" w:rsidR="00F22ECA" w:rsidRPr="00D64CCF" w:rsidRDefault="00C21CFB" w:rsidP="009D6075">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14:paraId="515A7F6B" w14:textId="77777777" w:rsidR="00F22ECA" w:rsidRPr="00D64CCF" w:rsidRDefault="00F22ECA" w:rsidP="009D6075">
      <w:pPr>
        <w:pStyle w:val="Prrafodelista"/>
        <w:tabs>
          <w:tab w:val="left" w:pos="0"/>
          <w:tab w:val="left" w:pos="567"/>
        </w:tabs>
        <w:spacing w:before="240" w:after="240" w:line="360" w:lineRule="auto"/>
        <w:ind w:left="0" w:right="49"/>
        <w:contextualSpacing/>
        <w:jc w:val="both"/>
        <w:rPr>
          <w:rFonts w:ascii="Palatino Linotype" w:hAnsi="Palatino Linotype" w:cs="Arial"/>
          <w:lang w:val="es-ES_tradnl"/>
        </w:rPr>
      </w:pPr>
    </w:p>
    <w:p w14:paraId="35E6B02D" w14:textId="0A3293BD" w:rsidR="00C21CFB" w:rsidRPr="00D64CCF" w:rsidRDefault="00C21CFB" w:rsidP="009D6075">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 xml:space="preserve">Luego entonces,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  , en términos de lo dispuesto en el artículo 16 de la Constitución Política de los Estados Unidos Mexicanos, el cual, exige que todo acto de autoridad debe de estar debidamente </w:t>
      </w:r>
      <w:r w:rsidRPr="00D64CCF">
        <w:rPr>
          <w:rFonts w:ascii="Palatino Linotype" w:hAnsi="Palatino Linotype" w:cs="Arial"/>
          <w:lang w:val="es-ES_tradnl"/>
        </w:rPr>
        <w:lastRenderedPageBreak/>
        <w:t>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6E017082" w14:textId="77777777" w:rsidR="00C21CFB" w:rsidRPr="00D64CCF" w:rsidRDefault="00C21CFB" w:rsidP="009D6075">
      <w:pPr>
        <w:tabs>
          <w:tab w:val="left" w:pos="0"/>
          <w:tab w:val="left" w:pos="567"/>
        </w:tabs>
        <w:spacing w:before="240" w:after="240" w:line="360" w:lineRule="auto"/>
        <w:ind w:right="49"/>
        <w:contextualSpacing/>
        <w:jc w:val="both"/>
        <w:rPr>
          <w:rFonts w:ascii="Palatino Linotype" w:hAnsi="Palatino Linotype" w:cs="Arial"/>
          <w:b/>
          <w:lang w:val="es-ES_tradnl"/>
        </w:rPr>
      </w:pPr>
    </w:p>
    <w:p w14:paraId="43793543" w14:textId="3C849C5B" w:rsidR="00C21CFB" w:rsidRPr="00D64CCF" w:rsidRDefault="00C21CFB" w:rsidP="009D6075">
      <w:pPr>
        <w:tabs>
          <w:tab w:val="left" w:pos="567"/>
        </w:tabs>
        <w:spacing w:before="240" w:after="240" w:line="360" w:lineRule="auto"/>
        <w:ind w:left="567" w:right="1134"/>
        <w:contextualSpacing/>
        <w:jc w:val="both"/>
        <w:rPr>
          <w:rFonts w:ascii="Palatino Linotype" w:hAnsi="Palatino Linotype" w:cs="Arial"/>
          <w:lang w:val="es-ES_tradnl"/>
        </w:rPr>
      </w:pPr>
      <w:r w:rsidRPr="00D64CCF">
        <w:rPr>
          <w:rFonts w:ascii="Palatino Linotype" w:hAnsi="Palatino Linotype" w:cs="Arial"/>
          <w:b/>
          <w:lang w:val="es-ES_tradnl"/>
        </w:rPr>
        <w:t>“FUNDAMENTACIÓN Y MOTIVACIÓN DE LOS ACTOS ADMINISTRATIVOS.</w:t>
      </w:r>
      <w:r w:rsidRPr="00D64CCF">
        <w:rPr>
          <w:rFonts w:ascii="Palatino Linotype" w:hAnsi="Palatino Linotype" w:cs="Arial"/>
          <w:lang w:val="es-ES_tradnl"/>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w:t>
      </w:r>
      <w:r w:rsidRPr="00D64CCF">
        <w:rPr>
          <w:rFonts w:ascii="Palatino Linotype" w:hAnsi="Palatino Linotype" w:cs="Arial"/>
          <w:lang w:val="es-ES_tradnl"/>
        </w:rPr>
        <w:lastRenderedPageBreak/>
        <w:t xml:space="preserve">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w:t>
      </w:r>
      <w:r w:rsidR="00AB30EB" w:rsidRPr="00D64CCF">
        <w:rPr>
          <w:rFonts w:ascii="Palatino Linotype" w:hAnsi="Palatino Linotype" w:cs="Arial"/>
          <w:lang w:val="es-ES_tradnl"/>
        </w:rPr>
        <w:t>acto en agravio del gobernado.”</w:t>
      </w:r>
    </w:p>
    <w:p w14:paraId="0305E9F3" w14:textId="77777777" w:rsidR="00AB30EB" w:rsidRPr="00D64CCF" w:rsidRDefault="00AB30EB" w:rsidP="009D6075">
      <w:pPr>
        <w:tabs>
          <w:tab w:val="left" w:pos="567"/>
        </w:tabs>
        <w:spacing w:before="240" w:after="240" w:line="360" w:lineRule="auto"/>
        <w:ind w:left="567" w:right="1134"/>
        <w:contextualSpacing/>
        <w:jc w:val="both"/>
        <w:rPr>
          <w:rFonts w:ascii="Palatino Linotype" w:hAnsi="Palatino Linotype" w:cs="Arial"/>
          <w:lang w:val="es-ES_tradnl"/>
        </w:rPr>
      </w:pPr>
    </w:p>
    <w:p w14:paraId="5962C910" w14:textId="0E9EF411" w:rsidR="00C21CFB" w:rsidRPr="00D64CCF" w:rsidRDefault="00C21CFB" w:rsidP="009D6075">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Por su parte, el artículo 158 de la Ley de Transparencia y Acceso a la Información Pública del Estado de México y Municipios, establece lo siguiente:</w:t>
      </w:r>
    </w:p>
    <w:p w14:paraId="14ECC47B" w14:textId="77777777" w:rsidR="00AB30EB" w:rsidRPr="00D64CCF" w:rsidRDefault="00AB30EB" w:rsidP="009D6075">
      <w:pPr>
        <w:pStyle w:val="Prrafodelista"/>
        <w:tabs>
          <w:tab w:val="left" w:pos="0"/>
          <w:tab w:val="left" w:pos="567"/>
        </w:tabs>
        <w:spacing w:before="240" w:after="240" w:line="360" w:lineRule="auto"/>
        <w:ind w:left="0" w:right="49"/>
        <w:contextualSpacing/>
        <w:jc w:val="both"/>
        <w:rPr>
          <w:rFonts w:ascii="Palatino Linotype" w:hAnsi="Palatino Linotype" w:cs="Arial"/>
          <w:lang w:val="es-ES_tradnl"/>
        </w:rPr>
      </w:pPr>
    </w:p>
    <w:p w14:paraId="3DC8536A" w14:textId="77777777" w:rsidR="00C21CFB" w:rsidRPr="00D64CCF" w:rsidRDefault="00C21CFB" w:rsidP="009D6075">
      <w:pPr>
        <w:tabs>
          <w:tab w:val="left" w:pos="567"/>
        </w:tabs>
        <w:spacing w:before="240" w:after="240" w:line="360" w:lineRule="auto"/>
        <w:ind w:left="567" w:right="1134"/>
        <w:contextualSpacing/>
        <w:jc w:val="both"/>
        <w:rPr>
          <w:rFonts w:ascii="Palatino Linotype" w:hAnsi="Palatino Linotype" w:cs="Arial"/>
          <w:i/>
          <w:lang w:val="es-ES_tradnl"/>
        </w:rPr>
      </w:pPr>
      <w:r w:rsidRPr="00D64CCF">
        <w:rPr>
          <w:rFonts w:ascii="Palatino Linotype" w:hAnsi="Palatino Linotype" w:cs="Arial"/>
          <w:i/>
          <w:lang w:val="es-ES_tradnl"/>
        </w:rPr>
        <w:t xml:space="preserve"> “</w:t>
      </w:r>
      <w:r w:rsidRPr="00D64CCF">
        <w:rPr>
          <w:rFonts w:ascii="Palatino Linotype" w:hAnsi="Palatino Linotype" w:cs="Arial"/>
          <w:b/>
          <w:i/>
          <w:lang w:val="es-ES_tradnl"/>
        </w:rPr>
        <w:t>Artículo 158.</w:t>
      </w:r>
      <w:r w:rsidRPr="00D64CCF">
        <w:rPr>
          <w:rFonts w:ascii="Palatino Linotype" w:hAnsi="Palatino Linotype" w:cs="Arial"/>
          <w:i/>
          <w:lang w:val="es-ES_tradnl"/>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4934D2DD" w14:textId="77777777" w:rsidR="00C21CFB" w:rsidRPr="00D64CCF" w:rsidRDefault="00C21CFB" w:rsidP="009D6075">
      <w:pPr>
        <w:tabs>
          <w:tab w:val="left" w:pos="567"/>
        </w:tabs>
        <w:spacing w:before="240" w:after="240" w:line="360" w:lineRule="auto"/>
        <w:ind w:left="567" w:right="1134"/>
        <w:contextualSpacing/>
        <w:jc w:val="both"/>
        <w:rPr>
          <w:rFonts w:ascii="Palatino Linotype" w:hAnsi="Palatino Linotype" w:cs="Arial"/>
          <w:i/>
          <w:lang w:val="es-ES_tradnl"/>
        </w:rPr>
      </w:pPr>
    </w:p>
    <w:p w14:paraId="0A8A3B76" w14:textId="77777777" w:rsidR="00C21CFB" w:rsidRPr="00D64CCF" w:rsidRDefault="00C21CFB" w:rsidP="009D6075">
      <w:pPr>
        <w:tabs>
          <w:tab w:val="left" w:pos="567"/>
        </w:tabs>
        <w:spacing w:before="240" w:after="240" w:line="360" w:lineRule="auto"/>
        <w:ind w:left="567" w:right="1134"/>
        <w:contextualSpacing/>
        <w:jc w:val="both"/>
        <w:rPr>
          <w:rFonts w:ascii="Palatino Linotype" w:hAnsi="Palatino Linotype" w:cs="Arial"/>
          <w:i/>
          <w:lang w:val="es-ES_tradnl"/>
        </w:rPr>
      </w:pPr>
      <w:r w:rsidRPr="00D64CCF">
        <w:rPr>
          <w:rFonts w:ascii="Palatino Linotype" w:hAnsi="Palatino Linotype" w:cs="Arial"/>
          <w:i/>
          <w:lang w:val="es-ES_tradnl"/>
        </w:rPr>
        <w:lastRenderedPageBreak/>
        <w:t>En todo caso, se facilitará su copia simple o certificada, así como su reproducción por cualquier medio disponible en las instalaciones del sujeto obligado o que, en su caso, aporte el solicitante.”</w:t>
      </w:r>
    </w:p>
    <w:p w14:paraId="4E9947BB" w14:textId="77777777" w:rsidR="00C21CFB" w:rsidRPr="00D64CCF" w:rsidRDefault="00C21CFB" w:rsidP="009D6075">
      <w:pPr>
        <w:tabs>
          <w:tab w:val="left" w:pos="0"/>
          <w:tab w:val="left" w:pos="567"/>
        </w:tabs>
        <w:spacing w:before="240" w:after="240" w:line="360" w:lineRule="auto"/>
        <w:ind w:right="49"/>
        <w:contextualSpacing/>
        <w:jc w:val="both"/>
        <w:rPr>
          <w:rFonts w:ascii="Palatino Linotype" w:hAnsi="Palatino Linotype" w:cs="Arial"/>
          <w:lang w:val="es-ES_tradnl"/>
        </w:rPr>
      </w:pPr>
    </w:p>
    <w:p w14:paraId="7A28B97E" w14:textId="77777777" w:rsidR="00527147" w:rsidRPr="00D64CCF" w:rsidRDefault="00C21CFB" w:rsidP="009D6075">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r w:rsidR="00F22ECA" w:rsidRPr="00D64CCF">
        <w:rPr>
          <w:rFonts w:ascii="Palatino Linotype" w:hAnsi="Palatino Linotype" w:cs="Arial"/>
          <w:lang w:val="es-ES_tradnl"/>
        </w:rPr>
        <w:t>.</w:t>
      </w:r>
    </w:p>
    <w:p w14:paraId="312E986A" w14:textId="77777777" w:rsidR="00527147" w:rsidRPr="00D64CCF" w:rsidRDefault="00527147" w:rsidP="009D6075">
      <w:pPr>
        <w:pStyle w:val="Prrafodelista"/>
        <w:tabs>
          <w:tab w:val="left" w:pos="0"/>
          <w:tab w:val="left" w:pos="567"/>
        </w:tabs>
        <w:spacing w:before="240" w:after="240" w:line="360" w:lineRule="auto"/>
        <w:ind w:left="0" w:right="49"/>
        <w:contextualSpacing/>
        <w:jc w:val="both"/>
        <w:rPr>
          <w:rFonts w:ascii="Palatino Linotype" w:hAnsi="Palatino Linotype" w:cs="Arial"/>
          <w:lang w:val="es-ES_tradnl"/>
        </w:rPr>
      </w:pPr>
    </w:p>
    <w:p w14:paraId="5EDB6AAC" w14:textId="77777777" w:rsidR="00965297" w:rsidRPr="00D64CCF" w:rsidRDefault="00527147" w:rsidP="00965297">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 xml:space="preserve">Respecto a los </w:t>
      </w:r>
      <w:r w:rsidR="00A13D9A" w:rsidRPr="00D64CCF">
        <w:rPr>
          <w:rFonts w:ascii="Palatino Linotype" w:hAnsi="Palatino Linotype" w:cs="Arial"/>
          <w:lang w:val="es-ES_tradnl"/>
        </w:rPr>
        <w:t xml:space="preserve">Recursos </w:t>
      </w:r>
      <w:r w:rsidR="00A13D9A" w:rsidRPr="00D64CCF">
        <w:rPr>
          <w:rFonts w:ascii="Palatino Linotype" w:hAnsi="Palatino Linotype" w:cs="Arial"/>
          <w:b/>
          <w:lang w:val="es-ES_tradnl"/>
        </w:rPr>
        <w:t>03398/INFOEM/IP/RR/2022, 03399/INFOEM/IP/RR/2022, 03401/INFOEM/IP/RR/2022, 03402/INFOEM/IP/RR/2022, 03403/INFOEM/IP/RR/2022, 03404/INFOEM/IP/RR/2022 y 03405/INFOEM/IP/RR/2022</w:t>
      </w:r>
      <w:r w:rsidRPr="00D64CCF">
        <w:rPr>
          <w:rFonts w:ascii="Palatino Linotype" w:hAnsi="Palatino Linotype" w:cs="Arial"/>
          <w:b/>
          <w:lang w:val="es-ES_tradnl"/>
        </w:rPr>
        <w:t xml:space="preserve">, </w:t>
      </w:r>
      <w:r w:rsidRPr="00D64CCF">
        <w:rPr>
          <w:rFonts w:ascii="Palatino Linotype" w:hAnsi="Palatino Linotype" w:cs="Arial"/>
          <w:lang w:val="es-ES_tradnl"/>
        </w:rPr>
        <w:t xml:space="preserve">se colige </w:t>
      </w:r>
      <w:r w:rsidR="00ED4DD1" w:rsidRPr="00D64CCF">
        <w:rPr>
          <w:rFonts w:ascii="Palatino Linotype" w:hAnsi="Palatino Linotype" w:cs="Arial"/>
          <w:lang w:val="es-ES_tradnl"/>
        </w:rPr>
        <w:t>que se</w:t>
      </w:r>
      <w:r w:rsidR="00AB30EB" w:rsidRPr="00D64CCF">
        <w:rPr>
          <w:rFonts w:ascii="Palatino Linotype" w:hAnsi="Palatino Linotype" w:cs="Arial"/>
          <w:lang w:val="es-ES_tradnl"/>
        </w:rPr>
        <w:t xml:space="preserve"> requiere información referente a</w:t>
      </w:r>
      <w:r w:rsidR="00ED4244" w:rsidRPr="00D64CCF">
        <w:rPr>
          <w:rFonts w:ascii="Palatino Linotype" w:hAnsi="Palatino Linotype" w:cs="Arial"/>
          <w:lang w:val="es-ES_tradnl"/>
        </w:rPr>
        <w:t xml:space="preserve"> los expedientes del p</w:t>
      </w:r>
      <w:r w:rsidR="00ED4DD1" w:rsidRPr="00D64CCF">
        <w:rPr>
          <w:rFonts w:ascii="Palatino Linotype" w:hAnsi="Palatino Linotype" w:cs="Arial"/>
          <w:lang w:val="es-ES_tradnl"/>
        </w:rPr>
        <w:t xml:space="preserve">roceso de adquisición y </w:t>
      </w:r>
      <w:r w:rsidR="00ED4244" w:rsidRPr="00D64CCF">
        <w:rPr>
          <w:rFonts w:ascii="Palatino Linotype" w:hAnsi="Palatino Linotype" w:cs="Arial"/>
          <w:lang w:val="es-ES_tradnl"/>
        </w:rPr>
        <w:t xml:space="preserve">adjudicación </w:t>
      </w:r>
      <w:r w:rsidR="00ED4DD1" w:rsidRPr="00D64CCF">
        <w:rPr>
          <w:rFonts w:ascii="Palatino Linotype" w:hAnsi="Palatino Linotype" w:cs="Arial"/>
          <w:lang w:val="es-ES_tradnl"/>
        </w:rPr>
        <w:t xml:space="preserve">de bienes o contratación de servicios mediante </w:t>
      </w:r>
      <w:r w:rsidR="00C34256" w:rsidRPr="00D64CCF">
        <w:rPr>
          <w:rFonts w:ascii="Palatino Linotype" w:hAnsi="Palatino Linotype" w:cs="Arial"/>
          <w:lang w:val="es-ES_tradnl"/>
        </w:rPr>
        <w:t>licitación Pública, invitación restringida y adjudicaci</w:t>
      </w:r>
      <w:r w:rsidR="00AB30EB" w:rsidRPr="00D64CCF">
        <w:rPr>
          <w:rFonts w:ascii="Palatino Linotype" w:hAnsi="Palatino Linotype" w:cs="Arial"/>
          <w:lang w:val="es-ES_tradnl"/>
        </w:rPr>
        <w:t>ón directa</w:t>
      </w:r>
      <w:r w:rsidR="004871FA" w:rsidRPr="00D64CCF">
        <w:rPr>
          <w:rFonts w:ascii="Palatino Linotype" w:hAnsi="Palatino Linotype" w:cs="Arial"/>
          <w:lang w:val="es-ES_tradnl"/>
        </w:rPr>
        <w:t xml:space="preserve">, </w:t>
      </w:r>
      <w:r w:rsidR="00AB30EB" w:rsidRPr="00D64CCF">
        <w:rPr>
          <w:rFonts w:ascii="Palatino Linotype" w:hAnsi="Palatino Linotype" w:cs="Arial"/>
          <w:lang w:val="es-ES_tradnl"/>
        </w:rPr>
        <w:t xml:space="preserve">derivados de las funciones del </w:t>
      </w:r>
      <w:r w:rsidR="00ED4244" w:rsidRPr="00D64CCF">
        <w:rPr>
          <w:rFonts w:ascii="Palatino Linotype" w:hAnsi="Palatino Linotype" w:cs="Arial"/>
          <w:lang w:val="es-ES_tradnl"/>
        </w:rPr>
        <w:t>Departamento de concursos, D</w:t>
      </w:r>
      <w:r w:rsidR="00C34256" w:rsidRPr="00D64CCF">
        <w:rPr>
          <w:rFonts w:ascii="Palatino Linotype" w:hAnsi="Palatino Linotype" w:cs="Arial"/>
          <w:lang w:val="es-ES_tradnl"/>
        </w:rPr>
        <w:t xml:space="preserve">ictamen y Apoyo al </w:t>
      </w:r>
      <w:r w:rsidR="00ED4244" w:rsidRPr="00D64CCF">
        <w:rPr>
          <w:rFonts w:ascii="Palatino Linotype" w:hAnsi="Palatino Linotype" w:cs="Arial"/>
          <w:lang w:val="es-ES_tradnl"/>
        </w:rPr>
        <w:t>Comité, de la Subdirección de Adquisiciones y Contratación de Servicios de la Dirección de Administraci</w:t>
      </w:r>
      <w:r w:rsidR="009D6075" w:rsidRPr="00D64CCF">
        <w:rPr>
          <w:rFonts w:ascii="Palatino Linotype" w:hAnsi="Palatino Linotype" w:cs="Arial"/>
          <w:lang w:val="es-ES_tradnl"/>
        </w:rPr>
        <w:t xml:space="preserve">ón de uno </w:t>
      </w:r>
      <w:r w:rsidR="00ED4244" w:rsidRPr="00D64CCF">
        <w:rPr>
          <w:rFonts w:ascii="Palatino Linotype" w:hAnsi="Palatino Linotype" w:cs="Arial"/>
          <w:lang w:val="es-ES_tradnl"/>
        </w:rPr>
        <w:t>(01) al d</w:t>
      </w:r>
      <w:r w:rsidR="00965297" w:rsidRPr="00D64CCF">
        <w:rPr>
          <w:rFonts w:ascii="Palatino Linotype" w:hAnsi="Palatino Linotype" w:cs="Arial"/>
          <w:lang w:val="es-ES_tradnl"/>
        </w:rPr>
        <w:t>ieciocho (18) de enero de 2022.</w:t>
      </w:r>
    </w:p>
    <w:p w14:paraId="43E7BF1D" w14:textId="77777777" w:rsidR="00965297" w:rsidRPr="00D64CCF" w:rsidRDefault="00965297" w:rsidP="00965297">
      <w:pPr>
        <w:pStyle w:val="Prrafodelista"/>
        <w:rPr>
          <w:rFonts w:ascii="Palatino Linotype" w:hAnsi="Palatino Linotype" w:cs="Arial"/>
          <w:lang w:val="es-ES_tradnl"/>
        </w:rPr>
      </w:pPr>
    </w:p>
    <w:p w14:paraId="2FBAD125" w14:textId="76A04579" w:rsidR="00965297" w:rsidRPr="00D64CCF" w:rsidRDefault="00965297" w:rsidP="00965297">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hAnsi="Palatino Linotype" w:cs="Arial"/>
          <w:lang w:val="es-ES_tradnl"/>
        </w:rPr>
        <w:t xml:space="preserve">En informe  justificado el Sujeto Obligado refiere que el documento donde "se da cuenta" o lo que es lo mismo, donde se notifica, advierten o se hacen saber las funciones y atribuciones que señala el ciudadano se encuentran previstas en el Código de </w:t>
      </w:r>
      <w:r w:rsidRPr="00D64CCF">
        <w:rPr>
          <w:rFonts w:ascii="Palatino Linotype" w:hAnsi="Palatino Linotype" w:cs="Arial"/>
          <w:lang w:val="es-ES_tradnl"/>
        </w:rPr>
        <w:lastRenderedPageBreak/>
        <w:t>Reglamentación  Municipal de Metepec, Estado de México. Refiere que a la fecha seguía vigente el documento en comento del año inmediato anterior y el ciudadano podrá consultarlo en el siguiente link:</w:t>
      </w:r>
    </w:p>
    <w:p w14:paraId="503CF52F" w14:textId="77777777" w:rsidR="00965297" w:rsidRPr="00D64CCF" w:rsidRDefault="00965297" w:rsidP="00965297">
      <w:pPr>
        <w:spacing w:line="360" w:lineRule="auto"/>
        <w:rPr>
          <w:rFonts w:ascii="Palatino Linotype" w:hAnsi="Palatino Linotype" w:cs="Arial"/>
          <w:lang w:val="es-ES_tradnl"/>
        </w:rPr>
      </w:pPr>
    </w:p>
    <w:p w14:paraId="781E86AF" w14:textId="2CF6361C" w:rsidR="00ED4244" w:rsidRPr="00D64CCF" w:rsidRDefault="00965297" w:rsidP="00965297">
      <w:pPr>
        <w:pStyle w:val="Prrafodelista"/>
        <w:spacing w:line="360" w:lineRule="auto"/>
        <w:rPr>
          <w:rFonts w:ascii="Palatino Linotype" w:hAnsi="Palatino Linotype" w:cs="Arial"/>
          <w:lang w:val="es-ES_tradnl"/>
        </w:rPr>
      </w:pPr>
      <w:r w:rsidRPr="00D64CCF">
        <w:rPr>
          <w:rFonts w:ascii="Palatino Linotype" w:hAnsi="Palatino Linotype" w:cs="Arial"/>
          <w:lang w:val="es-ES_tradnl"/>
        </w:rPr>
        <w:t>Archivo Municipal (metepec.gob, mx)</w:t>
      </w:r>
    </w:p>
    <w:p w14:paraId="1F325D92" w14:textId="77777777" w:rsidR="00965297" w:rsidRPr="00D64CCF" w:rsidRDefault="00965297" w:rsidP="00965297">
      <w:pPr>
        <w:pStyle w:val="Prrafodelista"/>
        <w:spacing w:line="360" w:lineRule="auto"/>
        <w:rPr>
          <w:rFonts w:ascii="Palatino Linotype" w:hAnsi="Palatino Linotype" w:cs="Arial"/>
          <w:lang w:val="es-ES_tradnl"/>
        </w:rPr>
      </w:pPr>
    </w:p>
    <w:p w14:paraId="3CAA49B0" w14:textId="3AF23125" w:rsidR="00ED4244" w:rsidRPr="00D64CCF" w:rsidRDefault="00ED4244" w:rsidP="009D6075">
      <w:pPr>
        <w:pStyle w:val="Prrafodelista"/>
        <w:numPr>
          <w:ilvl w:val="0"/>
          <w:numId w:val="1"/>
        </w:numPr>
        <w:tabs>
          <w:tab w:val="left" w:pos="0"/>
          <w:tab w:val="left" w:pos="567"/>
        </w:tabs>
        <w:spacing w:before="240" w:after="240" w:line="360" w:lineRule="auto"/>
        <w:ind w:left="0" w:right="49" w:firstLine="0"/>
        <w:contextualSpacing/>
        <w:jc w:val="both"/>
        <w:rPr>
          <w:rFonts w:ascii="Palatino Linotype" w:hAnsi="Palatino Linotype" w:cs="Arial"/>
          <w:lang w:val="es-ES_tradnl"/>
        </w:rPr>
      </w:pPr>
      <w:r w:rsidRPr="00D64CCF">
        <w:rPr>
          <w:rFonts w:ascii="Palatino Linotype" w:eastAsia="Palatino Linotype" w:hAnsi="Palatino Linotype" w:cs="Palatino Linotype"/>
        </w:rPr>
        <w:t xml:space="preserve">En este de orden de ideas, es oportuno traer a contexto que la Dirección de Administración forma parte de los órganos que auxilian al Ayuntamiento para el cumplimiento de sus fines, de acuerdo a lo dispuesto en el artículo 35, fracción VI inciso a) del </w:t>
      </w:r>
      <w:r w:rsidRPr="00D64CCF">
        <w:rPr>
          <w:rFonts w:ascii="Palatino Linotype" w:eastAsia="Palatino Linotype" w:hAnsi="Palatino Linotype" w:cs="Palatino Linotype"/>
          <w:b/>
        </w:rPr>
        <w:t xml:space="preserve">Bando Municipal de Metepec 2022, </w:t>
      </w:r>
      <w:r w:rsidRPr="00D64CCF">
        <w:rPr>
          <w:rFonts w:ascii="Palatino Linotype" w:eastAsia="Palatino Linotype" w:hAnsi="Palatino Linotype" w:cs="Palatino Linotype"/>
        </w:rPr>
        <w:t>que en su texto literal señala:</w:t>
      </w:r>
    </w:p>
    <w:p w14:paraId="6BD9C25F" w14:textId="77777777" w:rsidR="00ED4244" w:rsidRPr="00D64CCF" w:rsidRDefault="00ED4244" w:rsidP="009D6075">
      <w:pPr>
        <w:spacing w:line="360" w:lineRule="auto"/>
        <w:jc w:val="both"/>
        <w:rPr>
          <w:rFonts w:ascii="Palatino Linotype" w:eastAsia="Palatino Linotype" w:hAnsi="Palatino Linotype" w:cs="Palatino Linotype"/>
        </w:rPr>
      </w:pPr>
    </w:p>
    <w:p w14:paraId="1C02A3C2" w14:textId="77777777" w:rsidR="00ED4244" w:rsidRPr="00D64CCF" w:rsidRDefault="00ED4244" w:rsidP="009D6075">
      <w:pPr>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b/>
          <w:i/>
        </w:rPr>
        <w:t>“ARTÍCULO 35</w:t>
      </w:r>
      <w:r w:rsidRPr="00D64CCF">
        <w:rPr>
          <w:rFonts w:ascii="Palatino Linotype" w:eastAsia="Palatino Linotype" w:hAnsi="Palatino Linotype" w:cs="Palatino Linotype"/>
          <w:i/>
        </w:rPr>
        <w:t>.- La Administración Pública Centralizada es una de las formas de organización de la Administración Pública Municipal, cuyos órganos auxilian al Ayuntamiento para el cumplimiento de sus funciones y están subordinados jerárquicamente al Presidente Municipal, integrándose de la siguiente manera:</w:t>
      </w:r>
    </w:p>
    <w:p w14:paraId="2C511D06" w14:textId="77777777" w:rsidR="00ED4244" w:rsidRPr="00D64CCF" w:rsidRDefault="00ED4244" w:rsidP="009D6075">
      <w:pPr>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w:t>
      </w:r>
    </w:p>
    <w:p w14:paraId="3ED336F6" w14:textId="77777777" w:rsidR="00ED4244" w:rsidRPr="00D64CCF" w:rsidRDefault="00ED4244" w:rsidP="009D6075">
      <w:pPr>
        <w:spacing w:line="360" w:lineRule="auto"/>
        <w:ind w:left="567" w:right="1134"/>
        <w:jc w:val="both"/>
        <w:rPr>
          <w:rFonts w:ascii="Palatino Linotype" w:eastAsia="Palatino Linotype" w:hAnsi="Palatino Linotype" w:cs="Palatino Linotype"/>
          <w:b/>
          <w:i/>
        </w:rPr>
      </w:pPr>
      <w:r w:rsidRPr="00D64CCF">
        <w:rPr>
          <w:rFonts w:ascii="Palatino Linotype" w:eastAsia="Palatino Linotype" w:hAnsi="Palatino Linotype" w:cs="Palatino Linotype"/>
          <w:b/>
          <w:i/>
        </w:rPr>
        <w:t>VI. Direcciones de:</w:t>
      </w:r>
    </w:p>
    <w:p w14:paraId="47F055A8" w14:textId="77777777" w:rsidR="00ED4244" w:rsidRPr="00D64CCF" w:rsidRDefault="00ED4244" w:rsidP="009D6075">
      <w:pPr>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a) Administración;</w:t>
      </w:r>
    </w:p>
    <w:p w14:paraId="6A12E326" w14:textId="77777777" w:rsidR="00ED4244" w:rsidRPr="00D64CCF" w:rsidRDefault="00ED4244" w:rsidP="009D6075">
      <w:pPr>
        <w:tabs>
          <w:tab w:val="left" w:pos="7938"/>
        </w:tabs>
        <w:spacing w:line="360" w:lineRule="auto"/>
        <w:jc w:val="both"/>
        <w:rPr>
          <w:rFonts w:ascii="Palatino Linotype" w:eastAsia="Palatino Linotype" w:hAnsi="Palatino Linotype" w:cs="Palatino Linotype"/>
        </w:rPr>
      </w:pPr>
    </w:p>
    <w:p w14:paraId="7ECC8721" w14:textId="77777777" w:rsidR="00ED4244" w:rsidRPr="00D64CCF" w:rsidRDefault="00ED4244" w:rsidP="009D6075">
      <w:pPr>
        <w:pStyle w:val="Prrafodelista"/>
        <w:numPr>
          <w:ilvl w:val="0"/>
          <w:numId w:val="1"/>
        </w:numPr>
        <w:tabs>
          <w:tab w:val="left" w:pos="567"/>
          <w:tab w:val="left" w:pos="7938"/>
        </w:tabs>
        <w:spacing w:line="360" w:lineRule="auto"/>
        <w:ind w:left="0" w:firstLine="0"/>
        <w:jc w:val="both"/>
        <w:rPr>
          <w:rFonts w:ascii="Palatino Linotype" w:eastAsia="Palatino Linotype" w:hAnsi="Palatino Linotype" w:cs="Palatino Linotype"/>
        </w:rPr>
      </w:pPr>
      <w:r w:rsidRPr="00D64CCF">
        <w:rPr>
          <w:rFonts w:ascii="Palatino Linotype" w:eastAsia="Palatino Linotype" w:hAnsi="Palatino Linotype" w:cs="Palatino Linotype"/>
        </w:rPr>
        <w:t xml:space="preserve">Correlativo a lo anterior el artículo </w:t>
      </w:r>
      <w:r w:rsidRPr="00D64CCF">
        <w:rPr>
          <w:rFonts w:ascii="Palatino Linotype" w:eastAsia="Palatino Linotype" w:hAnsi="Palatino Linotype" w:cs="Palatino Linotype"/>
          <w:b/>
        </w:rPr>
        <w:t>3.79 del Código de Reglamentación de Metepec</w:t>
      </w:r>
      <w:r w:rsidRPr="00D64CCF">
        <w:rPr>
          <w:rFonts w:ascii="Palatino Linotype" w:eastAsia="Palatino Linotype" w:hAnsi="Palatino Linotype" w:cs="Palatino Linotype"/>
        </w:rPr>
        <w:t xml:space="preserve"> establece que la Dirección de Administración es la encargada de otorgar </w:t>
      </w:r>
      <w:r w:rsidRPr="00D64CCF">
        <w:rPr>
          <w:rFonts w:ascii="Palatino Linotype" w:eastAsia="Palatino Linotype" w:hAnsi="Palatino Linotype" w:cs="Palatino Linotype"/>
        </w:rPr>
        <w:lastRenderedPageBreak/>
        <w:t xml:space="preserve">soporte material, técnico, humano, administrativo, organizacional e informático, que permita a las y los servidores públicos de la Administración Pública Municipal. </w:t>
      </w:r>
    </w:p>
    <w:p w14:paraId="5E8D1796" w14:textId="77777777" w:rsidR="00ED4244" w:rsidRPr="00D64CCF" w:rsidRDefault="00ED4244" w:rsidP="009D6075">
      <w:pPr>
        <w:pStyle w:val="Prrafodelista"/>
        <w:tabs>
          <w:tab w:val="left" w:pos="567"/>
          <w:tab w:val="left" w:pos="7938"/>
        </w:tabs>
        <w:spacing w:line="360" w:lineRule="auto"/>
        <w:ind w:left="0"/>
        <w:jc w:val="both"/>
        <w:rPr>
          <w:rFonts w:ascii="Palatino Linotype" w:eastAsia="Palatino Linotype" w:hAnsi="Palatino Linotype" w:cs="Palatino Linotype"/>
        </w:rPr>
      </w:pPr>
    </w:p>
    <w:p w14:paraId="6EB73E54" w14:textId="0768E7B1" w:rsidR="00ED4244" w:rsidRPr="00D64CCF" w:rsidRDefault="00ED4244" w:rsidP="009D6075">
      <w:pPr>
        <w:pStyle w:val="Prrafodelista"/>
        <w:numPr>
          <w:ilvl w:val="0"/>
          <w:numId w:val="1"/>
        </w:numPr>
        <w:tabs>
          <w:tab w:val="left" w:pos="567"/>
          <w:tab w:val="left" w:pos="7938"/>
        </w:tabs>
        <w:spacing w:line="360" w:lineRule="auto"/>
        <w:ind w:left="0" w:firstLine="0"/>
        <w:jc w:val="both"/>
        <w:rPr>
          <w:rFonts w:ascii="Palatino Linotype" w:eastAsia="Palatino Linotype" w:hAnsi="Palatino Linotype" w:cs="Palatino Linotype"/>
        </w:rPr>
      </w:pPr>
      <w:r w:rsidRPr="00D64CCF">
        <w:rPr>
          <w:rFonts w:ascii="Palatino Linotype" w:eastAsia="Palatino Linotype" w:hAnsi="Palatino Linotype" w:cs="Palatino Linotype"/>
        </w:rPr>
        <w:t xml:space="preserve">En relación a las atribuciones de la Dirección de Administración el artículo 3.80 del ordenamiento previamente citado establece: </w:t>
      </w:r>
    </w:p>
    <w:p w14:paraId="06DF1441" w14:textId="77777777" w:rsidR="00ED4244" w:rsidRPr="00D64CCF" w:rsidRDefault="00ED4244" w:rsidP="009D6075">
      <w:pPr>
        <w:tabs>
          <w:tab w:val="left" w:pos="7938"/>
        </w:tabs>
        <w:spacing w:line="360" w:lineRule="auto"/>
        <w:jc w:val="both"/>
        <w:rPr>
          <w:rFonts w:ascii="Palatino Linotype" w:eastAsia="Palatino Linotype" w:hAnsi="Palatino Linotype" w:cs="Palatino Linotype"/>
        </w:rPr>
      </w:pPr>
    </w:p>
    <w:p w14:paraId="3718BF48"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u w:val="single"/>
        </w:rPr>
      </w:pPr>
      <w:r w:rsidRPr="00D64CCF">
        <w:rPr>
          <w:rFonts w:ascii="Palatino Linotype" w:eastAsia="Palatino Linotype" w:hAnsi="Palatino Linotype" w:cs="Palatino Linotype"/>
          <w:i/>
        </w:rPr>
        <w:t xml:space="preserve">Artículo 3.80.- La </w:t>
      </w:r>
      <w:r w:rsidRPr="00D64CCF">
        <w:rPr>
          <w:rFonts w:ascii="Palatino Linotype" w:eastAsia="Palatino Linotype" w:hAnsi="Palatino Linotype" w:cs="Palatino Linotype"/>
          <w:b/>
          <w:i/>
          <w:u w:val="single"/>
        </w:rPr>
        <w:t>Dirección de Administración</w:t>
      </w:r>
      <w:r w:rsidRPr="00D64CCF">
        <w:rPr>
          <w:rFonts w:ascii="Palatino Linotype" w:eastAsia="Palatino Linotype" w:hAnsi="Palatino Linotype" w:cs="Palatino Linotype"/>
          <w:i/>
          <w:u w:val="single"/>
        </w:rPr>
        <w:t xml:space="preserve"> tiene a su cargo las siguientes atribuciones:</w:t>
      </w:r>
    </w:p>
    <w:p w14:paraId="4B6EF370" w14:textId="3774CEE1" w:rsidR="00ED4244" w:rsidRPr="00D64CCF" w:rsidRDefault="00ED4244" w:rsidP="009D6075">
      <w:pPr>
        <w:tabs>
          <w:tab w:val="left" w:pos="7938"/>
        </w:tabs>
        <w:spacing w:line="360" w:lineRule="auto"/>
        <w:ind w:left="567" w:right="616"/>
        <w:jc w:val="both"/>
        <w:rPr>
          <w:rFonts w:ascii="Palatino Linotype" w:hAnsi="Palatino Linotype"/>
          <w:b/>
          <w:i/>
          <w:u w:val="single"/>
        </w:rPr>
      </w:pPr>
    </w:p>
    <w:p w14:paraId="4DA258A0" w14:textId="0E78D998"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b/>
          <w:i/>
          <w:u w:val="single"/>
        </w:rPr>
      </w:pPr>
      <w:r w:rsidRPr="00D64CCF">
        <w:rPr>
          <w:rFonts w:ascii="Palatino Linotype" w:hAnsi="Palatino Linotype"/>
          <w:i/>
        </w:rPr>
        <w:t>…</w:t>
      </w:r>
    </w:p>
    <w:p w14:paraId="682ED1A8"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rPr>
      </w:pPr>
    </w:p>
    <w:p w14:paraId="672E0A92"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IV. Llevar a cabo las </w:t>
      </w:r>
      <w:r w:rsidRPr="00D64CCF">
        <w:rPr>
          <w:rFonts w:ascii="Palatino Linotype" w:eastAsia="Palatino Linotype" w:hAnsi="Palatino Linotype" w:cs="Palatino Linotype"/>
          <w:i/>
          <w:u w:val="single"/>
        </w:rPr>
        <w:t xml:space="preserve">adquisiciones de bienes, arrendamiento de bienes muebles y la </w:t>
      </w:r>
      <w:r w:rsidRPr="00D64CCF">
        <w:rPr>
          <w:rFonts w:ascii="Palatino Linotype" w:eastAsia="Palatino Linotype" w:hAnsi="Palatino Linotype" w:cs="Palatino Linotype"/>
          <w:b/>
          <w:i/>
          <w:u w:val="single"/>
        </w:rPr>
        <w:t>contratación de servicios que requieran las distintas áreas</w:t>
      </w:r>
      <w:r w:rsidRPr="00D64CCF">
        <w:rPr>
          <w:rFonts w:ascii="Palatino Linotype" w:eastAsia="Palatino Linotype" w:hAnsi="Palatino Linotype" w:cs="Palatino Linotype"/>
          <w:i/>
        </w:rPr>
        <w:t>, ajustándose en su caso a las decisiones del Comité de Adquisiciones y Servicios y Comité de Arrendamientos, Adquisiciones de Inmuebles y Enajenaciones, vigilando su cumplimiento, en estricto apego a las disposiciones legales de la materia;</w:t>
      </w:r>
    </w:p>
    <w:p w14:paraId="6C587C7F"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w:t>
      </w:r>
    </w:p>
    <w:p w14:paraId="1CB92465"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VII.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p>
    <w:p w14:paraId="05B60991"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w:t>
      </w:r>
    </w:p>
    <w:p w14:paraId="3399AF1B" w14:textId="77777777" w:rsidR="00ED4244" w:rsidRPr="00D64CCF" w:rsidRDefault="00ED4244" w:rsidP="009D6075">
      <w:pPr>
        <w:tabs>
          <w:tab w:val="left" w:pos="7938"/>
        </w:tabs>
        <w:spacing w:line="360" w:lineRule="auto"/>
        <w:ind w:left="567"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lastRenderedPageBreak/>
        <w:t xml:space="preserve">XIII. Suscribir </w:t>
      </w:r>
      <w:r w:rsidRPr="00D64CCF">
        <w:rPr>
          <w:rFonts w:ascii="Palatino Linotype" w:eastAsia="Palatino Linotype" w:hAnsi="Palatino Linotype" w:cs="Palatino Linotype"/>
          <w:b/>
          <w:i/>
          <w:u w:val="single"/>
        </w:rPr>
        <w:t>contratos de adquisiciones</w:t>
      </w:r>
      <w:r w:rsidRPr="00D64CCF">
        <w:rPr>
          <w:rFonts w:ascii="Palatino Linotype" w:eastAsia="Palatino Linotype" w:hAnsi="Palatino Linotype" w:cs="Palatino Linotype"/>
          <w:i/>
        </w:rPr>
        <w:t xml:space="preserve"> de bienes muebles y </w:t>
      </w:r>
      <w:r w:rsidRPr="00D64CCF">
        <w:rPr>
          <w:rFonts w:ascii="Palatino Linotype" w:eastAsia="Palatino Linotype" w:hAnsi="Palatino Linotype" w:cs="Palatino Linotype"/>
          <w:b/>
          <w:i/>
          <w:u w:val="single"/>
        </w:rPr>
        <w:t>servicios,</w:t>
      </w:r>
      <w:r w:rsidRPr="00D64CCF">
        <w:rPr>
          <w:rFonts w:ascii="Palatino Linotype" w:eastAsia="Palatino Linotype" w:hAnsi="Palatino Linotype" w:cs="Palatino Linotype"/>
          <w:i/>
        </w:rPr>
        <w:t xml:space="preserve"> conforme a los acuerdos tomados en el Comité de Adquisiciones y Servicios;</w:t>
      </w:r>
    </w:p>
    <w:p w14:paraId="29DF77D3" w14:textId="77777777" w:rsidR="00ED4244" w:rsidRPr="00D64CCF" w:rsidRDefault="00ED4244" w:rsidP="009D6075">
      <w:pPr>
        <w:tabs>
          <w:tab w:val="left" w:pos="7938"/>
        </w:tabs>
        <w:spacing w:line="360" w:lineRule="auto"/>
        <w:ind w:left="567"/>
        <w:jc w:val="both"/>
        <w:rPr>
          <w:rFonts w:ascii="Palatino Linotype" w:hAnsi="Palatino Linotype"/>
        </w:rPr>
      </w:pPr>
    </w:p>
    <w:p w14:paraId="7D04AB65" w14:textId="5D11CDEE" w:rsidR="00ED4244" w:rsidRPr="00D64CCF" w:rsidRDefault="00ED4244" w:rsidP="009D6075">
      <w:pPr>
        <w:pStyle w:val="Prrafodelista"/>
        <w:numPr>
          <w:ilvl w:val="0"/>
          <w:numId w:val="1"/>
        </w:numPr>
        <w:tabs>
          <w:tab w:val="left" w:pos="567"/>
          <w:tab w:val="left" w:pos="7938"/>
        </w:tabs>
        <w:spacing w:line="360" w:lineRule="auto"/>
        <w:ind w:left="0" w:firstLine="0"/>
        <w:jc w:val="both"/>
        <w:rPr>
          <w:rFonts w:ascii="Palatino Linotype" w:eastAsia="Palatino Linotype" w:hAnsi="Palatino Linotype" w:cs="Palatino Linotype"/>
        </w:rPr>
      </w:pPr>
      <w:r w:rsidRPr="00D64CCF">
        <w:rPr>
          <w:rFonts w:ascii="Palatino Linotype" w:eastAsia="Palatino Linotype" w:hAnsi="Palatino Linotype" w:cs="Palatino Linotype"/>
        </w:rPr>
        <w:t xml:space="preserve">A mayor abundamiento, el artículo 3.81 del mismo Código establece que para el cumplimiento de sus atribuciones la Dirección de Administración se auxiliará de las siguientes subdirecciones: </w:t>
      </w:r>
    </w:p>
    <w:p w14:paraId="3730486A" w14:textId="77777777" w:rsidR="00ED4244" w:rsidRPr="00D64CCF" w:rsidRDefault="00ED4244" w:rsidP="009D6075">
      <w:pPr>
        <w:tabs>
          <w:tab w:val="left" w:pos="7938"/>
        </w:tabs>
        <w:spacing w:line="360" w:lineRule="auto"/>
        <w:jc w:val="both"/>
        <w:rPr>
          <w:rFonts w:ascii="Palatino Linotype" w:eastAsia="Palatino Linotype" w:hAnsi="Palatino Linotype" w:cs="Palatino Linotype"/>
        </w:rPr>
      </w:pPr>
    </w:p>
    <w:p w14:paraId="5256D4C3" w14:textId="77777777" w:rsidR="00ED4244" w:rsidRPr="00D64CCF" w:rsidRDefault="00ED4244" w:rsidP="009D6075">
      <w:pPr>
        <w:tabs>
          <w:tab w:val="left" w:pos="7938"/>
        </w:tabs>
        <w:spacing w:line="360" w:lineRule="auto"/>
        <w:ind w:left="851" w:right="616"/>
        <w:jc w:val="both"/>
        <w:rPr>
          <w:rFonts w:ascii="Palatino Linotype" w:eastAsia="Palatino Linotype" w:hAnsi="Palatino Linotype" w:cs="Palatino Linotype"/>
          <w:i/>
        </w:rPr>
      </w:pPr>
      <w:r w:rsidRPr="00D64CCF">
        <w:rPr>
          <w:rFonts w:ascii="Palatino Linotype" w:eastAsia="Palatino Linotype" w:hAnsi="Palatino Linotype" w:cs="Palatino Linotype"/>
          <w:b/>
          <w:i/>
        </w:rPr>
        <w:t>“Artículo 3.81.-</w:t>
      </w:r>
      <w:r w:rsidRPr="00D64CCF">
        <w:rPr>
          <w:rFonts w:ascii="Palatino Linotype" w:eastAsia="Palatino Linotype" w:hAnsi="Palatino Linotype" w:cs="Palatino Linotype"/>
          <w:i/>
        </w:rPr>
        <w:t xml:space="preserve"> Para el cumplimiento de sus atribuciones y facultades la Dirección de Administración, contará con: </w:t>
      </w:r>
    </w:p>
    <w:p w14:paraId="682D16E7" w14:textId="77777777" w:rsidR="00ED4244" w:rsidRPr="00D64CCF" w:rsidRDefault="00ED4244" w:rsidP="009D6075">
      <w:pPr>
        <w:tabs>
          <w:tab w:val="left" w:pos="7938"/>
        </w:tabs>
        <w:spacing w:line="360" w:lineRule="auto"/>
        <w:ind w:left="851"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I. Subdirección de Recursos Humanos; </w:t>
      </w:r>
    </w:p>
    <w:p w14:paraId="24D4827F" w14:textId="77777777" w:rsidR="00ED4244" w:rsidRPr="00D64CCF" w:rsidRDefault="00ED4244" w:rsidP="009D6075">
      <w:pPr>
        <w:tabs>
          <w:tab w:val="left" w:pos="7938"/>
        </w:tabs>
        <w:spacing w:line="360" w:lineRule="auto"/>
        <w:ind w:left="851"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II. Subdirección de Recursos Materiales; </w:t>
      </w:r>
    </w:p>
    <w:p w14:paraId="079F0F2B" w14:textId="77777777" w:rsidR="00ED4244" w:rsidRPr="00D64CCF" w:rsidRDefault="00ED4244" w:rsidP="009D6075">
      <w:pPr>
        <w:tabs>
          <w:tab w:val="left" w:pos="7938"/>
        </w:tabs>
        <w:spacing w:line="360" w:lineRule="auto"/>
        <w:ind w:left="851" w:right="616"/>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 xml:space="preserve">III. Subdirección de Adquisiciones y Contratación de Servicios; y </w:t>
      </w:r>
    </w:p>
    <w:p w14:paraId="7C158D9B" w14:textId="77777777" w:rsidR="00ED4244" w:rsidRPr="00D64CCF" w:rsidRDefault="00ED4244" w:rsidP="009D6075">
      <w:pPr>
        <w:tabs>
          <w:tab w:val="left" w:pos="7938"/>
        </w:tabs>
        <w:spacing w:line="360" w:lineRule="auto"/>
        <w:ind w:left="851" w:right="616"/>
        <w:jc w:val="both"/>
        <w:rPr>
          <w:rFonts w:ascii="Palatino Linotype" w:eastAsia="Palatino Linotype" w:hAnsi="Palatino Linotype" w:cs="Palatino Linotype"/>
          <w:i/>
        </w:rPr>
      </w:pPr>
      <w:r w:rsidRPr="00D64CCF">
        <w:rPr>
          <w:rFonts w:ascii="Palatino Linotype" w:eastAsia="Palatino Linotype" w:hAnsi="Palatino Linotype" w:cs="Palatino Linotype"/>
          <w:i/>
        </w:rPr>
        <w:t>IV. Subdirección de Servicios Generales</w:t>
      </w:r>
    </w:p>
    <w:p w14:paraId="61E65ADC" w14:textId="77777777" w:rsidR="00ED4244" w:rsidRPr="00D64CCF" w:rsidRDefault="00ED4244" w:rsidP="009D6075">
      <w:pPr>
        <w:tabs>
          <w:tab w:val="left" w:pos="567"/>
          <w:tab w:val="left" w:pos="7938"/>
        </w:tabs>
        <w:spacing w:line="360" w:lineRule="auto"/>
        <w:jc w:val="both"/>
        <w:rPr>
          <w:rFonts w:ascii="Palatino Linotype" w:eastAsia="Palatino Linotype" w:hAnsi="Palatino Linotype" w:cs="Palatino Linotype"/>
        </w:rPr>
      </w:pPr>
    </w:p>
    <w:p w14:paraId="1E4265CA" w14:textId="724B2691" w:rsidR="00717180" w:rsidRPr="00D64CCF" w:rsidRDefault="00717180" w:rsidP="009D6075">
      <w:pPr>
        <w:pStyle w:val="Prrafodelista"/>
        <w:numPr>
          <w:ilvl w:val="0"/>
          <w:numId w:val="1"/>
        </w:numPr>
        <w:tabs>
          <w:tab w:val="left" w:pos="567"/>
          <w:tab w:val="left" w:pos="7938"/>
        </w:tabs>
        <w:spacing w:line="360" w:lineRule="auto"/>
        <w:ind w:left="0" w:firstLine="0"/>
        <w:jc w:val="both"/>
        <w:rPr>
          <w:rFonts w:ascii="Palatino Linotype" w:eastAsia="Palatino Linotype" w:hAnsi="Palatino Linotype" w:cs="Palatino Linotype"/>
        </w:rPr>
      </w:pPr>
      <w:r w:rsidRPr="00D64CCF">
        <w:rPr>
          <w:rFonts w:ascii="Palatino Linotype" w:eastAsia="Palatino Linotype" w:hAnsi="Palatino Linotype" w:cs="Palatino Linotype"/>
        </w:rPr>
        <w:t>L</w:t>
      </w:r>
      <w:r w:rsidR="00ED4244" w:rsidRPr="00D64CCF">
        <w:rPr>
          <w:rFonts w:ascii="Palatino Linotype" w:eastAsia="Palatino Linotype" w:hAnsi="Palatino Linotype" w:cs="Palatino Linotype"/>
        </w:rPr>
        <w:t>a Subdirección de Adquisiciones</w:t>
      </w:r>
      <w:r w:rsidRPr="00D64CCF">
        <w:rPr>
          <w:rFonts w:ascii="Palatino Linotype" w:eastAsia="Palatino Linotype" w:hAnsi="Palatino Linotype" w:cs="Palatino Linotype"/>
        </w:rPr>
        <w:t xml:space="preserve"> y Contratación de Servicios se</w:t>
      </w:r>
      <w:r w:rsidR="00ED4244" w:rsidRPr="00D64CCF">
        <w:rPr>
          <w:rFonts w:ascii="Palatino Linotype" w:eastAsia="Palatino Linotype" w:hAnsi="Palatino Linotype" w:cs="Palatino Linotype"/>
        </w:rPr>
        <w:t xml:space="preserve"> auxiliará del Departamento de Concursos, Dictamen y Apoyo al Comité,</w:t>
      </w:r>
      <w:r w:rsidRPr="00D64CCF">
        <w:rPr>
          <w:rFonts w:ascii="Palatino Linotype" w:eastAsia="Palatino Linotype" w:hAnsi="Palatino Linotype" w:cs="Palatino Linotype"/>
        </w:rPr>
        <w:t xml:space="preserve"> mismo que </w:t>
      </w:r>
      <w:r w:rsidR="00ED4244" w:rsidRPr="00D64CCF">
        <w:rPr>
          <w:rFonts w:ascii="Palatino Linotype" w:eastAsia="Palatino Linotype" w:hAnsi="Palatino Linotype" w:cs="Palatino Linotype"/>
        </w:rPr>
        <w:t>tie</w:t>
      </w:r>
      <w:r w:rsidRPr="00D64CCF">
        <w:rPr>
          <w:rFonts w:ascii="Palatino Linotype" w:eastAsia="Palatino Linotype" w:hAnsi="Palatino Linotype" w:cs="Palatino Linotype"/>
        </w:rPr>
        <w:t>ne las siguientes atribuciones, de conformidad con el artículo 3.91 del multicitado ordenamiento.</w:t>
      </w:r>
    </w:p>
    <w:p w14:paraId="1344FB58" w14:textId="77777777" w:rsidR="00A06531" w:rsidRPr="00D64CCF" w:rsidRDefault="00A06531" w:rsidP="009D6075">
      <w:pPr>
        <w:tabs>
          <w:tab w:val="left" w:pos="7938"/>
        </w:tabs>
        <w:spacing w:line="360" w:lineRule="auto"/>
        <w:jc w:val="both"/>
        <w:rPr>
          <w:rFonts w:ascii="Palatino Linotype" w:eastAsia="Palatino Linotype" w:hAnsi="Palatino Linotype" w:cs="Palatino Linotype"/>
        </w:rPr>
      </w:pPr>
    </w:p>
    <w:p w14:paraId="586B1EF5" w14:textId="77777777" w:rsidR="00A06531"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b/>
          <w:i/>
        </w:rPr>
        <w:t>Artículo 3.91.-</w:t>
      </w:r>
      <w:r w:rsidRPr="00D64CCF">
        <w:rPr>
          <w:rFonts w:ascii="Palatino Linotype" w:eastAsia="Palatino Linotype" w:hAnsi="Palatino Linotype" w:cs="Palatino Linotype"/>
          <w:i/>
        </w:rPr>
        <w:t xml:space="preserve"> Para el eficiente ejercicio de sus funciones, la </w:t>
      </w:r>
      <w:r w:rsidRPr="00D64CCF">
        <w:rPr>
          <w:rFonts w:ascii="Palatino Linotype" w:eastAsia="Palatino Linotype" w:hAnsi="Palatino Linotype" w:cs="Palatino Linotype"/>
          <w:b/>
          <w:i/>
          <w:u w:val="single"/>
        </w:rPr>
        <w:t>Subdirección de Adquisiciones y Contratación de Servicios, se auxiliará del Departamento de Concursos, Dictamen y Apoyo al Comité</w:t>
      </w:r>
      <w:r w:rsidRPr="00D64CCF">
        <w:rPr>
          <w:rFonts w:ascii="Palatino Linotype" w:eastAsia="Palatino Linotype" w:hAnsi="Palatino Linotype" w:cs="Palatino Linotype"/>
          <w:i/>
        </w:rPr>
        <w:t xml:space="preserve">, quien tendrá las siguientes atribuciones: </w:t>
      </w:r>
      <w:r w:rsidR="00A06531" w:rsidRPr="00D64CCF">
        <w:rPr>
          <w:rFonts w:ascii="Palatino Linotype" w:eastAsia="Palatino Linotype" w:hAnsi="Palatino Linotype" w:cs="Palatino Linotype"/>
          <w:i/>
        </w:rPr>
        <w:t xml:space="preserve">                                                                                                                                </w:t>
      </w:r>
    </w:p>
    <w:p w14:paraId="2F5B86D4" w14:textId="208F7B7E"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lastRenderedPageBreak/>
        <w:t xml:space="preserve">I. Ejecutar las acciones relacionadas con los procedimientos adquisitivos y de contratación de servicios en cualquiera de sus modalidades, observando las condiciones, características y especificaciones de los requerimientos de las dependencias municipales; </w:t>
      </w:r>
    </w:p>
    <w:p w14:paraId="65503A7F"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II. Coadyuvar con el Comité de Adquisiciones y Servicios, en el trámite de los asuntos derivados de sus funciones, en término de lo dispuesto en la legislación vigente en la materia; </w:t>
      </w:r>
    </w:p>
    <w:p w14:paraId="51E0FEEA"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III. Revisar la información que remitan las dependencias para integrar el Programa Anual de Adquisiciones; </w:t>
      </w:r>
    </w:p>
    <w:p w14:paraId="3FA03C9C"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IV. Integrar la documentación de los asuntos que habrán de someterse a consideración del Comité de Adquisiciones y Servicios; </w:t>
      </w:r>
    </w:p>
    <w:p w14:paraId="01421234"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V. Colaborar con la o el Secretaria(o) Ejecutiva(o) del Comité de Adquisiciones y Servicios y Subcomité Revisor de Bases, en la formulación de las convocatorias a sesión, orden del día e instrumentación de actas, considerando las decisiones que determinen las o los integrantes del Comité y el superior jerárquico; </w:t>
      </w:r>
    </w:p>
    <w:p w14:paraId="5EC10D16"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VI. Elaborar las bases de licitación y de invitación restringida, así como las invitaciones de adjudicación directa, conforme a los lineamientos y especificaciones técnicas solicitadas por el área interesada en la adquisición de bienes o contratación de servicios, lineamientos administrativos avalados por el Comité de Adquisiciones y Servicios y por la o el titular de la Subdirección de Adquisiciones y Contratación de Servicios; </w:t>
      </w:r>
    </w:p>
    <w:p w14:paraId="2F1FE7AD"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lastRenderedPageBreak/>
        <w:t xml:space="preserve">VII. Elaborar de acuerdo a los requerimientos del área solicitante e indicaciones del superior jerárquico, la convocatoria correspondiente para la publicación de los procedimientos en la modalidad de licitación pública; </w:t>
      </w:r>
    </w:p>
    <w:p w14:paraId="76079F40"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VIII. Programar y, en su caso, reprogramar los procedimientos adquisitivos y de contratación de servicios, conforme a la modalidad que previamente avale el superior jerárquico; </w:t>
      </w:r>
    </w:p>
    <w:p w14:paraId="1D755E6D"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IX. Colaborar en los procesos de adquisición, en la modalidad de licitación pública, invitación restringida y adjudicación directa;</w:t>
      </w:r>
    </w:p>
    <w:p w14:paraId="3AB43EF5"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 xml:space="preserve">X. Instrumentar las actas del Comité de Adquisiciones y Servicios, que se deriven durante el desarrollo del procedimiento, considerando los acuerdos que determinen los integrantes del Comité; </w:t>
      </w:r>
    </w:p>
    <w:p w14:paraId="2FE02229"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 xml:space="preserve">XI. Integrar la información de los cuadros comparativos de cotizaciones, cuando se hayan realizado los estudios de mercado correspondientes; y el dictamen técnico emitido por el área interesada en la adquisición de bienes o la contratación de servicios, a efecto de que el Comité de Adquisiciones y Servicios formule el dictamen de adjudicación correspondiente; </w:t>
      </w:r>
    </w:p>
    <w:p w14:paraId="448B3A9D"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 xml:space="preserve">XII. Elaborar el proyecto de acta de fallo de conformidad a lo establecido en el dictamen de adjudicación formulado por el Comité de Adquisiciones y Servicios y presentarlo a consideración del superior jerárquico, a efecto de que la convocante emita el fallo de adjudicación correspondiente; </w:t>
      </w:r>
    </w:p>
    <w:p w14:paraId="2C5469F6"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lastRenderedPageBreak/>
        <w:t xml:space="preserve">XIII. Facilitar los expedientes de adquisición de bienes o contratación de servicios, para su gestión de pago; </w:t>
      </w:r>
    </w:p>
    <w:p w14:paraId="3D71BC70"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rPr>
      </w:pPr>
      <w:r w:rsidRPr="00D64CCF">
        <w:rPr>
          <w:rFonts w:ascii="Palatino Linotype" w:eastAsia="Palatino Linotype" w:hAnsi="Palatino Linotype" w:cs="Palatino Linotype"/>
          <w:b/>
          <w:i/>
        </w:rPr>
        <w:t xml:space="preserve">XIV. </w:t>
      </w:r>
      <w:r w:rsidRPr="00D64CCF">
        <w:rPr>
          <w:rFonts w:ascii="Palatino Linotype" w:eastAsia="Palatino Linotype" w:hAnsi="Palatino Linotype" w:cs="Palatino Linotype"/>
          <w:b/>
          <w:i/>
          <w:u w:val="single"/>
        </w:rPr>
        <w:t xml:space="preserve">Recibir y remitir para resguardo en Tesorería, las fianzas que deriven de los procesos adquisitivos; </w:t>
      </w:r>
    </w:p>
    <w:p w14:paraId="4F56E5C2"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b/>
          <w:i/>
          <w:u w:val="single"/>
        </w:rPr>
      </w:pPr>
      <w:r w:rsidRPr="00D64CCF">
        <w:rPr>
          <w:rFonts w:ascii="Palatino Linotype" w:eastAsia="Palatino Linotype" w:hAnsi="Palatino Linotype" w:cs="Palatino Linotype"/>
          <w:b/>
          <w:i/>
          <w:u w:val="single"/>
        </w:rPr>
        <w:t xml:space="preserve">XV. Verificar que los contratos de adquisición de bienes y contratación de servicios, se hayan elaborado por la Consejería Jurídica en los procedimientos respectivos; </w:t>
      </w:r>
    </w:p>
    <w:p w14:paraId="53B931D8" w14:textId="77777777" w:rsidR="00ED4244"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 xml:space="preserve">XVI. </w:t>
      </w:r>
      <w:r w:rsidRPr="00D64CCF">
        <w:rPr>
          <w:rFonts w:ascii="Palatino Linotype" w:eastAsia="Palatino Linotype" w:hAnsi="Palatino Linotype" w:cs="Palatino Linotype"/>
          <w:b/>
          <w:i/>
          <w:u w:val="single"/>
        </w:rPr>
        <w:t>Resguardar expedientes generados con motivo de los diversos procesos adquisitivos sometidos a consideración y proceso ante el Comité de Adquisiciones y Contratación de Servicios</w:t>
      </w:r>
      <w:r w:rsidRPr="00D64CCF">
        <w:rPr>
          <w:rFonts w:ascii="Palatino Linotype" w:eastAsia="Palatino Linotype" w:hAnsi="Palatino Linotype" w:cs="Palatino Linotype"/>
          <w:i/>
        </w:rPr>
        <w:t xml:space="preserve">; y </w:t>
      </w:r>
    </w:p>
    <w:p w14:paraId="18EB0A00" w14:textId="4085E9E6" w:rsidR="00302155" w:rsidRPr="00D64CCF" w:rsidRDefault="00ED4244" w:rsidP="009D6075">
      <w:pPr>
        <w:tabs>
          <w:tab w:val="left" w:pos="7938"/>
        </w:tabs>
        <w:spacing w:line="360" w:lineRule="auto"/>
        <w:ind w:left="567" w:right="1134"/>
        <w:jc w:val="both"/>
        <w:rPr>
          <w:rFonts w:ascii="Palatino Linotype" w:eastAsia="Palatino Linotype" w:hAnsi="Palatino Linotype" w:cs="Palatino Linotype"/>
          <w:i/>
        </w:rPr>
      </w:pPr>
      <w:r w:rsidRPr="00D64CCF">
        <w:rPr>
          <w:rFonts w:ascii="Palatino Linotype" w:eastAsia="Palatino Linotype" w:hAnsi="Palatino Linotype" w:cs="Palatino Linotype"/>
          <w:i/>
        </w:rPr>
        <w:t>XVII. Las demás que les atribuyan las disposiciones jurídicas aplicables o las que le instruya la Dirección de Administración o la Subdirección de Adquisiciones y Contratación de Servicios.”</w:t>
      </w:r>
    </w:p>
    <w:p w14:paraId="6C6B035B" w14:textId="77777777" w:rsidR="00175366" w:rsidRPr="00D64CCF" w:rsidRDefault="00175366" w:rsidP="009D6075">
      <w:pPr>
        <w:tabs>
          <w:tab w:val="left" w:pos="7938"/>
        </w:tabs>
        <w:spacing w:line="360" w:lineRule="auto"/>
        <w:ind w:left="567" w:right="1134"/>
        <w:jc w:val="both"/>
        <w:rPr>
          <w:rFonts w:ascii="Palatino Linotype" w:eastAsia="Palatino Linotype" w:hAnsi="Palatino Linotype" w:cs="Palatino Linotype"/>
          <w:i/>
        </w:rPr>
      </w:pPr>
    </w:p>
    <w:p w14:paraId="6CAD435D" w14:textId="4BBFBF53" w:rsidR="00175366" w:rsidRPr="00D64CCF" w:rsidRDefault="00175366" w:rsidP="009D6075">
      <w:pPr>
        <w:pStyle w:val="Prrafodelista"/>
        <w:numPr>
          <w:ilvl w:val="0"/>
          <w:numId w:val="1"/>
        </w:numPr>
        <w:tabs>
          <w:tab w:val="left" w:pos="567"/>
        </w:tabs>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Del preceptos normativo se desprende que la Dirección de Administración tiene la función programar, organizar, integrar, dirigir, controlar y ejecutar las licitaciones públicas, invitaciones restringidas y las adjudicaciones directas, que a su vez se auxiliará del Departamento de Concursos, Dictamen y Apoyo al Comité.</w:t>
      </w:r>
    </w:p>
    <w:p w14:paraId="619E0E55" w14:textId="77777777" w:rsidR="00E8496B" w:rsidRPr="00D64CCF" w:rsidRDefault="00E8496B" w:rsidP="009D6075">
      <w:pPr>
        <w:pStyle w:val="Prrafodelista"/>
        <w:tabs>
          <w:tab w:val="left" w:pos="567"/>
        </w:tabs>
        <w:spacing w:line="360" w:lineRule="auto"/>
        <w:ind w:left="0"/>
        <w:contextualSpacing/>
        <w:jc w:val="both"/>
        <w:rPr>
          <w:rFonts w:ascii="Palatino Linotype" w:hAnsi="Palatino Linotype"/>
          <w:color w:val="000000" w:themeColor="text1"/>
        </w:rPr>
      </w:pPr>
    </w:p>
    <w:p w14:paraId="1C7F8B05" w14:textId="18060089" w:rsidR="00E8496B" w:rsidRPr="00D64CCF" w:rsidRDefault="00E8496B" w:rsidP="009D6075">
      <w:pPr>
        <w:pStyle w:val="Prrafodelista"/>
        <w:numPr>
          <w:ilvl w:val="0"/>
          <w:numId w:val="1"/>
        </w:numPr>
        <w:tabs>
          <w:tab w:val="left" w:pos="567"/>
        </w:tabs>
        <w:spacing w:line="360" w:lineRule="auto"/>
        <w:ind w:left="0" w:firstLine="0"/>
        <w:contextualSpacing/>
        <w:jc w:val="both"/>
        <w:rPr>
          <w:rFonts w:ascii="Palatino Linotype" w:hAnsi="Palatino Linotype"/>
          <w:color w:val="000000" w:themeColor="text1"/>
        </w:rPr>
      </w:pPr>
      <w:r w:rsidRPr="00D64CCF">
        <w:rPr>
          <w:rFonts w:ascii="Palatino Linotype" w:hAnsi="Palatino Linotype"/>
        </w:rPr>
        <w:t xml:space="preserve">Ahora bien es conveniente </w:t>
      </w:r>
      <w:r w:rsidRPr="00D64CCF">
        <w:rPr>
          <w:rFonts w:ascii="Palatino Linotype" w:hAnsi="Palatino Linotype" w:cs="Arial"/>
        </w:rPr>
        <w:t xml:space="preserve">traer a contexto lo dispuesto en la Ley de la  Contratación Pública del Estado de México y Municipios, la cual tiene por objeto regular los actos relativos a la planeación, programación, presupuestación, ejecución y control de la </w:t>
      </w:r>
      <w:r w:rsidRPr="00D64CCF">
        <w:rPr>
          <w:rFonts w:ascii="Palatino Linotype" w:hAnsi="Palatino Linotype" w:cs="Arial"/>
          <w:b/>
          <w:u w:val="single"/>
        </w:rPr>
        <w:t>adquisición</w:t>
      </w:r>
      <w:r w:rsidRPr="00D64CCF">
        <w:rPr>
          <w:rFonts w:ascii="Palatino Linotype" w:hAnsi="Palatino Linotype" w:cs="Arial"/>
        </w:rPr>
        <w:t xml:space="preserve">, enajenación y arrendamiento de bienes, y la </w:t>
      </w:r>
      <w:r w:rsidRPr="00D64CCF">
        <w:rPr>
          <w:rFonts w:ascii="Palatino Linotype" w:hAnsi="Palatino Linotype" w:cs="Arial"/>
          <w:b/>
          <w:u w:val="single"/>
        </w:rPr>
        <w:t xml:space="preserve">contratación de servicios </w:t>
      </w:r>
      <w:r w:rsidRPr="00D64CCF">
        <w:rPr>
          <w:rFonts w:ascii="Palatino Linotype" w:hAnsi="Palatino Linotype" w:cs="Arial"/>
          <w:b/>
          <w:u w:val="single"/>
        </w:rPr>
        <w:lastRenderedPageBreak/>
        <w:t>de cualquier naturaleza, que realicen los Ayuntamientos del Estado</w:t>
      </w:r>
      <w:r w:rsidRPr="00D64CCF">
        <w:rPr>
          <w:rFonts w:ascii="Palatino Linotype" w:hAnsi="Palatino Linotype" w:cs="Arial"/>
        </w:rPr>
        <w:t>; los cuales se adjudicarán a través de licitaciones públicas, invitación restringida o adjudicación directa, mediante convocatoria pública, tal y como lo establecen los artículos 4, 26 y 27 de dicha Ley, los cuales son del tenor siguiente:</w:t>
      </w:r>
    </w:p>
    <w:p w14:paraId="640507A5" w14:textId="77777777" w:rsidR="00E8496B" w:rsidRPr="00D64CCF" w:rsidRDefault="00E8496B" w:rsidP="009D6075">
      <w:pPr>
        <w:spacing w:line="360" w:lineRule="auto"/>
        <w:jc w:val="both"/>
        <w:rPr>
          <w:rFonts w:ascii="Palatino Linotype" w:hAnsi="Palatino Linotype" w:cs="Arial"/>
        </w:rPr>
      </w:pPr>
    </w:p>
    <w:p w14:paraId="30033410" w14:textId="77777777" w:rsidR="00E8496B" w:rsidRPr="00D64CCF" w:rsidRDefault="00E8496B" w:rsidP="009D6075">
      <w:pPr>
        <w:spacing w:line="360" w:lineRule="auto"/>
        <w:ind w:left="851" w:right="901"/>
        <w:jc w:val="both"/>
        <w:rPr>
          <w:rFonts w:ascii="Palatino Linotype" w:hAnsi="Palatino Linotype" w:cs="Arial"/>
          <w:i/>
        </w:rPr>
      </w:pPr>
      <w:r w:rsidRPr="00D64CCF">
        <w:rPr>
          <w:rFonts w:ascii="Palatino Linotype" w:hAnsi="Palatino Linotype" w:cs="Arial"/>
          <w:i/>
        </w:rPr>
        <w:t>“</w:t>
      </w:r>
      <w:r w:rsidRPr="00D64CCF">
        <w:rPr>
          <w:rFonts w:ascii="Palatino Linotype" w:hAnsi="Palatino Linotype" w:cs="Arial"/>
          <w:b/>
          <w:i/>
        </w:rPr>
        <w:t>Artículo 4.-</w:t>
      </w:r>
      <w:r w:rsidRPr="00D64CCF">
        <w:rPr>
          <w:rFonts w:ascii="Palatino Linotype" w:hAnsi="Palatino Linotype" w:cs="Arial"/>
          <w:i/>
        </w:rPr>
        <w:t xml:space="preserve"> Para los efectos de esta Ley, en las adquisiciones, enajenaciones, arrendamientos y servicios, quedan comprendidos: </w:t>
      </w:r>
    </w:p>
    <w:p w14:paraId="05F10B9A" w14:textId="77777777" w:rsidR="00E8496B" w:rsidRPr="00D64CCF" w:rsidRDefault="00E8496B" w:rsidP="009D6075">
      <w:pPr>
        <w:spacing w:line="360" w:lineRule="auto"/>
        <w:ind w:left="851" w:right="899"/>
        <w:jc w:val="both"/>
        <w:rPr>
          <w:rFonts w:ascii="Palatino Linotype" w:hAnsi="Palatino Linotype" w:cs="Arial"/>
          <w:b/>
          <w:i/>
          <w:u w:val="single"/>
        </w:rPr>
      </w:pPr>
      <w:r w:rsidRPr="00D64CCF">
        <w:rPr>
          <w:rFonts w:ascii="Palatino Linotype" w:hAnsi="Palatino Linotype" w:cs="Arial"/>
          <w:b/>
          <w:i/>
          <w:u w:val="single"/>
        </w:rPr>
        <w:t xml:space="preserve">I. La adquisición de bienes muebles. </w:t>
      </w:r>
    </w:p>
    <w:p w14:paraId="0B56D8DB"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i/>
        </w:rPr>
        <w:t xml:space="preserve">II. La adquisición de bienes inmuebles, a través de compraventa. </w:t>
      </w:r>
    </w:p>
    <w:p w14:paraId="1DCA0F18"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i/>
        </w:rPr>
        <w:t xml:space="preserve">III. La enajenación de bienes muebles e inmuebles. </w:t>
      </w:r>
    </w:p>
    <w:p w14:paraId="6BB1D4C6"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i/>
        </w:rPr>
        <w:t xml:space="preserve">IV. El arrendamiento de bienes muebles e inmuebles. </w:t>
      </w:r>
    </w:p>
    <w:p w14:paraId="203C8D98" w14:textId="77777777" w:rsidR="00E8496B" w:rsidRPr="00D64CCF" w:rsidRDefault="00E8496B" w:rsidP="009D6075">
      <w:pPr>
        <w:spacing w:line="360" w:lineRule="auto"/>
        <w:ind w:left="851" w:right="899"/>
        <w:jc w:val="both"/>
        <w:rPr>
          <w:rFonts w:ascii="Palatino Linotype" w:hAnsi="Palatino Linotype" w:cs="Arial"/>
          <w:b/>
          <w:i/>
          <w:u w:val="single"/>
        </w:rPr>
      </w:pPr>
      <w:r w:rsidRPr="00D64CCF">
        <w:rPr>
          <w:rFonts w:ascii="Palatino Linotype" w:hAnsi="Palatino Linotype" w:cs="Arial"/>
          <w:b/>
          <w:i/>
          <w:u w:val="single"/>
        </w:rPr>
        <w:t xml:space="preserve">V. La contratación de los servicios, relacionados con bienes muebles que se encuentran incorporados o adheridos a bienes inmuebles, cuya instalación o mantenimiento no implique modificación al bien inmueble. </w:t>
      </w:r>
    </w:p>
    <w:p w14:paraId="4E10B5CB"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i/>
        </w:rPr>
        <w:t xml:space="preserve">VI. La contratación de los servicios de reconstrucción y mantenimiento de bienes muebles. </w:t>
      </w:r>
    </w:p>
    <w:p w14:paraId="721B01B6"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b/>
          <w:i/>
          <w:u w:val="single"/>
        </w:rPr>
        <w:t xml:space="preserve">VII. La contratación de los servicios </w:t>
      </w:r>
      <w:r w:rsidRPr="00D64CCF">
        <w:rPr>
          <w:rFonts w:ascii="Palatino Linotype" w:hAnsi="Palatino Linotype" w:cs="Arial"/>
          <w:i/>
        </w:rPr>
        <w:t xml:space="preserve">de maquila, seguros y </w:t>
      </w:r>
      <w:r w:rsidRPr="00D64CCF">
        <w:rPr>
          <w:rFonts w:ascii="Palatino Linotype" w:hAnsi="Palatino Linotype" w:cs="Arial"/>
          <w:b/>
          <w:i/>
          <w:u w:val="single"/>
        </w:rPr>
        <w:t>transportación</w:t>
      </w:r>
      <w:r w:rsidRPr="00D64CCF">
        <w:rPr>
          <w:rFonts w:ascii="Palatino Linotype" w:hAnsi="Palatino Linotype" w:cs="Arial"/>
          <w:i/>
        </w:rPr>
        <w:t>, así como de los de limpieza y vigilancia de bienes inmuebles</w:t>
      </w:r>
    </w:p>
    <w:p w14:paraId="111DA293"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i/>
        </w:rPr>
        <w:t xml:space="preserve">VIII. La prestación de servicios profesionales, la contratación de consultorías, asesorías y estudios e investigaciones, excepto la contratación de servicios personales de personas físicas bajo el régimen de honorarios. </w:t>
      </w:r>
    </w:p>
    <w:p w14:paraId="38F293D4" w14:textId="77777777" w:rsidR="00E8496B" w:rsidRPr="00D64CCF" w:rsidRDefault="00E8496B" w:rsidP="009D6075">
      <w:pPr>
        <w:spacing w:line="360" w:lineRule="auto"/>
        <w:ind w:left="851" w:right="899"/>
        <w:jc w:val="both"/>
        <w:rPr>
          <w:rFonts w:ascii="Palatino Linotype" w:hAnsi="Palatino Linotype" w:cs="Arial"/>
          <w:b/>
          <w:i/>
          <w:u w:val="single"/>
        </w:rPr>
      </w:pPr>
      <w:r w:rsidRPr="00D64CCF">
        <w:rPr>
          <w:rFonts w:ascii="Palatino Linotype" w:hAnsi="Palatino Linotype" w:cs="Arial"/>
          <w:b/>
          <w:i/>
          <w:u w:val="single"/>
        </w:rPr>
        <w:lastRenderedPageBreak/>
        <w:t>En general, otros actos que impliquen la contratación de servicios de cualquier naturaleza.</w:t>
      </w:r>
    </w:p>
    <w:p w14:paraId="4D1E0F38" w14:textId="77777777" w:rsidR="00E8496B" w:rsidRPr="00D64CCF" w:rsidRDefault="00E8496B" w:rsidP="009D6075">
      <w:pPr>
        <w:spacing w:line="360" w:lineRule="auto"/>
        <w:ind w:left="851" w:right="899"/>
        <w:jc w:val="both"/>
        <w:rPr>
          <w:rFonts w:ascii="Palatino Linotype" w:hAnsi="Palatino Linotype" w:cs="Arial"/>
          <w:b/>
          <w:i/>
        </w:rPr>
      </w:pPr>
      <w:r w:rsidRPr="00D64CCF">
        <w:rPr>
          <w:rFonts w:ascii="Palatino Linotype" w:hAnsi="Palatino Linotype" w:cs="Arial"/>
          <w:b/>
          <w:i/>
        </w:rPr>
        <w:t>Artículo 26.- Las adquisiciones, arrendamientos y servicios se adjudicarán a través de licitaciones públicas, mediante convocatoria pública.</w:t>
      </w:r>
    </w:p>
    <w:p w14:paraId="153AC411" w14:textId="77777777" w:rsidR="00E8496B" w:rsidRPr="00D64CCF" w:rsidRDefault="00E8496B" w:rsidP="009D6075">
      <w:pPr>
        <w:spacing w:line="360" w:lineRule="auto"/>
        <w:ind w:left="851" w:right="899"/>
        <w:jc w:val="both"/>
        <w:rPr>
          <w:rFonts w:ascii="Palatino Linotype" w:hAnsi="Palatino Linotype" w:cs="Arial"/>
          <w:b/>
          <w:i/>
        </w:rPr>
      </w:pPr>
    </w:p>
    <w:p w14:paraId="0A808929" w14:textId="77777777" w:rsidR="00E8496B" w:rsidRPr="00D64CCF" w:rsidRDefault="00E8496B" w:rsidP="009D6075">
      <w:pPr>
        <w:spacing w:line="360" w:lineRule="auto"/>
        <w:ind w:left="851" w:right="899"/>
        <w:jc w:val="both"/>
        <w:rPr>
          <w:rFonts w:ascii="Palatino Linotype" w:hAnsi="Palatino Linotype" w:cs="Arial"/>
          <w:i/>
        </w:rPr>
      </w:pPr>
      <w:r w:rsidRPr="00D64CCF">
        <w:rPr>
          <w:rFonts w:ascii="Palatino Linotype" w:hAnsi="Palatino Linotype" w:cs="Arial"/>
          <w:b/>
          <w:i/>
        </w:rPr>
        <w:t xml:space="preserve">Artículo 27.- </w:t>
      </w:r>
      <w:r w:rsidRPr="00D64CCF">
        <w:rPr>
          <w:rFonts w:ascii="Palatino Linotype" w:hAnsi="Palatino Linotype" w:cs="Arial"/>
          <w:i/>
        </w:rPr>
        <w:t xml:space="preserve">La Secretaría, las entidades, los tribunales administrativos y los ayuntamientos podrán adjudicar adquisiciones, arrendamientos y servicios, mediante las excepciones al procedimiento de licitación que a continuación se señalan: </w:t>
      </w:r>
    </w:p>
    <w:p w14:paraId="001A9A3A" w14:textId="77777777" w:rsidR="00E8496B" w:rsidRPr="00D64CCF" w:rsidRDefault="00E8496B" w:rsidP="009D6075">
      <w:pPr>
        <w:spacing w:line="360" w:lineRule="auto"/>
        <w:ind w:left="851" w:right="899"/>
        <w:jc w:val="both"/>
        <w:rPr>
          <w:rFonts w:ascii="Palatino Linotype" w:hAnsi="Palatino Linotype" w:cs="Arial"/>
          <w:b/>
          <w:i/>
        </w:rPr>
      </w:pPr>
      <w:r w:rsidRPr="00D64CCF">
        <w:rPr>
          <w:rFonts w:ascii="Palatino Linotype" w:hAnsi="Palatino Linotype" w:cs="Arial"/>
          <w:b/>
          <w:i/>
        </w:rPr>
        <w:t xml:space="preserve">I. Invitación restringida. </w:t>
      </w:r>
    </w:p>
    <w:p w14:paraId="179B5C9E" w14:textId="77777777" w:rsidR="00E8496B" w:rsidRPr="00D64CCF" w:rsidRDefault="00E8496B" w:rsidP="009D6075">
      <w:pPr>
        <w:spacing w:line="360" w:lineRule="auto"/>
        <w:ind w:left="851" w:right="899"/>
        <w:jc w:val="both"/>
        <w:rPr>
          <w:rFonts w:ascii="Palatino Linotype" w:hAnsi="Palatino Linotype" w:cs="Arial"/>
          <w:b/>
          <w:i/>
        </w:rPr>
      </w:pPr>
      <w:r w:rsidRPr="00D64CCF">
        <w:rPr>
          <w:rFonts w:ascii="Palatino Linotype" w:hAnsi="Palatino Linotype" w:cs="Arial"/>
          <w:b/>
          <w:i/>
        </w:rPr>
        <w:t>II. Adjudicación directa.”</w:t>
      </w:r>
    </w:p>
    <w:p w14:paraId="3E3CE00F" w14:textId="77777777" w:rsidR="00E8496B" w:rsidRPr="00D64CCF" w:rsidRDefault="00E8496B" w:rsidP="009D6075">
      <w:pPr>
        <w:spacing w:line="360" w:lineRule="auto"/>
        <w:ind w:left="851" w:right="899"/>
        <w:jc w:val="right"/>
        <w:rPr>
          <w:rFonts w:ascii="Palatino Linotype" w:hAnsi="Palatino Linotype" w:cs="Arial"/>
          <w:i/>
        </w:rPr>
      </w:pPr>
      <w:r w:rsidRPr="00D64CCF">
        <w:rPr>
          <w:rFonts w:ascii="Palatino Linotype" w:hAnsi="Palatino Linotype" w:cs="Arial"/>
          <w:i/>
        </w:rPr>
        <w:t xml:space="preserve">(Énfasis añadido) </w:t>
      </w:r>
    </w:p>
    <w:p w14:paraId="406C6C4F" w14:textId="77777777" w:rsidR="00E8496B" w:rsidRPr="00D64CCF" w:rsidRDefault="00E8496B" w:rsidP="009D6075">
      <w:pPr>
        <w:pStyle w:val="Sinespaciado"/>
        <w:spacing w:line="360" w:lineRule="auto"/>
        <w:jc w:val="both"/>
        <w:rPr>
          <w:rFonts w:ascii="Palatino Linotype" w:hAnsi="Palatino Linotype"/>
        </w:rPr>
      </w:pPr>
    </w:p>
    <w:p w14:paraId="18F66D8A" w14:textId="77777777"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14:paraId="44E14CE1" w14:textId="77777777" w:rsidR="00E8496B" w:rsidRPr="00D64CCF" w:rsidRDefault="00E8496B" w:rsidP="009D6075">
      <w:pPr>
        <w:pStyle w:val="Prrafodelista"/>
        <w:spacing w:line="360" w:lineRule="auto"/>
        <w:ind w:left="0"/>
        <w:jc w:val="both"/>
        <w:rPr>
          <w:rFonts w:ascii="Palatino Linotype" w:hAnsi="Palatino Linotype" w:cs="Arial"/>
        </w:rPr>
      </w:pPr>
    </w:p>
    <w:p w14:paraId="0ED54B4A" w14:textId="77777777" w:rsidR="004871FA"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w:t>
      </w:r>
      <w:r w:rsidRPr="00D64CCF">
        <w:rPr>
          <w:rFonts w:ascii="Palatino Linotype" w:hAnsi="Palatino Linotype" w:cs="Arial"/>
        </w:rPr>
        <w:lastRenderedPageBreak/>
        <w:t xml:space="preserve">tendrán un costo de recuperación y contendrán los requisitos que se establezcan en el reglamento de dicha Ley. </w:t>
      </w:r>
    </w:p>
    <w:p w14:paraId="0F5DCB68" w14:textId="77777777" w:rsidR="004871FA" w:rsidRPr="00D64CCF" w:rsidRDefault="004871FA" w:rsidP="009D6075">
      <w:pPr>
        <w:pStyle w:val="Prrafodelista"/>
        <w:spacing w:line="360" w:lineRule="auto"/>
        <w:rPr>
          <w:rFonts w:ascii="Palatino Linotype" w:hAnsi="Palatino Linotype" w:cs="Arial"/>
        </w:rPr>
      </w:pPr>
    </w:p>
    <w:p w14:paraId="679A04D0" w14:textId="27B61559"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Por lo que, en las licitaciones se debe seguir el procedimiento marcado en el artículo 35 del precitado ordenamiento, que literalmente establece:</w:t>
      </w:r>
    </w:p>
    <w:p w14:paraId="1AB78671" w14:textId="77777777" w:rsidR="00E8496B" w:rsidRPr="00D64CCF" w:rsidRDefault="00E8496B" w:rsidP="009D6075">
      <w:pPr>
        <w:tabs>
          <w:tab w:val="left" w:pos="426"/>
        </w:tabs>
        <w:spacing w:line="360" w:lineRule="auto"/>
        <w:ind w:right="1275"/>
        <w:jc w:val="both"/>
        <w:rPr>
          <w:rFonts w:ascii="Palatino Linotype" w:hAnsi="Palatino Linotype" w:cs="Arial"/>
        </w:rPr>
      </w:pPr>
    </w:p>
    <w:p w14:paraId="0DAD6DFA"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b/>
          <w:i/>
        </w:rPr>
        <w:t>“Artículo 35</w:t>
      </w:r>
      <w:r w:rsidRPr="00D64CCF">
        <w:rPr>
          <w:rFonts w:ascii="Palatino Linotype" w:hAnsi="Palatino Linotype" w:cs="Arial"/>
          <w:i/>
        </w:rPr>
        <w:t>.- En los procedimientos de licitación pública se observará lo siguiente:</w:t>
      </w:r>
    </w:p>
    <w:p w14:paraId="5160C9E4"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I. El acto de presentación y apertura de propuestas se llevará a cabo por el servidor público que designe la convocante, conforme al procedimiento que se establezca en el reglamento de esta Ley.</w:t>
      </w:r>
    </w:p>
    <w:p w14:paraId="092E00E7"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II. El comité de adquisiciones y servicios evaluará y analizará las propuestas técnicas y económicas presentadas por los licitantes en el ámbito de las respectivas competencias de sus integrantes, y emitirá el dictamen de adjudicación.</w:t>
      </w:r>
    </w:p>
    <w:p w14:paraId="44E565ED"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III. Las bases de licitación se pondrán a la venta a partir de la fecha de publicación de la convocatoria y hasta el día hábil anterior a la fecha de celebración de la junta de aclaraciones o, en su defecto, del acto de presentación y apertura de propuestas.</w:t>
      </w:r>
    </w:p>
    <w:p w14:paraId="2F83FDEE"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IV. Las convocantes podrán modificar los plazos y términos establecidos en la convocatoria o en las bases de licitación, hasta cinco días hábiles anteriores a la fecha de la celebración del acto de presentación y apertura de propuestas.</w:t>
      </w:r>
    </w:p>
    <w:p w14:paraId="75B15C37"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lastRenderedPageBreak/>
        <w:t>V. Las modificaciones no podrán limitar el número de licitantes, sustituir o variar sustancialmente los bienes o servicios convocados originalmente, ni adicionar otros  distintos.</w:t>
      </w:r>
    </w:p>
    <w:p w14:paraId="302B9222"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VI. Las modificaciones a la convocatoria o a las bases se harán del conocimiento de los interesados hasta tres días hábiles antes de la fecha señalada para el acto de presentación y apertura de propuestas.</w:t>
      </w:r>
    </w:p>
    <w:p w14:paraId="1291E86A"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VII. Se emitirá el fallo dentro de los 15 días hábiles siguientes a la publicación de la convocatoria.</w:t>
      </w:r>
    </w:p>
    <w:p w14:paraId="028DD79E" w14:textId="77777777" w:rsidR="00E8496B" w:rsidRPr="00D64CCF" w:rsidRDefault="00E8496B" w:rsidP="009D6075">
      <w:pPr>
        <w:tabs>
          <w:tab w:val="left" w:pos="426"/>
        </w:tabs>
        <w:spacing w:line="360" w:lineRule="auto"/>
        <w:ind w:left="567" w:right="1275"/>
        <w:jc w:val="both"/>
        <w:rPr>
          <w:rFonts w:ascii="Palatino Linotype" w:hAnsi="Palatino Linotype" w:cs="Arial"/>
          <w:i/>
        </w:rPr>
      </w:pPr>
      <w:r w:rsidRPr="00D64CCF">
        <w:rPr>
          <w:rFonts w:ascii="Palatino Linotype" w:hAnsi="Palatino Linotype" w:cs="Arial"/>
          <w:i/>
        </w:rPr>
        <w:t>VIII. Los licitantes se podrán registrar hasta el día y la hora fijados para el acto de presentación y apertura de propuestas.</w:t>
      </w:r>
      <w:r w:rsidRPr="00D64CCF">
        <w:rPr>
          <w:rFonts w:ascii="Palatino Linotype" w:hAnsi="Palatino Linotype" w:cs="Arial"/>
          <w:b/>
          <w:i/>
        </w:rPr>
        <w:t>”</w:t>
      </w:r>
    </w:p>
    <w:p w14:paraId="16958937" w14:textId="77777777" w:rsidR="00E8496B" w:rsidRPr="00D64CCF" w:rsidRDefault="00E8496B" w:rsidP="009D6075">
      <w:pPr>
        <w:spacing w:line="360" w:lineRule="auto"/>
        <w:ind w:left="567" w:right="902"/>
        <w:jc w:val="right"/>
        <w:rPr>
          <w:rFonts w:ascii="Palatino Linotype" w:hAnsi="Palatino Linotype" w:cs="Arial"/>
          <w:i/>
        </w:rPr>
      </w:pPr>
      <w:r w:rsidRPr="00D64CCF">
        <w:rPr>
          <w:rFonts w:ascii="Palatino Linotype" w:hAnsi="Palatino Linotype" w:cs="Arial"/>
          <w:i/>
        </w:rPr>
        <w:t>(Énfasis añadido)</w:t>
      </w:r>
    </w:p>
    <w:p w14:paraId="01BDBB09" w14:textId="77777777" w:rsidR="00E8496B" w:rsidRPr="00D64CCF" w:rsidRDefault="00E8496B" w:rsidP="009D6075">
      <w:pPr>
        <w:spacing w:line="360" w:lineRule="auto"/>
        <w:ind w:left="851" w:right="902"/>
        <w:jc w:val="both"/>
        <w:rPr>
          <w:rFonts w:ascii="Palatino Linotype" w:hAnsi="Palatino Linotype" w:cs="Arial"/>
        </w:rPr>
      </w:pPr>
    </w:p>
    <w:p w14:paraId="40592CB9" w14:textId="77777777" w:rsidR="004871FA"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14:paraId="2C2687AA" w14:textId="77777777" w:rsidR="004871FA" w:rsidRPr="00D64CCF" w:rsidRDefault="004871FA" w:rsidP="009D6075">
      <w:pPr>
        <w:pStyle w:val="Prrafodelista"/>
        <w:tabs>
          <w:tab w:val="left" w:pos="567"/>
        </w:tabs>
        <w:spacing w:line="360" w:lineRule="auto"/>
        <w:ind w:left="0"/>
        <w:jc w:val="both"/>
        <w:rPr>
          <w:rFonts w:ascii="Palatino Linotype" w:hAnsi="Palatino Linotype" w:cs="Arial"/>
        </w:rPr>
      </w:pPr>
    </w:p>
    <w:p w14:paraId="7B7C63B0" w14:textId="381581EF"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Además, respecto al dictamen y el fallo de la adjudicación, es de señalar que la Ley en mención indica lo siguiente:</w:t>
      </w:r>
    </w:p>
    <w:p w14:paraId="6E094F58" w14:textId="77777777" w:rsidR="00E8496B" w:rsidRPr="00D64CCF" w:rsidRDefault="00E8496B" w:rsidP="009D6075">
      <w:pPr>
        <w:spacing w:line="360" w:lineRule="auto"/>
        <w:jc w:val="both"/>
        <w:rPr>
          <w:rFonts w:ascii="Palatino Linotype" w:hAnsi="Palatino Linotype" w:cs="Arial"/>
        </w:rPr>
      </w:pPr>
    </w:p>
    <w:p w14:paraId="7635DF46" w14:textId="77777777" w:rsidR="00E8496B" w:rsidRPr="00D64CCF" w:rsidRDefault="00E8496B" w:rsidP="009D6075">
      <w:pPr>
        <w:tabs>
          <w:tab w:val="left" w:pos="7938"/>
        </w:tabs>
        <w:spacing w:line="360" w:lineRule="auto"/>
        <w:ind w:left="567" w:right="1275"/>
        <w:jc w:val="both"/>
        <w:rPr>
          <w:rFonts w:ascii="Palatino Linotype" w:hAnsi="Palatino Linotype" w:cs="Arial"/>
          <w:i/>
        </w:rPr>
      </w:pPr>
      <w:r w:rsidRPr="00D64CCF">
        <w:rPr>
          <w:rFonts w:ascii="Palatino Linotype" w:hAnsi="Palatino Linotype" w:cs="Arial"/>
          <w:b/>
          <w:i/>
        </w:rPr>
        <w:lastRenderedPageBreak/>
        <w:t>“Artículo 37.-</w:t>
      </w:r>
      <w:r w:rsidRPr="00D64CCF">
        <w:rPr>
          <w:rFonts w:ascii="Palatino Linotype" w:hAnsi="Palatino Linotype" w:cs="Arial"/>
          <w:i/>
        </w:rPr>
        <w:t xml:space="preserve"> El comité de adquisiciones y servicios realizará el análisis y evaluación de las propuestas, mediante la verificación del cumplimiento de la información y de la documentación solicitada en las bases de la licitación y conforme al criterio establecidas en las mismas. Una vez efectuado el análisis cualitativo de las propuestas presentadas, emitirá el dictamen de adjudicación a favor del oferente u oferentes que reúnan los requisitos administrativos, financieros, legales y técnicos requeridos por la convocante; garantizando en todo momento la obtención de las mejores condiciones en cuanto a precio, calidad, financiamiento, oportunidad y demás circunstancias pertinentes.</w:t>
      </w:r>
    </w:p>
    <w:p w14:paraId="0BC36776" w14:textId="77777777" w:rsidR="00E8496B" w:rsidRPr="00D64CCF" w:rsidRDefault="00E8496B" w:rsidP="009D6075">
      <w:pPr>
        <w:tabs>
          <w:tab w:val="left" w:pos="7938"/>
        </w:tabs>
        <w:spacing w:line="360" w:lineRule="auto"/>
        <w:ind w:left="567" w:right="1275"/>
        <w:jc w:val="both"/>
        <w:rPr>
          <w:rFonts w:ascii="Palatino Linotype" w:hAnsi="Palatino Linotype" w:cs="Arial"/>
          <w:b/>
          <w:i/>
        </w:rPr>
      </w:pPr>
    </w:p>
    <w:p w14:paraId="6264C40D" w14:textId="77777777" w:rsidR="00E8496B" w:rsidRPr="00D64CCF" w:rsidRDefault="00E8496B" w:rsidP="009D6075">
      <w:pPr>
        <w:tabs>
          <w:tab w:val="left" w:pos="7938"/>
        </w:tabs>
        <w:spacing w:line="360" w:lineRule="auto"/>
        <w:ind w:left="567" w:right="1275"/>
        <w:jc w:val="both"/>
        <w:rPr>
          <w:rFonts w:ascii="Palatino Linotype" w:hAnsi="Palatino Linotype" w:cs="Arial"/>
          <w:i/>
        </w:rPr>
      </w:pPr>
      <w:r w:rsidRPr="00D64CCF">
        <w:rPr>
          <w:rFonts w:ascii="Palatino Linotype" w:hAnsi="Palatino Linotype" w:cs="Arial"/>
          <w:b/>
          <w:i/>
        </w:rPr>
        <w:t>Artículo 38.-</w:t>
      </w:r>
      <w:r w:rsidRPr="00D64CCF">
        <w:rPr>
          <w:rFonts w:ascii="Palatino Linotype" w:hAnsi="Palatino Linotype" w:cs="Arial"/>
          <w:i/>
        </w:rPr>
        <w:t xml:space="preserve"> La convocante emitirá el fallo con base en el dictamen de adjudicación emitido por el comité de adquisiciones y servicios, y lo dará a conocer a los licitantes en junta pública, cuya fecha se informará en el acto de presentación y apertura de proposiciones, pudiéndose diferir por una sola ocasión.</w:t>
      </w:r>
    </w:p>
    <w:p w14:paraId="4EC20AAD" w14:textId="77777777" w:rsidR="00E8496B" w:rsidRPr="00D64CCF" w:rsidRDefault="00E8496B" w:rsidP="009D6075">
      <w:pPr>
        <w:tabs>
          <w:tab w:val="left" w:pos="7938"/>
        </w:tabs>
        <w:spacing w:line="360" w:lineRule="auto"/>
        <w:ind w:left="567" w:right="1275"/>
        <w:jc w:val="both"/>
        <w:rPr>
          <w:rFonts w:ascii="Palatino Linotype" w:hAnsi="Palatino Linotype" w:cs="Arial"/>
          <w:i/>
        </w:rPr>
      </w:pPr>
      <w:r w:rsidRPr="00D64CCF">
        <w:rPr>
          <w:rFonts w:ascii="Palatino Linotype" w:hAnsi="Palatino Linotype" w:cs="Arial"/>
          <w:i/>
        </w:rPr>
        <w:t>El fallo de adjudicación surtirá efectos desde la emisión, siendo responsabilidad de los licitantes enterarse de su contenido, por lo que a partir de ese momento, las obligaciones derivadas de éste serán exigibles sin perjuicio de la formalización del contrato respectivo, en los términos señalados en el fallo.</w:t>
      </w:r>
      <w:r w:rsidRPr="00D64CCF">
        <w:rPr>
          <w:rFonts w:ascii="Palatino Linotype" w:hAnsi="Palatino Linotype" w:cs="Arial"/>
          <w:b/>
          <w:i/>
        </w:rPr>
        <w:t>”</w:t>
      </w:r>
      <w:r w:rsidRPr="00D64CCF">
        <w:rPr>
          <w:rFonts w:ascii="Palatino Linotype" w:hAnsi="Palatino Linotype" w:cs="Arial"/>
          <w:i/>
        </w:rPr>
        <w:t xml:space="preserve"> </w:t>
      </w:r>
    </w:p>
    <w:p w14:paraId="05207487" w14:textId="77777777" w:rsidR="00E8496B" w:rsidRPr="00D64CCF" w:rsidRDefault="00E8496B" w:rsidP="009D6075">
      <w:pPr>
        <w:tabs>
          <w:tab w:val="left" w:pos="7938"/>
        </w:tabs>
        <w:spacing w:line="360" w:lineRule="auto"/>
        <w:ind w:left="567" w:right="1275"/>
        <w:jc w:val="both"/>
        <w:rPr>
          <w:rFonts w:ascii="Palatino Linotype" w:hAnsi="Palatino Linotype" w:cs="Arial"/>
          <w:i/>
        </w:rPr>
      </w:pPr>
    </w:p>
    <w:p w14:paraId="2C13A45A" w14:textId="77777777" w:rsidR="004871FA"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 xml:space="preserve">Ahora bien, por cuanto hace a la invitación restringida el artículo 44 de la Ley de la Contratación Pública del Estado de México y Municipios, dispone que podrá </w:t>
      </w:r>
      <w:r w:rsidRPr="00D64CCF">
        <w:rPr>
          <w:rFonts w:ascii="Palatino Linotype" w:hAnsi="Palatino Linotype" w:cs="Arial"/>
        </w:rPr>
        <w:lastRenderedPageBreak/>
        <w:t xml:space="preserve">realizarse cuando se hubiere declarado desierto un procedimiento de licitación o cuando el importe de la operación no exceda de los montos establecidos por el Presupuesto de Egresos del Gobierno del Estado de México del ejercicio correspondiente. </w:t>
      </w:r>
    </w:p>
    <w:p w14:paraId="51E5733D" w14:textId="77777777" w:rsidR="004871FA" w:rsidRPr="00D64CCF" w:rsidRDefault="004871FA" w:rsidP="009D6075">
      <w:pPr>
        <w:pStyle w:val="Prrafodelista"/>
        <w:tabs>
          <w:tab w:val="left" w:pos="567"/>
        </w:tabs>
        <w:spacing w:line="360" w:lineRule="auto"/>
        <w:ind w:left="0"/>
        <w:jc w:val="both"/>
        <w:rPr>
          <w:rFonts w:ascii="Palatino Linotype" w:hAnsi="Palatino Linotype" w:cs="Arial"/>
        </w:rPr>
      </w:pPr>
    </w:p>
    <w:p w14:paraId="53C24713" w14:textId="0894DCC0"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Además, es oportuno señalar que, las disposiciones respecto a las bases, dictámenes, fallos y fianzas, se realizan con similitud al procedimiento de licitación pública, tal como lo señalan los artículos 46 y 90 de la misma Ley, que literalmente establecen:</w:t>
      </w:r>
    </w:p>
    <w:p w14:paraId="124F3094" w14:textId="77777777" w:rsidR="00E8496B" w:rsidRPr="00D64CCF" w:rsidRDefault="00E8496B" w:rsidP="009D6075">
      <w:pPr>
        <w:tabs>
          <w:tab w:val="left" w:pos="567"/>
          <w:tab w:val="left" w:pos="7938"/>
        </w:tabs>
        <w:spacing w:line="360" w:lineRule="auto"/>
        <w:jc w:val="both"/>
        <w:rPr>
          <w:rFonts w:ascii="Palatino Linotype" w:hAnsi="Palatino Linotype" w:cs="Arial"/>
        </w:rPr>
      </w:pPr>
    </w:p>
    <w:p w14:paraId="5F2D82AF"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r w:rsidRPr="00D64CCF">
        <w:rPr>
          <w:rFonts w:ascii="Palatino Linotype" w:hAnsi="Palatino Linotype" w:cs="Arial"/>
          <w:b/>
          <w:i/>
        </w:rPr>
        <w:t>“Artículo 46.-</w:t>
      </w:r>
      <w:r w:rsidRPr="00D64CCF">
        <w:rPr>
          <w:rFonts w:ascii="Palatino Linotype" w:hAnsi="Palatino Linotype" w:cs="Arial"/>
          <w:i/>
        </w:rPr>
        <w:t xml:space="preserve"> El procedimiento de invitación restringida se desarrollará en los términos de la licitación pública, a excepción de la publicación de la convocatoria.” (Sic)</w:t>
      </w:r>
    </w:p>
    <w:p w14:paraId="6FFB6B28"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r w:rsidRPr="00D64CCF">
        <w:rPr>
          <w:rFonts w:ascii="Palatino Linotype" w:hAnsi="Palatino Linotype" w:cs="Arial"/>
          <w:i/>
        </w:rPr>
        <w:t>Por ello, el Reglamento de la Ley en comento, en su artículo 90, indica cuales lo son los supuestos que deberán observarse para llevar a cabo dicho procedimiento:</w:t>
      </w:r>
    </w:p>
    <w:p w14:paraId="1B4AD9D7"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b/>
          <w:i/>
        </w:rPr>
      </w:pPr>
    </w:p>
    <w:p w14:paraId="2193CDC5"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r w:rsidRPr="00D64CCF">
        <w:rPr>
          <w:rFonts w:ascii="Palatino Linotype" w:hAnsi="Palatino Linotype" w:cs="Arial"/>
          <w:b/>
          <w:i/>
        </w:rPr>
        <w:t>Artículo 90.-</w:t>
      </w:r>
      <w:r w:rsidRPr="00D64CCF">
        <w:rPr>
          <w:rFonts w:ascii="Palatino Linotype" w:hAnsi="Palatino Linotype" w:cs="Arial"/>
          <w:i/>
        </w:rPr>
        <w:t xml:space="preserve"> En el procedimiento de invitación restringida se deberá observar lo siguiente:</w:t>
      </w:r>
    </w:p>
    <w:p w14:paraId="3E49CF0A"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p>
    <w:p w14:paraId="30988F9F"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r w:rsidRPr="00D64CCF">
        <w:rPr>
          <w:rFonts w:ascii="Palatino Linotype" w:hAnsi="Palatino Linotype" w:cs="Arial"/>
          <w:i/>
        </w:rPr>
        <w:t>I. Se invitará a un mínimo de tres personas seleccionadas de entre las que se encuentren inscritas e n el catálogo de proveedores y de prestadores de servicios.</w:t>
      </w:r>
    </w:p>
    <w:p w14:paraId="67CA8A32"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r w:rsidRPr="00D64CCF">
        <w:rPr>
          <w:rFonts w:ascii="Palatino Linotype" w:hAnsi="Palatino Linotype" w:cs="Arial"/>
          <w:i/>
        </w:rPr>
        <w:lastRenderedPageBreak/>
        <w:t>Se podrá invitar a personas que no se encuentren inscritas, cuando en el giro correspondiente del catálogo de proveedores y prestadores de servicios no exista el registro mínimo de personas requeridas para tal modalidad;</w:t>
      </w:r>
    </w:p>
    <w:p w14:paraId="60248C49"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i/>
        </w:rPr>
      </w:pPr>
      <w:r w:rsidRPr="00D64CCF">
        <w:rPr>
          <w:rFonts w:ascii="Palatino Linotype" w:hAnsi="Palatino Linotype" w:cs="Arial"/>
          <w:i/>
        </w:rPr>
        <w:t>II. Las bases de la invitación restringida indicarán los aspectos de la adquisición o contratación; y</w:t>
      </w:r>
    </w:p>
    <w:p w14:paraId="7526AA7A" w14:textId="77777777" w:rsidR="00E8496B" w:rsidRPr="00D64CCF" w:rsidRDefault="00E8496B" w:rsidP="009D6075">
      <w:pPr>
        <w:tabs>
          <w:tab w:val="left" w:pos="567"/>
          <w:tab w:val="left" w:pos="7938"/>
        </w:tabs>
        <w:spacing w:line="360" w:lineRule="auto"/>
        <w:ind w:left="567" w:right="1275"/>
        <w:jc w:val="both"/>
        <w:rPr>
          <w:rFonts w:ascii="Palatino Linotype" w:hAnsi="Palatino Linotype" w:cs="Arial"/>
          <w:b/>
          <w:i/>
        </w:rPr>
      </w:pPr>
      <w:r w:rsidRPr="00D64CCF">
        <w:rPr>
          <w:rFonts w:ascii="Palatino Linotype" w:hAnsi="Palatino Linotype" w:cs="Arial"/>
          <w:i/>
        </w:rPr>
        <w:t>III. Serán aplicables, en lo conducente, las disposiciones de la licitación pública.</w:t>
      </w:r>
      <w:r w:rsidRPr="00D64CCF">
        <w:rPr>
          <w:rFonts w:ascii="Palatino Linotype" w:hAnsi="Palatino Linotype" w:cs="Arial"/>
          <w:b/>
          <w:i/>
        </w:rPr>
        <w:t>”</w:t>
      </w:r>
    </w:p>
    <w:p w14:paraId="7FB7144D" w14:textId="77777777" w:rsidR="004871FA" w:rsidRPr="00D64CCF" w:rsidRDefault="004871FA" w:rsidP="009D6075">
      <w:pPr>
        <w:tabs>
          <w:tab w:val="left" w:pos="567"/>
          <w:tab w:val="left" w:pos="7938"/>
        </w:tabs>
        <w:spacing w:line="360" w:lineRule="auto"/>
        <w:ind w:left="709" w:right="899"/>
        <w:jc w:val="both"/>
        <w:rPr>
          <w:rFonts w:ascii="Palatino Linotype" w:hAnsi="Palatino Linotype" w:cs="Arial"/>
          <w:b/>
          <w:i/>
        </w:rPr>
      </w:pPr>
    </w:p>
    <w:p w14:paraId="676701FB" w14:textId="77777777" w:rsidR="00E8496B" w:rsidRPr="00D64CCF" w:rsidRDefault="00E8496B" w:rsidP="009D6075">
      <w:pPr>
        <w:tabs>
          <w:tab w:val="left" w:pos="567"/>
          <w:tab w:val="left" w:pos="7938"/>
        </w:tabs>
        <w:spacing w:line="360" w:lineRule="auto"/>
        <w:ind w:left="709" w:right="760"/>
        <w:jc w:val="both"/>
        <w:rPr>
          <w:rFonts w:ascii="Palatino Linotype" w:hAnsi="Palatino Linotype" w:cs="Arial"/>
          <w:i/>
        </w:rPr>
      </w:pPr>
    </w:p>
    <w:p w14:paraId="0BBCB040" w14:textId="77777777" w:rsidR="00D26DCA"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14:paraId="1830EDC7" w14:textId="77777777" w:rsidR="00D26DCA" w:rsidRPr="00D64CCF" w:rsidRDefault="00D26DCA" w:rsidP="009D6075">
      <w:pPr>
        <w:pStyle w:val="Prrafodelista"/>
        <w:spacing w:line="360" w:lineRule="auto"/>
        <w:ind w:left="0"/>
        <w:jc w:val="both"/>
        <w:rPr>
          <w:rFonts w:ascii="Palatino Linotype" w:hAnsi="Palatino Linotype" w:cs="Arial"/>
        </w:rPr>
      </w:pPr>
    </w:p>
    <w:p w14:paraId="66A5A5FD" w14:textId="77777777" w:rsidR="00D26DCA"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Por último, y en cuanto hace a la adjudicación directa, el artículo 48 de la Ley de la Contratación Pública del Estado de México y Municipios y 91 del Reglamento de dicha Ley, indican en qué supuestos puede llevarse a cabo este procedimiento.</w:t>
      </w:r>
    </w:p>
    <w:p w14:paraId="065479EE" w14:textId="77777777" w:rsidR="00D26DCA" w:rsidRPr="00D64CCF" w:rsidRDefault="00D26DCA" w:rsidP="009D6075">
      <w:pPr>
        <w:pStyle w:val="Prrafodelista"/>
        <w:spacing w:line="360" w:lineRule="auto"/>
        <w:rPr>
          <w:rFonts w:ascii="Palatino Linotype" w:hAnsi="Palatino Linotype" w:cs="Arial"/>
        </w:rPr>
      </w:pPr>
    </w:p>
    <w:p w14:paraId="0A1D17D1" w14:textId="5D94D90A" w:rsidR="00D26DCA" w:rsidRPr="00D64CCF" w:rsidRDefault="00E8496B" w:rsidP="000A5994">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En este sentido, la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14:paraId="6C097385" w14:textId="10E707A6"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lastRenderedPageBreak/>
        <w:t xml:space="preserve">Además, el artículo 94 del referido Reglamento, detalla el procedimiento que se llevará a cabo en la adjudicación directa, de la siguiente manera: </w:t>
      </w:r>
    </w:p>
    <w:p w14:paraId="41A1A20A" w14:textId="77777777" w:rsidR="00E8496B" w:rsidRPr="00D64CCF" w:rsidRDefault="00E8496B" w:rsidP="009D6075">
      <w:pPr>
        <w:spacing w:line="360" w:lineRule="auto"/>
        <w:jc w:val="both"/>
        <w:rPr>
          <w:rFonts w:ascii="Palatino Linotype" w:hAnsi="Palatino Linotype" w:cs="Arial"/>
        </w:rPr>
      </w:pPr>
    </w:p>
    <w:p w14:paraId="70D222AF" w14:textId="77777777" w:rsidR="00E8496B" w:rsidRPr="00D64CCF" w:rsidRDefault="00E8496B" w:rsidP="009D6075">
      <w:pPr>
        <w:spacing w:line="360" w:lineRule="auto"/>
        <w:ind w:left="567" w:right="1275"/>
        <w:jc w:val="both"/>
        <w:rPr>
          <w:rFonts w:ascii="Palatino Linotype" w:hAnsi="Palatino Linotype" w:cs="Arial"/>
          <w:b/>
          <w:i/>
        </w:rPr>
      </w:pPr>
      <w:r w:rsidRPr="00D64CCF">
        <w:rPr>
          <w:rFonts w:ascii="Palatino Linotype" w:hAnsi="Palatino Linotype" w:cs="Arial"/>
          <w:b/>
          <w:i/>
        </w:rPr>
        <w:t xml:space="preserve">“Artículo 94.- </w:t>
      </w:r>
      <w:r w:rsidRPr="00D64CCF">
        <w:rPr>
          <w:rFonts w:ascii="Palatino Linotype" w:hAnsi="Palatino Linotype" w:cs="Arial"/>
          <w:i/>
        </w:rPr>
        <w:t>En el procedimiento de adjudicación directa se observará lo siguiente:</w:t>
      </w:r>
      <w:r w:rsidRPr="00D64CCF">
        <w:rPr>
          <w:rFonts w:ascii="Palatino Linotype" w:hAnsi="Palatino Linotype" w:cs="Arial"/>
          <w:b/>
          <w:i/>
        </w:rPr>
        <w:t xml:space="preserve"> </w:t>
      </w:r>
    </w:p>
    <w:p w14:paraId="48899799"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I.</w:t>
      </w:r>
      <w:r w:rsidRPr="00D64CCF">
        <w:rPr>
          <w:rFonts w:ascii="Palatino Linotype" w:hAnsi="Palatino Linotype" w:cs="Arial"/>
          <w:i/>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14:paraId="6189A484"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II.</w:t>
      </w:r>
      <w:r w:rsidRPr="00D64CCF">
        <w:rPr>
          <w:rFonts w:ascii="Palatino Linotype" w:hAnsi="Palatino Linotype" w:cs="Arial"/>
          <w:i/>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14:paraId="78795748"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III.</w:t>
      </w:r>
      <w:r w:rsidRPr="00D64CCF">
        <w:rPr>
          <w:rFonts w:ascii="Palatino Linotype" w:hAnsi="Palatino Linotype" w:cs="Arial"/>
          <w:i/>
        </w:rPr>
        <w:t xml:space="preserve"> La solicitud de participación contendrá, como mínimo, la descripción y cantidad de los bienes o servicios requeridos, lugar, plazo de entrega o duración del servicio y forma de pago;</w:t>
      </w:r>
    </w:p>
    <w:p w14:paraId="6216649C"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IV.</w:t>
      </w:r>
      <w:r w:rsidRPr="00D64CCF">
        <w:rPr>
          <w:rFonts w:ascii="Palatino Linotype" w:hAnsi="Palatino Linotype" w:cs="Arial"/>
          <w:i/>
        </w:rPr>
        <w:t xml:space="preserve"> La solicitud de participación deberá señalar el día, hora y lugar en que tendrá verificativo el acto de presentación y apertura de ofertas;</w:t>
      </w:r>
    </w:p>
    <w:p w14:paraId="101E8D77"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lastRenderedPageBreak/>
        <w:t>V.</w:t>
      </w:r>
      <w:r w:rsidRPr="00D64CCF">
        <w:rPr>
          <w:rFonts w:ascii="Palatino Linotype" w:hAnsi="Palatino Linotype" w:cs="Arial"/>
          <w:i/>
        </w:rPr>
        <w:t xml:space="preserve"> Atendiendo a la naturaleza de los bienes o servicios, la convocante podrá optar entre celebrar o no junta de aclaraciones, en términos de lo dispuesto por este Reglamento;</w:t>
      </w:r>
    </w:p>
    <w:p w14:paraId="7F25CB12"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VI.</w:t>
      </w:r>
      <w:r w:rsidRPr="00D64CCF">
        <w:rPr>
          <w:rFonts w:ascii="Palatino Linotype" w:hAnsi="Palatino Linotype" w:cs="Arial"/>
          <w:i/>
        </w:rPr>
        <w:t xml:space="preserve"> El servidor público designado por la convocante será el responsable de llevar a cabo el acto de presentación y apertura de propuestas;</w:t>
      </w:r>
    </w:p>
    <w:p w14:paraId="67EC5E42"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VII.</w:t>
      </w:r>
      <w:r w:rsidRPr="00D64CCF">
        <w:rPr>
          <w:rFonts w:ascii="Palatino Linotype" w:hAnsi="Palatino Linotype" w:cs="Arial"/>
          <w:i/>
        </w:rPr>
        <w:t xml:space="preserve"> Se observarán, en lo conducente, las disposiciones relativas a la contraoferta; y</w:t>
      </w:r>
    </w:p>
    <w:p w14:paraId="71E8F964"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b/>
          <w:i/>
        </w:rPr>
        <w:t>VIII.</w:t>
      </w:r>
      <w:r w:rsidRPr="00D64CCF">
        <w:rPr>
          <w:rFonts w:ascii="Palatino Linotype" w:hAnsi="Palatino Linotype" w:cs="Arial"/>
          <w:i/>
        </w:rPr>
        <w:t xml:space="preserve"> El comité será responsable de emitir el dictamen de adjudicación que servirá de base para el fallo de adjudicación; correspondiendo a la convocante emitir dicho fallo, quien lo hará del conocimiento de los licitantes.</w:t>
      </w:r>
      <w:r w:rsidRPr="00D64CCF">
        <w:rPr>
          <w:rFonts w:ascii="Palatino Linotype" w:hAnsi="Palatino Linotype" w:cs="Arial"/>
          <w:b/>
          <w:i/>
        </w:rPr>
        <w:t>”</w:t>
      </w:r>
      <w:r w:rsidRPr="00D64CCF">
        <w:rPr>
          <w:rFonts w:ascii="Palatino Linotype" w:hAnsi="Palatino Linotype" w:cs="Arial"/>
          <w:i/>
        </w:rPr>
        <w:t xml:space="preserve"> </w:t>
      </w:r>
    </w:p>
    <w:p w14:paraId="11B4755B" w14:textId="77777777" w:rsidR="00E8496B" w:rsidRPr="00D64CCF" w:rsidRDefault="00E8496B" w:rsidP="009D6075">
      <w:pPr>
        <w:spacing w:line="360" w:lineRule="auto"/>
        <w:ind w:left="567" w:right="1275"/>
        <w:jc w:val="both"/>
        <w:rPr>
          <w:rFonts w:ascii="Palatino Linotype" w:hAnsi="Palatino Linotype" w:cs="Arial"/>
          <w:i/>
        </w:rPr>
      </w:pPr>
      <w:r w:rsidRPr="00D64CCF">
        <w:rPr>
          <w:rFonts w:ascii="Palatino Linotype" w:hAnsi="Palatino Linotype" w:cs="Arial"/>
          <w:i/>
        </w:rPr>
        <w:t>(Énfasis añadido)</w:t>
      </w:r>
    </w:p>
    <w:p w14:paraId="5306D9A2" w14:textId="77777777" w:rsidR="00E8496B" w:rsidRPr="00D64CCF" w:rsidRDefault="00E8496B" w:rsidP="009D6075">
      <w:pPr>
        <w:spacing w:line="360" w:lineRule="auto"/>
        <w:ind w:left="567" w:right="1275"/>
        <w:jc w:val="both"/>
        <w:rPr>
          <w:rFonts w:ascii="Palatino Linotype" w:hAnsi="Palatino Linotype" w:cs="Arial"/>
          <w:i/>
        </w:rPr>
      </w:pPr>
    </w:p>
    <w:p w14:paraId="48D7F0D2" w14:textId="3965BEB7"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lang w:val="es-MX"/>
        </w:rPr>
      </w:pPr>
      <w:r w:rsidRPr="00D64CCF">
        <w:rPr>
          <w:rFonts w:ascii="Palatino Linotype" w:hAnsi="Palatino Linotype"/>
        </w:rPr>
        <w:t xml:space="preserve">En este sentido, </w:t>
      </w:r>
      <w:r w:rsidRPr="00D64CCF">
        <w:rPr>
          <w:rFonts w:ascii="Palatino Linotype" w:hAnsi="Palatino Linotype" w:cs="Arial"/>
        </w:rPr>
        <w:t>debe decirse que los expedientes de las adquisiciones, arrendamientos, enajenaciones y servicios, se encuentra considerada como una de las obligaciones de transparencias comunes que l</w:t>
      </w:r>
      <w:r w:rsidRPr="00D64CCF">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D64CCF">
        <w:rPr>
          <w:rFonts w:ascii="Palatino Linotype" w:hAnsi="Palatino Linotype" w:cs="Arial"/>
          <w:color w:val="000000"/>
        </w:rPr>
        <w:t xml:space="preserve">el </w:t>
      </w:r>
      <w:r w:rsidRPr="00D64CCF">
        <w:rPr>
          <w:rFonts w:ascii="Palatino Linotype" w:hAnsi="Palatino Linotype" w:cs="Arial"/>
        </w:rPr>
        <w:t>artículo 92 de la de la Ley de Transparencia y Acceso a la Información Pública del Estado de México y Municipios, en su fracción XXIX, dispone lo siguiente:</w:t>
      </w:r>
    </w:p>
    <w:p w14:paraId="1F3E8162" w14:textId="77777777" w:rsidR="00E8496B" w:rsidRPr="00D64CCF" w:rsidRDefault="00E8496B" w:rsidP="009D6075">
      <w:pPr>
        <w:spacing w:line="360" w:lineRule="auto"/>
        <w:jc w:val="both"/>
        <w:rPr>
          <w:rFonts w:ascii="Palatino Linotype" w:hAnsi="Palatino Linotype" w:cs="Arial"/>
        </w:rPr>
      </w:pPr>
    </w:p>
    <w:p w14:paraId="3BF63EF4"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lastRenderedPageBreak/>
        <w:t>“Artículo 92. </w:t>
      </w:r>
      <w:r w:rsidRPr="00D64CCF">
        <w:rPr>
          <w:rFonts w:ascii="Palatino Linotype" w:hAnsi="Palatino Linotype" w:cs="Arial"/>
          <w:i/>
          <w:iC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0D9F2E0"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i/>
          <w:iCs/>
        </w:rPr>
        <w:t>(…)</w:t>
      </w:r>
    </w:p>
    <w:p w14:paraId="74476C37" w14:textId="77777777" w:rsidR="00E8496B" w:rsidRPr="00D64CCF" w:rsidRDefault="00E8496B" w:rsidP="009D6075">
      <w:pPr>
        <w:tabs>
          <w:tab w:val="left" w:pos="7938"/>
        </w:tabs>
        <w:spacing w:line="360" w:lineRule="auto"/>
        <w:ind w:left="567" w:right="1275"/>
        <w:jc w:val="both"/>
        <w:rPr>
          <w:rFonts w:ascii="Palatino Linotype" w:hAnsi="Palatino Linotype" w:cs="Arial"/>
          <w:b/>
          <w:bCs/>
          <w:i/>
          <w:iCs/>
        </w:rPr>
      </w:pPr>
    </w:p>
    <w:p w14:paraId="730F6919"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XXIX. </w:t>
      </w:r>
      <w:r w:rsidRPr="00D64CCF">
        <w:rPr>
          <w:rFonts w:ascii="Palatino Linotype" w:hAnsi="Palatino Linotype" w:cs="Arial"/>
          <w:i/>
          <w:iCs/>
        </w:rPr>
        <w:t>La información sobre los procesos y resultados sobre procedimientos de adjudicación directa, invitación restringida y licitación de cualquier naturaleza, </w:t>
      </w:r>
      <w:r w:rsidRPr="00D64CCF">
        <w:rPr>
          <w:rFonts w:ascii="Palatino Linotype" w:hAnsi="Palatino Linotype" w:cs="Arial"/>
          <w:b/>
          <w:bCs/>
          <w:i/>
          <w:iCs/>
          <w:u w:val="single"/>
        </w:rPr>
        <w:t>incluyendo la versión pública del expediente respectivo y de los contratos</w:t>
      </w:r>
      <w:r w:rsidRPr="00D64CCF">
        <w:rPr>
          <w:rFonts w:ascii="Palatino Linotype" w:hAnsi="Palatino Linotype" w:cs="Arial"/>
          <w:i/>
          <w:iCs/>
        </w:rPr>
        <w:t> celebrados, que deberán contener, por los menos, lo siguiente:</w:t>
      </w:r>
    </w:p>
    <w:p w14:paraId="313FCC4F"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a) </w:t>
      </w:r>
      <w:r w:rsidRPr="00D64CCF">
        <w:rPr>
          <w:rFonts w:ascii="Palatino Linotype" w:hAnsi="Palatino Linotype" w:cs="Arial"/>
          <w:i/>
          <w:iCs/>
        </w:rPr>
        <w:t>De licitaciones públicas o procedimientos de invitación restringida:</w:t>
      </w:r>
    </w:p>
    <w:p w14:paraId="778DBFA6"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w:t>
      </w:r>
      <w:r w:rsidRPr="00D64CCF">
        <w:rPr>
          <w:rFonts w:ascii="Palatino Linotype" w:hAnsi="Palatino Linotype" w:cs="Arial"/>
          <w:i/>
          <w:iCs/>
        </w:rPr>
        <w:t> La convocatoria o invitación emitida, así como los fundamentos legales aplicados para llevarla a cabo;</w:t>
      </w:r>
    </w:p>
    <w:p w14:paraId="13FE320D"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2) </w:t>
      </w:r>
      <w:r w:rsidRPr="00D64CCF">
        <w:rPr>
          <w:rFonts w:ascii="Palatino Linotype" w:hAnsi="Palatino Linotype" w:cs="Arial"/>
          <w:i/>
          <w:iCs/>
        </w:rPr>
        <w:t>Los nombres de los participantes o invitados;</w:t>
      </w:r>
    </w:p>
    <w:p w14:paraId="19D2E22F"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3)</w:t>
      </w:r>
      <w:r w:rsidRPr="00D64CCF">
        <w:rPr>
          <w:rFonts w:ascii="Palatino Linotype" w:hAnsi="Palatino Linotype" w:cs="Arial"/>
          <w:i/>
          <w:iCs/>
        </w:rPr>
        <w:t> El nombre del ganador y las razones que lo justifican;</w:t>
      </w:r>
    </w:p>
    <w:p w14:paraId="4A3BE729"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4) </w:t>
      </w:r>
      <w:r w:rsidRPr="00D64CCF">
        <w:rPr>
          <w:rFonts w:ascii="Palatino Linotype" w:hAnsi="Palatino Linotype" w:cs="Arial"/>
          <w:i/>
          <w:iCs/>
        </w:rPr>
        <w:t>El área solicitante y la responsable de su ejecución;</w:t>
      </w:r>
    </w:p>
    <w:p w14:paraId="771FF1AC"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5) </w:t>
      </w:r>
      <w:r w:rsidRPr="00D64CCF">
        <w:rPr>
          <w:rFonts w:ascii="Palatino Linotype" w:hAnsi="Palatino Linotype" w:cs="Arial"/>
          <w:i/>
          <w:iCs/>
        </w:rPr>
        <w:t>Las convocatorias e invitaciones emitidas;</w:t>
      </w:r>
    </w:p>
    <w:p w14:paraId="1F875543"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6)</w:t>
      </w:r>
      <w:r w:rsidRPr="00D64CCF">
        <w:rPr>
          <w:rFonts w:ascii="Palatino Linotype" w:hAnsi="Palatino Linotype" w:cs="Arial"/>
          <w:i/>
          <w:iCs/>
        </w:rPr>
        <w:t> Los dictámenes y fallo de adjudicación;</w:t>
      </w:r>
    </w:p>
    <w:p w14:paraId="25DEB5E5"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7)</w:t>
      </w:r>
      <w:r w:rsidRPr="00D64CCF">
        <w:rPr>
          <w:rFonts w:ascii="Palatino Linotype" w:hAnsi="Palatino Linotype" w:cs="Arial"/>
          <w:bCs/>
          <w:i/>
          <w:iCs/>
        </w:rPr>
        <w:t> El contrato y, en su caso, sus anexos;</w:t>
      </w:r>
    </w:p>
    <w:p w14:paraId="6BF4E1C3"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lastRenderedPageBreak/>
        <w:t>8) </w:t>
      </w:r>
      <w:r w:rsidRPr="00D64CCF">
        <w:rPr>
          <w:rFonts w:ascii="Palatino Linotype" w:hAnsi="Palatino Linotype" w:cs="Arial"/>
          <w:i/>
          <w:iCs/>
        </w:rPr>
        <w:t>Los mecanismos de vigilancia y supervisión, incluyendo en su caso, los estudios de impacto urbano y ambiental, según corresponda;</w:t>
      </w:r>
    </w:p>
    <w:p w14:paraId="2C85F24C"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9) </w:t>
      </w:r>
      <w:r w:rsidRPr="00D64CCF">
        <w:rPr>
          <w:rFonts w:ascii="Palatino Linotype" w:hAnsi="Palatino Linotype" w:cs="Arial"/>
          <w:i/>
          <w:iCs/>
        </w:rPr>
        <w:t>La partida presupuestal, de conformidad con el clasificador por objeto del gasto, en el caso de ser aplicable;</w:t>
      </w:r>
    </w:p>
    <w:p w14:paraId="29AD1C36"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10) </w:t>
      </w:r>
      <w:r w:rsidRPr="00D64CCF">
        <w:rPr>
          <w:rFonts w:ascii="Palatino Linotype" w:hAnsi="Palatino Linotype" w:cs="Arial"/>
          <w:i/>
          <w:iCs/>
        </w:rPr>
        <w:t>Origen de los recursos especificando si son federales, estatales o municipales, así como el tipo de fondo de participación o aportación respectiva;</w:t>
      </w:r>
    </w:p>
    <w:p w14:paraId="71200BD8"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11) </w:t>
      </w:r>
      <w:r w:rsidRPr="00D64CCF">
        <w:rPr>
          <w:rFonts w:ascii="Palatino Linotype" w:hAnsi="Palatino Linotype" w:cs="Arial"/>
          <w:i/>
          <w:iCs/>
        </w:rPr>
        <w:t>Los convenios modificatorios que, en su caso, sean firmados, precisando el objeto y la fecha de celebración;</w:t>
      </w:r>
    </w:p>
    <w:p w14:paraId="75736190"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12) </w:t>
      </w:r>
      <w:r w:rsidRPr="00D64CCF">
        <w:rPr>
          <w:rFonts w:ascii="Palatino Linotype" w:hAnsi="Palatino Linotype" w:cs="Arial"/>
          <w:i/>
          <w:iCs/>
        </w:rPr>
        <w:t>Los informes de avance físico y financiero sobre las obras o servicios contratados;</w:t>
      </w:r>
    </w:p>
    <w:p w14:paraId="6672DA81"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13) </w:t>
      </w:r>
      <w:r w:rsidRPr="00D64CCF">
        <w:rPr>
          <w:rFonts w:ascii="Palatino Linotype" w:hAnsi="Palatino Linotype" w:cs="Arial"/>
          <w:i/>
          <w:iCs/>
        </w:rPr>
        <w:t>El convenio de terminación; y</w:t>
      </w:r>
    </w:p>
    <w:p w14:paraId="5F35772E"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14) </w:t>
      </w:r>
      <w:r w:rsidRPr="00D64CCF">
        <w:rPr>
          <w:rFonts w:ascii="Palatino Linotype" w:hAnsi="Palatino Linotype" w:cs="Arial"/>
          <w:i/>
          <w:iCs/>
        </w:rPr>
        <w:t>El finiquito.</w:t>
      </w:r>
    </w:p>
    <w:p w14:paraId="212A0444"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b) </w:t>
      </w:r>
      <w:r w:rsidRPr="00D64CCF">
        <w:rPr>
          <w:rFonts w:ascii="Palatino Linotype" w:hAnsi="Palatino Linotype" w:cs="Arial"/>
          <w:i/>
          <w:iCs/>
        </w:rPr>
        <w:t>De las adjudicaciones directas:</w:t>
      </w:r>
    </w:p>
    <w:p w14:paraId="63F27566"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 </w:t>
      </w:r>
      <w:r w:rsidRPr="00D64CCF">
        <w:rPr>
          <w:rFonts w:ascii="Palatino Linotype" w:hAnsi="Palatino Linotype" w:cs="Arial"/>
          <w:i/>
          <w:iCs/>
        </w:rPr>
        <w:t>La propuesta enviada por el participante;</w:t>
      </w:r>
    </w:p>
    <w:p w14:paraId="678EBBF2"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2) </w:t>
      </w:r>
      <w:r w:rsidRPr="00D64CCF">
        <w:rPr>
          <w:rFonts w:ascii="Palatino Linotype" w:hAnsi="Palatino Linotype" w:cs="Arial"/>
          <w:i/>
          <w:iCs/>
        </w:rPr>
        <w:t>Los motivos y fundamentos legales aplicados para llevarla a cabo;</w:t>
      </w:r>
    </w:p>
    <w:p w14:paraId="69CD1059"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3) </w:t>
      </w:r>
      <w:r w:rsidRPr="00D64CCF">
        <w:rPr>
          <w:rFonts w:ascii="Palatino Linotype" w:hAnsi="Palatino Linotype" w:cs="Arial"/>
          <w:i/>
          <w:iCs/>
        </w:rPr>
        <w:t>La autorización del ejercicio de la opción;</w:t>
      </w:r>
    </w:p>
    <w:p w14:paraId="7AF91393"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4) </w:t>
      </w:r>
      <w:r w:rsidRPr="00D64CCF">
        <w:rPr>
          <w:rFonts w:ascii="Palatino Linotype" w:hAnsi="Palatino Linotype" w:cs="Arial"/>
          <w:i/>
          <w:iCs/>
        </w:rPr>
        <w:t>En su caso, las cotizaciones consideradas, especificando los nombres de los proveedores y sus montos;</w:t>
      </w:r>
    </w:p>
    <w:p w14:paraId="4070E829"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5) </w:t>
      </w:r>
      <w:r w:rsidRPr="00D64CCF">
        <w:rPr>
          <w:rFonts w:ascii="Palatino Linotype" w:hAnsi="Palatino Linotype" w:cs="Arial"/>
          <w:i/>
          <w:iCs/>
        </w:rPr>
        <w:t>El nombre de la persona física o jurídica colectiva adjudicada;</w:t>
      </w:r>
    </w:p>
    <w:p w14:paraId="46874D2D"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6) </w:t>
      </w:r>
      <w:r w:rsidRPr="00D64CCF">
        <w:rPr>
          <w:rFonts w:ascii="Palatino Linotype" w:hAnsi="Palatino Linotype" w:cs="Arial"/>
          <w:i/>
          <w:iCs/>
        </w:rPr>
        <w:t>La unidad administrativa solicitante y la responsable de su ejecución;</w:t>
      </w:r>
    </w:p>
    <w:p w14:paraId="4FA8A0D9"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7)</w:t>
      </w:r>
      <w:r w:rsidRPr="00D64CCF">
        <w:rPr>
          <w:rFonts w:ascii="Palatino Linotype" w:hAnsi="Palatino Linotype" w:cs="Arial"/>
          <w:bCs/>
          <w:i/>
          <w:iCs/>
        </w:rPr>
        <w:t> El número, fecha, el monto del contrato y el plazo de entrega o de ejecución de los servicios u obra;</w:t>
      </w:r>
    </w:p>
    <w:p w14:paraId="132F7515"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lastRenderedPageBreak/>
        <w:t>8) </w:t>
      </w:r>
      <w:r w:rsidRPr="00D64CCF">
        <w:rPr>
          <w:rFonts w:ascii="Palatino Linotype" w:hAnsi="Palatino Linotype" w:cs="Arial"/>
          <w:i/>
          <w:iCs/>
        </w:rPr>
        <w:t>Los mecanismos de vigilancia y supervisión, incluyendo, en su caso, los estudios de impacto urbano y ambiental, según corresponda;</w:t>
      </w:r>
    </w:p>
    <w:p w14:paraId="1EAB6EB6"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9) </w:t>
      </w:r>
      <w:r w:rsidRPr="00D64CCF">
        <w:rPr>
          <w:rFonts w:ascii="Palatino Linotype" w:hAnsi="Palatino Linotype" w:cs="Arial"/>
          <w:i/>
          <w:iCs/>
        </w:rPr>
        <w:t>Los informes de avance sobre las obras o servicios contratados;</w:t>
      </w:r>
    </w:p>
    <w:p w14:paraId="31C30BEB" w14:textId="77777777" w:rsidR="00E8496B" w:rsidRPr="00D64CCF" w:rsidRDefault="00E8496B" w:rsidP="009D6075">
      <w:pPr>
        <w:tabs>
          <w:tab w:val="left" w:pos="7938"/>
        </w:tabs>
        <w:spacing w:line="360" w:lineRule="auto"/>
        <w:ind w:left="567" w:right="1275"/>
        <w:jc w:val="both"/>
        <w:rPr>
          <w:rFonts w:ascii="Palatino Linotype" w:hAnsi="Palatino Linotype" w:cs="Arial"/>
        </w:rPr>
      </w:pPr>
      <w:r w:rsidRPr="00D64CCF">
        <w:rPr>
          <w:rFonts w:ascii="Palatino Linotype" w:hAnsi="Palatino Linotype" w:cs="Arial"/>
          <w:b/>
          <w:bCs/>
          <w:i/>
          <w:iCs/>
        </w:rPr>
        <w:t>10) </w:t>
      </w:r>
      <w:r w:rsidRPr="00D64CCF">
        <w:rPr>
          <w:rFonts w:ascii="Palatino Linotype" w:hAnsi="Palatino Linotype" w:cs="Arial"/>
          <w:i/>
          <w:iCs/>
        </w:rPr>
        <w:t>El convenio de terminación; y</w:t>
      </w:r>
    </w:p>
    <w:p w14:paraId="22ACFB02" w14:textId="77777777" w:rsidR="00E8496B" w:rsidRPr="00D64CCF" w:rsidRDefault="00E8496B" w:rsidP="009D6075">
      <w:pPr>
        <w:tabs>
          <w:tab w:val="left" w:pos="7938"/>
        </w:tabs>
        <w:spacing w:line="360" w:lineRule="auto"/>
        <w:ind w:left="567" w:right="1275"/>
        <w:jc w:val="both"/>
        <w:rPr>
          <w:rFonts w:ascii="Palatino Linotype" w:hAnsi="Palatino Linotype" w:cs="Arial"/>
          <w:b/>
          <w:i/>
          <w:iCs/>
        </w:rPr>
      </w:pPr>
      <w:r w:rsidRPr="00D64CCF">
        <w:rPr>
          <w:rFonts w:ascii="Palatino Linotype" w:hAnsi="Palatino Linotype" w:cs="Arial"/>
          <w:b/>
          <w:bCs/>
          <w:i/>
          <w:iCs/>
        </w:rPr>
        <w:t>11) </w:t>
      </w:r>
      <w:r w:rsidRPr="00D64CCF">
        <w:rPr>
          <w:rFonts w:ascii="Palatino Linotype" w:hAnsi="Palatino Linotype" w:cs="Arial"/>
          <w:i/>
          <w:iCs/>
        </w:rPr>
        <w:t>El finiquito.</w:t>
      </w:r>
      <w:r w:rsidRPr="00D64CCF">
        <w:rPr>
          <w:rFonts w:ascii="Palatino Linotype" w:hAnsi="Palatino Linotype" w:cs="Arial"/>
          <w:b/>
          <w:i/>
          <w:iCs/>
        </w:rPr>
        <w:t>”</w:t>
      </w:r>
    </w:p>
    <w:p w14:paraId="61263DE3" w14:textId="77777777" w:rsidR="00E8496B" w:rsidRPr="00D64CCF" w:rsidRDefault="00E8496B" w:rsidP="009D6075">
      <w:pPr>
        <w:tabs>
          <w:tab w:val="left" w:pos="7938"/>
        </w:tabs>
        <w:spacing w:line="360" w:lineRule="auto"/>
        <w:ind w:left="567" w:right="1275"/>
        <w:jc w:val="both"/>
        <w:rPr>
          <w:rFonts w:ascii="Palatino Linotype" w:hAnsi="Palatino Linotype" w:cs="Arial"/>
        </w:rPr>
      </w:pPr>
    </w:p>
    <w:p w14:paraId="13211638" w14:textId="77777777" w:rsidR="00E8496B" w:rsidRPr="00D64CCF" w:rsidRDefault="00E8496B" w:rsidP="009D6075">
      <w:pPr>
        <w:spacing w:line="360" w:lineRule="auto"/>
        <w:ind w:left="851" w:right="850"/>
        <w:jc w:val="both"/>
        <w:rPr>
          <w:rFonts w:ascii="Palatino Linotype" w:hAnsi="Palatino Linotype" w:cs="Arial"/>
        </w:rPr>
      </w:pPr>
    </w:p>
    <w:p w14:paraId="775E1345" w14:textId="7244567F"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el número, fecha y monto del mismo, así como el plazo de entrega o de ejecución de los servicios u obra.</w:t>
      </w:r>
    </w:p>
    <w:p w14:paraId="6F162F5B" w14:textId="77777777" w:rsidR="00E8496B" w:rsidRPr="00D64CCF" w:rsidRDefault="00E8496B" w:rsidP="009D6075">
      <w:pPr>
        <w:spacing w:line="360" w:lineRule="auto"/>
        <w:jc w:val="both"/>
        <w:rPr>
          <w:rFonts w:ascii="Palatino Linotype" w:hAnsi="Palatino Linotype" w:cs="Arial"/>
        </w:rPr>
      </w:pPr>
    </w:p>
    <w:p w14:paraId="4123A879" w14:textId="2A04D4F6" w:rsidR="00E8496B" w:rsidRPr="00D64CCF" w:rsidRDefault="00E8496B" w:rsidP="009D6075">
      <w:pPr>
        <w:pStyle w:val="Prrafodelista"/>
        <w:numPr>
          <w:ilvl w:val="0"/>
          <w:numId w:val="1"/>
        </w:numPr>
        <w:tabs>
          <w:tab w:val="left" w:pos="567"/>
        </w:tabs>
        <w:spacing w:line="360" w:lineRule="auto"/>
        <w:ind w:left="0" w:firstLine="0"/>
        <w:jc w:val="both"/>
        <w:rPr>
          <w:rFonts w:ascii="Palatino Linotype" w:hAnsi="Palatino Linotype" w:cs="Arial"/>
        </w:rPr>
      </w:pPr>
      <w:r w:rsidRPr="00D64CCF">
        <w:rPr>
          <w:rFonts w:ascii="Palatino Linotype" w:hAnsi="Palatino Linotype" w:cs="Arial"/>
        </w:rPr>
        <w:t>A mayor abundamiento, debe observarse lo establecido en los artículos 1, fracción III, 20, 21, 22, 23, 24, 26, 27 y 39 de la Ley de Contratación Pública del Estado de México y Municipios, los cuales se transcriben a continuación:</w:t>
      </w:r>
    </w:p>
    <w:p w14:paraId="100311E3" w14:textId="77777777" w:rsidR="00E8496B" w:rsidRPr="00D64CCF" w:rsidRDefault="00E8496B" w:rsidP="009D6075">
      <w:pPr>
        <w:spacing w:line="360" w:lineRule="auto"/>
        <w:jc w:val="both"/>
        <w:rPr>
          <w:rFonts w:ascii="Palatino Linotype" w:hAnsi="Palatino Linotype" w:cs="Arial"/>
        </w:rPr>
      </w:pPr>
    </w:p>
    <w:p w14:paraId="60D1E277"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“Artículo 1</w:t>
      </w:r>
      <w:r w:rsidRPr="00D64CCF">
        <w:rPr>
          <w:rFonts w:ascii="Palatino Linotype" w:hAnsi="Palatino Linotype" w:cs="Arial"/>
          <w:i/>
          <w:iCs/>
        </w:rPr>
        <w:t>.- </w:t>
      </w:r>
      <w:r w:rsidRPr="00D64CCF">
        <w:rPr>
          <w:rFonts w:ascii="Palatino Linotype" w:hAnsi="Palatino Linotype" w:cs="Arial"/>
          <w:b/>
          <w:bCs/>
          <w:i/>
          <w:iCs/>
          <w:u w:val="single"/>
        </w:rPr>
        <w:t>Esta Ley tiene por objeto regular los actos relativos a</w:t>
      </w:r>
      <w:r w:rsidRPr="00D64CCF">
        <w:rPr>
          <w:rFonts w:ascii="Palatino Linotype" w:hAnsi="Palatino Linotype" w:cs="Arial"/>
          <w:i/>
          <w:iCs/>
        </w:rPr>
        <w:t> la planeación, programación, presupuestación, ejecución y control de </w:t>
      </w:r>
      <w:r w:rsidRPr="00D64CCF">
        <w:rPr>
          <w:rFonts w:ascii="Palatino Linotype" w:hAnsi="Palatino Linotype" w:cs="Arial"/>
          <w:b/>
          <w:bCs/>
          <w:i/>
          <w:iCs/>
          <w:u w:val="single"/>
        </w:rPr>
        <w:t xml:space="preserve">la </w:t>
      </w:r>
      <w:r w:rsidRPr="00D64CCF">
        <w:rPr>
          <w:rFonts w:ascii="Palatino Linotype" w:hAnsi="Palatino Linotype" w:cs="Arial"/>
          <w:b/>
          <w:bCs/>
          <w:i/>
          <w:iCs/>
          <w:u w:val="single"/>
        </w:rPr>
        <w:lastRenderedPageBreak/>
        <w:t>adquisición, enajenación y arrendamiento de bienes, y la contratación de servicios de cualquier naturaleza</w:t>
      </w:r>
      <w:r w:rsidRPr="00D64CCF">
        <w:rPr>
          <w:rFonts w:ascii="Palatino Linotype" w:hAnsi="Palatino Linotype" w:cs="Arial"/>
          <w:i/>
          <w:iCs/>
        </w:rPr>
        <w:t>, </w:t>
      </w:r>
      <w:r w:rsidRPr="00D64CCF">
        <w:rPr>
          <w:rFonts w:ascii="Palatino Linotype" w:hAnsi="Palatino Linotype" w:cs="Arial"/>
          <w:b/>
          <w:bCs/>
          <w:i/>
          <w:iCs/>
          <w:u w:val="single"/>
        </w:rPr>
        <w:t>que realicen</w:t>
      </w:r>
      <w:r w:rsidRPr="00D64CCF">
        <w:rPr>
          <w:rFonts w:ascii="Palatino Linotype" w:hAnsi="Palatino Linotype" w:cs="Arial"/>
          <w:i/>
          <w:iCs/>
        </w:rPr>
        <w:t>:</w:t>
      </w:r>
    </w:p>
    <w:p w14:paraId="6EE9E77D"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w:t>
      </w:r>
    </w:p>
    <w:p w14:paraId="1E6294B5"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III. </w:t>
      </w:r>
      <w:r w:rsidRPr="00D64CCF">
        <w:rPr>
          <w:rFonts w:ascii="Palatino Linotype" w:hAnsi="Palatino Linotype" w:cs="Arial"/>
          <w:b/>
          <w:bCs/>
          <w:i/>
          <w:iCs/>
          <w:u w:val="single"/>
        </w:rPr>
        <w:t>Los ayuntamientos de los municipios del Estado</w:t>
      </w:r>
      <w:r w:rsidRPr="00D64CCF">
        <w:rPr>
          <w:rFonts w:ascii="Palatino Linotype" w:hAnsi="Palatino Linotype" w:cs="Arial"/>
          <w:i/>
          <w:iCs/>
        </w:rPr>
        <w:t>.</w:t>
      </w:r>
    </w:p>
    <w:p w14:paraId="46EFA59E" w14:textId="77777777" w:rsidR="00E8496B" w:rsidRPr="00D64CCF" w:rsidRDefault="00E8496B" w:rsidP="009D6075">
      <w:pPr>
        <w:spacing w:line="360" w:lineRule="auto"/>
        <w:ind w:left="567" w:right="1275"/>
        <w:jc w:val="both"/>
        <w:rPr>
          <w:rFonts w:ascii="Palatino Linotype" w:hAnsi="Palatino Linotype" w:cs="Arial"/>
          <w:b/>
          <w:bCs/>
          <w:i/>
          <w:iCs/>
        </w:rPr>
      </w:pPr>
    </w:p>
    <w:p w14:paraId="72B16B46"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Artículo 20</w:t>
      </w:r>
      <w:r w:rsidRPr="00D64CCF">
        <w:rPr>
          <w:rFonts w:ascii="Palatino Linotype" w:hAnsi="Palatino Linotype" w:cs="Arial"/>
          <w:i/>
          <w:iCs/>
        </w:rPr>
        <w:t>.- La Secretaría y </w:t>
      </w:r>
      <w:r w:rsidRPr="00D64CCF">
        <w:rPr>
          <w:rFonts w:ascii="Palatino Linotype" w:hAnsi="Palatino Linotype" w:cs="Arial"/>
          <w:b/>
          <w:bCs/>
          <w:i/>
          <w:iCs/>
          <w:u w:val="single"/>
        </w:rPr>
        <w:t>los ayuntamientos establecerán y operarán el catálogo de bienes y servicios</w:t>
      </w:r>
      <w:r w:rsidRPr="00D64CCF">
        <w:rPr>
          <w:rFonts w:ascii="Palatino Linotype" w:hAnsi="Palatino Linotype" w:cs="Arial"/>
          <w:i/>
          <w:iCs/>
        </w:rPr>
        <w:t>, de acuerdo con la reglamentación respectiva. </w:t>
      </w:r>
      <w:r w:rsidRPr="00D64CCF">
        <w:rPr>
          <w:rFonts w:ascii="Palatino Linotype" w:hAnsi="Palatino Linotype" w:cs="Arial"/>
          <w:b/>
          <w:bCs/>
          <w:i/>
          <w:iCs/>
          <w:u w:val="single"/>
        </w:rPr>
        <w:t>Establecerán y operarán también el catálogo de bienes y servicios específicos que sean susceptibles de ser adquiridos o contratados</w:t>
      </w:r>
      <w:r w:rsidRPr="00D64CCF">
        <w:rPr>
          <w:rFonts w:ascii="Palatino Linotype" w:hAnsi="Palatino Linotype" w:cs="Arial"/>
          <w:i/>
          <w:iCs/>
        </w:rPr>
        <w:t> bajo la modalidad de subasta inversa, los cuales deberán describirse genéricamente y determinarse sus especificaciones técnicas comerciales, y en su caso, sus equivalentes. Dicho catálogo deberá publicarse en el COMPRAMEX y en el portal de internet de la propia Secretaría y, en su caso, en el de los ayuntamientos.</w:t>
      </w:r>
    </w:p>
    <w:p w14:paraId="1B6D4435" w14:textId="77777777" w:rsidR="00E8496B" w:rsidRPr="00D64CCF" w:rsidRDefault="00E8496B" w:rsidP="009D6075">
      <w:pPr>
        <w:spacing w:line="360" w:lineRule="auto"/>
        <w:ind w:left="567" w:right="1275"/>
        <w:jc w:val="both"/>
        <w:rPr>
          <w:rFonts w:ascii="Palatino Linotype" w:hAnsi="Palatino Linotype" w:cs="Arial"/>
          <w:b/>
          <w:bCs/>
          <w:i/>
          <w:iCs/>
        </w:rPr>
      </w:pPr>
    </w:p>
    <w:p w14:paraId="49DE6EC2"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Artículo 21.- </w:t>
      </w:r>
      <w:r w:rsidRPr="00D64CCF">
        <w:rPr>
          <w:rFonts w:ascii="Palatino Linotype" w:hAnsi="Palatino Linotype" w:cs="Arial"/>
          <w:b/>
          <w:bCs/>
          <w:i/>
          <w:iCs/>
          <w:u w:val="single"/>
        </w:rPr>
        <w:t>A fin de conocer la capacidad administrativa, financiera, legal y técnica de las fuentes de suministro</w:t>
      </w:r>
      <w:r w:rsidRPr="00D64CCF">
        <w:rPr>
          <w:rFonts w:ascii="Palatino Linotype" w:hAnsi="Palatino Linotype" w:cs="Arial"/>
          <w:i/>
          <w:iCs/>
        </w:rPr>
        <w:t>, la Secretaría y </w:t>
      </w:r>
      <w:r w:rsidRPr="00D64CCF">
        <w:rPr>
          <w:rFonts w:ascii="Palatino Linotype" w:hAnsi="Palatino Linotype" w:cs="Arial"/>
          <w:b/>
          <w:bCs/>
          <w:i/>
          <w:iCs/>
          <w:u w:val="single"/>
        </w:rPr>
        <w:t>los ayuntamientos integrarán un catálogo de proveedores y de prestadores de servicios</w:t>
      </w:r>
      <w:r w:rsidRPr="00D64CCF">
        <w:rPr>
          <w:rFonts w:ascii="Palatino Linotype" w:hAnsi="Palatino Linotype" w:cs="Arial"/>
          <w:i/>
          <w:iCs/>
        </w:rPr>
        <w:t>.</w:t>
      </w:r>
    </w:p>
    <w:p w14:paraId="754BE995"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 xml:space="preserve">Las personas que deseen inscribirse en el catálogo deberán cumplir con los requisitos que establezca el reglamento respectivo. En todo caso, deberán estar inscritos en el Registro Único de Personas Acreditadas del Estado de México, en los términos de la Ley de Medios Electrónicos, los proveedores y </w:t>
      </w:r>
      <w:r w:rsidRPr="00D64CCF">
        <w:rPr>
          <w:rFonts w:ascii="Palatino Linotype" w:hAnsi="Palatino Linotype" w:cs="Arial"/>
          <w:i/>
          <w:iCs/>
        </w:rPr>
        <w:lastRenderedPageBreak/>
        <w:t>prestadores de servicios que deseen participar en los procedimientos que deban desahogarse por conducto del COMPRAMEX.</w:t>
      </w:r>
    </w:p>
    <w:p w14:paraId="7C4CE28D" w14:textId="77777777" w:rsidR="00E8496B" w:rsidRPr="00D64CCF" w:rsidRDefault="00E8496B" w:rsidP="009D6075">
      <w:pPr>
        <w:spacing w:line="360" w:lineRule="auto"/>
        <w:ind w:left="567" w:right="1275"/>
        <w:jc w:val="both"/>
        <w:rPr>
          <w:rFonts w:ascii="Palatino Linotype" w:hAnsi="Palatino Linotype" w:cs="Arial"/>
          <w:b/>
          <w:bCs/>
          <w:i/>
          <w:iCs/>
        </w:rPr>
      </w:pPr>
    </w:p>
    <w:p w14:paraId="2C9C2AF1"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Artículo 22</w:t>
      </w:r>
      <w:r w:rsidRPr="00D64CCF">
        <w:rPr>
          <w:rFonts w:ascii="Palatino Linotype" w:hAnsi="Palatino Linotype" w:cs="Arial"/>
          <w:i/>
          <w:iCs/>
        </w:rPr>
        <w:t>.- Los comités son órganos colegiados con facultades de opinión, que tienen por objeto auxiliar a la Secretaría, entidades, tribunales administrativos y ayuntamientos, en la substanciación de los procedimientos de adquisiciones y de servicios, de conformidad con el Reglamento y los manuales de operación. En la Secretaría, en cada entidad, tribunal administrativo y ayuntamiento se constituirá un comité de adquisiciones y servicios. La Secretaría, las entidades, los tribunales administrativos y </w:t>
      </w:r>
      <w:r w:rsidRPr="00D64CCF">
        <w:rPr>
          <w:rFonts w:ascii="Palatino Linotype" w:hAnsi="Palatino Linotype" w:cs="Arial"/>
          <w:b/>
          <w:bCs/>
          <w:i/>
          <w:iCs/>
          <w:u w:val="single"/>
        </w:rPr>
        <w:t>los ayuntamientos se auxiliarán de un comité de arrendamientos, adquisiciones de inmuebles y enajenaciones</w:t>
      </w:r>
      <w:r w:rsidRPr="00D64CCF">
        <w:rPr>
          <w:rFonts w:ascii="Palatino Linotype" w:hAnsi="Palatino Linotype" w:cs="Arial"/>
          <w:i/>
          <w:iCs/>
        </w:rPr>
        <w:t>.”</w:t>
      </w:r>
    </w:p>
    <w:p w14:paraId="7E2832CB" w14:textId="77777777" w:rsidR="00E8496B" w:rsidRPr="00D64CCF" w:rsidRDefault="00E8496B" w:rsidP="009D6075">
      <w:pPr>
        <w:spacing w:line="360" w:lineRule="auto"/>
        <w:ind w:left="567" w:right="1275"/>
        <w:jc w:val="both"/>
        <w:rPr>
          <w:rFonts w:ascii="Palatino Linotype" w:hAnsi="Palatino Linotype" w:cs="Arial"/>
          <w:b/>
          <w:bCs/>
          <w:i/>
          <w:iCs/>
        </w:rPr>
      </w:pPr>
    </w:p>
    <w:p w14:paraId="67318E61"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Artículo 23</w:t>
      </w:r>
      <w:r w:rsidRPr="00D64CCF">
        <w:rPr>
          <w:rFonts w:ascii="Palatino Linotype" w:hAnsi="Palatino Linotype" w:cs="Arial"/>
          <w:i/>
          <w:iCs/>
        </w:rPr>
        <w:t>.- </w:t>
      </w:r>
      <w:r w:rsidRPr="00D64CCF">
        <w:rPr>
          <w:rFonts w:ascii="Palatino Linotype" w:hAnsi="Palatino Linotype" w:cs="Arial"/>
          <w:b/>
          <w:bCs/>
          <w:i/>
          <w:iCs/>
          <w:u w:val="single"/>
        </w:rPr>
        <w:t>Los comités de adquisiciones y de servicios tendrán las funciones siguientes</w:t>
      </w:r>
      <w:r w:rsidRPr="00D64CCF">
        <w:rPr>
          <w:rFonts w:ascii="Palatino Linotype" w:hAnsi="Palatino Linotype" w:cs="Arial"/>
          <w:i/>
          <w:iCs/>
        </w:rPr>
        <w:t>:</w:t>
      </w:r>
    </w:p>
    <w:p w14:paraId="73300A28"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I. Dictaminar sobre la procedencia de los casos de excepción al procedimiento de licitación pública.</w:t>
      </w:r>
    </w:p>
    <w:p w14:paraId="1502A874"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II. Participar en los procedimientos de licitación, invitación restringida y adjudicación directa, hasta dejarlos en estado de dictar el fallo correspondiente, incluidos los que tengan que desahogarse bajo la modalidad de subasta inversa.</w:t>
      </w:r>
    </w:p>
    <w:p w14:paraId="220530CD"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III. </w:t>
      </w:r>
      <w:r w:rsidRPr="00D64CCF">
        <w:rPr>
          <w:rFonts w:ascii="Palatino Linotype" w:hAnsi="Palatino Linotype" w:cs="Arial"/>
          <w:b/>
          <w:bCs/>
          <w:i/>
          <w:iCs/>
          <w:u w:val="single"/>
        </w:rPr>
        <w:t>Emitir los dictámenes de adjudicación</w:t>
      </w:r>
      <w:r w:rsidRPr="00D64CCF">
        <w:rPr>
          <w:rFonts w:ascii="Palatino Linotype" w:hAnsi="Palatino Linotype" w:cs="Arial"/>
          <w:i/>
          <w:iCs/>
        </w:rPr>
        <w:t>.</w:t>
      </w:r>
    </w:p>
    <w:p w14:paraId="3C2DE6F7"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IV. Las demás que establezca el reglamento de esta Ley.”</w:t>
      </w:r>
    </w:p>
    <w:p w14:paraId="480257F0" w14:textId="77777777" w:rsidR="00E8496B" w:rsidRPr="00D64CCF" w:rsidRDefault="00E8496B" w:rsidP="009D6075">
      <w:pPr>
        <w:spacing w:line="360" w:lineRule="auto"/>
        <w:ind w:left="567" w:right="1275"/>
        <w:jc w:val="both"/>
        <w:rPr>
          <w:rFonts w:ascii="Palatino Linotype" w:hAnsi="Palatino Linotype" w:cs="Arial"/>
          <w:b/>
          <w:bCs/>
          <w:i/>
          <w:iCs/>
        </w:rPr>
      </w:pPr>
    </w:p>
    <w:p w14:paraId="1CF47399"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Artículo 24</w:t>
      </w:r>
      <w:r w:rsidRPr="00D64CCF">
        <w:rPr>
          <w:rFonts w:ascii="Palatino Linotype" w:hAnsi="Palatino Linotype" w:cs="Arial"/>
          <w:i/>
          <w:iCs/>
        </w:rPr>
        <w:t>.- </w:t>
      </w:r>
      <w:r w:rsidRPr="00D64CCF">
        <w:rPr>
          <w:rFonts w:ascii="Palatino Linotype" w:hAnsi="Palatino Linotype" w:cs="Arial"/>
          <w:b/>
          <w:bCs/>
          <w:i/>
          <w:iCs/>
          <w:u w:val="single"/>
        </w:rPr>
        <w:t>El comité de arrendamientos, adquisiciones de inmuebles y enajenaciones tendrá las funciones siguientes</w:t>
      </w:r>
      <w:r w:rsidRPr="00D64CCF">
        <w:rPr>
          <w:rFonts w:ascii="Palatino Linotype" w:hAnsi="Palatino Linotype" w:cs="Arial"/>
          <w:i/>
          <w:iCs/>
        </w:rPr>
        <w:t>:</w:t>
      </w:r>
    </w:p>
    <w:p w14:paraId="69036D27"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I. Dictaminar sobre la procedencia de los casos de excepción al procedimiento de licitación pública, tratándose de adquisición de inmuebles y arrendamientos.</w:t>
      </w:r>
    </w:p>
    <w:p w14:paraId="437F5054"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II. Participar en los procedimientos de licitación, invitación restringida y adjudicación directa, hasta dejarlos en estado de dictar el fallo correspondiente, tratándose de adquisición de inmuebles y arrendamientos.</w:t>
      </w:r>
    </w:p>
    <w:p w14:paraId="06397438"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III. </w:t>
      </w:r>
      <w:r w:rsidRPr="00D64CCF">
        <w:rPr>
          <w:rFonts w:ascii="Palatino Linotype" w:hAnsi="Palatino Linotype" w:cs="Arial"/>
          <w:b/>
          <w:bCs/>
          <w:i/>
          <w:iCs/>
          <w:u w:val="single"/>
        </w:rPr>
        <w:t>Emitir los dictámenes de adjudicación, tratándose de adquisiciones de inmuebles y arrendamientos</w:t>
      </w:r>
      <w:r w:rsidRPr="00D64CCF">
        <w:rPr>
          <w:rFonts w:ascii="Palatino Linotype" w:hAnsi="Palatino Linotype" w:cs="Arial"/>
          <w:i/>
          <w:iCs/>
        </w:rPr>
        <w:t>.</w:t>
      </w:r>
    </w:p>
    <w:p w14:paraId="652C49AE"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i/>
          <w:iCs/>
        </w:rPr>
        <w:t>IV. Participar en los procedimientos de subasta pública, hasta dejarlos en estado de dictar el fallo de adjudicación.</w:t>
      </w:r>
    </w:p>
    <w:p w14:paraId="6F138108" w14:textId="77777777" w:rsidR="00E8496B" w:rsidRPr="00D64CCF" w:rsidRDefault="00E8496B" w:rsidP="009D6075">
      <w:pPr>
        <w:spacing w:line="360" w:lineRule="auto"/>
        <w:ind w:left="567" w:right="1275"/>
        <w:jc w:val="both"/>
        <w:rPr>
          <w:rFonts w:ascii="Palatino Linotype" w:hAnsi="Palatino Linotype" w:cs="Arial"/>
          <w:i/>
          <w:iCs/>
        </w:rPr>
      </w:pPr>
      <w:r w:rsidRPr="00D64CCF">
        <w:rPr>
          <w:rFonts w:ascii="Palatino Linotype" w:hAnsi="Palatino Linotype" w:cs="Arial"/>
          <w:i/>
          <w:iCs/>
        </w:rPr>
        <w:t>V. Las demás que establezca el reglamento de esta Ley.”</w:t>
      </w:r>
    </w:p>
    <w:p w14:paraId="5A4A1487" w14:textId="77777777" w:rsidR="00E8496B" w:rsidRPr="00D64CCF" w:rsidRDefault="00E8496B" w:rsidP="009D6075">
      <w:pPr>
        <w:spacing w:line="360" w:lineRule="auto"/>
        <w:ind w:left="567" w:right="1275"/>
        <w:jc w:val="both"/>
        <w:rPr>
          <w:rFonts w:ascii="Palatino Linotype" w:hAnsi="Palatino Linotype" w:cs="Arial"/>
          <w:b/>
          <w:i/>
          <w:iCs/>
        </w:rPr>
      </w:pPr>
    </w:p>
    <w:p w14:paraId="67026C5C" w14:textId="77777777" w:rsidR="00E8496B" w:rsidRPr="00D64CCF" w:rsidRDefault="00E8496B" w:rsidP="009D6075">
      <w:pPr>
        <w:spacing w:line="360" w:lineRule="auto"/>
        <w:ind w:left="567" w:right="1275"/>
        <w:jc w:val="both"/>
        <w:rPr>
          <w:rFonts w:ascii="Palatino Linotype" w:hAnsi="Palatino Linotype" w:cs="Arial"/>
          <w:i/>
          <w:iCs/>
        </w:rPr>
      </w:pPr>
      <w:r w:rsidRPr="00D64CCF">
        <w:rPr>
          <w:rFonts w:ascii="Palatino Linotype" w:hAnsi="Palatino Linotype" w:cs="Arial"/>
          <w:b/>
          <w:i/>
          <w:iCs/>
        </w:rPr>
        <w:t>Artículo 26.- </w:t>
      </w:r>
      <w:r w:rsidRPr="00D64CCF">
        <w:rPr>
          <w:rFonts w:ascii="Palatino Linotype" w:hAnsi="Palatino Linotype" w:cs="Arial"/>
          <w:i/>
          <w:iCs/>
        </w:rPr>
        <w:t>Las adquisiciones, arrendamientos y servicios se adjudicarán a través de licitaciones públicas, mediante convocatoria pública.</w:t>
      </w:r>
    </w:p>
    <w:p w14:paraId="63040626" w14:textId="77777777" w:rsidR="00E8496B" w:rsidRPr="00D64CCF" w:rsidRDefault="00E8496B" w:rsidP="009D6075">
      <w:pPr>
        <w:spacing w:line="360" w:lineRule="auto"/>
        <w:ind w:left="567" w:right="1275"/>
        <w:jc w:val="both"/>
        <w:rPr>
          <w:rFonts w:ascii="Palatino Linotype" w:hAnsi="Palatino Linotype" w:cs="Arial"/>
          <w:b/>
          <w:i/>
          <w:iCs/>
        </w:rPr>
      </w:pPr>
    </w:p>
    <w:p w14:paraId="2C6CBBE5" w14:textId="77777777" w:rsidR="00E8496B" w:rsidRPr="00D64CCF" w:rsidRDefault="00E8496B" w:rsidP="009D6075">
      <w:pPr>
        <w:spacing w:line="360" w:lineRule="auto"/>
        <w:ind w:left="567" w:right="1275"/>
        <w:jc w:val="both"/>
        <w:rPr>
          <w:rFonts w:ascii="Palatino Linotype" w:hAnsi="Palatino Linotype" w:cs="Arial"/>
          <w:i/>
          <w:iCs/>
        </w:rPr>
      </w:pPr>
      <w:r w:rsidRPr="00D64CCF">
        <w:rPr>
          <w:rFonts w:ascii="Palatino Linotype" w:hAnsi="Palatino Linotype" w:cs="Arial"/>
          <w:b/>
          <w:i/>
          <w:iCs/>
        </w:rPr>
        <w:t>Artículo 27.-</w:t>
      </w:r>
      <w:r w:rsidRPr="00D64CCF">
        <w:rPr>
          <w:rFonts w:ascii="Palatino Linotype" w:hAnsi="Palatino Linotype" w:cs="Arial"/>
          <w:i/>
          <w:iCs/>
        </w:rPr>
        <w:t xml:space="preserve"> La Secretaría, las entidades, los tribunales administrativos y los ayuntamientos podrán adjudicar adquisiciones, arrendamientos y servicios, mediante las excepciones al procedimiento de licitación que a continuación se señalan:</w:t>
      </w:r>
    </w:p>
    <w:p w14:paraId="6270FCBB" w14:textId="77777777" w:rsidR="00E8496B" w:rsidRPr="00D64CCF" w:rsidRDefault="00E8496B" w:rsidP="009D6075">
      <w:pPr>
        <w:spacing w:line="360" w:lineRule="auto"/>
        <w:ind w:left="567" w:right="1275"/>
        <w:jc w:val="both"/>
        <w:rPr>
          <w:rFonts w:ascii="Palatino Linotype" w:hAnsi="Palatino Linotype" w:cs="Arial"/>
          <w:b/>
          <w:bCs/>
          <w:i/>
          <w:iCs/>
        </w:rPr>
      </w:pPr>
    </w:p>
    <w:p w14:paraId="239C8926"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lastRenderedPageBreak/>
        <w:t>I. </w:t>
      </w:r>
      <w:r w:rsidRPr="00D64CCF">
        <w:rPr>
          <w:rFonts w:ascii="Palatino Linotype" w:hAnsi="Palatino Linotype" w:cs="Arial"/>
          <w:b/>
          <w:bCs/>
          <w:i/>
          <w:iCs/>
          <w:u w:val="single"/>
        </w:rPr>
        <w:t>Invitación restringida</w:t>
      </w:r>
      <w:r w:rsidRPr="00D64CCF">
        <w:rPr>
          <w:rFonts w:ascii="Palatino Linotype" w:hAnsi="Palatino Linotype" w:cs="Arial"/>
          <w:b/>
          <w:bCs/>
          <w:i/>
          <w:iCs/>
        </w:rPr>
        <w:t>.</w:t>
      </w:r>
    </w:p>
    <w:p w14:paraId="474629E8"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b/>
          <w:bCs/>
          <w:i/>
          <w:iCs/>
        </w:rPr>
        <w:t>II. </w:t>
      </w:r>
      <w:r w:rsidRPr="00D64CCF">
        <w:rPr>
          <w:rFonts w:ascii="Palatino Linotype" w:hAnsi="Palatino Linotype" w:cs="Arial"/>
          <w:b/>
          <w:bCs/>
          <w:i/>
          <w:iCs/>
          <w:u w:val="single"/>
        </w:rPr>
        <w:t>Adjudicación directa</w:t>
      </w:r>
      <w:r w:rsidRPr="00D64CCF">
        <w:rPr>
          <w:rFonts w:ascii="Palatino Linotype" w:hAnsi="Palatino Linotype" w:cs="Arial"/>
          <w:i/>
          <w:iCs/>
        </w:rPr>
        <w:t>.</w:t>
      </w:r>
    </w:p>
    <w:p w14:paraId="69C27E79" w14:textId="77777777" w:rsidR="00E8496B" w:rsidRPr="00D64CCF" w:rsidRDefault="00E8496B" w:rsidP="009D6075">
      <w:pPr>
        <w:spacing w:line="360" w:lineRule="auto"/>
        <w:ind w:left="567" w:right="1275"/>
        <w:jc w:val="both"/>
        <w:rPr>
          <w:rFonts w:ascii="Palatino Linotype" w:hAnsi="Palatino Linotype" w:cs="Arial"/>
          <w:b/>
          <w:bCs/>
          <w:i/>
          <w:iCs/>
        </w:rPr>
      </w:pPr>
    </w:p>
    <w:p w14:paraId="657AD5F3" w14:textId="77777777" w:rsidR="00E8496B" w:rsidRPr="00D64CCF" w:rsidRDefault="00E8496B" w:rsidP="009D6075">
      <w:pPr>
        <w:spacing w:line="360" w:lineRule="auto"/>
        <w:ind w:left="567" w:right="1275"/>
        <w:jc w:val="both"/>
        <w:rPr>
          <w:rFonts w:ascii="Palatino Linotype" w:hAnsi="Palatino Linotype" w:cs="Arial"/>
          <w:b/>
        </w:rPr>
      </w:pPr>
      <w:r w:rsidRPr="00D64CCF">
        <w:rPr>
          <w:rFonts w:ascii="Palatino Linotype" w:hAnsi="Palatino Linotype" w:cs="Arial"/>
          <w:b/>
          <w:bCs/>
          <w:i/>
          <w:iCs/>
        </w:rPr>
        <w:t>Artículo 39</w:t>
      </w:r>
      <w:r w:rsidRPr="00D64CCF">
        <w:rPr>
          <w:rFonts w:ascii="Palatino Linotype" w:hAnsi="Palatino Linotype" w:cs="Arial"/>
          <w:i/>
          <w:iCs/>
        </w:rPr>
        <w:t>.- </w:t>
      </w:r>
      <w:r w:rsidRPr="00D64CCF">
        <w:rPr>
          <w:rFonts w:ascii="Palatino Linotype" w:hAnsi="Palatino Linotype" w:cs="Arial"/>
          <w:b/>
          <w:bCs/>
          <w:i/>
          <w:iCs/>
          <w:u w:val="single"/>
        </w:rPr>
        <w:t>Para cada uno de los actos del procedimiento adquisitivo se levantará el acta respectiva</w:t>
      </w:r>
      <w:r w:rsidRPr="00D64CCF">
        <w:rPr>
          <w:rFonts w:ascii="Palatino Linotype" w:hAnsi="Palatino Linotype" w:cs="Arial"/>
          <w:i/>
          <w:iCs/>
        </w:rPr>
        <w:t>, la cual será firmada por los participantes, sin que la falta de firma de alguno de ellos invalide su contenido y efectos.</w:t>
      </w:r>
      <w:r w:rsidRPr="00D64CCF">
        <w:rPr>
          <w:rFonts w:ascii="Palatino Linotype" w:hAnsi="Palatino Linotype" w:cs="Arial"/>
          <w:b/>
          <w:i/>
          <w:iCs/>
        </w:rPr>
        <w:t>”</w:t>
      </w:r>
    </w:p>
    <w:p w14:paraId="346EBDFE" w14:textId="77777777" w:rsidR="00E8496B" w:rsidRPr="00D64CCF" w:rsidRDefault="00E8496B" w:rsidP="009D6075">
      <w:pPr>
        <w:spacing w:line="360" w:lineRule="auto"/>
        <w:ind w:left="567" w:right="1275"/>
        <w:jc w:val="both"/>
        <w:rPr>
          <w:rFonts w:ascii="Palatino Linotype" w:hAnsi="Palatino Linotype" w:cs="Arial"/>
        </w:rPr>
      </w:pPr>
      <w:r w:rsidRPr="00D64CCF">
        <w:rPr>
          <w:rFonts w:ascii="Palatino Linotype" w:hAnsi="Palatino Linotype" w:cs="Arial"/>
        </w:rPr>
        <w:t>(Énfasis añadido)</w:t>
      </w:r>
    </w:p>
    <w:p w14:paraId="177B96A3" w14:textId="77777777" w:rsidR="00E8496B" w:rsidRPr="00D64CCF" w:rsidRDefault="00E8496B" w:rsidP="00D87374">
      <w:pPr>
        <w:spacing w:line="360" w:lineRule="auto"/>
        <w:ind w:right="1275"/>
        <w:jc w:val="both"/>
        <w:rPr>
          <w:rFonts w:ascii="Palatino Linotype" w:hAnsi="Palatino Linotype" w:cs="Arial"/>
        </w:rPr>
      </w:pPr>
    </w:p>
    <w:p w14:paraId="06E69358" w14:textId="145CD203" w:rsidR="00E8496B" w:rsidRPr="00D64CCF" w:rsidRDefault="00E8496B" w:rsidP="00D87374">
      <w:pPr>
        <w:pStyle w:val="Prrafodelista"/>
        <w:numPr>
          <w:ilvl w:val="0"/>
          <w:numId w:val="1"/>
        </w:numPr>
        <w:tabs>
          <w:tab w:val="left" w:pos="567"/>
        </w:tabs>
        <w:autoSpaceDE w:val="0"/>
        <w:autoSpaceDN w:val="0"/>
        <w:adjustRightInd w:val="0"/>
        <w:spacing w:line="360" w:lineRule="auto"/>
        <w:ind w:left="0" w:right="50" w:firstLine="0"/>
        <w:jc w:val="both"/>
        <w:rPr>
          <w:rFonts w:ascii="Palatino Linotype" w:hAnsi="Palatino Linotype" w:cs="Arial"/>
        </w:rPr>
      </w:pPr>
      <w:r w:rsidRPr="00D64CCF">
        <w:rPr>
          <w:rFonts w:ascii="Palatino Linotype" w:hAnsi="Palatino Linotype" w:cs="Arial"/>
        </w:rPr>
        <w:t>De la interpretación armónica de los preceptos transcritos, se advierte que </w:t>
      </w:r>
      <w:r w:rsidR="00D26DCA" w:rsidRPr="00D64CCF">
        <w:rPr>
          <w:rFonts w:ascii="Palatino Linotype" w:hAnsi="Palatino Linotype" w:cs="Arial"/>
          <w:b/>
        </w:rPr>
        <w:t>el</w:t>
      </w:r>
      <w:r w:rsidRPr="00D64CCF">
        <w:rPr>
          <w:rFonts w:ascii="Palatino Linotype" w:hAnsi="Palatino Linotype" w:cs="Arial"/>
          <w:b/>
        </w:rPr>
        <w:t xml:space="preserve"> </w:t>
      </w:r>
      <w:r w:rsidR="00D26DCA" w:rsidRPr="00D64CCF">
        <w:rPr>
          <w:rFonts w:ascii="Palatino Linotype" w:hAnsi="Palatino Linotype" w:cs="Arial"/>
          <w:b/>
        </w:rPr>
        <w:t>SUJETO OBLIGADO</w:t>
      </w:r>
      <w:r w:rsidRPr="00D64CCF">
        <w:rPr>
          <w:rFonts w:ascii="Palatino Linotype" w:hAnsi="Palatino Linotype" w:cs="Arial"/>
        </w:rPr>
        <w:t xml:space="preserve">, cuenta con la competencia para regular los actos relativos a la </w:t>
      </w:r>
      <w:r w:rsidRPr="00D64CCF">
        <w:rPr>
          <w:rFonts w:ascii="Palatino Linotype" w:hAnsi="Palatino Linotype" w:cs="Arial"/>
          <w:b/>
          <w:u w:val="single"/>
        </w:rPr>
        <w:t>planeación, programación, presupuestación, ejecución y control de la adquisición y arrendamiento de bienes, así como la contratación de servicios de cualquier naturaleza</w:t>
      </w:r>
      <w:r w:rsidRPr="00D64CCF">
        <w:rPr>
          <w:rFonts w:ascii="Palatino Linotype" w:hAnsi="Palatino Linotype" w:cs="Arial"/>
        </w:rPr>
        <w:t xml:space="preserve">; para tales efectos, se auxilia de los comités de arrendamientos y de adquisiciones de inmuebles y enajenaciones, quienes, entre otras funciones, emiten los dictámenes correspondientes a la adjudicación, debiendo levantar para cada procedimiento </w:t>
      </w:r>
      <w:r w:rsidR="00470317" w:rsidRPr="00D64CCF">
        <w:rPr>
          <w:rFonts w:ascii="Palatino Linotype" w:hAnsi="Palatino Linotype" w:cs="Arial"/>
        </w:rPr>
        <w:t xml:space="preserve">adquisitivo el acta respectiva. Así </w:t>
      </w:r>
      <w:r w:rsidRPr="00D64CCF">
        <w:rPr>
          <w:rFonts w:ascii="Palatino Linotype" w:hAnsi="Palatino Linotype" w:cs="Arial"/>
        </w:rPr>
        <w:t xml:space="preserve">por las argumentaciones anteriormente señaladas, este Órgano Garante considera que el </w:t>
      </w:r>
      <w:r w:rsidR="00470317" w:rsidRPr="00D64CCF">
        <w:rPr>
          <w:rFonts w:ascii="Palatino Linotype" w:hAnsi="Palatino Linotype" w:cs="Arial"/>
          <w:b/>
        </w:rPr>
        <w:t>SUJETO OBLIGADO</w:t>
      </w:r>
      <w:r w:rsidR="00470317" w:rsidRPr="00D64CCF">
        <w:rPr>
          <w:rFonts w:ascii="Palatino Linotype" w:hAnsi="Palatino Linotype" w:cs="Arial"/>
        </w:rPr>
        <w:t xml:space="preserve"> </w:t>
      </w:r>
      <w:r w:rsidRPr="00D64CCF">
        <w:rPr>
          <w:rFonts w:ascii="Palatino Linotype" w:hAnsi="Palatino Linotype" w:cs="Arial"/>
        </w:rPr>
        <w:t>cuenta con las atribuciones de generar, administrar y poseer l</w:t>
      </w:r>
      <w:r w:rsidR="00470317" w:rsidRPr="00D64CCF">
        <w:rPr>
          <w:rFonts w:ascii="Palatino Linotype" w:hAnsi="Palatino Linotype" w:cs="Arial"/>
        </w:rPr>
        <w:t>a información requerida por el P</w:t>
      </w:r>
      <w:r w:rsidR="00ED2643" w:rsidRPr="00D64CCF">
        <w:rPr>
          <w:rFonts w:ascii="Palatino Linotype" w:hAnsi="Palatino Linotype" w:cs="Arial"/>
        </w:rPr>
        <w:t>articular.</w:t>
      </w:r>
    </w:p>
    <w:p w14:paraId="71852BC7" w14:textId="77777777" w:rsidR="00711756" w:rsidRPr="00D64CCF" w:rsidRDefault="00711756" w:rsidP="00711756">
      <w:pPr>
        <w:pStyle w:val="Prrafodelista"/>
        <w:tabs>
          <w:tab w:val="left" w:pos="567"/>
        </w:tabs>
        <w:autoSpaceDE w:val="0"/>
        <w:autoSpaceDN w:val="0"/>
        <w:adjustRightInd w:val="0"/>
        <w:spacing w:line="360" w:lineRule="auto"/>
        <w:ind w:left="0" w:right="50"/>
        <w:jc w:val="both"/>
        <w:rPr>
          <w:rFonts w:ascii="Palatino Linotype" w:hAnsi="Palatino Linotype" w:cs="Arial"/>
        </w:rPr>
      </w:pPr>
    </w:p>
    <w:p w14:paraId="52620E1B" w14:textId="00909E0A" w:rsidR="00711756" w:rsidRPr="00D64CCF" w:rsidRDefault="00711756" w:rsidP="00D87374">
      <w:pPr>
        <w:pStyle w:val="Prrafodelista"/>
        <w:numPr>
          <w:ilvl w:val="0"/>
          <w:numId w:val="1"/>
        </w:numPr>
        <w:tabs>
          <w:tab w:val="left" w:pos="567"/>
        </w:tabs>
        <w:autoSpaceDE w:val="0"/>
        <w:autoSpaceDN w:val="0"/>
        <w:adjustRightInd w:val="0"/>
        <w:spacing w:line="360" w:lineRule="auto"/>
        <w:ind w:left="0" w:right="50" w:firstLine="0"/>
        <w:jc w:val="both"/>
        <w:rPr>
          <w:rFonts w:ascii="Palatino Linotype" w:hAnsi="Palatino Linotype" w:cs="Arial"/>
        </w:rPr>
      </w:pPr>
      <w:r w:rsidRPr="00D64CCF">
        <w:rPr>
          <w:rFonts w:ascii="Palatino Linotype" w:hAnsi="Palatino Linotype" w:cs="Arial"/>
        </w:rPr>
        <w:t>Además, de</w:t>
      </w:r>
      <w:r w:rsidR="006933F7" w:rsidRPr="00D64CCF">
        <w:rPr>
          <w:rFonts w:ascii="Palatino Linotype" w:hAnsi="Palatino Linotype" w:cs="Arial"/>
        </w:rPr>
        <w:t xml:space="preserve"> es necesario precisar dos aspectos medulares de los hechos prácticos del caso que se resuelve, siendo la temporalidad y la existencia de la información. La </w:t>
      </w:r>
      <w:r w:rsidR="006933F7" w:rsidRPr="00D64CCF">
        <w:rPr>
          <w:rFonts w:ascii="Palatino Linotype" w:hAnsi="Palatino Linotype" w:cs="Arial"/>
        </w:rPr>
        <w:lastRenderedPageBreak/>
        <w:t xml:space="preserve">temporalidad, el Particular especificó que debe entregarse aquella información </w:t>
      </w:r>
      <w:r w:rsidR="006933F7" w:rsidRPr="00D64CCF">
        <w:rPr>
          <w:rFonts w:ascii="Palatino Linotype" w:hAnsi="Palatino Linotype" w:cs="Arial"/>
          <w:b/>
        </w:rPr>
        <w:t xml:space="preserve">“de lo que va del 2022” </w:t>
      </w:r>
      <w:r w:rsidR="006933F7" w:rsidRPr="00D64CCF">
        <w:rPr>
          <w:rFonts w:ascii="Palatino Linotype" w:hAnsi="Palatino Linotype" w:cs="Arial"/>
        </w:rPr>
        <w:t>siendo la correspondiente del uno (1) al dieciocho (18) del mes de enero, en razón de lo anterior y tratándose de procedimientos de adquisiciones, se procedió a verificar si es que en dicha temporalidad el Sujeto Obligado realizó procedimientos para la adquisición de bienes y servicios, localizando la siguiente información:</w:t>
      </w:r>
    </w:p>
    <w:p w14:paraId="5E919A28" w14:textId="39237ECB" w:rsidR="006933F7" w:rsidRPr="00D64CCF" w:rsidRDefault="006933F7" w:rsidP="006933F7">
      <w:pPr>
        <w:jc w:val="center"/>
        <w:rPr>
          <w:rFonts w:ascii="Palatino Linotype" w:hAnsi="Palatino Linotype" w:cs="Arial"/>
        </w:rPr>
      </w:pPr>
      <w:r w:rsidRPr="00D64CCF">
        <w:rPr>
          <w:rFonts w:ascii="Palatino Linotype" w:hAnsi="Palatino Linotype" w:cs="Arial"/>
          <w:noProof/>
          <w:lang w:val="es-MX" w:eastAsia="es-MX"/>
        </w:rPr>
        <w:drawing>
          <wp:inline distT="0" distB="0" distL="0" distR="0" wp14:anchorId="21C3FC01" wp14:editId="636E53E1">
            <wp:extent cx="3285460" cy="5028451"/>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2289" cy="5038903"/>
                    </a:xfrm>
                    <a:prstGeom prst="rect">
                      <a:avLst/>
                    </a:prstGeom>
                  </pic:spPr>
                </pic:pic>
              </a:graphicData>
            </a:graphic>
          </wp:inline>
        </w:drawing>
      </w:r>
    </w:p>
    <w:p w14:paraId="470B8374" w14:textId="4E31A135" w:rsidR="006933F7" w:rsidRPr="00D64CCF" w:rsidRDefault="006933F7" w:rsidP="006933F7">
      <w:pPr>
        <w:pStyle w:val="Prrafodelista"/>
        <w:tabs>
          <w:tab w:val="left" w:pos="567"/>
        </w:tabs>
        <w:autoSpaceDE w:val="0"/>
        <w:autoSpaceDN w:val="0"/>
        <w:adjustRightInd w:val="0"/>
        <w:spacing w:line="360" w:lineRule="auto"/>
        <w:ind w:left="0" w:right="50"/>
        <w:jc w:val="center"/>
        <w:rPr>
          <w:rFonts w:ascii="Palatino Linotype" w:hAnsi="Palatino Linotype" w:cs="Arial"/>
        </w:rPr>
      </w:pPr>
      <w:r w:rsidRPr="00D64CCF">
        <w:rPr>
          <w:rFonts w:ascii="Palatino Linotype" w:hAnsi="Palatino Linotype" w:cs="Arial"/>
          <w:noProof/>
          <w:lang w:val="es-MX" w:eastAsia="es-MX"/>
        </w:rPr>
        <w:lastRenderedPageBreak/>
        <w:drawing>
          <wp:inline distT="0" distB="0" distL="0" distR="0" wp14:anchorId="61025EB8" wp14:editId="0BDF30BF">
            <wp:extent cx="4231758" cy="68103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37378" cy="6819368"/>
                    </a:xfrm>
                    <a:prstGeom prst="rect">
                      <a:avLst/>
                    </a:prstGeom>
                  </pic:spPr>
                </pic:pic>
              </a:graphicData>
            </a:graphic>
          </wp:inline>
        </w:drawing>
      </w:r>
    </w:p>
    <w:p w14:paraId="0C5DCF14" w14:textId="2E61FEAC" w:rsidR="006933F7" w:rsidRPr="00D64CCF" w:rsidRDefault="006933F7" w:rsidP="00920032">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lastRenderedPageBreak/>
        <w:t>Para una pronta referencia, en la página de IPOMEX del Sujeto Obligado, se localizaron, al menos dos procesos de adquisición del diez (10) y trece (13) de enero del año dos mil veintidós, respectivamente, en consecuencia, se determina que la información requerida por el particular existió en el lapso temporal en el que fue solicitado, en consecuencia, debe obrar en los archivos del Sujeto Obligado</w:t>
      </w:r>
      <w:r w:rsidR="00B73024" w:rsidRPr="00D64CCF">
        <w:rPr>
          <w:rFonts w:ascii="Palatino Linotype" w:hAnsi="Palatino Linotype"/>
          <w:color w:val="000000" w:themeColor="text1"/>
        </w:rPr>
        <w:t>.</w:t>
      </w:r>
      <w:r w:rsidRPr="00D64CCF">
        <w:rPr>
          <w:rFonts w:ascii="Palatino Linotype" w:hAnsi="Palatino Linotype"/>
          <w:color w:val="000000" w:themeColor="text1"/>
        </w:rPr>
        <w:t xml:space="preserve"> </w:t>
      </w:r>
      <w:r w:rsidR="00B73024" w:rsidRPr="00D64CCF">
        <w:rPr>
          <w:rFonts w:ascii="Palatino Linotype" w:hAnsi="Palatino Linotype"/>
          <w:color w:val="000000" w:themeColor="text1"/>
        </w:rPr>
        <w:t>S</w:t>
      </w:r>
      <w:r w:rsidRPr="00D64CCF">
        <w:rPr>
          <w:rFonts w:ascii="Palatino Linotype" w:hAnsi="Palatino Linotype"/>
          <w:color w:val="000000" w:themeColor="text1"/>
        </w:rPr>
        <w:t>e ORDENA realizar una búsqueda exhaustiva y razonable a efecto de localizar y poner a disposición del Recurrente</w:t>
      </w:r>
      <w:r w:rsidR="00B73024" w:rsidRPr="00D64CCF">
        <w:rPr>
          <w:rFonts w:ascii="Palatino Linotype" w:hAnsi="Palatino Linotype"/>
          <w:color w:val="000000" w:themeColor="text1"/>
        </w:rPr>
        <w:t>,</w:t>
      </w:r>
      <w:r w:rsidRPr="00D64CCF">
        <w:rPr>
          <w:rFonts w:ascii="Palatino Linotype" w:hAnsi="Palatino Linotype"/>
          <w:color w:val="000000" w:themeColor="text1"/>
        </w:rPr>
        <w:t xml:space="preserve"> la información solicitada.</w:t>
      </w:r>
    </w:p>
    <w:p w14:paraId="7B91AD7F" w14:textId="77777777" w:rsidR="006933F7" w:rsidRPr="00D64CCF" w:rsidRDefault="006933F7" w:rsidP="006933F7">
      <w:pPr>
        <w:spacing w:line="360" w:lineRule="auto"/>
        <w:contextualSpacing/>
        <w:jc w:val="both"/>
        <w:rPr>
          <w:rFonts w:ascii="Palatino Linotype" w:hAnsi="Palatino Linotype"/>
          <w:color w:val="000000" w:themeColor="text1"/>
        </w:rPr>
      </w:pPr>
    </w:p>
    <w:p w14:paraId="7726904B" w14:textId="7427E606" w:rsidR="00D87374" w:rsidRPr="00D64CCF" w:rsidRDefault="00D87374" w:rsidP="00920032">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 xml:space="preserve">Luego entonces, se reitera la procedencia de la entrega de la información de mérito correspondiente a los extremos temporales propuestos por la parte solicitante, </w:t>
      </w:r>
      <w:r w:rsidRPr="00D64CCF">
        <w:rPr>
          <w:rFonts w:ascii="Palatino Linotype" w:hAnsi="Palatino Linotype"/>
          <w:b/>
          <w:color w:val="000000" w:themeColor="text1"/>
        </w:rPr>
        <w:t>desestimando</w:t>
      </w:r>
      <w:r w:rsidRPr="00D64CCF">
        <w:rPr>
          <w:rFonts w:ascii="Palatino Linotype" w:hAnsi="Palatino Linotype"/>
          <w:color w:val="000000" w:themeColor="text1"/>
        </w:rPr>
        <w:t xml:space="preserve"> el cambio de modalidad, ya que corresponde a una obligación de transparencia que debe estar publicada de manera permanente y actualizada, sumado a que la información corresponde aquella que se haya generado en un lapso temporal de </w:t>
      </w:r>
      <w:r w:rsidRPr="00D64CCF">
        <w:rPr>
          <w:rFonts w:ascii="Palatino Linotype" w:hAnsi="Palatino Linotype"/>
          <w:b/>
          <w:color w:val="000000" w:themeColor="text1"/>
        </w:rPr>
        <w:t>18 días, de los cuales 6 fueron inhábiles</w:t>
      </w:r>
      <w:r w:rsidRPr="00D64CCF">
        <w:rPr>
          <w:rFonts w:ascii="Palatino Linotype" w:hAnsi="Palatino Linotype"/>
          <w:color w:val="000000" w:themeColor="text1"/>
        </w:rPr>
        <w:t xml:space="preserve">; en esa tesitura si bien es cierto este Órgano Garante no se encuentra facultado para dudar de la veracidad de las respuestas emitidas, también lo es que no se advierten elementos de convicción relativos a que el volumen de la información sea insuficiente para adjuntar vía </w:t>
      </w:r>
      <w:r w:rsidRPr="00D64CCF">
        <w:rPr>
          <w:rFonts w:ascii="Palatino Linotype" w:hAnsi="Palatino Linotype"/>
          <w:b/>
          <w:color w:val="000000" w:themeColor="text1"/>
        </w:rPr>
        <w:t>SAIMEX</w:t>
      </w:r>
      <w:r w:rsidRPr="00D64CCF">
        <w:rPr>
          <w:rFonts w:ascii="Palatino Linotype" w:hAnsi="Palatino Linotype"/>
          <w:color w:val="000000" w:themeColor="text1"/>
        </w:rPr>
        <w:t>.</w:t>
      </w:r>
    </w:p>
    <w:p w14:paraId="7EABA7E3" w14:textId="77777777" w:rsidR="00D87374" w:rsidRPr="00D64CCF" w:rsidRDefault="00D87374" w:rsidP="00D87374">
      <w:pPr>
        <w:spacing w:line="360" w:lineRule="auto"/>
        <w:jc w:val="both"/>
        <w:rPr>
          <w:rFonts w:ascii="Palatino Linotype" w:hAnsi="Palatino Linotype"/>
          <w:color w:val="000000" w:themeColor="text1"/>
        </w:rPr>
      </w:pPr>
    </w:p>
    <w:p w14:paraId="1A54AB40"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Con la decisión anterior, se concluye que quedara por colmado el derecho de acceso a la información pública del solicitante, toda vez que</w:t>
      </w:r>
      <w:r w:rsidRPr="00D64CCF">
        <w:rPr>
          <w:rFonts w:ascii="Palatino Linotype" w:hAnsi="Palatino Linotype"/>
          <w:bCs/>
          <w:color w:val="000000" w:themeColor="text1"/>
          <w:lang w:val="es-MX"/>
        </w:rPr>
        <w:t xml:space="preserve"> </w:t>
      </w:r>
      <w:r w:rsidRPr="00D64CCF">
        <w:rPr>
          <w:rFonts w:ascii="Palatino Linotype" w:hAnsi="Palatino Linotype"/>
          <w:bCs/>
          <w:color w:val="000000" w:themeColor="text1"/>
        </w:rPr>
        <w:t xml:space="preserve">este Órgano Garante parte del hecho que el Derecho de </w:t>
      </w:r>
      <w:r w:rsidRPr="00D64CCF">
        <w:rPr>
          <w:rFonts w:ascii="Palatino Linotype" w:eastAsia="MS Mincho" w:hAnsi="Palatino Linotype" w:cs="Arial"/>
        </w:rPr>
        <w:t>Acceso</w:t>
      </w:r>
      <w:r w:rsidRPr="00D64CCF">
        <w:rPr>
          <w:rFonts w:ascii="Palatino Linotype" w:hAnsi="Palatino Linotype"/>
          <w:bCs/>
          <w:color w:val="000000" w:themeColor="text1"/>
        </w:rPr>
        <w:t xml:space="preserve"> a la Información Pública, es un derecho humano reconocido en el Pacto de Derechos Civiles y Políticos en su artículo 19.2; en la </w:t>
      </w:r>
      <w:r w:rsidRPr="00D64CCF">
        <w:rPr>
          <w:rFonts w:ascii="Palatino Linotype" w:hAnsi="Palatino Linotype"/>
          <w:lang w:val="es-MX" w:eastAsia="en-US"/>
        </w:rPr>
        <w:t>Convención</w:t>
      </w:r>
      <w:r w:rsidRPr="00D64CCF">
        <w:rPr>
          <w:rFonts w:ascii="Palatino Linotype" w:hAnsi="Palatino Linotype"/>
          <w:bCs/>
          <w:color w:val="000000" w:themeColor="text1"/>
        </w:rPr>
        <w:t xml:space="preserve"> Americana sobre Derechos Humanos en su artículo 13.1; en el artículo sexto </w:t>
      </w:r>
      <w:r w:rsidRPr="00D64CCF">
        <w:rPr>
          <w:rFonts w:ascii="Palatino Linotype" w:hAnsi="Palatino Linotype"/>
          <w:bCs/>
          <w:color w:val="000000" w:themeColor="text1"/>
        </w:rPr>
        <w:lastRenderedPageBreak/>
        <w:t xml:space="preserve">de la Constitución Política de los Estados Unidos Mexicanos y en el artículo quinto de </w:t>
      </w:r>
      <w:r w:rsidRPr="00D64CCF">
        <w:rPr>
          <w:rFonts w:ascii="Palatino Linotype" w:hAnsi="Palatino Linotype"/>
          <w:b/>
          <w:bCs/>
          <w:color w:val="000000" w:themeColor="text1"/>
        </w:rPr>
        <w:t>EL PARTICULAR</w:t>
      </w:r>
      <w:r w:rsidRPr="00D64CCF">
        <w:rPr>
          <w:rFonts w:ascii="Palatino Linotype" w:hAnsi="Palatino Linotype"/>
          <w:bCs/>
          <w:color w:val="000000" w:themeColor="text1"/>
        </w:rPr>
        <w:t xml:space="preserve"> del Estado de México, por lo que al respecto el </w:t>
      </w:r>
      <w:r w:rsidRPr="00D64CCF">
        <w:rPr>
          <w:rFonts w:ascii="Palatino Linotype" w:hAnsi="Palatino Linotype"/>
          <w:b/>
          <w:bCs/>
          <w:color w:val="000000" w:themeColor="text1"/>
        </w:rPr>
        <w:t>SUJETO OBLIGADO</w:t>
      </w:r>
      <w:r w:rsidRPr="00D64CCF">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64CCF">
        <w:rPr>
          <w:rFonts w:ascii="Palatino Linotype" w:hAnsi="Palatino Linotype"/>
          <w:b/>
          <w:bCs/>
          <w:color w:val="000000" w:themeColor="text1"/>
        </w:rPr>
        <w:t xml:space="preserve">Constitución Política de los Estados Unidos Mexicanos </w:t>
      </w:r>
      <w:r w:rsidRPr="00D64CCF">
        <w:rPr>
          <w:rFonts w:ascii="Palatino Linotype" w:hAnsi="Palatino Linotype"/>
          <w:bCs/>
          <w:color w:val="000000" w:themeColor="text1"/>
        </w:rPr>
        <w:t xml:space="preserve">al señalar la obligación de “promover, respetar, proteger y </w:t>
      </w:r>
      <w:r w:rsidRPr="00D64CCF">
        <w:rPr>
          <w:rFonts w:ascii="Palatino Linotype" w:hAnsi="Palatino Linotype"/>
          <w:b/>
          <w:bCs/>
          <w:color w:val="000000" w:themeColor="text1"/>
        </w:rPr>
        <w:t>garantizar</w:t>
      </w:r>
      <w:r w:rsidRPr="00D64CCF">
        <w:rPr>
          <w:rFonts w:ascii="Palatino Linotype" w:hAnsi="Palatino Linotype"/>
          <w:bCs/>
          <w:color w:val="000000" w:themeColor="text1"/>
        </w:rPr>
        <w:t xml:space="preserve"> los derechos humanos”, entre los cuales se encuentra dicho derecho.</w:t>
      </w:r>
    </w:p>
    <w:p w14:paraId="3D3A6C6C" w14:textId="77777777" w:rsidR="00D87374" w:rsidRPr="00D64CCF" w:rsidRDefault="00D87374" w:rsidP="00D87374">
      <w:pPr>
        <w:pStyle w:val="Prrafodelista"/>
        <w:spacing w:line="360" w:lineRule="auto"/>
        <w:ind w:left="0"/>
        <w:rPr>
          <w:rFonts w:ascii="Palatino Linotype" w:hAnsi="Palatino Linotype"/>
          <w:color w:val="000000" w:themeColor="text1"/>
        </w:rPr>
      </w:pPr>
    </w:p>
    <w:p w14:paraId="055E5197"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 xml:space="preserve">Por </w:t>
      </w:r>
      <w:r w:rsidRPr="00D64CCF">
        <w:rPr>
          <w:rFonts w:ascii="Palatino Linotype" w:hAnsi="Palatino Linotype"/>
          <w:color w:val="000000" w:themeColor="text1"/>
          <w:lang w:val="es-MX"/>
        </w:rPr>
        <w:t xml:space="preserve">lo anterior, se deduce que el derecho de acceso a la información pública es un </w:t>
      </w:r>
      <w:r w:rsidRPr="00D64CCF">
        <w:rPr>
          <w:rFonts w:ascii="Palatino Linotype" w:hAnsi="Palatino Linotype"/>
          <w:color w:val="000000" w:themeColor="text1"/>
        </w:rPr>
        <w:t>derecho</w:t>
      </w:r>
      <w:r w:rsidRPr="00D64CCF">
        <w:rPr>
          <w:rFonts w:ascii="Palatino Linotype" w:hAnsi="Palatino Linotype"/>
          <w:color w:val="000000" w:themeColor="text1"/>
          <w:lang w:val="es-MX"/>
        </w:rPr>
        <w:t xml:space="preserve"> humano convencional y constitucionalmente reconocido; en </w:t>
      </w:r>
      <w:r w:rsidRPr="00D64CCF">
        <w:rPr>
          <w:rFonts w:ascii="Palatino Linotype" w:hAnsi="Palatino Linotype"/>
          <w:color w:val="000000" w:themeColor="text1"/>
        </w:rPr>
        <w:t>consecuencia</w:t>
      </w:r>
      <w:r w:rsidRPr="00D64CCF">
        <w:rPr>
          <w:rFonts w:ascii="Palatino Linotype" w:hAnsi="Palatino Linotype"/>
          <w:color w:val="000000" w:themeColor="text1"/>
          <w:lang w:val="es-MX"/>
        </w:rPr>
        <w:t>, todas las autoridades en el ámbito de sus competencias, funciones y atribuciones tienen la obligación de respetarlo, protegerlo y garantizarlo.</w:t>
      </w:r>
    </w:p>
    <w:p w14:paraId="3D57546C" w14:textId="77777777" w:rsidR="00D87374" w:rsidRPr="00D64CCF" w:rsidRDefault="00D87374" w:rsidP="00D87374">
      <w:pPr>
        <w:pStyle w:val="Prrafodelista"/>
        <w:rPr>
          <w:rFonts w:ascii="Palatino Linotype" w:hAnsi="Palatino Linotype"/>
          <w:color w:val="000000" w:themeColor="text1"/>
        </w:rPr>
      </w:pPr>
    </w:p>
    <w:p w14:paraId="39B0591C" w14:textId="77777777" w:rsidR="00D87374" w:rsidRPr="00D64CCF" w:rsidRDefault="00D87374" w:rsidP="00D87374">
      <w:pPr>
        <w:spacing w:line="360" w:lineRule="auto"/>
        <w:contextualSpacing/>
        <w:jc w:val="both"/>
        <w:rPr>
          <w:rFonts w:ascii="Palatino Linotype" w:hAnsi="Palatino Linotype"/>
          <w:color w:val="000000" w:themeColor="text1"/>
        </w:rPr>
      </w:pPr>
    </w:p>
    <w:p w14:paraId="0E6CC5FB"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 xml:space="preserve">Así las cosas, </w:t>
      </w:r>
      <w:r w:rsidRPr="00D64CCF">
        <w:rPr>
          <w:rFonts w:ascii="Palatino Linotype" w:hAnsi="Palatino Linotype"/>
          <w:color w:val="000000" w:themeColor="text1"/>
          <w:lang w:val="es-MX"/>
        </w:rPr>
        <w:t xml:space="preserve">podemos definir el Derecho de Acceso a la Información Pública como: </w:t>
      </w:r>
      <w:r w:rsidRPr="00D64CCF">
        <w:rPr>
          <w:rFonts w:ascii="Palatino Linotype" w:hAnsi="Palatino Linotype"/>
          <w:i/>
          <w:color w:val="000000" w:themeColor="text1"/>
          <w:lang w:val="es-MX"/>
        </w:rPr>
        <w:t>La igualdad de oportunidades para recibir, buscar e impartir información</w:t>
      </w:r>
      <w:r w:rsidRPr="00D64CCF">
        <w:rPr>
          <w:rFonts w:ascii="Palatino Linotype" w:hAnsi="Palatino Linotype"/>
          <w:i/>
          <w:color w:val="000000" w:themeColor="text1"/>
          <w:vertAlign w:val="superscript"/>
          <w:lang w:val="es-MX"/>
        </w:rPr>
        <w:footnoteReference w:id="2"/>
      </w:r>
      <w:r w:rsidRPr="00D64CCF">
        <w:rPr>
          <w:rFonts w:ascii="Palatino Linotype" w:hAnsi="Palatino Linotype"/>
          <w:i/>
          <w:color w:val="000000" w:themeColor="text1"/>
          <w:lang w:val="es-MX"/>
        </w:rPr>
        <w:t xml:space="preserve">en posesión de </w:t>
      </w:r>
      <w:r w:rsidRPr="00D64CCF">
        <w:rPr>
          <w:rFonts w:ascii="Palatino Linotype" w:hAnsi="Palatino Linotype"/>
          <w:color w:val="000000" w:themeColor="text1"/>
        </w:rPr>
        <w:t>cualquier</w:t>
      </w:r>
      <w:r w:rsidRPr="00D64CCF">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4CCF">
        <w:rPr>
          <w:rFonts w:ascii="Palatino Linotype" w:hAnsi="Palatino Linotype"/>
          <w:i/>
          <w:color w:val="000000" w:themeColor="text1"/>
          <w:vertAlign w:val="superscript"/>
          <w:lang w:val="es-MX"/>
        </w:rPr>
        <w:footnoteReference w:id="3"/>
      </w:r>
      <w:r w:rsidRPr="00D64CCF">
        <w:rPr>
          <w:rFonts w:ascii="Palatino Linotype" w:hAnsi="Palatino Linotype"/>
          <w:color w:val="000000" w:themeColor="text1"/>
          <w:lang w:val="es-MX"/>
        </w:rPr>
        <w:t>que se constituye como una herramienta fundamental para ejercer</w:t>
      </w:r>
      <w:r w:rsidRPr="00D64CCF">
        <w:rPr>
          <w:rFonts w:ascii="Palatino Linotype" w:hAnsi="Palatino Linotype"/>
          <w:i/>
          <w:color w:val="000000" w:themeColor="text1"/>
          <w:lang w:val="es-MX"/>
        </w:rPr>
        <w:t xml:space="preserve"> el control democrático de las gestiones estatales, de forma tal que </w:t>
      </w:r>
      <w:r w:rsidRPr="00D64CCF">
        <w:rPr>
          <w:rFonts w:ascii="Palatino Linotype" w:hAnsi="Palatino Linotype"/>
          <w:i/>
          <w:color w:val="000000" w:themeColor="text1"/>
          <w:lang w:val="es-MX"/>
        </w:rPr>
        <w:lastRenderedPageBreak/>
        <w:t>puedan cuestionar, indagar y considerar si se está dando un adecuado cumplimiento a las funciones públicas,</w:t>
      </w:r>
      <w:r w:rsidRPr="00D64CCF">
        <w:rPr>
          <w:rFonts w:ascii="Palatino Linotype" w:hAnsi="Palatino Linotype"/>
          <w:i/>
          <w:color w:val="000000" w:themeColor="text1"/>
          <w:vertAlign w:val="superscript"/>
          <w:lang w:val="es-MX"/>
        </w:rPr>
        <w:footnoteReference w:id="4"/>
      </w:r>
      <w:r w:rsidRPr="00D64CCF">
        <w:rPr>
          <w:rFonts w:ascii="Palatino Linotype" w:hAnsi="Palatino Linotype"/>
          <w:i/>
          <w:color w:val="000000" w:themeColor="text1"/>
          <w:lang w:val="es-MX"/>
        </w:rPr>
        <w:t xml:space="preserve"> </w:t>
      </w:r>
      <w:r w:rsidRPr="00D64CCF">
        <w:rPr>
          <w:rFonts w:ascii="Palatino Linotype" w:hAnsi="Palatino Linotype"/>
          <w:color w:val="000000" w:themeColor="text1"/>
          <w:lang w:val="es-MX"/>
        </w:rPr>
        <w:t>fomentando</w:t>
      </w:r>
      <w:r w:rsidRPr="00D64CCF">
        <w:rPr>
          <w:rFonts w:ascii="Palatino Linotype" w:hAnsi="Palatino Linotype"/>
          <w:i/>
          <w:color w:val="000000" w:themeColor="text1"/>
          <w:lang w:val="es-MX"/>
        </w:rPr>
        <w:t xml:space="preserve"> la transparencia de las actividades estatales y </w:t>
      </w:r>
      <w:r w:rsidRPr="00D64CCF">
        <w:rPr>
          <w:rFonts w:ascii="Palatino Linotype" w:hAnsi="Palatino Linotype"/>
          <w:color w:val="000000" w:themeColor="text1"/>
          <w:lang w:val="es-MX"/>
        </w:rPr>
        <w:t>promoviendo</w:t>
      </w:r>
      <w:r w:rsidRPr="00D64CCF">
        <w:rPr>
          <w:rFonts w:ascii="Palatino Linotype" w:hAnsi="Palatino Linotype"/>
          <w:i/>
          <w:color w:val="000000" w:themeColor="text1"/>
          <w:lang w:val="es-MX"/>
        </w:rPr>
        <w:t xml:space="preserve"> la responsabilidad de los funcionarios sobre su gestión pública,</w:t>
      </w:r>
      <w:r w:rsidRPr="00D64CCF">
        <w:rPr>
          <w:rFonts w:ascii="Palatino Linotype" w:hAnsi="Palatino Linotype"/>
          <w:i/>
          <w:color w:val="000000" w:themeColor="text1"/>
          <w:vertAlign w:val="superscript"/>
          <w:lang w:val="es-MX"/>
        </w:rPr>
        <w:footnoteReference w:id="5"/>
      </w:r>
      <w:r w:rsidRPr="00D64CCF">
        <w:rPr>
          <w:rFonts w:ascii="Palatino Linotype" w:hAnsi="Palatino Linotype"/>
          <w:color w:val="000000" w:themeColor="text1"/>
          <w:lang w:val="es-MX"/>
        </w:rPr>
        <w:t>que permite</w:t>
      </w:r>
      <w:r w:rsidRPr="00D64CCF">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14:paraId="7DF3E387" w14:textId="77777777" w:rsidR="00D87374" w:rsidRPr="00D64CCF" w:rsidRDefault="00D87374" w:rsidP="00D87374">
      <w:pPr>
        <w:pStyle w:val="Prrafodelista"/>
        <w:spacing w:line="360" w:lineRule="auto"/>
        <w:ind w:left="0"/>
        <w:rPr>
          <w:rFonts w:ascii="Palatino Linotype" w:hAnsi="Palatino Linotype"/>
          <w:color w:val="000000" w:themeColor="text1"/>
        </w:rPr>
      </w:pPr>
    </w:p>
    <w:p w14:paraId="106CBED6"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 xml:space="preserve">Por otro lado, </w:t>
      </w:r>
      <w:r w:rsidRPr="00D64CCF">
        <w:rPr>
          <w:rFonts w:ascii="Palatino Linotype" w:hAnsi="Palatino Linotype"/>
          <w:color w:val="000000" w:themeColor="text1"/>
          <w:lang w:val="es-MX"/>
        </w:rPr>
        <w:t>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36E1D6E8" w14:textId="77777777" w:rsidR="00D87374" w:rsidRPr="00D64CCF" w:rsidRDefault="00D87374" w:rsidP="00D87374">
      <w:pPr>
        <w:pStyle w:val="Prrafodelista"/>
        <w:ind w:left="0"/>
        <w:rPr>
          <w:rFonts w:ascii="Palatino Linotype" w:hAnsi="Palatino Linotype"/>
          <w:color w:val="000000" w:themeColor="text1"/>
        </w:rPr>
      </w:pPr>
    </w:p>
    <w:p w14:paraId="10FE60D8"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 xml:space="preserve">Finalmente señalar que respecto a la solicitud vertida en el escritor recursal, referente a: </w:t>
      </w:r>
      <w:r w:rsidRPr="00D64CCF">
        <w:rPr>
          <w:rFonts w:ascii="Palatino Linotype" w:hAnsi="Palatino Linotype"/>
          <w:i/>
          <w:color w:val="000000" w:themeColor="text1"/>
        </w:rPr>
        <w:t>“…se solicita al Instituto dar vista a la Contraloría Interna y Órgano de Control y Vigilancia en términos de la Ley de Responsabilidades de los Servidores Públicos del Estado y Municipios…”</w:t>
      </w:r>
    </w:p>
    <w:p w14:paraId="09D5FACA" w14:textId="77777777" w:rsidR="00D87374" w:rsidRPr="00D64CCF" w:rsidRDefault="00D87374" w:rsidP="00D87374">
      <w:pPr>
        <w:pStyle w:val="Prrafodelista"/>
        <w:ind w:left="0"/>
        <w:rPr>
          <w:rFonts w:ascii="Palatino Linotype" w:hAnsi="Palatino Linotype"/>
          <w:color w:val="000000" w:themeColor="text1"/>
        </w:rPr>
      </w:pPr>
    </w:p>
    <w:p w14:paraId="7102D353"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lastRenderedPageBreak/>
        <w:t>Es de explorado derecho que el recurso de revisión</w:t>
      </w:r>
      <w:r w:rsidRPr="00D64CCF">
        <w:t xml:space="preserve"> </w:t>
      </w:r>
      <w:r w:rsidRPr="00D64CCF">
        <w:rPr>
          <w:rFonts w:ascii="Palatino Linotype" w:hAnsi="Palatino Linotype"/>
          <w:color w:val="000000" w:themeColor="text1"/>
        </w:rPr>
        <w:t>es una vía de impugnación que permite a los solicitantes de información presentar un recurso cuando consideran que se ha violado su derecho cuando pretenden ejercer el acceso a la información pública o el ejercicio de sus derechos ARCO.</w:t>
      </w:r>
    </w:p>
    <w:p w14:paraId="1471FCFC" w14:textId="77777777" w:rsidR="00D87374" w:rsidRPr="00D64CCF" w:rsidRDefault="00D87374" w:rsidP="00D87374">
      <w:pPr>
        <w:pStyle w:val="Prrafodelista"/>
        <w:ind w:left="0"/>
        <w:rPr>
          <w:rFonts w:ascii="Palatino Linotype" w:hAnsi="Palatino Linotype"/>
          <w:color w:val="000000" w:themeColor="text1"/>
        </w:rPr>
      </w:pPr>
    </w:p>
    <w:p w14:paraId="7402FD53"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En esa tesitura, este Instituto emitirá una resolución en la que confirmará, modificará o revocará la respuesta u ordenara se atienda la solicitud de información ante la falta de respuesta a la solicitud de información impugnada. Esta resolución será notificada al recurrente y a las partes involucradas.</w:t>
      </w:r>
    </w:p>
    <w:p w14:paraId="31BD58AE" w14:textId="77777777" w:rsidR="00D87374" w:rsidRPr="00D64CCF" w:rsidRDefault="00D87374" w:rsidP="00D87374">
      <w:pPr>
        <w:pStyle w:val="Prrafodelista"/>
        <w:ind w:left="0"/>
        <w:rPr>
          <w:rFonts w:ascii="Palatino Linotype" w:hAnsi="Palatino Linotype"/>
          <w:color w:val="000000" w:themeColor="text1"/>
        </w:rPr>
      </w:pPr>
    </w:p>
    <w:p w14:paraId="47FFEB0B" w14:textId="77777777" w:rsidR="00D87374" w:rsidRPr="00D64CCF" w:rsidRDefault="00D87374" w:rsidP="00D87374">
      <w:pPr>
        <w:numPr>
          <w:ilvl w:val="0"/>
          <w:numId w:val="1"/>
        </w:numPr>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 xml:space="preserve">Luego entonces, el recurso de revisión no es la vía idónea para interponer quejas o denuncias, no obstante </w:t>
      </w:r>
      <w:r w:rsidRPr="00D64CCF">
        <w:rPr>
          <w:rFonts w:ascii="Palatino Linotype" w:hAnsi="Palatino Linotype"/>
          <w:b/>
          <w:color w:val="000000" w:themeColor="text1"/>
        </w:rPr>
        <w:t>se dejan a salvo los derechos</w:t>
      </w:r>
      <w:r w:rsidRPr="00D64CCF">
        <w:rPr>
          <w:rFonts w:ascii="Palatino Linotype" w:hAnsi="Palatino Linotype"/>
          <w:color w:val="000000" w:themeColor="text1"/>
        </w:rPr>
        <w:t xml:space="preserve"> del ahora </w:t>
      </w:r>
      <w:r w:rsidRPr="00D64CCF">
        <w:rPr>
          <w:rFonts w:ascii="Palatino Linotype" w:hAnsi="Palatino Linotype"/>
          <w:b/>
          <w:color w:val="000000" w:themeColor="text1"/>
        </w:rPr>
        <w:t>RECURRENTE</w:t>
      </w:r>
      <w:r w:rsidRPr="00D64CCF">
        <w:rPr>
          <w:rFonts w:ascii="Palatino Linotype" w:hAnsi="Palatino Linotype"/>
          <w:color w:val="000000" w:themeColor="text1"/>
        </w:rPr>
        <w:t xml:space="preserve"> para que interponga las denuncias que a sus intereses convenga, ante la instancia competente para tal efecto.</w:t>
      </w:r>
    </w:p>
    <w:p w14:paraId="0798AB99" w14:textId="77777777" w:rsidR="00E8496B" w:rsidRPr="00D64CCF" w:rsidRDefault="00E8496B" w:rsidP="009D6075">
      <w:pPr>
        <w:pStyle w:val="Prrafodelista"/>
        <w:tabs>
          <w:tab w:val="left" w:pos="567"/>
        </w:tabs>
        <w:spacing w:line="360" w:lineRule="auto"/>
        <w:ind w:left="0"/>
        <w:contextualSpacing/>
        <w:jc w:val="both"/>
        <w:rPr>
          <w:rFonts w:ascii="Palatino Linotype" w:hAnsi="Palatino Linotype"/>
          <w:color w:val="000000" w:themeColor="text1"/>
        </w:rPr>
      </w:pPr>
    </w:p>
    <w:p w14:paraId="606C9BFD" w14:textId="0654772A" w:rsidR="00175366" w:rsidRPr="00D64CCF" w:rsidRDefault="00175366" w:rsidP="009D6075">
      <w:pPr>
        <w:pStyle w:val="Prrafodelista"/>
        <w:tabs>
          <w:tab w:val="left" w:pos="567"/>
        </w:tabs>
        <w:spacing w:line="360" w:lineRule="auto"/>
        <w:ind w:left="0"/>
        <w:contextualSpacing/>
        <w:jc w:val="both"/>
        <w:rPr>
          <w:rFonts w:ascii="Palatino Linotype" w:hAnsi="Palatino Linotype"/>
          <w:b/>
          <w:color w:val="000000" w:themeColor="text1"/>
        </w:rPr>
      </w:pPr>
      <w:r w:rsidRPr="00D64CCF">
        <w:rPr>
          <w:rFonts w:ascii="Palatino Linotype" w:hAnsi="Palatino Linotype"/>
          <w:b/>
          <w:color w:val="000000" w:themeColor="text1"/>
        </w:rPr>
        <w:t>QUINTO. De la versión pública.</w:t>
      </w:r>
    </w:p>
    <w:p w14:paraId="4472BB23" w14:textId="77777777" w:rsidR="00175366" w:rsidRPr="00D64CCF" w:rsidRDefault="00175366" w:rsidP="009D6075">
      <w:pPr>
        <w:pStyle w:val="Prrafodelista"/>
        <w:tabs>
          <w:tab w:val="left" w:pos="567"/>
        </w:tabs>
        <w:spacing w:line="360" w:lineRule="auto"/>
        <w:ind w:left="0"/>
        <w:contextualSpacing/>
        <w:jc w:val="both"/>
        <w:rPr>
          <w:rFonts w:ascii="Palatino Linotype" w:hAnsi="Palatino Linotype"/>
          <w:color w:val="000000" w:themeColor="text1"/>
        </w:rPr>
      </w:pPr>
    </w:p>
    <w:p w14:paraId="60D2FD1E" w14:textId="1967227A" w:rsidR="00302155" w:rsidRPr="00D64CCF" w:rsidRDefault="00302155" w:rsidP="009D6075">
      <w:pPr>
        <w:pStyle w:val="Prrafodelista"/>
        <w:numPr>
          <w:ilvl w:val="0"/>
          <w:numId w:val="1"/>
        </w:numPr>
        <w:tabs>
          <w:tab w:val="left" w:pos="567"/>
        </w:tabs>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t>Debe destacarse que, debido a la naturaleza de la información solicitada</w:t>
      </w:r>
      <w:r w:rsidRPr="00D64CCF">
        <w:rPr>
          <w:rFonts w:ascii="Palatino Linotype" w:hAnsi="Palatino Linotype"/>
          <w:b/>
          <w:color w:val="000000" w:themeColor="text1"/>
        </w:rPr>
        <w:t xml:space="preserve"> </w:t>
      </w:r>
      <w:r w:rsidRPr="00D64CCF">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19454869" w14:textId="77777777" w:rsidR="00302155" w:rsidRPr="00D64CCF" w:rsidRDefault="00302155" w:rsidP="009D6075">
      <w:pPr>
        <w:pStyle w:val="Prrafodelista"/>
        <w:numPr>
          <w:ilvl w:val="0"/>
          <w:numId w:val="1"/>
        </w:numPr>
        <w:tabs>
          <w:tab w:val="left" w:pos="284"/>
          <w:tab w:val="left" w:pos="567"/>
        </w:tabs>
        <w:spacing w:line="360" w:lineRule="auto"/>
        <w:ind w:left="0" w:firstLine="0"/>
        <w:contextualSpacing/>
        <w:jc w:val="both"/>
        <w:rPr>
          <w:rFonts w:ascii="Palatino Linotype" w:hAnsi="Palatino Linotype"/>
          <w:color w:val="000000" w:themeColor="text1"/>
        </w:rPr>
      </w:pPr>
      <w:r w:rsidRPr="00D64CCF">
        <w:rPr>
          <w:rFonts w:ascii="Palatino Linotype" w:hAnsi="Palatino Linotype"/>
          <w:color w:val="000000" w:themeColor="text1"/>
        </w:rPr>
        <w:lastRenderedPageBreak/>
        <w:t xml:space="preserve">La </w:t>
      </w:r>
      <w:r w:rsidRPr="00D64CCF">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D64CCF">
        <w:rPr>
          <w:rFonts w:ascii="Palatino Linotype" w:hAnsi="Palatino Linotype" w:cs="Arial"/>
          <w:color w:val="000000"/>
        </w:rPr>
        <w:t xml:space="preserve">Actualmente, el grave problema que enfrentamos son los Acuerdos de Clasificación de la Información que emiten los </w:t>
      </w:r>
      <w:r w:rsidRPr="00D64CCF">
        <w:rPr>
          <w:rFonts w:ascii="Palatino Linotype" w:hAnsi="Palatino Linotype" w:cs="Arial"/>
          <w:b/>
          <w:color w:val="000000"/>
        </w:rPr>
        <w:t>SUJETOS OBLIGADOS</w:t>
      </w:r>
      <w:r w:rsidRPr="00D64CCF">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11F795D3" w14:textId="77777777" w:rsidR="00302155" w:rsidRPr="00D64CCF" w:rsidRDefault="00302155" w:rsidP="009D6075">
      <w:pPr>
        <w:pStyle w:val="Prrafodelista"/>
        <w:tabs>
          <w:tab w:val="left" w:pos="426"/>
        </w:tabs>
        <w:spacing w:line="360" w:lineRule="auto"/>
        <w:ind w:left="0"/>
        <w:jc w:val="both"/>
        <w:rPr>
          <w:rFonts w:ascii="Palatino Linotype" w:hAnsi="Palatino Linotype"/>
          <w:color w:val="000000" w:themeColor="text1"/>
        </w:rPr>
      </w:pPr>
    </w:p>
    <w:tbl>
      <w:tblPr>
        <w:tblStyle w:val="Tabladecuadrcula6concolores"/>
        <w:tblW w:w="0" w:type="auto"/>
        <w:tblLook w:val="04A0" w:firstRow="1" w:lastRow="0" w:firstColumn="1" w:lastColumn="0" w:noHBand="0" w:noVBand="1"/>
      </w:tblPr>
      <w:tblGrid>
        <w:gridCol w:w="1838"/>
        <w:gridCol w:w="6990"/>
      </w:tblGrid>
      <w:tr w:rsidR="00302155" w:rsidRPr="00D64CCF" w14:paraId="07DB0338" w14:textId="77777777" w:rsidTr="003021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right w:val="single" w:sz="4" w:space="0" w:color="666666" w:themeColor="text1" w:themeTint="99"/>
            </w:tcBorders>
            <w:hideMark/>
          </w:tcPr>
          <w:p w14:paraId="623B8389" w14:textId="77777777" w:rsidR="00302155" w:rsidRPr="00D64CCF" w:rsidRDefault="00302155" w:rsidP="009D6075">
            <w:pPr>
              <w:spacing w:line="360" w:lineRule="auto"/>
              <w:rPr>
                <w:rFonts w:ascii="Palatino Linotype" w:hAnsi="Palatino Linotype"/>
                <w:sz w:val="24"/>
                <w:szCs w:val="24"/>
              </w:rPr>
            </w:pPr>
            <w:r w:rsidRPr="00D64CCF">
              <w:rPr>
                <w:rFonts w:ascii="Palatino Linotype" w:hAnsi="Palatino Linotype" w:cstheme="majorBidi"/>
                <w:b w:val="0"/>
                <w:sz w:val="24"/>
                <w:szCs w:val="24"/>
              </w:rPr>
              <w:t>a) Requisitos previos.</w:t>
            </w:r>
          </w:p>
        </w:tc>
        <w:tc>
          <w:tcPr>
            <w:tcW w:w="6990" w:type="dxa"/>
            <w:tcBorders>
              <w:top w:val="single" w:sz="4" w:space="0" w:color="666666" w:themeColor="text1" w:themeTint="99"/>
              <w:left w:val="single" w:sz="4" w:space="0" w:color="666666" w:themeColor="text1" w:themeTint="99"/>
              <w:right w:val="single" w:sz="4" w:space="0" w:color="666666" w:themeColor="text1" w:themeTint="99"/>
            </w:tcBorders>
            <w:hideMark/>
          </w:tcPr>
          <w:p w14:paraId="20320E57" w14:textId="77777777" w:rsidR="00302155" w:rsidRPr="00D64CCF" w:rsidRDefault="00302155" w:rsidP="009D6075">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Los artículos 100 y 122 de la Ley Estatal y de la Ley General, respectivamente, señalan que si los </w:t>
            </w:r>
            <w:r w:rsidRPr="00D64CCF">
              <w:rPr>
                <w:rFonts w:ascii="Palatino Linotype" w:hAnsi="Palatino Linotype" w:cs="Arial"/>
                <w:b w:val="0"/>
                <w:color w:val="000000"/>
                <w:sz w:val="24"/>
                <w:szCs w:val="24"/>
              </w:rPr>
              <w:t>Sujetos Obligados</w:t>
            </w:r>
            <w:r w:rsidRPr="00D64CCF">
              <w:rPr>
                <w:rFonts w:ascii="Palatino Linotype" w:hAnsi="Palatino Linotype" w:cs="Arial"/>
                <w:color w:val="000000"/>
                <w:sz w:val="24"/>
                <w:szCs w:val="24"/>
              </w:rPr>
              <w:t xml:space="preserve"> determinan que la información actualiza alguno de los supuestos de clasificación, es deber de los titulares de las áreas proponer su clasificación y no del Comité de Transparencia. </w:t>
            </w:r>
          </w:p>
          <w:p w14:paraId="3B5CE4D7" w14:textId="77777777" w:rsidR="00302155" w:rsidRPr="00D64CCF" w:rsidRDefault="00302155" w:rsidP="009D6075">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Al hacerlo tienen que precisar de qué información se trata, señalando el supuesto de clasificación (confidencialidad o reserva).</w:t>
            </w:r>
          </w:p>
          <w:p w14:paraId="75C3DFA6" w14:textId="77777777" w:rsidR="00302155" w:rsidRPr="00D64CCF" w:rsidRDefault="00302155" w:rsidP="009D6075">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Además, se debe señalar el procedimiento, de los tres que establecen los artículos 132 y 106 de la Ley Estatal y General, respectivamente.</w:t>
            </w:r>
          </w:p>
          <w:p w14:paraId="7667D172" w14:textId="77777777" w:rsidR="00302155" w:rsidRPr="00D64CCF" w:rsidRDefault="00302155" w:rsidP="009D6075">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D64CCF">
              <w:rPr>
                <w:rFonts w:ascii="Palatino Linotype" w:hAnsi="Palatino Linotype" w:cs="Arial"/>
                <w:color w:val="000000"/>
                <w:sz w:val="24"/>
                <w:szCs w:val="24"/>
              </w:rPr>
              <w:t xml:space="preserve">El último de estos requisitos previos consiste en que no se pueden emitir acuerdos de carácter general ni particular, esto es, </w:t>
            </w:r>
            <w:r w:rsidRPr="00D64CCF">
              <w:rPr>
                <w:rFonts w:ascii="Palatino Linotype" w:hAnsi="Palatino Linotype" w:cs="Arial"/>
                <w:b w:val="0"/>
                <w:color w:val="000000"/>
                <w:sz w:val="24"/>
                <w:szCs w:val="24"/>
                <w:u w:val="single"/>
              </w:rPr>
              <w:t xml:space="preserve">no se puede hacer un acuerdo para clasificar de manera </w:t>
            </w:r>
            <w:r w:rsidRPr="00D64CCF">
              <w:rPr>
                <w:rFonts w:ascii="Palatino Linotype" w:hAnsi="Palatino Linotype" w:cs="Arial"/>
                <w:b w:val="0"/>
                <w:color w:val="000000"/>
                <w:sz w:val="24"/>
                <w:szCs w:val="24"/>
                <w:u w:val="single"/>
              </w:rPr>
              <w:lastRenderedPageBreak/>
              <w:t xml:space="preserve">general todos los documentos de un expediente o área,  </w:t>
            </w:r>
            <w:r w:rsidRPr="00D64CCF">
              <w:rPr>
                <w:rFonts w:ascii="Palatino Linotype" w:hAnsi="Palatino Linotype" w:cs="Arial"/>
                <w:color w:val="000000"/>
                <w:sz w:val="24"/>
                <w:szCs w:val="24"/>
              </w:rPr>
              <w:t>sin individualizar su análisis y tampoco se puede hacer un acuerdo por cada dato que se vaya a clasificar dentro de un documento con diez datos, por ejemplo, susceptibles de ser clasificados.</w:t>
            </w:r>
          </w:p>
        </w:tc>
      </w:tr>
      <w:tr w:rsidR="00302155" w:rsidRPr="00D64CCF" w14:paraId="04CD2BAF"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7817381C" w14:textId="77777777" w:rsidR="00302155" w:rsidRPr="00D64CCF" w:rsidRDefault="00302155" w:rsidP="009D6075">
            <w:pPr>
              <w:spacing w:line="360" w:lineRule="auto"/>
              <w:rPr>
                <w:rFonts w:ascii="Palatino Linotype" w:hAnsi="Palatino Linotype"/>
                <w:sz w:val="24"/>
                <w:szCs w:val="24"/>
              </w:rPr>
            </w:pPr>
            <w:r w:rsidRPr="00D64CCF">
              <w:rPr>
                <w:rFonts w:ascii="Palatino Linotype" w:hAnsi="Palatino Linotype" w:cstheme="majorBidi"/>
                <w:b w:val="0"/>
                <w:sz w:val="24"/>
                <w:szCs w:val="24"/>
              </w:rPr>
              <w:lastRenderedPageBreak/>
              <w:t>b) Supuestos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2DD06FED"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3062A45A"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5347CE96" w14:textId="77777777" w:rsidR="00302155" w:rsidRPr="00D64CCF" w:rsidRDefault="00302155" w:rsidP="009D6075">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64CCF">
              <w:rPr>
                <w:rFonts w:ascii="Palatino Linotype" w:hAnsi="Palatino Linotype" w:cs="Arial"/>
                <w:color w:val="000000"/>
                <w:sz w:val="24"/>
                <w:szCs w:val="24"/>
              </w:rPr>
              <w:t xml:space="preserve">El </w:t>
            </w:r>
            <w:r w:rsidRPr="00D64CCF">
              <w:rPr>
                <w:rFonts w:ascii="Palatino Linotype" w:hAnsi="Palatino Linotype" w:cs="Arial"/>
                <w:b/>
                <w:color w:val="000000"/>
                <w:sz w:val="24"/>
                <w:szCs w:val="24"/>
              </w:rPr>
              <w:t>SUJETO OBLIGADO</w:t>
            </w:r>
            <w:r w:rsidRPr="00D64CCF">
              <w:rPr>
                <w:rFonts w:ascii="Palatino Linotype"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w:t>
            </w:r>
            <w:r w:rsidRPr="00D64CCF">
              <w:rPr>
                <w:rFonts w:ascii="Palatino Linotype" w:hAnsi="Palatino Linotype" w:cs="Arial"/>
                <w:color w:val="000000"/>
                <w:sz w:val="24"/>
                <w:szCs w:val="24"/>
              </w:rPr>
              <w:lastRenderedPageBreak/>
              <w:t>servidor público habilitado y el titular del área que administra la información.</w:t>
            </w:r>
          </w:p>
        </w:tc>
      </w:tr>
      <w:tr w:rsidR="00302155" w:rsidRPr="00D64CCF" w14:paraId="6C594602"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E118E39" w14:textId="77777777" w:rsidR="00302155" w:rsidRPr="00D64CCF" w:rsidRDefault="00302155" w:rsidP="009D6075">
            <w:pPr>
              <w:spacing w:line="360" w:lineRule="auto"/>
              <w:rPr>
                <w:rFonts w:ascii="Palatino Linotype" w:hAnsi="Palatino Linotype"/>
                <w:sz w:val="24"/>
                <w:szCs w:val="24"/>
              </w:rPr>
            </w:pPr>
            <w:r w:rsidRPr="00D64CCF">
              <w:rPr>
                <w:rFonts w:ascii="Palatino Linotype" w:hAnsi="Palatino Linotype" w:cstheme="majorBidi"/>
                <w:b w:val="0"/>
                <w:sz w:val="24"/>
                <w:szCs w:val="24"/>
              </w:rPr>
              <w:lastRenderedPageBreak/>
              <w:t>c) Formalidades para emitir el acuerdo de clasificación.</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1289FCA6" w14:textId="77777777" w:rsidR="00302155" w:rsidRPr="00D64CCF" w:rsidRDefault="00302155" w:rsidP="009D6075">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52AE1AE9" w14:textId="77777777" w:rsidR="00302155" w:rsidRPr="00D64CCF" w:rsidRDefault="00302155" w:rsidP="009D6075">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Es necesario que </w:t>
            </w:r>
            <w:r w:rsidRPr="00D64CCF">
              <w:rPr>
                <w:rFonts w:ascii="Palatino Linotype" w:hAnsi="Palatino Linotype" w:cs="Arial"/>
                <w:b/>
                <w:color w:val="000000"/>
                <w:sz w:val="24"/>
                <w:szCs w:val="24"/>
                <w:u w:val="single"/>
              </w:rPr>
              <w:t>el acto reúna con los requisitos elementales</w:t>
            </w:r>
            <w:r w:rsidRPr="00D64CCF">
              <w:rPr>
                <w:rFonts w:ascii="Palatino Linotype" w:hAnsi="Palatino Linotype" w:cs="Arial"/>
                <w:color w:val="000000"/>
                <w:sz w:val="24"/>
                <w:szCs w:val="24"/>
              </w:rPr>
              <w:t>, entre ellos, que la autoridad que va a emitir el acto de autoridad sea la legalmente facultada para ello.</w:t>
            </w:r>
          </w:p>
          <w:p w14:paraId="7C4B35BB" w14:textId="77777777" w:rsidR="00302155" w:rsidRPr="00D64CCF" w:rsidRDefault="00302155" w:rsidP="009D6075">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64CCF">
              <w:rPr>
                <w:rFonts w:ascii="Palatino Linotype" w:hAnsi="Palatino Linotype" w:cs="Arial"/>
                <w:color w:val="000000"/>
                <w:sz w:val="24"/>
                <w:szCs w:val="24"/>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302155" w:rsidRPr="00D64CCF" w14:paraId="6C0452C5" w14:textId="77777777" w:rsidTr="003021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37DFBD54" w14:textId="77777777" w:rsidR="00302155" w:rsidRPr="00D64CCF" w:rsidRDefault="00302155" w:rsidP="009D6075">
            <w:pPr>
              <w:spacing w:line="360" w:lineRule="auto"/>
              <w:rPr>
                <w:rFonts w:ascii="Palatino Linotype" w:hAnsi="Palatino Linotype"/>
                <w:b w:val="0"/>
                <w:sz w:val="24"/>
                <w:szCs w:val="24"/>
              </w:rPr>
            </w:pPr>
          </w:p>
          <w:p w14:paraId="1D6F0A12" w14:textId="77777777" w:rsidR="00302155" w:rsidRPr="00D64CCF" w:rsidRDefault="00302155" w:rsidP="009D6075">
            <w:pPr>
              <w:spacing w:line="360" w:lineRule="auto"/>
              <w:jc w:val="both"/>
              <w:rPr>
                <w:rFonts w:ascii="Palatino Linotype" w:hAnsi="Palatino Linotype"/>
                <w:b w:val="0"/>
                <w:sz w:val="24"/>
                <w:szCs w:val="24"/>
              </w:rPr>
            </w:pPr>
            <w:r w:rsidRPr="00D64CCF">
              <w:rPr>
                <w:rFonts w:ascii="Palatino Linotype" w:hAnsi="Palatino Linotype" w:cs="Arial"/>
                <w:b w:val="0"/>
                <w:color w:val="000000"/>
                <w:sz w:val="24"/>
                <w:szCs w:val="24"/>
              </w:rPr>
              <w:t xml:space="preserve">d) Requisitos de fondo del acuerdo de clasificación. </w:t>
            </w: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47E2241D"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w:t>
            </w:r>
            <w:r w:rsidRPr="00D64CCF">
              <w:rPr>
                <w:rFonts w:ascii="Palatino Linotype" w:hAnsi="Palatino Linotype" w:cs="Arial"/>
                <w:color w:val="000000"/>
                <w:sz w:val="24"/>
                <w:szCs w:val="24"/>
              </w:rPr>
              <w:lastRenderedPageBreak/>
              <w:t xml:space="preserve">prueba, para justificar las restricciones, corresponde a los </w:t>
            </w:r>
            <w:r w:rsidRPr="00D64CCF">
              <w:rPr>
                <w:rFonts w:ascii="Palatino Linotype" w:hAnsi="Palatino Linotype" w:cs="Arial"/>
                <w:b/>
                <w:color w:val="000000"/>
                <w:sz w:val="24"/>
                <w:szCs w:val="24"/>
              </w:rPr>
              <w:t>Sujetos Obligados</w:t>
            </w:r>
            <w:r w:rsidRPr="00D64CCF">
              <w:rPr>
                <w:rFonts w:ascii="Palatino Linotype" w:hAnsi="Palatino Linotype" w:cs="Arial"/>
                <w:color w:val="000000"/>
                <w:sz w:val="24"/>
                <w:szCs w:val="24"/>
              </w:rPr>
              <w:t xml:space="preserve">, por lo que deberán fundar y motivar debidamente la clasificación. </w:t>
            </w:r>
          </w:p>
          <w:p w14:paraId="499042A1"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De lo anterior, se desprende que para una correcta </w:t>
            </w:r>
            <w:r w:rsidRPr="00D64CCF">
              <w:rPr>
                <w:rFonts w:ascii="Palatino Linotype" w:hAnsi="Palatino Linotype" w:cs="Arial"/>
                <w:b/>
                <w:color w:val="000000"/>
                <w:sz w:val="24"/>
                <w:szCs w:val="24"/>
              </w:rPr>
              <w:t>clasificación total o parcial</w:t>
            </w:r>
            <w:r w:rsidRPr="00D64CCF">
              <w:rPr>
                <w:rFonts w:ascii="Palatino Linotype"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58E903"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EFFFB6"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5931F156" w14:textId="77777777" w:rsidR="00302155" w:rsidRPr="00D64CCF" w:rsidRDefault="00302155" w:rsidP="009D6075">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lastRenderedPageBreak/>
              <w:t xml:space="preserve">Ahora bien, </w:t>
            </w:r>
            <w:r w:rsidRPr="00D64CCF">
              <w:rPr>
                <w:rFonts w:ascii="Palatino Linotype" w:hAnsi="Palatino Linotype" w:cs="Arial"/>
                <w:b/>
                <w:color w:val="000000"/>
                <w:sz w:val="24"/>
                <w:szCs w:val="24"/>
                <w:u w:val="single"/>
              </w:rPr>
              <w:t>para cada caso además de fundar y motivar</w:t>
            </w:r>
            <w:r w:rsidRPr="00D64CCF">
              <w:rPr>
                <w:rFonts w:ascii="Palatino Linotype" w:hAnsi="Palatino Linotype" w:cs="Arial"/>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302155" w:rsidRPr="00D64CCF" w14:paraId="3193CF0C" w14:textId="77777777" w:rsidTr="00302155">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tcPr>
          <w:p w14:paraId="7CE84A4C" w14:textId="77777777" w:rsidR="00302155" w:rsidRPr="00D64CCF" w:rsidRDefault="00302155" w:rsidP="009D6075">
            <w:pPr>
              <w:spacing w:line="360" w:lineRule="auto"/>
              <w:jc w:val="both"/>
              <w:rPr>
                <w:rFonts w:ascii="Palatino Linotype" w:hAnsi="Palatino Linotype" w:cs="Arial"/>
                <w:color w:val="000000"/>
                <w:sz w:val="24"/>
                <w:szCs w:val="24"/>
              </w:rPr>
            </w:pPr>
            <w:r w:rsidRPr="00D64CCF">
              <w:rPr>
                <w:rFonts w:ascii="Palatino Linotype" w:eastAsia="MS Gothic" w:hAnsi="Palatino Linotype"/>
                <w:b w:val="0"/>
                <w:sz w:val="24"/>
                <w:szCs w:val="24"/>
              </w:rPr>
              <w:lastRenderedPageBreak/>
              <w:t xml:space="preserve">e) Condiciones especiales de la clasificación de la información como confidencial. </w:t>
            </w:r>
          </w:p>
          <w:p w14:paraId="767733D3" w14:textId="77777777" w:rsidR="00302155" w:rsidRPr="00D64CCF" w:rsidRDefault="00302155" w:rsidP="009D6075">
            <w:pPr>
              <w:spacing w:line="360" w:lineRule="auto"/>
              <w:rPr>
                <w:rFonts w:ascii="Palatino Linotype" w:hAnsi="Palatino Linotype"/>
                <w:sz w:val="24"/>
                <w:szCs w:val="24"/>
              </w:rPr>
            </w:pPr>
          </w:p>
        </w:tc>
        <w:tc>
          <w:tcPr>
            <w:tcW w:w="6990" w:type="dxa"/>
            <w:tc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tcBorders>
            <w:hideMark/>
          </w:tcPr>
          <w:p w14:paraId="560C2D59" w14:textId="77777777" w:rsidR="00302155" w:rsidRPr="00D64CCF" w:rsidRDefault="00302155" w:rsidP="009D6075">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2C348760" w14:textId="77777777" w:rsidR="00302155" w:rsidRPr="00D64CCF" w:rsidRDefault="00302155" w:rsidP="009D6075">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D64CCF">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63A31C2" w14:textId="77777777" w:rsidR="00302155" w:rsidRPr="00D64CCF" w:rsidRDefault="00302155" w:rsidP="009D6075">
            <w:pPr>
              <w:spacing w:line="360" w:lineRule="auto"/>
              <w:ind w:right="-347"/>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64CCF">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4C9E940F" w14:textId="77777777" w:rsidR="000B378F" w:rsidRPr="00D64CCF" w:rsidRDefault="000B378F" w:rsidP="009D6075">
      <w:pPr>
        <w:spacing w:line="360" w:lineRule="auto"/>
        <w:contextualSpacing/>
        <w:jc w:val="both"/>
        <w:rPr>
          <w:rFonts w:ascii="Palatino Linotype" w:eastAsia="MS Gothic" w:hAnsi="Palatino Linotype" w:cstheme="majorBidi"/>
          <w:lang w:val="es-ES_tradnl"/>
        </w:rPr>
      </w:pPr>
      <w:bookmarkStart w:id="54" w:name="_Toc495427547"/>
      <w:bookmarkStart w:id="55" w:name="_Toc497905366"/>
      <w:bookmarkStart w:id="56" w:name="_Toc80958964"/>
      <w:bookmarkStart w:id="57" w:name="_Toc97833535"/>
      <w:bookmarkStart w:id="58" w:name="_Toc98439412"/>
      <w:bookmarkStart w:id="59" w:name="_Toc104338682"/>
      <w:bookmarkStart w:id="60" w:name="_Toc108089956"/>
    </w:p>
    <w:p w14:paraId="6E25E8E5" w14:textId="77777777" w:rsidR="00396A66" w:rsidRPr="00D64CCF" w:rsidRDefault="00396A66" w:rsidP="00396A66">
      <w:pPr>
        <w:keepNext/>
        <w:keepLines/>
        <w:spacing w:line="360" w:lineRule="auto"/>
        <w:jc w:val="both"/>
        <w:outlineLvl w:val="0"/>
        <w:rPr>
          <w:rFonts w:ascii="Palatino Linotype" w:hAnsi="Palatino Linotype"/>
          <w:b/>
          <w:lang w:val="es-ES_tradnl"/>
        </w:rPr>
      </w:pPr>
      <w:bookmarkStart w:id="61" w:name="_Toc83901402"/>
      <w:r w:rsidRPr="00D64CCF">
        <w:rPr>
          <w:rFonts w:ascii="Palatino Linotype" w:hAnsi="Palatino Linotype" w:cs="Arial"/>
          <w:b/>
        </w:rPr>
        <w:lastRenderedPageBreak/>
        <w:t>SEXTO</w:t>
      </w:r>
      <w:r w:rsidRPr="00D64CCF">
        <w:rPr>
          <w:rFonts w:ascii="Palatino Linotype" w:eastAsia="MS Gothic" w:hAnsi="Palatino Linotype" w:cstheme="majorBidi"/>
          <w:b/>
        </w:rPr>
        <w:t xml:space="preserve">. De la vista </w:t>
      </w:r>
      <w:bookmarkEnd w:id="61"/>
      <w:r w:rsidRPr="00D64CCF">
        <w:rPr>
          <w:rFonts w:ascii="Palatino Linotype" w:eastAsia="MS Gothic" w:hAnsi="Palatino Linotype" w:cstheme="majorBidi"/>
          <w:b/>
        </w:rPr>
        <w:t xml:space="preserve">al </w:t>
      </w:r>
      <w:r w:rsidRPr="00D64CCF">
        <w:rPr>
          <w:rFonts w:ascii="Palatino Linotype" w:hAnsi="Palatino Linotype"/>
          <w:b/>
        </w:rPr>
        <w:t>Órgano Interno de Control competente</w:t>
      </w:r>
    </w:p>
    <w:p w14:paraId="3F64999E" w14:textId="77777777" w:rsidR="00396A66" w:rsidRPr="00D64CCF" w:rsidRDefault="00396A66" w:rsidP="00396A66">
      <w:pPr>
        <w:keepNext/>
        <w:keepLines/>
        <w:spacing w:line="360" w:lineRule="auto"/>
        <w:jc w:val="both"/>
        <w:outlineLvl w:val="0"/>
        <w:rPr>
          <w:rFonts w:ascii="Palatino Linotype" w:hAnsi="Palatino Linotype"/>
        </w:rPr>
      </w:pPr>
    </w:p>
    <w:p w14:paraId="11662921" w14:textId="75EC97AB" w:rsidR="00396A66" w:rsidRPr="00D64CCF" w:rsidRDefault="00396A66" w:rsidP="00396A66">
      <w:pPr>
        <w:pStyle w:val="Prrafodelista"/>
        <w:numPr>
          <w:ilvl w:val="0"/>
          <w:numId w:val="1"/>
        </w:numPr>
        <w:tabs>
          <w:tab w:val="left" w:pos="284"/>
        </w:tabs>
        <w:spacing w:line="360" w:lineRule="auto"/>
        <w:ind w:left="0" w:right="34" w:firstLine="0"/>
        <w:contextualSpacing/>
        <w:jc w:val="both"/>
        <w:rPr>
          <w:rFonts w:ascii="Palatino Linotype" w:hAnsi="Palatino Linotype"/>
        </w:rPr>
      </w:pPr>
      <w:r w:rsidRPr="00D64CCF">
        <w:rPr>
          <w:rFonts w:ascii="Palatino Linotype" w:hAnsi="Palatino Linotype"/>
        </w:rPr>
        <w:t xml:space="preserve">Con </w:t>
      </w:r>
      <w:r w:rsidRPr="00D64CCF">
        <w:rPr>
          <w:rFonts w:ascii="Palatino Linotype" w:eastAsia="MS Gothic" w:hAnsi="Palatino Linotype"/>
        </w:rPr>
        <w:t>fundamento</w:t>
      </w:r>
      <w:r w:rsidRPr="00D64CCF">
        <w:rPr>
          <w:rFonts w:ascii="Palatino Linotype" w:hAnsi="Palatino Linotype"/>
        </w:rPr>
        <w:t xml:space="preserve"> en el artículo 222 de la Ley de Transparencia y Acceso a la </w:t>
      </w:r>
      <w:r w:rsidRPr="00D64CCF">
        <w:rPr>
          <w:rFonts w:ascii="Palatino Linotype" w:hAnsi="Palatino Linotype" w:cs="Arial"/>
        </w:rPr>
        <w:t>Información</w:t>
      </w:r>
      <w:r w:rsidRPr="00D64CCF">
        <w:rPr>
          <w:rFonts w:ascii="Palatino Linotype" w:hAnsi="Palatino Linotype"/>
        </w:rPr>
        <w:t xml:space="preserve"> Pública del Estado de México y Municipios, son causas de responsabilidad administrativas las siguientes:</w:t>
      </w:r>
    </w:p>
    <w:p w14:paraId="17448B97" w14:textId="77777777" w:rsidR="00396A66" w:rsidRPr="00D64CCF" w:rsidRDefault="00396A66" w:rsidP="00396A66">
      <w:pPr>
        <w:spacing w:line="360" w:lineRule="auto"/>
        <w:jc w:val="both"/>
        <w:rPr>
          <w:rFonts w:ascii="Palatino Linotype" w:hAnsi="Palatino Linotype"/>
        </w:rPr>
      </w:pPr>
    </w:p>
    <w:p w14:paraId="3BABE6F7" w14:textId="77777777" w:rsidR="00396A66" w:rsidRPr="00D64CCF" w:rsidRDefault="00396A66" w:rsidP="00396A66">
      <w:pPr>
        <w:pStyle w:val="Prrafodelista"/>
        <w:ind w:left="567" w:right="567"/>
        <w:jc w:val="both"/>
        <w:rPr>
          <w:rFonts w:ascii="Palatino Linotype" w:hAnsi="Palatino Linotype"/>
          <w:i/>
        </w:rPr>
      </w:pPr>
      <w:r w:rsidRPr="00D64CCF">
        <w:rPr>
          <w:rFonts w:ascii="Palatino Linotype" w:hAnsi="Palatino Linotype"/>
          <w:b/>
          <w:i/>
        </w:rPr>
        <w:t>“Artículo 222.</w:t>
      </w:r>
      <w:r w:rsidRPr="00D64CCF">
        <w:rPr>
          <w:rFonts w:ascii="Palatino Linotype" w:hAnsi="Palatino Linotype"/>
          <w:i/>
        </w:rPr>
        <w:t xml:space="preserve"> Son causas de responsabilidad administrativa de los servidores públicos de los sujetos obligados, por incumplimiento de las obligaciones establecidas en la materia de la presente Ley, las siguientes:</w:t>
      </w:r>
    </w:p>
    <w:p w14:paraId="4CC853AB" w14:textId="77777777" w:rsidR="00396A66" w:rsidRPr="00D64CCF" w:rsidRDefault="00396A66" w:rsidP="00396A66">
      <w:pPr>
        <w:pStyle w:val="Prrafodelista"/>
        <w:ind w:left="567" w:right="567"/>
        <w:jc w:val="both"/>
        <w:rPr>
          <w:rFonts w:ascii="Palatino Linotype" w:hAnsi="Palatino Linotype"/>
          <w:i/>
        </w:rPr>
      </w:pPr>
      <w:r w:rsidRPr="00D64CCF">
        <w:rPr>
          <w:rFonts w:ascii="Palatino Linotype" w:hAnsi="Palatino Linotype"/>
          <w:i/>
        </w:rPr>
        <w:t>(…)</w:t>
      </w:r>
    </w:p>
    <w:p w14:paraId="3C3E9AF7" w14:textId="77777777" w:rsidR="00396A66" w:rsidRPr="00D64CCF" w:rsidRDefault="00396A66" w:rsidP="00396A66">
      <w:pPr>
        <w:pStyle w:val="Prrafodelista"/>
        <w:ind w:left="567" w:right="567"/>
        <w:jc w:val="both"/>
        <w:rPr>
          <w:rFonts w:ascii="Palatino Linotype" w:hAnsi="Palatino Linotype"/>
          <w:i/>
        </w:rPr>
      </w:pPr>
      <w:r w:rsidRPr="00D64CCF">
        <w:rPr>
          <w:rFonts w:ascii="Palatino Linotype" w:hAnsi="Palatino Linotype"/>
          <w:b/>
          <w:i/>
        </w:rPr>
        <w:t>I. Cualquier acto u omisión que provoque la suspensión o deficiencia en la atención de las solicitudes de información</w:t>
      </w:r>
      <w:r w:rsidRPr="00D64CCF">
        <w:rPr>
          <w:rFonts w:ascii="Palatino Linotype" w:hAnsi="Palatino Linotype"/>
          <w:i/>
        </w:rPr>
        <w:t>;</w:t>
      </w:r>
    </w:p>
    <w:p w14:paraId="48CBD963" w14:textId="77777777" w:rsidR="00396A66" w:rsidRPr="00D64CCF" w:rsidRDefault="00396A66" w:rsidP="00396A66">
      <w:pPr>
        <w:pStyle w:val="Prrafodelista"/>
        <w:ind w:left="567" w:right="567"/>
        <w:jc w:val="both"/>
        <w:rPr>
          <w:rFonts w:ascii="Palatino Linotype" w:hAnsi="Palatino Linotype"/>
          <w:i/>
        </w:rPr>
      </w:pPr>
      <w:r w:rsidRPr="00D64CCF">
        <w:rPr>
          <w:rFonts w:ascii="Palatino Linotype" w:hAnsi="Palatino Linotype"/>
          <w:b/>
          <w:i/>
        </w:rPr>
        <w:t>II. La falta de respuesta a las solicitudes de información en los plazos señalados en la normatividad aplicable</w:t>
      </w:r>
      <w:r w:rsidRPr="00D64CCF">
        <w:rPr>
          <w:rFonts w:ascii="Palatino Linotype" w:hAnsi="Palatino Linotype"/>
          <w:i/>
        </w:rPr>
        <w:t>;</w:t>
      </w:r>
    </w:p>
    <w:p w14:paraId="4F5F74C5" w14:textId="77777777" w:rsidR="00396A66" w:rsidRPr="00D64CCF" w:rsidRDefault="00396A66" w:rsidP="00396A66">
      <w:pPr>
        <w:pStyle w:val="Prrafodelista"/>
        <w:ind w:left="567" w:right="567"/>
        <w:jc w:val="both"/>
        <w:rPr>
          <w:rFonts w:ascii="Palatino Linotype" w:hAnsi="Palatino Linotype"/>
          <w:i/>
        </w:rPr>
      </w:pPr>
      <w:r w:rsidRPr="00D64CCF">
        <w:rPr>
          <w:rFonts w:ascii="Palatino Linotype" w:hAnsi="Palatino Linotype"/>
          <w:i/>
        </w:rPr>
        <w:t>(…)”</w:t>
      </w:r>
    </w:p>
    <w:p w14:paraId="1C0F8030" w14:textId="77777777" w:rsidR="00396A66" w:rsidRPr="00D64CCF" w:rsidRDefault="00396A66" w:rsidP="00396A66">
      <w:pPr>
        <w:pStyle w:val="Prrafodelista"/>
        <w:spacing w:line="360" w:lineRule="auto"/>
        <w:ind w:left="567" w:right="567"/>
        <w:jc w:val="both"/>
        <w:rPr>
          <w:rFonts w:ascii="Palatino Linotype" w:hAnsi="Palatino Linotype"/>
        </w:rPr>
      </w:pPr>
      <w:r w:rsidRPr="00D64CCF">
        <w:rPr>
          <w:rFonts w:ascii="Palatino Linotype" w:hAnsi="Palatino Linotype"/>
        </w:rPr>
        <w:t>(Énfasis Añadido)</w:t>
      </w:r>
    </w:p>
    <w:p w14:paraId="19B56404" w14:textId="77777777" w:rsidR="00396A66" w:rsidRPr="00D64CCF" w:rsidRDefault="00396A66" w:rsidP="00396A66">
      <w:pPr>
        <w:spacing w:line="360" w:lineRule="auto"/>
        <w:ind w:right="567"/>
        <w:jc w:val="both"/>
        <w:rPr>
          <w:rFonts w:ascii="Palatino Linotype" w:hAnsi="Palatino Linotype"/>
          <w:i/>
        </w:rPr>
      </w:pPr>
    </w:p>
    <w:p w14:paraId="5ECAB83B" w14:textId="77777777" w:rsidR="00396A66" w:rsidRPr="00D64CCF" w:rsidRDefault="00396A66" w:rsidP="00396A66">
      <w:pPr>
        <w:pStyle w:val="Prrafodelista"/>
        <w:numPr>
          <w:ilvl w:val="0"/>
          <w:numId w:val="1"/>
        </w:numPr>
        <w:tabs>
          <w:tab w:val="left" w:pos="284"/>
        </w:tabs>
        <w:spacing w:line="360" w:lineRule="auto"/>
        <w:ind w:left="0" w:right="34" w:firstLine="0"/>
        <w:contextualSpacing/>
        <w:jc w:val="both"/>
        <w:rPr>
          <w:rFonts w:ascii="Palatino Linotype" w:hAnsi="Palatino Linotype"/>
        </w:rPr>
      </w:pPr>
      <w:r w:rsidRPr="00D64CCF">
        <w:rPr>
          <w:rFonts w:ascii="Palatino Linotype" w:hAnsi="Palatino Linotype"/>
        </w:rPr>
        <w:t>Así, la falta de respuesta del servidor público habilitado y la falta de continuidad por parte del titular de la unidad de transparencia para atender la solicitud de información (inicialmente), propiciaron que no se diera respuesta y eso puede ser una causa de responsabilidad por no cumplir con las obligaciones de transparencia señaladas por la Ley en la materia.</w:t>
      </w:r>
    </w:p>
    <w:p w14:paraId="220A93EA" w14:textId="77777777" w:rsidR="00396A66" w:rsidRPr="00D64CCF" w:rsidRDefault="00396A66" w:rsidP="00396A66">
      <w:pPr>
        <w:pStyle w:val="Sinespaciado"/>
        <w:spacing w:line="360" w:lineRule="auto"/>
        <w:jc w:val="both"/>
        <w:rPr>
          <w:rFonts w:ascii="Palatino Linotype" w:hAnsi="Palatino Linotype"/>
        </w:rPr>
      </w:pPr>
    </w:p>
    <w:p w14:paraId="0AD941BE" w14:textId="77777777" w:rsidR="00396A66" w:rsidRPr="00D64CCF" w:rsidRDefault="00396A66" w:rsidP="00396A66">
      <w:pPr>
        <w:pStyle w:val="Prrafodelista"/>
        <w:numPr>
          <w:ilvl w:val="0"/>
          <w:numId w:val="1"/>
        </w:numPr>
        <w:tabs>
          <w:tab w:val="left" w:pos="284"/>
        </w:tabs>
        <w:spacing w:line="360" w:lineRule="auto"/>
        <w:ind w:left="0" w:right="34" w:firstLine="0"/>
        <w:contextualSpacing/>
        <w:jc w:val="both"/>
        <w:rPr>
          <w:rFonts w:ascii="Palatino Linotype" w:hAnsi="Palatino Linotype"/>
        </w:rPr>
      </w:pPr>
      <w:r w:rsidRPr="00D64CCF">
        <w:rPr>
          <w:rFonts w:ascii="Palatino Linotype" w:hAnsi="Palatino Linotype"/>
        </w:rPr>
        <w:t>Es conveniente señalar la fracción X, del artículo 36, de la Ley de Transparencia y Acceso a la Información Pública del Estado de México y Municipios, que establece:</w:t>
      </w:r>
    </w:p>
    <w:p w14:paraId="4BBBBF4F" w14:textId="77777777" w:rsidR="00396A66" w:rsidRPr="00D64CCF" w:rsidRDefault="00396A66" w:rsidP="00396A66">
      <w:pPr>
        <w:spacing w:line="360" w:lineRule="auto"/>
        <w:jc w:val="both"/>
        <w:rPr>
          <w:rFonts w:ascii="Palatino Linotype" w:hAnsi="Palatino Linotype"/>
        </w:rPr>
      </w:pPr>
    </w:p>
    <w:p w14:paraId="7CA716C2" w14:textId="77777777" w:rsidR="00396A66" w:rsidRPr="00D64CCF" w:rsidRDefault="00396A66" w:rsidP="00396A66">
      <w:pPr>
        <w:ind w:left="567" w:right="567"/>
        <w:contextualSpacing/>
        <w:jc w:val="both"/>
        <w:rPr>
          <w:rFonts w:ascii="Palatino Linotype" w:hAnsi="Palatino Linotype"/>
          <w:i/>
        </w:rPr>
      </w:pPr>
      <w:r w:rsidRPr="00D64CCF">
        <w:rPr>
          <w:rFonts w:ascii="Palatino Linotype" w:hAnsi="Palatino Linotype"/>
          <w:i/>
        </w:rPr>
        <w:lastRenderedPageBreak/>
        <w:t>“</w:t>
      </w:r>
      <w:r w:rsidRPr="00D64CCF">
        <w:rPr>
          <w:rFonts w:ascii="Palatino Linotype" w:hAnsi="Palatino Linotype"/>
          <w:b/>
          <w:i/>
        </w:rPr>
        <w:t>Artículo 36.</w:t>
      </w:r>
      <w:r w:rsidRPr="00D64CCF">
        <w:rPr>
          <w:rFonts w:ascii="Palatino Linotype" w:hAnsi="Palatino Linotype"/>
          <w:i/>
        </w:rPr>
        <w:t xml:space="preserve"> El Instituto tendrá, en el ámbito de su competencia, las siguientes atribuciones:</w:t>
      </w:r>
    </w:p>
    <w:p w14:paraId="3121013F" w14:textId="77777777" w:rsidR="00396A66" w:rsidRPr="00D64CCF" w:rsidRDefault="00396A66" w:rsidP="00396A66">
      <w:pPr>
        <w:ind w:left="567" w:right="567"/>
        <w:contextualSpacing/>
        <w:jc w:val="both"/>
        <w:rPr>
          <w:rFonts w:ascii="Palatino Linotype" w:hAnsi="Palatino Linotype"/>
          <w:i/>
        </w:rPr>
      </w:pPr>
      <w:r w:rsidRPr="00D64CCF">
        <w:rPr>
          <w:rFonts w:ascii="Palatino Linotype" w:hAnsi="Palatino Linotype"/>
          <w:i/>
        </w:rPr>
        <w:t>(…)</w:t>
      </w:r>
    </w:p>
    <w:p w14:paraId="5A398F99" w14:textId="77777777" w:rsidR="00396A66" w:rsidRPr="00D64CCF" w:rsidRDefault="00396A66" w:rsidP="00396A66">
      <w:pPr>
        <w:ind w:left="567" w:right="567"/>
        <w:contextualSpacing/>
        <w:jc w:val="both"/>
        <w:rPr>
          <w:rFonts w:ascii="Palatino Linotype" w:hAnsi="Palatino Linotype"/>
          <w:i/>
        </w:rPr>
      </w:pPr>
      <w:r w:rsidRPr="00D64CCF">
        <w:rPr>
          <w:rFonts w:ascii="Palatino Linotype" w:hAnsi="Palatino Linotype"/>
          <w:i/>
        </w:rPr>
        <w:t>X. Hacer del conocimiento del órgano de control interno o equivalente de cada Sujeto Obligado las infracciones a esta Ley; “</w:t>
      </w:r>
    </w:p>
    <w:p w14:paraId="6D46C5E2" w14:textId="77777777" w:rsidR="00396A66" w:rsidRPr="00D64CCF" w:rsidRDefault="00396A66" w:rsidP="00396A66">
      <w:pPr>
        <w:ind w:left="567" w:right="567"/>
        <w:contextualSpacing/>
        <w:jc w:val="both"/>
        <w:rPr>
          <w:rFonts w:ascii="Palatino Linotype" w:hAnsi="Palatino Linotype"/>
          <w:i/>
        </w:rPr>
      </w:pPr>
      <w:r w:rsidRPr="00D64CCF">
        <w:rPr>
          <w:rFonts w:ascii="Palatino Linotype" w:hAnsi="Palatino Linotype"/>
          <w:i/>
        </w:rPr>
        <w:t>(…)”</w:t>
      </w:r>
    </w:p>
    <w:p w14:paraId="4F225F1E" w14:textId="77777777" w:rsidR="00396A66" w:rsidRPr="00D64CCF" w:rsidRDefault="00396A66" w:rsidP="00396A66">
      <w:pPr>
        <w:spacing w:line="360" w:lineRule="auto"/>
        <w:ind w:left="567" w:right="567"/>
        <w:contextualSpacing/>
        <w:jc w:val="both"/>
        <w:rPr>
          <w:rFonts w:ascii="Palatino Linotype" w:hAnsi="Palatino Linotype"/>
        </w:rPr>
      </w:pPr>
      <w:r w:rsidRPr="00D64CCF">
        <w:rPr>
          <w:rFonts w:ascii="Palatino Linotype" w:hAnsi="Palatino Linotype"/>
        </w:rPr>
        <w:t>(Énfasis Añadido)</w:t>
      </w:r>
    </w:p>
    <w:p w14:paraId="74A7F104" w14:textId="77777777" w:rsidR="00396A66" w:rsidRPr="00D64CCF" w:rsidRDefault="00396A66" w:rsidP="00396A66">
      <w:pPr>
        <w:spacing w:line="360" w:lineRule="auto"/>
        <w:jc w:val="both"/>
        <w:rPr>
          <w:rFonts w:ascii="Palatino Linotype" w:eastAsia="MS Mincho" w:hAnsi="Palatino Linotype" w:cs="Arial"/>
        </w:rPr>
      </w:pPr>
    </w:p>
    <w:p w14:paraId="69D60E9A" w14:textId="77777777" w:rsidR="00396A66" w:rsidRPr="00D64CCF" w:rsidRDefault="00396A66" w:rsidP="00396A66">
      <w:pPr>
        <w:pStyle w:val="Prrafodelista"/>
        <w:numPr>
          <w:ilvl w:val="0"/>
          <w:numId w:val="1"/>
        </w:numPr>
        <w:tabs>
          <w:tab w:val="left" w:pos="284"/>
        </w:tabs>
        <w:spacing w:line="360" w:lineRule="auto"/>
        <w:ind w:left="0" w:right="34" w:firstLine="0"/>
        <w:contextualSpacing/>
        <w:jc w:val="both"/>
        <w:rPr>
          <w:rFonts w:ascii="Palatino Linotype" w:eastAsia="MS Mincho" w:hAnsi="Palatino Linotype" w:cs="Arial"/>
        </w:rPr>
      </w:pPr>
      <w:r w:rsidRPr="00D64CCF">
        <w:rPr>
          <w:rFonts w:ascii="Palatino Linotype" w:hAnsi="Palatino Linotype"/>
        </w:rPr>
        <w:t xml:space="preserve">Asimismo, la Secretaría Técnica del Pleno de este Instituto hará del conocimiento del Órgano Interno de Control competente de las infracciones en que el </w:t>
      </w:r>
      <w:r w:rsidRPr="00D64CCF">
        <w:rPr>
          <w:rFonts w:ascii="Palatino Linotype" w:hAnsi="Palatino Linotype"/>
          <w:b/>
        </w:rPr>
        <w:t>SUJETO OBLIGADO</w:t>
      </w:r>
      <w:r w:rsidRPr="00D64CCF">
        <w:rPr>
          <w:rFonts w:ascii="Palatino Linotype" w:hAnsi="Palatino Linotype"/>
        </w:rPr>
        <w:t xml:space="preserve"> incurrió, lo cual se encuentra previsto </w:t>
      </w:r>
      <w:r w:rsidRPr="00D64CCF">
        <w:rPr>
          <w:rFonts w:ascii="Palatino Linotype" w:eastAsia="MS Mincho" w:hAnsi="Palatino Linotype" w:cs="Arial"/>
        </w:rPr>
        <w:t>en la Ley de Transparencia Acceso a la Información Pública del Estado de México y Municipios específicamente en sus artículos 190 y 223 que señalan lo siguiente:</w:t>
      </w:r>
    </w:p>
    <w:p w14:paraId="53FB165E" w14:textId="77777777" w:rsidR="00396A66" w:rsidRPr="00D64CCF" w:rsidRDefault="00396A66" w:rsidP="00396A66">
      <w:pPr>
        <w:spacing w:line="360" w:lineRule="auto"/>
        <w:jc w:val="both"/>
        <w:rPr>
          <w:rFonts w:ascii="Palatino Linotype" w:eastAsia="MS Mincho" w:hAnsi="Palatino Linotype" w:cs="Arial"/>
        </w:rPr>
      </w:pPr>
    </w:p>
    <w:p w14:paraId="6295E79E" w14:textId="77777777" w:rsidR="00396A66" w:rsidRPr="00D64CCF" w:rsidRDefault="00396A66" w:rsidP="00396A66">
      <w:pPr>
        <w:ind w:left="567" w:right="567"/>
        <w:contextualSpacing/>
        <w:jc w:val="both"/>
        <w:rPr>
          <w:rFonts w:ascii="Palatino Linotype" w:eastAsiaTheme="minorEastAsia" w:hAnsi="Palatino Linotype" w:cstheme="minorBidi"/>
          <w:i/>
        </w:rPr>
      </w:pPr>
      <w:r w:rsidRPr="00D64CCF">
        <w:rPr>
          <w:rFonts w:ascii="Palatino Linotype" w:hAnsi="Palatino Linotype"/>
          <w:i/>
        </w:rPr>
        <w:t>“</w:t>
      </w:r>
      <w:r w:rsidRPr="00D64CCF">
        <w:rPr>
          <w:rFonts w:ascii="Palatino Linotype" w:hAnsi="Palatino Linotype"/>
          <w:b/>
          <w:i/>
        </w:rPr>
        <w:t>Artículo 190.</w:t>
      </w:r>
      <w:r w:rsidRPr="00D64CCF">
        <w:rPr>
          <w:rFonts w:ascii="Palatino Linotype" w:hAnsi="Palatino Linotype"/>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BE37F94" w14:textId="77777777" w:rsidR="00396A66" w:rsidRPr="00D64CCF" w:rsidRDefault="00396A66" w:rsidP="00396A66">
      <w:pPr>
        <w:ind w:left="567" w:right="567"/>
        <w:contextualSpacing/>
        <w:jc w:val="both"/>
        <w:rPr>
          <w:rFonts w:ascii="Palatino Linotype" w:hAnsi="Palatino Linotype"/>
          <w:i/>
        </w:rPr>
      </w:pPr>
    </w:p>
    <w:p w14:paraId="51A208D0" w14:textId="77777777" w:rsidR="00396A66" w:rsidRPr="00D64CCF" w:rsidRDefault="00396A66" w:rsidP="00396A66">
      <w:pPr>
        <w:ind w:left="567" w:right="567"/>
        <w:contextualSpacing/>
        <w:jc w:val="both"/>
        <w:rPr>
          <w:rFonts w:ascii="Palatino Linotype" w:hAnsi="Palatino Linotype"/>
          <w:i/>
        </w:rPr>
      </w:pPr>
      <w:r w:rsidRPr="00D64CCF">
        <w:rPr>
          <w:rFonts w:ascii="Palatino Linotype" w:hAnsi="Palatino Linotype"/>
          <w:b/>
          <w:i/>
        </w:rPr>
        <w:t>Artículo 223.</w:t>
      </w:r>
      <w:r w:rsidRPr="00D64CCF">
        <w:rPr>
          <w:rFonts w:ascii="Palatino Linotype" w:hAnsi="Palatino Linotype"/>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 (De Acuerdo al Decreto N°207, Publicado el 30 de mayo de 2017)</w:t>
      </w:r>
    </w:p>
    <w:p w14:paraId="5038E84E" w14:textId="77777777" w:rsidR="00396A66" w:rsidRPr="00D64CCF" w:rsidRDefault="00396A66" w:rsidP="00396A66">
      <w:pPr>
        <w:ind w:left="567" w:right="567"/>
        <w:contextualSpacing/>
        <w:jc w:val="both"/>
        <w:rPr>
          <w:rFonts w:ascii="Palatino Linotype" w:hAnsi="Palatino Linotype"/>
          <w:i/>
        </w:rPr>
      </w:pPr>
      <w:r w:rsidRPr="00D64CCF">
        <w:rPr>
          <w:rFonts w:ascii="Palatino Linotype" w:hAnsi="Palatino Linotype"/>
          <w:i/>
        </w:rPr>
        <w:t>(…)”</w:t>
      </w:r>
    </w:p>
    <w:p w14:paraId="31F0DD2E" w14:textId="24A26CE1" w:rsidR="00396A66" w:rsidRPr="00D64CCF" w:rsidRDefault="00396A66" w:rsidP="000A5994">
      <w:pPr>
        <w:spacing w:line="360" w:lineRule="auto"/>
        <w:ind w:left="567" w:right="567"/>
        <w:contextualSpacing/>
        <w:jc w:val="both"/>
        <w:rPr>
          <w:rFonts w:ascii="Palatino Linotype" w:hAnsi="Palatino Linotype"/>
        </w:rPr>
      </w:pPr>
      <w:r w:rsidRPr="00D64CCF">
        <w:rPr>
          <w:rFonts w:ascii="Palatino Linotype" w:hAnsi="Palatino Linotype"/>
        </w:rPr>
        <w:t>(Énfasis Añadido)</w:t>
      </w:r>
    </w:p>
    <w:p w14:paraId="006208D4" w14:textId="77777777" w:rsidR="00396A66" w:rsidRPr="00D64CCF" w:rsidRDefault="00396A66" w:rsidP="00396A66">
      <w:pPr>
        <w:pStyle w:val="Prrafodelista"/>
        <w:numPr>
          <w:ilvl w:val="0"/>
          <w:numId w:val="1"/>
        </w:numPr>
        <w:tabs>
          <w:tab w:val="left" w:pos="284"/>
        </w:tabs>
        <w:spacing w:line="360" w:lineRule="auto"/>
        <w:ind w:left="0" w:right="34" w:firstLine="0"/>
        <w:contextualSpacing/>
        <w:jc w:val="both"/>
        <w:rPr>
          <w:rFonts w:ascii="Palatino Linotype" w:hAnsi="Palatino Linotype" w:cs="Arial"/>
        </w:rPr>
      </w:pPr>
      <w:r w:rsidRPr="00D64CCF">
        <w:rPr>
          <w:rFonts w:ascii="Palatino Linotype" w:hAnsi="Palatino Linotype" w:cs="Arial"/>
        </w:rPr>
        <w:lastRenderedPageBreak/>
        <w:t>En consecuencia el recurso de revisión consiste en una garantía secundaria</w:t>
      </w:r>
      <w:r w:rsidRPr="00D64CCF">
        <w:rPr>
          <w:rFonts w:ascii="Palatino Linotype" w:hAnsi="Palatino Linotype" w:cs="Arial"/>
          <w:i/>
        </w:rPr>
        <w:t xml:space="preserve"> de la anulabilidad de los actos inválidos y de la responsabilidad de los actos ilícitos, que constituyen las desobediencias de sus garantías primarias</w:t>
      </w:r>
      <w:r w:rsidRPr="00D64CCF">
        <w:rPr>
          <w:rFonts w:ascii="Palatino Linotype" w:hAnsi="Palatino Linotype" w:cs="Arial"/>
          <w:vertAlign w:val="superscript"/>
        </w:rPr>
        <w:footnoteReference w:id="6"/>
      </w:r>
      <w:r w:rsidRPr="00D64CCF">
        <w:rPr>
          <w:rFonts w:ascii="Palatino Linotype" w:hAnsi="Palatino Linotype" w:cs="Arial"/>
        </w:rPr>
        <w:t xml:space="preserve"> , esto refiere que, ante la falta de respuesta por parte del </w:t>
      </w:r>
      <w:r w:rsidRPr="00D64CCF">
        <w:rPr>
          <w:rFonts w:ascii="Palatino Linotype" w:hAnsi="Palatino Linotype" w:cs="Arial"/>
          <w:b/>
        </w:rPr>
        <w:t>SUJETO OBLIGADO</w:t>
      </w:r>
      <w:r w:rsidRPr="00D64CCF">
        <w:rPr>
          <w:rFonts w:ascii="Palatino Linotype" w:hAnsi="Palatino Linotype" w:cs="Arial"/>
        </w:rPr>
        <w:t xml:space="preserve">, </w:t>
      </w:r>
      <w:r w:rsidRPr="00D64CCF">
        <w:rPr>
          <w:rFonts w:ascii="Palatino Linotype" w:hAnsi="Palatino Linotype" w:cs="Arial"/>
          <w:b/>
        </w:rPr>
        <w:t>LA RECURRENTE</w:t>
      </w:r>
      <w:r w:rsidRPr="00D64CCF">
        <w:rPr>
          <w:rFonts w:ascii="Palatino Linotype" w:hAnsi="Palatino Linotype" w:cs="Arial"/>
        </w:rPr>
        <w:t xml:space="preserve"> interpuso el recurso de revisión con el objeto de que este órgano garante determine si existió una violación al derecho de acceso a la información pública y que esta violación sea reparada por la autoridad competente. </w:t>
      </w:r>
    </w:p>
    <w:p w14:paraId="4BF95BB2" w14:textId="77777777" w:rsidR="00396A66" w:rsidRPr="00D64CCF" w:rsidRDefault="00396A66" w:rsidP="00396A66">
      <w:pPr>
        <w:spacing w:line="360" w:lineRule="auto"/>
        <w:ind w:right="49"/>
        <w:contextualSpacing/>
        <w:jc w:val="both"/>
        <w:rPr>
          <w:rFonts w:ascii="Palatino Linotype" w:hAnsi="Palatino Linotype" w:cs="Arial"/>
        </w:rPr>
      </w:pPr>
    </w:p>
    <w:p w14:paraId="383F9BB9" w14:textId="77777777" w:rsidR="00396A66" w:rsidRPr="00D64CCF" w:rsidRDefault="00396A66" w:rsidP="00396A66">
      <w:pPr>
        <w:pStyle w:val="Prrafodelista"/>
        <w:numPr>
          <w:ilvl w:val="0"/>
          <w:numId w:val="1"/>
        </w:numPr>
        <w:tabs>
          <w:tab w:val="left" w:pos="284"/>
        </w:tabs>
        <w:spacing w:line="360" w:lineRule="auto"/>
        <w:ind w:left="0" w:right="34" w:firstLine="0"/>
        <w:contextualSpacing/>
        <w:jc w:val="both"/>
        <w:rPr>
          <w:rFonts w:ascii="Palatino Linotype" w:hAnsi="Palatino Linotype" w:cstheme="minorBidi"/>
        </w:rPr>
      </w:pPr>
      <w:r w:rsidRPr="00D64CCF">
        <w:rPr>
          <w:rFonts w:ascii="Palatino Linotype" w:hAnsi="Palatino Linotype"/>
        </w:rPr>
        <w:t xml:space="preserve">Así, con </w:t>
      </w:r>
      <w:r w:rsidRPr="00D64CCF">
        <w:rPr>
          <w:rFonts w:ascii="Palatino Linotype" w:hAnsi="Palatino Linotype" w:cs="Arial"/>
        </w:rPr>
        <w:t>fundamento</w:t>
      </w:r>
      <w:r w:rsidRPr="00D64CCF">
        <w:rPr>
          <w:rFonts w:ascii="Palatino Linotype" w:hAnsi="Palatino Linotype"/>
        </w:rPr>
        <w:t xml:space="preserve"> en el artículo 186, fracción IV, de la Ley de </w:t>
      </w:r>
      <w:r w:rsidRPr="00D64CCF">
        <w:rPr>
          <w:rFonts w:ascii="Palatino Linotype" w:hAnsi="Palatino Linotype" w:cs="Arial"/>
        </w:rPr>
        <w:t>Transparencia</w:t>
      </w:r>
      <w:r w:rsidRPr="00D64CCF">
        <w:rPr>
          <w:rFonts w:ascii="Palatino Linotype" w:hAnsi="Palatino Linotype"/>
        </w:rPr>
        <w:t xml:space="preserve"> a Acceso a la información Pública del Estado de México y Municipios, este Órgano Garante determina procedente </w:t>
      </w:r>
      <w:r w:rsidRPr="00D64CCF">
        <w:rPr>
          <w:rFonts w:ascii="Palatino Linotype" w:hAnsi="Palatino Linotype"/>
          <w:b/>
        </w:rPr>
        <w:t>ORDENAR</w:t>
      </w:r>
      <w:r w:rsidRPr="00D64CCF">
        <w:rPr>
          <w:rFonts w:ascii="Palatino Linotype" w:hAnsi="Palatino Linotype"/>
        </w:rPr>
        <w:t xml:space="preserve"> al </w:t>
      </w:r>
      <w:r w:rsidRPr="00D64CCF">
        <w:rPr>
          <w:rFonts w:ascii="Palatino Linotype" w:hAnsi="Palatino Linotype"/>
          <w:b/>
        </w:rPr>
        <w:t>SUJETO OBLIGADO</w:t>
      </w:r>
      <w:r w:rsidRPr="00D64CCF">
        <w:rPr>
          <w:rFonts w:ascii="Palatino Linotype" w:hAnsi="Palatino Linotype"/>
        </w:rPr>
        <w:t xml:space="preserve"> que entregue la información que se ha hecho referencia en la presente resolución</w:t>
      </w:r>
      <w:r w:rsidRPr="00D64CCF">
        <w:rPr>
          <w:rFonts w:ascii="Palatino Linotype" w:eastAsiaTheme="minorHAnsi" w:hAnsi="Palatino Linotype" w:cs="AppleSystemUIFontBold"/>
          <w:b/>
          <w:bCs/>
          <w:lang w:eastAsia="en-US"/>
        </w:rPr>
        <w:t>.</w:t>
      </w:r>
    </w:p>
    <w:p w14:paraId="043F0E84" w14:textId="77777777" w:rsidR="00396A66" w:rsidRPr="00D64CCF" w:rsidRDefault="00396A66" w:rsidP="00396A66">
      <w:pPr>
        <w:tabs>
          <w:tab w:val="left" w:pos="567"/>
        </w:tabs>
        <w:spacing w:line="360" w:lineRule="auto"/>
        <w:contextualSpacing/>
        <w:jc w:val="both"/>
        <w:rPr>
          <w:rFonts w:ascii="Palatino Linotype" w:eastAsia="MS Gothic" w:hAnsi="Palatino Linotype" w:cstheme="majorBidi"/>
          <w:lang w:val="es-ES_tradnl"/>
        </w:rPr>
      </w:pPr>
    </w:p>
    <w:p w14:paraId="596A4904" w14:textId="7FA84B6A" w:rsidR="000B378F" w:rsidRPr="00D64CCF" w:rsidRDefault="000B378F" w:rsidP="009D6075">
      <w:pPr>
        <w:numPr>
          <w:ilvl w:val="0"/>
          <w:numId w:val="1"/>
        </w:numPr>
        <w:tabs>
          <w:tab w:val="left" w:pos="567"/>
        </w:tabs>
        <w:spacing w:line="360" w:lineRule="auto"/>
        <w:ind w:left="0" w:firstLine="0"/>
        <w:contextualSpacing/>
        <w:jc w:val="both"/>
        <w:rPr>
          <w:rFonts w:ascii="Palatino Linotype" w:eastAsia="MS Gothic" w:hAnsi="Palatino Linotype" w:cstheme="majorBidi"/>
          <w:lang w:val="es-ES_tradnl"/>
        </w:rPr>
      </w:pPr>
      <w:r w:rsidRPr="00D64CCF">
        <w:rPr>
          <w:rFonts w:ascii="Palatino Linotype" w:eastAsia="MS Mincho" w:hAnsi="Palatino Linotype"/>
          <w:color w:val="000000"/>
        </w:rPr>
        <w:t xml:space="preserve">Por lo anteriormente expuesto y fundado, este </w:t>
      </w:r>
      <w:r w:rsidRPr="00D64CCF">
        <w:rPr>
          <w:rFonts w:ascii="Palatino Linotype" w:eastAsia="MS Mincho" w:hAnsi="Palatino Linotype"/>
          <w:b/>
          <w:bCs/>
          <w:color w:val="000000"/>
        </w:rPr>
        <w:t>ÓRGANO GARANTE</w:t>
      </w:r>
      <w:r w:rsidRPr="00D64CCF">
        <w:rPr>
          <w:rFonts w:ascii="Palatino Linotype" w:eastAsia="MS Mincho" w:hAnsi="Palatino Linotype"/>
          <w:color w:val="000000"/>
        </w:rPr>
        <w:t xml:space="preserve"> emite los siguientes:</w:t>
      </w:r>
    </w:p>
    <w:p w14:paraId="0832CEB1" w14:textId="741177CB" w:rsidR="00A1201F" w:rsidRPr="00D64CCF" w:rsidRDefault="00A1201F" w:rsidP="009D6075">
      <w:pPr>
        <w:keepNext/>
        <w:keepLines/>
        <w:spacing w:before="240" w:line="360" w:lineRule="auto"/>
        <w:jc w:val="center"/>
        <w:outlineLvl w:val="0"/>
        <w:rPr>
          <w:rFonts w:ascii="Palatino Linotype" w:hAnsi="Palatino Linotype"/>
          <w:b/>
          <w:color w:val="000000"/>
          <w:lang w:val="pt-PT" w:eastAsia="en-US"/>
        </w:rPr>
      </w:pPr>
      <w:r w:rsidRPr="00D64CCF">
        <w:rPr>
          <w:rFonts w:ascii="Palatino Linotype" w:hAnsi="Palatino Linotype"/>
          <w:b/>
          <w:color w:val="000000"/>
          <w:lang w:val="pt-PT" w:eastAsia="en-US"/>
        </w:rPr>
        <w:t>R E S O L U T I V O S</w:t>
      </w:r>
      <w:bookmarkEnd w:id="54"/>
      <w:bookmarkEnd w:id="55"/>
      <w:bookmarkEnd w:id="56"/>
      <w:bookmarkEnd w:id="57"/>
      <w:bookmarkEnd w:id="58"/>
      <w:bookmarkEnd w:id="59"/>
      <w:bookmarkEnd w:id="60"/>
    </w:p>
    <w:p w14:paraId="284E4198" w14:textId="20462885" w:rsidR="0061502C" w:rsidRPr="00D64CCF" w:rsidRDefault="000B378F" w:rsidP="009D6075">
      <w:pPr>
        <w:spacing w:before="240" w:after="240" w:line="360" w:lineRule="auto"/>
        <w:jc w:val="both"/>
        <w:rPr>
          <w:rFonts w:ascii="Palatino Linotype" w:hAnsi="Palatino Linotype"/>
          <w:b/>
        </w:rPr>
      </w:pPr>
      <w:r w:rsidRPr="00D64CCF">
        <w:rPr>
          <w:rFonts w:ascii="Palatino Linotype" w:hAnsi="Palatino Linotype"/>
          <w:b/>
          <w:lang w:val="es-MX"/>
        </w:rPr>
        <w:t xml:space="preserve">PRIMERO. </w:t>
      </w:r>
      <w:r w:rsidRPr="00D64CCF">
        <w:rPr>
          <w:rFonts w:ascii="Palatino Linotype" w:hAnsi="Palatino Linotype"/>
          <w:lang w:val="es-MX"/>
        </w:rPr>
        <w:t>Resultan fundadas las</w:t>
      </w:r>
      <w:r w:rsidRPr="00D64CCF">
        <w:rPr>
          <w:rFonts w:ascii="Palatino Linotype" w:hAnsi="Palatino Linotype"/>
          <w:b/>
          <w:lang w:val="es-MX"/>
        </w:rPr>
        <w:t xml:space="preserve"> </w:t>
      </w:r>
      <w:r w:rsidRPr="00D64CCF">
        <w:rPr>
          <w:rFonts w:ascii="Palatino Linotype" w:hAnsi="Palatino Linotype"/>
        </w:rPr>
        <w:t>razones o motivos de</w:t>
      </w:r>
      <w:r w:rsidR="0063001D" w:rsidRPr="00D64CCF">
        <w:rPr>
          <w:rFonts w:ascii="Palatino Linotype" w:hAnsi="Palatino Linotype"/>
        </w:rPr>
        <w:t xml:space="preserve"> inconformidad hechos valer en </w:t>
      </w:r>
      <w:r w:rsidRPr="00D64CCF">
        <w:rPr>
          <w:rFonts w:ascii="Palatino Linotype" w:hAnsi="Palatino Linotype"/>
        </w:rPr>
        <w:t>l</w:t>
      </w:r>
      <w:r w:rsidR="0063001D" w:rsidRPr="00D64CCF">
        <w:rPr>
          <w:rFonts w:ascii="Palatino Linotype" w:hAnsi="Palatino Linotype"/>
        </w:rPr>
        <w:t>os</w:t>
      </w:r>
      <w:r w:rsidRPr="00D64CCF">
        <w:rPr>
          <w:rFonts w:ascii="Palatino Linotype" w:hAnsi="Palatino Linotype"/>
        </w:rPr>
        <w:t xml:space="preserve"> recurso</w:t>
      </w:r>
      <w:r w:rsidR="0063001D" w:rsidRPr="00D64CCF">
        <w:rPr>
          <w:rFonts w:ascii="Palatino Linotype" w:hAnsi="Palatino Linotype"/>
        </w:rPr>
        <w:t>s</w:t>
      </w:r>
      <w:r w:rsidRPr="00D64CCF">
        <w:rPr>
          <w:rFonts w:ascii="Palatino Linotype" w:hAnsi="Palatino Linotype"/>
        </w:rPr>
        <w:t xml:space="preserve"> de revisión</w:t>
      </w:r>
      <w:r w:rsidR="00ED2643" w:rsidRPr="00D64CCF">
        <w:rPr>
          <w:rFonts w:ascii="Palatino Linotype" w:hAnsi="Palatino Linotype"/>
        </w:rPr>
        <w:t xml:space="preserve"> </w:t>
      </w:r>
      <w:r w:rsidR="00ED2643" w:rsidRPr="00D64CCF">
        <w:rPr>
          <w:rFonts w:ascii="Palatino Linotype" w:hAnsi="Palatino Linotype"/>
          <w:b/>
        </w:rPr>
        <w:t xml:space="preserve">03398/INFOEM/IP/RR/2022, 03399/INFOEM/IP/RR/2022, 03400/INFOEM/IP/RR/2022, 03401/INFOEM/IP/RR/2022, 03402/INFOEM/IP/RR/2022, 03403/INFOEM/IP/RR/2022, 03404/INFOEM/IP/RR/2022 y </w:t>
      </w:r>
      <w:r w:rsidR="00ED2643" w:rsidRPr="00D64CCF">
        <w:rPr>
          <w:rFonts w:ascii="Palatino Linotype" w:hAnsi="Palatino Linotype"/>
          <w:b/>
        </w:rPr>
        <w:lastRenderedPageBreak/>
        <w:t>03405/INFOEM/IP/RR/2022</w:t>
      </w:r>
      <w:r w:rsidR="00E63C09" w:rsidRPr="00D64CCF">
        <w:rPr>
          <w:rFonts w:ascii="Palatino Linotype" w:hAnsi="Palatino Linotype"/>
          <w:b/>
        </w:rPr>
        <w:t xml:space="preserve">, </w:t>
      </w:r>
      <w:r w:rsidRPr="00D64CCF">
        <w:rPr>
          <w:rFonts w:ascii="Palatino Linotype" w:hAnsi="Palatino Linotype"/>
          <w:bCs/>
          <w:lang w:val="es-MX"/>
        </w:rPr>
        <w:t xml:space="preserve">en términos de los </w:t>
      </w:r>
      <w:r w:rsidR="000A5994" w:rsidRPr="00D64CCF">
        <w:rPr>
          <w:rFonts w:ascii="Palatino Linotype" w:hAnsi="Palatino Linotype"/>
          <w:b/>
          <w:bCs/>
          <w:lang w:val="es-MX"/>
        </w:rPr>
        <w:t>c</w:t>
      </w:r>
      <w:r w:rsidRPr="00D64CCF">
        <w:rPr>
          <w:rFonts w:ascii="Palatino Linotype" w:hAnsi="Palatino Linotype"/>
          <w:b/>
          <w:bCs/>
          <w:lang w:val="es-MX"/>
        </w:rPr>
        <w:t>onsiderando</w:t>
      </w:r>
      <w:r w:rsidR="009D6075" w:rsidRPr="00D64CCF">
        <w:rPr>
          <w:rFonts w:ascii="Palatino Linotype" w:hAnsi="Palatino Linotype"/>
          <w:bCs/>
          <w:lang w:val="es-MX"/>
        </w:rPr>
        <w:t xml:space="preserve">s </w:t>
      </w:r>
      <w:r w:rsidRPr="00D64CCF">
        <w:rPr>
          <w:rFonts w:ascii="Palatino Linotype" w:hAnsi="Palatino Linotype"/>
          <w:b/>
          <w:bCs/>
          <w:lang w:val="es-MX"/>
        </w:rPr>
        <w:t>CUARTO</w:t>
      </w:r>
      <w:r w:rsidR="009D6075" w:rsidRPr="00D64CCF">
        <w:rPr>
          <w:rFonts w:ascii="Palatino Linotype" w:hAnsi="Palatino Linotype"/>
          <w:b/>
          <w:bCs/>
          <w:lang w:val="es-MX"/>
        </w:rPr>
        <w:t xml:space="preserve"> y QUINTO </w:t>
      </w:r>
      <w:r w:rsidRPr="00D64CCF">
        <w:rPr>
          <w:rFonts w:ascii="Palatino Linotype" w:hAnsi="Palatino Linotype"/>
          <w:bCs/>
          <w:lang w:val="es-MX"/>
        </w:rPr>
        <w:t>de la presente resolución.</w:t>
      </w:r>
    </w:p>
    <w:p w14:paraId="118CB24F" w14:textId="3E8D4541" w:rsidR="00ED2643" w:rsidRPr="00D64CCF" w:rsidRDefault="000B378F" w:rsidP="009D6075">
      <w:pPr>
        <w:spacing w:before="240" w:after="240" w:line="360" w:lineRule="auto"/>
        <w:jc w:val="both"/>
        <w:rPr>
          <w:rFonts w:ascii="Palatino Linotype" w:hAnsi="Palatino Linotype"/>
          <w:lang w:val="es-MX"/>
        </w:rPr>
      </w:pPr>
      <w:r w:rsidRPr="00D64CCF">
        <w:rPr>
          <w:rFonts w:ascii="Palatino Linotype" w:hAnsi="Palatino Linotype"/>
          <w:b/>
          <w:lang w:val="es-MX"/>
        </w:rPr>
        <w:t>SEGUNDO.</w:t>
      </w:r>
      <w:r w:rsidRPr="00D64CCF">
        <w:rPr>
          <w:rFonts w:ascii="Palatino Linotype" w:hAnsi="Palatino Linotype"/>
          <w:lang w:val="es-MX"/>
        </w:rPr>
        <w:t xml:space="preserve"> </w:t>
      </w:r>
      <w:r w:rsidR="00664916" w:rsidRPr="00D64CCF">
        <w:rPr>
          <w:rFonts w:ascii="Palatino Linotype" w:hAnsi="Palatino Linotype"/>
        </w:rPr>
        <w:t xml:space="preserve">Se </w:t>
      </w:r>
      <w:r w:rsidR="00965297" w:rsidRPr="00D64CCF">
        <w:rPr>
          <w:rFonts w:ascii="Palatino Linotype" w:hAnsi="Palatino Linotype"/>
          <w:b/>
        </w:rPr>
        <w:t>ORDENA al</w:t>
      </w:r>
      <w:r w:rsidR="00664916" w:rsidRPr="00D64CCF">
        <w:rPr>
          <w:rFonts w:ascii="Palatino Linotype" w:hAnsi="Palatino Linotype"/>
        </w:rPr>
        <w:t xml:space="preserve"> </w:t>
      </w:r>
      <w:r w:rsidR="00664916" w:rsidRPr="00D64CCF">
        <w:rPr>
          <w:rFonts w:ascii="Palatino Linotype" w:hAnsi="Palatino Linotype"/>
          <w:b/>
          <w:lang w:val="es-ES_tradnl"/>
        </w:rPr>
        <w:t xml:space="preserve">Ayuntamiento de </w:t>
      </w:r>
      <w:r w:rsidR="00ED2643" w:rsidRPr="00D64CCF">
        <w:rPr>
          <w:rFonts w:ascii="Palatino Linotype" w:hAnsi="Palatino Linotype"/>
          <w:b/>
          <w:lang w:val="es-MX"/>
        </w:rPr>
        <w:t>Metepec</w:t>
      </w:r>
      <w:r w:rsidR="000A5994" w:rsidRPr="00D64CCF">
        <w:rPr>
          <w:rFonts w:ascii="Palatino Linotype" w:hAnsi="Palatino Linotype"/>
          <w:b/>
          <w:lang w:val="es-MX"/>
        </w:rPr>
        <w:t>,</w:t>
      </w:r>
      <w:r w:rsidR="00664916" w:rsidRPr="00D64CCF">
        <w:rPr>
          <w:rFonts w:ascii="Palatino Linotype" w:hAnsi="Palatino Linotype"/>
          <w:b/>
          <w:lang w:val="es-MX"/>
        </w:rPr>
        <w:t xml:space="preserve"> </w:t>
      </w:r>
      <w:r w:rsidR="00664916" w:rsidRPr="00D64CCF">
        <w:rPr>
          <w:rFonts w:ascii="Palatino Linotype" w:hAnsi="Palatino Linotype"/>
        </w:rPr>
        <w:t xml:space="preserve">entregar vía Sistema de Accesos a la Información Mexiquense </w:t>
      </w:r>
      <w:r w:rsidR="00664916" w:rsidRPr="00D64CCF">
        <w:rPr>
          <w:rFonts w:ascii="Palatino Linotype" w:hAnsi="Palatino Linotype"/>
          <w:b/>
        </w:rPr>
        <w:t>(SAIMEX)</w:t>
      </w:r>
      <w:r w:rsidR="00664916" w:rsidRPr="00D64CCF">
        <w:rPr>
          <w:rFonts w:ascii="Palatino Linotype" w:hAnsi="Palatino Linotype"/>
        </w:rPr>
        <w:t>, de ser procedente en versión pública</w:t>
      </w:r>
      <w:r w:rsidR="00ED2643" w:rsidRPr="00D64CCF">
        <w:rPr>
          <w:rFonts w:ascii="Palatino Linotype" w:hAnsi="Palatino Linotype"/>
          <w:lang w:val="es-MX"/>
        </w:rPr>
        <w:t xml:space="preserve">, </w:t>
      </w:r>
      <w:r w:rsidR="00952D1D" w:rsidRPr="00D64CCF">
        <w:rPr>
          <w:rFonts w:ascii="Palatino Linotype" w:eastAsia="Calibri" w:hAnsi="Palatino Linotype" w:cs="Arial"/>
          <w:bCs/>
          <w:color w:val="000000"/>
        </w:rPr>
        <w:t xml:space="preserve"> el soporte documental donde conste o se advierta la siguiente información</w:t>
      </w:r>
      <w:r w:rsidR="00396A66" w:rsidRPr="00D64CCF">
        <w:rPr>
          <w:rFonts w:ascii="Palatino Linotype" w:eastAsia="Calibri" w:hAnsi="Palatino Linotype" w:cs="Arial"/>
          <w:bCs/>
          <w:color w:val="000000"/>
        </w:rPr>
        <w:t xml:space="preserve"> del </w:t>
      </w:r>
      <w:r w:rsidR="00396A66" w:rsidRPr="00D64CCF">
        <w:rPr>
          <w:rFonts w:ascii="Palatino Linotype" w:eastAsia="Calibri" w:hAnsi="Palatino Linotype" w:cs="Arial"/>
          <w:b/>
          <w:bCs/>
          <w:color w:val="000000"/>
        </w:rPr>
        <w:t>1 al 18 de enero de 2022</w:t>
      </w:r>
      <w:r w:rsidR="00952D1D" w:rsidRPr="00D64CCF">
        <w:rPr>
          <w:rFonts w:ascii="Palatino Linotype" w:eastAsia="Calibri" w:hAnsi="Palatino Linotype" w:cs="Arial"/>
          <w:bCs/>
          <w:color w:val="000000"/>
        </w:rPr>
        <w:t>:</w:t>
      </w:r>
    </w:p>
    <w:p w14:paraId="5DA14B1A" w14:textId="5D7CE1B6" w:rsidR="00ED2643" w:rsidRPr="00D64CCF" w:rsidRDefault="0063001D" w:rsidP="009D6075">
      <w:pPr>
        <w:pStyle w:val="Prrafodelista"/>
        <w:numPr>
          <w:ilvl w:val="0"/>
          <w:numId w:val="16"/>
        </w:numPr>
        <w:tabs>
          <w:tab w:val="left" w:pos="851"/>
          <w:tab w:val="left" w:pos="7938"/>
        </w:tabs>
        <w:spacing w:before="240" w:after="240" w:line="360" w:lineRule="auto"/>
        <w:ind w:left="567" w:right="1134" w:firstLine="0"/>
        <w:jc w:val="both"/>
        <w:rPr>
          <w:rFonts w:ascii="Palatino Linotype" w:eastAsia="Calibri" w:hAnsi="Palatino Linotype" w:cs="Arial"/>
          <w:b/>
          <w:bCs/>
          <w:color w:val="000000"/>
        </w:rPr>
      </w:pPr>
      <w:r w:rsidRPr="00D64CCF">
        <w:rPr>
          <w:rFonts w:ascii="Palatino Linotype" w:eastAsia="Calibri" w:hAnsi="Palatino Linotype" w:cs="Arial"/>
          <w:b/>
          <w:bCs/>
          <w:color w:val="000000"/>
        </w:rPr>
        <w:t>Proceso o procedimiento de</w:t>
      </w:r>
      <w:r w:rsidR="00ED2643" w:rsidRPr="00D64CCF">
        <w:rPr>
          <w:rFonts w:ascii="Palatino Linotype" w:eastAsia="Calibri" w:hAnsi="Palatino Linotype" w:cs="Arial"/>
          <w:b/>
          <w:bCs/>
          <w:color w:val="000000"/>
        </w:rPr>
        <w:t xml:space="preserve"> </w:t>
      </w:r>
      <w:r w:rsidRPr="00D64CCF">
        <w:rPr>
          <w:rFonts w:ascii="Palatino Linotype" w:eastAsia="Calibri" w:hAnsi="Palatino Linotype" w:cs="Arial"/>
          <w:b/>
          <w:bCs/>
          <w:color w:val="000000"/>
        </w:rPr>
        <w:t>r</w:t>
      </w:r>
      <w:r w:rsidR="00ED2643" w:rsidRPr="00D64CCF">
        <w:rPr>
          <w:rFonts w:ascii="Palatino Linotype" w:eastAsia="Calibri" w:hAnsi="Palatino Linotype" w:cs="Arial"/>
          <w:b/>
          <w:bCs/>
          <w:color w:val="000000"/>
        </w:rPr>
        <w:t>esguardo de expedientes generados con motivo de los diversos procesos adquisitivos sometidos a consideración y proceso ante el Comité de Adquisicio</w:t>
      </w:r>
      <w:r w:rsidR="00920032" w:rsidRPr="00D64CCF">
        <w:rPr>
          <w:rFonts w:ascii="Palatino Linotype" w:eastAsia="Calibri" w:hAnsi="Palatino Linotype" w:cs="Arial"/>
          <w:b/>
          <w:bCs/>
          <w:color w:val="000000"/>
        </w:rPr>
        <w:t>nes y Contratación de Servicios;</w:t>
      </w:r>
    </w:p>
    <w:p w14:paraId="0FCB0C73" w14:textId="71BA5412"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Calibri" w:hAnsi="Palatino Linotype" w:cs="Arial"/>
          <w:b/>
          <w:bCs/>
          <w:color w:val="000000"/>
        </w:rPr>
      </w:pPr>
      <w:r w:rsidRPr="00D64CCF">
        <w:rPr>
          <w:rFonts w:ascii="Palatino Linotype" w:eastAsia="Calibri" w:hAnsi="Palatino Linotype" w:cs="Arial"/>
          <w:b/>
          <w:bCs/>
          <w:color w:val="000000"/>
        </w:rPr>
        <w:t>Verificaciones</w:t>
      </w:r>
      <w:r w:rsidR="00ED2643" w:rsidRPr="00D64CCF">
        <w:rPr>
          <w:rFonts w:ascii="Palatino Linotype" w:eastAsia="Calibri" w:hAnsi="Palatino Linotype" w:cs="Arial"/>
          <w:b/>
          <w:bCs/>
          <w:color w:val="000000"/>
        </w:rPr>
        <w:t xml:space="preserve"> de los contratos de adquisición de bienes y contratación de servicios, que se hayan elaborado por la Consejería Jurídica en</w:t>
      </w:r>
      <w:r w:rsidR="00920032" w:rsidRPr="00D64CCF">
        <w:rPr>
          <w:rFonts w:ascii="Palatino Linotype" w:eastAsia="Calibri" w:hAnsi="Palatino Linotype" w:cs="Arial"/>
          <w:b/>
          <w:bCs/>
          <w:color w:val="000000"/>
        </w:rPr>
        <w:t xml:space="preserve"> los procedimientos respectivos;</w:t>
      </w:r>
    </w:p>
    <w:p w14:paraId="7BA94FBF" w14:textId="63CC1203"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Calibri" w:hAnsi="Palatino Linotype" w:cs="Arial"/>
          <w:b/>
          <w:bCs/>
          <w:color w:val="000000"/>
        </w:rPr>
      </w:pPr>
      <w:r w:rsidRPr="00D64CCF">
        <w:rPr>
          <w:rFonts w:ascii="Palatino Linotype" w:eastAsia="Calibri" w:hAnsi="Palatino Linotype" w:cs="Arial"/>
          <w:b/>
          <w:bCs/>
          <w:color w:val="000000"/>
        </w:rPr>
        <w:t xml:space="preserve">Proceso o procedimiento de </w:t>
      </w:r>
      <w:r w:rsidR="00ED2643" w:rsidRPr="00D64CCF">
        <w:rPr>
          <w:rFonts w:ascii="Palatino Linotype" w:eastAsia="Calibri" w:hAnsi="Palatino Linotype" w:cs="Arial"/>
          <w:b/>
          <w:bCs/>
          <w:color w:val="000000"/>
        </w:rPr>
        <w:t>resguardo en Tesorería</w:t>
      </w:r>
      <w:r w:rsidRPr="00D64CCF">
        <w:rPr>
          <w:rFonts w:ascii="Palatino Linotype" w:eastAsia="Calibri" w:hAnsi="Palatino Linotype" w:cs="Arial"/>
          <w:b/>
          <w:bCs/>
          <w:color w:val="000000"/>
        </w:rPr>
        <w:t xml:space="preserve"> Municipal</w:t>
      </w:r>
      <w:r w:rsidR="00ED2643" w:rsidRPr="00D64CCF">
        <w:rPr>
          <w:rFonts w:ascii="Palatino Linotype" w:eastAsia="Calibri" w:hAnsi="Palatino Linotype" w:cs="Arial"/>
          <w:b/>
          <w:bCs/>
          <w:color w:val="000000"/>
        </w:rPr>
        <w:t xml:space="preserve">, </w:t>
      </w:r>
      <w:r w:rsidRPr="00D64CCF">
        <w:rPr>
          <w:rFonts w:ascii="Palatino Linotype" w:eastAsia="Calibri" w:hAnsi="Palatino Linotype" w:cs="Arial"/>
          <w:b/>
          <w:bCs/>
          <w:color w:val="000000"/>
        </w:rPr>
        <w:t xml:space="preserve">de </w:t>
      </w:r>
      <w:r w:rsidR="00ED2643" w:rsidRPr="00D64CCF">
        <w:rPr>
          <w:rFonts w:ascii="Palatino Linotype" w:eastAsia="Calibri" w:hAnsi="Palatino Linotype" w:cs="Arial"/>
          <w:b/>
          <w:bCs/>
          <w:color w:val="000000"/>
        </w:rPr>
        <w:t>las fianzas que deriven de los procesos adqu</w:t>
      </w:r>
      <w:r w:rsidR="00920032" w:rsidRPr="00D64CCF">
        <w:rPr>
          <w:rFonts w:ascii="Palatino Linotype" w:eastAsia="Calibri" w:hAnsi="Palatino Linotype" w:cs="Arial"/>
          <w:b/>
          <w:bCs/>
          <w:color w:val="000000"/>
        </w:rPr>
        <w:t>isitivos, recibidos y remitidos;</w:t>
      </w:r>
    </w:p>
    <w:p w14:paraId="29654687" w14:textId="69CFAB31"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Calibri" w:hAnsi="Palatino Linotype" w:cs="Arial"/>
          <w:b/>
          <w:bCs/>
          <w:color w:val="000000"/>
        </w:rPr>
      </w:pPr>
      <w:r w:rsidRPr="00D64CCF">
        <w:rPr>
          <w:rFonts w:ascii="Palatino Linotype" w:eastAsia="Calibri" w:hAnsi="Palatino Linotype" w:cs="Arial"/>
          <w:b/>
          <w:bCs/>
          <w:color w:val="000000"/>
        </w:rPr>
        <w:t>Proceso o procedimiento para la</w:t>
      </w:r>
      <w:r w:rsidR="00ED2643" w:rsidRPr="00D64CCF">
        <w:rPr>
          <w:rFonts w:ascii="Palatino Linotype" w:eastAsia="Calibri" w:hAnsi="Palatino Linotype" w:cs="Arial"/>
          <w:b/>
          <w:bCs/>
          <w:color w:val="000000"/>
        </w:rPr>
        <w:t xml:space="preserve"> </w:t>
      </w:r>
      <w:r w:rsidRPr="00D64CCF">
        <w:rPr>
          <w:rFonts w:ascii="Palatino Linotype" w:eastAsia="Calibri" w:hAnsi="Palatino Linotype" w:cs="Arial"/>
          <w:b/>
          <w:bCs/>
          <w:color w:val="000000"/>
        </w:rPr>
        <w:t>facilitación de</w:t>
      </w:r>
      <w:r w:rsidR="00ED2643" w:rsidRPr="00D64CCF">
        <w:rPr>
          <w:rFonts w:ascii="Palatino Linotype" w:eastAsia="Calibri" w:hAnsi="Palatino Linotype" w:cs="Arial"/>
          <w:b/>
          <w:bCs/>
          <w:color w:val="000000"/>
        </w:rPr>
        <w:t xml:space="preserve"> expedientes de adquisición de bienes o contratación de ser</w:t>
      </w:r>
      <w:r w:rsidR="00920032" w:rsidRPr="00D64CCF">
        <w:rPr>
          <w:rFonts w:ascii="Palatino Linotype" w:eastAsia="Calibri" w:hAnsi="Palatino Linotype" w:cs="Arial"/>
          <w:b/>
          <w:bCs/>
          <w:color w:val="000000"/>
        </w:rPr>
        <w:t>vicios, para su gestión de pago;</w:t>
      </w:r>
    </w:p>
    <w:p w14:paraId="2D4F7180" w14:textId="5DD8C1CC"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Palatino Linotype" w:hAnsi="Palatino Linotype" w:cs="Palatino Linotype"/>
          <w:b/>
        </w:rPr>
      </w:pPr>
      <w:r w:rsidRPr="00D64CCF">
        <w:rPr>
          <w:rFonts w:ascii="Palatino Linotype" w:eastAsia="Calibri" w:hAnsi="Palatino Linotype" w:cs="Arial"/>
          <w:b/>
          <w:bCs/>
          <w:color w:val="000000"/>
        </w:rPr>
        <w:lastRenderedPageBreak/>
        <w:t>Proceso o procedimiento para la</w:t>
      </w:r>
      <w:r w:rsidR="00ED2643" w:rsidRPr="00D64CCF">
        <w:rPr>
          <w:rFonts w:ascii="Palatino Linotype" w:eastAsia="Palatino Linotype" w:hAnsi="Palatino Linotype" w:cs="Palatino Linotype"/>
          <w:b/>
        </w:rPr>
        <w:t xml:space="preserve"> elabora</w:t>
      </w:r>
      <w:r w:rsidRPr="00D64CCF">
        <w:rPr>
          <w:rFonts w:ascii="Palatino Linotype" w:eastAsia="Palatino Linotype" w:hAnsi="Palatino Linotype" w:cs="Palatino Linotype"/>
          <w:b/>
        </w:rPr>
        <w:t>ción</w:t>
      </w:r>
      <w:r w:rsidR="00ED2643" w:rsidRPr="00D64CCF">
        <w:rPr>
          <w:rFonts w:ascii="Palatino Linotype" w:eastAsia="Palatino Linotype" w:hAnsi="Palatino Linotype" w:cs="Palatino Linotype"/>
          <w:b/>
        </w:rPr>
        <w:t xml:space="preserve"> </w:t>
      </w:r>
      <w:r w:rsidRPr="00D64CCF">
        <w:rPr>
          <w:rFonts w:ascii="Palatino Linotype" w:eastAsia="Palatino Linotype" w:hAnsi="Palatino Linotype" w:cs="Palatino Linotype"/>
          <w:b/>
        </w:rPr>
        <w:t>de</w:t>
      </w:r>
      <w:r w:rsidR="00ED2643" w:rsidRPr="00D64CCF">
        <w:rPr>
          <w:rFonts w:ascii="Palatino Linotype" w:eastAsia="Palatino Linotype" w:hAnsi="Palatino Linotype" w:cs="Palatino Linotype"/>
          <w:b/>
        </w:rPr>
        <w:t xml:space="preserve">l proyecto de acta de fallo de conformidad a lo establecido en el dictamen de adjudicación formulado por el Comité de Adquisiciones y Servicios y presentarlo a consideración del superior jerárquico, a efecto de que la convocante emita el fallo </w:t>
      </w:r>
      <w:r w:rsidR="00920032" w:rsidRPr="00D64CCF">
        <w:rPr>
          <w:rFonts w:ascii="Palatino Linotype" w:eastAsia="Palatino Linotype" w:hAnsi="Palatino Linotype" w:cs="Palatino Linotype"/>
          <w:b/>
        </w:rPr>
        <w:t>de adjudicación correspondiente;</w:t>
      </w:r>
    </w:p>
    <w:p w14:paraId="5BC207C7" w14:textId="2C2070AC"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Palatino Linotype" w:hAnsi="Palatino Linotype" w:cs="Palatino Linotype"/>
          <w:b/>
        </w:rPr>
      </w:pPr>
      <w:r w:rsidRPr="00D64CCF">
        <w:rPr>
          <w:rFonts w:ascii="Palatino Linotype" w:eastAsia="Palatino Linotype" w:hAnsi="Palatino Linotype" w:cs="Palatino Linotype"/>
          <w:b/>
        </w:rPr>
        <w:t>C</w:t>
      </w:r>
      <w:r w:rsidR="00ED2643" w:rsidRPr="00D64CCF">
        <w:rPr>
          <w:rFonts w:ascii="Palatino Linotype" w:eastAsia="Palatino Linotype" w:hAnsi="Palatino Linotype" w:cs="Palatino Linotype"/>
          <w:b/>
        </w:rPr>
        <w:t>uadros comparativos de cotizaciones, cuando se hayan realizado los estudio</w:t>
      </w:r>
      <w:r w:rsidRPr="00D64CCF">
        <w:rPr>
          <w:rFonts w:ascii="Palatino Linotype" w:eastAsia="Palatino Linotype" w:hAnsi="Palatino Linotype" w:cs="Palatino Linotype"/>
          <w:b/>
        </w:rPr>
        <w:t xml:space="preserve">s de mercado correspondientes, así como </w:t>
      </w:r>
      <w:r w:rsidR="00ED2643" w:rsidRPr="00D64CCF">
        <w:rPr>
          <w:rFonts w:ascii="Palatino Linotype" w:eastAsia="Palatino Linotype" w:hAnsi="Palatino Linotype" w:cs="Palatino Linotype"/>
          <w:b/>
        </w:rPr>
        <w:t>l</w:t>
      </w:r>
      <w:r w:rsidRPr="00D64CCF">
        <w:rPr>
          <w:rFonts w:ascii="Palatino Linotype" w:eastAsia="Palatino Linotype" w:hAnsi="Palatino Linotype" w:cs="Palatino Linotype"/>
          <w:b/>
        </w:rPr>
        <w:t>os</w:t>
      </w:r>
      <w:r w:rsidR="00ED2643" w:rsidRPr="00D64CCF">
        <w:rPr>
          <w:rFonts w:ascii="Palatino Linotype" w:eastAsia="Palatino Linotype" w:hAnsi="Palatino Linotype" w:cs="Palatino Linotype"/>
          <w:b/>
        </w:rPr>
        <w:t xml:space="preserve"> </w:t>
      </w:r>
      <w:r w:rsidR="00965297" w:rsidRPr="00D64CCF">
        <w:rPr>
          <w:rFonts w:ascii="Palatino Linotype" w:eastAsia="Palatino Linotype" w:hAnsi="Palatino Linotype" w:cs="Palatino Linotype"/>
          <w:b/>
        </w:rPr>
        <w:t>dictámenes</w:t>
      </w:r>
      <w:r w:rsidR="00ED2643" w:rsidRPr="00D64CCF">
        <w:rPr>
          <w:rFonts w:ascii="Palatino Linotype" w:eastAsia="Palatino Linotype" w:hAnsi="Palatino Linotype" w:cs="Palatino Linotype"/>
          <w:b/>
        </w:rPr>
        <w:t xml:space="preserve"> técnico</w:t>
      </w:r>
      <w:r w:rsidRPr="00D64CCF">
        <w:rPr>
          <w:rFonts w:ascii="Palatino Linotype" w:eastAsia="Palatino Linotype" w:hAnsi="Palatino Linotype" w:cs="Palatino Linotype"/>
          <w:b/>
        </w:rPr>
        <w:t>s</w:t>
      </w:r>
      <w:r w:rsidR="00ED2643" w:rsidRPr="00D64CCF">
        <w:rPr>
          <w:rFonts w:ascii="Palatino Linotype" w:eastAsia="Palatino Linotype" w:hAnsi="Palatino Linotype" w:cs="Palatino Linotype"/>
          <w:b/>
        </w:rPr>
        <w:t xml:space="preserve"> emitido</w:t>
      </w:r>
      <w:r w:rsidRPr="00D64CCF">
        <w:rPr>
          <w:rFonts w:ascii="Palatino Linotype" w:eastAsia="Palatino Linotype" w:hAnsi="Palatino Linotype" w:cs="Palatino Linotype"/>
          <w:b/>
        </w:rPr>
        <w:t>s</w:t>
      </w:r>
      <w:r w:rsidR="00ED2643" w:rsidRPr="00D64CCF">
        <w:rPr>
          <w:rFonts w:ascii="Palatino Linotype" w:eastAsia="Palatino Linotype" w:hAnsi="Palatino Linotype" w:cs="Palatino Linotype"/>
          <w:b/>
        </w:rPr>
        <w:t xml:space="preserve"> por el área interesada en la adquisición de bienes o la contratación de servicios, a efecto de que el Comité de Adquisiciones y Servicios formule el dictamen de adjudicación correspondiente</w:t>
      </w:r>
      <w:r w:rsidR="00920032" w:rsidRPr="00D64CCF">
        <w:rPr>
          <w:rFonts w:ascii="Palatino Linotype" w:eastAsia="Palatino Linotype" w:hAnsi="Palatino Linotype" w:cs="Palatino Linotype"/>
          <w:b/>
        </w:rPr>
        <w:t>;</w:t>
      </w:r>
    </w:p>
    <w:p w14:paraId="3DB133B0" w14:textId="539CDA60"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Palatino Linotype" w:hAnsi="Palatino Linotype" w:cs="Palatino Linotype"/>
          <w:b/>
        </w:rPr>
      </w:pPr>
      <w:r w:rsidRPr="00D64CCF">
        <w:rPr>
          <w:rFonts w:ascii="Palatino Linotype" w:eastAsia="Palatino Linotype" w:hAnsi="Palatino Linotype" w:cs="Palatino Linotype"/>
          <w:b/>
        </w:rPr>
        <w:t>A</w:t>
      </w:r>
      <w:r w:rsidR="00ED2643" w:rsidRPr="00D64CCF">
        <w:rPr>
          <w:rFonts w:ascii="Palatino Linotype" w:eastAsia="Palatino Linotype" w:hAnsi="Palatino Linotype" w:cs="Palatino Linotype"/>
          <w:b/>
        </w:rPr>
        <w:t>ctas del Comité de Adquisiciones y Servicios, que se deriven durante el desarrollo del procedimiento, considerando los acuerdos que determ</w:t>
      </w:r>
      <w:r w:rsidR="00920032" w:rsidRPr="00D64CCF">
        <w:rPr>
          <w:rFonts w:ascii="Palatino Linotype" w:eastAsia="Palatino Linotype" w:hAnsi="Palatino Linotype" w:cs="Palatino Linotype"/>
          <w:b/>
        </w:rPr>
        <w:t>inen los integrantes del Comité; y,</w:t>
      </w:r>
    </w:p>
    <w:p w14:paraId="213C462C" w14:textId="5AA3F3F4" w:rsidR="00ED2643" w:rsidRPr="00D64CCF" w:rsidRDefault="0063001D" w:rsidP="009D6075">
      <w:pPr>
        <w:pStyle w:val="Prrafodelista"/>
        <w:numPr>
          <w:ilvl w:val="0"/>
          <w:numId w:val="16"/>
        </w:numPr>
        <w:tabs>
          <w:tab w:val="left" w:pos="426"/>
          <w:tab w:val="left" w:pos="851"/>
          <w:tab w:val="left" w:pos="7938"/>
        </w:tabs>
        <w:spacing w:before="240" w:after="240" w:line="360" w:lineRule="auto"/>
        <w:ind w:left="567" w:right="1134" w:firstLine="0"/>
        <w:jc w:val="both"/>
        <w:rPr>
          <w:rFonts w:ascii="Palatino Linotype" w:eastAsia="Palatino Linotype" w:hAnsi="Palatino Linotype" w:cs="Palatino Linotype"/>
          <w:b/>
        </w:rPr>
      </w:pPr>
      <w:r w:rsidRPr="00D64CCF">
        <w:rPr>
          <w:rFonts w:ascii="Palatino Linotype" w:eastAsia="Calibri" w:hAnsi="Palatino Linotype" w:cs="Arial"/>
          <w:b/>
          <w:bCs/>
          <w:color w:val="000000"/>
        </w:rPr>
        <w:t>Proceso o procedimiento para la</w:t>
      </w:r>
      <w:r w:rsidR="00ED2643" w:rsidRPr="00D64CCF">
        <w:rPr>
          <w:rFonts w:ascii="Palatino Linotype" w:eastAsia="Palatino Linotype" w:hAnsi="Palatino Linotype" w:cs="Palatino Linotype"/>
          <w:b/>
        </w:rPr>
        <w:t xml:space="preserve"> </w:t>
      </w:r>
      <w:r w:rsidRPr="00D64CCF">
        <w:rPr>
          <w:rFonts w:ascii="Palatino Linotype" w:eastAsia="Palatino Linotype" w:hAnsi="Palatino Linotype" w:cs="Palatino Linotype"/>
          <w:b/>
        </w:rPr>
        <w:t>c</w:t>
      </w:r>
      <w:r w:rsidR="00ED2643" w:rsidRPr="00D64CCF">
        <w:rPr>
          <w:rFonts w:ascii="Palatino Linotype" w:eastAsia="Palatino Linotype" w:hAnsi="Palatino Linotype" w:cs="Palatino Linotype"/>
          <w:b/>
        </w:rPr>
        <w:t>olaboración de los procesos de adquisición, en la modalidad de licitación pública, invitación restringida y adjudicación directa.</w:t>
      </w:r>
    </w:p>
    <w:p w14:paraId="200CE967" w14:textId="7407B548" w:rsidR="002B327D" w:rsidRPr="00D64CCF" w:rsidRDefault="000B378F" w:rsidP="009D6075">
      <w:pPr>
        <w:spacing w:before="240" w:after="240" w:line="360" w:lineRule="auto"/>
        <w:jc w:val="both"/>
        <w:rPr>
          <w:rFonts w:ascii="Palatino Linotype" w:hAnsi="Palatino Linotype"/>
          <w:bCs/>
        </w:rPr>
      </w:pPr>
      <w:r w:rsidRPr="00D64CCF">
        <w:rPr>
          <w:rFonts w:ascii="Palatino Linotype" w:hAnsi="Palatino Linotype"/>
          <w:bCs/>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D64CCF">
        <w:rPr>
          <w:rFonts w:ascii="Palatino Linotype" w:hAnsi="Palatino Linotype"/>
          <w:bCs/>
        </w:rPr>
        <w:lastRenderedPageBreak/>
        <w:t>documental respectivo objeto de las versiones públicas que se formulen y se ponga a disposición del recurrente.</w:t>
      </w:r>
    </w:p>
    <w:p w14:paraId="539F1CBC" w14:textId="6C09FA17" w:rsidR="00106D68" w:rsidRPr="00D64CCF" w:rsidRDefault="00106D68" w:rsidP="00106D68">
      <w:pPr>
        <w:spacing w:line="360" w:lineRule="auto"/>
        <w:jc w:val="both"/>
        <w:rPr>
          <w:rFonts w:ascii="Palatino Linotype" w:eastAsia="Calibri" w:hAnsi="Palatino Linotype" w:cs="Arial"/>
          <w:color w:val="000000" w:themeColor="text1"/>
        </w:rPr>
      </w:pPr>
      <w:r w:rsidRPr="00D64CCF">
        <w:rPr>
          <w:rFonts w:ascii="Palatino Linotype" w:hAnsi="Palatino Linotype"/>
        </w:rPr>
        <w:t xml:space="preserve">Para el caso que la información que se ordena </w:t>
      </w:r>
      <w:r w:rsidRPr="00D64CCF">
        <w:rPr>
          <w:rFonts w:ascii="Palatino Linotype" w:eastAsia="Calibri" w:hAnsi="Palatino Linotype" w:cs="Arial"/>
          <w:color w:val="000000" w:themeColor="text1"/>
        </w:rPr>
        <w:t xml:space="preserve">no haya sido generada, poseída o administrada, el </w:t>
      </w:r>
      <w:r w:rsidRPr="00D64CCF">
        <w:rPr>
          <w:rFonts w:ascii="Palatino Linotype" w:eastAsia="Calibri" w:hAnsi="Palatino Linotype" w:cs="Arial"/>
          <w:b/>
          <w:color w:val="000000" w:themeColor="text1"/>
        </w:rPr>
        <w:t>SUJETO OBLIGADO</w:t>
      </w:r>
      <w:r w:rsidRPr="00D64CCF">
        <w:rPr>
          <w:rFonts w:ascii="Palatino Linotype" w:eastAsia="Calibri" w:hAnsi="Palatino Linotype" w:cs="Arial"/>
          <w:color w:val="000000" w:themeColor="text1"/>
        </w:rPr>
        <w:t>, deberá manifestarlo de manera precisa y clara, porque no se generó, posee o administra en términos del artículo 19 segundo párrafo.</w:t>
      </w:r>
    </w:p>
    <w:p w14:paraId="1FF484E5" w14:textId="4A6F38B8" w:rsidR="00664916" w:rsidRPr="00D64CCF" w:rsidRDefault="00ED2643" w:rsidP="009D6075">
      <w:pPr>
        <w:spacing w:before="240" w:after="240" w:line="360" w:lineRule="auto"/>
        <w:jc w:val="both"/>
        <w:rPr>
          <w:rFonts w:ascii="Palatino Linotype" w:hAnsi="Palatino Linotype"/>
          <w:bCs/>
        </w:rPr>
      </w:pPr>
      <w:r w:rsidRPr="00D64CCF">
        <w:rPr>
          <w:rFonts w:ascii="Palatino Linotype" w:hAnsi="Palatino Linotype"/>
          <w:b/>
          <w:bCs/>
        </w:rPr>
        <w:t>TERCERO.</w:t>
      </w:r>
      <w:r w:rsidRPr="00D64CCF">
        <w:rPr>
          <w:rFonts w:ascii="Palatino Linotype" w:hAnsi="Palatino Linotype"/>
          <w:bCs/>
        </w:rPr>
        <w:t xml:space="preserve"> Notifíquese al Titular de la Unidad de Transparencia del SUJETO OBLIGADO la presente resolución, vía Sistema de Acceso a la Información Mexiquense (SAIMEX), para que conforme al artículo 186, último párrafo, 189, segundo párrafo, y 194 de la Ley de Transparencia y Acceso a la Información Pública del Estado de México y Municipios dé cumplimiento a lo </w:t>
      </w:r>
      <w:r w:rsidRPr="00D64CCF">
        <w:rPr>
          <w:rFonts w:ascii="Palatino Linotype" w:hAnsi="Palatino Linotype"/>
          <w:b/>
          <w:bCs/>
        </w:rPr>
        <w:t>ordenado dentro del plazo de diez días hábiles,</w:t>
      </w:r>
      <w:r w:rsidRPr="00D64CCF">
        <w:rPr>
          <w:rFonts w:ascii="Palatino Linotype" w:hAnsi="Palatino Linotype"/>
          <w:bCs/>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A27E6D7" w14:textId="66EB8768" w:rsidR="000B378F" w:rsidRPr="00D64CCF" w:rsidRDefault="000B378F" w:rsidP="009D6075">
      <w:pPr>
        <w:spacing w:before="240" w:after="240" w:line="360" w:lineRule="auto"/>
        <w:jc w:val="both"/>
        <w:rPr>
          <w:rFonts w:ascii="Palatino Linotype" w:hAnsi="Palatino Linotype"/>
          <w:lang w:val="es-ES_tradnl"/>
        </w:rPr>
      </w:pPr>
      <w:r w:rsidRPr="00D64CCF">
        <w:rPr>
          <w:rFonts w:ascii="Palatino Linotype" w:hAnsi="Palatino Linotype"/>
          <w:b/>
          <w:lang w:val="es-ES_tradnl"/>
        </w:rPr>
        <w:t xml:space="preserve">CUARTO. </w:t>
      </w:r>
      <w:r w:rsidRPr="00D64CCF">
        <w:rPr>
          <w:rFonts w:ascii="Palatino Linotype" w:hAnsi="Palatino Linotype"/>
          <w:bCs/>
        </w:rPr>
        <w:t>Notifíquese a</w:t>
      </w:r>
      <w:r w:rsidR="000A63A3" w:rsidRPr="00D64CCF">
        <w:rPr>
          <w:rFonts w:ascii="Palatino Linotype" w:hAnsi="Palatino Linotype"/>
          <w:bCs/>
        </w:rPr>
        <w:t xml:space="preserve"> </w:t>
      </w:r>
      <w:r w:rsidR="000A63A3" w:rsidRPr="00D64CCF">
        <w:rPr>
          <w:rFonts w:ascii="Palatino Linotype" w:hAnsi="Palatino Linotype"/>
          <w:b/>
          <w:bCs/>
        </w:rPr>
        <w:t>EL</w:t>
      </w:r>
      <w:r w:rsidRPr="00D64CCF">
        <w:rPr>
          <w:rFonts w:ascii="Palatino Linotype" w:hAnsi="Palatino Linotype"/>
          <w:b/>
          <w:bCs/>
        </w:rPr>
        <w:t xml:space="preserve"> RECURRENTE</w:t>
      </w:r>
      <w:r w:rsidRPr="00D64CCF">
        <w:rPr>
          <w:rFonts w:ascii="Palatino Linotype" w:hAnsi="Palatino Linotype"/>
          <w:b/>
          <w:lang w:val="es-ES_tradnl"/>
        </w:rPr>
        <w:t xml:space="preserve"> </w:t>
      </w:r>
      <w:r w:rsidRPr="00D64CCF">
        <w:rPr>
          <w:rFonts w:ascii="Palatino Linotype" w:hAnsi="Palatino Linotype"/>
          <w:lang w:val="es-ES_tradnl"/>
        </w:rPr>
        <w:t>la presente resolución, vía</w:t>
      </w:r>
      <w:r w:rsidRPr="00D64CCF">
        <w:rPr>
          <w:rFonts w:ascii="Palatino Linotype" w:hAnsi="Palatino Linotype"/>
          <w:b/>
          <w:lang w:val="es-ES_tradnl"/>
        </w:rPr>
        <w:t xml:space="preserve"> SAIMEX</w:t>
      </w:r>
      <w:r w:rsidRPr="00D64CCF">
        <w:rPr>
          <w:rFonts w:ascii="Palatino Linotype" w:hAnsi="Palatino Linotype"/>
          <w:lang w:val="es-ES_tradnl"/>
        </w:rPr>
        <w:t>.</w:t>
      </w:r>
    </w:p>
    <w:p w14:paraId="1F2368A2" w14:textId="1B5354B3" w:rsidR="00820C0D" w:rsidRPr="00D64CCF" w:rsidRDefault="000B378F" w:rsidP="009D6075">
      <w:pPr>
        <w:spacing w:before="240" w:after="240" w:line="360" w:lineRule="auto"/>
        <w:jc w:val="both"/>
        <w:rPr>
          <w:rFonts w:ascii="Palatino Linotype" w:hAnsi="Palatino Linotype"/>
        </w:rPr>
      </w:pPr>
      <w:r w:rsidRPr="00D64CCF">
        <w:rPr>
          <w:rFonts w:ascii="Palatino Linotype" w:hAnsi="Palatino Linotype"/>
          <w:b/>
        </w:rPr>
        <w:t>QUINTO.</w:t>
      </w:r>
      <w:r w:rsidRPr="00D64CCF">
        <w:rPr>
          <w:rFonts w:ascii="Palatino Linotype" w:hAnsi="Palatino Linotype"/>
        </w:rPr>
        <w:t xml:space="preserve"> Se hace del conocimiento de</w:t>
      </w:r>
      <w:r w:rsidRPr="00D64CCF">
        <w:rPr>
          <w:rFonts w:ascii="Palatino Linotype" w:hAnsi="Palatino Linotype"/>
          <w:b/>
        </w:rPr>
        <w:t xml:space="preserve"> </w:t>
      </w:r>
      <w:r w:rsidR="000A63A3" w:rsidRPr="00D64CCF">
        <w:rPr>
          <w:rFonts w:ascii="Palatino Linotype" w:hAnsi="Palatino Linotype"/>
          <w:b/>
        </w:rPr>
        <w:t>EL</w:t>
      </w:r>
      <w:r w:rsidRPr="00D64CCF">
        <w:rPr>
          <w:rFonts w:ascii="Palatino Linotype" w:hAnsi="Palatino Linotype"/>
          <w:b/>
        </w:rPr>
        <w:t xml:space="preserve"> RECURRENTE</w:t>
      </w:r>
      <w:r w:rsidR="00820C0D" w:rsidRPr="00D64CCF">
        <w:rPr>
          <w:rFonts w:ascii="Palatino Linotype" w:hAnsi="Palatino Linotype"/>
          <w:b/>
          <w:lang w:val="es-ES_tradnl"/>
        </w:rPr>
        <w:t xml:space="preserve"> </w:t>
      </w:r>
      <w:r w:rsidR="00820C0D" w:rsidRPr="00D64CCF">
        <w:rPr>
          <w:rFonts w:ascii="Palatino Linotype" w:hAnsi="Palatino Linotype"/>
          <w:lang w:val="es-ES_tradnl"/>
        </w:rPr>
        <w:t xml:space="preserve">que </w:t>
      </w:r>
      <w:r w:rsidRPr="00D64CCF">
        <w:rPr>
          <w:rFonts w:ascii="Palatino Linotype" w:hAnsi="Palatino Linotype"/>
        </w:rPr>
        <w:t xml:space="preserve">de conformidad con lo establecido en el artículo 196 de la Ley de Transparencia y Acceso a la Información Pública del Estado de México y Municipios, en caso de que considere que la resolución </w:t>
      </w:r>
      <w:r w:rsidRPr="00D64CCF">
        <w:rPr>
          <w:rFonts w:ascii="Palatino Linotype" w:hAnsi="Palatino Linotype"/>
        </w:rPr>
        <w:lastRenderedPageBreak/>
        <w:t>le cause algún perjuicio podrá impugnarla </w:t>
      </w:r>
      <w:r w:rsidRPr="00D64CCF">
        <w:rPr>
          <w:rFonts w:ascii="Palatino Linotype" w:hAnsi="Palatino Linotype"/>
          <w:bCs/>
        </w:rPr>
        <w:t>vía juicio de amparo</w:t>
      </w:r>
      <w:r w:rsidRPr="00D64CCF">
        <w:rPr>
          <w:rFonts w:ascii="Palatino Linotype" w:hAnsi="Palatino Linotype"/>
        </w:rPr>
        <w:t> en los términos de las leyes aplicables.</w:t>
      </w:r>
    </w:p>
    <w:p w14:paraId="29468ECA" w14:textId="4605FCB7" w:rsidR="0061502C" w:rsidRPr="00D64CCF" w:rsidRDefault="00820C0D" w:rsidP="009D6075">
      <w:pPr>
        <w:spacing w:before="240" w:after="240" w:line="360" w:lineRule="auto"/>
        <w:jc w:val="both"/>
        <w:rPr>
          <w:rFonts w:ascii="Palatino Linotype" w:hAnsi="Palatino Linotype"/>
          <w:bCs/>
        </w:rPr>
      </w:pPr>
      <w:r w:rsidRPr="00D64CCF">
        <w:rPr>
          <w:rFonts w:ascii="Palatino Linotype" w:hAnsi="Palatino Linotype"/>
          <w:b/>
        </w:rPr>
        <w:t xml:space="preserve">SEXTO. </w:t>
      </w:r>
      <w:r w:rsidRPr="00D64CCF">
        <w:rPr>
          <w:rFonts w:ascii="Palatino Linotype" w:hAnsi="Palatino Linotype"/>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B5FC616" w14:textId="77777777" w:rsidR="00396A66" w:rsidRPr="00D64CCF" w:rsidRDefault="00396A66" w:rsidP="00396A66">
      <w:pPr>
        <w:shd w:val="clear" w:color="auto" w:fill="FFFFFF"/>
        <w:tabs>
          <w:tab w:val="left" w:pos="284"/>
        </w:tabs>
        <w:spacing w:line="360" w:lineRule="auto"/>
        <w:jc w:val="both"/>
        <w:rPr>
          <w:rFonts w:ascii="Palatino Linotype" w:eastAsia="MS Mincho" w:hAnsi="Palatino Linotype"/>
          <w:sz w:val="32"/>
          <w:lang w:val="es-MX"/>
        </w:rPr>
      </w:pPr>
      <w:r w:rsidRPr="00D64CCF">
        <w:rPr>
          <w:rFonts w:ascii="Palatino Linotype" w:eastAsia="MS Mincho" w:hAnsi="Palatino Linotype"/>
          <w:b/>
        </w:rPr>
        <w:t xml:space="preserve">SÉPTIMO. </w:t>
      </w:r>
      <w:r w:rsidRPr="00D64CCF">
        <w:rPr>
          <w:rFonts w:ascii="Palatino Linotype" w:eastAsia="MS Mincho" w:hAnsi="Palatino Linotype"/>
        </w:rPr>
        <w:t>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SEXTO de la presente Resolución.</w:t>
      </w:r>
    </w:p>
    <w:p w14:paraId="46A8E6D0" w14:textId="77777777" w:rsidR="000A5994" w:rsidRPr="000A5994" w:rsidRDefault="000A5994" w:rsidP="000A5994">
      <w:pPr>
        <w:spacing w:before="240" w:after="240" w:line="360" w:lineRule="auto"/>
        <w:ind w:firstLine="1"/>
        <w:jc w:val="both"/>
        <w:rPr>
          <w:rFonts w:ascii="Palatino Linotype" w:hAnsi="Palatino Linotype"/>
          <w:smallCaps/>
        </w:rPr>
      </w:pPr>
      <w:bookmarkStart w:id="62" w:name="_Hlk129792997"/>
      <w:r w:rsidRPr="00D64CCF">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(05) DE JULIO DE DOS MIL VEINTITRÉS, ANTE EL SECRETARIO TÉCNICO DEL PLENO ALEXIS TAPIA RAMÍREZ.</w:t>
      </w:r>
      <w:bookmarkStart w:id="63" w:name="_GoBack"/>
      <w:bookmarkEnd w:id="63"/>
      <w:r w:rsidRPr="000A5994">
        <w:rPr>
          <w:rStyle w:val="Referenciasutil"/>
          <w:rFonts w:ascii="Palatino Linotype" w:hAnsi="Palatino Linotype"/>
          <w:color w:val="auto"/>
        </w:rPr>
        <w:t xml:space="preserve"> </w:t>
      </w:r>
      <w:bookmarkEnd w:id="62"/>
    </w:p>
    <w:p w14:paraId="4453F8E6" w14:textId="2FC8D53A" w:rsidR="00090DE6" w:rsidRPr="009D6075" w:rsidRDefault="00090DE6" w:rsidP="000A5994">
      <w:pPr>
        <w:spacing w:before="240" w:after="240" w:line="360" w:lineRule="auto"/>
        <w:jc w:val="both"/>
        <w:rPr>
          <w:rFonts w:ascii="Palatino Linotype" w:hAnsi="Palatino Linotype"/>
          <w:lang w:val="es-MX"/>
        </w:rPr>
      </w:pPr>
    </w:p>
    <w:sectPr w:rsidR="00090DE6" w:rsidRPr="009D6075" w:rsidSect="001603AE">
      <w:headerReference w:type="default" r:id="rId10"/>
      <w:footerReference w:type="default" r:id="rId11"/>
      <w:headerReference w:type="first" r:id="rId12"/>
      <w:footerReference w:type="first" r:id="rId13"/>
      <w:pgSz w:w="12240" w:h="15840" w:code="1"/>
      <w:pgMar w:top="1417" w:right="1467" w:bottom="1417"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7E94E" w14:textId="77777777" w:rsidR="00E135EA" w:rsidRDefault="00E135EA" w:rsidP="00C80F8C">
      <w:r>
        <w:separator/>
      </w:r>
    </w:p>
  </w:endnote>
  <w:endnote w:type="continuationSeparator" w:id="0">
    <w:p w14:paraId="69F15752" w14:textId="77777777" w:rsidR="00E135EA" w:rsidRDefault="00E135E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ppleSystemUIFont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FA710F8" w:rsidR="00977B95" w:rsidRPr="00817AAB" w:rsidRDefault="00977B9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D64CCF">
      <w:rPr>
        <w:rFonts w:ascii="Palatino Linotype" w:hAnsi="Palatino Linotype" w:cs="Arial"/>
        <w:b/>
        <w:bCs/>
        <w:noProof/>
      </w:rPr>
      <w:t>72</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D64CCF">
      <w:rPr>
        <w:rFonts w:ascii="Palatino Linotype" w:hAnsi="Palatino Linotype" w:cs="Arial"/>
        <w:b/>
        <w:bCs/>
        <w:noProof/>
      </w:rPr>
      <w:t>72</w:t>
    </w:r>
    <w:r w:rsidRPr="00817AAB">
      <w:rPr>
        <w:rFonts w:ascii="Palatino Linotype" w:hAnsi="Palatino Linotype" w:cs="Arial"/>
        <w:b/>
        <w:bCs/>
      </w:rPr>
      <w:fldChar w:fldCharType="end"/>
    </w:r>
  </w:p>
  <w:p w14:paraId="1192A578" w14:textId="77777777" w:rsidR="00977B95" w:rsidRDefault="00977B95" w:rsidP="00935A0D">
    <w:pPr>
      <w:pStyle w:val="Piedepgina"/>
      <w:rPr>
        <w:rFonts w:ascii="Times New Roman" w:hAnsi="Times New Roman" w:cs="Times New Roman"/>
      </w:rPr>
    </w:pPr>
  </w:p>
  <w:p w14:paraId="14A770F8" w14:textId="77777777" w:rsidR="00977B95" w:rsidRDefault="00977B95" w:rsidP="006F30F8">
    <w:pPr>
      <w:pStyle w:val="Piedepgina"/>
      <w:ind w:firstLine="708"/>
    </w:pPr>
  </w:p>
  <w:p w14:paraId="613C8CCC" w14:textId="77777777" w:rsidR="00977B95" w:rsidRDefault="00977B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2AF25A04" w:rsidR="00977B95" w:rsidRDefault="00977B9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64CCF">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64CCF">
      <w:rPr>
        <w:rFonts w:ascii="Arial" w:hAnsi="Arial" w:cs="Arial"/>
        <w:b/>
        <w:bCs/>
        <w:noProof/>
        <w:sz w:val="20"/>
        <w:szCs w:val="20"/>
      </w:rPr>
      <w:t>72</w:t>
    </w:r>
    <w:r>
      <w:rPr>
        <w:rFonts w:ascii="Arial" w:hAnsi="Arial" w:cs="Arial"/>
        <w:b/>
        <w:bCs/>
        <w:sz w:val="20"/>
        <w:szCs w:val="20"/>
      </w:rPr>
      <w:fldChar w:fldCharType="end"/>
    </w:r>
  </w:p>
  <w:p w14:paraId="5D98ABD5" w14:textId="77777777" w:rsidR="00977B95" w:rsidRDefault="00977B95">
    <w:pPr>
      <w:pStyle w:val="Piedepgina"/>
    </w:pPr>
  </w:p>
  <w:p w14:paraId="67A98BF8" w14:textId="77777777" w:rsidR="00977B95" w:rsidRDefault="00977B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2AD11C" w14:textId="77777777" w:rsidR="00E135EA" w:rsidRDefault="00E135EA" w:rsidP="00C80F8C">
      <w:r>
        <w:separator/>
      </w:r>
    </w:p>
  </w:footnote>
  <w:footnote w:type="continuationSeparator" w:id="0">
    <w:p w14:paraId="1FE0FD12" w14:textId="77777777" w:rsidR="00E135EA" w:rsidRDefault="00E135EA" w:rsidP="00C80F8C">
      <w:r>
        <w:continuationSeparator/>
      </w:r>
    </w:p>
  </w:footnote>
  <w:footnote w:id="1">
    <w:p w14:paraId="652F332C" w14:textId="77777777" w:rsidR="00977B95" w:rsidRPr="00F75272" w:rsidRDefault="00977B95" w:rsidP="00866BA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658E1455" w14:textId="77777777" w:rsidR="00977B95" w:rsidRDefault="00977B95" w:rsidP="00D8737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16AEED14" w14:textId="77777777" w:rsidR="00977B95" w:rsidRDefault="00977B95" w:rsidP="00D8737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4FC9D6D5" w14:textId="77777777" w:rsidR="00977B95" w:rsidRDefault="00977B95" w:rsidP="00D87374">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D43768F" w14:textId="77777777" w:rsidR="00977B95" w:rsidRDefault="00977B95" w:rsidP="00D87374">
      <w:pPr>
        <w:pStyle w:val="Textonotapie"/>
      </w:pPr>
      <w:r>
        <w:rPr>
          <w:rStyle w:val="Refdenotaalpie"/>
          <w:rFonts w:ascii="Palatino Linotype" w:hAnsi="Palatino Linotype"/>
        </w:rPr>
        <w:footnoteRef/>
      </w:r>
      <w:r>
        <w:rPr>
          <w:rFonts w:ascii="Palatino Linotype" w:hAnsi="Palatino Linotype"/>
          <w:sz w:val="18"/>
        </w:rPr>
        <w:t xml:space="preserve"> Ibídem. Parr. 87.</w:t>
      </w:r>
    </w:p>
  </w:footnote>
  <w:footnote w:id="6">
    <w:p w14:paraId="7B45EB2F" w14:textId="77777777" w:rsidR="00977B95" w:rsidRDefault="00977B95" w:rsidP="00396A66">
      <w:pPr>
        <w:pStyle w:val="Textonotapie"/>
      </w:pPr>
      <w:r>
        <w:rPr>
          <w:rStyle w:val="Refdenotaalpie"/>
        </w:rPr>
        <w:footnoteRef/>
      </w:r>
      <w:r>
        <w:t xml:space="preserve"> Ferrajoli, Luigi.(2013). </w:t>
      </w:r>
      <w:r>
        <w:rPr>
          <w:i/>
        </w:rPr>
        <w:t>Tomo I ,Principia iuris Teoría del derecho y de la democracia. Teoría del derecho</w:t>
      </w:r>
      <w:r>
        <w:t xml:space="preserve">. Madrid:Trotta,676 páginas.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77B95" w14:paraId="6B4E3B81" w14:textId="77777777" w:rsidTr="00B4299A">
      <w:tc>
        <w:tcPr>
          <w:tcW w:w="2701" w:type="dxa"/>
          <w:vAlign w:val="center"/>
          <w:hideMark/>
        </w:tcPr>
        <w:p w14:paraId="0ABBC6C0" w14:textId="1226DAAF" w:rsidR="00977B95" w:rsidRPr="00B4299A" w:rsidRDefault="00977B9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6724799A" w:rsidR="00977B95" w:rsidRPr="00B4299A" w:rsidRDefault="00977B95" w:rsidP="004D3F79">
          <w:pPr>
            <w:rPr>
              <w:rFonts w:ascii="Palatino Linotype" w:hAnsi="Palatino Linotype"/>
              <w:b/>
              <w:szCs w:val="22"/>
              <w:lang w:val="es-ES_tradnl"/>
            </w:rPr>
          </w:pPr>
          <w:r w:rsidRPr="00114F0F">
            <w:rPr>
              <w:rFonts w:ascii="Palatino Linotype" w:eastAsiaTheme="minorEastAsia" w:hAnsi="Palatino Linotype" w:cstheme="minorBidi"/>
              <w:b/>
              <w:bCs/>
              <w:color w:val="000000" w:themeColor="text1"/>
            </w:rPr>
            <w:t>03398/INFOEM/IP/RR/2022</w:t>
          </w:r>
          <w:r>
            <w:rPr>
              <w:rFonts w:ascii="Palatino Linotype" w:eastAsiaTheme="minorEastAsia" w:hAnsi="Palatino Linotype" w:cstheme="minorBidi"/>
              <w:b/>
              <w:bCs/>
              <w:color w:val="000000" w:themeColor="text1"/>
            </w:rPr>
            <w:t xml:space="preserve"> </w:t>
          </w:r>
          <w:r>
            <w:rPr>
              <w:rFonts w:ascii="Palatino Linotype" w:hAnsi="Palatino Linotype"/>
              <w:b/>
              <w:szCs w:val="22"/>
              <w:lang w:val="es-ES_tradnl"/>
            </w:rPr>
            <w:t>y Acumulados.</w:t>
          </w:r>
        </w:p>
      </w:tc>
    </w:tr>
    <w:tr w:rsidR="00977B95" w14:paraId="31CB780F" w14:textId="77777777" w:rsidTr="00B4299A">
      <w:trPr>
        <w:trHeight w:val="228"/>
      </w:trPr>
      <w:tc>
        <w:tcPr>
          <w:tcW w:w="2701" w:type="dxa"/>
          <w:vAlign w:val="center"/>
          <w:hideMark/>
        </w:tcPr>
        <w:p w14:paraId="4F49CB4A" w14:textId="6966D32E" w:rsidR="00977B95" w:rsidRPr="00B4299A" w:rsidRDefault="00977B9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36080BC4" w:rsidR="00977B95" w:rsidRPr="00B4299A" w:rsidRDefault="00977B95" w:rsidP="00B96D41">
          <w:pPr>
            <w:jc w:val="both"/>
            <w:rPr>
              <w:rFonts w:ascii="Palatino Linotype" w:hAnsi="Palatino Linotype"/>
              <w:b/>
              <w:szCs w:val="22"/>
              <w:lang w:val="es-ES_tradnl"/>
            </w:rPr>
          </w:pPr>
          <w:r w:rsidRPr="00114F0F">
            <w:rPr>
              <w:rFonts w:ascii="Palatino Linotype" w:hAnsi="Palatino Linotype"/>
              <w:b/>
              <w:szCs w:val="22"/>
              <w:lang w:val="es-ES_tradnl"/>
            </w:rPr>
            <w:t>Ayuntamiento de Metepec</w:t>
          </w:r>
        </w:p>
      </w:tc>
    </w:tr>
    <w:tr w:rsidR="00977B95" w14:paraId="69050F56" w14:textId="77777777" w:rsidTr="00B4299A">
      <w:tc>
        <w:tcPr>
          <w:tcW w:w="2701" w:type="dxa"/>
          <w:vAlign w:val="center"/>
          <w:hideMark/>
        </w:tcPr>
        <w:p w14:paraId="65C9B735" w14:textId="75C78F81" w:rsidR="00977B95" w:rsidRPr="00B4299A" w:rsidRDefault="00977B9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77B95" w:rsidRPr="00B4299A" w:rsidRDefault="00977B9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331EE373" w:rsidR="00977B95" w:rsidRDefault="00977B9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7785C288">
          <wp:simplePos x="0" y="0"/>
          <wp:positionH relativeFrom="page">
            <wp:posOffset>76200</wp:posOffset>
          </wp:positionH>
          <wp:positionV relativeFrom="paragraph">
            <wp:posOffset>-1446530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77B95" w:rsidRDefault="00977B95" w:rsidP="006F30F8">
    <w:pPr>
      <w:pStyle w:val="Encabezado"/>
      <w:tabs>
        <w:tab w:val="clear" w:pos="4252"/>
        <w:tab w:val="clear" w:pos="8504"/>
        <w:tab w:val="left" w:pos="2326"/>
      </w:tabs>
    </w:pPr>
  </w:p>
  <w:p w14:paraId="0E94A502" w14:textId="77777777" w:rsidR="00977B95" w:rsidRDefault="00977B9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77B95" w:rsidRDefault="00977B9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77B95" w14:paraId="477E149B" w14:textId="77777777" w:rsidTr="00CB57FD">
      <w:trPr>
        <w:trHeight w:val="277"/>
      </w:trPr>
      <w:tc>
        <w:tcPr>
          <w:tcW w:w="2693" w:type="dxa"/>
          <w:vAlign w:val="center"/>
          <w:hideMark/>
        </w:tcPr>
        <w:p w14:paraId="5C0586E4" w14:textId="77777777" w:rsidR="00977B95" w:rsidRPr="009B3353" w:rsidRDefault="00977B9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2CA19B23" w:rsidR="00977B95" w:rsidRPr="009B3353" w:rsidRDefault="00977B95" w:rsidP="00BE7A7E">
          <w:pPr>
            <w:rPr>
              <w:rFonts w:ascii="Palatino Linotype" w:hAnsi="Palatino Linotype"/>
              <w:b/>
              <w:szCs w:val="22"/>
              <w:lang w:val="es-ES_tradnl"/>
            </w:rPr>
          </w:pPr>
          <w:r w:rsidRPr="00114F0F">
            <w:rPr>
              <w:rFonts w:ascii="Palatino Linotype" w:hAnsi="Palatino Linotype"/>
              <w:b/>
              <w:bCs/>
              <w:szCs w:val="22"/>
            </w:rPr>
            <w:t>03398/INFOEM/IP/RR/2022</w:t>
          </w:r>
          <w:r>
            <w:rPr>
              <w:rFonts w:ascii="Palatino Linotype" w:hAnsi="Palatino Linotype"/>
              <w:b/>
              <w:bCs/>
              <w:szCs w:val="22"/>
            </w:rPr>
            <w:t xml:space="preserve"> y Acumulados.</w:t>
          </w:r>
        </w:p>
      </w:tc>
    </w:tr>
    <w:tr w:rsidR="00977B95" w14:paraId="5B5BE21C" w14:textId="77777777" w:rsidTr="00CB57FD">
      <w:tc>
        <w:tcPr>
          <w:tcW w:w="2693" w:type="dxa"/>
          <w:vAlign w:val="center"/>
          <w:hideMark/>
        </w:tcPr>
        <w:p w14:paraId="4AE96902" w14:textId="4E063913" w:rsidR="00977B95" w:rsidRPr="009B3353" w:rsidRDefault="00977B9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A681471" w:rsidR="00977B95" w:rsidRPr="009B3353" w:rsidRDefault="00977B95" w:rsidP="00403679">
          <w:pPr>
            <w:jc w:val="both"/>
            <w:rPr>
              <w:rFonts w:ascii="Palatino Linotype" w:hAnsi="Palatino Linotype"/>
              <w:b/>
              <w:szCs w:val="22"/>
              <w:lang w:val="es-ES_tradnl"/>
            </w:rPr>
          </w:pPr>
        </w:p>
      </w:tc>
    </w:tr>
    <w:tr w:rsidR="00977B95" w14:paraId="22601A11" w14:textId="77777777" w:rsidTr="00CB57FD">
      <w:trPr>
        <w:trHeight w:val="228"/>
      </w:trPr>
      <w:tc>
        <w:tcPr>
          <w:tcW w:w="2693" w:type="dxa"/>
          <w:vAlign w:val="center"/>
          <w:hideMark/>
        </w:tcPr>
        <w:p w14:paraId="6EFE221D" w14:textId="49C5F800" w:rsidR="00977B95" w:rsidRPr="009B3353" w:rsidRDefault="00977B9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24375C0C" w:rsidR="00977B95" w:rsidRPr="009B3353" w:rsidRDefault="00977B95" w:rsidP="00403679">
          <w:pPr>
            <w:jc w:val="both"/>
            <w:rPr>
              <w:rFonts w:ascii="Palatino Linotype" w:eastAsia="Calibri" w:hAnsi="Palatino Linotype"/>
              <w:b/>
              <w:szCs w:val="22"/>
              <w:lang w:val="es-MX" w:eastAsia="en-US"/>
            </w:rPr>
          </w:pPr>
          <w:r w:rsidRPr="00114F0F">
            <w:rPr>
              <w:rFonts w:ascii="Palatino Linotype" w:eastAsia="Calibri" w:hAnsi="Palatino Linotype"/>
              <w:b/>
              <w:szCs w:val="22"/>
              <w:lang w:val="es-MX" w:eastAsia="en-US"/>
            </w:rPr>
            <w:t>Ayuntamiento de Metepec</w:t>
          </w:r>
        </w:p>
      </w:tc>
    </w:tr>
    <w:tr w:rsidR="00977B95" w14:paraId="2D6C630E" w14:textId="77777777" w:rsidTr="00CB57FD">
      <w:tc>
        <w:tcPr>
          <w:tcW w:w="2693" w:type="dxa"/>
          <w:vAlign w:val="center"/>
          <w:hideMark/>
        </w:tcPr>
        <w:p w14:paraId="5BD4C6DB" w14:textId="7CF21504" w:rsidR="00977B95" w:rsidRPr="009B3353" w:rsidRDefault="00977B9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77B95" w:rsidRPr="009B3353" w:rsidRDefault="00977B9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77B95" w:rsidRDefault="00977B95" w:rsidP="00C47D1B">
    <w:pPr>
      <w:pStyle w:val="Encabezado"/>
    </w:pPr>
  </w:p>
  <w:p w14:paraId="6E4889FF" w14:textId="77777777" w:rsidR="00977B95" w:rsidRDefault="00977B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A0D0C"/>
    <w:multiLevelType w:val="hybridMultilevel"/>
    <w:tmpl w:val="F7121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492ACE"/>
    <w:multiLevelType w:val="hybridMultilevel"/>
    <w:tmpl w:val="176AC1B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1BEB4445"/>
    <w:multiLevelType w:val="hybridMultilevel"/>
    <w:tmpl w:val="D4A68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DC722D3"/>
    <w:multiLevelType w:val="hybridMultilevel"/>
    <w:tmpl w:val="B1CA32AE"/>
    <w:lvl w:ilvl="0" w:tplc="A52C2E22">
      <w:start w:val="1"/>
      <w:numFmt w:val="upperRoman"/>
      <w:lvlText w:val="%1."/>
      <w:lvlJc w:val="left"/>
      <w:pPr>
        <w:ind w:left="1080" w:hanging="720"/>
      </w:pPr>
      <w:rPr>
        <w:rFonts w:hint="default"/>
      </w:rPr>
    </w:lvl>
    <w:lvl w:ilvl="1" w:tplc="B1FC9CD8">
      <w:numFmt w:val="bullet"/>
      <w:lvlText w:val="•"/>
      <w:lvlJc w:val="left"/>
      <w:pPr>
        <w:ind w:left="1635" w:hanging="555"/>
      </w:pPr>
      <w:rPr>
        <w:rFonts w:ascii="Palatino Linotype" w:eastAsia="Palatino Linotype" w:hAnsi="Palatino Linotype" w:cs="Palatino Linotype"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A5C5783"/>
    <w:multiLevelType w:val="hybridMultilevel"/>
    <w:tmpl w:val="1758CAC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DEA3D04"/>
    <w:multiLevelType w:val="hybridMultilevel"/>
    <w:tmpl w:val="C7C2E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9A3C11"/>
    <w:multiLevelType w:val="hybridMultilevel"/>
    <w:tmpl w:val="F3780A70"/>
    <w:lvl w:ilvl="0" w:tplc="F2A2EEAA">
      <w:start w:val="12"/>
      <w:numFmt w:val="decimal"/>
      <w:lvlText w:val="%1."/>
      <w:lvlJc w:val="left"/>
      <w:pPr>
        <w:ind w:left="4188" w:hanging="360"/>
      </w:pPr>
      <w:rPr>
        <w:rFonts w:hint="default"/>
        <w:b/>
        <w:i w:val="0"/>
      </w:rPr>
    </w:lvl>
    <w:lvl w:ilvl="1" w:tplc="0BF88100">
      <w:start w:val="1"/>
      <w:numFmt w:val="lowerLetter"/>
      <w:lvlText w:val="%2)"/>
      <w:lvlJc w:val="left"/>
      <w:pPr>
        <w:ind w:left="4908" w:hanging="360"/>
      </w:pPr>
      <w:rPr>
        <w:rFonts w:hint="default"/>
      </w:rPr>
    </w:lvl>
    <w:lvl w:ilvl="2" w:tplc="AF502D40">
      <w:numFmt w:val="bullet"/>
      <w:lvlText w:val="•"/>
      <w:lvlJc w:val="left"/>
      <w:pPr>
        <w:ind w:left="5808" w:hanging="360"/>
      </w:pPr>
      <w:rPr>
        <w:rFonts w:ascii="Palatino Linotype" w:eastAsiaTheme="minorEastAsia" w:hAnsi="Palatino Linotype" w:cstheme="minorBidi" w:hint="default"/>
      </w:rPr>
    </w:lvl>
    <w:lvl w:ilvl="3" w:tplc="080A000F" w:tentative="1">
      <w:start w:val="1"/>
      <w:numFmt w:val="decimal"/>
      <w:lvlText w:val="%4."/>
      <w:lvlJc w:val="left"/>
      <w:pPr>
        <w:ind w:left="6348" w:hanging="360"/>
      </w:pPr>
    </w:lvl>
    <w:lvl w:ilvl="4" w:tplc="080A0019" w:tentative="1">
      <w:start w:val="1"/>
      <w:numFmt w:val="lowerLetter"/>
      <w:lvlText w:val="%5."/>
      <w:lvlJc w:val="left"/>
      <w:pPr>
        <w:ind w:left="7068" w:hanging="360"/>
      </w:pPr>
    </w:lvl>
    <w:lvl w:ilvl="5" w:tplc="080A001B" w:tentative="1">
      <w:start w:val="1"/>
      <w:numFmt w:val="lowerRoman"/>
      <w:lvlText w:val="%6."/>
      <w:lvlJc w:val="right"/>
      <w:pPr>
        <w:ind w:left="7788" w:hanging="180"/>
      </w:pPr>
    </w:lvl>
    <w:lvl w:ilvl="6" w:tplc="080A000F" w:tentative="1">
      <w:start w:val="1"/>
      <w:numFmt w:val="decimal"/>
      <w:lvlText w:val="%7."/>
      <w:lvlJc w:val="left"/>
      <w:pPr>
        <w:ind w:left="8508" w:hanging="360"/>
      </w:pPr>
    </w:lvl>
    <w:lvl w:ilvl="7" w:tplc="080A0019" w:tentative="1">
      <w:start w:val="1"/>
      <w:numFmt w:val="lowerLetter"/>
      <w:lvlText w:val="%8."/>
      <w:lvlJc w:val="left"/>
      <w:pPr>
        <w:ind w:left="9228" w:hanging="360"/>
      </w:pPr>
    </w:lvl>
    <w:lvl w:ilvl="8" w:tplc="080A001B" w:tentative="1">
      <w:start w:val="1"/>
      <w:numFmt w:val="lowerRoman"/>
      <w:lvlText w:val="%9."/>
      <w:lvlJc w:val="right"/>
      <w:pPr>
        <w:ind w:left="9948" w:hanging="180"/>
      </w:pPr>
    </w:lvl>
  </w:abstractNum>
  <w:abstractNum w:abstractNumId="8">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nsid w:val="597B1676"/>
    <w:multiLevelType w:val="hybridMultilevel"/>
    <w:tmpl w:val="B46ABF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5E14587"/>
    <w:multiLevelType w:val="hybridMultilevel"/>
    <w:tmpl w:val="23DACFFA"/>
    <w:lvl w:ilvl="0" w:tplc="7CD4631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73E70FA"/>
    <w:multiLevelType w:val="hybridMultilevel"/>
    <w:tmpl w:val="D24C403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69577BA6"/>
    <w:multiLevelType w:val="hybridMultilevel"/>
    <w:tmpl w:val="D07837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6DDD7517"/>
    <w:multiLevelType w:val="hybridMultilevel"/>
    <w:tmpl w:val="3F841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640F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43204EE"/>
    <w:multiLevelType w:val="hybridMultilevel"/>
    <w:tmpl w:val="6F489BB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70136A0"/>
    <w:multiLevelType w:val="hybridMultilevel"/>
    <w:tmpl w:val="DE585F00"/>
    <w:lvl w:ilvl="0" w:tplc="9216D5FA">
      <w:start w:val="1"/>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3"/>
  </w:num>
  <w:num w:numId="3">
    <w:abstractNumId w:val="4"/>
  </w:num>
  <w:num w:numId="4">
    <w:abstractNumId w:val="2"/>
  </w:num>
  <w:num w:numId="5">
    <w:abstractNumId w:val="6"/>
  </w:num>
  <w:num w:numId="6">
    <w:abstractNumId w:val="10"/>
  </w:num>
  <w:num w:numId="7">
    <w:abstractNumId w:val="12"/>
  </w:num>
  <w:num w:numId="8">
    <w:abstractNumId w:val="5"/>
  </w:num>
  <w:num w:numId="9">
    <w:abstractNumId w:val="13"/>
  </w:num>
  <w:num w:numId="10">
    <w:abstractNumId w:val="16"/>
  </w:num>
  <w:num w:numId="11">
    <w:abstractNumId w:val="0"/>
  </w:num>
  <w:num w:numId="12">
    <w:abstractNumId w:val="9"/>
  </w:num>
  <w:num w:numId="13">
    <w:abstractNumId w:val="14"/>
  </w:num>
  <w:num w:numId="14">
    <w:abstractNumId w:val="7"/>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n-U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8B"/>
    <w:rsid w:val="00000938"/>
    <w:rsid w:val="00000B4E"/>
    <w:rsid w:val="000035AE"/>
    <w:rsid w:val="00003CF3"/>
    <w:rsid w:val="000045A8"/>
    <w:rsid w:val="000058C9"/>
    <w:rsid w:val="000059CF"/>
    <w:rsid w:val="000061F4"/>
    <w:rsid w:val="0000625E"/>
    <w:rsid w:val="000064FC"/>
    <w:rsid w:val="0000746A"/>
    <w:rsid w:val="0001076E"/>
    <w:rsid w:val="000115F7"/>
    <w:rsid w:val="000126EB"/>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1E7B"/>
    <w:rsid w:val="00032C80"/>
    <w:rsid w:val="00033629"/>
    <w:rsid w:val="0003385D"/>
    <w:rsid w:val="00034D7D"/>
    <w:rsid w:val="00035413"/>
    <w:rsid w:val="000354B7"/>
    <w:rsid w:val="000359D8"/>
    <w:rsid w:val="00035B1B"/>
    <w:rsid w:val="00035F2E"/>
    <w:rsid w:val="00036575"/>
    <w:rsid w:val="00036B8A"/>
    <w:rsid w:val="00040383"/>
    <w:rsid w:val="000403FB"/>
    <w:rsid w:val="000405D4"/>
    <w:rsid w:val="00041464"/>
    <w:rsid w:val="00041731"/>
    <w:rsid w:val="00041A77"/>
    <w:rsid w:val="00041BCD"/>
    <w:rsid w:val="00041EFB"/>
    <w:rsid w:val="0004227E"/>
    <w:rsid w:val="000423C7"/>
    <w:rsid w:val="0004471E"/>
    <w:rsid w:val="00045165"/>
    <w:rsid w:val="00045FD8"/>
    <w:rsid w:val="00047F41"/>
    <w:rsid w:val="00050A4E"/>
    <w:rsid w:val="00051773"/>
    <w:rsid w:val="00051A54"/>
    <w:rsid w:val="0005205E"/>
    <w:rsid w:val="000535B0"/>
    <w:rsid w:val="00053777"/>
    <w:rsid w:val="00053D74"/>
    <w:rsid w:val="00054EFE"/>
    <w:rsid w:val="00054F89"/>
    <w:rsid w:val="00055938"/>
    <w:rsid w:val="00055F7A"/>
    <w:rsid w:val="00057073"/>
    <w:rsid w:val="00060CD1"/>
    <w:rsid w:val="0006184D"/>
    <w:rsid w:val="000641D1"/>
    <w:rsid w:val="000646E3"/>
    <w:rsid w:val="00066610"/>
    <w:rsid w:val="000667E0"/>
    <w:rsid w:val="00070A81"/>
    <w:rsid w:val="00071462"/>
    <w:rsid w:val="00071A99"/>
    <w:rsid w:val="00072BEF"/>
    <w:rsid w:val="00072C08"/>
    <w:rsid w:val="00072D06"/>
    <w:rsid w:val="0007342C"/>
    <w:rsid w:val="00074010"/>
    <w:rsid w:val="00074F21"/>
    <w:rsid w:val="000752EF"/>
    <w:rsid w:val="00075D7A"/>
    <w:rsid w:val="00076CAF"/>
    <w:rsid w:val="0007730D"/>
    <w:rsid w:val="00077347"/>
    <w:rsid w:val="000776D2"/>
    <w:rsid w:val="00077788"/>
    <w:rsid w:val="00077C21"/>
    <w:rsid w:val="00080FA4"/>
    <w:rsid w:val="0008165D"/>
    <w:rsid w:val="0008195D"/>
    <w:rsid w:val="00081B51"/>
    <w:rsid w:val="000824DB"/>
    <w:rsid w:val="00083058"/>
    <w:rsid w:val="0008337E"/>
    <w:rsid w:val="00084105"/>
    <w:rsid w:val="00085359"/>
    <w:rsid w:val="0008542A"/>
    <w:rsid w:val="00085C91"/>
    <w:rsid w:val="00086E2B"/>
    <w:rsid w:val="00086EAA"/>
    <w:rsid w:val="00087498"/>
    <w:rsid w:val="00087514"/>
    <w:rsid w:val="00087DC9"/>
    <w:rsid w:val="000907D4"/>
    <w:rsid w:val="00090DE6"/>
    <w:rsid w:val="00090EBA"/>
    <w:rsid w:val="00091682"/>
    <w:rsid w:val="0009456A"/>
    <w:rsid w:val="00094E67"/>
    <w:rsid w:val="000958E5"/>
    <w:rsid w:val="0009719D"/>
    <w:rsid w:val="00097C05"/>
    <w:rsid w:val="00097EF0"/>
    <w:rsid w:val="000A05A2"/>
    <w:rsid w:val="000A0D0B"/>
    <w:rsid w:val="000A0D59"/>
    <w:rsid w:val="000A1C9A"/>
    <w:rsid w:val="000A1E1F"/>
    <w:rsid w:val="000A261A"/>
    <w:rsid w:val="000A2EDB"/>
    <w:rsid w:val="000A351A"/>
    <w:rsid w:val="000A3A51"/>
    <w:rsid w:val="000A4EC4"/>
    <w:rsid w:val="000A515A"/>
    <w:rsid w:val="000A577A"/>
    <w:rsid w:val="000A5994"/>
    <w:rsid w:val="000A5B28"/>
    <w:rsid w:val="000A6205"/>
    <w:rsid w:val="000A63A3"/>
    <w:rsid w:val="000A63B9"/>
    <w:rsid w:val="000A6651"/>
    <w:rsid w:val="000A740B"/>
    <w:rsid w:val="000A7C0E"/>
    <w:rsid w:val="000B07E5"/>
    <w:rsid w:val="000B0BF3"/>
    <w:rsid w:val="000B1236"/>
    <w:rsid w:val="000B1437"/>
    <w:rsid w:val="000B1693"/>
    <w:rsid w:val="000B2704"/>
    <w:rsid w:val="000B2B61"/>
    <w:rsid w:val="000B2CE3"/>
    <w:rsid w:val="000B2FE2"/>
    <w:rsid w:val="000B378F"/>
    <w:rsid w:val="000B3FFD"/>
    <w:rsid w:val="000B4571"/>
    <w:rsid w:val="000B495A"/>
    <w:rsid w:val="000B4E3D"/>
    <w:rsid w:val="000B5351"/>
    <w:rsid w:val="000B57CE"/>
    <w:rsid w:val="000B69A8"/>
    <w:rsid w:val="000B7101"/>
    <w:rsid w:val="000B7318"/>
    <w:rsid w:val="000B7332"/>
    <w:rsid w:val="000B77BE"/>
    <w:rsid w:val="000B7B5A"/>
    <w:rsid w:val="000C1184"/>
    <w:rsid w:val="000C11BE"/>
    <w:rsid w:val="000C16AF"/>
    <w:rsid w:val="000C1B34"/>
    <w:rsid w:val="000C1B7E"/>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588E"/>
    <w:rsid w:val="000D6B27"/>
    <w:rsid w:val="000D7676"/>
    <w:rsid w:val="000D7CBE"/>
    <w:rsid w:val="000D7F38"/>
    <w:rsid w:val="000D7F6F"/>
    <w:rsid w:val="000E08B8"/>
    <w:rsid w:val="000E1259"/>
    <w:rsid w:val="000E1C85"/>
    <w:rsid w:val="000E1CA1"/>
    <w:rsid w:val="000E2BC0"/>
    <w:rsid w:val="000E44E3"/>
    <w:rsid w:val="000E462D"/>
    <w:rsid w:val="000E48C2"/>
    <w:rsid w:val="000E5560"/>
    <w:rsid w:val="000E5806"/>
    <w:rsid w:val="000E59A1"/>
    <w:rsid w:val="000E5D65"/>
    <w:rsid w:val="000E693E"/>
    <w:rsid w:val="000F1BBF"/>
    <w:rsid w:val="000F219C"/>
    <w:rsid w:val="000F2EB3"/>
    <w:rsid w:val="000F4598"/>
    <w:rsid w:val="000F5F9E"/>
    <w:rsid w:val="000F71B5"/>
    <w:rsid w:val="000F7FE2"/>
    <w:rsid w:val="001002A8"/>
    <w:rsid w:val="0010152C"/>
    <w:rsid w:val="00101832"/>
    <w:rsid w:val="00103E4C"/>
    <w:rsid w:val="0010451F"/>
    <w:rsid w:val="00104E08"/>
    <w:rsid w:val="00104ECA"/>
    <w:rsid w:val="00106146"/>
    <w:rsid w:val="00106B32"/>
    <w:rsid w:val="00106D68"/>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4F0F"/>
    <w:rsid w:val="00115AAD"/>
    <w:rsid w:val="00116064"/>
    <w:rsid w:val="00117030"/>
    <w:rsid w:val="0012062D"/>
    <w:rsid w:val="00120D7C"/>
    <w:rsid w:val="001210A4"/>
    <w:rsid w:val="001219E7"/>
    <w:rsid w:val="001227CA"/>
    <w:rsid w:val="00123061"/>
    <w:rsid w:val="00124762"/>
    <w:rsid w:val="00124D16"/>
    <w:rsid w:val="00124EA4"/>
    <w:rsid w:val="00126994"/>
    <w:rsid w:val="00126F04"/>
    <w:rsid w:val="0012727A"/>
    <w:rsid w:val="00127CCA"/>
    <w:rsid w:val="00130642"/>
    <w:rsid w:val="001306E4"/>
    <w:rsid w:val="00130AA5"/>
    <w:rsid w:val="00130BA7"/>
    <w:rsid w:val="00132756"/>
    <w:rsid w:val="00135D98"/>
    <w:rsid w:val="00136083"/>
    <w:rsid w:val="001362C2"/>
    <w:rsid w:val="00137C1F"/>
    <w:rsid w:val="0014148E"/>
    <w:rsid w:val="00141F78"/>
    <w:rsid w:val="00143012"/>
    <w:rsid w:val="00143967"/>
    <w:rsid w:val="001445AB"/>
    <w:rsid w:val="0014506E"/>
    <w:rsid w:val="001454A4"/>
    <w:rsid w:val="00147E1D"/>
    <w:rsid w:val="00150789"/>
    <w:rsid w:val="00150C0D"/>
    <w:rsid w:val="00151A0D"/>
    <w:rsid w:val="00151D19"/>
    <w:rsid w:val="00152866"/>
    <w:rsid w:val="0015311F"/>
    <w:rsid w:val="001539B3"/>
    <w:rsid w:val="00153F8E"/>
    <w:rsid w:val="001543BC"/>
    <w:rsid w:val="0015502B"/>
    <w:rsid w:val="0015554A"/>
    <w:rsid w:val="0015575F"/>
    <w:rsid w:val="00155BCB"/>
    <w:rsid w:val="00155D53"/>
    <w:rsid w:val="0015702E"/>
    <w:rsid w:val="001603AE"/>
    <w:rsid w:val="00160E43"/>
    <w:rsid w:val="00161160"/>
    <w:rsid w:val="00161B66"/>
    <w:rsid w:val="00161FC4"/>
    <w:rsid w:val="00162CA1"/>
    <w:rsid w:val="00163B98"/>
    <w:rsid w:val="001643F3"/>
    <w:rsid w:val="0016481D"/>
    <w:rsid w:val="00164952"/>
    <w:rsid w:val="00164BD1"/>
    <w:rsid w:val="00165138"/>
    <w:rsid w:val="00166139"/>
    <w:rsid w:val="001667F0"/>
    <w:rsid w:val="0016783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366"/>
    <w:rsid w:val="0017555E"/>
    <w:rsid w:val="00175974"/>
    <w:rsid w:val="00175A2B"/>
    <w:rsid w:val="00176F55"/>
    <w:rsid w:val="00177A27"/>
    <w:rsid w:val="00177B7E"/>
    <w:rsid w:val="00177DF9"/>
    <w:rsid w:val="00181594"/>
    <w:rsid w:val="00181791"/>
    <w:rsid w:val="00182E55"/>
    <w:rsid w:val="00183275"/>
    <w:rsid w:val="00184BC3"/>
    <w:rsid w:val="00184EF5"/>
    <w:rsid w:val="00184FBA"/>
    <w:rsid w:val="0018512D"/>
    <w:rsid w:val="001852E0"/>
    <w:rsid w:val="0018689B"/>
    <w:rsid w:val="00186B63"/>
    <w:rsid w:val="00186C88"/>
    <w:rsid w:val="001871B2"/>
    <w:rsid w:val="00190A74"/>
    <w:rsid w:val="001911CC"/>
    <w:rsid w:val="00191ACE"/>
    <w:rsid w:val="00192861"/>
    <w:rsid w:val="00193909"/>
    <w:rsid w:val="00193A3C"/>
    <w:rsid w:val="00196141"/>
    <w:rsid w:val="00196EF5"/>
    <w:rsid w:val="00197DA4"/>
    <w:rsid w:val="001A0542"/>
    <w:rsid w:val="001A0598"/>
    <w:rsid w:val="001A05BA"/>
    <w:rsid w:val="001A05C3"/>
    <w:rsid w:val="001A0F86"/>
    <w:rsid w:val="001A1125"/>
    <w:rsid w:val="001A1810"/>
    <w:rsid w:val="001A2131"/>
    <w:rsid w:val="001A25D5"/>
    <w:rsid w:val="001A2A37"/>
    <w:rsid w:val="001A2FF3"/>
    <w:rsid w:val="001A373A"/>
    <w:rsid w:val="001A466C"/>
    <w:rsid w:val="001A4E38"/>
    <w:rsid w:val="001A4F68"/>
    <w:rsid w:val="001A64A3"/>
    <w:rsid w:val="001A78F5"/>
    <w:rsid w:val="001A7913"/>
    <w:rsid w:val="001B095A"/>
    <w:rsid w:val="001B0C32"/>
    <w:rsid w:val="001B234C"/>
    <w:rsid w:val="001B2379"/>
    <w:rsid w:val="001B3256"/>
    <w:rsid w:val="001B3C02"/>
    <w:rsid w:val="001B4245"/>
    <w:rsid w:val="001B5099"/>
    <w:rsid w:val="001B6BDC"/>
    <w:rsid w:val="001B6E23"/>
    <w:rsid w:val="001C085B"/>
    <w:rsid w:val="001C0C3F"/>
    <w:rsid w:val="001C19C4"/>
    <w:rsid w:val="001C1B27"/>
    <w:rsid w:val="001C1CAE"/>
    <w:rsid w:val="001C1DC2"/>
    <w:rsid w:val="001C2C24"/>
    <w:rsid w:val="001C304B"/>
    <w:rsid w:val="001C51A0"/>
    <w:rsid w:val="001C54E5"/>
    <w:rsid w:val="001C592C"/>
    <w:rsid w:val="001C5CD3"/>
    <w:rsid w:val="001D008F"/>
    <w:rsid w:val="001D0368"/>
    <w:rsid w:val="001D0631"/>
    <w:rsid w:val="001D064E"/>
    <w:rsid w:val="001D19AB"/>
    <w:rsid w:val="001D2EB5"/>
    <w:rsid w:val="001D4A71"/>
    <w:rsid w:val="001D54C7"/>
    <w:rsid w:val="001D5945"/>
    <w:rsid w:val="001D6064"/>
    <w:rsid w:val="001D60A4"/>
    <w:rsid w:val="001D63C6"/>
    <w:rsid w:val="001D6A83"/>
    <w:rsid w:val="001D798E"/>
    <w:rsid w:val="001E0ACB"/>
    <w:rsid w:val="001E107C"/>
    <w:rsid w:val="001E1C02"/>
    <w:rsid w:val="001E39C4"/>
    <w:rsid w:val="001E3CA0"/>
    <w:rsid w:val="001E5309"/>
    <w:rsid w:val="001E54C9"/>
    <w:rsid w:val="001E64BE"/>
    <w:rsid w:val="001E766B"/>
    <w:rsid w:val="001F05C9"/>
    <w:rsid w:val="001F07FA"/>
    <w:rsid w:val="001F157E"/>
    <w:rsid w:val="001F174A"/>
    <w:rsid w:val="001F1B46"/>
    <w:rsid w:val="001F1F7D"/>
    <w:rsid w:val="001F20AB"/>
    <w:rsid w:val="001F21C4"/>
    <w:rsid w:val="001F2CA8"/>
    <w:rsid w:val="001F41FB"/>
    <w:rsid w:val="001F465A"/>
    <w:rsid w:val="001F4E10"/>
    <w:rsid w:val="001F501F"/>
    <w:rsid w:val="001F6D50"/>
    <w:rsid w:val="0020054B"/>
    <w:rsid w:val="00201E21"/>
    <w:rsid w:val="00203B8C"/>
    <w:rsid w:val="00203E4E"/>
    <w:rsid w:val="00204C2A"/>
    <w:rsid w:val="00205361"/>
    <w:rsid w:val="00205ADF"/>
    <w:rsid w:val="0020602B"/>
    <w:rsid w:val="002066DF"/>
    <w:rsid w:val="002070E6"/>
    <w:rsid w:val="002120A1"/>
    <w:rsid w:val="00212FE4"/>
    <w:rsid w:val="0021316A"/>
    <w:rsid w:val="00213228"/>
    <w:rsid w:val="0021442C"/>
    <w:rsid w:val="002155B0"/>
    <w:rsid w:val="002158CB"/>
    <w:rsid w:val="00215922"/>
    <w:rsid w:val="00220958"/>
    <w:rsid w:val="00220E6B"/>
    <w:rsid w:val="00221545"/>
    <w:rsid w:val="00221D2C"/>
    <w:rsid w:val="0022285B"/>
    <w:rsid w:val="00222F65"/>
    <w:rsid w:val="00223869"/>
    <w:rsid w:val="00223D0B"/>
    <w:rsid w:val="00224DEB"/>
    <w:rsid w:val="0022543B"/>
    <w:rsid w:val="00225FCB"/>
    <w:rsid w:val="002271AA"/>
    <w:rsid w:val="002278E9"/>
    <w:rsid w:val="00227F1B"/>
    <w:rsid w:val="00231269"/>
    <w:rsid w:val="0023264F"/>
    <w:rsid w:val="00233285"/>
    <w:rsid w:val="00233748"/>
    <w:rsid w:val="0023380E"/>
    <w:rsid w:val="002339A2"/>
    <w:rsid w:val="00233D1C"/>
    <w:rsid w:val="00233DDA"/>
    <w:rsid w:val="00233F88"/>
    <w:rsid w:val="002347E0"/>
    <w:rsid w:val="00234DEF"/>
    <w:rsid w:val="00235FB4"/>
    <w:rsid w:val="00236540"/>
    <w:rsid w:val="00236E44"/>
    <w:rsid w:val="00237482"/>
    <w:rsid w:val="00240587"/>
    <w:rsid w:val="0024188F"/>
    <w:rsid w:val="002423FE"/>
    <w:rsid w:val="00242C4A"/>
    <w:rsid w:val="0024380A"/>
    <w:rsid w:val="0024404E"/>
    <w:rsid w:val="002440EB"/>
    <w:rsid w:val="002441D0"/>
    <w:rsid w:val="00244265"/>
    <w:rsid w:val="00244EEF"/>
    <w:rsid w:val="00244F85"/>
    <w:rsid w:val="002464E7"/>
    <w:rsid w:val="002500C8"/>
    <w:rsid w:val="00251066"/>
    <w:rsid w:val="00251C63"/>
    <w:rsid w:val="002529ED"/>
    <w:rsid w:val="0025386B"/>
    <w:rsid w:val="00253F03"/>
    <w:rsid w:val="002556CA"/>
    <w:rsid w:val="00255E4E"/>
    <w:rsid w:val="00256193"/>
    <w:rsid w:val="00256BFD"/>
    <w:rsid w:val="00257AA8"/>
    <w:rsid w:val="002606A7"/>
    <w:rsid w:val="002613B0"/>
    <w:rsid w:val="0026164E"/>
    <w:rsid w:val="0026271B"/>
    <w:rsid w:val="002629E7"/>
    <w:rsid w:val="0026451B"/>
    <w:rsid w:val="00265366"/>
    <w:rsid w:val="00265735"/>
    <w:rsid w:val="002657BB"/>
    <w:rsid w:val="00266490"/>
    <w:rsid w:val="0026683E"/>
    <w:rsid w:val="00266A60"/>
    <w:rsid w:val="002677C1"/>
    <w:rsid w:val="00267A6D"/>
    <w:rsid w:val="00270883"/>
    <w:rsid w:val="00271446"/>
    <w:rsid w:val="00271FC2"/>
    <w:rsid w:val="00272C04"/>
    <w:rsid w:val="00273204"/>
    <w:rsid w:val="002748C1"/>
    <w:rsid w:val="00275423"/>
    <w:rsid w:val="00275AD6"/>
    <w:rsid w:val="00275B94"/>
    <w:rsid w:val="00275CF5"/>
    <w:rsid w:val="00276D8F"/>
    <w:rsid w:val="00276F2E"/>
    <w:rsid w:val="00276FDC"/>
    <w:rsid w:val="0027702B"/>
    <w:rsid w:val="00277555"/>
    <w:rsid w:val="00277F70"/>
    <w:rsid w:val="00280FF5"/>
    <w:rsid w:val="002817BA"/>
    <w:rsid w:val="00281EF2"/>
    <w:rsid w:val="00282135"/>
    <w:rsid w:val="00283308"/>
    <w:rsid w:val="00284224"/>
    <w:rsid w:val="00284C77"/>
    <w:rsid w:val="002856CF"/>
    <w:rsid w:val="002856DC"/>
    <w:rsid w:val="00285993"/>
    <w:rsid w:val="0028632C"/>
    <w:rsid w:val="002864D4"/>
    <w:rsid w:val="0028674A"/>
    <w:rsid w:val="00286C23"/>
    <w:rsid w:val="00286DC8"/>
    <w:rsid w:val="00290C42"/>
    <w:rsid w:val="00291435"/>
    <w:rsid w:val="00291A1A"/>
    <w:rsid w:val="00292786"/>
    <w:rsid w:val="002937C6"/>
    <w:rsid w:val="00293DE5"/>
    <w:rsid w:val="00293E07"/>
    <w:rsid w:val="002941BF"/>
    <w:rsid w:val="00294A9D"/>
    <w:rsid w:val="00295078"/>
    <w:rsid w:val="00295960"/>
    <w:rsid w:val="00295C72"/>
    <w:rsid w:val="00295D44"/>
    <w:rsid w:val="00295DE7"/>
    <w:rsid w:val="0029609C"/>
    <w:rsid w:val="0029670A"/>
    <w:rsid w:val="00297081"/>
    <w:rsid w:val="0029745A"/>
    <w:rsid w:val="00297AB0"/>
    <w:rsid w:val="002A0448"/>
    <w:rsid w:val="002A276C"/>
    <w:rsid w:val="002A28FE"/>
    <w:rsid w:val="002A3A7A"/>
    <w:rsid w:val="002A43B0"/>
    <w:rsid w:val="002A5BC1"/>
    <w:rsid w:val="002A5EA5"/>
    <w:rsid w:val="002A6A41"/>
    <w:rsid w:val="002A6CC7"/>
    <w:rsid w:val="002A7C18"/>
    <w:rsid w:val="002B09D4"/>
    <w:rsid w:val="002B0A1D"/>
    <w:rsid w:val="002B0EF8"/>
    <w:rsid w:val="002B1708"/>
    <w:rsid w:val="002B1960"/>
    <w:rsid w:val="002B2003"/>
    <w:rsid w:val="002B2467"/>
    <w:rsid w:val="002B27E7"/>
    <w:rsid w:val="002B2B24"/>
    <w:rsid w:val="002B327D"/>
    <w:rsid w:val="002B393B"/>
    <w:rsid w:val="002B3A2C"/>
    <w:rsid w:val="002B3E09"/>
    <w:rsid w:val="002B45EF"/>
    <w:rsid w:val="002B45F2"/>
    <w:rsid w:val="002B4950"/>
    <w:rsid w:val="002B62AF"/>
    <w:rsid w:val="002B70C3"/>
    <w:rsid w:val="002B7622"/>
    <w:rsid w:val="002B7BCC"/>
    <w:rsid w:val="002B7C06"/>
    <w:rsid w:val="002C053B"/>
    <w:rsid w:val="002C0C63"/>
    <w:rsid w:val="002C0F55"/>
    <w:rsid w:val="002C0F5C"/>
    <w:rsid w:val="002C1280"/>
    <w:rsid w:val="002C1824"/>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3A1"/>
    <w:rsid w:val="002D07B6"/>
    <w:rsid w:val="002D0878"/>
    <w:rsid w:val="002D21B3"/>
    <w:rsid w:val="002D2486"/>
    <w:rsid w:val="002D46BF"/>
    <w:rsid w:val="002D4C95"/>
    <w:rsid w:val="002D508B"/>
    <w:rsid w:val="002D678A"/>
    <w:rsid w:val="002D6AD2"/>
    <w:rsid w:val="002E03BC"/>
    <w:rsid w:val="002E1D63"/>
    <w:rsid w:val="002E2669"/>
    <w:rsid w:val="002E4EC0"/>
    <w:rsid w:val="002E5744"/>
    <w:rsid w:val="002E578A"/>
    <w:rsid w:val="002E6172"/>
    <w:rsid w:val="002E6B74"/>
    <w:rsid w:val="002E76D5"/>
    <w:rsid w:val="002F1C4D"/>
    <w:rsid w:val="002F2653"/>
    <w:rsid w:val="002F2799"/>
    <w:rsid w:val="002F27A7"/>
    <w:rsid w:val="002F2FB4"/>
    <w:rsid w:val="002F345E"/>
    <w:rsid w:val="002F3910"/>
    <w:rsid w:val="002F3A84"/>
    <w:rsid w:val="002F411A"/>
    <w:rsid w:val="002F54A4"/>
    <w:rsid w:val="002F5A90"/>
    <w:rsid w:val="002F6977"/>
    <w:rsid w:val="002F700E"/>
    <w:rsid w:val="002F750C"/>
    <w:rsid w:val="002F772C"/>
    <w:rsid w:val="002F78E8"/>
    <w:rsid w:val="003002F7"/>
    <w:rsid w:val="00301E41"/>
    <w:rsid w:val="00302155"/>
    <w:rsid w:val="00302787"/>
    <w:rsid w:val="00302C06"/>
    <w:rsid w:val="00302C33"/>
    <w:rsid w:val="00302FBC"/>
    <w:rsid w:val="00303364"/>
    <w:rsid w:val="00303BC7"/>
    <w:rsid w:val="00303BDC"/>
    <w:rsid w:val="00304058"/>
    <w:rsid w:val="0030529D"/>
    <w:rsid w:val="00305480"/>
    <w:rsid w:val="00306589"/>
    <w:rsid w:val="00306B09"/>
    <w:rsid w:val="00306D3D"/>
    <w:rsid w:val="0030711C"/>
    <w:rsid w:val="00307186"/>
    <w:rsid w:val="00307275"/>
    <w:rsid w:val="0031046F"/>
    <w:rsid w:val="0031090D"/>
    <w:rsid w:val="00311BE0"/>
    <w:rsid w:val="003129F4"/>
    <w:rsid w:val="0031395E"/>
    <w:rsid w:val="00313AFB"/>
    <w:rsid w:val="00314023"/>
    <w:rsid w:val="00314587"/>
    <w:rsid w:val="003156AE"/>
    <w:rsid w:val="00315780"/>
    <w:rsid w:val="00315891"/>
    <w:rsid w:val="00316240"/>
    <w:rsid w:val="0031687C"/>
    <w:rsid w:val="003172C3"/>
    <w:rsid w:val="00320B63"/>
    <w:rsid w:val="0032180D"/>
    <w:rsid w:val="00321D72"/>
    <w:rsid w:val="00321DF2"/>
    <w:rsid w:val="003227E4"/>
    <w:rsid w:val="00322AE2"/>
    <w:rsid w:val="003231A8"/>
    <w:rsid w:val="00323623"/>
    <w:rsid w:val="00323995"/>
    <w:rsid w:val="00323CFF"/>
    <w:rsid w:val="00325874"/>
    <w:rsid w:val="003260BC"/>
    <w:rsid w:val="00326AE6"/>
    <w:rsid w:val="00326DF2"/>
    <w:rsid w:val="00327357"/>
    <w:rsid w:val="0033030C"/>
    <w:rsid w:val="0033063C"/>
    <w:rsid w:val="00331090"/>
    <w:rsid w:val="00331F57"/>
    <w:rsid w:val="003324DF"/>
    <w:rsid w:val="00333422"/>
    <w:rsid w:val="003339C3"/>
    <w:rsid w:val="00333C7C"/>
    <w:rsid w:val="003349F4"/>
    <w:rsid w:val="00335047"/>
    <w:rsid w:val="0033544E"/>
    <w:rsid w:val="00335AB6"/>
    <w:rsid w:val="003374EB"/>
    <w:rsid w:val="0033790D"/>
    <w:rsid w:val="003404F0"/>
    <w:rsid w:val="00340732"/>
    <w:rsid w:val="0034094E"/>
    <w:rsid w:val="00340B86"/>
    <w:rsid w:val="0034164E"/>
    <w:rsid w:val="00342855"/>
    <w:rsid w:val="00342AE7"/>
    <w:rsid w:val="00343A82"/>
    <w:rsid w:val="00343CB6"/>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47A"/>
    <w:rsid w:val="0036086E"/>
    <w:rsid w:val="00360A55"/>
    <w:rsid w:val="00361B13"/>
    <w:rsid w:val="0036269D"/>
    <w:rsid w:val="00363278"/>
    <w:rsid w:val="003633DD"/>
    <w:rsid w:val="00363ED0"/>
    <w:rsid w:val="003643F9"/>
    <w:rsid w:val="003655C3"/>
    <w:rsid w:val="003669E8"/>
    <w:rsid w:val="00366C6B"/>
    <w:rsid w:val="00367026"/>
    <w:rsid w:val="003676B6"/>
    <w:rsid w:val="00367BBB"/>
    <w:rsid w:val="00367CE5"/>
    <w:rsid w:val="00371DE4"/>
    <w:rsid w:val="0037225D"/>
    <w:rsid w:val="003729E8"/>
    <w:rsid w:val="00373299"/>
    <w:rsid w:val="00373579"/>
    <w:rsid w:val="00374C7D"/>
    <w:rsid w:val="00374CC8"/>
    <w:rsid w:val="00374F4D"/>
    <w:rsid w:val="00375241"/>
    <w:rsid w:val="003756E8"/>
    <w:rsid w:val="00375BB0"/>
    <w:rsid w:val="00376142"/>
    <w:rsid w:val="0037663F"/>
    <w:rsid w:val="003771DD"/>
    <w:rsid w:val="00377B34"/>
    <w:rsid w:val="00380D0E"/>
    <w:rsid w:val="00382014"/>
    <w:rsid w:val="00384CD8"/>
    <w:rsid w:val="00387128"/>
    <w:rsid w:val="003915BA"/>
    <w:rsid w:val="00392E2B"/>
    <w:rsid w:val="00394605"/>
    <w:rsid w:val="00396A66"/>
    <w:rsid w:val="00397B04"/>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54CA"/>
    <w:rsid w:val="003B5CA9"/>
    <w:rsid w:val="003B62A2"/>
    <w:rsid w:val="003B6A7C"/>
    <w:rsid w:val="003B6B59"/>
    <w:rsid w:val="003B72E9"/>
    <w:rsid w:val="003B74C3"/>
    <w:rsid w:val="003B7A17"/>
    <w:rsid w:val="003C281B"/>
    <w:rsid w:val="003C375A"/>
    <w:rsid w:val="003C4A72"/>
    <w:rsid w:val="003C4A79"/>
    <w:rsid w:val="003C4C4B"/>
    <w:rsid w:val="003C5222"/>
    <w:rsid w:val="003C5460"/>
    <w:rsid w:val="003C55F5"/>
    <w:rsid w:val="003C58B8"/>
    <w:rsid w:val="003C5A54"/>
    <w:rsid w:val="003C5B0F"/>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7A"/>
    <w:rsid w:val="003E1CFE"/>
    <w:rsid w:val="003E5DB7"/>
    <w:rsid w:val="003E5F18"/>
    <w:rsid w:val="003E6A2E"/>
    <w:rsid w:val="003E6D0E"/>
    <w:rsid w:val="003F09F0"/>
    <w:rsid w:val="003F0CD4"/>
    <w:rsid w:val="003F0D94"/>
    <w:rsid w:val="003F2BA9"/>
    <w:rsid w:val="003F3041"/>
    <w:rsid w:val="003F3298"/>
    <w:rsid w:val="003F3A6C"/>
    <w:rsid w:val="003F52C2"/>
    <w:rsid w:val="003F58C3"/>
    <w:rsid w:val="003F5CBA"/>
    <w:rsid w:val="003F61FF"/>
    <w:rsid w:val="003F6A1E"/>
    <w:rsid w:val="003F733C"/>
    <w:rsid w:val="003F7346"/>
    <w:rsid w:val="0040233B"/>
    <w:rsid w:val="00402A30"/>
    <w:rsid w:val="004030E3"/>
    <w:rsid w:val="00403679"/>
    <w:rsid w:val="00403FAA"/>
    <w:rsid w:val="00404666"/>
    <w:rsid w:val="004053FB"/>
    <w:rsid w:val="004058AB"/>
    <w:rsid w:val="0040596D"/>
    <w:rsid w:val="00405A99"/>
    <w:rsid w:val="00410650"/>
    <w:rsid w:val="004106C1"/>
    <w:rsid w:val="004126F7"/>
    <w:rsid w:val="0041298D"/>
    <w:rsid w:val="00413FC2"/>
    <w:rsid w:val="004140B9"/>
    <w:rsid w:val="00414AE6"/>
    <w:rsid w:val="00414EE8"/>
    <w:rsid w:val="00416CFB"/>
    <w:rsid w:val="00416E00"/>
    <w:rsid w:val="00417006"/>
    <w:rsid w:val="00417703"/>
    <w:rsid w:val="0042006D"/>
    <w:rsid w:val="0042021B"/>
    <w:rsid w:val="004207BE"/>
    <w:rsid w:val="00421C7F"/>
    <w:rsid w:val="00422A60"/>
    <w:rsid w:val="00422DF8"/>
    <w:rsid w:val="00422FA0"/>
    <w:rsid w:val="0042327C"/>
    <w:rsid w:val="004235DA"/>
    <w:rsid w:val="00423786"/>
    <w:rsid w:val="00423D1D"/>
    <w:rsid w:val="00423FC1"/>
    <w:rsid w:val="00424241"/>
    <w:rsid w:val="00425620"/>
    <w:rsid w:val="00425AD4"/>
    <w:rsid w:val="00430A88"/>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37D9F"/>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0317"/>
    <w:rsid w:val="004716B0"/>
    <w:rsid w:val="004716C4"/>
    <w:rsid w:val="004723A9"/>
    <w:rsid w:val="00472460"/>
    <w:rsid w:val="00474B3F"/>
    <w:rsid w:val="004754E1"/>
    <w:rsid w:val="00475C3B"/>
    <w:rsid w:val="004763B5"/>
    <w:rsid w:val="00476A24"/>
    <w:rsid w:val="0047775E"/>
    <w:rsid w:val="00481ABD"/>
    <w:rsid w:val="00482683"/>
    <w:rsid w:val="00482731"/>
    <w:rsid w:val="0048286C"/>
    <w:rsid w:val="00483A0F"/>
    <w:rsid w:val="00484625"/>
    <w:rsid w:val="0048589D"/>
    <w:rsid w:val="004871FA"/>
    <w:rsid w:val="00487218"/>
    <w:rsid w:val="004879E2"/>
    <w:rsid w:val="00487F15"/>
    <w:rsid w:val="0049028C"/>
    <w:rsid w:val="0049105B"/>
    <w:rsid w:val="004912A0"/>
    <w:rsid w:val="0049206E"/>
    <w:rsid w:val="004928DE"/>
    <w:rsid w:val="00493E2F"/>
    <w:rsid w:val="00494CB5"/>
    <w:rsid w:val="004954D8"/>
    <w:rsid w:val="0049576C"/>
    <w:rsid w:val="00495836"/>
    <w:rsid w:val="0049611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6D02"/>
    <w:rsid w:val="004C7629"/>
    <w:rsid w:val="004C7701"/>
    <w:rsid w:val="004D088F"/>
    <w:rsid w:val="004D0A26"/>
    <w:rsid w:val="004D0EE4"/>
    <w:rsid w:val="004D1B39"/>
    <w:rsid w:val="004D30E1"/>
    <w:rsid w:val="004D35FC"/>
    <w:rsid w:val="004D3F79"/>
    <w:rsid w:val="004D482C"/>
    <w:rsid w:val="004D5AC0"/>
    <w:rsid w:val="004D5FEF"/>
    <w:rsid w:val="004D680A"/>
    <w:rsid w:val="004D764F"/>
    <w:rsid w:val="004D7D33"/>
    <w:rsid w:val="004E1EBF"/>
    <w:rsid w:val="004E27AD"/>
    <w:rsid w:val="004E2B06"/>
    <w:rsid w:val="004E2D51"/>
    <w:rsid w:val="004E37B6"/>
    <w:rsid w:val="004E3AFD"/>
    <w:rsid w:val="004E44D0"/>
    <w:rsid w:val="004E4987"/>
    <w:rsid w:val="004E52D1"/>
    <w:rsid w:val="004E585B"/>
    <w:rsid w:val="004E6725"/>
    <w:rsid w:val="004E709E"/>
    <w:rsid w:val="004E74DD"/>
    <w:rsid w:val="004F0A75"/>
    <w:rsid w:val="004F0CC9"/>
    <w:rsid w:val="004F1841"/>
    <w:rsid w:val="004F227C"/>
    <w:rsid w:val="004F2CC0"/>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866"/>
    <w:rsid w:val="00511092"/>
    <w:rsid w:val="00511602"/>
    <w:rsid w:val="005119CD"/>
    <w:rsid w:val="005124C0"/>
    <w:rsid w:val="00513EAE"/>
    <w:rsid w:val="00514033"/>
    <w:rsid w:val="00514166"/>
    <w:rsid w:val="005164B6"/>
    <w:rsid w:val="00516E6A"/>
    <w:rsid w:val="005171DE"/>
    <w:rsid w:val="005206C8"/>
    <w:rsid w:val="005218EA"/>
    <w:rsid w:val="00521EE1"/>
    <w:rsid w:val="00523390"/>
    <w:rsid w:val="00523435"/>
    <w:rsid w:val="0052414D"/>
    <w:rsid w:val="00525A5B"/>
    <w:rsid w:val="0052638D"/>
    <w:rsid w:val="00527147"/>
    <w:rsid w:val="0053002A"/>
    <w:rsid w:val="0053153A"/>
    <w:rsid w:val="00531ABD"/>
    <w:rsid w:val="00535560"/>
    <w:rsid w:val="005356D8"/>
    <w:rsid w:val="00537427"/>
    <w:rsid w:val="00537708"/>
    <w:rsid w:val="005379E3"/>
    <w:rsid w:val="00541335"/>
    <w:rsid w:val="00541397"/>
    <w:rsid w:val="005413A9"/>
    <w:rsid w:val="00541C7E"/>
    <w:rsid w:val="00542386"/>
    <w:rsid w:val="00542D8A"/>
    <w:rsid w:val="0054304B"/>
    <w:rsid w:val="00543427"/>
    <w:rsid w:val="00543BF9"/>
    <w:rsid w:val="00544117"/>
    <w:rsid w:val="00544E0A"/>
    <w:rsid w:val="00546341"/>
    <w:rsid w:val="00550CA5"/>
    <w:rsid w:val="00551BA4"/>
    <w:rsid w:val="00552C27"/>
    <w:rsid w:val="00552CA7"/>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0570"/>
    <w:rsid w:val="00571391"/>
    <w:rsid w:val="005714AD"/>
    <w:rsid w:val="005726F4"/>
    <w:rsid w:val="00572DA9"/>
    <w:rsid w:val="00573157"/>
    <w:rsid w:val="00573949"/>
    <w:rsid w:val="00573ECF"/>
    <w:rsid w:val="00574A4F"/>
    <w:rsid w:val="00575053"/>
    <w:rsid w:val="00576107"/>
    <w:rsid w:val="00576A50"/>
    <w:rsid w:val="00576BB6"/>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13CE"/>
    <w:rsid w:val="005921E5"/>
    <w:rsid w:val="00592755"/>
    <w:rsid w:val="00593401"/>
    <w:rsid w:val="00593DB7"/>
    <w:rsid w:val="00594366"/>
    <w:rsid w:val="00594BC5"/>
    <w:rsid w:val="005953F7"/>
    <w:rsid w:val="005954A5"/>
    <w:rsid w:val="005954E9"/>
    <w:rsid w:val="005A0040"/>
    <w:rsid w:val="005A119B"/>
    <w:rsid w:val="005A1373"/>
    <w:rsid w:val="005A1564"/>
    <w:rsid w:val="005A2215"/>
    <w:rsid w:val="005A232E"/>
    <w:rsid w:val="005A2689"/>
    <w:rsid w:val="005A3328"/>
    <w:rsid w:val="005A52D3"/>
    <w:rsid w:val="005A6845"/>
    <w:rsid w:val="005A7138"/>
    <w:rsid w:val="005A71F3"/>
    <w:rsid w:val="005A7C3F"/>
    <w:rsid w:val="005B00B6"/>
    <w:rsid w:val="005B087C"/>
    <w:rsid w:val="005B0D1E"/>
    <w:rsid w:val="005B112F"/>
    <w:rsid w:val="005B1FED"/>
    <w:rsid w:val="005B2F33"/>
    <w:rsid w:val="005B3671"/>
    <w:rsid w:val="005B3B62"/>
    <w:rsid w:val="005B3D93"/>
    <w:rsid w:val="005B6938"/>
    <w:rsid w:val="005B6F32"/>
    <w:rsid w:val="005B717D"/>
    <w:rsid w:val="005B7350"/>
    <w:rsid w:val="005B75F5"/>
    <w:rsid w:val="005C222C"/>
    <w:rsid w:val="005C299A"/>
    <w:rsid w:val="005C2CAF"/>
    <w:rsid w:val="005C2D60"/>
    <w:rsid w:val="005C3943"/>
    <w:rsid w:val="005C3D2C"/>
    <w:rsid w:val="005C5799"/>
    <w:rsid w:val="005C5929"/>
    <w:rsid w:val="005C637B"/>
    <w:rsid w:val="005C6B17"/>
    <w:rsid w:val="005C779C"/>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7A1"/>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A04"/>
    <w:rsid w:val="005F2E9B"/>
    <w:rsid w:val="005F30A2"/>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48DF"/>
    <w:rsid w:val="00604C5A"/>
    <w:rsid w:val="00605233"/>
    <w:rsid w:val="006056EF"/>
    <w:rsid w:val="00605A1F"/>
    <w:rsid w:val="00607550"/>
    <w:rsid w:val="00607726"/>
    <w:rsid w:val="006077EB"/>
    <w:rsid w:val="006079C9"/>
    <w:rsid w:val="00607DFD"/>
    <w:rsid w:val="006100A1"/>
    <w:rsid w:val="006104BE"/>
    <w:rsid w:val="0061110A"/>
    <w:rsid w:val="006112E3"/>
    <w:rsid w:val="00611F28"/>
    <w:rsid w:val="00611F9E"/>
    <w:rsid w:val="00613D29"/>
    <w:rsid w:val="0061488D"/>
    <w:rsid w:val="0061502C"/>
    <w:rsid w:val="0061663A"/>
    <w:rsid w:val="00617FEB"/>
    <w:rsid w:val="0062111F"/>
    <w:rsid w:val="00621380"/>
    <w:rsid w:val="00621BE7"/>
    <w:rsid w:val="00621D3A"/>
    <w:rsid w:val="00622C25"/>
    <w:rsid w:val="00623DDC"/>
    <w:rsid w:val="00623EA3"/>
    <w:rsid w:val="00623F42"/>
    <w:rsid w:val="00624026"/>
    <w:rsid w:val="00624BDB"/>
    <w:rsid w:val="00625AFD"/>
    <w:rsid w:val="00625E1B"/>
    <w:rsid w:val="006272A4"/>
    <w:rsid w:val="0062746F"/>
    <w:rsid w:val="006274A1"/>
    <w:rsid w:val="00627B5D"/>
    <w:rsid w:val="0063001D"/>
    <w:rsid w:val="006302FD"/>
    <w:rsid w:val="00630FC7"/>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6E36"/>
    <w:rsid w:val="00637407"/>
    <w:rsid w:val="00637C16"/>
    <w:rsid w:val="00637FDB"/>
    <w:rsid w:val="00640D4F"/>
    <w:rsid w:val="00640D71"/>
    <w:rsid w:val="00640FB3"/>
    <w:rsid w:val="00641BB7"/>
    <w:rsid w:val="00643115"/>
    <w:rsid w:val="00643D6C"/>
    <w:rsid w:val="006443ED"/>
    <w:rsid w:val="006445D2"/>
    <w:rsid w:val="00645887"/>
    <w:rsid w:val="0064661F"/>
    <w:rsid w:val="00646B30"/>
    <w:rsid w:val="00647094"/>
    <w:rsid w:val="006505D9"/>
    <w:rsid w:val="00650880"/>
    <w:rsid w:val="00650D78"/>
    <w:rsid w:val="00653030"/>
    <w:rsid w:val="006532DF"/>
    <w:rsid w:val="0065453D"/>
    <w:rsid w:val="0065578F"/>
    <w:rsid w:val="00655A5C"/>
    <w:rsid w:val="00655B83"/>
    <w:rsid w:val="00655F33"/>
    <w:rsid w:val="0065665C"/>
    <w:rsid w:val="00656AB0"/>
    <w:rsid w:val="00656C59"/>
    <w:rsid w:val="00656F7C"/>
    <w:rsid w:val="006576BD"/>
    <w:rsid w:val="006578C2"/>
    <w:rsid w:val="00661AC2"/>
    <w:rsid w:val="00661B36"/>
    <w:rsid w:val="00663207"/>
    <w:rsid w:val="00663F26"/>
    <w:rsid w:val="00664916"/>
    <w:rsid w:val="00666655"/>
    <w:rsid w:val="00666C54"/>
    <w:rsid w:val="00667C8B"/>
    <w:rsid w:val="00667D3E"/>
    <w:rsid w:val="006701BA"/>
    <w:rsid w:val="00670FC1"/>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48"/>
    <w:rsid w:val="006843DA"/>
    <w:rsid w:val="00684EF6"/>
    <w:rsid w:val="00686279"/>
    <w:rsid w:val="00686A8A"/>
    <w:rsid w:val="006870C8"/>
    <w:rsid w:val="006871B3"/>
    <w:rsid w:val="006878A4"/>
    <w:rsid w:val="00690415"/>
    <w:rsid w:val="00690FC8"/>
    <w:rsid w:val="00691811"/>
    <w:rsid w:val="0069195B"/>
    <w:rsid w:val="00692C28"/>
    <w:rsid w:val="0069305F"/>
    <w:rsid w:val="006933F7"/>
    <w:rsid w:val="00693623"/>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0524"/>
    <w:rsid w:val="006C1330"/>
    <w:rsid w:val="006C1711"/>
    <w:rsid w:val="006C2185"/>
    <w:rsid w:val="006C24A5"/>
    <w:rsid w:val="006C24CD"/>
    <w:rsid w:val="006C3292"/>
    <w:rsid w:val="006C3801"/>
    <w:rsid w:val="006C5172"/>
    <w:rsid w:val="006C5263"/>
    <w:rsid w:val="006C5282"/>
    <w:rsid w:val="006C60B5"/>
    <w:rsid w:val="006C693D"/>
    <w:rsid w:val="006C7D68"/>
    <w:rsid w:val="006C7E47"/>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4180"/>
    <w:rsid w:val="007044B3"/>
    <w:rsid w:val="00705222"/>
    <w:rsid w:val="0070581D"/>
    <w:rsid w:val="007061DF"/>
    <w:rsid w:val="00706734"/>
    <w:rsid w:val="00707416"/>
    <w:rsid w:val="00707E75"/>
    <w:rsid w:val="007112A9"/>
    <w:rsid w:val="00711756"/>
    <w:rsid w:val="00711B09"/>
    <w:rsid w:val="00711C22"/>
    <w:rsid w:val="00711D4D"/>
    <w:rsid w:val="00711E97"/>
    <w:rsid w:val="00712137"/>
    <w:rsid w:val="00712516"/>
    <w:rsid w:val="00713A6B"/>
    <w:rsid w:val="0071427E"/>
    <w:rsid w:val="0071646D"/>
    <w:rsid w:val="00716CE1"/>
    <w:rsid w:val="00717180"/>
    <w:rsid w:val="0071764B"/>
    <w:rsid w:val="00717E06"/>
    <w:rsid w:val="007244B1"/>
    <w:rsid w:val="00724849"/>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454"/>
    <w:rsid w:val="00747AD7"/>
    <w:rsid w:val="00747F78"/>
    <w:rsid w:val="00750F05"/>
    <w:rsid w:val="00751311"/>
    <w:rsid w:val="00751330"/>
    <w:rsid w:val="00751627"/>
    <w:rsid w:val="00751E19"/>
    <w:rsid w:val="0075239A"/>
    <w:rsid w:val="007523FF"/>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10A1"/>
    <w:rsid w:val="00782370"/>
    <w:rsid w:val="00782DD9"/>
    <w:rsid w:val="007830E3"/>
    <w:rsid w:val="00784FE6"/>
    <w:rsid w:val="007851F7"/>
    <w:rsid w:val="0078775D"/>
    <w:rsid w:val="00787DB5"/>
    <w:rsid w:val="0079039F"/>
    <w:rsid w:val="00791413"/>
    <w:rsid w:val="007914BA"/>
    <w:rsid w:val="0079298A"/>
    <w:rsid w:val="00793368"/>
    <w:rsid w:val="0079361A"/>
    <w:rsid w:val="00793A7B"/>
    <w:rsid w:val="00793D13"/>
    <w:rsid w:val="00794261"/>
    <w:rsid w:val="00794305"/>
    <w:rsid w:val="00794323"/>
    <w:rsid w:val="00795180"/>
    <w:rsid w:val="007966AC"/>
    <w:rsid w:val="007A02EB"/>
    <w:rsid w:val="007A0327"/>
    <w:rsid w:val="007A1080"/>
    <w:rsid w:val="007A1177"/>
    <w:rsid w:val="007A11F1"/>
    <w:rsid w:val="007A1A5F"/>
    <w:rsid w:val="007A1DA9"/>
    <w:rsid w:val="007A2132"/>
    <w:rsid w:val="007A237F"/>
    <w:rsid w:val="007A29CA"/>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1550"/>
    <w:rsid w:val="007C20AF"/>
    <w:rsid w:val="007C37F3"/>
    <w:rsid w:val="007C3D29"/>
    <w:rsid w:val="007C3E67"/>
    <w:rsid w:val="007C46DC"/>
    <w:rsid w:val="007C4965"/>
    <w:rsid w:val="007C52B5"/>
    <w:rsid w:val="007C6783"/>
    <w:rsid w:val="007C68C7"/>
    <w:rsid w:val="007C6937"/>
    <w:rsid w:val="007C6CAB"/>
    <w:rsid w:val="007C6DCB"/>
    <w:rsid w:val="007C78A6"/>
    <w:rsid w:val="007C7C3E"/>
    <w:rsid w:val="007C7E5A"/>
    <w:rsid w:val="007D0C6E"/>
    <w:rsid w:val="007D0DD5"/>
    <w:rsid w:val="007D112D"/>
    <w:rsid w:val="007D1598"/>
    <w:rsid w:val="007D1705"/>
    <w:rsid w:val="007D1AB2"/>
    <w:rsid w:val="007D210F"/>
    <w:rsid w:val="007D336B"/>
    <w:rsid w:val="007D5575"/>
    <w:rsid w:val="007D5B23"/>
    <w:rsid w:val="007D71E1"/>
    <w:rsid w:val="007D7334"/>
    <w:rsid w:val="007D7513"/>
    <w:rsid w:val="007D7BC8"/>
    <w:rsid w:val="007E07A7"/>
    <w:rsid w:val="007E16B7"/>
    <w:rsid w:val="007E18E4"/>
    <w:rsid w:val="007E24F8"/>
    <w:rsid w:val="007E2D8C"/>
    <w:rsid w:val="007E3963"/>
    <w:rsid w:val="007E5467"/>
    <w:rsid w:val="007E5CB2"/>
    <w:rsid w:val="007E64E0"/>
    <w:rsid w:val="007E6704"/>
    <w:rsid w:val="007E6A21"/>
    <w:rsid w:val="007E75D0"/>
    <w:rsid w:val="007E7D72"/>
    <w:rsid w:val="007F0999"/>
    <w:rsid w:val="007F18A3"/>
    <w:rsid w:val="007F18DF"/>
    <w:rsid w:val="007F295F"/>
    <w:rsid w:val="007F2DB5"/>
    <w:rsid w:val="007F2FC0"/>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9EF"/>
    <w:rsid w:val="00801D34"/>
    <w:rsid w:val="008026F6"/>
    <w:rsid w:val="0080388F"/>
    <w:rsid w:val="00804137"/>
    <w:rsid w:val="00805A48"/>
    <w:rsid w:val="008063E2"/>
    <w:rsid w:val="00806829"/>
    <w:rsid w:val="00806A83"/>
    <w:rsid w:val="00807739"/>
    <w:rsid w:val="0080791A"/>
    <w:rsid w:val="008100C2"/>
    <w:rsid w:val="00810A48"/>
    <w:rsid w:val="00811637"/>
    <w:rsid w:val="0081381E"/>
    <w:rsid w:val="008139B9"/>
    <w:rsid w:val="00814930"/>
    <w:rsid w:val="00815752"/>
    <w:rsid w:val="00817AAB"/>
    <w:rsid w:val="00820244"/>
    <w:rsid w:val="008207CA"/>
    <w:rsid w:val="00820C0D"/>
    <w:rsid w:val="00820E34"/>
    <w:rsid w:val="008223A5"/>
    <w:rsid w:val="008225FA"/>
    <w:rsid w:val="008228A2"/>
    <w:rsid w:val="008235DE"/>
    <w:rsid w:val="0082410B"/>
    <w:rsid w:val="008246C9"/>
    <w:rsid w:val="00824873"/>
    <w:rsid w:val="008254D3"/>
    <w:rsid w:val="00825CA4"/>
    <w:rsid w:val="00826018"/>
    <w:rsid w:val="0082641D"/>
    <w:rsid w:val="008266BC"/>
    <w:rsid w:val="0082687A"/>
    <w:rsid w:val="00832DF8"/>
    <w:rsid w:val="00833014"/>
    <w:rsid w:val="008331EF"/>
    <w:rsid w:val="00833271"/>
    <w:rsid w:val="0083379F"/>
    <w:rsid w:val="0083402A"/>
    <w:rsid w:val="00834C20"/>
    <w:rsid w:val="00835546"/>
    <w:rsid w:val="00835741"/>
    <w:rsid w:val="00836326"/>
    <w:rsid w:val="008367D9"/>
    <w:rsid w:val="00836AD8"/>
    <w:rsid w:val="00836B11"/>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CF9"/>
    <w:rsid w:val="00861DD8"/>
    <w:rsid w:val="00862CF5"/>
    <w:rsid w:val="008665F8"/>
    <w:rsid w:val="00866BA6"/>
    <w:rsid w:val="00867111"/>
    <w:rsid w:val="008674B9"/>
    <w:rsid w:val="00867C00"/>
    <w:rsid w:val="00867C9A"/>
    <w:rsid w:val="008701A1"/>
    <w:rsid w:val="008712EF"/>
    <w:rsid w:val="008712F9"/>
    <w:rsid w:val="0087173E"/>
    <w:rsid w:val="008718F3"/>
    <w:rsid w:val="0087246B"/>
    <w:rsid w:val="00872487"/>
    <w:rsid w:val="00872D3B"/>
    <w:rsid w:val="00872FBB"/>
    <w:rsid w:val="008733E9"/>
    <w:rsid w:val="008735BF"/>
    <w:rsid w:val="00873B3E"/>
    <w:rsid w:val="00874685"/>
    <w:rsid w:val="00874DC9"/>
    <w:rsid w:val="0087561C"/>
    <w:rsid w:val="008760D4"/>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1D55"/>
    <w:rsid w:val="00892337"/>
    <w:rsid w:val="0089236D"/>
    <w:rsid w:val="00892AF9"/>
    <w:rsid w:val="00892AFC"/>
    <w:rsid w:val="00892BC4"/>
    <w:rsid w:val="00892F96"/>
    <w:rsid w:val="00893CC5"/>
    <w:rsid w:val="00893DB2"/>
    <w:rsid w:val="0089436A"/>
    <w:rsid w:val="00894491"/>
    <w:rsid w:val="0089454F"/>
    <w:rsid w:val="0089482C"/>
    <w:rsid w:val="00895379"/>
    <w:rsid w:val="008956BD"/>
    <w:rsid w:val="00895C62"/>
    <w:rsid w:val="008A0595"/>
    <w:rsid w:val="008A09BA"/>
    <w:rsid w:val="008A0C05"/>
    <w:rsid w:val="008A0CFD"/>
    <w:rsid w:val="008A1F9B"/>
    <w:rsid w:val="008A2018"/>
    <w:rsid w:val="008A37D4"/>
    <w:rsid w:val="008A42B0"/>
    <w:rsid w:val="008A4982"/>
    <w:rsid w:val="008A6085"/>
    <w:rsid w:val="008A663F"/>
    <w:rsid w:val="008A734C"/>
    <w:rsid w:val="008A7C97"/>
    <w:rsid w:val="008A7EBE"/>
    <w:rsid w:val="008B0803"/>
    <w:rsid w:val="008B0927"/>
    <w:rsid w:val="008B1154"/>
    <w:rsid w:val="008B1273"/>
    <w:rsid w:val="008B18BC"/>
    <w:rsid w:val="008B1D10"/>
    <w:rsid w:val="008B2258"/>
    <w:rsid w:val="008B36C5"/>
    <w:rsid w:val="008B542E"/>
    <w:rsid w:val="008B590E"/>
    <w:rsid w:val="008B5BE2"/>
    <w:rsid w:val="008B5C38"/>
    <w:rsid w:val="008B6E93"/>
    <w:rsid w:val="008B75E3"/>
    <w:rsid w:val="008B7691"/>
    <w:rsid w:val="008C04B3"/>
    <w:rsid w:val="008C0694"/>
    <w:rsid w:val="008C06D5"/>
    <w:rsid w:val="008C07F2"/>
    <w:rsid w:val="008C1208"/>
    <w:rsid w:val="008C3158"/>
    <w:rsid w:val="008C3963"/>
    <w:rsid w:val="008C4415"/>
    <w:rsid w:val="008C48D5"/>
    <w:rsid w:val="008C4CFE"/>
    <w:rsid w:val="008D033C"/>
    <w:rsid w:val="008D0725"/>
    <w:rsid w:val="008D0B33"/>
    <w:rsid w:val="008D0B48"/>
    <w:rsid w:val="008D0D25"/>
    <w:rsid w:val="008D14E5"/>
    <w:rsid w:val="008D1526"/>
    <w:rsid w:val="008D2273"/>
    <w:rsid w:val="008D24BE"/>
    <w:rsid w:val="008D38EE"/>
    <w:rsid w:val="008D4B2A"/>
    <w:rsid w:val="008D70C5"/>
    <w:rsid w:val="008D75E7"/>
    <w:rsid w:val="008D7BFC"/>
    <w:rsid w:val="008E0791"/>
    <w:rsid w:val="008E094D"/>
    <w:rsid w:val="008E0D06"/>
    <w:rsid w:val="008E152A"/>
    <w:rsid w:val="008E176A"/>
    <w:rsid w:val="008E1A76"/>
    <w:rsid w:val="008E2822"/>
    <w:rsid w:val="008E2982"/>
    <w:rsid w:val="008E3114"/>
    <w:rsid w:val="008E3357"/>
    <w:rsid w:val="008E4713"/>
    <w:rsid w:val="008E4F15"/>
    <w:rsid w:val="008E537E"/>
    <w:rsid w:val="008E5BC1"/>
    <w:rsid w:val="008E72F5"/>
    <w:rsid w:val="008E7698"/>
    <w:rsid w:val="008E7709"/>
    <w:rsid w:val="008E7D11"/>
    <w:rsid w:val="008E7D60"/>
    <w:rsid w:val="008F07D2"/>
    <w:rsid w:val="008F0A0A"/>
    <w:rsid w:val="008F0CF0"/>
    <w:rsid w:val="008F0F17"/>
    <w:rsid w:val="008F1049"/>
    <w:rsid w:val="008F10DA"/>
    <w:rsid w:val="008F148D"/>
    <w:rsid w:val="008F1ADF"/>
    <w:rsid w:val="008F31E8"/>
    <w:rsid w:val="008F322E"/>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056C"/>
    <w:rsid w:val="00911559"/>
    <w:rsid w:val="00912A8A"/>
    <w:rsid w:val="00913103"/>
    <w:rsid w:val="0091329D"/>
    <w:rsid w:val="00914FCF"/>
    <w:rsid w:val="00914FDF"/>
    <w:rsid w:val="009153C1"/>
    <w:rsid w:val="0091599A"/>
    <w:rsid w:val="00916B08"/>
    <w:rsid w:val="00917444"/>
    <w:rsid w:val="00917B8D"/>
    <w:rsid w:val="00917EB1"/>
    <w:rsid w:val="00920032"/>
    <w:rsid w:val="00920FA5"/>
    <w:rsid w:val="00921109"/>
    <w:rsid w:val="0092115A"/>
    <w:rsid w:val="00921436"/>
    <w:rsid w:val="009224C5"/>
    <w:rsid w:val="009233BF"/>
    <w:rsid w:val="00923433"/>
    <w:rsid w:val="00923840"/>
    <w:rsid w:val="00923961"/>
    <w:rsid w:val="009239BB"/>
    <w:rsid w:val="00923BD9"/>
    <w:rsid w:val="0092433B"/>
    <w:rsid w:val="00925CD5"/>
    <w:rsid w:val="00926B57"/>
    <w:rsid w:val="00926C36"/>
    <w:rsid w:val="009305F2"/>
    <w:rsid w:val="00930F79"/>
    <w:rsid w:val="0093143C"/>
    <w:rsid w:val="00931559"/>
    <w:rsid w:val="00931A26"/>
    <w:rsid w:val="00931EE5"/>
    <w:rsid w:val="00931EF0"/>
    <w:rsid w:val="00931F85"/>
    <w:rsid w:val="00932CFF"/>
    <w:rsid w:val="00932F08"/>
    <w:rsid w:val="00932FB2"/>
    <w:rsid w:val="009338C9"/>
    <w:rsid w:val="009346F9"/>
    <w:rsid w:val="00934A24"/>
    <w:rsid w:val="009354B9"/>
    <w:rsid w:val="00935A0D"/>
    <w:rsid w:val="00935CC9"/>
    <w:rsid w:val="00936419"/>
    <w:rsid w:val="00936BED"/>
    <w:rsid w:val="00936E01"/>
    <w:rsid w:val="00937737"/>
    <w:rsid w:val="00940803"/>
    <w:rsid w:val="00940FFE"/>
    <w:rsid w:val="009411A0"/>
    <w:rsid w:val="00942B6C"/>
    <w:rsid w:val="00943B74"/>
    <w:rsid w:val="0094486F"/>
    <w:rsid w:val="00944A83"/>
    <w:rsid w:val="00944CA2"/>
    <w:rsid w:val="009457D7"/>
    <w:rsid w:val="009458C7"/>
    <w:rsid w:val="0094714C"/>
    <w:rsid w:val="009472B3"/>
    <w:rsid w:val="00947905"/>
    <w:rsid w:val="00947F35"/>
    <w:rsid w:val="009500DD"/>
    <w:rsid w:val="00951598"/>
    <w:rsid w:val="00952919"/>
    <w:rsid w:val="00952D1D"/>
    <w:rsid w:val="009542AC"/>
    <w:rsid w:val="00954A59"/>
    <w:rsid w:val="00955ADE"/>
    <w:rsid w:val="00957181"/>
    <w:rsid w:val="009573BD"/>
    <w:rsid w:val="0095790B"/>
    <w:rsid w:val="0096079C"/>
    <w:rsid w:val="0096089C"/>
    <w:rsid w:val="0096146C"/>
    <w:rsid w:val="00962E4E"/>
    <w:rsid w:val="00964C60"/>
    <w:rsid w:val="00964E79"/>
    <w:rsid w:val="00964F37"/>
    <w:rsid w:val="00965297"/>
    <w:rsid w:val="0096576D"/>
    <w:rsid w:val="00966926"/>
    <w:rsid w:val="00966C2B"/>
    <w:rsid w:val="00966FEC"/>
    <w:rsid w:val="00967C2E"/>
    <w:rsid w:val="00971134"/>
    <w:rsid w:val="00971434"/>
    <w:rsid w:val="00971A47"/>
    <w:rsid w:val="009737A5"/>
    <w:rsid w:val="00974437"/>
    <w:rsid w:val="00974C3A"/>
    <w:rsid w:val="009752BA"/>
    <w:rsid w:val="00975A2A"/>
    <w:rsid w:val="00975D23"/>
    <w:rsid w:val="00975EB9"/>
    <w:rsid w:val="009763B8"/>
    <w:rsid w:val="00976A12"/>
    <w:rsid w:val="00977454"/>
    <w:rsid w:val="009775C4"/>
    <w:rsid w:val="00977B95"/>
    <w:rsid w:val="00977C78"/>
    <w:rsid w:val="009816F9"/>
    <w:rsid w:val="00981F51"/>
    <w:rsid w:val="0098269C"/>
    <w:rsid w:val="0098294D"/>
    <w:rsid w:val="009837CB"/>
    <w:rsid w:val="00983956"/>
    <w:rsid w:val="00985240"/>
    <w:rsid w:val="009858EF"/>
    <w:rsid w:val="00985D90"/>
    <w:rsid w:val="009865A8"/>
    <w:rsid w:val="00986B3C"/>
    <w:rsid w:val="009872E2"/>
    <w:rsid w:val="0099065F"/>
    <w:rsid w:val="0099075B"/>
    <w:rsid w:val="00990860"/>
    <w:rsid w:val="00990E7A"/>
    <w:rsid w:val="0099195F"/>
    <w:rsid w:val="00991E8A"/>
    <w:rsid w:val="00991EC7"/>
    <w:rsid w:val="00992009"/>
    <w:rsid w:val="009925EC"/>
    <w:rsid w:val="00992BC7"/>
    <w:rsid w:val="00993AD0"/>
    <w:rsid w:val="00994602"/>
    <w:rsid w:val="00995953"/>
    <w:rsid w:val="009969DF"/>
    <w:rsid w:val="009A00BC"/>
    <w:rsid w:val="009A0386"/>
    <w:rsid w:val="009A07EA"/>
    <w:rsid w:val="009A0F6D"/>
    <w:rsid w:val="009A13F2"/>
    <w:rsid w:val="009A152C"/>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C1F"/>
    <w:rsid w:val="009B5F4C"/>
    <w:rsid w:val="009B6C33"/>
    <w:rsid w:val="009B6C5A"/>
    <w:rsid w:val="009B6EF8"/>
    <w:rsid w:val="009B7B7A"/>
    <w:rsid w:val="009C08D5"/>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075"/>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33C"/>
    <w:rsid w:val="00A00BC6"/>
    <w:rsid w:val="00A014EE"/>
    <w:rsid w:val="00A01821"/>
    <w:rsid w:val="00A0225D"/>
    <w:rsid w:val="00A037CB"/>
    <w:rsid w:val="00A0469A"/>
    <w:rsid w:val="00A04B89"/>
    <w:rsid w:val="00A04EB0"/>
    <w:rsid w:val="00A05063"/>
    <w:rsid w:val="00A06531"/>
    <w:rsid w:val="00A06C55"/>
    <w:rsid w:val="00A075F7"/>
    <w:rsid w:val="00A076B0"/>
    <w:rsid w:val="00A076B7"/>
    <w:rsid w:val="00A10E2D"/>
    <w:rsid w:val="00A11324"/>
    <w:rsid w:val="00A114F6"/>
    <w:rsid w:val="00A1201F"/>
    <w:rsid w:val="00A13008"/>
    <w:rsid w:val="00A138DC"/>
    <w:rsid w:val="00A13D9A"/>
    <w:rsid w:val="00A14237"/>
    <w:rsid w:val="00A1430D"/>
    <w:rsid w:val="00A14429"/>
    <w:rsid w:val="00A15125"/>
    <w:rsid w:val="00A15FFD"/>
    <w:rsid w:val="00A16207"/>
    <w:rsid w:val="00A17823"/>
    <w:rsid w:val="00A17875"/>
    <w:rsid w:val="00A17D0D"/>
    <w:rsid w:val="00A2033E"/>
    <w:rsid w:val="00A2042B"/>
    <w:rsid w:val="00A20C97"/>
    <w:rsid w:val="00A20F7B"/>
    <w:rsid w:val="00A22365"/>
    <w:rsid w:val="00A2300C"/>
    <w:rsid w:val="00A2340B"/>
    <w:rsid w:val="00A234AD"/>
    <w:rsid w:val="00A25070"/>
    <w:rsid w:val="00A25AF8"/>
    <w:rsid w:val="00A27150"/>
    <w:rsid w:val="00A272BC"/>
    <w:rsid w:val="00A27728"/>
    <w:rsid w:val="00A2796A"/>
    <w:rsid w:val="00A3156C"/>
    <w:rsid w:val="00A31585"/>
    <w:rsid w:val="00A31EDE"/>
    <w:rsid w:val="00A31F2A"/>
    <w:rsid w:val="00A32A88"/>
    <w:rsid w:val="00A32DE9"/>
    <w:rsid w:val="00A3314E"/>
    <w:rsid w:val="00A344AD"/>
    <w:rsid w:val="00A35622"/>
    <w:rsid w:val="00A36A14"/>
    <w:rsid w:val="00A36ED5"/>
    <w:rsid w:val="00A376FD"/>
    <w:rsid w:val="00A41054"/>
    <w:rsid w:val="00A415DB"/>
    <w:rsid w:val="00A4197A"/>
    <w:rsid w:val="00A41E44"/>
    <w:rsid w:val="00A42D27"/>
    <w:rsid w:val="00A42D62"/>
    <w:rsid w:val="00A43472"/>
    <w:rsid w:val="00A43B64"/>
    <w:rsid w:val="00A43D51"/>
    <w:rsid w:val="00A4679F"/>
    <w:rsid w:val="00A47246"/>
    <w:rsid w:val="00A47AE2"/>
    <w:rsid w:val="00A47C9E"/>
    <w:rsid w:val="00A50C74"/>
    <w:rsid w:val="00A51004"/>
    <w:rsid w:val="00A51357"/>
    <w:rsid w:val="00A51D2C"/>
    <w:rsid w:val="00A52589"/>
    <w:rsid w:val="00A52C18"/>
    <w:rsid w:val="00A536A0"/>
    <w:rsid w:val="00A53CB1"/>
    <w:rsid w:val="00A5404F"/>
    <w:rsid w:val="00A55D42"/>
    <w:rsid w:val="00A55E21"/>
    <w:rsid w:val="00A57AFC"/>
    <w:rsid w:val="00A6004F"/>
    <w:rsid w:val="00A6220A"/>
    <w:rsid w:val="00A63BF9"/>
    <w:rsid w:val="00A64A07"/>
    <w:rsid w:val="00A650DC"/>
    <w:rsid w:val="00A654F7"/>
    <w:rsid w:val="00A65F65"/>
    <w:rsid w:val="00A66299"/>
    <w:rsid w:val="00A67754"/>
    <w:rsid w:val="00A67ED9"/>
    <w:rsid w:val="00A717E4"/>
    <w:rsid w:val="00A71A51"/>
    <w:rsid w:val="00A72EE6"/>
    <w:rsid w:val="00A73C64"/>
    <w:rsid w:val="00A744CF"/>
    <w:rsid w:val="00A757D4"/>
    <w:rsid w:val="00A7641B"/>
    <w:rsid w:val="00A767EF"/>
    <w:rsid w:val="00A76FB1"/>
    <w:rsid w:val="00A77111"/>
    <w:rsid w:val="00A77810"/>
    <w:rsid w:val="00A81037"/>
    <w:rsid w:val="00A81140"/>
    <w:rsid w:val="00A81C19"/>
    <w:rsid w:val="00A82448"/>
    <w:rsid w:val="00A8620C"/>
    <w:rsid w:val="00A86819"/>
    <w:rsid w:val="00A8711C"/>
    <w:rsid w:val="00A900E2"/>
    <w:rsid w:val="00A90703"/>
    <w:rsid w:val="00A90CB4"/>
    <w:rsid w:val="00A917E6"/>
    <w:rsid w:val="00A91A65"/>
    <w:rsid w:val="00A92027"/>
    <w:rsid w:val="00A930E9"/>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0EB"/>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3EFD"/>
    <w:rsid w:val="00AC46E5"/>
    <w:rsid w:val="00AC5B93"/>
    <w:rsid w:val="00AC6E31"/>
    <w:rsid w:val="00AC6FA3"/>
    <w:rsid w:val="00AC74AC"/>
    <w:rsid w:val="00AC7ABC"/>
    <w:rsid w:val="00AD057A"/>
    <w:rsid w:val="00AD1C3D"/>
    <w:rsid w:val="00AD1D3D"/>
    <w:rsid w:val="00AD2277"/>
    <w:rsid w:val="00AD5C04"/>
    <w:rsid w:val="00AE013D"/>
    <w:rsid w:val="00AE0272"/>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123"/>
    <w:rsid w:val="00AF3B9F"/>
    <w:rsid w:val="00AF4439"/>
    <w:rsid w:val="00AF4BD7"/>
    <w:rsid w:val="00AF55A6"/>
    <w:rsid w:val="00AF5D61"/>
    <w:rsid w:val="00AF621D"/>
    <w:rsid w:val="00AF65A0"/>
    <w:rsid w:val="00AF73E2"/>
    <w:rsid w:val="00B0049C"/>
    <w:rsid w:val="00B0060F"/>
    <w:rsid w:val="00B0148A"/>
    <w:rsid w:val="00B01E0D"/>
    <w:rsid w:val="00B03459"/>
    <w:rsid w:val="00B03CE2"/>
    <w:rsid w:val="00B04194"/>
    <w:rsid w:val="00B04842"/>
    <w:rsid w:val="00B05E33"/>
    <w:rsid w:val="00B06BA1"/>
    <w:rsid w:val="00B10802"/>
    <w:rsid w:val="00B11A30"/>
    <w:rsid w:val="00B11E6A"/>
    <w:rsid w:val="00B125CC"/>
    <w:rsid w:val="00B12A58"/>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68A1"/>
    <w:rsid w:val="00B270F3"/>
    <w:rsid w:val="00B30948"/>
    <w:rsid w:val="00B316E2"/>
    <w:rsid w:val="00B322FC"/>
    <w:rsid w:val="00B32C38"/>
    <w:rsid w:val="00B339F8"/>
    <w:rsid w:val="00B33A9A"/>
    <w:rsid w:val="00B33C2F"/>
    <w:rsid w:val="00B34D6D"/>
    <w:rsid w:val="00B35432"/>
    <w:rsid w:val="00B373AD"/>
    <w:rsid w:val="00B3790A"/>
    <w:rsid w:val="00B41343"/>
    <w:rsid w:val="00B4134E"/>
    <w:rsid w:val="00B4137E"/>
    <w:rsid w:val="00B41BE7"/>
    <w:rsid w:val="00B42775"/>
    <w:rsid w:val="00B4299A"/>
    <w:rsid w:val="00B42B2D"/>
    <w:rsid w:val="00B441CE"/>
    <w:rsid w:val="00B44C3E"/>
    <w:rsid w:val="00B44DA3"/>
    <w:rsid w:val="00B45A68"/>
    <w:rsid w:val="00B461C1"/>
    <w:rsid w:val="00B46853"/>
    <w:rsid w:val="00B5061D"/>
    <w:rsid w:val="00B5114C"/>
    <w:rsid w:val="00B518F7"/>
    <w:rsid w:val="00B51A2C"/>
    <w:rsid w:val="00B52026"/>
    <w:rsid w:val="00B5328A"/>
    <w:rsid w:val="00B5510F"/>
    <w:rsid w:val="00B566EA"/>
    <w:rsid w:val="00B57587"/>
    <w:rsid w:val="00B61DD1"/>
    <w:rsid w:val="00B61E88"/>
    <w:rsid w:val="00B623CE"/>
    <w:rsid w:val="00B62B91"/>
    <w:rsid w:val="00B62CE7"/>
    <w:rsid w:val="00B63188"/>
    <w:rsid w:val="00B6452B"/>
    <w:rsid w:val="00B64BF6"/>
    <w:rsid w:val="00B662AD"/>
    <w:rsid w:val="00B665CA"/>
    <w:rsid w:val="00B677F8"/>
    <w:rsid w:val="00B67E89"/>
    <w:rsid w:val="00B70AD5"/>
    <w:rsid w:val="00B71DAA"/>
    <w:rsid w:val="00B722A7"/>
    <w:rsid w:val="00B728D6"/>
    <w:rsid w:val="00B72ACE"/>
    <w:rsid w:val="00B73024"/>
    <w:rsid w:val="00B7332C"/>
    <w:rsid w:val="00B73BC0"/>
    <w:rsid w:val="00B74573"/>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3BA"/>
    <w:rsid w:val="00BA2EE9"/>
    <w:rsid w:val="00BA363C"/>
    <w:rsid w:val="00BA3674"/>
    <w:rsid w:val="00BA36A5"/>
    <w:rsid w:val="00BA3CDE"/>
    <w:rsid w:val="00BA4B2C"/>
    <w:rsid w:val="00BA56BB"/>
    <w:rsid w:val="00BA69F4"/>
    <w:rsid w:val="00BA7F80"/>
    <w:rsid w:val="00BB0CC2"/>
    <w:rsid w:val="00BB107D"/>
    <w:rsid w:val="00BB19F7"/>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234"/>
    <w:rsid w:val="00BC3FE1"/>
    <w:rsid w:val="00BC501E"/>
    <w:rsid w:val="00BC5040"/>
    <w:rsid w:val="00BC6104"/>
    <w:rsid w:val="00BC63BC"/>
    <w:rsid w:val="00BC6602"/>
    <w:rsid w:val="00BC6991"/>
    <w:rsid w:val="00BC704A"/>
    <w:rsid w:val="00BC7267"/>
    <w:rsid w:val="00BC7DF4"/>
    <w:rsid w:val="00BD000E"/>
    <w:rsid w:val="00BD0947"/>
    <w:rsid w:val="00BD1191"/>
    <w:rsid w:val="00BD1625"/>
    <w:rsid w:val="00BD1943"/>
    <w:rsid w:val="00BD1BDB"/>
    <w:rsid w:val="00BD245D"/>
    <w:rsid w:val="00BD24F0"/>
    <w:rsid w:val="00BD2884"/>
    <w:rsid w:val="00BD2E7D"/>
    <w:rsid w:val="00BD3667"/>
    <w:rsid w:val="00BD3AD2"/>
    <w:rsid w:val="00BD428D"/>
    <w:rsid w:val="00BD4B1F"/>
    <w:rsid w:val="00BD5701"/>
    <w:rsid w:val="00BD5EA7"/>
    <w:rsid w:val="00BD6857"/>
    <w:rsid w:val="00BD6BED"/>
    <w:rsid w:val="00BD71EB"/>
    <w:rsid w:val="00BD7483"/>
    <w:rsid w:val="00BD7E57"/>
    <w:rsid w:val="00BE097D"/>
    <w:rsid w:val="00BE0E74"/>
    <w:rsid w:val="00BE1DBF"/>
    <w:rsid w:val="00BE226E"/>
    <w:rsid w:val="00BE28D9"/>
    <w:rsid w:val="00BE3B2F"/>
    <w:rsid w:val="00BE421A"/>
    <w:rsid w:val="00BE66D6"/>
    <w:rsid w:val="00BE67A1"/>
    <w:rsid w:val="00BE732D"/>
    <w:rsid w:val="00BE7A7E"/>
    <w:rsid w:val="00BF0540"/>
    <w:rsid w:val="00BF0748"/>
    <w:rsid w:val="00BF0B64"/>
    <w:rsid w:val="00BF212E"/>
    <w:rsid w:val="00BF330A"/>
    <w:rsid w:val="00BF33D5"/>
    <w:rsid w:val="00BF4083"/>
    <w:rsid w:val="00BF42CF"/>
    <w:rsid w:val="00BF469C"/>
    <w:rsid w:val="00BF558C"/>
    <w:rsid w:val="00BF685A"/>
    <w:rsid w:val="00BF687C"/>
    <w:rsid w:val="00BF6B39"/>
    <w:rsid w:val="00BF70BE"/>
    <w:rsid w:val="00C0076A"/>
    <w:rsid w:val="00C0130F"/>
    <w:rsid w:val="00C0296E"/>
    <w:rsid w:val="00C0590E"/>
    <w:rsid w:val="00C05950"/>
    <w:rsid w:val="00C06929"/>
    <w:rsid w:val="00C06EF4"/>
    <w:rsid w:val="00C07899"/>
    <w:rsid w:val="00C07FA9"/>
    <w:rsid w:val="00C10042"/>
    <w:rsid w:val="00C10AEE"/>
    <w:rsid w:val="00C10DD6"/>
    <w:rsid w:val="00C10DEC"/>
    <w:rsid w:val="00C1122F"/>
    <w:rsid w:val="00C11F89"/>
    <w:rsid w:val="00C120C6"/>
    <w:rsid w:val="00C129CB"/>
    <w:rsid w:val="00C12C0F"/>
    <w:rsid w:val="00C134E5"/>
    <w:rsid w:val="00C13832"/>
    <w:rsid w:val="00C1424D"/>
    <w:rsid w:val="00C143AE"/>
    <w:rsid w:val="00C1522C"/>
    <w:rsid w:val="00C15931"/>
    <w:rsid w:val="00C162F0"/>
    <w:rsid w:val="00C16490"/>
    <w:rsid w:val="00C16ECF"/>
    <w:rsid w:val="00C17535"/>
    <w:rsid w:val="00C1778D"/>
    <w:rsid w:val="00C20E42"/>
    <w:rsid w:val="00C21CFB"/>
    <w:rsid w:val="00C22635"/>
    <w:rsid w:val="00C22842"/>
    <w:rsid w:val="00C22DAC"/>
    <w:rsid w:val="00C23048"/>
    <w:rsid w:val="00C23621"/>
    <w:rsid w:val="00C23792"/>
    <w:rsid w:val="00C24F5E"/>
    <w:rsid w:val="00C255BC"/>
    <w:rsid w:val="00C265CC"/>
    <w:rsid w:val="00C265FB"/>
    <w:rsid w:val="00C26817"/>
    <w:rsid w:val="00C26973"/>
    <w:rsid w:val="00C26BD9"/>
    <w:rsid w:val="00C273AE"/>
    <w:rsid w:val="00C27C1C"/>
    <w:rsid w:val="00C27C61"/>
    <w:rsid w:val="00C3109F"/>
    <w:rsid w:val="00C32280"/>
    <w:rsid w:val="00C330CA"/>
    <w:rsid w:val="00C34256"/>
    <w:rsid w:val="00C3479E"/>
    <w:rsid w:val="00C34A6D"/>
    <w:rsid w:val="00C3500A"/>
    <w:rsid w:val="00C36DF2"/>
    <w:rsid w:val="00C400E5"/>
    <w:rsid w:val="00C405DD"/>
    <w:rsid w:val="00C41140"/>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272F"/>
    <w:rsid w:val="00C53782"/>
    <w:rsid w:val="00C53985"/>
    <w:rsid w:val="00C53E72"/>
    <w:rsid w:val="00C546A6"/>
    <w:rsid w:val="00C548CF"/>
    <w:rsid w:val="00C54BE5"/>
    <w:rsid w:val="00C558F9"/>
    <w:rsid w:val="00C56625"/>
    <w:rsid w:val="00C56912"/>
    <w:rsid w:val="00C569A8"/>
    <w:rsid w:val="00C56A45"/>
    <w:rsid w:val="00C57352"/>
    <w:rsid w:val="00C57553"/>
    <w:rsid w:val="00C57670"/>
    <w:rsid w:val="00C579F0"/>
    <w:rsid w:val="00C6012D"/>
    <w:rsid w:val="00C61018"/>
    <w:rsid w:val="00C61355"/>
    <w:rsid w:val="00C61471"/>
    <w:rsid w:val="00C63269"/>
    <w:rsid w:val="00C636D0"/>
    <w:rsid w:val="00C66549"/>
    <w:rsid w:val="00C66C9E"/>
    <w:rsid w:val="00C66CFB"/>
    <w:rsid w:val="00C66EB1"/>
    <w:rsid w:val="00C673D1"/>
    <w:rsid w:val="00C71059"/>
    <w:rsid w:val="00C716E5"/>
    <w:rsid w:val="00C71814"/>
    <w:rsid w:val="00C7186E"/>
    <w:rsid w:val="00C71A66"/>
    <w:rsid w:val="00C71FD4"/>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2BF"/>
    <w:rsid w:val="00C84585"/>
    <w:rsid w:val="00C8497C"/>
    <w:rsid w:val="00C84A04"/>
    <w:rsid w:val="00C85A18"/>
    <w:rsid w:val="00C866A8"/>
    <w:rsid w:val="00C87926"/>
    <w:rsid w:val="00C90157"/>
    <w:rsid w:val="00C90A72"/>
    <w:rsid w:val="00C91A3F"/>
    <w:rsid w:val="00C92091"/>
    <w:rsid w:val="00C92FA3"/>
    <w:rsid w:val="00C9414E"/>
    <w:rsid w:val="00C94EA7"/>
    <w:rsid w:val="00C95109"/>
    <w:rsid w:val="00C95E47"/>
    <w:rsid w:val="00C963A0"/>
    <w:rsid w:val="00C9699D"/>
    <w:rsid w:val="00C9775A"/>
    <w:rsid w:val="00C97E22"/>
    <w:rsid w:val="00CA07FF"/>
    <w:rsid w:val="00CA0F7D"/>
    <w:rsid w:val="00CA30DF"/>
    <w:rsid w:val="00CA448A"/>
    <w:rsid w:val="00CA456C"/>
    <w:rsid w:val="00CA460D"/>
    <w:rsid w:val="00CA5B18"/>
    <w:rsid w:val="00CA666E"/>
    <w:rsid w:val="00CA66DF"/>
    <w:rsid w:val="00CA6802"/>
    <w:rsid w:val="00CA7476"/>
    <w:rsid w:val="00CA7C1E"/>
    <w:rsid w:val="00CA7FE3"/>
    <w:rsid w:val="00CB0565"/>
    <w:rsid w:val="00CB1D5A"/>
    <w:rsid w:val="00CB2A57"/>
    <w:rsid w:val="00CB2B65"/>
    <w:rsid w:val="00CB4E8D"/>
    <w:rsid w:val="00CB5072"/>
    <w:rsid w:val="00CB57FD"/>
    <w:rsid w:val="00CB5AB5"/>
    <w:rsid w:val="00CB63FB"/>
    <w:rsid w:val="00CB6D69"/>
    <w:rsid w:val="00CB6E8B"/>
    <w:rsid w:val="00CB703A"/>
    <w:rsid w:val="00CB7E67"/>
    <w:rsid w:val="00CC0C5D"/>
    <w:rsid w:val="00CC0EE1"/>
    <w:rsid w:val="00CC18AB"/>
    <w:rsid w:val="00CC22DD"/>
    <w:rsid w:val="00CC2BF2"/>
    <w:rsid w:val="00CC30A8"/>
    <w:rsid w:val="00CC390B"/>
    <w:rsid w:val="00CC3C9F"/>
    <w:rsid w:val="00CC44C9"/>
    <w:rsid w:val="00CC489E"/>
    <w:rsid w:val="00CC4A8B"/>
    <w:rsid w:val="00CC4E68"/>
    <w:rsid w:val="00CC5E23"/>
    <w:rsid w:val="00CC5EF2"/>
    <w:rsid w:val="00CC77E3"/>
    <w:rsid w:val="00CD031B"/>
    <w:rsid w:val="00CD04A8"/>
    <w:rsid w:val="00CD0985"/>
    <w:rsid w:val="00CD2AE3"/>
    <w:rsid w:val="00CD4A97"/>
    <w:rsid w:val="00CD4D23"/>
    <w:rsid w:val="00CD50FB"/>
    <w:rsid w:val="00CD55AE"/>
    <w:rsid w:val="00CD57CA"/>
    <w:rsid w:val="00CD5ED4"/>
    <w:rsid w:val="00CD626E"/>
    <w:rsid w:val="00CD6519"/>
    <w:rsid w:val="00CD707C"/>
    <w:rsid w:val="00CD737C"/>
    <w:rsid w:val="00CD7BC3"/>
    <w:rsid w:val="00CD7C46"/>
    <w:rsid w:val="00CD7DA9"/>
    <w:rsid w:val="00CD7E25"/>
    <w:rsid w:val="00CE05D4"/>
    <w:rsid w:val="00CE0EE6"/>
    <w:rsid w:val="00CE1503"/>
    <w:rsid w:val="00CE1592"/>
    <w:rsid w:val="00CE234D"/>
    <w:rsid w:val="00CE40D0"/>
    <w:rsid w:val="00CE4301"/>
    <w:rsid w:val="00CE4558"/>
    <w:rsid w:val="00CE468E"/>
    <w:rsid w:val="00CE46FC"/>
    <w:rsid w:val="00CE481E"/>
    <w:rsid w:val="00CE4AA8"/>
    <w:rsid w:val="00CE515F"/>
    <w:rsid w:val="00CE657B"/>
    <w:rsid w:val="00CF214D"/>
    <w:rsid w:val="00CF3292"/>
    <w:rsid w:val="00CF3A3D"/>
    <w:rsid w:val="00CF58CF"/>
    <w:rsid w:val="00CF5EC5"/>
    <w:rsid w:val="00CF67F8"/>
    <w:rsid w:val="00CF6971"/>
    <w:rsid w:val="00CF6B0F"/>
    <w:rsid w:val="00CF78DB"/>
    <w:rsid w:val="00CF7D1F"/>
    <w:rsid w:val="00CF7EB8"/>
    <w:rsid w:val="00D01CEF"/>
    <w:rsid w:val="00D01EDC"/>
    <w:rsid w:val="00D0248E"/>
    <w:rsid w:val="00D027E3"/>
    <w:rsid w:val="00D035FA"/>
    <w:rsid w:val="00D03E56"/>
    <w:rsid w:val="00D049A0"/>
    <w:rsid w:val="00D052AE"/>
    <w:rsid w:val="00D07F0D"/>
    <w:rsid w:val="00D07FA7"/>
    <w:rsid w:val="00D11533"/>
    <w:rsid w:val="00D11F5B"/>
    <w:rsid w:val="00D12E08"/>
    <w:rsid w:val="00D13183"/>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6DCA"/>
    <w:rsid w:val="00D2728D"/>
    <w:rsid w:val="00D27298"/>
    <w:rsid w:val="00D278A7"/>
    <w:rsid w:val="00D30441"/>
    <w:rsid w:val="00D31B06"/>
    <w:rsid w:val="00D31BFC"/>
    <w:rsid w:val="00D31F2E"/>
    <w:rsid w:val="00D32B38"/>
    <w:rsid w:val="00D33B5C"/>
    <w:rsid w:val="00D35280"/>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BF"/>
    <w:rsid w:val="00D50CDF"/>
    <w:rsid w:val="00D518E8"/>
    <w:rsid w:val="00D5257F"/>
    <w:rsid w:val="00D5288E"/>
    <w:rsid w:val="00D53378"/>
    <w:rsid w:val="00D53645"/>
    <w:rsid w:val="00D53E41"/>
    <w:rsid w:val="00D547F7"/>
    <w:rsid w:val="00D5521C"/>
    <w:rsid w:val="00D553E6"/>
    <w:rsid w:val="00D562E7"/>
    <w:rsid w:val="00D567B8"/>
    <w:rsid w:val="00D5723A"/>
    <w:rsid w:val="00D61B15"/>
    <w:rsid w:val="00D62D57"/>
    <w:rsid w:val="00D63904"/>
    <w:rsid w:val="00D64514"/>
    <w:rsid w:val="00D649B8"/>
    <w:rsid w:val="00D64A87"/>
    <w:rsid w:val="00D64CCF"/>
    <w:rsid w:val="00D654A8"/>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6BD"/>
    <w:rsid w:val="00D83994"/>
    <w:rsid w:val="00D83CE5"/>
    <w:rsid w:val="00D8465C"/>
    <w:rsid w:val="00D84FD6"/>
    <w:rsid w:val="00D85008"/>
    <w:rsid w:val="00D85D8E"/>
    <w:rsid w:val="00D87374"/>
    <w:rsid w:val="00D87A49"/>
    <w:rsid w:val="00D90475"/>
    <w:rsid w:val="00D90BBF"/>
    <w:rsid w:val="00D9148A"/>
    <w:rsid w:val="00D91C33"/>
    <w:rsid w:val="00D91FB9"/>
    <w:rsid w:val="00D922F3"/>
    <w:rsid w:val="00D92D94"/>
    <w:rsid w:val="00D943C5"/>
    <w:rsid w:val="00D94DEE"/>
    <w:rsid w:val="00D950A6"/>
    <w:rsid w:val="00D950EC"/>
    <w:rsid w:val="00D956AA"/>
    <w:rsid w:val="00D956E4"/>
    <w:rsid w:val="00D95EF8"/>
    <w:rsid w:val="00D970FD"/>
    <w:rsid w:val="00D971F3"/>
    <w:rsid w:val="00DA0B14"/>
    <w:rsid w:val="00DA0B77"/>
    <w:rsid w:val="00DA1064"/>
    <w:rsid w:val="00DA120B"/>
    <w:rsid w:val="00DA13FD"/>
    <w:rsid w:val="00DA1851"/>
    <w:rsid w:val="00DA205C"/>
    <w:rsid w:val="00DA2450"/>
    <w:rsid w:val="00DA299A"/>
    <w:rsid w:val="00DA31C0"/>
    <w:rsid w:val="00DA3A45"/>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5B57"/>
    <w:rsid w:val="00DC60C7"/>
    <w:rsid w:val="00DC6415"/>
    <w:rsid w:val="00DC6829"/>
    <w:rsid w:val="00DC7022"/>
    <w:rsid w:val="00DC719D"/>
    <w:rsid w:val="00DC752F"/>
    <w:rsid w:val="00DC7568"/>
    <w:rsid w:val="00DC7C00"/>
    <w:rsid w:val="00DD0174"/>
    <w:rsid w:val="00DD02B8"/>
    <w:rsid w:val="00DD0B9B"/>
    <w:rsid w:val="00DD0DA2"/>
    <w:rsid w:val="00DD0FEA"/>
    <w:rsid w:val="00DD1145"/>
    <w:rsid w:val="00DD1B85"/>
    <w:rsid w:val="00DD238A"/>
    <w:rsid w:val="00DD2460"/>
    <w:rsid w:val="00DD24BD"/>
    <w:rsid w:val="00DD295D"/>
    <w:rsid w:val="00DD324F"/>
    <w:rsid w:val="00DD339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3AE"/>
    <w:rsid w:val="00DE4508"/>
    <w:rsid w:val="00DE5725"/>
    <w:rsid w:val="00DE66BA"/>
    <w:rsid w:val="00DE67E6"/>
    <w:rsid w:val="00DE71E4"/>
    <w:rsid w:val="00DE74D7"/>
    <w:rsid w:val="00DE7834"/>
    <w:rsid w:val="00DE7B05"/>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6DF"/>
    <w:rsid w:val="00DF29FB"/>
    <w:rsid w:val="00DF3014"/>
    <w:rsid w:val="00DF3CE0"/>
    <w:rsid w:val="00DF578F"/>
    <w:rsid w:val="00DF5DAB"/>
    <w:rsid w:val="00DF6D29"/>
    <w:rsid w:val="00E00BFD"/>
    <w:rsid w:val="00E01862"/>
    <w:rsid w:val="00E0197E"/>
    <w:rsid w:val="00E020A1"/>
    <w:rsid w:val="00E023C9"/>
    <w:rsid w:val="00E02A38"/>
    <w:rsid w:val="00E02B90"/>
    <w:rsid w:val="00E02C5A"/>
    <w:rsid w:val="00E03293"/>
    <w:rsid w:val="00E03758"/>
    <w:rsid w:val="00E04B3C"/>
    <w:rsid w:val="00E05C70"/>
    <w:rsid w:val="00E05C8E"/>
    <w:rsid w:val="00E05DED"/>
    <w:rsid w:val="00E06941"/>
    <w:rsid w:val="00E06C29"/>
    <w:rsid w:val="00E07911"/>
    <w:rsid w:val="00E10D95"/>
    <w:rsid w:val="00E12EF6"/>
    <w:rsid w:val="00E1303E"/>
    <w:rsid w:val="00E135EA"/>
    <w:rsid w:val="00E136DD"/>
    <w:rsid w:val="00E13E29"/>
    <w:rsid w:val="00E143B4"/>
    <w:rsid w:val="00E16244"/>
    <w:rsid w:val="00E162C7"/>
    <w:rsid w:val="00E16369"/>
    <w:rsid w:val="00E16AC1"/>
    <w:rsid w:val="00E172C3"/>
    <w:rsid w:val="00E17BE3"/>
    <w:rsid w:val="00E2007F"/>
    <w:rsid w:val="00E20329"/>
    <w:rsid w:val="00E205BB"/>
    <w:rsid w:val="00E207FE"/>
    <w:rsid w:val="00E209C5"/>
    <w:rsid w:val="00E20B6F"/>
    <w:rsid w:val="00E21052"/>
    <w:rsid w:val="00E21313"/>
    <w:rsid w:val="00E2306B"/>
    <w:rsid w:val="00E243C0"/>
    <w:rsid w:val="00E24F10"/>
    <w:rsid w:val="00E2538E"/>
    <w:rsid w:val="00E30119"/>
    <w:rsid w:val="00E3070E"/>
    <w:rsid w:val="00E3149E"/>
    <w:rsid w:val="00E3157B"/>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431F"/>
    <w:rsid w:val="00E45394"/>
    <w:rsid w:val="00E45F6B"/>
    <w:rsid w:val="00E468BA"/>
    <w:rsid w:val="00E46FEC"/>
    <w:rsid w:val="00E47425"/>
    <w:rsid w:val="00E50233"/>
    <w:rsid w:val="00E52618"/>
    <w:rsid w:val="00E52878"/>
    <w:rsid w:val="00E5288E"/>
    <w:rsid w:val="00E52A5F"/>
    <w:rsid w:val="00E53A19"/>
    <w:rsid w:val="00E5452C"/>
    <w:rsid w:val="00E54E16"/>
    <w:rsid w:val="00E54F16"/>
    <w:rsid w:val="00E5532F"/>
    <w:rsid w:val="00E55E95"/>
    <w:rsid w:val="00E5637F"/>
    <w:rsid w:val="00E56BC5"/>
    <w:rsid w:val="00E56D08"/>
    <w:rsid w:val="00E56D19"/>
    <w:rsid w:val="00E56E09"/>
    <w:rsid w:val="00E572BA"/>
    <w:rsid w:val="00E57C06"/>
    <w:rsid w:val="00E609D3"/>
    <w:rsid w:val="00E619AC"/>
    <w:rsid w:val="00E61E9D"/>
    <w:rsid w:val="00E62064"/>
    <w:rsid w:val="00E625A0"/>
    <w:rsid w:val="00E62DB9"/>
    <w:rsid w:val="00E62DC6"/>
    <w:rsid w:val="00E63C09"/>
    <w:rsid w:val="00E640ED"/>
    <w:rsid w:val="00E64143"/>
    <w:rsid w:val="00E64976"/>
    <w:rsid w:val="00E6514E"/>
    <w:rsid w:val="00E65A1F"/>
    <w:rsid w:val="00E65C80"/>
    <w:rsid w:val="00E6645B"/>
    <w:rsid w:val="00E66AC9"/>
    <w:rsid w:val="00E66CA0"/>
    <w:rsid w:val="00E70DDE"/>
    <w:rsid w:val="00E70E38"/>
    <w:rsid w:val="00E70F66"/>
    <w:rsid w:val="00E71476"/>
    <w:rsid w:val="00E71964"/>
    <w:rsid w:val="00E72E97"/>
    <w:rsid w:val="00E733A6"/>
    <w:rsid w:val="00E7373D"/>
    <w:rsid w:val="00E742B9"/>
    <w:rsid w:val="00E747D5"/>
    <w:rsid w:val="00E74EB3"/>
    <w:rsid w:val="00E75D14"/>
    <w:rsid w:val="00E8003A"/>
    <w:rsid w:val="00E805C5"/>
    <w:rsid w:val="00E8080E"/>
    <w:rsid w:val="00E81221"/>
    <w:rsid w:val="00E8169E"/>
    <w:rsid w:val="00E81DB5"/>
    <w:rsid w:val="00E82030"/>
    <w:rsid w:val="00E8215B"/>
    <w:rsid w:val="00E82A53"/>
    <w:rsid w:val="00E82C43"/>
    <w:rsid w:val="00E8397B"/>
    <w:rsid w:val="00E83AF0"/>
    <w:rsid w:val="00E83FEF"/>
    <w:rsid w:val="00E8496B"/>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0F4"/>
    <w:rsid w:val="00EA3639"/>
    <w:rsid w:val="00EA3987"/>
    <w:rsid w:val="00EA4173"/>
    <w:rsid w:val="00EA4CD3"/>
    <w:rsid w:val="00EA56D6"/>
    <w:rsid w:val="00EA5FD5"/>
    <w:rsid w:val="00EA6925"/>
    <w:rsid w:val="00EA6D71"/>
    <w:rsid w:val="00EA713A"/>
    <w:rsid w:val="00EB089B"/>
    <w:rsid w:val="00EB1551"/>
    <w:rsid w:val="00EB1938"/>
    <w:rsid w:val="00EB1965"/>
    <w:rsid w:val="00EB1A69"/>
    <w:rsid w:val="00EB23EF"/>
    <w:rsid w:val="00EB29D3"/>
    <w:rsid w:val="00EB32A5"/>
    <w:rsid w:val="00EB39EF"/>
    <w:rsid w:val="00EB3E96"/>
    <w:rsid w:val="00EB4AF6"/>
    <w:rsid w:val="00EB4B80"/>
    <w:rsid w:val="00EB57C1"/>
    <w:rsid w:val="00EB57EC"/>
    <w:rsid w:val="00EB5BD5"/>
    <w:rsid w:val="00EB648C"/>
    <w:rsid w:val="00EC0103"/>
    <w:rsid w:val="00EC088B"/>
    <w:rsid w:val="00EC35B4"/>
    <w:rsid w:val="00EC3643"/>
    <w:rsid w:val="00EC5949"/>
    <w:rsid w:val="00EC6134"/>
    <w:rsid w:val="00EC692E"/>
    <w:rsid w:val="00EC75E9"/>
    <w:rsid w:val="00ED05A8"/>
    <w:rsid w:val="00ED0B87"/>
    <w:rsid w:val="00ED125A"/>
    <w:rsid w:val="00ED12AE"/>
    <w:rsid w:val="00ED2643"/>
    <w:rsid w:val="00ED3020"/>
    <w:rsid w:val="00ED34BE"/>
    <w:rsid w:val="00ED4244"/>
    <w:rsid w:val="00ED4629"/>
    <w:rsid w:val="00ED4DD1"/>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E7750"/>
    <w:rsid w:val="00EF00D9"/>
    <w:rsid w:val="00EF079E"/>
    <w:rsid w:val="00EF07E6"/>
    <w:rsid w:val="00EF0E89"/>
    <w:rsid w:val="00EF1988"/>
    <w:rsid w:val="00EF35FA"/>
    <w:rsid w:val="00EF3FA7"/>
    <w:rsid w:val="00EF4435"/>
    <w:rsid w:val="00EF4D71"/>
    <w:rsid w:val="00EF507D"/>
    <w:rsid w:val="00EF5097"/>
    <w:rsid w:val="00EF6D71"/>
    <w:rsid w:val="00F00113"/>
    <w:rsid w:val="00F00AB6"/>
    <w:rsid w:val="00F00CD5"/>
    <w:rsid w:val="00F00D29"/>
    <w:rsid w:val="00F00FF2"/>
    <w:rsid w:val="00F01081"/>
    <w:rsid w:val="00F013A8"/>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3F6"/>
    <w:rsid w:val="00F12A0E"/>
    <w:rsid w:val="00F134AC"/>
    <w:rsid w:val="00F13EA4"/>
    <w:rsid w:val="00F16720"/>
    <w:rsid w:val="00F167DA"/>
    <w:rsid w:val="00F172EE"/>
    <w:rsid w:val="00F17351"/>
    <w:rsid w:val="00F17665"/>
    <w:rsid w:val="00F179D8"/>
    <w:rsid w:val="00F17D6C"/>
    <w:rsid w:val="00F20045"/>
    <w:rsid w:val="00F20655"/>
    <w:rsid w:val="00F2072E"/>
    <w:rsid w:val="00F2098F"/>
    <w:rsid w:val="00F21186"/>
    <w:rsid w:val="00F216D7"/>
    <w:rsid w:val="00F21EBC"/>
    <w:rsid w:val="00F22397"/>
    <w:rsid w:val="00F22ECA"/>
    <w:rsid w:val="00F23DD7"/>
    <w:rsid w:val="00F240EA"/>
    <w:rsid w:val="00F2496F"/>
    <w:rsid w:val="00F252AC"/>
    <w:rsid w:val="00F25D1F"/>
    <w:rsid w:val="00F25EC1"/>
    <w:rsid w:val="00F26147"/>
    <w:rsid w:val="00F26185"/>
    <w:rsid w:val="00F26DC3"/>
    <w:rsid w:val="00F300EF"/>
    <w:rsid w:val="00F301C6"/>
    <w:rsid w:val="00F30A35"/>
    <w:rsid w:val="00F30F7B"/>
    <w:rsid w:val="00F3110A"/>
    <w:rsid w:val="00F322EA"/>
    <w:rsid w:val="00F32BCB"/>
    <w:rsid w:val="00F3329C"/>
    <w:rsid w:val="00F35F1D"/>
    <w:rsid w:val="00F36631"/>
    <w:rsid w:val="00F3676C"/>
    <w:rsid w:val="00F37C44"/>
    <w:rsid w:val="00F37F40"/>
    <w:rsid w:val="00F403FD"/>
    <w:rsid w:val="00F40604"/>
    <w:rsid w:val="00F41380"/>
    <w:rsid w:val="00F414B3"/>
    <w:rsid w:val="00F4347B"/>
    <w:rsid w:val="00F43FEC"/>
    <w:rsid w:val="00F45489"/>
    <w:rsid w:val="00F45839"/>
    <w:rsid w:val="00F458B0"/>
    <w:rsid w:val="00F45BAA"/>
    <w:rsid w:val="00F4715B"/>
    <w:rsid w:val="00F47385"/>
    <w:rsid w:val="00F47416"/>
    <w:rsid w:val="00F47EF8"/>
    <w:rsid w:val="00F511B5"/>
    <w:rsid w:val="00F5164C"/>
    <w:rsid w:val="00F533A1"/>
    <w:rsid w:val="00F548CD"/>
    <w:rsid w:val="00F552DD"/>
    <w:rsid w:val="00F552FA"/>
    <w:rsid w:val="00F555BE"/>
    <w:rsid w:val="00F567A8"/>
    <w:rsid w:val="00F574F8"/>
    <w:rsid w:val="00F576E4"/>
    <w:rsid w:val="00F600F2"/>
    <w:rsid w:val="00F6065B"/>
    <w:rsid w:val="00F62E09"/>
    <w:rsid w:val="00F63C1F"/>
    <w:rsid w:val="00F6662F"/>
    <w:rsid w:val="00F70118"/>
    <w:rsid w:val="00F702B4"/>
    <w:rsid w:val="00F706F1"/>
    <w:rsid w:val="00F70B54"/>
    <w:rsid w:val="00F70E4A"/>
    <w:rsid w:val="00F732D4"/>
    <w:rsid w:val="00F743AF"/>
    <w:rsid w:val="00F75810"/>
    <w:rsid w:val="00F7586B"/>
    <w:rsid w:val="00F76A55"/>
    <w:rsid w:val="00F77FF2"/>
    <w:rsid w:val="00F801E6"/>
    <w:rsid w:val="00F80496"/>
    <w:rsid w:val="00F80729"/>
    <w:rsid w:val="00F80996"/>
    <w:rsid w:val="00F81DCD"/>
    <w:rsid w:val="00F82380"/>
    <w:rsid w:val="00F83A74"/>
    <w:rsid w:val="00F84BAA"/>
    <w:rsid w:val="00F84D35"/>
    <w:rsid w:val="00F85924"/>
    <w:rsid w:val="00F85D73"/>
    <w:rsid w:val="00F86921"/>
    <w:rsid w:val="00F86E48"/>
    <w:rsid w:val="00F8725D"/>
    <w:rsid w:val="00F87384"/>
    <w:rsid w:val="00F87F8D"/>
    <w:rsid w:val="00F904F7"/>
    <w:rsid w:val="00F907B2"/>
    <w:rsid w:val="00F90BD9"/>
    <w:rsid w:val="00F90DE0"/>
    <w:rsid w:val="00F91EB7"/>
    <w:rsid w:val="00F92058"/>
    <w:rsid w:val="00F923A7"/>
    <w:rsid w:val="00F93A92"/>
    <w:rsid w:val="00F944D7"/>
    <w:rsid w:val="00F97F78"/>
    <w:rsid w:val="00FA17C7"/>
    <w:rsid w:val="00FA2526"/>
    <w:rsid w:val="00FA43A4"/>
    <w:rsid w:val="00FA499D"/>
    <w:rsid w:val="00FA5129"/>
    <w:rsid w:val="00FA6185"/>
    <w:rsid w:val="00FA62D8"/>
    <w:rsid w:val="00FA6732"/>
    <w:rsid w:val="00FA7275"/>
    <w:rsid w:val="00FA7B5A"/>
    <w:rsid w:val="00FA7FCA"/>
    <w:rsid w:val="00FA7FF8"/>
    <w:rsid w:val="00FB1D01"/>
    <w:rsid w:val="00FB1D39"/>
    <w:rsid w:val="00FB204D"/>
    <w:rsid w:val="00FB2A0A"/>
    <w:rsid w:val="00FB3A38"/>
    <w:rsid w:val="00FB3CDC"/>
    <w:rsid w:val="00FB48D6"/>
    <w:rsid w:val="00FB52E0"/>
    <w:rsid w:val="00FB53E4"/>
    <w:rsid w:val="00FB59B6"/>
    <w:rsid w:val="00FB75C0"/>
    <w:rsid w:val="00FC02EA"/>
    <w:rsid w:val="00FC0AD7"/>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04DF"/>
    <w:rsid w:val="00FE08B2"/>
    <w:rsid w:val="00FE1A69"/>
    <w:rsid w:val="00FE1B57"/>
    <w:rsid w:val="00FE1F79"/>
    <w:rsid w:val="00FE2DB0"/>
    <w:rsid w:val="00FE43BA"/>
    <w:rsid w:val="00FE5006"/>
    <w:rsid w:val="00FE516D"/>
    <w:rsid w:val="00FE517E"/>
    <w:rsid w:val="00FE5219"/>
    <w:rsid w:val="00FE5747"/>
    <w:rsid w:val="00FE5CA9"/>
    <w:rsid w:val="00FE612F"/>
    <w:rsid w:val="00FE6C02"/>
    <w:rsid w:val="00FE71F9"/>
    <w:rsid w:val="00FE7FBB"/>
    <w:rsid w:val="00FF0383"/>
    <w:rsid w:val="00FF084A"/>
    <w:rsid w:val="00FF0FB1"/>
    <w:rsid w:val="00FF4376"/>
    <w:rsid w:val="00FF49E6"/>
    <w:rsid w:val="00FF5669"/>
    <w:rsid w:val="00FF5688"/>
    <w:rsid w:val="00FF607A"/>
    <w:rsid w:val="00FF64F7"/>
    <w:rsid w:val="00FF6E9D"/>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558CCBC3-CE97-4F4D-A78B-1DFE02580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8B2"/>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qFormat/>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8735BF"/>
    <w:rPr>
      <w:color w:val="0000FF"/>
      <w:u w:val="single"/>
    </w:rPr>
  </w:style>
  <w:style w:type="table" w:styleId="Tabladecuadrcula6concolores">
    <w:name w:val="Grid Table 6 Colorful"/>
    <w:basedOn w:val="Tablanormal"/>
    <w:uiPriority w:val="51"/>
    <w:rsid w:val="0030215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1">
    <w:name w:val="Tabla con cuadrícula1"/>
    <w:basedOn w:val="Tablanormal"/>
    <w:next w:val="Tablaconcuadrcula"/>
    <w:uiPriority w:val="39"/>
    <w:rsid w:val="00E82C43"/>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8945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E205BB"/>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39"/>
    <w:rsid w:val="00D07FA7"/>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iasutil">
    <w:name w:val="Subtle Reference"/>
    <w:basedOn w:val="Fuentedeprrafopredeter"/>
    <w:uiPriority w:val="31"/>
    <w:qFormat/>
    <w:rsid w:val="000A5994"/>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23487327">
      <w:bodyDiv w:val="1"/>
      <w:marLeft w:val="0"/>
      <w:marRight w:val="0"/>
      <w:marTop w:val="0"/>
      <w:marBottom w:val="0"/>
      <w:divBdr>
        <w:top w:val="none" w:sz="0" w:space="0" w:color="auto"/>
        <w:left w:val="none" w:sz="0" w:space="0" w:color="auto"/>
        <w:bottom w:val="none" w:sz="0" w:space="0" w:color="auto"/>
        <w:right w:val="none" w:sz="0" w:space="0" w:color="auto"/>
      </w:divBdr>
    </w:div>
    <w:div w:id="24332440">
      <w:bodyDiv w:val="1"/>
      <w:marLeft w:val="0"/>
      <w:marRight w:val="0"/>
      <w:marTop w:val="0"/>
      <w:marBottom w:val="0"/>
      <w:divBdr>
        <w:top w:val="none" w:sz="0" w:space="0" w:color="auto"/>
        <w:left w:val="none" w:sz="0" w:space="0" w:color="auto"/>
        <w:bottom w:val="none" w:sz="0" w:space="0" w:color="auto"/>
        <w:right w:val="none" w:sz="0" w:space="0" w:color="auto"/>
      </w:divBdr>
    </w:div>
    <w:div w:id="28727246">
      <w:bodyDiv w:val="1"/>
      <w:marLeft w:val="0"/>
      <w:marRight w:val="0"/>
      <w:marTop w:val="0"/>
      <w:marBottom w:val="0"/>
      <w:divBdr>
        <w:top w:val="none" w:sz="0" w:space="0" w:color="auto"/>
        <w:left w:val="none" w:sz="0" w:space="0" w:color="auto"/>
        <w:bottom w:val="none" w:sz="0" w:space="0" w:color="auto"/>
        <w:right w:val="none" w:sz="0" w:space="0" w:color="auto"/>
      </w:divBdr>
    </w:div>
    <w:div w:id="53240687">
      <w:bodyDiv w:val="1"/>
      <w:marLeft w:val="0"/>
      <w:marRight w:val="0"/>
      <w:marTop w:val="0"/>
      <w:marBottom w:val="0"/>
      <w:divBdr>
        <w:top w:val="none" w:sz="0" w:space="0" w:color="auto"/>
        <w:left w:val="none" w:sz="0" w:space="0" w:color="auto"/>
        <w:bottom w:val="none" w:sz="0" w:space="0" w:color="auto"/>
        <w:right w:val="none" w:sz="0" w:space="0" w:color="auto"/>
      </w:divBdr>
    </w:div>
    <w:div w:id="58984186">
      <w:bodyDiv w:val="1"/>
      <w:marLeft w:val="0"/>
      <w:marRight w:val="0"/>
      <w:marTop w:val="0"/>
      <w:marBottom w:val="0"/>
      <w:divBdr>
        <w:top w:val="none" w:sz="0" w:space="0" w:color="auto"/>
        <w:left w:val="none" w:sz="0" w:space="0" w:color="auto"/>
        <w:bottom w:val="none" w:sz="0" w:space="0" w:color="auto"/>
        <w:right w:val="none" w:sz="0" w:space="0" w:color="auto"/>
      </w:divBdr>
    </w:div>
    <w:div w:id="68893317">
      <w:bodyDiv w:val="1"/>
      <w:marLeft w:val="0"/>
      <w:marRight w:val="0"/>
      <w:marTop w:val="0"/>
      <w:marBottom w:val="0"/>
      <w:divBdr>
        <w:top w:val="none" w:sz="0" w:space="0" w:color="auto"/>
        <w:left w:val="none" w:sz="0" w:space="0" w:color="auto"/>
        <w:bottom w:val="none" w:sz="0" w:space="0" w:color="auto"/>
        <w:right w:val="none" w:sz="0" w:space="0" w:color="auto"/>
      </w:divBdr>
    </w:div>
    <w:div w:id="90399502">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22618962">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57843440">
      <w:bodyDiv w:val="1"/>
      <w:marLeft w:val="0"/>
      <w:marRight w:val="0"/>
      <w:marTop w:val="0"/>
      <w:marBottom w:val="0"/>
      <w:divBdr>
        <w:top w:val="none" w:sz="0" w:space="0" w:color="auto"/>
        <w:left w:val="none" w:sz="0" w:space="0" w:color="auto"/>
        <w:bottom w:val="none" w:sz="0" w:space="0" w:color="auto"/>
        <w:right w:val="none" w:sz="0" w:space="0" w:color="auto"/>
      </w:divBdr>
    </w:div>
    <w:div w:id="16305357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1038594">
      <w:bodyDiv w:val="1"/>
      <w:marLeft w:val="0"/>
      <w:marRight w:val="0"/>
      <w:marTop w:val="0"/>
      <w:marBottom w:val="0"/>
      <w:divBdr>
        <w:top w:val="none" w:sz="0" w:space="0" w:color="auto"/>
        <w:left w:val="none" w:sz="0" w:space="0" w:color="auto"/>
        <w:bottom w:val="none" w:sz="0" w:space="0" w:color="auto"/>
        <w:right w:val="none" w:sz="0" w:space="0" w:color="auto"/>
      </w:divBdr>
    </w:div>
    <w:div w:id="213582233">
      <w:bodyDiv w:val="1"/>
      <w:marLeft w:val="0"/>
      <w:marRight w:val="0"/>
      <w:marTop w:val="0"/>
      <w:marBottom w:val="0"/>
      <w:divBdr>
        <w:top w:val="none" w:sz="0" w:space="0" w:color="auto"/>
        <w:left w:val="none" w:sz="0" w:space="0" w:color="auto"/>
        <w:bottom w:val="none" w:sz="0" w:space="0" w:color="auto"/>
        <w:right w:val="none" w:sz="0" w:space="0" w:color="auto"/>
      </w:divBdr>
    </w:div>
    <w:div w:id="266543933">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75063855">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0377343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33280660">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19970476">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47305073">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0143687">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44508243">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12651716">
      <w:bodyDiv w:val="1"/>
      <w:marLeft w:val="0"/>
      <w:marRight w:val="0"/>
      <w:marTop w:val="0"/>
      <w:marBottom w:val="0"/>
      <w:divBdr>
        <w:top w:val="none" w:sz="0" w:space="0" w:color="auto"/>
        <w:left w:val="none" w:sz="0" w:space="0" w:color="auto"/>
        <w:bottom w:val="none" w:sz="0" w:space="0" w:color="auto"/>
        <w:right w:val="none" w:sz="0" w:space="0" w:color="auto"/>
      </w:divBdr>
    </w:div>
    <w:div w:id="71933017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73133453">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13717822">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6128561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992444408">
      <w:bodyDiv w:val="1"/>
      <w:marLeft w:val="0"/>
      <w:marRight w:val="0"/>
      <w:marTop w:val="0"/>
      <w:marBottom w:val="0"/>
      <w:divBdr>
        <w:top w:val="none" w:sz="0" w:space="0" w:color="auto"/>
        <w:left w:val="none" w:sz="0" w:space="0" w:color="auto"/>
        <w:bottom w:val="none" w:sz="0" w:space="0" w:color="auto"/>
        <w:right w:val="none" w:sz="0" w:space="0" w:color="auto"/>
      </w:divBdr>
    </w:div>
    <w:div w:id="1004819757">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1156235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64379950">
      <w:bodyDiv w:val="1"/>
      <w:marLeft w:val="0"/>
      <w:marRight w:val="0"/>
      <w:marTop w:val="0"/>
      <w:marBottom w:val="0"/>
      <w:divBdr>
        <w:top w:val="none" w:sz="0" w:space="0" w:color="auto"/>
        <w:left w:val="none" w:sz="0" w:space="0" w:color="auto"/>
        <w:bottom w:val="none" w:sz="0" w:space="0" w:color="auto"/>
        <w:right w:val="none" w:sz="0" w:space="0" w:color="auto"/>
      </w:divBdr>
    </w:div>
    <w:div w:id="1071387535">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80833082">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8177766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241386">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2178012">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768478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21346318">
      <w:bodyDiv w:val="1"/>
      <w:marLeft w:val="0"/>
      <w:marRight w:val="0"/>
      <w:marTop w:val="0"/>
      <w:marBottom w:val="0"/>
      <w:divBdr>
        <w:top w:val="none" w:sz="0" w:space="0" w:color="auto"/>
        <w:left w:val="none" w:sz="0" w:space="0" w:color="auto"/>
        <w:bottom w:val="none" w:sz="0" w:space="0" w:color="auto"/>
        <w:right w:val="none" w:sz="0" w:space="0" w:color="auto"/>
      </w:divBdr>
    </w:div>
    <w:div w:id="1334920345">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02022697">
      <w:bodyDiv w:val="1"/>
      <w:marLeft w:val="0"/>
      <w:marRight w:val="0"/>
      <w:marTop w:val="0"/>
      <w:marBottom w:val="0"/>
      <w:divBdr>
        <w:top w:val="none" w:sz="0" w:space="0" w:color="auto"/>
        <w:left w:val="none" w:sz="0" w:space="0" w:color="auto"/>
        <w:bottom w:val="none" w:sz="0" w:space="0" w:color="auto"/>
        <w:right w:val="none" w:sz="0" w:space="0" w:color="auto"/>
      </w:divBdr>
    </w:div>
    <w:div w:id="1409841518">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77595394">
      <w:bodyDiv w:val="1"/>
      <w:marLeft w:val="0"/>
      <w:marRight w:val="0"/>
      <w:marTop w:val="0"/>
      <w:marBottom w:val="0"/>
      <w:divBdr>
        <w:top w:val="none" w:sz="0" w:space="0" w:color="auto"/>
        <w:left w:val="none" w:sz="0" w:space="0" w:color="auto"/>
        <w:bottom w:val="none" w:sz="0" w:space="0" w:color="auto"/>
        <w:right w:val="none" w:sz="0" w:space="0" w:color="auto"/>
      </w:divBdr>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34287165">
      <w:bodyDiv w:val="1"/>
      <w:marLeft w:val="0"/>
      <w:marRight w:val="0"/>
      <w:marTop w:val="0"/>
      <w:marBottom w:val="0"/>
      <w:divBdr>
        <w:top w:val="none" w:sz="0" w:space="0" w:color="auto"/>
        <w:left w:val="none" w:sz="0" w:space="0" w:color="auto"/>
        <w:bottom w:val="none" w:sz="0" w:space="0" w:color="auto"/>
        <w:right w:val="none" w:sz="0" w:space="0" w:color="auto"/>
      </w:divBdr>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0481176">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5984827">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12419188">
      <w:bodyDiv w:val="1"/>
      <w:marLeft w:val="0"/>
      <w:marRight w:val="0"/>
      <w:marTop w:val="0"/>
      <w:marBottom w:val="0"/>
      <w:divBdr>
        <w:top w:val="none" w:sz="0" w:space="0" w:color="auto"/>
        <w:left w:val="none" w:sz="0" w:space="0" w:color="auto"/>
        <w:bottom w:val="none" w:sz="0" w:space="0" w:color="auto"/>
        <w:right w:val="none" w:sz="0" w:space="0" w:color="auto"/>
      </w:divBdr>
    </w:div>
    <w:div w:id="1718779417">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239020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782455872">
      <w:bodyDiv w:val="1"/>
      <w:marLeft w:val="0"/>
      <w:marRight w:val="0"/>
      <w:marTop w:val="0"/>
      <w:marBottom w:val="0"/>
      <w:divBdr>
        <w:top w:val="none" w:sz="0" w:space="0" w:color="auto"/>
        <w:left w:val="none" w:sz="0" w:space="0" w:color="auto"/>
        <w:bottom w:val="none" w:sz="0" w:space="0" w:color="auto"/>
        <w:right w:val="none" w:sz="0" w:space="0" w:color="auto"/>
      </w:divBdr>
    </w:div>
    <w:div w:id="1802070948">
      <w:bodyDiv w:val="1"/>
      <w:marLeft w:val="0"/>
      <w:marRight w:val="0"/>
      <w:marTop w:val="0"/>
      <w:marBottom w:val="0"/>
      <w:divBdr>
        <w:top w:val="none" w:sz="0" w:space="0" w:color="auto"/>
        <w:left w:val="none" w:sz="0" w:space="0" w:color="auto"/>
        <w:bottom w:val="none" w:sz="0" w:space="0" w:color="auto"/>
        <w:right w:val="none" w:sz="0" w:space="0" w:color="auto"/>
      </w:divBdr>
    </w:div>
    <w:div w:id="1811046574">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25843551">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25014362">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0663896">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14158058">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D180-AF71-4B5B-8D04-4F0BD653F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72</Pages>
  <Words>14452</Words>
  <Characters>79487</Characters>
  <Application>Microsoft Office Word</Application>
  <DocSecurity>0</DocSecurity>
  <Lines>662</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4</cp:revision>
  <cp:lastPrinted>2023-06-28T17:38:00Z</cp:lastPrinted>
  <dcterms:created xsi:type="dcterms:W3CDTF">2023-07-04T22:43:00Z</dcterms:created>
  <dcterms:modified xsi:type="dcterms:W3CDTF">2023-07-10T17:56:00Z</dcterms:modified>
</cp:coreProperties>
</file>