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C7FE4" w14:textId="77777777" w:rsidR="00A7334B" w:rsidRDefault="000A1F10">
      <w:pPr>
        <w:spacing w:before="240" w:after="240" w:line="360" w:lineRule="auto"/>
        <w:jc w:val="both"/>
        <w:rPr>
          <w:rFonts w:ascii="Palatino Linotype" w:eastAsia="Palatino Linotype" w:hAnsi="Palatino Linotype" w:cs="Palatino Linotype"/>
        </w:rPr>
      </w:pPr>
      <w:bookmarkStart w:id="0" w:name="_heading=h.tyjcwt"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trece de diciembre de dos mil veintitrés. </w:t>
      </w:r>
    </w:p>
    <w:p w14:paraId="6543002E" w14:textId="28A81D4F"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01057/INFOEM/IP/RR/2023</w:t>
      </w:r>
      <w:r>
        <w:rPr>
          <w:rFonts w:ascii="Palatino Linotype" w:eastAsia="Palatino Linotype" w:hAnsi="Palatino Linotype" w:cs="Palatino Linotype"/>
        </w:rPr>
        <w:t xml:space="preserve">, interpuesto por </w:t>
      </w:r>
      <w:r w:rsidR="001C79D8">
        <w:rPr>
          <w:rFonts w:ascii="Palatino Linotype" w:eastAsia="Palatino Linotype" w:hAnsi="Palatino Linotype" w:cs="Palatino Linotype"/>
          <w:b/>
        </w:rPr>
        <w:t>XXXXXX XXXXX</w:t>
      </w:r>
      <w:r>
        <w:rPr>
          <w:rFonts w:ascii="Palatino Linotype" w:eastAsia="Palatino Linotype" w:hAnsi="Palatino Linotype" w:cs="Palatino Linotype"/>
          <w:b/>
        </w:rPr>
        <w:t xml:space="preserve"> </w:t>
      </w:r>
      <w:r>
        <w:rPr>
          <w:rFonts w:ascii="Palatino Linotype" w:eastAsia="Palatino Linotype" w:hAnsi="Palatino Linotype" w:cs="Palatino Linotype"/>
        </w:rPr>
        <w:t>y</w:t>
      </w:r>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 la </w:t>
      </w:r>
      <w:proofErr w:type="gramStart"/>
      <w:r>
        <w:rPr>
          <w:rFonts w:ascii="Palatino Linotype" w:eastAsia="Palatino Linotype" w:hAnsi="Palatino Linotype" w:cs="Palatino Linotype"/>
          <w:b/>
        </w:rPr>
        <w:t>Fiscalía General</w:t>
      </w:r>
      <w:proofErr w:type="gramEnd"/>
      <w:r>
        <w:rPr>
          <w:rFonts w:ascii="Palatino Linotype" w:eastAsia="Palatino Linotype" w:hAnsi="Palatino Linotype" w:cs="Palatino Linotype"/>
          <w:b/>
        </w:rPr>
        <w:t xml:space="preserve"> de Justicia del Estado de México,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566AC0F2" w14:textId="77777777" w:rsidR="00A7334B" w:rsidRDefault="000A1F10">
      <w:pPr>
        <w:spacing w:before="240" w:after="240" w:line="360" w:lineRule="auto"/>
        <w:jc w:val="center"/>
        <w:rPr>
          <w:rFonts w:ascii="Palatino Linotype" w:eastAsia="Palatino Linotype" w:hAnsi="Palatino Linotype" w:cs="Palatino Linotype"/>
          <w:b/>
          <w:sz w:val="28"/>
          <w:szCs w:val="28"/>
        </w:rPr>
      </w:pPr>
      <w:bookmarkStart w:id="1" w:name="_heading=h.3znysh7" w:colFirst="0" w:colLast="0"/>
      <w:bookmarkEnd w:id="1"/>
      <w:r>
        <w:rPr>
          <w:rFonts w:ascii="Palatino Linotype" w:eastAsia="Palatino Linotype" w:hAnsi="Palatino Linotype" w:cs="Palatino Linotype"/>
          <w:b/>
        </w:rPr>
        <w:t>I. A N T E C E D E N T E S</w:t>
      </w:r>
    </w:p>
    <w:p w14:paraId="5878F4C1"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trece de enero de dos mil veintitrés,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00052/FGJ/IP/2023, </w:t>
      </w:r>
      <w:r>
        <w:rPr>
          <w:rFonts w:ascii="Palatino Linotype" w:eastAsia="Palatino Linotype" w:hAnsi="Palatino Linotype" w:cs="Palatino Linotype"/>
        </w:rPr>
        <w:t xml:space="preserve">mediante la cual requirió la información siguiente: </w:t>
      </w:r>
    </w:p>
    <w:p w14:paraId="33527F15" w14:textId="77777777" w:rsidR="00A7334B" w:rsidRDefault="000A1F10">
      <w:pPr>
        <w:spacing w:before="240" w:after="240" w:line="276" w:lineRule="auto"/>
        <w:ind w:left="851" w:right="616"/>
        <w:jc w:val="both"/>
        <w:rPr>
          <w:rFonts w:ascii="Palatino Linotype" w:eastAsia="Palatino Linotype" w:hAnsi="Palatino Linotype" w:cs="Palatino Linotype"/>
          <w:i/>
          <w:sz w:val="22"/>
          <w:szCs w:val="22"/>
        </w:rPr>
      </w:pPr>
      <w:bookmarkStart w:id="2" w:name="_heading=h.gjdgxs" w:colFirst="0" w:colLast="0"/>
      <w:bookmarkEnd w:id="2"/>
      <w:r>
        <w:rPr>
          <w:rFonts w:ascii="Palatino Linotype" w:eastAsia="Palatino Linotype" w:hAnsi="Palatino Linotype" w:cs="Palatino Linotype"/>
          <w:i/>
          <w:sz w:val="22"/>
          <w:szCs w:val="22"/>
        </w:rPr>
        <w:t xml:space="preserve">“Con fundamento en el Acuerdo 25/2017, por el que sea crea el Comité de Control y Evaluación de la </w:t>
      </w:r>
      <w:proofErr w:type="gramStart"/>
      <w:r>
        <w:rPr>
          <w:rFonts w:ascii="Palatino Linotype" w:eastAsia="Palatino Linotype" w:hAnsi="Palatino Linotype" w:cs="Palatino Linotype"/>
          <w:i/>
          <w:sz w:val="22"/>
          <w:szCs w:val="22"/>
        </w:rPr>
        <w:t>Fiscalía General</w:t>
      </w:r>
      <w:proofErr w:type="gramEnd"/>
      <w:r>
        <w:rPr>
          <w:rFonts w:ascii="Palatino Linotype" w:eastAsia="Palatino Linotype" w:hAnsi="Palatino Linotype" w:cs="Palatino Linotype"/>
          <w:i/>
          <w:sz w:val="22"/>
          <w:szCs w:val="22"/>
        </w:rPr>
        <w:t xml:space="preserve"> de Justicia del Estado de México y se establecen sus Atribuciones, publicado en la Gaceta de Gobierno, el 30 de octubre de 2017, Ley de la Fiscalía General de Justicia del Estado de México y Reglamento de la Ley Orgánica de la Procuraduría General de Justicia del Edomex, se solicita: I. Si el Acuerdo 25/2017 está o no vigente, en su caso, fecha en que dejó de estarlo. II. Versión pública del Estatuto de Operación del Comité de Control y Evaluación. III. Versión pública de los Acuerdos del Comité que fomenten un adecuado control </w:t>
      </w:r>
      <w:r>
        <w:rPr>
          <w:rFonts w:ascii="Palatino Linotype" w:eastAsia="Palatino Linotype" w:hAnsi="Palatino Linotype" w:cs="Palatino Linotype"/>
          <w:i/>
          <w:sz w:val="22"/>
          <w:szCs w:val="22"/>
        </w:rPr>
        <w:lastRenderedPageBreak/>
        <w:t>interno del Órgano Constitucional Autónomo. IV. Versión pública de Informes de seguimiento a los Acuerdos mencionados. V. Versión pública de comprobar se cumplen las propuestas de acciones de control y recomendaciones de las autoridades competentes. VI. Versión pública de las sesiones del Comité.” (Sic)</w:t>
      </w:r>
    </w:p>
    <w:p w14:paraId="7EE222D7"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Mexiquense (SAIMEX) y correo electrónico. </w:t>
      </w:r>
    </w:p>
    <w:p w14:paraId="445F869E"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6D80869" wp14:editId="08C79152">
            <wp:extent cx="5612130" cy="268351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612130" cy="2683510"/>
                    </a:xfrm>
                    <a:prstGeom prst="rect">
                      <a:avLst/>
                    </a:prstGeom>
                    <a:ln/>
                  </pic:spPr>
                </pic:pic>
              </a:graphicData>
            </a:graphic>
          </wp:inline>
        </w:drawing>
      </w:r>
    </w:p>
    <w:p w14:paraId="1FBC46A0"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El</w:t>
      </w:r>
      <w:r>
        <w:rPr>
          <w:rFonts w:ascii="Palatino Linotype" w:eastAsia="Palatino Linotype" w:hAnsi="Palatino Linotype" w:cs="Palatino Linotype"/>
          <w:b/>
        </w:rPr>
        <w:t xml:space="preserve"> tres de febrero de dos mil veintitrés,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respondió a la solicitud en los siguientes términos: </w:t>
      </w:r>
    </w:p>
    <w:p w14:paraId="14EE18D5" w14:textId="77777777" w:rsidR="00A7334B" w:rsidRDefault="000A1F10">
      <w:pPr>
        <w:spacing w:before="240" w:after="240" w:line="276"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“SE ANEXA REPUESTA.” (Sic)</w:t>
      </w:r>
    </w:p>
    <w:p w14:paraId="0D3B5968" w14:textId="77777777" w:rsidR="00A7334B" w:rsidRDefault="000A1F1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t>Pronunciamiento al que adjuntó el archivo electrónico identificado como “</w:t>
      </w:r>
      <w:r>
        <w:rPr>
          <w:rFonts w:ascii="Palatino Linotype" w:eastAsia="Palatino Linotype" w:hAnsi="Palatino Linotype" w:cs="Palatino Linotype"/>
          <w:b/>
          <w:i/>
          <w:color w:val="000000"/>
        </w:rPr>
        <w:t xml:space="preserve">RESPUESTA </w:t>
      </w:r>
      <w:proofErr w:type="gramStart"/>
      <w:r>
        <w:rPr>
          <w:rFonts w:ascii="Palatino Linotype" w:eastAsia="Palatino Linotype" w:hAnsi="Palatino Linotype" w:cs="Palatino Linotype"/>
          <w:b/>
          <w:i/>
          <w:color w:val="000000"/>
        </w:rPr>
        <w:t xml:space="preserve">52.pdf” </w:t>
      </w:r>
      <w:r>
        <w:rPr>
          <w:rFonts w:ascii="Palatino Linotype" w:eastAsia="Palatino Linotype" w:hAnsi="Palatino Linotype" w:cs="Palatino Linotype"/>
          <w:color w:val="000000"/>
        </w:rPr>
        <w:t xml:space="preserve"> cuyo</w:t>
      </w:r>
      <w:proofErr w:type="gramEnd"/>
      <w:r>
        <w:rPr>
          <w:rFonts w:ascii="Palatino Linotype" w:eastAsia="Palatino Linotype" w:hAnsi="Palatino Linotype" w:cs="Palatino Linotype"/>
          <w:color w:val="000000"/>
        </w:rPr>
        <w:t xml:space="preserve"> contenido, se trata del oficio 0421/IMAIP/FGJ/2023 de fecha tres de febrero de dos mil veintitrés, suscrito y signado por la a Encargada de la Unidad de Transparencia, por medio del cual informó: </w:t>
      </w:r>
    </w:p>
    <w:p w14:paraId="38E19CD6" w14:textId="77777777" w:rsidR="00A7334B" w:rsidRDefault="000A1F10">
      <w:pPr>
        <w:spacing w:before="240" w:after="240" w:line="360" w:lineRule="auto"/>
        <w:ind w:left="851" w:right="49" w:hanging="851"/>
        <w:jc w:val="center"/>
        <w:rPr>
          <w:rFonts w:ascii="Palatino Linotype" w:eastAsia="Palatino Linotype" w:hAnsi="Palatino Linotype" w:cs="Palatino Linotype"/>
          <w:b/>
        </w:rPr>
      </w:pPr>
      <w:r>
        <w:rPr>
          <w:rFonts w:ascii="Palatino Linotype" w:eastAsia="Palatino Linotype" w:hAnsi="Palatino Linotype" w:cs="Palatino Linotype"/>
          <w:noProof/>
        </w:rPr>
        <w:lastRenderedPageBreak/>
        <w:drawing>
          <wp:inline distT="0" distB="0" distL="0" distR="0" wp14:anchorId="6B1E9CDA" wp14:editId="10743B87">
            <wp:extent cx="5557156" cy="2103736"/>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557156" cy="2103736"/>
                    </a:xfrm>
                    <a:prstGeom prst="rect">
                      <a:avLst/>
                    </a:prstGeom>
                    <a:ln/>
                  </pic:spPr>
                </pic:pic>
              </a:graphicData>
            </a:graphic>
          </wp:inline>
        </w:drawing>
      </w:r>
    </w:p>
    <w:p w14:paraId="424A7E1B" w14:textId="77777777" w:rsidR="00A7334B" w:rsidRDefault="000A1F10">
      <w:pPr>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veintidós de febrero de dos mil veintitrés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interpuso el recurso de revisión en el que expresó lo siguiente:</w:t>
      </w:r>
    </w:p>
    <w:p w14:paraId="3ED4ACC6" w14:textId="77777777" w:rsidR="00A7334B" w:rsidRDefault="000A1F10">
      <w:pPr>
        <w:spacing w:before="240" w:after="240" w:line="360" w:lineRule="auto"/>
        <w:ind w:right="49"/>
        <w:jc w:val="both"/>
        <w:rPr>
          <w:rFonts w:ascii="Palatino Linotype" w:eastAsia="Palatino Linotype" w:hAnsi="Palatino Linotype" w:cs="Palatino Linotype"/>
          <w:i/>
          <w:sz w:val="2"/>
          <w:szCs w:val="2"/>
        </w:rPr>
      </w:pPr>
      <w:r>
        <w:rPr>
          <w:rFonts w:ascii="Palatino Linotype" w:eastAsia="Palatino Linotype" w:hAnsi="Palatino Linotype" w:cs="Palatino Linotype"/>
          <w:b/>
        </w:rPr>
        <w:t xml:space="preserve">Acto impugnado: </w:t>
      </w:r>
    </w:p>
    <w:p w14:paraId="7FF4EF08" w14:textId="77777777" w:rsidR="00A7334B" w:rsidRDefault="000A1F1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respuesta que emite la Unidad de Transparencia de la </w:t>
      </w:r>
      <w:proofErr w:type="gramStart"/>
      <w:r>
        <w:rPr>
          <w:rFonts w:ascii="Palatino Linotype" w:eastAsia="Palatino Linotype" w:hAnsi="Palatino Linotype" w:cs="Palatino Linotype"/>
          <w:i/>
          <w:sz w:val="22"/>
          <w:szCs w:val="22"/>
        </w:rPr>
        <w:t>Fiscalía General</w:t>
      </w:r>
      <w:proofErr w:type="gramEnd"/>
      <w:r>
        <w:rPr>
          <w:rFonts w:ascii="Palatino Linotype" w:eastAsia="Palatino Linotype" w:hAnsi="Palatino Linotype" w:cs="Palatino Linotype"/>
          <w:i/>
          <w:sz w:val="22"/>
          <w:szCs w:val="22"/>
        </w:rPr>
        <w:t xml:space="preserve"> de Justicia del Estado de México bajo el folio 00052/FGJ/IP/2023"(Sic)</w:t>
      </w:r>
    </w:p>
    <w:p w14:paraId="72831491" w14:textId="77777777" w:rsidR="00A7334B" w:rsidRDefault="000A1F10">
      <w:pPr>
        <w:spacing w:before="240" w:after="240" w:line="360" w:lineRule="auto"/>
        <w:ind w:right="616"/>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b/>
          <w:sz w:val="22"/>
          <w:szCs w:val="22"/>
        </w:rPr>
        <w:t xml:space="preserve">: </w:t>
      </w:r>
    </w:p>
    <w:p w14:paraId="29B8F8E3" w14:textId="77777777" w:rsidR="00A7334B" w:rsidRDefault="000A1F1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“MOTIVO DE LA QUEJA: Por mi propio derecho y con fundamento en los artículos 176, 178 y 179 de la Ley de Transparencia y Acceso a la Información </w:t>
      </w:r>
      <w:proofErr w:type="spellStart"/>
      <w:r>
        <w:rPr>
          <w:rFonts w:ascii="Palatino Linotype" w:eastAsia="Palatino Linotype" w:hAnsi="Palatino Linotype" w:cs="Palatino Linotype"/>
          <w:i/>
          <w:sz w:val="22"/>
          <w:szCs w:val="22"/>
        </w:rPr>
        <w:t>Publica</w:t>
      </w:r>
      <w:proofErr w:type="spellEnd"/>
      <w:r>
        <w:rPr>
          <w:rFonts w:ascii="Palatino Linotype" w:eastAsia="Palatino Linotype" w:hAnsi="Palatino Linotype" w:cs="Palatino Linotype"/>
          <w:i/>
          <w:sz w:val="22"/>
          <w:szCs w:val="22"/>
        </w:rPr>
        <w:t xml:space="preserve"> del Estado de México y Municipios, interpongo recurso de revisión en contra de la respuesta emitida bajo el folio 00052/FGJ/IP/2023, por falta de atención a las fracciones II, III, IV, V, VI de mi solicitud por parte de la Unidad de Transparencia de la Fiscalía General de Justicia del Estado de México, por los motivos siguientes: La respuesta que da la Unidad de Transparencia de la Fiscalía General de Justicia del Estado de México a mi solicitud, no cumple con el principio de máxima publicidad, toda vez que la información que solicite fue en versión pública, es decir, sin que comprenda un procesamiento específico información que el Comité de Control y Evaluación debe tener de conformidad con el Acuerdo 25/2017, por el que </w:t>
      </w:r>
      <w:r>
        <w:rPr>
          <w:rFonts w:ascii="Palatino Linotype" w:eastAsia="Palatino Linotype" w:hAnsi="Palatino Linotype" w:cs="Palatino Linotype"/>
          <w:i/>
          <w:sz w:val="22"/>
          <w:szCs w:val="22"/>
        </w:rPr>
        <w:lastRenderedPageBreak/>
        <w:t xml:space="preserve">se crea el Comité de Control y Evaluación de la Fiscalía General de Justicia del Estado de México y se establecen sus atribuciones, por ello nuevamente solicito me sea proporcionada la información siguiente, en versión pública: I. Versión pública del Estatuto de Operación de Comité de Control y Evaluación II. Versión pública de los Acuerdos del Comité que fomenten un adecuado control interno del órgano Constitucional Autónomo III. Versión pública de informes de seguimiento a los acuerdos mencionados IV. Versión pública de comprobar se cumplan las propuestas de acciones de control y recomendaciones de las autoridades competentes V. Versión pública de las sesiones del Comité. Cabe señalar que la información que solicito debe obrar en sus expedientes toda vez que el acuerdo 25/2017 fue publicado mediante el Periódico Oficial Gaceta de Gobierno el día 30 de octubre de 2017, es decir, tiene más de 5 años operando y que dentro del mismo señala deben contar con la información. Sustento mi dicho con fundamento del mismo Acuerdo 25/2015: “Funcionamiento </w:t>
      </w:r>
      <w:proofErr w:type="gramStart"/>
      <w:r>
        <w:rPr>
          <w:rFonts w:ascii="Palatino Linotype" w:eastAsia="Palatino Linotype" w:hAnsi="Palatino Linotype" w:cs="Palatino Linotype"/>
          <w:i/>
          <w:sz w:val="22"/>
          <w:szCs w:val="22"/>
        </w:rPr>
        <w:t>CUARTO.-</w:t>
      </w:r>
      <w:proofErr w:type="gramEnd"/>
      <w:r>
        <w:rPr>
          <w:rFonts w:ascii="Palatino Linotype" w:eastAsia="Palatino Linotype" w:hAnsi="Palatino Linotype" w:cs="Palatino Linotype"/>
          <w:i/>
          <w:sz w:val="22"/>
          <w:szCs w:val="22"/>
        </w:rPr>
        <w:t xml:space="preserve"> El funcionamiento del COCOE será de carácter permanente y honorífico para todo el ámbito de la Fiscalía General. Atribuciones QUINTO. - Para el cumplimiento de su objeto, el COCOE tendrá las siguientes atribuciones y obligaciones: I. Contribuir con la transparencia en la gestión y rendición de cuentas, mediante la generación de instrumentos, mecanismos y acciones de control; II. Promover la eficiencia, eficacia y congruencia en la </w:t>
      </w:r>
      <w:proofErr w:type="gramStart"/>
      <w:r>
        <w:rPr>
          <w:rFonts w:ascii="Palatino Linotype" w:eastAsia="Palatino Linotype" w:hAnsi="Palatino Linotype" w:cs="Palatino Linotype"/>
          <w:i/>
          <w:sz w:val="22"/>
          <w:szCs w:val="22"/>
        </w:rPr>
        <w:t>Fiscalía General</w:t>
      </w:r>
      <w:proofErr w:type="gramEnd"/>
      <w:r>
        <w:rPr>
          <w:rFonts w:ascii="Palatino Linotype" w:eastAsia="Palatino Linotype" w:hAnsi="Palatino Linotype" w:cs="Palatino Linotype"/>
          <w:i/>
          <w:sz w:val="22"/>
          <w:szCs w:val="22"/>
        </w:rPr>
        <w:t xml:space="preserve">, a través de acuerdos que fomenten un adecuado control interno; III. Comprobar que las solicitudes y recomendaciones efectuadas por el Órgano Interno de Control se cumplan; IV. Coordinar acciones de control de todas aquellas instancias que intervienen en la toma de decisiones, a fin de agilizar la solución de los asuntos de su competencia; V. Mantener el seguimiento de acuerdos sobre asuntos de control adoptados por el </w:t>
      </w:r>
      <w:proofErr w:type="gramStart"/>
      <w:r>
        <w:rPr>
          <w:rFonts w:ascii="Palatino Linotype" w:eastAsia="Palatino Linotype" w:hAnsi="Palatino Linotype" w:cs="Palatino Linotype"/>
          <w:i/>
          <w:sz w:val="22"/>
          <w:szCs w:val="22"/>
        </w:rPr>
        <w:t>Fiscal General</w:t>
      </w:r>
      <w:proofErr w:type="gramEnd"/>
      <w:r>
        <w:rPr>
          <w:rFonts w:ascii="Palatino Linotype" w:eastAsia="Palatino Linotype" w:hAnsi="Palatino Linotype" w:cs="Palatino Linotype"/>
          <w:i/>
          <w:sz w:val="22"/>
          <w:szCs w:val="22"/>
        </w:rPr>
        <w:t xml:space="preserve"> o las autoridades competentes y demás, que de éstos se deriven; VI. Coordinar el apoyo que debe darse a las auditorías realizadas por entes fiscalizadores externos; VII. Analizar el contenido de los informes resultantes de auditoría externa y vigilar que se cumplan sus recomendaciones; VIII. Analizar y evaluar la formulación y ejercicio del presupuesto, informando los resultados de dicha evaluación y proponer las medidas correctivas y/o preventivas correspondientes; IX. Emitir el estatuto de su operación, y X. Las demás que se deriven o sean inherentes a las anteriores. Sesiones </w:t>
      </w:r>
      <w:proofErr w:type="gramStart"/>
      <w:r>
        <w:rPr>
          <w:rFonts w:ascii="Palatino Linotype" w:eastAsia="Palatino Linotype" w:hAnsi="Palatino Linotype" w:cs="Palatino Linotype"/>
          <w:i/>
          <w:sz w:val="22"/>
          <w:szCs w:val="22"/>
        </w:rPr>
        <w:t>SEXTO.-</w:t>
      </w:r>
      <w:proofErr w:type="gramEnd"/>
      <w:r>
        <w:rPr>
          <w:rFonts w:ascii="Palatino Linotype" w:eastAsia="Palatino Linotype" w:hAnsi="Palatino Linotype" w:cs="Palatino Linotype"/>
          <w:i/>
          <w:sz w:val="22"/>
          <w:szCs w:val="22"/>
        </w:rPr>
        <w:t xml:space="preserve"> El COCOE deberá sesionar tres veces por año en forma ordinaria y podrá convocar a sesiones extraordinarias cuando lo juzgue necesario. El COCOE podrá sesionar válidamente </w:t>
      </w:r>
      <w:r>
        <w:rPr>
          <w:rFonts w:ascii="Palatino Linotype" w:eastAsia="Palatino Linotype" w:hAnsi="Palatino Linotype" w:cs="Palatino Linotype"/>
          <w:i/>
          <w:sz w:val="22"/>
          <w:szCs w:val="22"/>
        </w:rPr>
        <w:lastRenderedPageBreak/>
        <w:t xml:space="preserve">con la presencia del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el Secretario Técnico y cuando menos 6 vocales. Los acuerdos del COCOE se tomarán por mayoría y, en caso de empate, el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tendrá voto de calidad. Sin perjuicio de las atribuciones que en la materia correspondan, el </w:t>
      </w:r>
      <w:proofErr w:type="gramStart"/>
      <w:r>
        <w:rPr>
          <w:rFonts w:ascii="Palatino Linotype" w:eastAsia="Palatino Linotype" w:hAnsi="Palatino Linotype" w:cs="Palatino Linotype"/>
          <w:i/>
          <w:sz w:val="22"/>
          <w:szCs w:val="22"/>
        </w:rPr>
        <w:t>Fiscal General</w:t>
      </w:r>
      <w:proofErr w:type="gramEnd"/>
      <w:r>
        <w:rPr>
          <w:rFonts w:ascii="Palatino Linotype" w:eastAsia="Palatino Linotype" w:hAnsi="Palatino Linotype" w:cs="Palatino Linotype"/>
          <w:i/>
          <w:sz w:val="22"/>
          <w:szCs w:val="22"/>
        </w:rPr>
        <w:t xml:space="preserve"> de Justicia del Estado de México podrá modificar las decisiones del COCOE, dada su calidad como superior jerárquico de la Institución. Las sesiones del COCOE se clasifican en: I. Ordinarias, según calendario aprobado, o II. Extraordinarias, éstas se celebrarán previa convocatoria, con por lo menos 24 horas de anticipación, que elabore el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y/o el Secretario Técnico, bajo los siguientes supuestos: a) Cuando se trate de casos justificados, que requieran la intervención inaplazable del COCOE, o b) A petición de cualquiera de sus integrantes.”."(Sic)</w:t>
      </w:r>
    </w:p>
    <w:p w14:paraId="3830D9D5" w14:textId="77777777" w:rsidR="00A7334B" w:rsidRDefault="00A7334B">
      <w:pPr>
        <w:spacing w:before="240" w:after="240" w:line="360" w:lineRule="auto"/>
        <w:jc w:val="both"/>
        <w:rPr>
          <w:rFonts w:ascii="Palatino Linotype" w:eastAsia="Palatino Linotype" w:hAnsi="Palatino Linotype" w:cs="Palatino Linotype"/>
          <w:sz w:val="2"/>
          <w:szCs w:val="2"/>
        </w:rPr>
      </w:pPr>
    </w:p>
    <w:p w14:paraId="45219127"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33CA57AA" w14:textId="77777777" w:rsidR="00A7334B" w:rsidRDefault="000A1F1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veintisiete de febrero de dos mil veintitrés,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14:paraId="7491EE12" w14:textId="77777777" w:rsidR="00A7334B" w:rsidRDefault="000A1F1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trece y veintinueve de marzo de dos mil veintitrés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lastRenderedPageBreak/>
        <w:t xml:space="preserve">Obligado </w:t>
      </w:r>
      <w:r>
        <w:rPr>
          <w:rFonts w:ascii="Palatino Linotype" w:eastAsia="Palatino Linotype" w:hAnsi="Palatino Linotype" w:cs="Palatino Linotype"/>
        </w:rPr>
        <w:t xml:space="preserve">rindió su informe justificado consistente en los archivos denominados y descritos en el siguiente orden. </w:t>
      </w:r>
    </w:p>
    <w:p w14:paraId="1D671629" w14:textId="77777777" w:rsidR="00A7334B" w:rsidRDefault="000A1F10">
      <w:pPr>
        <w:widowControl w:val="0"/>
        <w:numPr>
          <w:ilvl w:val="0"/>
          <w:numId w:val="8"/>
        </w:numPr>
        <w:pBdr>
          <w:top w:val="nil"/>
          <w:left w:val="nil"/>
          <w:bottom w:val="nil"/>
          <w:right w:val="nil"/>
          <w:between w:val="nil"/>
        </w:pBdr>
        <w:spacing w:before="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i/>
        </w:rPr>
        <w:t xml:space="preserve">Informe </w:t>
      </w:r>
      <w:proofErr w:type="spellStart"/>
      <w:r>
        <w:rPr>
          <w:rFonts w:ascii="Palatino Linotype" w:eastAsia="Palatino Linotype" w:hAnsi="Palatino Linotype" w:cs="Palatino Linotype"/>
          <w:b/>
          <w:i/>
        </w:rPr>
        <w:t>rr</w:t>
      </w:r>
      <w:proofErr w:type="spellEnd"/>
      <w:r>
        <w:rPr>
          <w:rFonts w:ascii="Palatino Linotype" w:eastAsia="Palatino Linotype" w:hAnsi="Palatino Linotype" w:cs="Palatino Linotype"/>
          <w:b/>
          <w:i/>
        </w:rPr>
        <w:t xml:space="preserve"> 1057_2023_03_13_13_11_37_280.pdf</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Contiene el Informe </w:t>
      </w:r>
      <w:proofErr w:type="gramStart"/>
      <w:r>
        <w:rPr>
          <w:rFonts w:ascii="Palatino Linotype" w:eastAsia="Palatino Linotype" w:hAnsi="Palatino Linotype" w:cs="Palatino Linotype"/>
        </w:rPr>
        <w:t>Justificado  firmado</w:t>
      </w:r>
      <w:proofErr w:type="gramEnd"/>
      <w:r>
        <w:rPr>
          <w:rFonts w:ascii="Palatino Linotype" w:eastAsia="Palatino Linotype" w:hAnsi="Palatino Linotype" w:cs="Palatino Linotype"/>
        </w:rPr>
        <w:t xml:space="preserve"> por la Encargada de la Unidad de Transparencia, la cual refiere lo siguiente</w:t>
      </w:r>
      <w:r>
        <w:rPr>
          <w:rFonts w:ascii="Palatino Linotype" w:eastAsia="Palatino Linotype" w:hAnsi="Palatino Linotype" w:cs="Palatino Linotype"/>
          <w:color w:val="000000"/>
        </w:rPr>
        <w:t>.</w:t>
      </w:r>
    </w:p>
    <w:p w14:paraId="16C9F2D9" w14:textId="77777777" w:rsidR="00A7334B" w:rsidRDefault="000A1F10">
      <w:pPr>
        <w:widowControl w:val="0"/>
        <w:pBdr>
          <w:top w:val="nil"/>
          <w:left w:val="nil"/>
          <w:bottom w:val="nil"/>
          <w:right w:val="nil"/>
          <w:between w:val="nil"/>
        </w:pBdr>
        <w:spacing w:before="240" w:line="360" w:lineRule="auto"/>
        <w:ind w:left="780"/>
        <w:jc w:val="both"/>
        <w:rPr>
          <w:rFonts w:ascii="Palatino Linotype" w:eastAsia="Palatino Linotype" w:hAnsi="Palatino Linotype" w:cs="Palatino Linotype"/>
          <w:color w:val="000000"/>
        </w:rPr>
      </w:pPr>
      <w:r>
        <w:rPr>
          <w:noProof/>
        </w:rPr>
        <w:drawing>
          <wp:inline distT="0" distB="0" distL="0" distR="0" wp14:anchorId="561C65E9" wp14:editId="1A7E7A82">
            <wp:extent cx="4926891" cy="1649679"/>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926891" cy="1649679"/>
                    </a:xfrm>
                    <a:prstGeom prst="rect">
                      <a:avLst/>
                    </a:prstGeom>
                    <a:ln/>
                  </pic:spPr>
                </pic:pic>
              </a:graphicData>
            </a:graphic>
          </wp:inline>
        </w:drawing>
      </w:r>
    </w:p>
    <w:p w14:paraId="5C761B0A" w14:textId="77777777" w:rsidR="00A7334B" w:rsidRDefault="000A1F10">
      <w:pPr>
        <w:widowControl w:val="0"/>
        <w:pBdr>
          <w:top w:val="nil"/>
          <w:left w:val="nil"/>
          <w:bottom w:val="nil"/>
          <w:right w:val="nil"/>
          <w:between w:val="nil"/>
        </w:pBdr>
        <w:spacing w:before="240" w:line="360" w:lineRule="auto"/>
        <w:ind w:firstLine="426"/>
        <w:jc w:val="both"/>
        <w:rPr>
          <w:rFonts w:ascii="Palatino Linotype" w:eastAsia="Palatino Linotype" w:hAnsi="Palatino Linotype" w:cs="Palatino Linotype"/>
          <w:color w:val="000000"/>
        </w:rPr>
      </w:pPr>
      <w:r>
        <w:rPr>
          <w:rFonts w:ascii="Palatino Linotype" w:eastAsia="Palatino Linotype" w:hAnsi="Palatino Linotype" w:cs="Palatino Linotype"/>
          <w:b/>
          <w:noProof/>
        </w:rPr>
        <w:drawing>
          <wp:inline distT="0" distB="0" distL="0" distR="0" wp14:anchorId="012E7F0F" wp14:editId="6FCD0DE8">
            <wp:extent cx="5172808" cy="2483458"/>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t="40831"/>
                    <a:stretch>
                      <a:fillRect/>
                    </a:stretch>
                  </pic:blipFill>
                  <pic:spPr>
                    <a:xfrm>
                      <a:off x="0" y="0"/>
                      <a:ext cx="5172808" cy="2483458"/>
                    </a:xfrm>
                    <a:prstGeom prst="rect">
                      <a:avLst/>
                    </a:prstGeom>
                    <a:ln/>
                  </pic:spPr>
                </pic:pic>
              </a:graphicData>
            </a:graphic>
          </wp:inline>
        </w:drawing>
      </w:r>
    </w:p>
    <w:p w14:paraId="39F82EEB" w14:textId="77777777" w:rsidR="00A7334B" w:rsidRDefault="000A1F10">
      <w:pPr>
        <w:widowControl w:val="0"/>
        <w:pBdr>
          <w:top w:val="nil"/>
          <w:left w:val="nil"/>
          <w:bottom w:val="nil"/>
          <w:right w:val="nil"/>
          <w:between w:val="nil"/>
        </w:pBdr>
        <w:spacing w:before="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14:anchorId="289B649C" wp14:editId="6C6F8644">
            <wp:extent cx="5067300" cy="305943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067300" cy="3059430"/>
                    </a:xfrm>
                    <a:prstGeom prst="rect">
                      <a:avLst/>
                    </a:prstGeom>
                    <a:ln/>
                  </pic:spPr>
                </pic:pic>
              </a:graphicData>
            </a:graphic>
          </wp:inline>
        </w:drawing>
      </w:r>
    </w:p>
    <w:p w14:paraId="012CB083" w14:textId="77777777" w:rsidR="00A7334B" w:rsidRDefault="000A1F10">
      <w:pPr>
        <w:numPr>
          <w:ilvl w:val="0"/>
          <w:numId w:val="1"/>
        </w:numPr>
        <w:pBdr>
          <w:top w:val="nil"/>
          <w:left w:val="nil"/>
          <w:bottom w:val="nil"/>
          <w:right w:val="nil"/>
          <w:between w:val="nil"/>
        </w:pBdr>
        <w:spacing w:before="280" w:line="360" w:lineRule="auto"/>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i/>
          <w:color w:val="000000"/>
        </w:rPr>
        <w:t>notificacio</w:t>
      </w:r>
      <w:proofErr w:type="spellEnd"/>
      <w:r>
        <w:rPr>
          <w:rFonts w:ascii="Palatino Linotype" w:eastAsia="Palatino Linotype" w:hAnsi="Palatino Linotype" w:cs="Palatino Linotype"/>
          <w:b/>
          <w:i/>
          <w:color w:val="000000"/>
        </w:rPr>
        <w:t xml:space="preserve"> acuerdo </w:t>
      </w:r>
      <w:proofErr w:type="spellStart"/>
      <w:r>
        <w:rPr>
          <w:rFonts w:ascii="Palatino Linotype" w:eastAsia="Palatino Linotype" w:hAnsi="Palatino Linotype" w:cs="Palatino Linotype"/>
          <w:b/>
          <w:i/>
          <w:color w:val="000000"/>
        </w:rPr>
        <w:t>rr</w:t>
      </w:r>
      <w:proofErr w:type="spellEnd"/>
      <w:r>
        <w:rPr>
          <w:rFonts w:ascii="Palatino Linotype" w:eastAsia="Palatino Linotype" w:hAnsi="Palatino Linotype" w:cs="Palatino Linotype"/>
          <w:b/>
          <w:i/>
          <w:color w:val="000000"/>
        </w:rPr>
        <w:t xml:space="preserve"> 1057_2023_03_13_13_13_02_616.pdf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000000"/>
        </w:rPr>
        <w:tab/>
      </w:r>
      <w:r>
        <w:rPr>
          <w:rFonts w:ascii="Palatino Linotype" w:eastAsia="Palatino Linotype" w:hAnsi="Palatino Linotype" w:cs="Palatino Linotype"/>
          <w:color w:val="000000"/>
        </w:rPr>
        <w:t xml:space="preserve">Contiene la notificación del acuerdo de clasificación como reservada, la información contenida en las actas del Comité de Control y Evaluación de la </w:t>
      </w:r>
      <w:proofErr w:type="gramStart"/>
      <w:r>
        <w:rPr>
          <w:rFonts w:ascii="Palatino Linotype" w:eastAsia="Palatino Linotype" w:hAnsi="Palatino Linotype" w:cs="Palatino Linotype"/>
          <w:color w:val="000000"/>
        </w:rPr>
        <w:t>Fiscalía General</w:t>
      </w:r>
      <w:proofErr w:type="gramEnd"/>
      <w:r>
        <w:rPr>
          <w:rFonts w:ascii="Palatino Linotype" w:eastAsia="Palatino Linotype" w:hAnsi="Palatino Linotype" w:cs="Palatino Linotype"/>
          <w:color w:val="000000"/>
        </w:rPr>
        <w:t xml:space="preserve"> de Justicia del Estado de México. </w:t>
      </w:r>
    </w:p>
    <w:p w14:paraId="2A7C3B7A" w14:textId="77777777" w:rsidR="00A7334B" w:rsidRDefault="00A7334B">
      <w:pPr>
        <w:pBdr>
          <w:top w:val="nil"/>
          <w:left w:val="nil"/>
          <w:bottom w:val="nil"/>
          <w:right w:val="nil"/>
          <w:between w:val="nil"/>
        </w:pBdr>
        <w:spacing w:line="360" w:lineRule="auto"/>
        <w:ind w:left="780"/>
        <w:jc w:val="both"/>
        <w:rPr>
          <w:rFonts w:ascii="Palatino Linotype" w:eastAsia="Palatino Linotype" w:hAnsi="Palatino Linotype" w:cs="Palatino Linotype"/>
          <w:color w:val="000000"/>
        </w:rPr>
      </w:pPr>
    </w:p>
    <w:p w14:paraId="7B027F66" w14:textId="77777777" w:rsidR="00A7334B" w:rsidRDefault="000A1F1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 xml:space="preserve">oficio </w:t>
      </w:r>
      <w:proofErr w:type="spellStart"/>
      <w:r>
        <w:rPr>
          <w:rFonts w:ascii="Palatino Linotype" w:eastAsia="Palatino Linotype" w:hAnsi="Palatino Linotype" w:cs="Palatino Linotype"/>
          <w:b/>
          <w:i/>
          <w:color w:val="000000"/>
        </w:rPr>
        <w:t>rr</w:t>
      </w:r>
      <w:proofErr w:type="spellEnd"/>
      <w:r>
        <w:rPr>
          <w:rFonts w:ascii="Palatino Linotype" w:eastAsia="Palatino Linotype" w:hAnsi="Palatino Linotype" w:cs="Palatino Linotype"/>
          <w:b/>
          <w:i/>
          <w:color w:val="000000"/>
        </w:rPr>
        <w:t xml:space="preserve"> 1057_2023_03_13_13_12_20_510.pdf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Contiene el oficio número 0938/MAIP/FGJ/2023, suscrito y signado por la Unidad de Transparencia, por medio del cual remite informe justificado. </w:t>
      </w:r>
    </w:p>
    <w:p w14:paraId="29DE6DB8" w14:textId="77777777" w:rsidR="00A7334B" w:rsidRDefault="00A7334B">
      <w:pPr>
        <w:pBdr>
          <w:top w:val="nil"/>
          <w:left w:val="nil"/>
          <w:bottom w:val="nil"/>
          <w:right w:val="nil"/>
          <w:between w:val="nil"/>
        </w:pBdr>
        <w:ind w:left="720"/>
        <w:rPr>
          <w:rFonts w:ascii="Palatino Linotype" w:eastAsia="Palatino Linotype" w:hAnsi="Palatino Linotype" w:cs="Palatino Linotype"/>
          <w:b/>
          <w:color w:val="000000"/>
        </w:rPr>
      </w:pPr>
    </w:p>
    <w:p w14:paraId="5523FF3D" w14:textId="77777777" w:rsidR="00A7334B" w:rsidRDefault="000A1F1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ACTAS COCOE_2023_03_13_12_07_11_102.pdf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Archivo integrado por setenta y seis páginas cuyo contenido se trata de la versión pública de distintas Actas del Comité de Control y Evaluación de la </w:t>
      </w:r>
      <w:proofErr w:type="gramStart"/>
      <w:r>
        <w:rPr>
          <w:rFonts w:ascii="Palatino Linotype" w:eastAsia="Palatino Linotype" w:hAnsi="Palatino Linotype" w:cs="Palatino Linotype"/>
          <w:color w:val="000000"/>
        </w:rPr>
        <w:t>Fiscalía General</w:t>
      </w:r>
      <w:proofErr w:type="gramEnd"/>
      <w:r>
        <w:rPr>
          <w:rFonts w:ascii="Palatino Linotype" w:eastAsia="Palatino Linotype" w:hAnsi="Palatino Linotype" w:cs="Palatino Linotype"/>
          <w:color w:val="000000"/>
        </w:rPr>
        <w:t xml:space="preserve"> de Justicia del Estado de México.</w:t>
      </w:r>
      <w:r>
        <w:rPr>
          <w:rFonts w:ascii="Palatino Linotype" w:eastAsia="Palatino Linotype" w:hAnsi="Palatino Linotype" w:cs="Palatino Linotype"/>
          <w:b/>
          <w:color w:val="000000"/>
        </w:rPr>
        <w:t xml:space="preserve"> </w:t>
      </w:r>
    </w:p>
    <w:p w14:paraId="6103A75E" w14:textId="77777777" w:rsidR="00A7334B" w:rsidRDefault="00A7334B">
      <w:pPr>
        <w:pBdr>
          <w:top w:val="nil"/>
          <w:left w:val="nil"/>
          <w:bottom w:val="nil"/>
          <w:right w:val="nil"/>
          <w:between w:val="nil"/>
        </w:pBdr>
        <w:ind w:left="720"/>
        <w:rPr>
          <w:rFonts w:ascii="Palatino Linotype" w:eastAsia="Palatino Linotype" w:hAnsi="Palatino Linotype" w:cs="Palatino Linotype"/>
          <w:b/>
          <w:i/>
          <w:color w:val="000000"/>
        </w:rPr>
      </w:pPr>
    </w:p>
    <w:p w14:paraId="6438A3AD" w14:textId="77777777" w:rsidR="00A7334B" w:rsidRDefault="000A1F10">
      <w:pPr>
        <w:numPr>
          <w:ilvl w:val="0"/>
          <w:numId w:val="1"/>
        </w:numPr>
        <w:pBdr>
          <w:top w:val="nil"/>
          <w:left w:val="nil"/>
          <w:bottom w:val="nil"/>
          <w:right w:val="nil"/>
          <w:between w:val="nil"/>
        </w:pBdr>
        <w:spacing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ACTA SESIÓN ORDINARIA 03-2023.pdf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Contiene el Acta de la Sesión Ordinaria 03/2023 del ocho de marzo de dos mil veintitrés en la que por unanimidad de votos se aprueba la clasificación relativa a los nombres del personal operativo de la Fiscalía Especializada de Feminicidio del periodo comprendido de agosto de 2021 a enero de 2023, como información reservada por un periodo de cinco años. </w:t>
      </w:r>
    </w:p>
    <w:p w14:paraId="6BEC1E94" w14:textId="77777777" w:rsidR="00A7334B" w:rsidRDefault="000A1F1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fueron puestos a la vista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para su conocimiento el trece de julio de dos mil veintitrés.   </w:t>
      </w:r>
    </w:p>
    <w:p w14:paraId="5C5E01D5" w14:textId="77777777" w:rsidR="00A7334B" w:rsidRDefault="000A1F1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Ampliación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veintisiete de abril de dos mil veintitrés</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1D794224"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4FEB18EC"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w:t>
      </w:r>
      <w:r>
        <w:rPr>
          <w:rFonts w:ascii="Palatino Linotype" w:eastAsia="Palatino Linotype" w:hAnsi="Palatino Linotype" w:cs="Palatino Linotype"/>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927F845"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D6C1D12"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A4299D" w14:textId="77777777" w:rsidR="00A7334B" w:rsidRDefault="000A1F10">
      <w:pPr>
        <w:spacing w:before="240" w:after="240"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FDD18FF" w14:textId="77777777" w:rsidR="00A7334B" w:rsidRDefault="000A1F10">
      <w:pPr>
        <w:numPr>
          <w:ilvl w:val="0"/>
          <w:numId w:val="6"/>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014A184" w14:textId="77777777" w:rsidR="00A7334B" w:rsidRDefault="000A1F10">
      <w:pPr>
        <w:numPr>
          <w:ilvl w:val="0"/>
          <w:numId w:val="6"/>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2285053E" w14:textId="77777777" w:rsidR="00A7334B" w:rsidRDefault="000A1F10">
      <w:pPr>
        <w:numPr>
          <w:ilvl w:val="0"/>
          <w:numId w:val="6"/>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6426EF84" w14:textId="77777777" w:rsidR="00A7334B" w:rsidRDefault="000A1F10">
      <w:pPr>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44BF8C8B"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37F986D" w14:textId="77777777" w:rsidR="00A7334B" w:rsidRDefault="000A1F1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51073E9A"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1DF96BD8"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4AB0567"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2FFB0248"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4B935108"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D9887AE" w14:textId="77777777" w:rsidR="00A7334B" w:rsidRDefault="000A1F1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Cierre de instrucción</w:t>
      </w:r>
      <w:r>
        <w:rPr>
          <w:rFonts w:ascii="Palatino Linotype" w:eastAsia="Palatino Linotype" w:hAnsi="Palatino Linotype" w:cs="Palatino Linotype"/>
        </w:rPr>
        <w:t xml:space="preserve">. Una vez transcurrido el periodo otorgado a las partes para realizar sus manifestaciones y no habiendo documentos que integrar al expediente, el </w:t>
      </w:r>
      <w:r>
        <w:rPr>
          <w:rFonts w:ascii="Palatino Linotype" w:eastAsia="Palatino Linotype" w:hAnsi="Palatino Linotype" w:cs="Palatino Linotype"/>
          <w:b/>
        </w:rPr>
        <w:t>veinticuatro de octubre de dos mil veintitrés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F9A0E02" w14:textId="77777777" w:rsidR="00A7334B" w:rsidRDefault="000A1F1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9. </w:t>
      </w:r>
      <w:proofErr w:type="spellStart"/>
      <w:r>
        <w:rPr>
          <w:rFonts w:ascii="Palatino Linotype" w:eastAsia="Palatino Linotype" w:hAnsi="Palatino Linotype" w:cs="Palatino Linotype"/>
          <w:b/>
        </w:rPr>
        <w:t>Returno</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veinticinco de octubre de dos mil veintitrés</w:t>
      </w:r>
      <w:r>
        <w:rPr>
          <w:rFonts w:ascii="Palatino Linotype" w:eastAsia="Palatino Linotype" w:hAnsi="Palatino Linotype" w:cs="Palatino Linotype"/>
        </w:rPr>
        <w:t xml:space="preserve">, en la Trigésima Octava Sesión Ordinaria, el Pleno de este Organismo Garante, aprobó por unanimidad de votos el </w:t>
      </w:r>
      <w:proofErr w:type="spellStart"/>
      <w:r>
        <w:rPr>
          <w:rFonts w:ascii="Palatino Linotype" w:eastAsia="Palatino Linotype" w:hAnsi="Palatino Linotype" w:cs="Palatino Linotype"/>
        </w:rPr>
        <w:t>returno</w:t>
      </w:r>
      <w:proofErr w:type="spellEnd"/>
      <w:r>
        <w:rPr>
          <w:rFonts w:ascii="Palatino Linotype" w:eastAsia="Palatino Linotype" w:hAnsi="Palatino Linotype" w:cs="Palatino Linotype"/>
        </w:rPr>
        <w:t xml:space="preserve"> del recurso de revisión 01057/INFOEM/IP/RR/2023, a la Ponencia de la Comisionada Guadalupe Ramírez Peña, para efectos de emitir la resolución que en derecho corresponda.</w:t>
      </w:r>
    </w:p>
    <w:p w14:paraId="24181681" w14:textId="77777777" w:rsidR="00A7334B" w:rsidRDefault="000A1F10">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Pr>
          <w:rFonts w:ascii="Palatino Linotype" w:eastAsia="Palatino Linotype" w:hAnsi="Palatino Linotype" w:cs="Palatino Linotype"/>
          <w:b/>
        </w:rPr>
        <w:t xml:space="preserve"> </w:t>
      </w:r>
    </w:p>
    <w:p w14:paraId="4B241A0B" w14:textId="77777777" w:rsidR="00A7334B" w:rsidRDefault="000A1F10">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43080744"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60B8B6E" w14:textId="77777777" w:rsidR="00A7334B" w:rsidRDefault="000A1F10">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w:t>
      </w:r>
      <w:r>
        <w:rPr>
          <w:rFonts w:ascii="Palatino Linotype" w:eastAsia="Palatino Linotype" w:hAnsi="Palatino Linotype" w:cs="Palatino Linotype"/>
        </w:rPr>
        <w:lastRenderedPageBreak/>
        <w:t>procedibilidad que debe reunir el recurso de revisión interpuesto, previstos en los artículos 178 y 180 de la Ley de Transparencia y Acceso a la Información Pública del Estado de México y Municipios.</w:t>
      </w:r>
    </w:p>
    <w:p w14:paraId="23F0B8A1" w14:textId="77777777" w:rsidR="00A7334B" w:rsidRDefault="000A1F1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 xml:space="preserve">tres de febrero de dos mil veintitrés,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 xml:space="preserve">veintidós de febrero de dos mil veintitrés; </w:t>
      </w:r>
      <w:r>
        <w:rPr>
          <w:rFonts w:ascii="Palatino Linotype" w:eastAsia="Palatino Linotype" w:hAnsi="Palatino Linotype" w:cs="Palatino Linotype"/>
        </w:rPr>
        <w:t>esto es, el décimo tercer día hábil posterior en que tuvo conocimiento de la respuesta impugnada.</w:t>
      </w:r>
    </w:p>
    <w:p w14:paraId="64E7BEC5"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al considerar la fecha en que se formuló la solicitud y la fecha en que respondió a esta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298E73F1" w14:textId="77777777" w:rsidR="00A7334B" w:rsidRDefault="000A1F10">
      <w:pPr>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t>Por otro lado, es de suma importancia mencionar que, si bien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no proporcionó nombre completo </w:t>
      </w:r>
      <w:r>
        <w:rPr>
          <w:rFonts w:ascii="Palatino Linotype" w:eastAsia="Palatino Linotype" w:hAnsi="Palatino Linotype" w:cs="Palatino Linotype"/>
          <w:color w:val="2222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902BF5D" w14:textId="77777777" w:rsidR="00A7334B" w:rsidRDefault="000A1F10">
      <w:pPr>
        <w:spacing w:before="120" w:after="120" w:line="276" w:lineRule="auto"/>
        <w:ind w:left="851" w:right="902"/>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Las solicitudes anónimas</w:t>
      </w:r>
      <w:r>
        <w:rPr>
          <w:rFonts w:ascii="Palatino Linotype" w:eastAsia="Palatino Linotype" w:hAnsi="Palatino Linotype" w:cs="Palatino Linotype"/>
          <w:i/>
          <w:color w:val="222222"/>
          <w:sz w:val="22"/>
          <w:szCs w:val="22"/>
        </w:rPr>
        <w:t>, con nombre incompleto o seudónimo </w:t>
      </w:r>
      <w:r>
        <w:rPr>
          <w:rFonts w:ascii="Palatino Linotype" w:eastAsia="Palatino Linotype" w:hAnsi="Palatino Linotype" w:cs="Palatino Linotype"/>
          <w:b/>
          <w:i/>
          <w:color w:val="222222"/>
          <w:sz w:val="22"/>
          <w:szCs w:val="22"/>
        </w:rPr>
        <w:t xml:space="preserve">serán procedentes para su trámite por parte del sujeto obligado ante quien se </w:t>
      </w:r>
      <w:r>
        <w:rPr>
          <w:rFonts w:ascii="Palatino Linotype" w:eastAsia="Palatino Linotype" w:hAnsi="Palatino Linotype" w:cs="Palatino Linotype"/>
          <w:b/>
          <w:i/>
          <w:color w:val="222222"/>
          <w:sz w:val="22"/>
          <w:szCs w:val="22"/>
        </w:rPr>
        <w:lastRenderedPageBreak/>
        <w:t>presente</w:t>
      </w:r>
      <w:r>
        <w:rPr>
          <w:rFonts w:ascii="Palatino Linotype" w:eastAsia="Palatino Linotype" w:hAnsi="Palatino Linotype" w:cs="Palatino Linotype"/>
          <w:i/>
          <w:color w:val="222222"/>
          <w:sz w:val="22"/>
          <w:szCs w:val="22"/>
        </w:rPr>
        <w:t>. No podrá requerirse información adicional con motivo del nombre proporcionado por el solicitante."</w:t>
      </w:r>
    </w:p>
    <w:p w14:paraId="59743251" w14:textId="77777777" w:rsidR="00A7334B" w:rsidRDefault="000A1F1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 presentado mediante el formato visible en el</w:t>
      </w:r>
      <w:r>
        <w:rPr>
          <w:rFonts w:ascii="Palatino Linotype" w:eastAsia="Palatino Linotype" w:hAnsi="Palatino Linotype" w:cs="Palatino Linotype"/>
          <w:b/>
        </w:rPr>
        <w:t xml:space="preserve"> SAIMEX. </w:t>
      </w:r>
    </w:p>
    <w:p w14:paraId="59BB3DF8"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V del ordenamiento legal citado, que a la letra dice: </w:t>
      </w:r>
    </w:p>
    <w:p w14:paraId="7F452630" w14:textId="77777777" w:rsidR="00A7334B" w:rsidRDefault="000A1F1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AD6EA23" w14:textId="77777777" w:rsidR="00A7334B" w:rsidRDefault="000A1F1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1E10D5E" w14:textId="77777777" w:rsidR="00A7334B" w:rsidRDefault="000A1F1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La entrega de información incompleta;”</w:t>
      </w:r>
    </w:p>
    <w:p w14:paraId="71CAA204" w14:textId="77777777" w:rsidR="00A7334B" w:rsidRDefault="00A7334B">
      <w:pPr>
        <w:spacing w:before="120" w:line="360" w:lineRule="auto"/>
        <w:ind w:right="62"/>
        <w:jc w:val="both"/>
        <w:rPr>
          <w:rFonts w:ascii="Palatino Linotype" w:eastAsia="Palatino Linotype" w:hAnsi="Palatino Linotype" w:cs="Palatino Linotype"/>
          <w:b/>
          <w:color w:val="000000"/>
        </w:rPr>
      </w:pPr>
    </w:p>
    <w:p w14:paraId="05B66F9D" w14:textId="77777777" w:rsidR="00A7334B" w:rsidRDefault="000A1F1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rPr>
        <w:t xml:space="preserve">Tercero.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42E48CC3" w14:textId="77777777" w:rsidR="00A7334B" w:rsidRDefault="00A7334B">
      <w:pPr>
        <w:spacing w:after="240" w:line="360" w:lineRule="auto"/>
        <w:jc w:val="both"/>
        <w:rPr>
          <w:rFonts w:ascii="Palatino Linotype" w:eastAsia="Palatino Linotype" w:hAnsi="Palatino Linotype" w:cs="Palatino Linotype"/>
          <w:b/>
          <w:color w:val="000000"/>
        </w:rPr>
      </w:pPr>
    </w:p>
    <w:p w14:paraId="54F8ED8E" w14:textId="77777777" w:rsidR="00A7334B" w:rsidRDefault="00A7334B">
      <w:pPr>
        <w:spacing w:after="240" w:line="360" w:lineRule="auto"/>
        <w:jc w:val="both"/>
        <w:rPr>
          <w:rFonts w:ascii="Palatino Linotype" w:eastAsia="Palatino Linotype" w:hAnsi="Palatino Linotype" w:cs="Palatino Linotype"/>
          <w:b/>
          <w:color w:val="000000"/>
        </w:rPr>
      </w:pPr>
    </w:p>
    <w:p w14:paraId="6CBE3CD2"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Cuarto. Estudio del asunto</w:t>
      </w:r>
      <w:r>
        <w:rPr>
          <w:rFonts w:ascii="Palatino Linotype" w:eastAsia="Palatino Linotype" w:hAnsi="Palatino Linotype" w:cs="Palatino Linotype"/>
        </w:rPr>
        <w:t>. 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9303521" w14:textId="77777777" w:rsidR="00A7334B" w:rsidRDefault="000A1F10">
      <w:pPr>
        <w:tabs>
          <w:tab w:val="left" w:pos="709"/>
        </w:tabs>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973221C" w14:textId="77777777" w:rsidR="00A7334B" w:rsidRDefault="000A1F10">
      <w:pPr>
        <w:tabs>
          <w:tab w:val="left" w:pos="709"/>
        </w:tabs>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0F04DF6" w14:textId="77777777" w:rsidR="00A7334B" w:rsidRDefault="000A1F10">
      <w:pPr>
        <w:tabs>
          <w:tab w:val="left" w:pos="709"/>
        </w:tabs>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DEB9C46" w14:textId="77777777" w:rsidR="00A7334B" w:rsidRDefault="000A1F10">
      <w:pPr>
        <w:tabs>
          <w:tab w:val="left" w:pos="709"/>
        </w:tabs>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2D71554"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005A0093"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7D4BEB4"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57A4B4D1"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4B98B53"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 xml:space="preserve">es pública y sólo podrá ser </w:t>
      </w:r>
      <w:r>
        <w:rPr>
          <w:rFonts w:ascii="Palatino Linotype" w:eastAsia="Palatino Linotype" w:hAnsi="Palatino Linotype" w:cs="Palatino Linotype"/>
          <w:b/>
          <w:i/>
          <w:sz w:val="22"/>
          <w:szCs w:val="22"/>
        </w:rPr>
        <w:lastRenderedPageBreak/>
        <w:t>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D22D38F"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7C1AD7B5" w14:textId="77777777" w:rsidR="00A7334B" w:rsidRDefault="000A1F10">
      <w:pPr>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CD234E3"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1743C54E"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1DF4F6D6"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9AE3DBE"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C837F3D" w14:textId="77777777" w:rsidR="00A7334B" w:rsidRDefault="00A7334B">
      <w:pPr>
        <w:ind w:left="851" w:right="616"/>
        <w:jc w:val="both"/>
        <w:rPr>
          <w:rFonts w:ascii="Palatino Linotype" w:eastAsia="Palatino Linotype" w:hAnsi="Palatino Linotype" w:cs="Palatino Linotype"/>
          <w:i/>
          <w:sz w:val="22"/>
          <w:szCs w:val="22"/>
        </w:rPr>
      </w:pPr>
    </w:p>
    <w:p w14:paraId="2BB4F924"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8C69379"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514680A"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AE834BB"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093BAF65"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1C477C7" w14:textId="77777777" w:rsidR="00A7334B" w:rsidRDefault="00A7334B">
      <w:pPr>
        <w:ind w:right="616"/>
        <w:jc w:val="both"/>
        <w:rPr>
          <w:rFonts w:ascii="Palatino Linotype" w:eastAsia="Palatino Linotype" w:hAnsi="Palatino Linotype" w:cs="Palatino Linotype"/>
          <w:i/>
          <w:sz w:val="22"/>
          <w:szCs w:val="22"/>
        </w:rPr>
      </w:pPr>
    </w:p>
    <w:p w14:paraId="7933EF12" w14:textId="77777777" w:rsidR="00A7334B" w:rsidRDefault="000A1F10">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w:t>
      </w:r>
      <w:r>
        <w:rPr>
          <w:rFonts w:ascii="Palatino Linotype" w:eastAsia="Palatino Linotype" w:hAnsi="Palatino Linotype" w:cs="Palatino Linotype"/>
        </w:rPr>
        <w:lastRenderedPageBreak/>
        <w:t>que reciba y ejerza recursos públicos, siendo pública toda la información que posean con las excepciones enmarcadas, para lo cual queda demostrado que el presente sujeto obligado debe cumplir con dichos dispositivos legales.</w:t>
      </w:r>
    </w:p>
    <w:p w14:paraId="58678750" w14:textId="77777777" w:rsidR="00A7334B" w:rsidRDefault="000A1F10">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Pr>
          <w:rFonts w:ascii="Palatino Linotype" w:eastAsia="Palatino Linotype" w:hAnsi="Palatino Linotype" w:cs="Palatino Linotype"/>
        </w:rPr>
        <w:t>transcribe</w:t>
      </w:r>
      <w:r>
        <w:rPr>
          <w:rFonts w:ascii="Palatino Linotype" w:eastAsia="Palatino Linotype" w:hAnsi="Palatino Linotype" w:cs="Palatino Linotype"/>
          <w:color w:val="000000"/>
        </w:rPr>
        <w:t xml:space="preserve"> para un mejor entendimiento:</w:t>
      </w:r>
    </w:p>
    <w:p w14:paraId="16BEF8FB" w14:textId="77777777" w:rsidR="00A7334B" w:rsidRDefault="000A1F10">
      <w:pPr>
        <w:spacing w:before="24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76284C2"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98BDC91"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65999B90" w14:textId="77777777" w:rsidR="00A7334B" w:rsidRDefault="00A7334B">
      <w:pPr>
        <w:ind w:left="851" w:right="760"/>
        <w:jc w:val="both"/>
        <w:rPr>
          <w:rFonts w:ascii="Palatino Linotype" w:eastAsia="Palatino Linotype" w:hAnsi="Palatino Linotype" w:cs="Palatino Linotype"/>
          <w:i/>
        </w:rPr>
      </w:pPr>
    </w:p>
    <w:p w14:paraId="50F1CAF0"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7033B0B"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1FCF762"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0AB0AAB" w14:textId="77777777" w:rsidR="00A7334B" w:rsidRDefault="00A7334B">
      <w:pPr>
        <w:spacing w:line="360" w:lineRule="auto"/>
        <w:ind w:right="-93"/>
        <w:jc w:val="both"/>
        <w:rPr>
          <w:rFonts w:ascii="Palatino Linotype" w:eastAsia="Palatino Linotype" w:hAnsi="Palatino Linotype" w:cs="Palatino Linotype"/>
          <w:color w:val="000000"/>
        </w:rPr>
      </w:pPr>
    </w:p>
    <w:p w14:paraId="1CC53870" w14:textId="77777777" w:rsidR="00A7334B" w:rsidRDefault="000A1F1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5512E3E6" w14:textId="77777777" w:rsidR="00A7334B" w:rsidRDefault="00A7334B">
      <w:pPr>
        <w:spacing w:line="360" w:lineRule="auto"/>
        <w:jc w:val="both"/>
        <w:rPr>
          <w:rFonts w:ascii="Palatino Linotype" w:eastAsia="Palatino Linotype" w:hAnsi="Palatino Linotype" w:cs="Palatino Linotype"/>
          <w:color w:val="000000"/>
        </w:rPr>
      </w:pPr>
    </w:p>
    <w:p w14:paraId="50BDC5C5" w14:textId="77777777" w:rsidR="00A7334B" w:rsidRDefault="000A1F1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B5900E4" w14:textId="77777777" w:rsidR="00A7334B" w:rsidRDefault="00A7334B">
      <w:pPr>
        <w:spacing w:line="360" w:lineRule="auto"/>
        <w:ind w:right="49"/>
        <w:jc w:val="both"/>
        <w:rPr>
          <w:rFonts w:ascii="Palatino Linotype" w:eastAsia="Palatino Linotype" w:hAnsi="Palatino Linotype" w:cs="Palatino Linotype"/>
        </w:rPr>
      </w:pPr>
    </w:p>
    <w:p w14:paraId="4083FB00" w14:textId="77777777" w:rsidR="00A7334B" w:rsidRDefault="000A1F1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2241167A" w14:textId="77777777" w:rsidR="00A7334B" w:rsidRDefault="00A7334B">
      <w:pPr>
        <w:spacing w:line="360" w:lineRule="auto"/>
        <w:jc w:val="both"/>
        <w:rPr>
          <w:rFonts w:ascii="Palatino Linotype" w:eastAsia="Palatino Linotype" w:hAnsi="Palatino Linotype" w:cs="Palatino Linotype"/>
        </w:rPr>
      </w:pPr>
    </w:p>
    <w:p w14:paraId="36081A3E"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6FE380C8" w14:textId="77777777" w:rsidR="00A7334B" w:rsidRDefault="00A7334B">
      <w:pPr>
        <w:ind w:left="851" w:right="616"/>
        <w:jc w:val="both"/>
        <w:rPr>
          <w:rFonts w:ascii="Palatino Linotype" w:eastAsia="Palatino Linotype" w:hAnsi="Palatino Linotype" w:cs="Palatino Linotype"/>
          <w:b/>
          <w:i/>
          <w:sz w:val="22"/>
          <w:szCs w:val="22"/>
        </w:rPr>
      </w:pPr>
    </w:p>
    <w:p w14:paraId="05D064B5"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26B42489" w14:textId="77777777" w:rsidR="00A7334B" w:rsidRDefault="00A7334B">
      <w:pPr>
        <w:ind w:left="851" w:right="616"/>
        <w:jc w:val="both"/>
        <w:rPr>
          <w:rFonts w:ascii="Palatino Linotype" w:eastAsia="Palatino Linotype" w:hAnsi="Palatino Linotype" w:cs="Palatino Linotype"/>
          <w:i/>
          <w:sz w:val="22"/>
          <w:szCs w:val="22"/>
        </w:rPr>
      </w:pPr>
    </w:p>
    <w:p w14:paraId="67EA58C2"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245C0523" w14:textId="77777777" w:rsidR="00A7334B" w:rsidRDefault="00A7334B">
      <w:pPr>
        <w:ind w:left="851" w:right="616"/>
        <w:jc w:val="both"/>
        <w:rPr>
          <w:rFonts w:ascii="Palatino Linotype" w:eastAsia="Palatino Linotype" w:hAnsi="Palatino Linotype" w:cs="Palatino Linotype"/>
          <w:i/>
          <w:sz w:val="22"/>
          <w:szCs w:val="22"/>
        </w:rPr>
      </w:pPr>
    </w:p>
    <w:p w14:paraId="793DD073"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372C995" w14:textId="77777777" w:rsidR="00A7334B" w:rsidRDefault="00A7334B">
      <w:pPr>
        <w:ind w:left="851" w:right="851"/>
        <w:jc w:val="both"/>
        <w:rPr>
          <w:rFonts w:ascii="Palatino Linotype" w:eastAsia="Palatino Linotype" w:hAnsi="Palatino Linotype" w:cs="Palatino Linotype"/>
          <w:i/>
          <w:sz w:val="22"/>
          <w:szCs w:val="22"/>
        </w:rPr>
      </w:pPr>
    </w:p>
    <w:p w14:paraId="75AC3211" w14:textId="77777777" w:rsidR="00A7334B" w:rsidRDefault="000A1F1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6A09A751" w14:textId="77777777" w:rsidR="00A7334B" w:rsidRDefault="00A7334B">
      <w:pPr>
        <w:spacing w:line="360" w:lineRule="auto"/>
        <w:jc w:val="both"/>
        <w:rPr>
          <w:rFonts w:ascii="Palatino Linotype" w:eastAsia="Palatino Linotype" w:hAnsi="Palatino Linotype" w:cs="Palatino Linotype"/>
        </w:rPr>
      </w:pPr>
    </w:p>
    <w:p w14:paraId="0F64B30F" w14:textId="77777777" w:rsidR="00A7334B" w:rsidRDefault="000A1F1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w:t>
      </w:r>
      <w:r>
        <w:rPr>
          <w:rFonts w:ascii="Palatino Linotype" w:eastAsia="Palatino Linotype" w:hAnsi="Palatino Linotype" w:cs="Palatino Linotype"/>
        </w:rPr>
        <w:lastRenderedPageBreak/>
        <w:t>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535F7C1" w14:textId="77777777" w:rsidR="00A7334B" w:rsidRDefault="00A7334B">
      <w:pPr>
        <w:spacing w:line="360" w:lineRule="auto"/>
        <w:jc w:val="both"/>
        <w:rPr>
          <w:rFonts w:ascii="Palatino Linotype" w:eastAsia="Palatino Linotype" w:hAnsi="Palatino Linotype" w:cs="Palatino Linotype"/>
        </w:rPr>
      </w:pPr>
    </w:p>
    <w:p w14:paraId="226E6E86" w14:textId="77777777" w:rsidR="00A7334B" w:rsidRDefault="000A1F1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192C221" w14:textId="77777777" w:rsidR="00A7334B" w:rsidRDefault="00A7334B">
      <w:pPr>
        <w:ind w:left="851" w:right="899"/>
        <w:jc w:val="both"/>
        <w:rPr>
          <w:rFonts w:ascii="Palatino Linotype" w:eastAsia="Palatino Linotype" w:hAnsi="Palatino Linotype" w:cs="Palatino Linotype"/>
          <w:i/>
          <w:sz w:val="22"/>
          <w:szCs w:val="22"/>
        </w:rPr>
      </w:pPr>
    </w:p>
    <w:p w14:paraId="762E2F59" w14:textId="77777777" w:rsidR="00A7334B" w:rsidRDefault="000A1F1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64DB4E7C" w14:textId="77777777" w:rsidR="00A7334B" w:rsidRDefault="000A1F1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C5ED8AB" w14:textId="77777777" w:rsidR="00A7334B" w:rsidRDefault="000A1F10">
      <w:pPr>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w:t>
      </w:r>
      <w:r>
        <w:rPr>
          <w:rFonts w:ascii="Palatino Linotype" w:eastAsia="Palatino Linotype" w:hAnsi="Palatino Linotype" w:cs="Palatino Linotype"/>
          <w:b/>
          <w:i/>
          <w:color w:val="000000"/>
          <w:sz w:val="22"/>
          <w:szCs w:val="22"/>
          <w:u w:val="single"/>
        </w:rPr>
        <w:t>registro que documente el ejercicio de las facultades, funciones y competencias de los sujetos obligados</w:t>
      </w:r>
      <w:r>
        <w:rPr>
          <w:rFonts w:ascii="Palatino Linotype" w:eastAsia="Palatino Linotype" w:hAnsi="Palatino Linotype" w:cs="Palatino Linotype"/>
          <w:i/>
          <w:color w:val="000000"/>
          <w:sz w:val="22"/>
          <w:szCs w:val="22"/>
        </w:rPr>
        <w:t xml:space="preserve">, sus servidores públicos e integrantes, sin importar su fuente o fecha de elaboración. Los documentos podrán estar en cualquier medio, sea escrito, impreso, sonoro, visual, </w:t>
      </w:r>
      <w:r>
        <w:rPr>
          <w:rFonts w:ascii="Palatino Linotype" w:eastAsia="Palatino Linotype" w:hAnsi="Palatino Linotype" w:cs="Palatino Linotype"/>
          <w:b/>
          <w:i/>
          <w:color w:val="000000"/>
          <w:sz w:val="22"/>
          <w:szCs w:val="22"/>
          <w:u w:val="single"/>
        </w:rPr>
        <w:t>electrónico, informático</w:t>
      </w:r>
      <w:r>
        <w:rPr>
          <w:rFonts w:ascii="Palatino Linotype" w:eastAsia="Palatino Linotype" w:hAnsi="Palatino Linotype" w:cs="Palatino Linotype"/>
          <w:i/>
          <w:color w:val="000000"/>
          <w:sz w:val="22"/>
          <w:szCs w:val="22"/>
        </w:rPr>
        <w:t xml:space="preserve"> u holográfico…” (Sic)</w:t>
      </w:r>
    </w:p>
    <w:p w14:paraId="6DAAE7FE" w14:textId="77777777" w:rsidR="00A7334B" w:rsidRDefault="00A7334B">
      <w:pPr>
        <w:ind w:left="851" w:right="899"/>
        <w:jc w:val="both"/>
        <w:rPr>
          <w:rFonts w:ascii="Palatino Linotype" w:eastAsia="Palatino Linotype" w:hAnsi="Palatino Linotype" w:cs="Palatino Linotype"/>
          <w:sz w:val="22"/>
          <w:szCs w:val="22"/>
        </w:rPr>
      </w:pPr>
    </w:p>
    <w:p w14:paraId="5092ED3D" w14:textId="77777777" w:rsidR="00A7334B" w:rsidRDefault="000A1F1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2FA421A4" w14:textId="77777777" w:rsidR="00A7334B" w:rsidRDefault="00A7334B">
      <w:pPr>
        <w:ind w:left="851" w:right="899"/>
        <w:jc w:val="both"/>
        <w:rPr>
          <w:rFonts w:ascii="Palatino Linotype" w:eastAsia="Palatino Linotype" w:hAnsi="Palatino Linotype" w:cs="Palatino Linotype"/>
        </w:rPr>
      </w:pPr>
    </w:p>
    <w:p w14:paraId="46AB5A4F" w14:textId="77777777" w:rsidR="00A7334B" w:rsidRDefault="000A1F10">
      <w:pPr>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36B45859"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FAE2B65"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7C38C19"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 los Sujetos Obligados;</w:t>
      </w:r>
    </w:p>
    <w:p w14:paraId="43E25CB8"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administrada por los Sujetos Obligados, y</w:t>
      </w:r>
    </w:p>
    <w:p w14:paraId="5E0BDD2D" w14:textId="77777777" w:rsidR="00A7334B" w:rsidRDefault="000A1F10">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 encuentre en posesión de los Sujetos Obligados.” </w:t>
      </w:r>
    </w:p>
    <w:p w14:paraId="0830FB7E" w14:textId="77777777" w:rsidR="00A7334B" w:rsidRDefault="000A1F1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así como de interés público, es decir, aquella que </w:t>
      </w:r>
      <w:r>
        <w:rPr>
          <w:rFonts w:ascii="Palatino Linotype" w:eastAsia="Palatino Linotype" w:hAnsi="Palatino Linotype" w:cs="Palatino Linotype"/>
        </w:rPr>
        <w:lastRenderedPageBreak/>
        <w:t>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5A2CB2B7" w14:textId="77777777" w:rsidR="00A7334B" w:rsidRDefault="000A1F1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ese contexto, es conveniente reiterar que el entonces solicitante requirió, la siguiente información: </w:t>
      </w:r>
    </w:p>
    <w:p w14:paraId="7FD0FB2E" w14:textId="77777777" w:rsidR="00A7334B" w:rsidRDefault="000A1F10">
      <w:pPr>
        <w:pBdr>
          <w:top w:val="nil"/>
          <w:left w:val="nil"/>
          <w:bottom w:val="nil"/>
          <w:right w:val="nil"/>
          <w:between w:val="nil"/>
        </w:pBdr>
        <w:tabs>
          <w:tab w:val="left" w:pos="709"/>
        </w:tabs>
        <w:spacing w:before="280" w:line="360" w:lineRule="auto"/>
        <w:ind w:left="851"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 Si el Acuerdo 25/2017 por el que se crea el Comité de Control y Evaluación de la </w:t>
      </w:r>
      <w:proofErr w:type="gramStart"/>
      <w:r>
        <w:rPr>
          <w:rFonts w:ascii="Palatino Linotype" w:eastAsia="Palatino Linotype" w:hAnsi="Palatino Linotype" w:cs="Palatino Linotype"/>
          <w:color w:val="000000"/>
        </w:rPr>
        <w:t>Fiscalía General</w:t>
      </w:r>
      <w:proofErr w:type="gramEnd"/>
      <w:r>
        <w:rPr>
          <w:rFonts w:ascii="Palatino Linotype" w:eastAsia="Palatino Linotype" w:hAnsi="Palatino Linotype" w:cs="Palatino Linotype"/>
          <w:color w:val="000000"/>
        </w:rPr>
        <w:t xml:space="preserve"> de Justicia del Estado de México, está o no vigente, en su caso, fecha en que dejó de estarlo; </w:t>
      </w:r>
    </w:p>
    <w:p w14:paraId="0F4118B6" w14:textId="77777777" w:rsidR="00A7334B" w:rsidRDefault="000A1F10">
      <w:pPr>
        <w:pBdr>
          <w:top w:val="nil"/>
          <w:left w:val="nil"/>
          <w:bottom w:val="nil"/>
          <w:right w:val="nil"/>
          <w:between w:val="nil"/>
        </w:pBdr>
        <w:tabs>
          <w:tab w:val="left" w:pos="709"/>
        </w:tabs>
        <w:spacing w:line="360" w:lineRule="auto"/>
        <w:ind w:left="851"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II. Versión pública del Estatuto de Operación del Comité de Control y Evaluación;</w:t>
      </w:r>
    </w:p>
    <w:p w14:paraId="4F5DC17A" w14:textId="77777777" w:rsidR="00A7334B" w:rsidRDefault="000A1F10">
      <w:pPr>
        <w:pBdr>
          <w:top w:val="nil"/>
          <w:left w:val="nil"/>
          <w:bottom w:val="nil"/>
          <w:right w:val="nil"/>
          <w:between w:val="nil"/>
        </w:pBdr>
        <w:tabs>
          <w:tab w:val="left" w:pos="709"/>
        </w:tabs>
        <w:spacing w:line="360" w:lineRule="auto"/>
        <w:ind w:left="851"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III. Versión pública de los Acuerdos del Comité que fomenten un adecuado control interno del Órgano Constitucional Autónomo;  </w:t>
      </w:r>
    </w:p>
    <w:p w14:paraId="5AD44A79" w14:textId="77777777" w:rsidR="00A7334B" w:rsidRDefault="000A1F10">
      <w:pPr>
        <w:pBdr>
          <w:top w:val="nil"/>
          <w:left w:val="nil"/>
          <w:bottom w:val="nil"/>
          <w:right w:val="nil"/>
          <w:between w:val="nil"/>
        </w:pBdr>
        <w:tabs>
          <w:tab w:val="left" w:pos="709"/>
        </w:tabs>
        <w:spacing w:line="360" w:lineRule="auto"/>
        <w:ind w:left="851"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IV. Versión pública de Informes de seguimiento a los Acuerdos mencionados; </w:t>
      </w:r>
    </w:p>
    <w:p w14:paraId="1D39E60A" w14:textId="77777777" w:rsidR="00A7334B" w:rsidRDefault="000A1F10">
      <w:pPr>
        <w:pBdr>
          <w:top w:val="nil"/>
          <w:left w:val="nil"/>
          <w:bottom w:val="nil"/>
          <w:right w:val="nil"/>
          <w:between w:val="nil"/>
        </w:pBdr>
        <w:tabs>
          <w:tab w:val="left" w:pos="709"/>
        </w:tabs>
        <w:spacing w:line="360" w:lineRule="auto"/>
        <w:ind w:left="851"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V. Versión pública de comprobar se cumplen las propuestas de acciones de control y recomendaciones de las autoridades competentes; y,</w:t>
      </w:r>
    </w:p>
    <w:p w14:paraId="513ADE8E" w14:textId="77777777" w:rsidR="00A7334B" w:rsidRDefault="000A1F10">
      <w:pPr>
        <w:pBdr>
          <w:top w:val="nil"/>
          <w:left w:val="nil"/>
          <w:bottom w:val="nil"/>
          <w:right w:val="nil"/>
          <w:between w:val="nil"/>
        </w:pBdr>
        <w:tabs>
          <w:tab w:val="left" w:pos="709"/>
        </w:tabs>
        <w:spacing w:after="280" w:line="360" w:lineRule="auto"/>
        <w:ind w:left="851" w:right="90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VI. Versión pública de las sesiones del Comité.</w:t>
      </w:r>
    </w:p>
    <w:p w14:paraId="5A78CE04" w14:textId="77777777" w:rsidR="00A7334B" w:rsidRDefault="000A1F10">
      <w:pPr>
        <w:spacing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lastRenderedPageBreak/>
        <w:t xml:space="preserve">En su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manifestó que la solicitud fue turnada a la Dirección General Jurídica y Consultiva  y el Órgano Interno de Control, quienes informaron: </w:t>
      </w:r>
      <w:r>
        <w:rPr>
          <w:rFonts w:ascii="Palatino Linotype" w:eastAsia="Palatino Linotype" w:hAnsi="Palatino Linotype" w:cs="Palatino Linotype"/>
          <w:i/>
        </w:rPr>
        <w:t xml:space="preserve">“…el Acuerdo referido se encuentra vigente, el cual es un Órgano Colegiado de apoyo, consulta y asesoría de la Institución mismo que se encuentra disponible en el siguiente link </w:t>
      </w:r>
      <w:hyperlink r:id="rId13">
        <w:r>
          <w:rPr>
            <w:rFonts w:ascii="Palatino Linotype" w:eastAsia="Palatino Linotype" w:hAnsi="Palatino Linotype" w:cs="Palatino Linotype"/>
            <w:i/>
            <w:color w:val="0000FF"/>
            <w:u w:val="single"/>
          </w:rPr>
          <w:t>https://legislacion.edomex.gob.mx/sites/legislacion.edomex.gob.mx/files/files/pdf/gct/2017/oct305.pdf</w:t>
        </w:r>
      </w:hyperlink>
      <w:r>
        <w:rPr>
          <w:rFonts w:ascii="Palatino Linotype" w:eastAsia="Palatino Linotype" w:hAnsi="Palatino Linotype" w:cs="Palatino Linotype"/>
          <w:i/>
        </w:rPr>
        <w:t xml:space="preserve">.” (Sic) </w:t>
      </w:r>
    </w:p>
    <w:p w14:paraId="678466E3" w14:textId="77777777" w:rsidR="00A7334B" w:rsidRDefault="000A1F1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Dirección electrónica que una vez consultada se puede advertir la publicación del Acuerdo referido por el particular en la solicitud de información, tal como se observa en la siguiente imagen: </w:t>
      </w:r>
    </w:p>
    <w:p w14:paraId="5D6C00D5" w14:textId="77777777" w:rsidR="00A7334B" w:rsidRDefault="000A1F1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0D7ED77E" wp14:editId="561DA8C1">
            <wp:extent cx="5612130" cy="36957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612130" cy="3695700"/>
                    </a:xfrm>
                    <a:prstGeom prst="rect">
                      <a:avLst/>
                    </a:prstGeom>
                    <a:ln/>
                  </pic:spPr>
                </pic:pic>
              </a:graphicData>
            </a:graphic>
          </wp:inline>
        </w:drawing>
      </w:r>
    </w:p>
    <w:p w14:paraId="1368DA93" w14:textId="77777777" w:rsidR="00A7334B" w:rsidRDefault="000A1F1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Conocida la respuesta,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interpuso el presente medio de impugnación en el que manifestó como razones o motivos de inconformidad en términos generales por la falta de atención a las fracciones II, III, IV, V y VI. </w:t>
      </w:r>
    </w:p>
    <w:p w14:paraId="38960229" w14:textId="77777777" w:rsidR="00A7334B" w:rsidRDefault="000A1F10">
      <w:pPr>
        <w:pBdr>
          <w:top w:val="nil"/>
          <w:left w:val="nil"/>
          <w:bottom w:val="nil"/>
          <w:right w:val="nil"/>
          <w:between w:val="nil"/>
        </w:pBd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contexto, no pasa inadvertido para este Organismo Garante que, toda vez que los motivos de inconformidad aducidos en el recurso de revisión, no versan sobre la totalidad de la información proporcionada por el Sujeto Obligado, pues la parte Recurrente se inconformó de manera expresa </w:t>
      </w:r>
      <w:r>
        <w:rPr>
          <w:rFonts w:ascii="Palatino Linotype" w:eastAsia="Palatino Linotype" w:hAnsi="Palatino Linotype" w:cs="Palatino Linotype"/>
          <w:b/>
        </w:rPr>
        <w:t>por la falta de atención a las fracciones II, III, IV, V y VI</w:t>
      </w:r>
      <w:r>
        <w:rPr>
          <w:rFonts w:ascii="Palatino Linotype" w:eastAsia="Palatino Linotype" w:hAnsi="Palatino Linotype" w:cs="Palatino Linotype"/>
        </w:rPr>
        <w:t>, por ello,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14:paraId="6DDDA0AE" w14:textId="77777777" w:rsidR="00A7334B" w:rsidRDefault="00A7334B">
      <w:pPr>
        <w:spacing w:line="360" w:lineRule="auto"/>
        <w:jc w:val="both"/>
        <w:rPr>
          <w:rFonts w:ascii="Palatino Linotype" w:eastAsia="Palatino Linotype" w:hAnsi="Palatino Linotype" w:cs="Palatino Linotype"/>
        </w:rPr>
      </w:pPr>
    </w:p>
    <w:p w14:paraId="6A6A1F7B" w14:textId="77777777" w:rsidR="00A7334B" w:rsidRDefault="000A1F1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debido a que cuando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4469DA9" w14:textId="77777777" w:rsidR="00A7334B" w:rsidRDefault="00A7334B">
      <w:pPr>
        <w:spacing w:line="360" w:lineRule="auto"/>
        <w:jc w:val="both"/>
        <w:rPr>
          <w:rFonts w:ascii="Palatino Linotype" w:eastAsia="Palatino Linotype" w:hAnsi="Palatino Linotype" w:cs="Palatino Linotype"/>
        </w:rPr>
      </w:pPr>
    </w:p>
    <w:p w14:paraId="241B060F" w14:textId="77777777" w:rsidR="00A7334B" w:rsidRDefault="000A1F1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“REVISIÓN EN AMPARO. LOS RESOLUTIVOS NO COMBATIDOS DEBEN DECLARARSE FIRMES. </w:t>
      </w:r>
      <w:r>
        <w:rPr>
          <w:rFonts w:ascii="Palatino Linotype" w:eastAsia="Palatino Linotype" w:hAnsi="Palatino Linotype" w:cs="Palatino Linotype"/>
          <w:i/>
          <w:sz w:val="22"/>
          <w:szCs w:val="22"/>
        </w:rPr>
        <w:t xml:space="preserve">Cuando algún resolutivo de la sentencia impugnada afecta </w:t>
      </w:r>
      <w:r>
        <w:rPr>
          <w:rFonts w:ascii="Palatino Linotype" w:eastAsia="Palatino Linotype" w:hAnsi="Palatino Linotype" w:cs="Palatino Linotype"/>
          <w:i/>
          <w:sz w:val="22"/>
          <w:szCs w:val="22"/>
        </w:rPr>
        <w:lastRenderedPageBreak/>
        <w:t>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BC420A0" w14:textId="77777777" w:rsidR="00A7334B" w:rsidRDefault="00A7334B">
      <w:pPr>
        <w:spacing w:line="360" w:lineRule="auto"/>
        <w:jc w:val="both"/>
        <w:rPr>
          <w:rFonts w:ascii="Palatino Linotype" w:eastAsia="Palatino Linotype" w:hAnsi="Palatino Linotype" w:cs="Palatino Linotype"/>
        </w:rPr>
      </w:pPr>
      <w:bookmarkStart w:id="4" w:name="_heading=h.30j0zll" w:colFirst="0" w:colLast="0"/>
      <w:bookmarkEnd w:id="4"/>
    </w:p>
    <w:p w14:paraId="6E247649" w14:textId="77777777" w:rsidR="00A7334B" w:rsidRDefault="000A1F1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Consecuentemente, se insiste, ante la falta de impugnación eficaz, la respuesta entregada debe declararse consentida por persona solicitante.</w:t>
      </w:r>
    </w:p>
    <w:p w14:paraId="07DAB866" w14:textId="77777777" w:rsidR="00A7334B" w:rsidRDefault="000A1F10">
      <w:pPr>
        <w:tabs>
          <w:tab w:val="left" w:pos="156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b/>
      </w:r>
    </w:p>
    <w:p w14:paraId="6CE0C77E" w14:textId="77777777" w:rsidR="00A7334B" w:rsidRDefault="000A1F1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06520D96" w14:textId="77777777" w:rsidR="00A7334B" w:rsidRDefault="00A7334B">
      <w:pPr>
        <w:spacing w:line="360" w:lineRule="auto"/>
        <w:jc w:val="both"/>
        <w:rPr>
          <w:rFonts w:ascii="Palatino Linotype" w:eastAsia="Palatino Linotype" w:hAnsi="Palatino Linotype" w:cs="Palatino Linotype"/>
        </w:rPr>
      </w:pPr>
    </w:p>
    <w:p w14:paraId="14DFDAAF" w14:textId="77777777" w:rsidR="00A7334B" w:rsidRDefault="000A1F10">
      <w:pPr>
        <w:pBdr>
          <w:top w:val="nil"/>
          <w:left w:val="nil"/>
          <w:bottom w:val="nil"/>
          <w:right w:val="nil"/>
          <w:between w:val="nil"/>
        </w:pBdr>
        <w:spacing w:line="276" w:lineRule="auto"/>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Actos consentidos tácitamente. Improcedencia de su análisis. </w:t>
      </w:r>
      <w:r>
        <w:rPr>
          <w:rFonts w:ascii="Palatino Linotype" w:eastAsia="Palatino Linotype" w:hAnsi="Palatino Linotype" w:cs="Palatino Linotype"/>
          <w:i/>
          <w:color w:val="000000"/>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AD51EF9" w14:textId="77777777" w:rsidR="00A7334B" w:rsidRDefault="00A7334B">
      <w:pPr>
        <w:pBdr>
          <w:top w:val="nil"/>
          <w:left w:val="nil"/>
          <w:bottom w:val="nil"/>
          <w:right w:val="nil"/>
          <w:between w:val="nil"/>
        </w:pBdr>
        <w:spacing w:line="276" w:lineRule="auto"/>
        <w:ind w:left="567" w:right="902"/>
        <w:jc w:val="both"/>
        <w:rPr>
          <w:rFonts w:ascii="Palatino Linotype" w:eastAsia="Palatino Linotype" w:hAnsi="Palatino Linotype" w:cs="Palatino Linotype"/>
          <w:i/>
          <w:color w:val="000000"/>
        </w:rPr>
      </w:pPr>
    </w:p>
    <w:p w14:paraId="0D122787" w14:textId="77777777" w:rsidR="00A7334B" w:rsidRDefault="000A1F1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0C831D45" w14:textId="77777777" w:rsidR="00A7334B" w:rsidRDefault="00A7334B">
      <w:pPr>
        <w:spacing w:line="360" w:lineRule="auto"/>
        <w:ind w:left="851" w:right="900"/>
        <w:jc w:val="both"/>
        <w:rPr>
          <w:rFonts w:ascii="Palatino Linotype" w:eastAsia="Palatino Linotype" w:hAnsi="Palatino Linotype" w:cs="Palatino Linotype"/>
          <w:b/>
          <w:i/>
          <w:smallCaps/>
          <w:sz w:val="22"/>
          <w:szCs w:val="22"/>
        </w:rPr>
      </w:pPr>
    </w:p>
    <w:p w14:paraId="1D068E86" w14:textId="77777777" w:rsidR="00A7334B" w:rsidRDefault="000A1F10">
      <w:pPr>
        <w:tabs>
          <w:tab w:val="left" w:pos="851"/>
          <w:tab w:val="left" w:pos="1276"/>
        </w:tabs>
        <w:spacing w:line="276"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b/>
          <w:i/>
          <w:smallCaps/>
          <w:sz w:val="22"/>
          <w:szCs w:val="22"/>
        </w:rPr>
        <w:t xml:space="preserve">“ACTOS CONSENTIDOS. SON LOS QUE NO SE IMPUGNAN MEDIANTE EL RECURSO IDÓNEO. </w:t>
      </w:r>
      <w:r>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Pr>
          <w:rFonts w:ascii="Palatino Linotype" w:eastAsia="Palatino Linotype" w:hAnsi="Palatino Linotype" w:cs="Palatino Linotype"/>
          <w:i/>
          <w:sz w:val="22"/>
          <w:szCs w:val="22"/>
        </w:rPr>
        <w:t>ya que</w:t>
      </w:r>
      <w:proofErr w:type="gramEnd"/>
      <w:r>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w:t>
      </w:r>
      <w:r>
        <w:rPr>
          <w:rFonts w:ascii="Palatino Linotype" w:eastAsia="Palatino Linotype" w:hAnsi="Palatino Linotype" w:cs="Palatino Linotype"/>
          <w:i/>
          <w:sz w:val="22"/>
          <w:szCs w:val="22"/>
        </w:rPr>
        <w:lastRenderedPageBreak/>
        <w:t>efectos jurídicos tendientes a revocar, confirmar o modificar el acto reclamado en amparo, lo que significa consentimiento del mismo por falta de impugnación eficaz.”</w:t>
      </w:r>
    </w:p>
    <w:p w14:paraId="1F9675D6" w14:textId="77777777" w:rsidR="00A7334B" w:rsidRDefault="00A7334B">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6A334D55" w14:textId="77777777" w:rsidR="00A7334B" w:rsidRDefault="000A1F1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 señalar que, una vez interpuesto el recurso de revisión que ahora se resuelve, </w:t>
      </w:r>
    </w:p>
    <w:p w14:paraId="4D2AB7BB" w14:textId="77777777" w:rsidR="00A7334B" w:rsidRDefault="000A1F1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haciendo uso de su derecho remitió en informe justificado diversas documentales, con las cuales pretendió atender y resarcir el derecho de acceso a la información pública del particular; por lo que, se procede al análisis de cada uno de los requerimientos sobre los cuales se inconformó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al momento de interponer el medio de inconformidad y de las documentales remitidas en respuesta e informe justificado. </w:t>
      </w:r>
    </w:p>
    <w:p w14:paraId="7AD75274" w14:textId="77777777" w:rsidR="00A7334B" w:rsidRDefault="00A7334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31831DF5" w14:textId="77777777" w:rsidR="00A7334B" w:rsidRDefault="000A1F10">
      <w:pPr>
        <w:numPr>
          <w:ilvl w:val="0"/>
          <w:numId w:val="4"/>
        </w:num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Del Estatuto de Operación del Comité de Control y Evaluación</w:t>
      </w:r>
    </w:p>
    <w:p w14:paraId="0E21168D" w14:textId="77777777" w:rsidR="00A7334B" w:rsidRDefault="000A1F10">
      <w:pPr>
        <w:tabs>
          <w:tab w:val="left" w:pos="709"/>
        </w:tabs>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al requerimiento formulado en la fracción II de la solicitud de información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relativo a la versión publica del Estatuto de Operación del Comité de Control y Evaluación es necesario referir que el Transitorio Tercero, del Acuerdo número 25/2017, por el que se crea el Comité de Control y Evaluación de la Fiscalía General de Justicia del Estado de México establece que en la primera sesión ordinaria deberán aprobarse los estatutos para el funcionamiento del mismo, tal como se cita a continuación :</w:t>
      </w:r>
    </w:p>
    <w:p w14:paraId="266ACAD5" w14:textId="77777777" w:rsidR="00A7334B" w:rsidRDefault="000A1F10">
      <w:pPr>
        <w:tabs>
          <w:tab w:val="left" w:pos="709"/>
        </w:tabs>
        <w:spacing w:before="280" w:after="280" w:line="276" w:lineRule="auto"/>
        <w:ind w:left="850" w:right="901"/>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“TRANSITORIOS</w:t>
      </w:r>
    </w:p>
    <w:p w14:paraId="69F41C47" w14:textId="77777777" w:rsidR="00A7334B" w:rsidRDefault="000A1F10">
      <w:pPr>
        <w:tabs>
          <w:tab w:val="left" w:pos="709"/>
        </w:tabs>
        <w:spacing w:before="280" w:after="280" w:line="276" w:lineRule="auto"/>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Publicación </w:t>
      </w:r>
    </w:p>
    <w:p w14:paraId="54EDB3E5" w14:textId="77777777" w:rsidR="00A7334B" w:rsidRDefault="000A1F10">
      <w:pPr>
        <w:tabs>
          <w:tab w:val="left" w:pos="709"/>
        </w:tabs>
        <w:spacing w:before="280" w:after="280" w:line="276" w:lineRule="auto"/>
        <w:ind w:left="850" w:right="901"/>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i/>
          <w:sz w:val="22"/>
          <w:szCs w:val="22"/>
        </w:rPr>
        <w:t>PRIMERO.-</w:t>
      </w:r>
      <w:proofErr w:type="gramEnd"/>
      <w:r>
        <w:rPr>
          <w:rFonts w:ascii="Palatino Linotype" w:eastAsia="Palatino Linotype" w:hAnsi="Palatino Linotype" w:cs="Palatino Linotype"/>
          <w:i/>
          <w:sz w:val="22"/>
          <w:szCs w:val="22"/>
        </w:rPr>
        <w:t xml:space="preserve"> Publíquese este Acuerdo en el Periódico Oficial “Gaceta del Gobierno”. </w:t>
      </w:r>
    </w:p>
    <w:p w14:paraId="3E1B4BCE" w14:textId="77777777" w:rsidR="00A7334B" w:rsidRDefault="000A1F10">
      <w:pPr>
        <w:tabs>
          <w:tab w:val="left" w:pos="709"/>
        </w:tabs>
        <w:spacing w:before="280" w:after="280" w:line="276" w:lineRule="auto"/>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Entrada en vigor </w:t>
      </w:r>
    </w:p>
    <w:p w14:paraId="38380217" w14:textId="77777777" w:rsidR="00A7334B" w:rsidRDefault="000A1F10">
      <w:pPr>
        <w:tabs>
          <w:tab w:val="left" w:pos="709"/>
        </w:tabs>
        <w:spacing w:before="280" w:after="280" w:line="276" w:lineRule="auto"/>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SEGUNDO. - Este Acuerdo entrará en vigor al día siguiente de su publicación en el Periódico Oficial “Gaceta del Gobierno”. </w:t>
      </w:r>
    </w:p>
    <w:p w14:paraId="57B5078B" w14:textId="77777777" w:rsidR="00A7334B" w:rsidRDefault="000A1F10">
      <w:pPr>
        <w:tabs>
          <w:tab w:val="left" w:pos="709"/>
        </w:tabs>
        <w:spacing w:before="280" w:after="280" w:line="276" w:lineRule="auto"/>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Instalación </w:t>
      </w:r>
    </w:p>
    <w:p w14:paraId="56EF3B82" w14:textId="77777777" w:rsidR="00A7334B" w:rsidRDefault="000A1F10">
      <w:pPr>
        <w:tabs>
          <w:tab w:val="left" w:pos="709"/>
        </w:tabs>
        <w:spacing w:before="280" w:after="280" w:line="276" w:lineRule="auto"/>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TERCERO. - El COCOE deberá instalarse en un plazo no mayor a 15 días, contado a partir de la entrada en vigor de este Acuerdo; asimismo, </w:t>
      </w:r>
      <w:r>
        <w:rPr>
          <w:rFonts w:ascii="Palatino Linotype" w:eastAsia="Palatino Linotype" w:hAnsi="Palatino Linotype" w:cs="Palatino Linotype"/>
          <w:b/>
          <w:i/>
          <w:sz w:val="22"/>
          <w:szCs w:val="22"/>
          <w:u w:val="single"/>
        </w:rPr>
        <w:t>en su primera sesión ordinaria</w:t>
      </w:r>
      <w:r>
        <w:rPr>
          <w:rFonts w:ascii="Palatino Linotype" w:eastAsia="Palatino Linotype" w:hAnsi="Palatino Linotype" w:cs="Palatino Linotype"/>
          <w:b/>
          <w:i/>
          <w:sz w:val="22"/>
          <w:szCs w:val="22"/>
        </w:rPr>
        <w:t xml:space="preserve"> deberá aprobar el estatuto respectivo para su funcionamiento. </w:t>
      </w:r>
    </w:p>
    <w:p w14:paraId="32CAC62A" w14:textId="77777777" w:rsidR="00A7334B" w:rsidRDefault="000A1F10">
      <w:pPr>
        <w:tabs>
          <w:tab w:val="left" w:pos="709"/>
        </w:tabs>
        <w:spacing w:before="280" w:after="280" w:line="276" w:lineRule="auto"/>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Derogación </w:t>
      </w:r>
    </w:p>
    <w:p w14:paraId="28210E3A" w14:textId="77777777" w:rsidR="00A7334B" w:rsidRDefault="000A1F10">
      <w:pPr>
        <w:tabs>
          <w:tab w:val="left" w:pos="709"/>
        </w:tabs>
        <w:spacing w:before="280" w:after="280" w:line="276" w:lineRule="auto"/>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CUARTO. - Se dejan sin efecto, todas aquellas disposiciones que se hubieren emitido y que contravengan el presente Acuerdo.”</w:t>
      </w:r>
    </w:p>
    <w:p w14:paraId="172BA02A" w14:textId="77777777" w:rsidR="00A7334B" w:rsidRDefault="000A1F10">
      <w:pPr>
        <w:tabs>
          <w:tab w:val="left" w:pos="709"/>
        </w:tabs>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una vez instalado el COCOE, en la celebración de su primera sesión ordinaria debió aprobar el documento solicitado. </w:t>
      </w:r>
    </w:p>
    <w:p w14:paraId="7FAC1D9B" w14:textId="77777777" w:rsidR="00A7334B" w:rsidRDefault="000A1F1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Acotado lo anterior, es importante invocar el contenido de los artículos 162, 163, 164 y 165 de la Ley de Transparencia y Acceso a la Información Pública del Estado de México y Municipios, que rezan así:</w:t>
      </w:r>
    </w:p>
    <w:p w14:paraId="08F8C5EA" w14:textId="77777777" w:rsidR="00A7334B" w:rsidRDefault="00A7334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4ACD4633" w14:textId="77777777" w:rsidR="00A7334B" w:rsidRDefault="000A1F10">
      <w:pPr>
        <w:spacing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162.</w:t>
      </w:r>
      <w:r>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400AE21A" w14:textId="77777777" w:rsidR="00A7334B" w:rsidRDefault="000A1F10">
      <w:pPr>
        <w:spacing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163.</w:t>
      </w:r>
      <w:r>
        <w:rPr>
          <w:rFonts w:ascii="Palatino Linotype" w:eastAsia="Palatino Linotype" w:hAnsi="Palatino Linotype" w:cs="Palatino Linotype"/>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7C90D589" w14:textId="77777777" w:rsidR="00A7334B" w:rsidRDefault="000A1F10">
      <w:pPr>
        <w:spacing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B5CDDA8" w14:textId="77777777" w:rsidR="00A7334B" w:rsidRDefault="000A1F10">
      <w:pPr>
        <w:spacing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164.</w:t>
      </w:r>
      <w:r>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14B05DA9" w14:textId="77777777" w:rsidR="00A7334B" w:rsidRDefault="000A1F10">
      <w:pPr>
        <w:spacing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cualquier caso, se deberá fundar y motivar la necesidad de ofrecer otras modalidades.  </w:t>
      </w:r>
    </w:p>
    <w:p w14:paraId="4D05D7E3" w14:textId="77777777" w:rsidR="00A7334B" w:rsidRDefault="000A1F10">
      <w:pPr>
        <w:spacing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165.</w:t>
      </w:r>
      <w:r>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743801D8" w14:textId="77777777" w:rsidR="00A7334B" w:rsidRDefault="000A1F1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23ABA844" w14:textId="77777777" w:rsidR="00A7334B" w:rsidRDefault="000A1F1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14:paraId="0B6308A8"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concreto, la Encargada de la Unidad de Transparencia, turnó la solicitud de información al Servidor Público Habilitado del Órgano Interno de Control de la </w:t>
      </w:r>
      <w:proofErr w:type="gramStart"/>
      <w:r>
        <w:rPr>
          <w:rFonts w:ascii="Palatino Linotype" w:eastAsia="Palatino Linotype" w:hAnsi="Palatino Linotype" w:cs="Palatino Linotype"/>
        </w:rPr>
        <w:lastRenderedPageBreak/>
        <w:t>Fiscalía General</w:t>
      </w:r>
      <w:proofErr w:type="gramEnd"/>
      <w:r>
        <w:rPr>
          <w:rFonts w:ascii="Palatino Linotype" w:eastAsia="Palatino Linotype" w:hAnsi="Palatino Linotype" w:cs="Palatino Linotype"/>
        </w:rPr>
        <w:t xml:space="preserve"> de Justicia del Estado de México que de conformidad con lo dispuesto en el propio acuerdo 25/2017 en el numeral TERCERO relativo a la integración del Comité de Control y Evaluación de la Fiscalía General de Justicia dispone: </w:t>
      </w:r>
    </w:p>
    <w:p w14:paraId="714FC13C" w14:textId="77777777" w:rsidR="00A7334B" w:rsidRDefault="000A1F1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roofErr w:type="gramStart"/>
      <w:r>
        <w:rPr>
          <w:rFonts w:ascii="Palatino Linotype" w:eastAsia="Palatino Linotype" w:hAnsi="Palatino Linotype" w:cs="Palatino Linotype"/>
          <w:b/>
          <w:i/>
          <w:sz w:val="22"/>
          <w:szCs w:val="22"/>
        </w:rPr>
        <w:t>TERCERO.</w:t>
      </w:r>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El COCOE se integrará por: </w:t>
      </w:r>
    </w:p>
    <w:p w14:paraId="1BB52172" w14:textId="77777777" w:rsidR="00A7334B" w:rsidRDefault="000A1F1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Un presidente que será el </w:t>
      </w:r>
      <w:proofErr w:type="gramStart"/>
      <w:r>
        <w:rPr>
          <w:rFonts w:ascii="Palatino Linotype" w:eastAsia="Palatino Linotype" w:hAnsi="Palatino Linotype" w:cs="Palatino Linotype"/>
          <w:i/>
          <w:sz w:val="22"/>
          <w:szCs w:val="22"/>
        </w:rPr>
        <w:t>Fiscal General</w:t>
      </w:r>
      <w:proofErr w:type="gramEnd"/>
      <w:r>
        <w:rPr>
          <w:rFonts w:ascii="Palatino Linotype" w:eastAsia="Palatino Linotype" w:hAnsi="Palatino Linotype" w:cs="Palatino Linotype"/>
          <w:i/>
          <w:sz w:val="22"/>
          <w:szCs w:val="22"/>
        </w:rPr>
        <w:t xml:space="preserve"> de Justicia del Estado de México; </w:t>
      </w:r>
    </w:p>
    <w:p w14:paraId="0ED0D5A1" w14:textId="77777777" w:rsidR="00A7334B" w:rsidRDefault="000A1F1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Un </w:t>
      </w:r>
      <w:proofErr w:type="gramStart"/>
      <w:r>
        <w:rPr>
          <w:rFonts w:ascii="Palatino Linotype" w:eastAsia="Palatino Linotype" w:hAnsi="Palatino Linotype" w:cs="Palatino Linotype"/>
          <w:b/>
          <w:i/>
          <w:sz w:val="22"/>
          <w:szCs w:val="22"/>
          <w:u w:val="single"/>
        </w:rPr>
        <w:t>Secretario Técnico</w:t>
      </w:r>
      <w:proofErr w:type="gramEnd"/>
      <w:r>
        <w:rPr>
          <w:rFonts w:ascii="Palatino Linotype" w:eastAsia="Palatino Linotype" w:hAnsi="Palatino Linotype" w:cs="Palatino Linotype"/>
          <w:b/>
          <w:i/>
          <w:sz w:val="22"/>
          <w:szCs w:val="22"/>
          <w:u w:val="single"/>
        </w:rPr>
        <w:t xml:space="preserve"> que será el Titular del Órgano Interno de Control</w:t>
      </w:r>
      <w:r>
        <w:rPr>
          <w:rFonts w:ascii="Palatino Linotype" w:eastAsia="Palatino Linotype" w:hAnsi="Palatino Linotype" w:cs="Palatino Linotype"/>
          <w:i/>
          <w:sz w:val="22"/>
          <w:szCs w:val="22"/>
        </w:rPr>
        <w:t xml:space="preserve">, y </w:t>
      </w:r>
    </w:p>
    <w:p w14:paraId="7CA03257" w14:textId="77777777" w:rsidR="00A7334B" w:rsidRDefault="000A1F1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10 vocales, que serán los titulares de las siguientes unidades administrativas; </w:t>
      </w:r>
    </w:p>
    <w:p w14:paraId="28B81DEE" w14:textId="77777777" w:rsidR="00A7334B" w:rsidRDefault="000A1F1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w:t>
      </w:r>
      <w:proofErr w:type="spellStart"/>
      <w:r>
        <w:rPr>
          <w:rFonts w:ascii="Palatino Linotype" w:eastAsia="Palatino Linotype" w:hAnsi="Palatino Linotype" w:cs="Palatino Linotype"/>
          <w:i/>
          <w:sz w:val="22"/>
          <w:szCs w:val="22"/>
        </w:rPr>
        <w:t>Vicefiscalía</w:t>
      </w:r>
      <w:proofErr w:type="spellEnd"/>
      <w:r>
        <w:rPr>
          <w:rFonts w:ascii="Palatino Linotype" w:eastAsia="Palatino Linotype" w:hAnsi="Palatino Linotype" w:cs="Palatino Linotype"/>
          <w:i/>
          <w:sz w:val="22"/>
          <w:szCs w:val="22"/>
        </w:rPr>
        <w:t xml:space="preserve"> General; </w:t>
      </w:r>
    </w:p>
    <w:p w14:paraId="3A6103B6" w14:textId="77777777" w:rsidR="00A7334B" w:rsidRDefault="000A1F1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Fiscalía Central de Atención Especializada; </w:t>
      </w:r>
    </w:p>
    <w:p w14:paraId="36D82533" w14:textId="77777777" w:rsidR="00A7334B" w:rsidRDefault="000A1F1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Fiscalía Central para la Atención de Delitos Vinculados a la Violencia de Género;</w:t>
      </w:r>
    </w:p>
    <w:p w14:paraId="1D17E554" w14:textId="77777777" w:rsidR="00A7334B" w:rsidRDefault="000A1F1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 Fiscalía Central Jurídica; e) Oficialía Mayor;</w:t>
      </w:r>
    </w:p>
    <w:p w14:paraId="38C58C27" w14:textId="77777777" w:rsidR="00A7334B" w:rsidRDefault="000A1F1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f) Coordinación General de Combate al Secuestro; </w:t>
      </w:r>
    </w:p>
    <w:p w14:paraId="0D9E7655" w14:textId="77777777" w:rsidR="00A7334B" w:rsidRDefault="000A1F1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g) Coordinación General de Atención Inmediata y Justicia Restaurativa; </w:t>
      </w:r>
    </w:p>
    <w:p w14:paraId="132E5D45" w14:textId="77777777" w:rsidR="00A7334B" w:rsidRDefault="000A1F1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h) Visitaduría General; </w:t>
      </w:r>
    </w:p>
    <w:p w14:paraId="74BCD0FE" w14:textId="77777777" w:rsidR="00A7334B" w:rsidRDefault="000A1F1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Coordinación General de Servicios Periciales, y </w:t>
      </w:r>
    </w:p>
    <w:p w14:paraId="0AAA9192" w14:textId="77777777" w:rsidR="00A7334B" w:rsidRDefault="000A1F10">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j) Coordinación General de la Policía de Investigación</w:t>
      </w:r>
    </w:p>
    <w:p w14:paraId="4C9F33BA"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del ordenamiento jurídico previamente citado, se tiene que el Titular del Órgano de Control Interno en su calidad de </w:t>
      </w:r>
      <w:proofErr w:type="gramStart"/>
      <w:r>
        <w:rPr>
          <w:rFonts w:ascii="Palatino Linotype" w:eastAsia="Palatino Linotype" w:hAnsi="Palatino Linotype" w:cs="Palatino Linotype"/>
        </w:rPr>
        <w:t>Secretario Técnico</w:t>
      </w:r>
      <w:proofErr w:type="gramEnd"/>
      <w:r>
        <w:rPr>
          <w:rFonts w:ascii="Palatino Linotype" w:eastAsia="Palatino Linotype" w:hAnsi="Palatino Linotype" w:cs="Palatino Linotype"/>
        </w:rPr>
        <w:t xml:space="preserve"> del Comité de </w:t>
      </w:r>
      <w:r>
        <w:rPr>
          <w:rFonts w:ascii="Palatino Linotype" w:eastAsia="Palatino Linotype" w:hAnsi="Palatino Linotype" w:cs="Palatino Linotype"/>
        </w:rPr>
        <w:lastRenderedPageBreak/>
        <w:t xml:space="preserve">Control y Evaluación es el servidor público con las facultades, competencias y funciones para generar, poseer y administrar la información solicitada. </w:t>
      </w:r>
    </w:p>
    <w:p w14:paraId="12904E6D" w14:textId="77777777" w:rsidR="00A7334B" w:rsidRDefault="000A1F10">
      <w:pPr>
        <w:tabs>
          <w:tab w:val="left" w:pos="709"/>
        </w:tabs>
        <w:spacing w:before="280" w:after="28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En este sentido, en el asunto que nos ocupa analizar, el Titular del Órgano de Control Interno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y </w:t>
      </w:r>
      <w:proofErr w:type="spellStart"/>
      <w:r>
        <w:rPr>
          <w:rFonts w:ascii="Palatino Linotype" w:eastAsia="Palatino Linotype" w:hAnsi="Palatino Linotype" w:cs="Palatino Linotype"/>
        </w:rPr>
        <w:t>SecretarioTécnico</w:t>
      </w:r>
      <w:proofErr w:type="spellEnd"/>
      <w:r>
        <w:rPr>
          <w:rFonts w:ascii="Palatino Linotype" w:eastAsia="Palatino Linotype" w:hAnsi="Palatino Linotype" w:cs="Palatino Linotype"/>
        </w:rPr>
        <w:t xml:space="preserve"> del Comité de Control y Evaluación informó, mediante informe justificado manifestó, que: </w:t>
      </w:r>
      <w:r>
        <w:rPr>
          <w:rFonts w:ascii="Palatino Linotype" w:eastAsia="Palatino Linotype" w:hAnsi="Palatino Linotype" w:cs="Palatino Linotype"/>
          <w:i/>
        </w:rPr>
        <w:t xml:space="preserve">“…se cuenta con el proyecto de los Lineamientos de Integración y Operación del Comité de Control y Evaluación de la </w:t>
      </w:r>
      <w:proofErr w:type="gramStart"/>
      <w:r>
        <w:rPr>
          <w:rFonts w:ascii="Palatino Linotype" w:eastAsia="Palatino Linotype" w:hAnsi="Palatino Linotype" w:cs="Palatino Linotype"/>
          <w:i/>
        </w:rPr>
        <w:t>Fiscalía General</w:t>
      </w:r>
      <w:proofErr w:type="gramEnd"/>
      <w:r>
        <w:rPr>
          <w:rFonts w:ascii="Palatino Linotype" w:eastAsia="Palatino Linotype" w:hAnsi="Palatino Linotype" w:cs="Palatino Linotype"/>
          <w:i/>
        </w:rPr>
        <w:t xml:space="preserve"> de Justicia y el cual será aprobado por todos los integrantes” </w:t>
      </w:r>
    </w:p>
    <w:p w14:paraId="451D55A2" w14:textId="77777777" w:rsidR="00A7334B" w:rsidRDefault="000A1F1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Es de referir que, de la consulta de las Actas entregadas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se advierte discusión o propuesta para la aprobación del Estatuto solicitado; por lo que, al haber existido pronunciamiento del Servidor Público Habilitado competente, del cual se desprende que no cuenta con el </w:t>
      </w:r>
      <w:r>
        <w:rPr>
          <w:rFonts w:ascii="Palatino Linotype" w:eastAsia="Palatino Linotype" w:hAnsi="Palatino Linotype" w:cs="Palatino Linotype"/>
          <w:b/>
        </w:rPr>
        <w:t xml:space="preserve">Estatuto de Operación del Comité de Control y Evaluación. </w:t>
      </w:r>
      <w:r>
        <w:rPr>
          <w:rFonts w:ascii="Palatino Linotype" w:eastAsia="Palatino Linotype" w:hAnsi="Palatino Linotype" w:cs="Palatino Linotype"/>
        </w:rPr>
        <w:t xml:space="preserve">El Pleno de este Instituto determina dable ordenar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emitir una declaratoria formal de la inexistencia de la información, en términos de lo que señalan los artículos 19, tercer párrafo, 49, fracciones II y XIII; 169 y 170 de la Ley de Transparencia y Acceso a la Información Pública del Estado de México y Municipios, que se leen como sigue:</w:t>
      </w:r>
    </w:p>
    <w:p w14:paraId="116AFDDF" w14:textId="77777777" w:rsidR="00A7334B" w:rsidRDefault="000A1F1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 xml:space="preserve"> (…)</w:t>
      </w:r>
    </w:p>
    <w:p w14:paraId="509A1B91" w14:textId="77777777" w:rsidR="00A7334B" w:rsidRDefault="000A1F1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Pr>
          <w:rFonts w:ascii="Palatino Linotype" w:eastAsia="Palatino Linotype" w:hAnsi="Palatino Linotype" w:cs="Palatino Linotype"/>
          <w:i/>
          <w:sz w:val="22"/>
          <w:szCs w:val="22"/>
        </w:rPr>
        <w:t>, debidamente fundado y motivado, en el que detalle las razones del por qué no obra en sus archivos.”</w:t>
      </w:r>
    </w:p>
    <w:p w14:paraId="4320756C" w14:textId="77777777" w:rsidR="00A7334B" w:rsidRDefault="000A1F1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atribuciones</w:t>
      </w:r>
      <w:r>
        <w:rPr>
          <w:rFonts w:ascii="Palatino Linotype" w:eastAsia="Palatino Linotype" w:hAnsi="Palatino Linotype" w:cs="Palatino Linotype"/>
          <w:i/>
          <w:sz w:val="22"/>
          <w:szCs w:val="22"/>
        </w:rPr>
        <w:t>:</w:t>
      </w:r>
    </w:p>
    <w:p w14:paraId="4F4591B7" w14:textId="77777777" w:rsidR="00A7334B" w:rsidRDefault="000A1F1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Confirmar, modificar o revocar las determinaciones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materia de</w:t>
      </w:r>
      <w:r>
        <w:rPr>
          <w:rFonts w:ascii="Palatino Linotype" w:eastAsia="Palatino Linotype" w:hAnsi="Palatino Linotype" w:cs="Palatino Linotype"/>
          <w:i/>
          <w:sz w:val="22"/>
          <w:szCs w:val="22"/>
        </w:rPr>
        <w:t xml:space="preserve"> ampliación del plazo de respuesta, clasificación de la información y </w:t>
      </w:r>
      <w:r>
        <w:rPr>
          <w:rFonts w:ascii="Palatino Linotype" w:eastAsia="Palatino Linotype" w:hAnsi="Palatino Linotype" w:cs="Palatino Linotype"/>
          <w:b/>
          <w:i/>
          <w:sz w:val="22"/>
          <w:szCs w:val="22"/>
        </w:rPr>
        <w:t>declaración de inexistencia</w:t>
      </w:r>
      <w:r>
        <w:rPr>
          <w:rFonts w:ascii="Palatino Linotype" w:eastAsia="Palatino Linotype" w:hAnsi="Palatino Linotype" w:cs="Palatino Linotype"/>
          <w:i/>
          <w:sz w:val="22"/>
          <w:szCs w:val="22"/>
        </w:rPr>
        <w:t xml:space="preserve"> o de incompetencia realicen los titulares de las áreas de los sujetos obligados;</w:t>
      </w:r>
    </w:p>
    <w:p w14:paraId="3AF3FF62" w14:textId="77777777" w:rsidR="00A7334B" w:rsidRDefault="000A1F1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Dictaminar las declaratorias de inexistencia de la información</w:t>
      </w:r>
      <w:r>
        <w:rPr>
          <w:rFonts w:ascii="Palatino Linotype" w:eastAsia="Palatino Linotype" w:hAnsi="Palatino Linotype" w:cs="Palatino Linotype"/>
          <w:i/>
          <w:sz w:val="22"/>
          <w:szCs w:val="22"/>
        </w:rPr>
        <w:t xml:space="preserve"> que les remitan las unidades administrativas y resolver en consecuencia…”</w:t>
      </w:r>
    </w:p>
    <w:p w14:paraId="3D992DA4" w14:textId="77777777" w:rsidR="00A7334B" w:rsidRDefault="000A1F1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la información no se encuentre en los archivos del sujeto obligado, el Comité de Transparencia</w:t>
      </w:r>
      <w:r>
        <w:rPr>
          <w:rFonts w:ascii="Palatino Linotype" w:eastAsia="Palatino Linotype" w:hAnsi="Palatino Linotype" w:cs="Palatino Linotype"/>
          <w:i/>
          <w:sz w:val="22"/>
          <w:szCs w:val="22"/>
        </w:rPr>
        <w:t xml:space="preserve">: </w:t>
      </w:r>
    </w:p>
    <w:p w14:paraId="3878BAA7" w14:textId="77777777" w:rsidR="00A7334B" w:rsidRDefault="000A1F1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Analizará el caso y tomará las medidas necesarias para localizar la información; </w:t>
      </w:r>
    </w:p>
    <w:p w14:paraId="0A9D7CDA" w14:textId="77777777" w:rsidR="00A7334B" w:rsidRDefault="000A1F1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Expedirá una resolución que confirme la inexistencia del documento</w:t>
      </w:r>
      <w:r>
        <w:rPr>
          <w:rFonts w:ascii="Palatino Linotype" w:eastAsia="Palatino Linotype" w:hAnsi="Palatino Linotype" w:cs="Palatino Linotype"/>
          <w:i/>
          <w:sz w:val="22"/>
          <w:szCs w:val="22"/>
        </w:rPr>
        <w:t xml:space="preserve">; </w:t>
      </w:r>
    </w:p>
    <w:p w14:paraId="56CB650D" w14:textId="77777777" w:rsidR="00A7334B" w:rsidRDefault="000A1F1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53F083DB" w14:textId="77777777" w:rsidR="00A7334B" w:rsidRDefault="000A1F1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 </w:t>
      </w:r>
    </w:p>
    <w:p w14:paraId="4CFF441F" w14:textId="77777777" w:rsidR="00A7334B" w:rsidRDefault="000A1F1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77E531C0" w14:textId="77777777" w:rsidR="00A7334B" w:rsidRDefault="000A1F1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2EB28072" w14:textId="77777777" w:rsidR="00A7334B" w:rsidRDefault="000A1F1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que permitan al solicitante tener la certeza de que se utilizó un criterio de búsqueda exhaustivo</w:t>
      </w:r>
      <w:r>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10F66C42"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Dicho de otro modo, deberá procederse a la emisión de una resolución que confirme la inexistencia </w:t>
      </w:r>
      <w:r>
        <w:rPr>
          <w:rFonts w:ascii="Palatino Linotype" w:eastAsia="Palatino Linotype" w:hAnsi="Palatino Linotype" w:cs="Palatino Linotype"/>
          <w:b/>
        </w:rPr>
        <w:t>Estatuto de Operación del Comité de Control y Evaluación</w:t>
      </w:r>
      <w:r>
        <w:rPr>
          <w:rFonts w:ascii="Palatino Linotype" w:eastAsia="Palatino Linotype" w:hAnsi="Palatino Linotype" w:cs="Palatino Linotype"/>
        </w:rPr>
        <w:t xml:space="preserve">, por parte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y comprobar la inexistencia de la información.</w:t>
      </w:r>
    </w:p>
    <w:p w14:paraId="58A3E775" w14:textId="77777777" w:rsidR="00A7334B" w:rsidRDefault="000A1F1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22F35849" w14:textId="77777777" w:rsidR="00A7334B" w:rsidRDefault="000A1F10">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“CRITERIO 0004-11 </w:t>
      </w:r>
    </w:p>
    <w:p w14:paraId="6C8EA7C2" w14:textId="77777777" w:rsidR="00A7334B" w:rsidRDefault="000A1F10">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INEXISTENCIA. DECLARATORIA DE LA. ALCANCES Y PROCEDIMIENTOS</w:t>
      </w:r>
      <w:r>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w:t>
      </w:r>
      <w:r>
        <w:rPr>
          <w:rFonts w:ascii="Palatino Linotype" w:eastAsia="Palatino Linotype" w:hAnsi="Palatino Linotype" w:cs="Palatino Linotype"/>
          <w:i/>
          <w:sz w:val="22"/>
          <w:szCs w:val="22"/>
        </w:rPr>
        <w:lastRenderedPageBreak/>
        <w:t xml:space="preserve">Sujeto Obligado y, en general, el de adoptar cualquier otra previsión que considere conducente para tales efectos y velar por la certeza en el derecho de acceso a la información. </w:t>
      </w:r>
    </w:p>
    <w:p w14:paraId="37C6A301" w14:textId="77777777" w:rsidR="00A7334B" w:rsidRDefault="000A1F10">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Bajo el entendido de que dicha búsqueda exhaustiva permitirá dos determinaciones: </w:t>
      </w:r>
    </w:p>
    <w:p w14:paraId="5A683BFF" w14:textId="77777777" w:rsidR="00A7334B" w:rsidRDefault="000A1F10">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1ª)</w:t>
      </w:r>
      <w:r>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6BD28F49" w14:textId="77777777" w:rsidR="00A7334B" w:rsidRDefault="000A1F10">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2ª)</w:t>
      </w:r>
      <w:r>
        <w:rPr>
          <w:rFonts w:ascii="Palatino Linotype" w:eastAsia="Palatino Linotype" w:hAnsi="Palatino Linotype" w:cs="Palatino Linotype"/>
          <w:i/>
          <w:sz w:val="22"/>
          <w:szCs w:val="22"/>
        </w:rPr>
        <w:t xml:space="preserve"> Que no se haya encontrado documento alguno que contenga la información requerida, por lo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 </w:t>
      </w:r>
    </w:p>
    <w:p w14:paraId="07CFC1B5" w14:textId="77777777" w:rsidR="00A7334B" w:rsidRDefault="000A1F10">
      <w:pPr>
        <w:spacing w:before="240" w:after="240"/>
        <w:ind w:left="851"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Pr>
          <w:rFonts w:ascii="Palatino Linotype" w:eastAsia="Palatino Linotype" w:hAnsi="Palatino Linotype" w:cs="Palatino Linotype"/>
          <w:i/>
          <w:sz w:val="22"/>
          <w:szCs w:val="22"/>
        </w:rPr>
        <w:t>aquéllas</w:t>
      </w:r>
      <w:proofErr w:type="gramEnd"/>
      <w:r>
        <w:rPr>
          <w:rFonts w:ascii="Palatino Linotype" w:eastAsia="Palatino Linotype" w:hAnsi="Palatino Linotype" w:cs="Palatino Linotype"/>
          <w:i/>
          <w:sz w:val="22"/>
          <w:szCs w:val="22"/>
        </w:rPr>
        <w:t xml:space="preserve"> circunstancias que se tomaron en cuenta para llegar a determinar que la información requerida no obra en los archivos a cargo.”</w:t>
      </w:r>
    </w:p>
    <w:p w14:paraId="4846FCAB"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de haber generado, administrado o poseído la información </w:t>
      </w:r>
      <w:r>
        <w:rPr>
          <w:rFonts w:ascii="Palatino Linotype" w:eastAsia="Palatino Linotype" w:hAnsi="Palatino Linotype" w:cs="Palatino Linotype"/>
        </w:rPr>
        <w:lastRenderedPageBreak/>
        <w:t>pero en incumplimiento a la norma no lo llevo a cabo. Tal como se lee del criterio que para mayor referencia se transcribe a continuación:</w:t>
      </w:r>
    </w:p>
    <w:p w14:paraId="665803A3" w14:textId="77777777" w:rsidR="00A7334B" w:rsidRDefault="000A1F10">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INEXISTENCIA, CONCEPTO DE, EN MATERIA DE TRANSPARENCIA</w:t>
      </w:r>
      <w:r>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Pr>
          <w:rFonts w:ascii="Palatino Linotype" w:eastAsia="Palatino Linotype" w:hAnsi="Palatino Linotype" w:cs="Palatino Linotype"/>
          <w:b/>
          <w:i/>
          <w:sz w:val="22"/>
          <w:szCs w:val="22"/>
        </w:rPr>
        <w:t>supuestos:</w:t>
      </w:r>
      <w:r>
        <w:rPr>
          <w:rFonts w:ascii="Palatino Linotype" w:eastAsia="Palatino Linotype" w:hAnsi="Palatino Linotype" w:cs="Palatino Linotype"/>
          <w:i/>
          <w:sz w:val="22"/>
          <w:szCs w:val="22"/>
        </w:rPr>
        <w:t xml:space="preserve"> </w:t>
      </w:r>
    </w:p>
    <w:p w14:paraId="5990640C" w14:textId="77777777" w:rsidR="00A7334B" w:rsidRDefault="000A1F10">
      <w:pPr>
        <w:numPr>
          <w:ilvl w:val="0"/>
          <w:numId w:val="2"/>
        </w:numPr>
        <w:pBdr>
          <w:top w:val="nil"/>
          <w:left w:val="nil"/>
          <w:bottom w:val="nil"/>
          <w:right w:val="nil"/>
          <w:between w:val="nil"/>
        </w:pBdr>
        <w:tabs>
          <w:tab w:val="left" w:pos="1276"/>
        </w:tabs>
        <w:spacing w:before="240"/>
        <w:ind w:left="993" w:right="900" w:firstLine="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135B066A" w14:textId="77777777" w:rsidR="00A7334B" w:rsidRDefault="000A1F10">
      <w:pPr>
        <w:numPr>
          <w:ilvl w:val="0"/>
          <w:numId w:val="2"/>
        </w:numPr>
        <w:pBdr>
          <w:top w:val="nil"/>
          <w:left w:val="nil"/>
          <w:bottom w:val="nil"/>
          <w:right w:val="nil"/>
          <w:between w:val="nil"/>
        </w:pBdr>
        <w:tabs>
          <w:tab w:val="left" w:pos="1276"/>
        </w:tabs>
        <w:spacing w:after="240"/>
        <w:ind w:left="993" w:right="900" w:firstLine="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En los casos en que por las atribuciones conferidas al Sujeto Obligado éste debió generar, administrar o poseer la información, pero en incumplimiento a la normatividad respectiva no llevó a cabo ninguna de esas acciones</w:t>
      </w:r>
      <w:r>
        <w:rPr>
          <w:rFonts w:ascii="Palatino Linotype" w:eastAsia="Palatino Linotype" w:hAnsi="Palatino Linotype" w:cs="Palatino Linotype"/>
          <w:b/>
          <w:i/>
          <w:sz w:val="22"/>
          <w:szCs w:val="22"/>
        </w:rPr>
        <w:t xml:space="preserve">. </w:t>
      </w:r>
    </w:p>
    <w:p w14:paraId="2611D31F" w14:textId="77777777" w:rsidR="00A7334B" w:rsidRDefault="000A1F10">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14DD1219"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 instruir una búsqueda exhaustiva a todas y cada una de las áreas administrativas de las que se compone, que permitirá:</w:t>
      </w:r>
    </w:p>
    <w:p w14:paraId="000C07A7" w14:textId="77777777" w:rsidR="00A7334B" w:rsidRDefault="000A1F10">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Que se localice la documentación que contenga la información solicitada. En este caso habrá que señalar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de acuerdo con las disposiciones transcritas, </w:t>
      </w:r>
      <w:r>
        <w:rPr>
          <w:rFonts w:ascii="Palatino Linotype" w:eastAsia="Palatino Linotype" w:hAnsi="Palatino Linotype" w:cs="Palatino Linotype"/>
        </w:rPr>
        <w:lastRenderedPageBreak/>
        <w:t>la información puede obrar en sus archivos ya sea porque la genera, la administra o simplemente la posee.</w:t>
      </w:r>
    </w:p>
    <w:p w14:paraId="688E387B"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actualizarse esta primera hipótesis, la información debe entregarse al </w:t>
      </w:r>
      <w:r>
        <w:rPr>
          <w:rFonts w:ascii="Palatino Linotype" w:eastAsia="Palatino Linotype" w:hAnsi="Palatino Linotype" w:cs="Palatino Linotype"/>
          <w:b/>
          <w:i/>
        </w:rPr>
        <w:t xml:space="preserve">Recurrente </w:t>
      </w:r>
      <w:r>
        <w:rPr>
          <w:rFonts w:ascii="Palatino Linotype" w:eastAsia="Palatino Linotype" w:hAnsi="Palatino Linotype" w:cs="Palatino Linotype"/>
        </w:rPr>
        <w:t>a través del o los documentos fuente.</w:t>
      </w:r>
    </w:p>
    <w:p w14:paraId="3319A3F9" w14:textId="77777777" w:rsidR="00A7334B" w:rsidRDefault="000A1F10">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y a este Pleno.</w:t>
      </w:r>
    </w:p>
    <w:p w14:paraId="79B44E09" w14:textId="77777777" w:rsidR="00A7334B" w:rsidRDefault="000A1F10">
      <w:pPr>
        <w:numPr>
          <w:ilvl w:val="0"/>
          <w:numId w:val="3"/>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rPr>
      </w:pPr>
      <w:r>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1522B385"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las relatadas argumentaciones, se puede afirmar que cuando la información requerida por una persona no exista en los archivos de los Sujetos Obligados; se requiere de un mecanismo para brindar certeza jurídica y a la vez para determinar el tipo y grado de responsabilidad de los servidores públicos que intervienen en el proceso de elaboración de la información. </w:t>
      </w:r>
    </w:p>
    <w:p w14:paraId="6F4DBFB8" w14:textId="77777777" w:rsidR="00A7334B" w:rsidRDefault="000A1F10">
      <w:pPr>
        <w:spacing w:before="240" w:after="240"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Consideraciones, por las que el Pleno de este Instituto determina ordenar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emitir la declaratoria formal de inexistencia en términos de los artículos 19, tercer párrafo, 49, fracciones II y XIII; 169 y 170 de la Ley de Transparencia y Acceso a la Información Pública del Estado de México y Municipios, previamente señalados.</w:t>
      </w:r>
    </w:p>
    <w:p w14:paraId="14C0DDD9" w14:textId="77777777" w:rsidR="00A7334B" w:rsidRDefault="00A7334B">
      <w:pPr>
        <w:tabs>
          <w:tab w:val="left" w:pos="709"/>
        </w:tabs>
        <w:spacing w:before="280" w:after="280" w:line="360" w:lineRule="auto"/>
        <w:jc w:val="both"/>
        <w:rPr>
          <w:rFonts w:ascii="Palatino Linotype" w:eastAsia="Palatino Linotype" w:hAnsi="Palatino Linotype" w:cs="Palatino Linotype"/>
        </w:rPr>
      </w:pPr>
    </w:p>
    <w:p w14:paraId="460B85CE" w14:textId="77777777" w:rsidR="00A7334B" w:rsidRDefault="000A1F10">
      <w:pPr>
        <w:tabs>
          <w:tab w:val="left" w:pos="709"/>
        </w:tabs>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II. De la versión pública de las Sesiones del Comité, Acuerdos del Comité que fomenten un adecuado control interno del Órgano Constitucional Autónomo, </w:t>
      </w:r>
      <w:proofErr w:type="gramStart"/>
      <w:r>
        <w:rPr>
          <w:rFonts w:ascii="Palatino Linotype" w:eastAsia="Palatino Linotype" w:hAnsi="Palatino Linotype" w:cs="Palatino Linotype"/>
          <w:b/>
        </w:rPr>
        <w:t>e  informes</w:t>
      </w:r>
      <w:proofErr w:type="gramEnd"/>
      <w:r>
        <w:rPr>
          <w:rFonts w:ascii="Palatino Linotype" w:eastAsia="Palatino Linotype" w:hAnsi="Palatino Linotype" w:cs="Palatino Linotype"/>
          <w:b/>
        </w:rPr>
        <w:t xml:space="preserve"> de seguimiento a los mismos.  </w:t>
      </w:r>
    </w:p>
    <w:p w14:paraId="4318FD9D" w14:textId="77777777" w:rsidR="00A7334B" w:rsidRDefault="000A1F1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a la información requerida en las fracciones III, IV y VI relativa a</w:t>
      </w:r>
      <w:proofErr w:type="gramStart"/>
      <w:r>
        <w:rPr>
          <w:rFonts w:ascii="Palatino Linotype" w:eastAsia="Palatino Linotype" w:hAnsi="Palatino Linotype" w:cs="Palatino Linotype"/>
        </w:rPr>
        <w:t>:  “</w:t>
      </w:r>
      <w:proofErr w:type="gramEnd"/>
      <w:r>
        <w:rPr>
          <w:rFonts w:ascii="Palatino Linotype" w:eastAsia="Palatino Linotype" w:hAnsi="Palatino Linotype" w:cs="Palatino Linotype"/>
          <w:i/>
          <w:sz w:val="22"/>
          <w:szCs w:val="22"/>
        </w:rPr>
        <w:t xml:space="preserve">III. Versión pública de los </w:t>
      </w:r>
      <w:r>
        <w:rPr>
          <w:rFonts w:ascii="Palatino Linotype" w:eastAsia="Palatino Linotype" w:hAnsi="Palatino Linotype" w:cs="Palatino Linotype"/>
          <w:b/>
          <w:i/>
          <w:sz w:val="22"/>
          <w:szCs w:val="22"/>
        </w:rPr>
        <w:t>Acuerdos del Comité que fomenten un adecuado control interno del Órgano Constitucional Autónomo</w:t>
      </w:r>
      <w:r>
        <w:rPr>
          <w:rFonts w:ascii="Palatino Linotype" w:eastAsia="Palatino Linotype" w:hAnsi="Palatino Linotype" w:cs="Palatino Linotype"/>
          <w:i/>
          <w:sz w:val="22"/>
          <w:szCs w:val="22"/>
        </w:rPr>
        <w:t xml:space="preserve">. IV. Versión pública de </w:t>
      </w:r>
      <w:r>
        <w:rPr>
          <w:rFonts w:ascii="Palatino Linotype" w:eastAsia="Palatino Linotype" w:hAnsi="Palatino Linotype" w:cs="Palatino Linotype"/>
          <w:b/>
          <w:i/>
          <w:sz w:val="22"/>
          <w:szCs w:val="22"/>
        </w:rPr>
        <w:t>Informes de seguimiento a los Acuerdos mencionados</w:t>
      </w:r>
      <w:r>
        <w:rPr>
          <w:rFonts w:ascii="Palatino Linotype" w:eastAsia="Palatino Linotype" w:hAnsi="Palatino Linotype" w:cs="Palatino Linotype"/>
          <w:i/>
          <w:sz w:val="22"/>
          <w:szCs w:val="22"/>
        </w:rPr>
        <w:t xml:space="preserve">… VI. Versión pública de las </w:t>
      </w:r>
      <w:r>
        <w:rPr>
          <w:rFonts w:ascii="Palatino Linotype" w:eastAsia="Palatino Linotype" w:hAnsi="Palatino Linotype" w:cs="Palatino Linotype"/>
          <w:b/>
          <w:i/>
          <w:sz w:val="22"/>
          <w:szCs w:val="22"/>
        </w:rPr>
        <w:t xml:space="preserve">sesiones del Comité”; </w:t>
      </w:r>
      <w:r>
        <w:rPr>
          <w:rFonts w:ascii="Palatino Linotype" w:eastAsia="Palatino Linotype" w:hAnsi="Palatino Linotype" w:cs="Palatino Linotype"/>
          <w:sz w:val="22"/>
          <w:szCs w:val="22"/>
        </w:rPr>
        <w:t xml:space="preserve">el numeral QUINTO del Acuerdo número 25/2017 por el que se Crea el Comité de Control y Evaluación de la </w:t>
      </w:r>
      <w:proofErr w:type="gramStart"/>
      <w:r>
        <w:rPr>
          <w:rFonts w:ascii="Palatino Linotype" w:eastAsia="Palatino Linotype" w:hAnsi="Palatino Linotype" w:cs="Palatino Linotype"/>
          <w:sz w:val="22"/>
          <w:szCs w:val="22"/>
        </w:rPr>
        <w:t>Fiscalía General</w:t>
      </w:r>
      <w:proofErr w:type="gramEnd"/>
      <w:r>
        <w:rPr>
          <w:rFonts w:ascii="Palatino Linotype" w:eastAsia="Palatino Linotype" w:hAnsi="Palatino Linotype" w:cs="Palatino Linotype"/>
          <w:sz w:val="22"/>
          <w:szCs w:val="22"/>
        </w:rPr>
        <w:t xml:space="preserve"> de Justicia del Estado de México establece. </w:t>
      </w:r>
    </w:p>
    <w:p w14:paraId="30C63858" w14:textId="77777777" w:rsidR="00A7334B" w:rsidRDefault="000A1F10">
      <w:pPr>
        <w:tabs>
          <w:tab w:val="left" w:pos="709"/>
        </w:tabs>
        <w:spacing w:before="280" w:after="280" w:line="276" w:lineRule="auto"/>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“Atribuciones </w:t>
      </w:r>
    </w:p>
    <w:p w14:paraId="3F6C464F" w14:textId="77777777" w:rsidR="00A7334B" w:rsidRDefault="000A1F10">
      <w:pPr>
        <w:tabs>
          <w:tab w:val="left" w:pos="709"/>
        </w:tabs>
        <w:spacing w:before="280" w:after="280" w:line="276" w:lineRule="auto"/>
        <w:ind w:left="850" w:right="901"/>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i/>
          <w:sz w:val="22"/>
          <w:szCs w:val="22"/>
        </w:rPr>
        <w:t>QUINTO.-</w:t>
      </w:r>
      <w:proofErr w:type="gramEnd"/>
      <w:r>
        <w:rPr>
          <w:rFonts w:ascii="Palatino Linotype" w:eastAsia="Palatino Linotype" w:hAnsi="Palatino Linotype" w:cs="Palatino Linotype"/>
          <w:i/>
          <w:sz w:val="22"/>
          <w:szCs w:val="22"/>
        </w:rPr>
        <w:t xml:space="preserve"> Para el cumplimiento de su objeto, el COCOE tendrá las siguientes atribuciones y obligaciones:</w:t>
      </w:r>
    </w:p>
    <w:p w14:paraId="37D22356" w14:textId="77777777" w:rsidR="00A7334B" w:rsidRDefault="000A1F10">
      <w:pPr>
        <w:tabs>
          <w:tab w:val="left" w:pos="709"/>
        </w:tabs>
        <w:spacing w:before="280" w:after="280" w:line="276" w:lineRule="auto"/>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Promover la eficiencia, eficacia y congruencia en la </w:t>
      </w:r>
      <w:proofErr w:type="gramStart"/>
      <w:r>
        <w:rPr>
          <w:rFonts w:ascii="Palatino Linotype" w:eastAsia="Palatino Linotype" w:hAnsi="Palatino Linotype" w:cs="Palatino Linotype"/>
          <w:i/>
          <w:sz w:val="22"/>
          <w:szCs w:val="22"/>
        </w:rPr>
        <w:t>Fiscalía General</w:t>
      </w:r>
      <w:proofErr w:type="gramEnd"/>
      <w:r>
        <w:rPr>
          <w:rFonts w:ascii="Palatino Linotype" w:eastAsia="Palatino Linotype" w:hAnsi="Palatino Linotype" w:cs="Palatino Linotype"/>
          <w:i/>
          <w:sz w:val="22"/>
          <w:szCs w:val="22"/>
        </w:rPr>
        <w:t>, a través de acuerdos que fomenten un adecuado control interno;</w:t>
      </w:r>
    </w:p>
    <w:p w14:paraId="13A25D88" w14:textId="77777777" w:rsidR="00A7334B" w:rsidRDefault="000A1F10">
      <w:pPr>
        <w:tabs>
          <w:tab w:val="left" w:pos="709"/>
        </w:tabs>
        <w:spacing w:before="280" w:after="280" w:line="276" w:lineRule="auto"/>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Mantener el seguimiento de acuerdos sobre asuntos de control adoptados por el </w:t>
      </w:r>
      <w:proofErr w:type="gramStart"/>
      <w:r>
        <w:rPr>
          <w:rFonts w:ascii="Palatino Linotype" w:eastAsia="Palatino Linotype" w:hAnsi="Palatino Linotype" w:cs="Palatino Linotype"/>
          <w:i/>
          <w:sz w:val="22"/>
          <w:szCs w:val="22"/>
        </w:rPr>
        <w:t>Fiscal General</w:t>
      </w:r>
      <w:proofErr w:type="gramEnd"/>
      <w:r>
        <w:rPr>
          <w:rFonts w:ascii="Palatino Linotype" w:eastAsia="Palatino Linotype" w:hAnsi="Palatino Linotype" w:cs="Palatino Linotype"/>
          <w:i/>
          <w:sz w:val="22"/>
          <w:szCs w:val="22"/>
        </w:rPr>
        <w:t xml:space="preserve"> o las autoridades competentes y demás, que de éstos se deriven;”</w:t>
      </w:r>
    </w:p>
    <w:p w14:paraId="56EAE23A" w14:textId="77777777" w:rsidR="00A7334B" w:rsidRDefault="000A1F10">
      <w:pPr>
        <w:tabs>
          <w:tab w:val="left" w:pos="709"/>
        </w:tabs>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Disposición normativa que establece como atribución del Comité de Control y </w:t>
      </w:r>
      <w:proofErr w:type="gramStart"/>
      <w:r>
        <w:rPr>
          <w:rFonts w:ascii="Palatino Linotype" w:eastAsia="Palatino Linotype" w:hAnsi="Palatino Linotype" w:cs="Palatino Linotype"/>
        </w:rPr>
        <w:t>Evaluación  la</w:t>
      </w:r>
      <w:proofErr w:type="gramEnd"/>
      <w:r>
        <w:rPr>
          <w:rFonts w:ascii="Palatino Linotype" w:eastAsia="Palatino Linotype" w:hAnsi="Palatino Linotype" w:cs="Palatino Linotype"/>
        </w:rPr>
        <w:t xml:space="preserve"> realización de acuerdos que fomenten el adecuado control interno en la Fiscalía; del mismo, por cuanto hace a la celebración de sesiones del Comité, el multicitado Acuerdo 25/2017 establece: </w:t>
      </w:r>
    </w:p>
    <w:p w14:paraId="0BF5B147" w14:textId="77777777" w:rsidR="00A7334B" w:rsidRDefault="00A7334B">
      <w:pPr>
        <w:tabs>
          <w:tab w:val="left" w:pos="709"/>
        </w:tabs>
        <w:spacing w:before="280" w:after="280" w:line="276" w:lineRule="auto"/>
        <w:ind w:left="851" w:right="616"/>
        <w:jc w:val="both"/>
        <w:rPr>
          <w:rFonts w:ascii="Palatino Linotype" w:eastAsia="Palatino Linotype" w:hAnsi="Palatino Linotype" w:cs="Palatino Linotype"/>
          <w:i/>
          <w:sz w:val="22"/>
          <w:szCs w:val="22"/>
        </w:rPr>
      </w:pPr>
    </w:p>
    <w:p w14:paraId="6B9E9AFA" w14:textId="77777777" w:rsidR="00A7334B" w:rsidRDefault="00A7334B">
      <w:pPr>
        <w:tabs>
          <w:tab w:val="left" w:pos="709"/>
        </w:tabs>
        <w:spacing w:before="280" w:after="280" w:line="276" w:lineRule="auto"/>
        <w:ind w:left="851" w:right="616"/>
        <w:jc w:val="both"/>
        <w:rPr>
          <w:rFonts w:ascii="Palatino Linotype" w:eastAsia="Palatino Linotype" w:hAnsi="Palatino Linotype" w:cs="Palatino Linotype"/>
          <w:i/>
          <w:sz w:val="22"/>
          <w:szCs w:val="22"/>
        </w:rPr>
      </w:pPr>
    </w:p>
    <w:p w14:paraId="3EAC4CC6" w14:textId="77777777" w:rsidR="00A7334B" w:rsidRDefault="000A1F10">
      <w:pPr>
        <w:tabs>
          <w:tab w:val="left" w:pos="709"/>
        </w:tabs>
        <w:spacing w:before="280" w:after="280"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Sesiones </w:t>
      </w:r>
    </w:p>
    <w:p w14:paraId="730A2DC1" w14:textId="77777777" w:rsidR="00A7334B" w:rsidRDefault="000A1F10">
      <w:pPr>
        <w:tabs>
          <w:tab w:val="left" w:pos="709"/>
        </w:tabs>
        <w:spacing w:before="280" w:after="280" w:line="276" w:lineRule="auto"/>
        <w:ind w:left="851" w:right="616"/>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b/>
          <w:i/>
          <w:sz w:val="22"/>
          <w:szCs w:val="22"/>
          <w:u w:val="single"/>
        </w:rPr>
        <w:t>SEXTO</w:t>
      </w:r>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El COCOE deberá sesionar </w:t>
      </w:r>
      <w:r>
        <w:rPr>
          <w:rFonts w:ascii="Palatino Linotype" w:eastAsia="Palatino Linotype" w:hAnsi="Palatino Linotype" w:cs="Palatino Linotype"/>
          <w:b/>
          <w:i/>
          <w:sz w:val="22"/>
          <w:szCs w:val="22"/>
          <w:u w:val="single"/>
        </w:rPr>
        <w:t>tres veces por año en forma ordinaria</w:t>
      </w:r>
      <w:r>
        <w:rPr>
          <w:rFonts w:ascii="Palatino Linotype" w:eastAsia="Palatino Linotype" w:hAnsi="Palatino Linotype" w:cs="Palatino Linotype"/>
          <w:i/>
          <w:sz w:val="22"/>
          <w:szCs w:val="22"/>
        </w:rPr>
        <w:t xml:space="preserve"> y podrá convocar a sesiones extraordinarias cuando lo juzgue necesario.</w:t>
      </w:r>
    </w:p>
    <w:p w14:paraId="688A3F8B" w14:textId="77777777" w:rsidR="00A7334B" w:rsidRDefault="000A1F10">
      <w:pPr>
        <w:tabs>
          <w:tab w:val="left" w:pos="709"/>
        </w:tabs>
        <w:spacing w:before="280" w:after="28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El COCOE podrá sesionar válidamente con la presencia del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el Secretario Técnico y cuando menos 6 vocales. </w:t>
      </w:r>
    </w:p>
    <w:p w14:paraId="1AB4B035" w14:textId="77777777" w:rsidR="00A7334B" w:rsidRDefault="000A1F10">
      <w:pPr>
        <w:tabs>
          <w:tab w:val="left" w:pos="709"/>
        </w:tabs>
        <w:spacing w:before="280" w:after="28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acuerdos del COCOE se tomarán por mayoría y, en caso de empate, el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tendrá voto de calidad. Sin perjuicio de las atribuciones que en la materia correspondan, el </w:t>
      </w:r>
      <w:proofErr w:type="gramStart"/>
      <w:r>
        <w:rPr>
          <w:rFonts w:ascii="Palatino Linotype" w:eastAsia="Palatino Linotype" w:hAnsi="Palatino Linotype" w:cs="Palatino Linotype"/>
          <w:i/>
          <w:sz w:val="22"/>
          <w:szCs w:val="22"/>
        </w:rPr>
        <w:t>Fiscal General</w:t>
      </w:r>
      <w:proofErr w:type="gramEnd"/>
      <w:r>
        <w:rPr>
          <w:rFonts w:ascii="Palatino Linotype" w:eastAsia="Palatino Linotype" w:hAnsi="Palatino Linotype" w:cs="Palatino Linotype"/>
          <w:i/>
          <w:sz w:val="22"/>
          <w:szCs w:val="22"/>
        </w:rPr>
        <w:t xml:space="preserve"> de Justicia del Estado de México podrá modificar las decisiones del COCOE, dada su calidad como superior jerárquico de la Institución. </w:t>
      </w:r>
    </w:p>
    <w:p w14:paraId="20D8ACA2" w14:textId="77777777" w:rsidR="00A7334B" w:rsidRDefault="000A1F10">
      <w:pPr>
        <w:tabs>
          <w:tab w:val="left" w:pos="709"/>
        </w:tabs>
        <w:spacing w:before="280" w:after="28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sesiones del COCOE se clasifican en: </w:t>
      </w:r>
    </w:p>
    <w:p w14:paraId="3363925A" w14:textId="77777777" w:rsidR="00A7334B" w:rsidRDefault="000A1F10">
      <w:pPr>
        <w:tabs>
          <w:tab w:val="left" w:pos="709"/>
        </w:tabs>
        <w:spacing w:before="280" w:after="28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rPr>
        <w:t>Ordinarias, según calendario aprobado</w:t>
      </w:r>
      <w:r>
        <w:rPr>
          <w:rFonts w:ascii="Palatino Linotype" w:eastAsia="Palatino Linotype" w:hAnsi="Palatino Linotype" w:cs="Palatino Linotype"/>
          <w:i/>
          <w:sz w:val="22"/>
          <w:szCs w:val="22"/>
        </w:rPr>
        <w:t xml:space="preserve">, o </w:t>
      </w:r>
    </w:p>
    <w:p w14:paraId="0DF255D3" w14:textId="77777777" w:rsidR="00A7334B" w:rsidRDefault="000A1F10">
      <w:pPr>
        <w:tabs>
          <w:tab w:val="left" w:pos="709"/>
        </w:tabs>
        <w:spacing w:before="280" w:after="28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Extraordinarias</w:t>
      </w:r>
      <w:r>
        <w:rPr>
          <w:rFonts w:ascii="Palatino Linotype" w:eastAsia="Palatino Linotype" w:hAnsi="Palatino Linotype" w:cs="Palatino Linotype"/>
          <w:i/>
          <w:sz w:val="22"/>
          <w:szCs w:val="22"/>
        </w:rPr>
        <w:t xml:space="preserve">, éstas se celebrarán previa convocatoria, con por lo menos 24 horas de anticipación, que elabore el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y/o el Secretario Técnico, bajo los siguientes supuestos: </w:t>
      </w:r>
    </w:p>
    <w:p w14:paraId="24D32BF0" w14:textId="77777777" w:rsidR="00A7334B" w:rsidRDefault="000A1F10">
      <w:pPr>
        <w:tabs>
          <w:tab w:val="left" w:pos="709"/>
        </w:tabs>
        <w:spacing w:before="280" w:after="28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Cuando se trate de casos justificados, que requieran la intervención inaplazable del </w:t>
      </w:r>
      <w:proofErr w:type="gramStart"/>
      <w:r>
        <w:rPr>
          <w:rFonts w:ascii="Palatino Linotype" w:eastAsia="Palatino Linotype" w:hAnsi="Palatino Linotype" w:cs="Palatino Linotype"/>
          <w:i/>
          <w:sz w:val="22"/>
          <w:szCs w:val="22"/>
        </w:rPr>
        <w:t>COCOE ,</w:t>
      </w:r>
      <w:proofErr w:type="gramEnd"/>
      <w:r>
        <w:rPr>
          <w:rFonts w:ascii="Palatino Linotype" w:eastAsia="Palatino Linotype" w:hAnsi="Palatino Linotype" w:cs="Palatino Linotype"/>
          <w:i/>
          <w:sz w:val="22"/>
          <w:szCs w:val="22"/>
        </w:rPr>
        <w:t xml:space="preserve"> o </w:t>
      </w:r>
    </w:p>
    <w:p w14:paraId="54495713" w14:textId="77777777" w:rsidR="00A7334B" w:rsidRDefault="000A1F10">
      <w:pPr>
        <w:tabs>
          <w:tab w:val="left" w:pos="709"/>
        </w:tabs>
        <w:spacing w:before="280" w:after="28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A petición de cualquiera de sus integrantes.”</w:t>
      </w:r>
    </w:p>
    <w:p w14:paraId="1C9E5948" w14:textId="77777777" w:rsidR="00A7334B" w:rsidRDefault="000A1F10">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esta misma tesitura, es de subrayar que el derecho de acceso a la información pública, consiste en que la información solicitada conste en un soporte documental en cualquiera de sus formas, a saber: expedientes, reportes, estudios, </w:t>
      </w:r>
      <w:r>
        <w:rPr>
          <w:rFonts w:ascii="Palatino Linotype" w:eastAsia="Palatino Linotype" w:hAnsi="Palatino Linotype" w:cs="Palatino Linotype"/>
          <w:b/>
          <w:u w:val="single"/>
        </w:rPr>
        <w:t>actas,</w:t>
      </w:r>
      <w:r>
        <w:rPr>
          <w:rFonts w:ascii="Palatino Linotype" w:eastAsia="Palatino Linotype" w:hAnsi="Palatino Linotype" w:cs="Palatino Linotype"/>
        </w:rPr>
        <w:t xml:space="preserve"> resoluciones, oficios, correspondencia, </w:t>
      </w:r>
      <w:r>
        <w:rPr>
          <w:rFonts w:ascii="Palatino Linotype" w:eastAsia="Palatino Linotype" w:hAnsi="Palatino Linotype" w:cs="Palatino Linotype"/>
          <w:b/>
          <w:u w:val="single"/>
        </w:rPr>
        <w:t>acuerdos,</w:t>
      </w:r>
      <w:r>
        <w:rPr>
          <w:rFonts w:ascii="Palatino Linotype" w:eastAsia="Palatino Linotype" w:hAnsi="Palatino Linotype" w:cs="Palatino Linotype"/>
        </w:rPr>
        <w:t xml:space="preserve"> directivas, directrices, circulares, contratos, convenios, instructivos, notas, memorandos, estadísticas o bien, cualquier otro registro que documente el ejercicio de las facultades, funciones y competencias de los sujetos obligados; los que podrán estar en cualquier medio, sea escrito, </w:t>
      </w:r>
      <w:r>
        <w:rPr>
          <w:rFonts w:ascii="Palatino Linotype" w:eastAsia="Palatino Linotype" w:hAnsi="Palatino Linotype" w:cs="Palatino Linotype"/>
        </w:rPr>
        <w:lastRenderedPageBreak/>
        <w:t xml:space="preserve">impreso, sonoro, visual, electrónico, informático u holográfico, de conformidad con el artículo 3, fracción XI de la Ley de la materia, el cual dispone lo siguiente: </w:t>
      </w:r>
    </w:p>
    <w:p w14:paraId="01D3EFC9" w14:textId="77777777" w:rsidR="00A7334B" w:rsidRDefault="000A1F10">
      <w:pPr>
        <w:widowControl w:val="0"/>
        <w:spacing w:before="280" w:after="280" w:line="276" w:lineRule="auto"/>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3AA29037" w14:textId="77777777" w:rsidR="00A7334B" w:rsidRDefault="000A1F10">
      <w:pPr>
        <w:widowControl w:val="0"/>
        <w:spacing w:before="280" w:after="280" w:line="276" w:lineRule="auto"/>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w:t>
      </w:r>
      <w:r>
        <w:rPr>
          <w:rFonts w:ascii="Palatino Linotype" w:eastAsia="Palatino Linotype" w:hAnsi="Palatino Linotype" w:cs="Palatino Linotype"/>
          <w:b/>
          <w:i/>
          <w:sz w:val="22"/>
          <w:szCs w:val="22"/>
        </w:rPr>
        <w:t>Documento</w:t>
      </w:r>
      <w:r>
        <w:rPr>
          <w:rFonts w:ascii="Palatino Linotype" w:eastAsia="Palatino Linotype" w:hAnsi="Palatino Linotype" w:cs="Palatino Linotype"/>
          <w:i/>
          <w:sz w:val="22"/>
          <w:szCs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9836F8B" w14:textId="77777777" w:rsidR="00A7334B" w:rsidRDefault="000A1F10">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125ADEA5" w14:textId="77777777" w:rsidR="00A7334B" w:rsidRDefault="000A1F10">
      <w:pPr>
        <w:widowControl w:val="0"/>
        <w:spacing w:before="280" w:after="280"/>
        <w:ind w:left="850" w:right="901"/>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“CRITERIO 0002-11</w:t>
      </w:r>
    </w:p>
    <w:p w14:paraId="431C2DCB" w14:textId="77777777" w:rsidR="00A7334B" w:rsidRDefault="000A1F10">
      <w:pPr>
        <w:widowControl w:val="0"/>
        <w:spacing w:before="280" w:after="28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B159406" w14:textId="77777777" w:rsidR="00A7334B" w:rsidRDefault="000A1F10">
      <w:pPr>
        <w:widowControl w:val="0"/>
        <w:spacing w:before="280" w:after="28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5DC6465" w14:textId="77777777" w:rsidR="00A7334B" w:rsidRDefault="000A1F10">
      <w:pPr>
        <w:widowControl w:val="0"/>
        <w:spacing w:before="280" w:after="28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que </w:t>
      </w:r>
      <w:r>
        <w:rPr>
          <w:rFonts w:ascii="Palatino Linotype" w:eastAsia="Palatino Linotype" w:hAnsi="Palatino Linotype" w:cs="Palatino Linotype"/>
          <w:i/>
          <w:sz w:val="22"/>
          <w:szCs w:val="22"/>
        </w:rPr>
        <w:lastRenderedPageBreak/>
        <w:t xml:space="preserve">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w:t>
      </w:r>
    </w:p>
    <w:p w14:paraId="23047C11" w14:textId="77777777" w:rsidR="00A7334B" w:rsidRDefault="000A1F1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sobre los puntos que se analizan, mediante informe justificado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respondió: </w:t>
      </w:r>
    </w:p>
    <w:p w14:paraId="7E1857F0" w14:textId="77777777" w:rsidR="00A7334B" w:rsidRDefault="000A1F1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noProof/>
        </w:rPr>
        <w:drawing>
          <wp:inline distT="0" distB="0" distL="0" distR="0" wp14:anchorId="4ADFE5DB" wp14:editId="0A81D210">
            <wp:extent cx="5612527" cy="1984476"/>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b="60809"/>
                    <a:stretch>
                      <a:fillRect/>
                    </a:stretch>
                  </pic:blipFill>
                  <pic:spPr>
                    <a:xfrm>
                      <a:off x="0" y="0"/>
                      <a:ext cx="5612527" cy="1984476"/>
                    </a:xfrm>
                    <a:prstGeom prst="rect">
                      <a:avLst/>
                    </a:prstGeom>
                    <a:ln/>
                  </pic:spPr>
                </pic:pic>
              </a:graphicData>
            </a:graphic>
          </wp:inline>
        </w:drawing>
      </w:r>
    </w:p>
    <w:p w14:paraId="06F28222" w14:textId="77777777" w:rsidR="00A7334B" w:rsidRDefault="000A1F1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noProof/>
        </w:rPr>
        <w:drawing>
          <wp:inline distT="0" distB="0" distL="0" distR="0" wp14:anchorId="31645893" wp14:editId="71A6D20C">
            <wp:extent cx="5766155" cy="2027012"/>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t="40831" b="11324"/>
                    <a:stretch>
                      <a:fillRect/>
                    </a:stretch>
                  </pic:blipFill>
                  <pic:spPr>
                    <a:xfrm>
                      <a:off x="0" y="0"/>
                      <a:ext cx="5766155" cy="2027012"/>
                    </a:xfrm>
                    <a:prstGeom prst="rect">
                      <a:avLst/>
                    </a:prstGeom>
                    <a:ln/>
                  </pic:spPr>
                </pic:pic>
              </a:graphicData>
            </a:graphic>
          </wp:inline>
        </w:drawing>
      </w:r>
    </w:p>
    <w:p w14:paraId="20771437" w14:textId="77777777" w:rsidR="00A7334B" w:rsidRDefault="000A1F1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Pronunciamiento del que se desprende que únicamente se generaron actas en los años 2017, 2018, 2019 y 2020, por lo que este Órgano Garante analizará las </w:t>
      </w:r>
      <w:r>
        <w:rPr>
          <w:rFonts w:ascii="Palatino Linotype" w:eastAsia="Palatino Linotype" w:hAnsi="Palatino Linotype" w:cs="Palatino Linotype"/>
        </w:rPr>
        <w:lastRenderedPageBreak/>
        <w:t xml:space="preserve">documentales que se anexaron, teniendo como colmado el pronunciamiento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respecto a que se no celebraron actas de los años 2021 y 2022.</w:t>
      </w:r>
    </w:p>
    <w:p w14:paraId="134F4EDC" w14:textId="77777777" w:rsidR="00A7334B" w:rsidRDefault="000A1F1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el archivo denominado “</w:t>
      </w:r>
      <w:r>
        <w:rPr>
          <w:rFonts w:ascii="Palatino Linotype" w:eastAsia="Palatino Linotype" w:hAnsi="Palatino Linotype" w:cs="Palatino Linotype"/>
          <w:b/>
          <w:i/>
        </w:rPr>
        <w:t xml:space="preserve">ACTAS COCOE_2023_03_13_12_07_11_102.pdf” </w:t>
      </w:r>
      <w:r>
        <w:rPr>
          <w:rFonts w:ascii="Palatino Linotype" w:eastAsia="Palatino Linotype" w:hAnsi="Palatino Linotype" w:cs="Palatino Linotype"/>
        </w:rPr>
        <w:t xml:space="preserve">cuyo contenido </w:t>
      </w:r>
      <w:proofErr w:type="spellStart"/>
      <w:r>
        <w:rPr>
          <w:rFonts w:ascii="Palatino Linotype" w:eastAsia="Palatino Linotype" w:hAnsi="Palatino Linotype" w:cs="Palatino Linotype"/>
        </w:rPr>
        <w:t>esta</w:t>
      </w:r>
      <w:proofErr w:type="spellEnd"/>
      <w:r>
        <w:rPr>
          <w:rFonts w:ascii="Palatino Linotype" w:eastAsia="Palatino Linotype" w:hAnsi="Palatino Linotype" w:cs="Palatino Linotype"/>
        </w:rPr>
        <w:t xml:space="preserve"> integrado por 76 páginas en el que se advierte la versión pública de las actas referidas en informe justificado, y de las cuales se inserta la primera página de las mismas, para mayor referencia. </w:t>
      </w:r>
    </w:p>
    <w:p w14:paraId="64910F55" w14:textId="77777777" w:rsidR="00A7334B" w:rsidRDefault="000A1F1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27D4FD9D" wp14:editId="31122F33">
            <wp:extent cx="5563376" cy="4563112"/>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563376" cy="4563112"/>
                    </a:xfrm>
                    <a:prstGeom prst="rect">
                      <a:avLst/>
                    </a:prstGeom>
                    <a:ln/>
                  </pic:spPr>
                </pic:pic>
              </a:graphicData>
            </a:graphic>
          </wp:inline>
        </w:drawing>
      </w:r>
    </w:p>
    <w:p w14:paraId="2C061FAC" w14:textId="77777777" w:rsidR="00A7334B" w:rsidRDefault="000A1F10">
      <w:pPr>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b/>
          <w:noProof/>
        </w:rPr>
        <w:lastRenderedPageBreak/>
        <w:drawing>
          <wp:inline distT="0" distB="0" distL="0" distR="0" wp14:anchorId="21A99617" wp14:editId="01EFACAD">
            <wp:extent cx="5612130" cy="3148965"/>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612130" cy="3148965"/>
                    </a:xfrm>
                    <a:prstGeom prst="rect">
                      <a:avLst/>
                    </a:prstGeom>
                    <a:ln/>
                  </pic:spPr>
                </pic:pic>
              </a:graphicData>
            </a:graphic>
          </wp:inline>
        </w:drawing>
      </w:r>
    </w:p>
    <w:p w14:paraId="01F9E3A1" w14:textId="77777777" w:rsidR="00A7334B" w:rsidRDefault="000A1F1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2C024CA" wp14:editId="00503F38">
            <wp:extent cx="5612130" cy="2860675"/>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612130" cy="2860675"/>
                    </a:xfrm>
                    <a:prstGeom prst="rect">
                      <a:avLst/>
                    </a:prstGeom>
                    <a:ln/>
                  </pic:spPr>
                </pic:pic>
              </a:graphicData>
            </a:graphic>
          </wp:inline>
        </w:drawing>
      </w:r>
    </w:p>
    <w:p w14:paraId="6A9E384E" w14:textId="77777777" w:rsidR="00A7334B" w:rsidRDefault="000A1F1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2195E5B1" wp14:editId="0E998070">
            <wp:extent cx="5612130" cy="160845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612130" cy="1608455"/>
                    </a:xfrm>
                    <a:prstGeom prst="rect">
                      <a:avLst/>
                    </a:prstGeom>
                    <a:ln/>
                  </pic:spPr>
                </pic:pic>
              </a:graphicData>
            </a:graphic>
          </wp:inline>
        </w:drawing>
      </w:r>
    </w:p>
    <w:p w14:paraId="52E2F79B" w14:textId="77777777" w:rsidR="00A7334B" w:rsidRDefault="00A7334B">
      <w:pPr>
        <w:spacing w:before="280" w:after="280" w:line="360" w:lineRule="auto"/>
        <w:jc w:val="both"/>
        <w:rPr>
          <w:rFonts w:ascii="Palatino Linotype" w:eastAsia="Palatino Linotype" w:hAnsi="Palatino Linotype" w:cs="Palatino Linotype"/>
        </w:rPr>
      </w:pPr>
    </w:p>
    <w:p w14:paraId="6841DC08" w14:textId="77777777" w:rsidR="00A7334B" w:rsidRDefault="000A1F1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31E0EEFA" wp14:editId="1D3CBFB2">
            <wp:extent cx="5612130" cy="268351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612130" cy="2683510"/>
                    </a:xfrm>
                    <a:prstGeom prst="rect">
                      <a:avLst/>
                    </a:prstGeom>
                    <a:ln/>
                  </pic:spPr>
                </pic:pic>
              </a:graphicData>
            </a:graphic>
          </wp:inline>
        </w:drawing>
      </w:r>
    </w:p>
    <w:p w14:paraId="41A3203C" w14:textId="77777777" w:rsidR="00A7334B" w:rsidRDefault="000A1F1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3E92BF18" wp14:editId="1EB9D4BC">
            <wp:extent cx="5612130" cy="272796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5612130" cy="2727960"/>
                    </a:xfrm>
                    <a:prstGeom prst="rect">
                      <a:avLst/>
                    </a:prstGeom>
                    <a:ln/>
                  </pic:spPr>
                </pic:pic>
              </a:graphicData>
            </a:graphic>
          </wp:inline>
        </w:drawing>
      </w:r>
    </w:p>
    <w:p w14:paraId="2A1864E8" w14:textId="77777777" w:rsidR="00A7334B" w:rsidRDefault="000A1F1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5A23020B" wp14:editId="0C12405B">
            <wp:extent cx="5612130" cy="329311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612130" cy="3293110"/>
                    </a:xfrm>
                    <a:prstGeom prst="rect">
                      <a:avLst/>
                    </a:prstGeom>
                    <a:ln/>
                  </pic:spPr>
                </pic:pic>
              </a:graphicData>
            </a:graphic>
          </wp:inline>
        </w:drawing>
      </w:r>
    </w:p>
    <w:p w14:paraId="04E3DA39" w14:textId="77777777" w:rsidR="00A7334B" w:rsidRDefault="00A7334B">
      <w:pPr>
        <w:spacing w:before="280" w:after="280" w:line="360" w:lineRule="auto"/>
        <w:jc w:val="both"/>
        <w:rPr>
          <w:rFonts w:ascii="Palatino Linotype" w:eastAsia="Palatino Linotype" w:hAnsi="Palatino Linotype" w:cs="Palatino Linotype"/>
        </w:rPr>
      </w:pPr>
    </w:p>
    <w:p w14:paraId="34376A31" w14:textId="77777777" w:rsidR="00A7334B" w:rsidRDefault="000A1F1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333BAD2A" wp14:editId="136EF063">
            <wp:extent cx="5612130" cy="140716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5612130" cy="1407160"/>
                    </a:xfrm>
                    <a:prstGeom prst="rect">
                      <a:avLst/>
                    </a:prstGeom>
                    <a:ln/>
                  </pic:spPr>
                </pic:pic>
              </a:graphicData>
            </a:graphic>
          </wp:inline>
        </w:drawing>
      </w:r>
    </w:p>
    <w:p w14:paraId="4CF19717" w14:textId="77777777" w:rsidR="00A7334B" w:rsidRDefault="000A1F10">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del análisis a los documentos remitidos en informe justificado, se tiene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versión pública de las actas de las sesiones del Comité de Control y Evaluación de la Fiscalía General de Justicia del Estado de México celebras en los años 2017, 2018 2019 y 2020; documentos en los que se observa que el Sujeto Obligado clasificó como reservada, la cual sustentó en el Acta de la Sesión Ordinaria 03/2023, en donde se aprueba por unanimidad de votos la clasificación de la información como reservada respecto a las actas del Comité de Control y Evaluación de la Fiscalía General de Justicia del Estado de México; toda vez que contienen opiniones, recomendaciones y puntos de vista de sus integrantes y dicha información se refiere a diversas acciones y propuestas de mejoras respecto del funcionamiento de esta Institución, mismos que forman parte de un proceso deliberativo y no así de una determinación final que ya se haya ejecutado. </w:t>
      </w:r>
    </w:p>
    <w:p w14:paraId="6B3E3D85" w14:textId="77777777" w:rsidR="00A7334B" w:rsidRDefault="000A1F10">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se agrega el presente el cuadro en el que se analiza el acuerdo emitido por el Comité de Transparencia que sustenta la versión publica de las Actas del Comité de Control y Evaluación de la Fiscalía General de Justicia del Estado de México, al tenor de lo hasta aquí expuesto y una vez analizado por este Órgano Garante el Acuerdo de Reserva de la Información que remitió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en respuesta y el Informe Justificado y con la finalidad de establecer si </w:t>
      </w:r>
      <w:r>
        <w:rPr>
          <w:rFonts w:ascii="Palatino Linotype" w:eastAsia="Palatino Linotype" w:hAnsi="Palatino Linotype" w:cs="Palatino Linotype"/>
        </w:rPr>
        <w:lastRenderedPageBreak/>
        <w:t xml:space="preserve">el Comité de Transparencia cumplió cabalmente con las formalidades exigidas por con el artículo 113,  de la Ley General de Transparencia y Acceso a la Información Pública, el numeral Trigésimo de los Lineamientos Generales en Materia de Clasificación y Desclasificación de la Información, así como para la Elaboración de Versiones Públicas, así como, el artículo 140, de la Ley de Transparencia y Acceso a la Información Pública del Estado de México y Municipios, es que se procede a lo siguiente: </w:t>
      </w:r>
    </w:p>
    <w:tbl>
      <w:tblPr>
        <w:tblStyle w:val="a"/>
        <w:tblW w:w="9326"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1"/>
        <w:gridCol w:w="1691"/>
        <w:gridCol w:w="5964"/>
      </w:tblGrid>
      <w:tr w:rsidR="00A7334B" w14:paraId="1652207C" w14:textId="77777777">
        <w:tc>
          <w:tcPr>
            <w:tcW w:w="1671" w:type="dxa"/>
            <w:tcBorders>
              <w:top w:val="nil"/>
              <w:left w:val="nil"/>
            </w:tcBorders>
          </w:tcPr>
          <w:p w14:paraId="4DCB144C" w14:textId="77777777" w:rsidR="00A7334B" w:rsidRDefault="00A7334B">
            <w:pPr>
              <w:pBdr>
                <w:top w:val="nil"/>
                <w:left w:val="nil"/>
                <w:bottom w:val="nil"/>
                <w:right w:val="nil"/>
                <w:between w:val="nil"/>
              </w:pBdr>
              <w:ind w:left="47"/>
              <w:jc w:val="both"/>
              <w:rPr>
                <w:rFonts w:ascii="Palatino Linotype" w:eastAsia="Palatino Linotype" w:hAnsi="Palatino Linotype" w:cs="Palatino Linotype"/>
                <w:b/>
                <w:sz w:val="20"/>
                <w:szCs w:val="20"/>
              </w:rPr>
            </w:pPr>
          </w:p>
        </w:tc>
        <w:tc>
          <w:tcPr>
            <w:tcW w:w="1691" w:type="dxa"/>
            <w:tcBorders>
              <w:bottom w:val="single" w:sz="4" w:space="0" w:color="000000"/>
            </w:tcBorders>
            <w:shd w:val="clear" w:color="auto" w:fill="BFBFBF"/>
            <w:vAlign w:val="bottom"/>
          </w:tcPr>
          <w:p w14:paraId="02D6808E" w14:textId="77777777" w:rsidR="00A7334B" w:rsidRDefault="000A1F10">
            <w:pPr>
              <w:pBdr>
                <w:top w:val="nil"/>
                <w:left w:val="nil"/>
                <w:bottom w:val="nil"/>
                <w:right w:val="nil"/>
                <w:between w:val="nil"/>
              </w:pBdr>
              <w:ind w:left="47"/>
              <w:jc w:val="center"/>
              <w:rPr>
                <w:rFonts w:ascii="Palatino Linotype" w:eastAsia="Palatino Linotype" w:hAnsi="Palatino Linotype" w:cs="Palatino Linotype"/>
                <w:b/>
                <w:sz w:val="20"/>
                <w:szCs w:val="20"/>
              </w:rPr>
            </w:pPr>
            <w:r>
              <w:rPr>
                <w:rFonts w:ascii="Palatino Linotype" w:eastAsia="Palatino Linotype" w:hAnsi="Palatino Linotype" w:cs="Palatino Linotype"/>
                <w:b/>
              </w:rPr>
              <w:t>Cumplió:</w:t>
            </w:r>
          </w:p>
        </w:tc>
        <w:tc>
          <w:tcPr>
            <w:tcW w:w="5964" w:type="dxa"/>
            <w:tcBorders>
              <w:bottom w:val="single" w:sz="4" w:space="0" w:color="000000"/>
            </w:tcBorders>
            <w:shd w:val="clear" w:color="auto" w:fill="BFBFBF"/>
            <w:vAlign w:val="bottom"/>
          </w:tcPr>
          <w:p w14:paraId="7A0E6BFF" w14:textId="77777777" w:rsidR="00A7334B" w:rsidRDefault="000A1F10">
            <w:pPr>
              <w:pBdr>
                <w:top w:val="nil"/>
                <w:left w:val="nil"/>
                <w:bottom w:val="nil"/>
                <w:right w:val="nil"/>
                <w:between w:val="nil"/>
              </w:pBdr>
              <w:ind w:left="47"/>
              <w:jc w:val="both"/>
              <w:rPr>
                <w:rFonts w:ascii="Palatino Linotype" w:eastAsia="Palatino Linotype" w:hAnsi="Palatino Linotype" w:cs="Palatino Linotype"/>
                <w:b/>
              </w:rPr>
            </w:pPr>
            <w:r>
              <w:rPr>
                <w:rFonts w:ascii="Palatino Linotype" w:eastAsia="Palatino Linotype" w:hAnsi="Palatino Linotype" w:cs="Palatino Linotype"/>
                <w:b/>
              </w:rPr>
              <w:t>Contenido</w:t>
            </w:r>
          </w:p>
        </w:tc>
      </w:tr>
      <w:tr w:rsidR="00A7334B" w14:paraId="5A21740B" w14:textId="77777777">
        <w:tc>
          <w:tcPr>
            <w:tcW w:w="1671" w:type="dxa"/>
            <w:vAlign w:val="center"/>
          </w:tcPr>
          <w:p w14:paraId="67B4EF6A" w14:textId="77777777" w:rsidR="00A7334B" w:rsidRDefault="000A1F10">
            <w:pPr>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Número de folio de la solicitud</w:t>
            </w:r>
          </w:p>
        </w:tc>
        <w:tc>
          <w:tcPr>
            <w:tcW w:w="1691" w:type="dxa"/>
            <w:tcBorders>
              <w:top w:val="single" w:sz="4" w:space="0" w:color="000000"/>
            </w:tcBorders>
            <w:vAlign w:val="center"/>
          </w:tcPr>
          <w:p w14:paraId="2351A275" w14:textId="77777777" w:rsidR="00A7334B" w:rsidRDefault="000A1F10">
            <w:pPr>
              <w:ind w:left="47"/>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Sí</w:t>
            </w:r>
          </w:p>
        </w:tc>
        <w:tc>
          <w:tcPr>
            <w:tcW w:w="5964" w:type="dxa"/>
            <w:tcBorders>
              <w:top w:val="single" w:sz="4" w:space="0" w:color="000000"/>
            </w:tcBorders>
            <w:vAlign w:val="center"/>
          </w:tcPr>
          <w:p w14:paraId="0DD21A07" w14:textId="77777777" w:rsidR="00A7334B" w:rsidRDefault="00A7334B">
            <w:pPr>
              <w:ind w:left="-115"/>
              <w:jc w:val="both"/>
              <w:rPr>
                <w:rFonts w:ascii="Palatino Linotype" w:eastAsia="Palatino Linotype" w:hAnsi="Palatino Linotype" w:cs="Palatino Linotype"/>
                <w:sz w:val="2"/>
                <w:szCs w:val="2"/>
              </w:rPr>
            </w:pPr>
          </w:p>
          <w:p w14:paraId="503D48DF" w14:textId="77777777" w:rsidR="00A7334B" w:rsidRDefault="000A1F10">
            <w:pPr>
              <w:ind w:left="-115"/>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2208CE6C" wp14:editId="46E3D183">
                  <wp:extent cx="3733165" cy="422275"/>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3733165" cy="422275"/>
                          </a:xfrm>
                          <a:prstGeom prst="rect">
                            <a:avLst/>
                          </a:prstGeom>
                          <a:ln/>
                        </pic:spPr>
                      </pic:pic>
                    </a:graphicData>
                  </a:graphic>
                </wp:inline>
              </w:drawing>
            </w:r>
          </w:p>
        </w:tc>
      </w:tr>
      <w:tr w:rsidR="00A7334B" w14:paraId="1CFAA61A" w14:textId="77777777">
        <w:tc>
          <w:tcPr>
            <w:tcW w:w="1671" w:type="dxa"/>
            <w:vAlign w:val="center"/>
          </w:tcPr>
          <w:p w14:paraId="506DAC74" w14:textId="77777777" w:rsidR="00A7334B" w:rsidRDefault="000A1F10">
            <w:pPr>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1" w:type="dxa"/>
            <w:vAlign w:val="center"/>
          </w:tcPr>
          <w:p w14:paraId="1A7DAB8B" w14:textId="77777777" w:rsidR="00A7334B" w:rsidRDefault="000A1F10">
            <w:pPr>
              <w:ind w:left="47"/>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SI</w:t>
            </w:r>
          </w:p>
        </w:tc>
        <w:tc>
          <w:tcPr>
            <w:tcW w:w="5964" w:type="dxa"/>
            <w:vAlign w:val="center"/>
          </w:tcPr>
          <w:p w14:paraId="622ABF52" w14:textId="77777777" w:rsidR="00A7334B" w:rsidRDefault="000A1F10">
            <w:pPr>
              <w:jc w:val="both"/>
              <w:rPr>
                <w:rFonts w:ascii="Palatino Linotype" w:eastAsia="Palatino Linotype" w:hAnsi="Palatino Linotype" w:cs="Palatino Linotype"/>
                <w:b/>
              </w:rPr>
            </w:pPr>
            <w:r>
              <w:rPr>
                <w:rFonts w:ascii="Palatino Linotype" w:eastAsia="Palatino Linotype" w:hAnsi="Palatino Linotype" w:cs="Palatino Linotype"/>
                <w:b/>
                <w:noProof/>
              </w:rPr>
              <w:drawing>
                <wp:inline distT="0" distB="0" distL="0" distR="0" wp14:anchorId="2CE964FC" wp14:editId="10D3DB96">
                  <wp:extent cx="3649980" cy="1497330"/>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3649980" cy="1497330"/>
                          </a:xfrm>
                          <a:prstGeom prst="rect">
                            <a:avLst/>
                          </a:prstGeom>
                          <a:ln/>
                        </pic:spPr>
                      </pic:pic>
                    </a:graphicData>
                  </a:graphic>
                </wp:inline>
              </w:drawing>
            </w:r>
          </w:p>
        </w:tc>
      </w:tr>
      <w:tr w:rsidR="00A7334B" w14:paraId="7969273B" w14:textId="77777777">
        <w:tc>
          <w:tcPr>
            <w:tcW w:w="1671" w:type="dxa"/>
            <w:vAlign w:val="center"/>
          </w:tcPr>
          <w:p w14:paraId="56C2E9D8" w14:textId="77777777" w:rsidR="00A7334B" w:rsidRDefault="000A1F10">
            <w:pPr>
              <w:tabs>
                <w:tab w:val="left" w:pos="317"/>
              </w:tabs>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Fundamento y Motivación Legal</w:t>
            </w:r>
          </w:p>
        </w:tc>
        <w:tc>
          <w:tcPr>
            <w:tcW w:w="1691" w:type="dxa"/>
            <w:vAlign w:val="center"/>
          </w:tcPr>
          <w:p w14:paraId="0E91D85E" w14:textId="77777777" w:rsidR="00A7334B" w:rsidRDefault="000A1F10">
            <w:pPr>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 xml:space="preserve">SI </w:t>
            </w:r>
          </w:p>
        </w:tc>
        <w:tc>
          <w:tcPr>
            <w:tcW w:w="5964" w:type="dxa"/>
            <w:vAlign w:val="center"/>
          </w:tcPr>
          <w:p w14:paraId="0C2639E9" w14:textId="77777777" w:rsidR="00A7334B" w:rsidRDefault="00A7334B">
            <w:pPr>
              <w:jc w:val="both"/>
              <w:rPr>
                <w:rFonts w:ascii="Palatino Linotype" w:eastAsia="Palatino Linotype" w:hAnsi="Palatino Linotype" w:cs="Palatino Linotype"/>
                <w:b/>
                <w:sz w:val="2"/>
                <w:szCs w:val="2"/>
              </w:rPr>
            </w:pPr>
          </w:p>
          <w:p w14:paraId="3188561E" w14:textId="77777777" w:rsidR="00A7334B" w:rsidRDefault="00A7334B">
            <w:pPr>
              <w:jc w:val="both"/>
              <w:rPr>
                <w:rFonts w:ascii="Palatino Linotype" w:eastAsia="Palatino Linotype" w:hAnsi="Palatino Linotype" w:cs="Palatino Linotype"/>
                <w:b/>
                <w:sz w:val="2"/>
                <w:szCs w:val="2"/>
              </w:rPr>
            </w:pPr>
          </w:p>
          <w:p w14:paraId="565C98C2" w14:textId="77777777" w:rsidR="00A7334B" w:rsidRDefault="00A7334B">
            <w:pPr>
              <w:jc w:val="both"/>
              <w:rPr>
                <w:rFonts w:ascii="Palatino Linotype" w:eastAsia="Palatino Linotype" w:hAnsi="Palatino Linotype" w:cs="Palatino Linotype"/>
                <w:b/>
                <w:sz w:val="2"/>
                <w:szCs w:val="2"/>
              </w:rPr>
            </w:pPr>
          </w:p>
          <w:p w14:paraId="395D3ED7" w14:textId="77777777" w:rsidR="00A7334B" w:rsidRDefault="00A7334B">
            <w:pPr>
              <w:jc w:val="both"/>
              <w:rPr>
                <w:rFonts w:ascii="Palatino Linotype" w:eastAsia="Palatino Linotype" w:hAnsi="Palatino Linotype" w:cs="Palatino Linotype"/>
                <w:b/>
                <w:sz w:val="2"/>
                <w:szCs w:val="2"/>
              </w:rPr>
            </w:pPr>
          </w:p>
          <w:p w14:paraId="49409B51" w14:textId="77777777" w:rsidR="00A7334B" w:rsidRDefault="00A7334B">
            <w:pPr>
              <w:jc w:val="both"/>
              <w:rPr>
                <w:rFonts w:ascii="Palatino Linotype" w:eastAsia="Palatino Linotype" w:hAnsi="Palatino Linotype" w:cs="Palatino Linotype"/>
                <w:b/>
                <w:sz w:val="2"/>
                <w:szCs w:val="2"/>
              </w:rPr>
            </w:pPr>
          </w:p>
          <w:p w14:paraId="4E934AC4" w14:textId="77777777" w:rsidR="00A7334B" w:rsidRDefault="00A7334B">
            <w:pPr>
              <w:jc w:val="both"/>
              <w:rPr>
                <w:rFonts w:ascii="Palatino Linotype" w:eastAsia="Palatino Linotype" w:hAnsi="Palatino Linotype" w:cs="Palatino Linotype"/>
                <w:b/>
                <w:sz w:val="2"/>
                <w:szCs w:val="2"/>
              </w:rPr>
            </w:pPr>
          </w:p>
          <w:p w14:paraId="03A820F7" w14:textId="77777777" w:rsidR="00A7334B" w:rsidRDefault="00A7334B">
            <w:pPr>
              <w:jc w:val="both"/>
              <w:rPr>
                <w:rFonts w:ascii="Palatino Linotype" w:eastAsia="Palatino Linotype" w:hAnsi="Palatino Linotype" w:cs="Palatino Linotype"/>
                <w:b/>
                <w:sz w:val="2"/>
                <w:szCs w:val="2"/>
              </w:rPr>
            </w:pPr>
          </w:p>
          <w:p w14:paraId="64055C73" w14:textId="77777777" w:rsidR="00A7334B" w:rsidRDefault="00A7334B">
            <w:pPr>
              <w:jc w:val="both"/>
              <w:rPr>
                <w:rFonts w:ascii="Palatino Linotype" w:eastAsia="Palatino Linotype" w:hAnsi="Palatino Linotype" w:cs="Palatino Linotype"/>
                <w:b/>
                <w:sz w:val="2"/>
                <w:szCs w:val="2"/>
              </w:rPr>
            </w:pPr>
          </w:p>
          <w:p w14:paraId="3CB894E0" w14:textId="77777777" w:rsidR="00A7334B" w:rsidRDefault="00A7334B">
            <w:pPr>
              <w:jc w:val="both"/>
              <w:rPr>
                <w:rFonts w:ascii="Palatino Linotype" w:eastAsia="Palatino Linotype" w:hAnsi="Palatino Linotype" w:cs="Palatino Linotype"/>
                <w:b/>
                <w:sz w:val="2"/>
                <w:szCs w:val="2"/>
              </w:rPr>
            </w:pPr>
          </w:p>
          <w:p w14:paraId="10341AD6" w14:textId="77777777" w:rsidR="00A7334B" w:rsidRDefault="00A7334B">
            <w:pPr>
              <w:jc w:val="both"/>
              <w:rPr>
                <w:rFonts w:ascii="Palatino Linotype" w:eastAsia="Palatino Linotype" w:hAnsi="Palatino Linotype" w:cs="Palatino Linotype"/>
                <w:b/>
                <w:sz w:val="2"/>
                <w:szCs w:val="2"/>
              </w:rPr>
            </w:pPr>
          </w:p>
          <w:p w14:paraId="39F645D4" w14:textId="77777777" w:rsidR="00A7334B" w:rsidRDefault="00A7334B">
            <w:pPr>
              <w:jc w:val="both"/>
              <w:rPr>
                <w:rFonts w:ascii="Palatino Linotype" w:eastAsia="Palatino Linotype" w:hAnsi="Palatino Linotype" w:cs="Palatino Linotype"/>
                <w:b/>
                <w:sz w:val="2"/>
                <w:szCs w:val="2"/>
              </w:rPr>
            </w:pPr>
          </w:p>
          <w:p w14:paraId="37E1B7CC" w14:textId="77777777" w:rsidR="00A7334B" w:rsidRDefault="00A7334B">
            <w:pPr>
              <w:jc w:val="both"/>
              <w:rPr>
                <w:rFonts w:ascii="Palatino Linotype" w:eastAsia="Palatino Linotype" w:hAnsi="Palatino Linotype" w:cs="Palatino Linotype"/>
                <w:b/>
                <w:sz w:val="2"/>
                <w:szCs w:val="2"/>
              </w:rPr>
            </w:pPr>
          </w:p>
          <w:p w14:paraId="6954E885" w14:textId="77777777" w:rsidR="00A7334B" w:rsidRDefault="000A1F10">
            <w:pPr>
              <w:jc w:val="both"/>
              <w:rPr>
                <w:rFonts w:ascii="Palatino Linotype" w:eastAsia="Palatino Linotype" w:hAnsi="Palatino Linotype" w:cs="Palatino Linotype"/>
                <w:b/>
                <w:sz w:val="2"/>
                <w:szCs w:val="2"/>
              </w:rPr>
            </w:pPr>
            <w:r>
              <w:rPr>
                <w:rFonts w:ascii="Palatino Linotype" w:eastAsia="Palatino Linotype" w:hAnsi="Palatino Linotype" w:cs="Palatino Linotype"/>
                <w:b/>
                <w:noProof/>
                <w:sz w:val="2"/>
                <w:szCs w:val="2"/>
              </w:rPr>
              <w:lastRenderedPageBreak/>
              <w:drawing>
                <wp:inline distT="0" distB="0" distL="0" distR="0" wp14:anchorId="2A9BBA46" wp14:editId="3345CC6C">
                  <wp:extent cx="3649980" cy="2645410"/>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649980" cy="2645410"/>
                          </a:xfrm>
                          <a:prstGeom prst="rect">
                            <a:avLst/>
                          </a:prstGeom>
                          <a:ln/>
                        </pic:spPr>
                      </pic:pic>
                    </a:graphicData>
                  </a:graphic>
                </wp:inline>
              </w:drawing>
            </w:r>
          </w:p>
        </w:tc>
      </w:tr>
      <w:tr w:rsidR="00A7334B" w14:paraId="3CCF2AC1" w14:textId="77777777">
        <w:tc>
          <w:tcPr>
            <w:tcW w:w="9326" w:type="dxa"/>
            <w:gridSpan w:val="3"/>
            <w:shd w:val="clear" w:color="auto" w:fill="D9D9D9"/>
            <w:vAlign w:val="center"/>
          </w:tcPr>
          <w:p w14:paraId="5212F85F" w14:textId="77777777" w:rsidR="00A7334B" w:rsidRDefault="000A1F10">
            <w:pPr>
              <w:pBdr>
                <w:top w:val="nil"/>
                <w:left w:val="nil"/>
                <w:bottom w:val="nil"/>
                <w:right w:val="nil"/>
                <w:between w:val="nil"/>
              </w:pBdr>
              <w:ind w:left="29" w:firstLine="18"/>
              <w:jc w:val="center"/>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lastRenderedPageBreak/>
              <w:t>Prueba de Daño</w:t>
            </w:r>
          </w:p>
        </w:tc>
      </w:tr>
      <w:tr w:rsidR="00A7334B" w14:paraId="50ED2BD9" w14:textId="77777777">
        <w:tc>
          <w:tcPr>
            <w:tcW w:w="1671" w:type="dxa"/>
            <w:vAlign w:val="center"/>
          </w:tcPr>
          <w:p w14:paraId="72A80A92" w14:textId="77777777" w:rsidR="00A7334B" w:rsidRDefault="000A1F10">
            <w:pPr>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Riesgo Real, Demostrable e Identificable</w:t>
            </w:r>
          </w:p>
          <w:p w14:paraId="33AA88CA" w14:textId="77777777" w:rsidR="00A7334B" w:rsidRDefault="000A1F10">
            <w:pPr>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(Modo, Tiempo y Lugar)</w:t>
            </w:r>
          </w:p>
        </w:tc>
        <w:tc>
          <w:tcPr>
            <w:tcW w:w="1691" w:type="dxa"/>
            <w:vAlign w:val="center"/>
          </w:tcPr>
          <w:p w14:paraId="304E69B4" w14:textId="77777777" w:rsidR="00A7334B" w:rsidRDefault="000A1F10">
            <w:pPr>
              <w:pBdr>
                <w:top w:val="nil"/>
                <w:left w:val="nil"/>
                <w:bottom w:val="nil"/>
                <w:right w:val="nil"/>
                <w:between w:val="nil"/>
              </w:pBdr>
              <w:ind w:left="29" w:firstLine="18"/>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SI</w:t>
            </w:r>
          </w:p>
        </w:tc>
        <w:tc>
          <w:tcPr>
            <w:tcW w:w="5964" w:type="dxa"/>
            <w:vAlign w:val="center"/>
          </w:tcPr>
          <w:p w14:paraId="4B39DA55" w14:textId="77777777" w:rsidR="00A7334B" w:rsidRDefault="00A7334B">
            <w:pPr>
              <w:pBdr>
                <w:top w:val="nil"/>
                <w:left w:val="nil"/>
                <w:bottom w:val="nil"/>
                <w:right w:val="nil"/>
                <w:between w:val="nil"/>
              </w:pBdr>
              <w:jc w:val="both"/>
              <w:rPr>
                <w:rFonts w:ascii="Palatino Linotype" w:eastAsia="Palatino Linotype" w:hAnsi="Palatino Linotype" w:cs="Palatino Linotype"/>
              </w:rPr>
            </w:pPr>
          </w:p>
          <w:p w14:paraId="0579D4B6" w14:textId="77777777" w:rsidR="00A7334B" w:rsidRDefault="000A1F10">
            <w:pPr>
              <w:pBdr>
                <w:top w:val="nil"/>
                <w:left w:val="nil"/>
                <w:bottom w:val="nil"/>
                <w:right w:val="nil"/>
                <w:between w:val="nil"/>
              </w:pBdr>
              <w:ind w:left="29" w:firstLine="18"/>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17C01F88" wp14:editId="40866525">
                  <wp:extent cx="3649980" cy="4565650"/>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3649980" cy="4565650"/>
                          </a:xfrm>
                          <a:prstGeom prst="rect">
                            <a:avLst/>
                          </a:prstGeom>
                          <a:ln/>
                        </pic:spPr>
                      </pic:pic>
                    </a:graphicData>
                  </a:graphic>
                </wp:inline>
              </w:drawing>
            </w:r>
          </w:p>
          <w:p w14:paraId="2DE1F7D3" w14:textId="77777777" w:rsidR="00A7334B" w:rsidRDefault="00A7334B">
            <w:pPr>
              <w:pBdr>
                <w:top w:val="nil"/>
                <w:left w:val="nil"/>
                <w:bottom w:val="nil"/>
                <w:right w:val="nil"/>
                <w:between w:val="nil"/>
              </w:pBdr>
              <w:ind w:left="29" w:firstLine="18"/>
              <w:jc w:val="both"/>
              <w:rPr>
                <w:rFonts w:ascii="Palatino Linotype" w:eastAsia="Palatino Linotype" w:hAnsi="Palatino Linotype" w:cs="Palatino Linotype"/>
              </w:rPr>
            </w:pPr>
          </w:p>
        </w:tc>
      </w:tr>
      <w:tr w:rsidR="00A7334B" w14:paraId="1FB03FF1" w14:textId="77777777">
        <w:tc>
          <w:tcPr>
            <w:tcW w:w="1671" w:type="dxa"/>
            <w:vAlign w:val="center"/>
          </w:tcPr>
          <w:p w14:paraId="35B807A3" w14:textId="77777777" w:rsidR="00A7334B" w:rsidRDefault="000A1F10">
            <w:pPr>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Temporalidad de la Reserva de la información</w:t>
            </w:r>
          </w:p>
        </w:tc>
        <w:tc>
          <w:tcPr>
            <w:tcW w:w="1691" w:type="dxa"/>
            <w:shd w:val="clear" w:color="auto" w:fill="auto"/>
            <w:vAlign w:val="center"/>
          </w:tcPr>
          <w:p w14:paraId="7009CFF4" w14:textId="77777777" w:rsidR="00A7334B" w:rsidRDefault="000A1F10">
            <w:pPr>
              <w:pBdr>
                <w:top w:val="nil"/>
                <w:left w:val="nil"/>
                <w:bottom w:val="nil"/>
                <w:right w:val="nil"/>
                <w:between w:val="nil"/>
              </w:pBdr>
              <w:ind w:left="29" w:firstLine="18"/>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SI</w:t>
            </w:r>
          </w:p>
        </w:tc>
        <w:tc>
          <w:tcPr>
            <w:tcW w:w="5964" w:type="dxa"/>
            <w:vAlign w:val="center"/>
          </w:tcPr>
          <w:p w14:paraId="437BB861" w14:textId="77777777" w:rsidR="00A7334B" w:rsidRDefault="000A1F10">
            <w:pPr>
              <w:pBdr>
                <w:top w:val="nil"/>
                <w:left w:val="nil"/>
                <w:bottom w:val="nil"/>
                <w:right w:val="nil"/>
                <w:between w:val="nil"/>
              </w:pBdr>
              <w:ind w:left="29" w:firstLine="18"/>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7EE313E1" wp14:editId="687E9DF7">
                  <wp:extent cx="3649980" cy="26797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3649980" cy="267970"/>
                          </a:xfrm>
                          <a:prstGeom prst="rect">
                            <a:avLst/>
                          </a:prstGeom>
                          <a:ln/>
                        </pic:spPr>
                      </pic:pic>
                    </a:graphicData>
                  </a:graphic>
                </wp:inline>
              </w:drawing>
            </w:r>
          </w:p>
          <w:p w14:paraId="7C5D3B13" w14:textId="77777777" w:rsidR="00A7334B" w:rsidRDefault="00A7334B">
            <w:pPr>
              <w:pBdr>
                <w:top w:val="nil"/>
                <w:left w:val="nil"/>
                <w:bottom w:val="nil"/>
                <w:right w:val="nil"/>
                <w:between w:val="nil"/>
              </w:pBdr>
              <w:ind w:left="29" w:firstLine="18"/>
              <w:jc w:val="both"/>
              <w:rPr>
                <w:rFonts w:ascii="Palatino Linotype" w:eastAsia="Palatino Linotype" w:hAnsi="Palatino Linotype" w:cs="Palatino Linotype"/>
              </w:rPr>
            </w:pPr>
          </w:p>
        </w:tc>
      </w:tr>
      <w:tr w:rsidR="00A7334B" w14:paraId="219DB7DD" w14:textId="77777777">
        <w:tc>
          <w:tcPr>
            <w:tcW w:w="1671" w:type="dxa"/>
            <w:vAlign w:val="center"/>
          </w:tcPr>
          <w:p w14:paraId="4791B3BA" w14:textId="77777777" w:rsidR="00A7334B" w:rsidRDefault="000A1F10">
            <w:pPr>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Autoridades competentes.</w:t>
            </w:r>
          </w:p>
        </w:tc>
        <w:tc>
          <w:tcPr>
            <w:tcW w:w="1691" w:type="dxa"/>
            <w:shd w:val="clear" w:color="auto" w:fill="auto"/>
            <w:vAlign w:val="center"/>
          </w:tcPr>
          <w:p w14:paraId="3BA8C2BC" w14:textId="77777777" w:rsidR="00A7334B" w:rsidRDefault="000A1F10">
            <w:pPr>
              <w:pBdr>
                <w:top w:val="nil"/>
                <w:left w:val="nil"/>
                <w:bottom w:val="nil"/>
                <w:right w:val="nil"/>
                <w:between w:val="nil"/>
              </w:pBdr>
              <w:ind w:left="29" w:firstLine="18"/>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Sí</w:t>
            </w:r>
          </w:p>
        </w:tc>
        <w:tc>
          <w:tcPr>
            <w:tcW w:w="5964" w:type="dxa"/>
            <w:vAlign w:val="center"/>
          </w:tcPr>
          <w:p w14:paraId="544369CE" w14:textId="77777777" w:rsidR="00A7334B" w:rsidRDefault="000A1F10">
            <w:pPr>
              <w:pBdr>
                <w:top w:val="nil"/>
                <w:left w:val="nil"/>
                <w:bottom w:val="nil"/>
                <w:right w:val="nil"/>
                <w:between w:val="nil"/>
              </w:pBdr>
              <w:ind w:left="29" w:firstLine="18"/>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5C7EF70D" wp14:editId="0DD8A443">
                  <wp:extent cx="2561850" cy="1712801"/>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2561850" cy="1712801"/>
                          </a:xfrm>
                          <a:prstGeom prst="rect">
                            <a:avLst/>
                          </a:prstGeom>
                          <a:ln/>
                        </pic:spPr>
                      </pic:pic>
                    </a:graphicData>
                  </a:graphic>
                </wp:inline>
              </w:drawing>
            </w:r>
          </w:p>
          <w:p w14:paraId="393EF6ED" w14:textId="77777777" w:rsidR="00A7334B" w:rsidRDefault="00A7334B">
            <w:pPr>
              <w:pBdr>
                <w:top w:val="nil"/>
                <w:left w:val="nil"/>
                <w:bottom w:val="nil"/>
                <w:right w:val="nil"/>
                <w:between w:val="nil"/>
              </w:pBdr>
              <w:ind w:left="29" w:firstLine="18"/>
              <w:jc w:val="both"/>
              <w:rPr>
                <w:rFonts w:ascii="Palatino Linotype" w:eastAsia="Palatino Linotype" w:hAnsi="Palatino Linotype" w:cs="Palatino Linotype"/>
              </w:rPr>
            </w:pPr>
          </w:p>
          <w:p w14:paraId="3F93BBF0" w14:textId="77777777" w:rsidR="00A7334B" w:rsidRDefault="000A1F10">
            <w:pPr>
              <w:pBdr>
                <w:top w:val="nil"/>
                <w:left w:val="nil"/>
                <w:bottom w:val="nil"/>
                <w:right w:val="nil"/>
                <w:between w:val="nil"/>
              </w:pBdr>
              <w:ind w:left="29" w:firstLine="18"/>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4B225F74" wp14:editId="00B4B911">
                  <wp:extent cx="2569504" cy="2364791"/>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2569504" cy="2364791"/>
                          </a:xfrm>
                          <a:prstGeom prst="rect">
                            <a:avLst/>
                          </a:prstGeom>
                          <a:ln/>
                        </pic:spPr>
                      </pic:pic>
                    </a:graphicData>
                  </a:graphic>
                </wp:inline>
              </w:drawing>
            </w:r>
          </w:p>
        </w:tc>
      </w:tr>
    </w:tbl>
    <w:p w14:paraId="3AA34C50" w14:textId="77777777" w:rsidR="00A7334B" w:rsidRDefault="00A7334B">
      <w:pPr>
        <w:widowControl w:val="0"/>
        <w:spacing w:before="280" w:after="280" w:line="360" w:lineRule="auto"/>
        <w:jc w:val="both"/>
        <w:rPr>
          <w:rFonts w:ascii="Palatino Linotype" w:eastAsia="Palatino Linotype" w:hAnsi="Palatino Linotype" w:cs="Palatino Linotype"/>
        </w:rPr>
      </w:pPr>
    </w:p>
    <w:p w14:paraId="25B3674A"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en el cuadro que antecede, el acuerdo emitido por el Comité de Transparencia, cumple con las formalidades que contempla la Ley en la materia, por lo que se acredita, de manera fundada y motivada la clasificación de información contenida en las Actas del Comité de Control y Evaluación remitidas en informe justificado. </w:t>
      </w:r>
    </w:p>
    <w:p w14:paraId="6E8E4DA2" w14:textId="77777777" w:rsidR="00A7334B" w:rsidRDefault="000A1F10">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tal sentido,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64453231" w14:textId="77777777" w:rsidR="00A7334B" w:rsidRDefault="00A7334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DA362D5" w14:textId="77777777" w:rsidR="00A7334B" w:rsidRDefault="000A1F10">
      <w:pPr>
        <w:pBdr>
          <w:top w:val="nil"/>
          <w:left w:val="nil"/>
          <w:bottom w:val="nil"/>
          <w:right w:val="nil"/>
          <w:between w:val="nil"/>
        </w:pBdr>
        <w:spacing w:after="36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Sirviendo de apoyo a lo anterior por analogía, el criterio 31-10 emitido por el ahora Instituto Nacional de Transparencia, Acceso a la Información y Protección de Datos Personales, que a la letra dice:</w:t>
      </w:r>
    </w:p>
    <w:p w14:paraId="101367D7" w14:textId="77777777" w:rsidR="00A7334B" w:rsidRDefault="000A1F10">
      <w:pPr>
        <w:spacing w:before="240" w:after="360" w:line="360"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3834A24"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cuanto hace a los requerimientos relativos a los Acuerdos del Comité que fomenten el adecuado control interno del Órgano Constitucional Autónomo y los informes de seguimiento a los acuerdos mencionados,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Servidor Público Habilitado informó que tanto los acuerdos y el seguimiento de los mismos se encuentran inmersos en las propias actas de las sesiones, tal como se advierte en las siguientes imágenes. </w:t>
      </w:r>
    </w:p>
    <w:p w14:paraId="6EC03944"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302C5F13" wp14:editId="31482197">
            <wp:extent cx="5605731" cy="1913934"/>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5605731" cy="1913934"/>
                    </a:xfrm>
                    <a:prstGeom prst="rect">
                      <a:avLst/>
                    </a:prstGeom>
                    <a:ln/>
                  </pic:spPr>
                </pic:pic>
              </a:graphicData>
            </a:graphic>
          </wp:inline>
        </w:drawing>
      </w:r>
    </w:p>
    <w:p w14:paraId="5F61DF03"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373D59FC" wp14:editId="47B1FC9D">
            <wp:extent cx="5523536" cy="551712"/>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5523536" cy="551712"/>
                    </a:xfrm>
                    <a:prstGeom prst="rect">
                      <a:avLst/>
                    </a:prstGeom>
                    <a:ln/>
                  </pic:spPr>
                </pic:pic>
              </a:graphicData>
            </a:graphic>
          </wp:inline>
        </w:drawing>
      </w:r>
    </w:p>
    <w:p w14:paraId="48B552ED"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1234EFF3" wp14:editId="13E5F9BF">
            <wp:extent cx="5573404" cy="241315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b="7421"/>
                    <a:stretch>
                      <a:fillRect/>
                    </a:stretch>
                  </pic:blipFill>
                  <pic:spPr>
                    <a:xfrm>
                      <a:off x="0" y="0"/>
                      <a:ext cx="5573404" cy="2413159"/>
                    </a:xfrm>
                    <a:prstGeom prst="rect">
                      <a:avLst/>
                    </a:prstGeom>
                    <a:ln/>
                  </pic:spPr>
                </pic:pic>
              </a:graphicData>
            </a:graphic>
          </wp:inline>
        </w:drawing>
      </w:r>
    </w:p>
    <w:p w14:paraId="6F3B29F5"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Imágenes de las que se desprende que efectivamente la información </w:t>
      </w:r>
      <w:proofErr w:type="gramStart"/>
      <w:r>
        <w:rPr>
          <w:rFonts w:ascii="Palatino Linotype" w:eastAsia="Palatino Linotype" w:hAnsi="Palatino Linotype" w:cs="Palatino Linotype"/>
        </w:rPr>
        <w:t>relativa a los acuerdo</w:t>
      </w:r>
      <w:proofErr w:type="gramEnd"/>
      <w:r>
        <w:rPr>
          <w:rFonts w:ascii="Palatino Linotype" w:eastAsia="Palatino Linotype" w:hAnsi="Palatino Linotype" w:cs="Palatino Linotype"/>
        </w:rPr>
        <w:t xml:space="preserve"> y los seguimientos de los mismos,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las puede obtener de las Actas remitidas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por lo que ante tales consideraciones, el Pleno de este Instituto tiene por atendidos los puntos que se analizaron en este rubro. </w:t>
      </w:r>
    </w:p>
    <w:p w14:paraId="4BC5905E" w14:textId="77777777" w:rsidR="00A7334B" w:rsidRDefault="000A1F1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III.  Documentos que comprueben que se cumplen las propuestas de acciones de control y recomendaciones de las autoridades competentes. </w:t>
      </w:r>
    </w:p>
    <w:p w14:paraId="7540436E" w14:textId="77777777" w:rsidR="00A7334B" w:rsidRDefault="000A1F1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a la información solicitada en la fracción V de la solicitud de información: “</w:t>
      </w:r>
      <w:r>
        <w:rPr>
          <w:rFonts w:ascii="Palatino Linotype" w:eastAsia="Palatino Linotype" w:hAnsi="Palatino Linotype" w:cs="Palatino Linotype"/>
          <w:i/>
          <w:sz w:val="22"/>
          <w:szCs w:val="22"/>
        </w:rPr>
        <w:t xml:space="preserve">V. Versión pública de comprobar se cumplen las propuestas de acciones de control y recomendaciones de las autoridades competentes;” </w:t>
      </w:r>
      <w:r>
        <w:rPr>
          <w:rFonts w:ascii="Palatino Linotype" w:eastAsia="Palatino Linotype" w:hAnsi="Palatino Linotype" w:cs="Palatino Linotype"/>
        </w:rPr>
        <w:t xml:space="preserve">el numeral Quinto, fracción VII, del Acuerdo número 25/2017, por el que se crea el Comité de Control y Evaluación de la </w:t>
      </w:r>
      <w:proofErr w:type="gramStart"/>
      <w:r>
        <w:rPr>
          <w:rFonts w:ascii="Palatino Linotype" w:eastAsia="Palatino Linotype" w:hAnsi="Palatino Linotype" w:cs="Palatino Linotype"/>
        </w:rPr>
        <w:t>Fiscalía General</w:t>
      </w:r>
      <w:proofErr w:type="gramEnd"/>
      <w:r>
        <w:rPr>
          <w:rFonts w:ascii="Palatino Linotype" w:eastAsia="Palatino Linotype" w:hAnsi="Palatino Linotype" w:cs="Palatino Linotype"/>
        </w:rPr>
        <w:t xml:space="preserve"> de Justicia del Estado de México, establece: </w:t>
      </w:r>
    </w:p>
    <w:p w14:paraId="3D67D8A2" w14:textId="77777777" w:rsidR="00A7334B" w:rsidRDefault="00A7334B">
      <w:pPr>
        <w:spacing w:line="360" w:lineRule="auto"/>
        <w:jc w:val="both"/>
        <w:rPr>
          <w:rFonts w:ascii="Palatino Linotype" w:eastAsia="Palatino Linotype" w:hAnsi="Palatino Linotype" w:cs="Palatino Linotype"/>
        </w:rPr>
      </w:pPr>
    </w:p>
    <w:p w14:paraId="53EE9A7D" w14:textId="77777777" w:rsidR="00A7334B" w:rsidRDefault="000A1F10">
      <w:pPr>
        <w:spacing w:line="276" w:lineRule="auto"/>
        <w:ind w:left="851" w:right="616"/>
        <w:jc w:val="both"/>
        <w:rPr>
          <w:b/>
          <w:i/>
        </w:rPr>
      </w:pPr>
      <w:r>
        <w:rPr>
          <w:i/>
        </w:rPr>
        <w:t>“</w:t>
      </w:r>
      <w:r>
        <w:rPr>
          <w:b/>
          <w:i/>
        </w:rPr>
        <w:t>Atribuciones</w:t>
      </w:r>
    </w:p>
    <w:p w14:paraId="03A98CDF" w14:textId="77777777" w:rsidR="00A7334B" w:rsidRDefault="000A1F10">
      <w:pPr>
        <w:spacing w:line="276" w:lineRule="auto"/>
        <w:ind w:left="851" w:right="616"/>
        <w:jc w:val="both"/>
        <w:rPr>
          <w:i/>
        </w:rPr>
      </w:pPr>
      <w:proofErr w:type="gramStart"/>
      <w:r>
        <w:rPr>
          <w:b/>
          <w:i/>
        </w:rPr>
        <w:t>QUINTO</w:t>
      </w:r>
      <w:r>
        <w:rPr>
          <w:i/>
        </w:rPr>
        <w:t>.-</w:t>
      </w:r>
      <w:proofErr w:type="gramEnd"/>
      <w:r>
        <w:rPr>
          <w:i/>
        </w:rPr>
        <w:t xml:space="preserve"> Para el cumplimiento de su objeto, el COCOE tendrá las siguientes atribuciones y obligaciones:</w:t>
      </w:r>
    </w:p>
    <w:p w14:paraId="1A8E0A3A" w14:textId="77777777" w:rsidR="00A7334B" w:rsidRDefault="000A1F10">
      <w:pPr>
        <w:spacing w:line="276" w:lineRule="auto"/>
        <w:ind w:left="851" w:right="616"/>
        <w:jc w:val="both"/>
        <w:rPr>
          <w:i/>
        </w:rPr>
      </w:pPr>
      <w:r>
        <w:rPr>
          <w:i/>
        </w:rPr>
        <w:t>…</w:t>
      </w:r>
    </w:p>
    <w:p w14:paraId="562B03EC" w14:textId="77777777" w:rsidR="00A7334B" w:rsidRDefault="000A1F10">
      <w:pPr>
        <w:spacing w:line="276" w:lineRule="auto"/>
        <w:ind w:left="851" w:right="616"/>
        <w:jc w:val="both"/>
        <w:rPr>
          <w:rFonts w:ascii="Palatino Linotype" w:eastAsia="Palatino Linotype" w:hAnsi="Palatino Linotype" w:cs="Palatino Linotype"/>
          <w:i/>
        </w:rPr>
      </w:pPr>
      <w:r>
        <w:rPr>
          <w:i/>
        </w:rPr>
        <w:t xml:space="preserve">VII. Analizar el contenido de los informes resultantes de auditoría externa y </w:t>
      </w:r>
      <w:r>
        <w:rPr>
          <w:b/>
          <w:i/>
          <w:u w:val="single"/>
        </w:rPr>
        <w:t>vigilar que se cumplan sus recomendaciones</w:t>
      </w:r>
      <w:r>
        <w:rPr>
          <w:i/>
        </w:rPr>
        <w:t>;”</w:t>
      </w:r>
    </w:p>
    <w:p w14:paraId="4B425F0F" w14:textId="77777777" w:rsidR="00A7334B" w:rsidRDefault="00A7334B">
      <w:pPr>
        <w:spacing w:line="360" w:lineRule="auto"/>
        <w:jc w:val="both"/>
        <w:rPr>
          <w:rFonts w:ascii="Palatino Linotype" w:eastAsia="Palatino Linotype" w:hAnsi="Palatino Linotype" w:cs="Palatino Linotype"/>
        </w:rPr>
      </w:pPr>
    </w:p>
    <w:p w14:paraId="4C45929F" w14:textId="77777777" w:rsidR="00A7334B" w:rsidRDefault="000A1F1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Precepto normativo del que se desprende como atribución del Comité de Control y Evaluación el análisis del contenido de los informes resultantes de auditoría externa; así como, vigilar que se cumplan sus recomendaciones. </w:t>
      </w:r>
    </w:p>
    <w:p w14:paraId="2416C53D" w14:textId="77777777" w:rsidR="00A7334B" w:rsidRDefault="00A7334B">
      <w:pPr>
        <w:spacing w:line="360" w:lineRule="auto"/>
        <w:jc w:val="both"/>
        <w:rPr>
          <w:rFonts w:ascii="Palatino Linotype" w:eastAsia="Palatino Linotype" w:hAnsi="Palatino Linotype" w:cs="Palatino Linotype"/>
        </w:rPr>
      </w:pPr>
    </w:p>
    <w:p w14:paraId="18998915" w14:textId="77777777" w:rsidR="00A7334B" w:rsidRDefault="000A1F1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lo anterior, que el Titular del Órgano Interno de Control con atribuciones para conocer la información solicitada por formar parte de dicho Comité como </w:t>
      </w:r>
      <w:proofErr w:type="gramStart"/>
      <w:r>
        <w:rPr>
          <w:rFonts w:ascii="Palatino Linotype" w:eastAsia="Palatino Linotype" w:hAnsi="Palatino Linotype" w:cs="Palatino Linotype"/>
        </w:rPr>
        <w:t>Secretario</w:t>
      </w:r>
      <w:proofErr w:type="gramEnd"/>
      <w:r>
        <w:rPr>
          <w:rFonts w:ascii="Palatino Linotype" w:eastAsia="Palatino Linotype" w:hAnsi="Palatino Linotype" w:cs="Palatino Linotype"/>
        </w:rPr>
        <w:t xml:space="preserve"> técnico informó a través del informe justificado, lo siguiente: </w:t>
      </w:r>
    </w:p>
    <w:p w14:paraId="552CAEE3" w14:textId="77777777" w:rsidR="00A7334B" w:rsidRDefault="00A7334B">
      <w:pPr>
        <w:spacing w:line="276" w:lineRule="auto"/>
        <w:ind w:left="851" w:right="616"/>
        <w:jc w:val="both"/>
        <w:rPr>
          <w:rFonts w:ascii="Palatino Linotype" w:eastAsia="Palatino Linotype" w:hAnsi="Palatino Linotype" w:cs="Palatino Linotype"/>
        </w:rPr>
      </w:pPr>
    </w:p>
    <w:p w14:paraId="2E3E2683" w14:textId="77777777" w:rsidR="00A7334B" w:rsidRDefault="000A1F10">
      <w:pPr>
        <w:spacing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rPr>
        <w:t>“</w:t>
      </w:r>
      <w:r>
        <w:rPr>
          <w:rFonts w:ascii="Palatino Linotype" w:eastAsia="Palatino Linotype" w:hAnsi="Palatino Linotype" w:cs="Palatino Linotype"/>
          <w:i/>
        </w:rPr>
        <w:t xml:space="preserve">Por cuanto hace a las soluciones y/o recomendaciones emitidas por el Órgano Interno de Control como puede desprenderse de la lectura del contenido de las </w:t>
      </w:r>
      <w:r>
        <w:rPr>
          <w:rFonts w:ascii="Palatino Linotype" w:eastAsia="Palatino Linotype" w:hAnsi="Palatino Linotype" w:cs="Palatino Linotype"/>
          <w:i/>
        </w:rPr>
        <w:lastRenderedPageBreak/>
        <w:t>actas del COCOE</w:t>
      </w:r>
      <w:r>
        <w:rPr>
          <w:rFonts w:ascii="Palatino Linotype" w:eastAsia="Palatino Linotype" w:hAnsi="Palatino Linotype" w:cs="Palatino Linotype"/>
          <w:b/>
          <w:i/>
          <w:u w:val="single"/>
        </w:rPr>
        <w:t>, no se han emitido, por tanto, no se ha generado documentación al respecto</w:t>
      </w:r>
      <w:r>
        <w:rPr>
          <w:rFonts w:ascii="Palatino Linotype" w:eastAsia="Palatino Linotype" w:hAnsi="Palatino Linotype" w:cs="Palatino Linotype"/>
          <w:i/>
        </w:rPr>
        <w:t xml:space="preserve">.” </w:t>
      </w:r>
    </w:p>
    <w:p w14:paraId="21584695" w14:textId="77777777" w:rsidR="00A7334B" w:rsidRDefault="00A7334B">
      <w:pPr>
        <w:spacing w:line="360" w:lineRule="auto"/>
        <w:jc w:val="both"/>
        <w:rPr>
          <w:rFonts w:ascii="Palatino Linotype" w:eastAsia="Palatino Linotype" w:hAnsi="Palatino Linotype" w:cs="Palatino Linotype"/>
        </w:rPr>
      </w:pPr>
    </w:p>
    <w:p w14:paraId="5298978C"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w:t>
      </w:r>
      <w:proofErr w:type="gramStart"/>
      <w:r>
        <w:rPr>
          <w:rFonts w:ascii="Palatino Linotype" w:eastAsia="Palatino Linotype" w:hAnsi="Palatino Linotype" w:cs="Palatino Linotype"/>
        </w:rPr>
        <w:t>consiguiente</w:t>
      </w:r>
      <w:proofErr w:type="gramEnd"/>
      <w:r>
        <w:rPr>
          <w:rFonts w:ascii="Palatino Linotype" w:eastAsia="Palatino Linotype" w:hAnsi="Palatino Linotype" w:cs="Palatino Linotype"/>
        </w:rPr>
        <w:t xml:space="preserve"> toda vez que no posee, administra ni genera la información requerida por el particular, constituye un hecho negativo; entonces, si se considera el hecho negativo, es obvio que éste no puede fácticamente obrar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ya que no puede probarse por ser lógica y materialmente imposible.</w:t>
      </w:r>
    </w:p>
    <w:p w14:paraId="42FAB265"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14:paraId="269AB30C"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Encontrándonos ante un hecho negativo, destacando entonces que el Pleno de este Organismo Garante, ha sostenido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17D38B7C" w14:textId="77777777" w:rsidR="00A7334B" w:rsidRDefault="000A1F10">
      <w:pPr>
        <w:spacing w:line="360" w:lineRule="auto"/>
        <w:ind w:left="851"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HECHOS NEGATIVOS, NO SON SUSCEPTIBLES DE DEMOSTRACIÓN. </w:t>
      </w:r>
    </w:p>
    <w:p w14:paraId="299AC966" w14:textId="77777777" w:rsidR="00A7334B" w:rsidRDefault="000A1F10">
      <w:pPr>
        <w:spacing w:line="360" w:lineRule="auto"/>
        <w:ind w:left="851"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Tratándose de un hecho negativo, el Juez no tiene </w:t>
      </w:r>
      <w:proofErr w:type="spellStart"/>
      <w:r>
        <w:rPr>
          <w:rFonts w:ascii="Palatino Linotype" w:eastAsia="Palatino Linotype" w:hAnsi="Palatino Linotype" w:cs="Palatino Linotype"/>
          <w:i/>
          <w:sz w:val="22"/>
          <w:szCs w:val="22"/>
        </w:rPr>
        <w:t>por que</w:t>
      </w:r>
      <w:proofErr w:type="spellEnd"/>
      <w:r>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322D0E1F" w14:textId="77777777" w:rsidR="00A7334B" w:rsidRDefault="000A1F10">
      <w:pPr>
        <w:spacing w:line="360" w:lineRule="auto"/>
        <w:ind w:left="851"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Amparo en revisión 2022/61. José García </w:t>
      </w:r>
      <w:proofErr w:type="gramStart"/>
      <w:r>
        <w:rPr>
          <w:rFonts w:ascii="Palatino Linotype" w:eastAsia="Palatino Linotype" w:hAnsi="Palatino Linotype" w:cs="Palatino Linotype"/>
          <w:i/>
          <w:sz w:val="22"/>
          <w:szCs w:val="22"/>
        </w:rPr>
        <w:t>Florín</w:t>
      </w:r>
      <w:proofErr w:type="gramEnd"/>
      <w:r>
        <w:rPr>
          <w:rFonts w:ascii="Palatino Linotype" w:eastAsia="Palatino Linotype" w:hAnsi="Palatino Linotype" w:cs="Palatino Linotype"/>
          <w:i/>
          <w:sz w:val="22"/>
          <w:szCs w:val="22"/>
        </w:rPr>
        <w:t xml:space="preserve"> (Menor). 9 de octubre de 1961. Cinco votos. Ponente: José Rivera Pérez Campos.”</w:t>
      </w:r>
    </w:p>
    <w:p w14:paraId="05837A5B" w14:textId="77777777" w:rsidR="00A7334B" w:rsidRDefault="000A1F10">
      <w:pPr>
        <w:spacing w:before="280" w:after="280"/>
        <w:ind w:right="902"/>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anterior, para robustecer lo siguiente, se anexa el siguiente criterio:</w:t>
      </w:r>
    </w:p>
    <w:p w14:paraId="1FF9A64A" w14:textId="77777777" w:rsidR="00A7334B" w:rsidRDefault="000A1F10">
      <w:pPr>
        <w:spacing w:before="280" w:after="280" w:line="276" w:lineRule="auto"/>
        <w:ind w:left="85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“HECHO NEGATIVO. DIFERENCIA CON LA INEXISTENCIA DE LA INFORMACIÓN A LA QUE REFIERE EL ARTICULO 19 DE LA LEY DE TRANSPARENCIA Y ACCESO A LA INFORMACIÓN PÚBLICA DEL ESTADO DE MÉXICO Y MUNICIPIOS.</w:t>
      </w:r>
      <w:r>
        <w:rPr>
          <w:rFonts w:ascii="Palatino Linotype" w:eastAsia="Palatino Linotype" w:hAnsi="Palatino Linotype" w:cs="Palatino Linotype"/>
          <w:i/>
          <w:sz w:val="22"/>
          <w:szCs w:val="22"/>
        </w:rPr>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476D2552"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sólo proporcionará la información que obra en sus archivos, lo que a</w:t>
      </w:r>
      <w:r>
        <w:rPr>
          <w:rFonts w:ascii="Palatino Linotype" w:eastAsia="Palatino Linotype" w:hAnsi="Palatino Linotype" w:cs="Palatino Linotype"/>
          <w:i/>
        </w:rPr>
        <w:t xml:space="preserve"> contrario sensu</w:t>
      </w:r>
      <w:r>
        <w:rPr>
          <w:rFonts w:ascii="Palatino Linotype" w:eastAsia="Palatino Linotype" w:hAnsi="Palatino Linotype" w:cs="Palatino Linotype"/>
        </w:rPr>
        <w:t xml:space="preserve"> significa que no se está obligado a </w:t>
      </w:r>
      <w:r>
        <w:rPr>
          <w:rFonts w:ascii="Palatino Linotype" w:eastAsia="Palatino Linotype" w:hAnsi="Palatino Linotype" w:cs="Palatino Linotype"/>
        </w:rPr>
        <w:lastRenderedPageBreak/>
        <w:t>proporcionar lo que no obre en sus archivos; por ende, las razones o motivos de inconformidad al respecto devienen infundados.</w:t>
      </w:r>
    </w:p>
    <w:p w14:paraId="413D9CB8" w14:textId="77777777" w:rsidR="00A7334B" w:rsidRDefault="000A1F10">
      <w:pPr>
        <w:pBdr>
          <w:top w:val="nil"/>
          <w:left w:val="nil"/>
          <w:bottom w:val="nil"/>
          <w:right w:val="nil"/>
          <w:between w:val="nil"/>
        </w:pBdr>
        <w:spacing w:line="360" w:lineRule="auto"/>
        <w:ind w:right="96"/>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y 186 fracción II de la Ley de Transparencia y Acceso a la Información Pública del Estado de México y Municipios, este Pleno:</w:t>
      </w:r>
    </w:p>
    <w:p w14:paraId="73B22831" w14:textId="77777777" w:rsidR="00A7334B" w:rsidRDefault="00A7334B">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14BCC87B" w14:textId="77777777" w:rsidR="00A7334B" w:rsidRDefault="000A1F10">
      <w:pPr>
        <w:numPr>
          <w:ilvl w:val="0"/>
          <w:numId w:val="7"/>
        </w:numPr>
        <w:pBdr>
          <w:top w:val="nil"/>
          <w:left w:val="nil"/>
          <w:bottom w:val="nil"/>
          <w:right w:val="nil"/>
          <w:between w:val="nil"/>
        </w:pBdr>
        <w:spacing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2963C0B8" w14:textId="77777777" w:rsidR="00A7334B" w:rsidRDefault="000A1F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01057/INFOEM/IP/RR/2023;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72E528DC" w14:textId="77777777" w:rsidR="00A7334B" w:rsidRDefault="000A1F1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haga entrega vía SAIMEX,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lo siguiente:</w:t>
      </w:r>
    </w:p>
    <w:p w14:paraId="5C5D6DD7" w14:textId="77777777" w:rsidR="00A7334B" w:rsidRDefault="00A7334B">
      <w:pPr>
        <w:spacing w:line="360" w:lineRule="auto"/>
        <w:jc w:val="both"/>
        <w:rPr>
          <w:rFonts w:ascii="Palatino Linotype" w:eastAsia="Palatino Linotype" w:hAnsi="Palatino Linotype" w:cs="Palatino Linotype"/>
        </w:rPr>
      </w:pPr>
    </w:p>
    <w:p w14:paraId="074BBCEE" w14:textId="77777777" w:rsidR="00A7334B" w:rsidRDefault="000A1F10">
      <w:pPr>
        <w:numPr>
          <w:ilvl w:val="0"/>
          <w:numId w:val="5"/>
        </w:numPr>
        <w:pBdr>
          <w:top w:val="nil"/>
          <w:left w:val="nil"/>
          <w:bottom w:val="nil"/>
          <w:right w:val="nil"/>
          <w:between w:val="nil"/>
        </w:pBdr>
        <w:ind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Acuerdo que emita el Comité de Transparencia mediante el que declare formalmente la inexistencia del Estatuto de Operación del Comité de Control y Evaluación, en términos de los artículos 19, 49, fracciones II y XIII, 169 y 170 de la Ley de Transparencia y Acceso a la Información Pública del Estado de México y Municipios. </w:t>
      </w:r>
    </w:p>
    <w:p w14:paraId="7F9BB88B" w14:textId="77777777" w:rsidR="00A7334B" w:rsidRDefault="00A7334B">
      <w:pPr>
        <w:spacing w:line="360" w:lineRule="auto"/>
        <w:ind w:right="49"/>
        <w:jc w:val="both"/>
        <w:rPr>
          <w:rFonts w:ascii="Palatino Linotype" w:eastAsia="Palatino Linotype" w:hAnsi="Palatino Linotype" w:cs="Palatino Linotype"/>
          <w:b/>
          <w:color w:val="000000"/>
        </w:rPr>
      </w:pPr>
    </w:p>
    <w:p w14:paraId="1403B4A5" w14:textId="77777777" w:rsidR="00A7334B" w:rsidRDefault="000A1F10">
      <w:pPr>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color w:val="000000"/>
        </w:rPr>
        <w:t xml:space="preserve">Tercero. Notifíquese, </w:t>
      </w:r>
      <w:r>
        <w:rPr>
          <w:rFonts w:ascii="Palatino Linotype" w:eastAsia="Palatino Linotype" w:hAnsi="Palatino Linotype" w:cs="Palatino Linotype"/>
          <w:color w:val="000000"/>
        </w:rPr>
        <w:t xml:space="preserve">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al Titular de la Unidad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la presente resolución para que conforme a los artículos 186, </w:t>
      </w:r>
      <w:r>
        <w:rPr>
          <w:rFonts w:ascii="Palatino Linotype" w:eastAsia="Palatino Linotype" w:hAnsi="Palatino Linotype" w:cs="Palatino Linotype"/>
          <w:color w:val="000000"/>
        </w:rPr>
        <w:lastRenderedPageBreak/>
        <w:t>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Pr>
          <w:rFonts w:ascii="Palatino Linotype" w:eastAsia="Palatino Linotype" w:hAnsi="Palatino Linotype" w:cs="Palatino Linotype"/>
          <w:highlight w:val="white"/>
        </w:rPr>
        <w:t>.</w:t>
      </w:r>
    </w:p>
    <w:p w14:paraId="6D35D310" w14:textId="77777777" w:rsidR="00A7334B" w:rsidRDefault="000A1F10">
      <w:pPr>
        <w:spacing w:before="240" w:after="240" w:line="360"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44EF04B3" w14:textId="77777777" w:rsidR="00A7334B" w:rsidRDefault="000A1F1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 manera fundada y motivada, podrá solicitar una ampliación de plazo para el cumplimiento de la presente resolución.</w:t>
      </w:r>
    </w:p>
    <w:p w14:paraId="2094127B" w14:textId="77777777" w:rsidR="00A7334B" w:rsidRDefault="000A1F10">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QUINTA SESIÓN ORDINARIA CELEBRADA EL TRECE DE DICIEMBRE DE DOS MIL VEINTITRÉS, ANTE EL SECRETARIO TÉCNICO DEL PLENO, ALEXIS TAPIA RAMÍREZ.</w:t>
      </w:r>
    </w:p>
    <w:p w14:paraId="6B95CF26" w14:textId="77777777" w:rsidR="00A7334B" w:rsidRDefault="00A7334B">
      <w:pPr>
        <w:spacing w:before="240" w:after="240"/>
        <w:jc w:val="both"/>
        <w:rPr>
          <w:rFonts w:ascii="Palatino Linotype" w:eastAsia="Palatino Linotype" w:hAnsi="Palatino Linotype" w:cs="Palatino Linotype"/>
          <w:sz w:val="20"/>
          <w:szCs w:val="20"/>
        </w:rPr>
      </w:pPr>
    </w:p>
    <w:p w14:paraId="6D38D62B" w14:textId="77777777" w:rsidR="00A7334B" w:rsidRDefault="00A7334B">
      <w:pPr>
        <w:spacing w:before="240" w:after="240"/>
        <w:jc w:val="both"/>
        <w:rPr>
          <w:rFonts w:ascii="Palatino Linotype" w:eastAsia="Palatino Linotype" w:hAnsi="Palatino Linotype" w:cs="Palatino Linotype"/>
          <w:sz w:val="20"/>
          <w:szCs w:val="20"/>
        </w:rPr>
      </w:pPr>
    </w:p>
    <w:p w14:paraId="387D2915" w14:textId="77777777" w:rsidR="00A7334B" w:rsidRDefault="00A7334B">
      <w:pPr>
        <w:spacing w:before="240" w:after="240"/>
        <w:jc w:val="both"/>
        <w:rPr>
          <w:rFonts w:ascii="Palatino Linotype" w:eastAsia="Palatino Linotype" w:hAnsi="Palatino Linotype" w:cs="Palatino Linotype"/>
          <w:sz w:val="20"/>
          <w:szCs w:val="20"/>
        </w:rPr>
      </w:pPr>
    </w:p>
    <w:p w14:paraId="349DCF0A" w14:textId="77777777" w:rsidR="00A7334B" w:rsidRDefault="00A7334B">
      <w:pPr>
        <w:spacing w:before="240" w:after="240"/>
        <w:jc w:val="both"/>
        <w:rPr>
          <w:rFonts w:ascii="Palatino Linotype" w:eastAsia="Palatino Linotype" w:hAnsi="Palatino Linotype" w:cs="Palatino Linotype"/>
          <w:sz w:val="20"/>
          <w:szCs w:val="20"/>
        </w:rPr>
      </w:pPr>
    </w:p>
    <w:p w14:paraId="251C8641" w14:textId="77777777" w:rsidR="00A7334B" w:rsidRDefault="00A7334B">
      <w:pPr>
        <w:spacing w:before="240" w:after="240"/>
        <w:jc w:val="both"/>
        <w:rPr>
          <w:rFonts w:ascii="Palatino Linotype" w:eastAsia="Palatino Linotype" w:hAnsi="Palatino Linotype" w:cs="Palatino Linotype"/>
          <w:sz w:val="20"/>
          <w:szCs w:val="20"/>
        </w:rPr>
      </w:pPr>
    </w:p>
    <w:p w14:paraId="52573A5D" w14:textId="77777777" w:rsidR="00A7334B" w:rsidRDefault="00A7334B">
      <w:pPr>
        <w:spacing w:before="240" w:after="240"/>
        <w:jc w:val="both"/>
        <w:rPr>
          <w:rFonts w:ascii="Palatino Linotype" w:eastAsia="Palatino Linotype" w:hAnsi="Palatino Linotype" w:cs="Palatino Linotype"/>
          <w:sz w:val="20"/>
          <w:szCs w:val="20"/>
        </w:rPr>
      </w:pPr>
    </w:p>
    <w:p w14:paraId="7766D7F3" w14:textId="77777777" w:rsidR="00A7334B" w:rsidRDefault="00A7334B">
      <w:pPr>
        <w:spacing w:before="240" w:after="240"/>
        <w:jc w:val="both"/>
        <w:rPr>
          <w:rFonts w:ascii="Palatino Linotype" w:eastAsia="Palatino Linotype" w:hAnsi="Palatino Linotype" w:cs="Palatino Linotype"/>
          <w:sz w:val="20"/>
          <w:szCs w:val="20"/>
        </w:rPr>
      </w:pPr>
    </w:p>
    <w:p w14:paraId="3F778122" w14:textId="77777777" w:rsidR="00A7334B" w:rsidRDefault="00A7334B">
      <w:pPr>
        <w:spacing w:before="240" w:after="240"/>
        <w:jc w:val="both"/>
        <w:rPr>
          <w:rFonts w:ascii="Palatino Linotype" w:eastAsia="Palatino Linotype" w:hAnsi="Palatino Linotype" w:cs="Palatino Linotype"/>
          <w:sz w:val="20"/>
          <w:szCs w:val="20"/>
        </w:rPr>
      </w:pPr>
    </w:p>
    <w:p w14:paraId="66A1D8EE" w14:textId="77777777" w:rsidR="00A7334B" w:rsidRDefault="00A7334B">
      <w:pPr>
        <w:spacing w:before="240" w:after="240"/>
        <w:jc w:val="both"/>
        <w:rPr>
          <w:rFonts w:ascii="Palatino Linotype" w:eastAsia="Palatino Linotype" w:hAnsi="Palatino Linotype" w:cs="Palatino Linotype"/>
          <w:sz w:val="20"/>
          <w:szCs w:val="20"/>
        </w:rPr>
      </w:pPr>
    </w:p>
    <w:p w14:paraId="6A0C0BA8" w14:textId="77777777" w:rsidR="00A7334B" w:rsidRDefault="00A7334B">
      <w:pPr>
        <w:spacing w:before="240" w:after="240"/>
        <w:jc w:val="both"/>
        <w:rPr>
          <w:rFonts w:ascii="Palatino Linotype" w:eastAsia="Palatino Linotype" w:hAnsi="Palatino Linotype" w:cs="Palatino Linotype"/>
          <w:sz w:val="20"/>
          <w:szCs w:val="20"/>
        </w:rPr>
      </w:pPr>
    </w:p>
    <w:p w14:paraId="6B282D21" w14:textId="77777777" w:rsidR="00A7334B" w:rsidRDefault="00A7334B">
      <w:pPr>
        <w:spacing w:before="240" w:after="240"/>
        <w:jc w:val="both"/>
        <w:rPr>
          <w:rFonts w:ascii="Palatino Linotype" w:eastAsia="Palatino Linotype" w:hAnsi="Palatino Linotype" w:cs="Palatino Linotype"/>
          <w:sz w:val="20"/>
          <w:szCs w:val="20"/>
        </w:rPr>
      </w:pPr>
    </w:p>
    <w:p w14:paraId="7F5849EA" w14:textId="77777777" w:rsidR="00A7334B" w:rsidRDefault="00A7334B">
      <w:pPr>
        <w:spacing w:before="240" w:after="240"/>
        <w:jc w:val="both"/>
        <w:rPr>
          <w:rFonts w:ascii="Palatino Linotype" w:eastAsia="Palatino Linotype" w:hAnsi="Palatino Linotype" w:cs="Palatino Linotype"/>
          <w:sz w:val="20"/>
          <w:szCs w:val="20"/>
        </w:rPr>
      </w:pPr>
    </w:p>
    <w:p w14:paraId="79188AD1" w14:textId="77777777" w:rsidR="00A7334B" w:rsidRDefault="00A7334B">
      <w:pPr>
        <w:spacing w:before="240" w:after="240"/>
        <w:jc w:val="both"/>
        <w:rPr>
          <w:rFonts w:ascii="Palatino Linotype" w:eastAsia="Palatino Linotype" w:hAnsi="Palatino Linotype" w:cs="Palatino Linotype"/>
          <w:sz w:val="20"/>
          <w:szCs w:val="20"/>
        </w:rPr>
      </w:pPr>
    </w:p>
    <w:p w14:paraId="3D927B06" w14:textId="77777777" w:rsidR="00A7334B" w:rsidRDefault="00A7334B">
      <w:pPr>
        <w:spacing w:before="240" w:after="240"/>
        <w:jc w:val="both"/>
        <w:rPr>
          <w:rFonts w:ascii="Palatino Linotype" w:eastAsia="Palatino Linotype" w:hAnsi="Palatino Linotype" w:cs="Palatino Linotype"/>
          <w:sz w:val="20"/>
          <w:szCs w:val="20"/>
        </w:rPr>
      </w:pPr>
    </w:p>
    <w:p w14:paraId="37865BD7" w14:textId="77777777" w:rsidR="00A7334B" w:rsidRDefault="00A7334B">
      <w:pPr>
        <w:spacing w:before="240" w:after="240"/>
        <w:jc w:val="both"/>
        <w:rPr>
          <w:rFonts w:ascii="Palatino Linotype" w:eastAsia="Palatino Linotype" w:hAnsi="Palatino Linotype" w:cs="Palatino Linotype"/>
          <w:sz w:val="20"/>
          <w:szCs w:val="20"/>
        </w:rPr>
      </w:pPr>
    </w:p>
    <w:p w14:paraId="387E0599" w14:textId="77777777" w:rsidR="00A7334B" w:rsidRDefault="00A7334B">
      <w:pPr>
        <w:spacing w:before="240" w:after="240"/>
        <w:jc w:val="both"/>
        <w:rPr>
          <w:rFonts w:ascii="Palatino Linotype" w:eastAsia="Palatino Linotype" w:hAnsi="Palatino Linotype" w:cs="Palatino Linotype"/>
          <w:sz w:val="20"/>
          <w:szCs w:val="20"/>
        </w:rPr>
      </w:pPr>
    </w:p>
    <w:p w14:paraId="55A984CA" w14:textId="77777777" w:rsidR="00A7334B" w:rsidRDefault="00A7334B">
      <w:pPr>
        <w:spacing w:before="240" w:after="240"/>
        <w:jc w:val="both"/>
        <w:rPr>
          <w:rFonts w:ascii="Palatino Linotype" w:eastAsia="Palatino Linotype" w:hAnsi="Palatino Linotype" w:cs="Palatino Linotype"/>
          <w:sz w:val="20"/>
          <w:szCs w:val="20"/>
        </w:rPr>
      </w:pPr>
    </w:p>
    <w:p w14:paraId="63581ACA" w14:textId="77777777" w:rsidR="00A7334B" w:rsidRDefault="00A7334B">
      <w:pPr>
        <w:spacing w:before="240" w:after="240"/>
        <w:jc w:val="both"/>
        <w:rPr>
          <w:rFonts w:ascii="Palatino Linotype" w:eastAsia="Palatino Linotype" w:hAnsi="Palatino Linotype" w:cs="Palatino Linotype"/>
          <w:sz w:val="20"/>
          <w:szCs w:val="20"/>
        </w:rPr>
      </w:pPr>
    </w:p>
    <w:p w14:paraId="46089651" w14:textId="77777777" w:rsidR="00A7334B" w:rsidRDefault="00A7334B">
      <w:pPr>
        <w:spacing w:before="240" w:after="240"/>
        <w:jc w:val="both"/>
        <w:rPr>
          <w:rFonts w:ascii="Palatino Linotype" w:eastAsia="Palatino Linotype" w:hAnsi="Palatino Linotype" w:cs="Palatino Linotype"/>
          <w:sz w:val="20"/>
          <w:szCs w:val="20"/>
        </w:rPr>
      </w:pPr>
    </w:p>
    <w:p w14:paraId="527B8095" w14:textId="77777777" w:rsidR="00A7334B" w:rsidRDefault="00A7334B">
      <w:pPr>
        <w:spacing w:before="240" w:after="240"/>
        <w:jc w:val="both"/>
        <w:rPr>
          <w:rFonts w:ascii="Palatino Linotype" w:eastAsia="Palatino Linotype" w:hAnsi="Palatino Linotype" w:cs="Palatino Linotype"/>
          <w:sz w:val="20"/>
          <w:szCs w:val="20"/>
        </w:rPr>
      </w:pPr>
    </w:p>
    <w:p w14:paraId="6700C831" w14:textId="77777777" w:rsidR="00A7334B" w:rsidRDefault="00A7334B">
      <w:pPr>
        <w:spacing w:before="240" w:after="240"/>
        <w:jc w:val="both"/>
        <w:rPr>
          <w:rFonts w:ascii="Palatino Linotype" w:eastAsia="Palatino Linotype" w:hAnsi="Palatino Linotype" w:cs="Palatino Linotype"/>
          <w:sz w:val="20"/>
          <w:szCs w:val="20"/>
        </w:rPr>
      </w:pPr>
    </w:p>
    <w:p w14:paraId="240CE781" w14:textId="77777777" w:rsidR="00A7334B" w:rsidRDefault="00A7334B">
      <w:pPr>
        <w:spacing w:before="240" w:after="240"/>
        <w:jc w:val="both"/>
        <w:rPr>
          <w:rFonts w:ascii="Palatino Linotype" w:eastAsia="Palatino Linotype" w:hAnsi="Palatino Linotype" w:cs="Palatino Linotype"/>
          <w:sz w:val="20"/>
          <w:szCs w:val="20"/>
        </w:rPr>
      </w:pPr>
    </w:p>
    <w:p w14:paraId="1E1A0254" w14:textId="77777777" w:rsidR="00A7334B" w:rsidRDefault="00A7334B">
      <w:pPr>
        <w:spacing w:before="240" w:after="240"/>
        <w:jc w:val="both"/>
        <w:rPr>
          <w:rFonts w:ascii="Palatino Linotype" w:eastAsia="Palatino Linotype" w:hAnsi="Palatino Linotype" w:cs="Palatino Linotype"/>
          <w:sz w:val="20"/>
          <w:szCs w:val="20"/>
        </w:rPr>
      </w:pPr>
    </w:p>
    <w:sectPr w:rsidR="00A7334B">
      <w:headerReference w:type="default" r:id="rId33"/>
      <w:footerReference w:type="default" r:id="rId34"/>
      <w:headerReference w:type="first" r:id="rId35"/>
      <w:footerReference w:type="first" r:id="rId3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1E8F7" w14:textId="77777777" w:rsidR="00203F64" w:rsidRDefault="00203F64">
      <w:r>
        <w:separator/>
      </w:r>
    </w:p>
  </w:endnote>
  <w:endnote w:type="continuationSeparator" w:id="0">
    <w:p w14:paraId="4C68CC94" w14:textId="77777777" w:rsidR="00203F64" w:rsidRDefault="00203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089BC" w14:textId="77777777" w:rsidR="00A7334B" w:rsidRDefault="000A1F1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A3F19">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A3F19">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2900ACCB" w14:textId="77777777" w:rsidR="00A7334B" w:rsidRDefault="00A7334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2047" w14:textId="77777777" w:rsidR="00A7334B" w:rsidRDefault="000A1F1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A3F1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A3F19">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2194402D" w14:textId="77777777" w:rsidR="00A7334B" w:rsidRDefault="00A7334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2AE6D" w14:textId="77777777" w:rsidR="00203F64" w:rsidRDefault="00203F64">
      <w:r>
        <w:separator/>
      </w:r>
    </w:p>
  </w:footnote>
  <w:footnote w:type="continuationSeparator" w:id="0">
    <w:p w14:paraId="1568A897" w14:textId="77777777" w:rsidR="00203F64" w:rsidRDefault="00203F64">
      <w:r>
        <w:continuationSeparator/>
      </w:r>
    </w:p>
  </w:footnote>
  <w:footnote w:id="1">
    <w:p w14:paraId="3E75FF3F" w14:textId="77777777" w:rsidR="00A7334B" w:rsidRDefault="000A1F1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FCDE82E" w14:textId="77777777" w:rsidR="00A7334B" w:rsidRDefault="000A1F1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F141F" w14:textId="77777777" w:rsidR="00A7334B" w:rsidRDefault="000A1F10">
    <w:pPr>
      <w:rPr>
        <w:rFonts w:ascii="Cambria" w:eastAsia="Cambria" w:hAnsi="Cambria" w:cs="Cambria"/>
        <w:color w:val="000000"/>
      </w:rPr>
    </w:pPr>
    <w:r>
      <w:rPr>
        <w:noProof/>
      </w:rPr>
      <w:drawing>
        <wp:anchor distT="0" distB="0" distL="0" distR="0" simplePos="0" relativeHeight="251658240" behindDoc="1" locked="0" layoutInCell="1" hidden="0" allowOverlap="1" wp14:anchorId="2A2ACD3E" wp14:editId="47108310">
          <wp:simplePos x="0" y="0"/>
          <wp:positionH relativeFrom="column">
            <wp:posOffset>-1080125</wp:posOffset>
          </wp:positionH>
          <wp:positionV relativeFrom="paragraph">
            <wp:posOffset>-396392</wp:posOffset>
          </wp:positionV>
          <wp:extent cx="7809865" cy="10165715"/>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1"/>
      <w:tblW w:w="6237" w:type="dxa"/>
      <w:tblInd w:w="2977" w:type="dxa"/>
      <w:tblLayout w:type="fixed"/>
      <w:tblLook w:val="0400" w:firstRow="0" w:lastRow="0" w:firstColumn="0" w:lastColumn="0" w:noHBand="0" w:noVBand="1"/>
    </w:tblPr>
    <w:tblGrid>
      <w:gridCol w:w="2489"/>
      <w:gridCol w:w="3748"/>
    </w:tblGrid>
    <w:tr w:rsidR="00A7334B" w14:paraId="10CFD3A2" w14:textId="77777777">
      <w:tc>
        <w:tcPr>
          <w:tcW w:w="2489" w:type="dxa"/>
          <w:shd w:val="clear" w:color="auto" w:fill="auto"/>
        </w:tcPr>
        <w:p w14:paraId="5E33A2A8" w14:textId="77777777" w:rsidR="00A7334B" w:rsidRDefault="000A1F1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48" w:type="dxa"/>
          <w:shd w:val="clear" w:color="auto" w:fill="auto"/>
          <w:vAlign w:val="center"/>
        </w:tcPr>
        <w:p w14:paraId="7DF3E61D" w14:textId="77777777" w:rsidR="00A7334B" w:rsidRDefault="000A1F10">
          <w:pPr>
            <w:ind w:right="175"/>
            <w:jc w:val="both"/>
            <w:rPr>
              <w:rFonts w:ascii="Palatino Linotype" w:eastAsia="Palatino Linotype" w:hAnsi="Palatino Linotype" w:cs="Palatino Linotype"/>
              <w:b/>
            </w:rPr>
          </w:pPr>
          <w:r>
            <w:rPr>
              <w:rFonts w:ascii="Palatino Linotype" w:eastAsia="Palatino Linotype" w:hAnsi="Palatino Linotype" w:cs="Palatino Linotype"/>
              <w:b/>
            </w:rPr>
            <w:t>01057/INFOEM/IP/RR/2023</w:t>
          </w:r>
        </w:p>
      </w:tc>
    </w:tr>
    <w:tr w:rsidR="00A7334B" w14:paraId="57438196" w14:textId="77777777">
      <w:trPr>
        <w:trHeight w:val="228"/>
      </w:trPr>
      <w:tc>
        <w:tcPr>
          <w:tcW w:w="2489" w:type="dxa"/>
          <w:shd w:val="clear" w:color="auto" w:fill="auto"/>
          <w:vAlign w:val="center"/>
        </w:tcPr>
        <w:p w14:paraId="0FF6B350" w14:textId="77777777" w:rsidR="00A7334B" w:rsidRDefault="000A1F10">
          <w:pPr>
            <w:ind w:left="-115" w:firstLine="11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48" w:type="dxa"/>
          <w:shd w:val="clear" w:color="auto" w:fill="auto"/>
          <w:vAlign w:val="center"/>
        </w:tcPr>
        <w:p w14:paraId="0649C627" w14:textId="77777777" w:rsidR="00A7334B" w:rsidRDefault="000A1F10">
          <w:pPr>
            <w:ind w:right="176"/>
            <w:jc w:val="both"/>
            <w:rPr>
              <w:rFonts w:ascii="Palatino Linotype" w:eastAsia="Palatino Linotype" w:hAnsi="Palatino Linotype" w:cs="Palatino Linotype"/>
              <w:b/>
            </w:rPr>
          </w:pPr>
          <w:r>
            <w:rPr>
              <w:rFonts w:ascii="Palatino Linotype" w:eastAsia="Palatino Linotype" w:hAnsi="Palatino Linotype" w:cs="Palatino Linotype"/>
              <w:b/>
            </w:rPr>
            <w:t>Fiscalía General de Justicia del Estado de México</w:t>
          </w:r>
        </w:p>
      </w:tc>
    </w:tr>
    <w:tr w:rsidR="00A7334B" w14:paraId="1E1FB952" w14:textId="77777777">
      <w:trPr>
        <w:trHeight w:val="311"/>
      </w:trPr>
      <w:tc>
        <w:tcPr>
          <w:tcW w:w="2489" w:type="dxa"/>
          <w:shd w:val="clear" w:color="auto" w:fill="auto"/>
          <w:vAlign w:val="center"/>
        </w:tcPr>
        <w:p w14:paraId="53CF32E7" w14:textId="77777777" w:rsidR="00A7334B" w:rsidRDefault="000A1F10">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48" w:type="dxa"/>
          <w:shd w:val="clear" w:color="auto" w:fill="auto"/>
          <w:vAlign w:val="center"/>
        </w:tcPr>
        <w:p w14:paraId="4EE0B8D6" w14:textId="77777777" w:rsidR="00A7334B" w:rsidRDefault="000A1F10">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2152E85" w14:textId="77777777" w:rsidR="00A7334B" w:rsidRDefault="000A1F1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5CA2" w14:textId="77777777" w:rsidR="00A7334B" w:rsidRDefault="000A1F1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F80D7D9" wp14:editId="6CE59445">
          <wp:simplePos x="0" y="0"/>
          <wp:positionH relativeFrom="column">
            <wp:posOffset>-1039494</wp:posOffset>
          </wp:positionH>
          <wp:positionV relativeFrom="paragraph">
            <wp:posOffset>-566419</wp:posOffset>
          </wp:positionV>
          <wp:extent cx="7809865" cy="10165715"/>
          <wp:effectExtent l="0" t="0" r="0" b="0"/>
          <wp:wrapNone/>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6379" w:type="dxa"/>
      <w:tblInd w:w="2410" w:type="dxa"/>
      <w:tblLayout w:type="fixed"/>
      <w:tblLook w:val="0400" w:firstRow="0" w:lastRow="0" w:firstColumn="0" w:lastColumn="0" w:noHBand="0" w:noVBand="1"/>
    </w:tblPr>
    <w:tblGrid>
      <w:gridCol w:w="2551"/>
      <w:gridCol w:w="3828"/>
    </w:tblGrid>
    <w:tr w:rsidR="00A7334B" w14:paraId="5347DF4C" w14:textId="77777777">
      <w:tc>
        <w:tcPr>
          <w:tcW w:w="2551" w:type="dxa"/>
          <w:shd w:val="clear" w:color="auto" w:fill="auto"/>
          <w:vAlign w:val="center"/>
        </w:tcPr>
        <w:p w14:paraId="1C02A92A" w14:textId="77777777" w:rsidR="00A7334B" w:rsidRDefault="000A1F1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28" w:type="dxa"/>
          <w:shd w:val="clear" w:color="auto" w:fill="auto"/>
          <w:vAlign w:val="center"/>
        </w:tcPr>
        <w:p w14:paraId="2D2082D5" w14:textId="77777777" w:rsidR="00A7334B" w:rsidRDefault="000A1F10">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01057/INFOEM/IP/RR/2023</w:t>
          </w:r>
        </w:p>
      </w:tc>
    </w:tr>
    <w:tr w:rsidR="00A7334B" w14:paraId="34238151" w14:textId="77777777">
      <w:trPr>
        <w:trHeight w:val="130"/>
      </w:trPr>
      <w:tc>
        <w:tcPr>
          <w:tcW w:w="2551" w:type="dxa"/>
          <w:shd w:val="clear" w:color="auto" w:fill="auto"/>
          <w:vAlign w:val="center"/>
        </w:tcPr>
        <w:p w14:paraId="074E501D" w14:textId="77777777" w:rsidR="00A7334B" w:rsidRDefault="000A1F10">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828" w:type="dxa"/>
          <w:shd w:val="clear" w:color="auto" w:fill="auto"/>
          <w:vAlign w:val="center"/>
        </w:tcPr>
        <w:p w14:paraId="6264126B" w14:textId="7C14C3DB" w:rsidR="00A7334B" w:rsidRDefault="001C79D8">
          <w:pPr>
            <w:jc w:val="both"/>
            <w:rPr>
              <w:rFonts w:ascii="Palatino Linotype" w:eastAsia="Palatino Linotype" w:hAnsi="Palatino Linotype" w:cs="Palatino Linotype"/>
              <w:b/>
            </w:rPr>
          </w:pPr>
          <w:r>
            <w:rPr>
              <w:rFonts w:ascii="Palatino Linotype" w:eastAsia="Palatino Linotype" w:hAnsi="Palatino Linotype" w:cs="Palatino Linotype"/>
              <w:b/>
            </w:rPr>
            <w:t>XXXXXX XXXXX</w:t>
          </w:r>
        </w:p>
      </w:tc>
    </w:tr>
    <w:tr w:rsidR="00A7334B" w14:paraId="34C8B2EB" w14:textId="77777777">
      <w:trPr>
        <w:trHeight w:val="228"/>
      </w:trPr>
      <w:tc>
        <w:tcPr>
          <w:tcW w:w="2551" w:type="dxa"/>
          <w:shd w:val="clear" w:color="auto" w:fill="auto"/>
          <w:vAlign w:val="center"/>
        </w:tcPr>
        <w:p w14:paraId="5124D039" w14:textId="77777777" w:rsidR="00A7334B" w:rsidRDefault="000A1F1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28" w:type="dxa"/>
          <w:shd w:val="clear" w:color="auto" w:fill="auto"/>
          <w:vAlign w:val="center"/>
        </w:tcPr>
        <w:p w14:paraId="0C5505B5" w14:textId="77777777" w:rsidR="00A7334B" w:rsidRDefault="000A1F10">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Fiscalía General de Justicia del Estado de México</w:t>
          </w:r>
        </w:p>
      </w:tc>
    </w:tr>
    <w:tr w:rsidR="00A7334B" w14:paraId="4574F07F" w14:textId="77777777">
      <w:tc>
        <w:tcPr>
          <w:tcW w:w="2551" w:type="dxa"/>
          <w:shd w:val="clear" w:color="auto" w:fill="auto"/>
          <w:vAlign w:val="center"/>
        </w:tcPr>
        <w:p w14:paraId="1284A3C3" w14:textId="77777777" w:rsidR="00A7334B" w:rsidRDefault="000A1F10">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28" w:type="dxa"/>
          <w:shd w:val="clear" w:color="auto" w:fill="auto"/>
          <w:vAlign w:val="center"/>
        </w:tcPr>
        <w:p w14:paraId="058B20C6" w14:textId="77777777" w:rsidR="00A7334B" w:rsidRDefault="000A1F10">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23B0431" w14:textId="77777777" w:rsidR="00A7334B" w:rsidRDefault="00A7334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5BDA"/>
    <w:multiLevelType w:val="multilevel"/>
    <w:tmpl w:val="1586F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AE71D9"/>
    <w:multiLevelType w:val="multilevel"/>
    <w:tmpl w:val="C620318A"/>
    <w:lvl w:ilvl="0">
      <w:start w:val="1"/>
      <w:numFmt w:val="upperRoman"/>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0C02FC"/>
    <w:multiLevelType w:val="multilevel"/>
    <w:tmpl w:val="67A8F85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50092E63"/>
    <w:multiLevelType w:val="multilevel"/>
    <w:tmpl w:val="ADD097D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928"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5C9632D1"/>
    <w:multiLevelType w:val="multilevel"/>
    <w:tmpl w:val="8370D7C0"/>
    <w:lvl w:ilvl="0">
      <w:start w:val="7"/>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061364C"/>
    <w:multiLevelType w:val="multilevel"/>
    <w:tmpl w:val="8C40D3F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4B122A9"/>
    <w:multiLevelType w:val="multilevel"/>
    <w:tmpl w:val="C6006530"/>
    <w:lvl w:ilvl="0">
      <w:start w:val="1"/>
      <w:numFmt w:val="lowerLetter"/>
      <w:lvlText w:val="%1)"/>
      <w:lvlJc w:val="left"/>
      <w:pPr>
        <w:ind w:left="1495" w:hanging="360"/>
      </w:pPr>
      <w:rPr>
        <w:rFonts w:ascii="Times New Roman" w:eastAsia="Times New Roman" w:hAnsi="Times New Roman" w:cs="Times New Roman"/>
        <w:b/>
      </w:r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7" w15:restartNumberingAfterBreak="0">
    <w:nsid w:val="6DD6712A"/>
    <w:multiLevelType w:val="multilevel"/>
    <w:tmpl w:val="5E3EC8D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2"/>
  </w:num>
  <w:num w:numId="2">
    <w:abstractNumId w:val="6"/>
  </w:num>
  <w:num w:numId="3">
    <w:abstractNumId w:val="0"/>
  </w:num>
  <w:num w:numId="4">
    <w:abstractNumId w:val="1"/>
  </w:num>
  <w:num w:numId="5">
    <w:abstractNumId w:val="4"/>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34B"/>
    <w:rsid w:val="000A1F10"/>
    <w:rsid w:val="001C79D8"/>
    <w:rsid w:val="00203F64"/>
    <w:rsid w:val="002A3F19"/>
    <w:rsid w:val="00524AB5"/>
    <w:rsid w:val="00A7334B"/>
    <w:rsid w:val="00B66872"/>
    <w:rsid w:val="00C14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B013A"/>
  <w15:docId w15:val="{8E50E5E2-D923-49D4-BFFF-030EEAE38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spacing w:after="160"/>
    </w:pPr>
    <w:rPr>
      <w:rFonts w:ascii="Cambria" w:eastAsia="Cambria" w:hAnsi="Cambria" w:cs="Cambria"/>
      <w:color w:val="5A5A5A"/>
      <w:sz w:val="22"/>
      <w:szCs w:val="2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sz w:val="22"/>
      <w:szCs w:val="22"/>
    </w:rPr>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1C79D8"/>
    <w:pPr>
      <w:tabs>
        <w:tab w:val="center" w:pos="4419"/>
        <w:tab w:val="right" w:pos="8838"/>
      </w:tabs>
    </w:pPr>
  </w:style>
  <w:style w:type="character" w:customStyle="1" w:styleId="EncabezadoCar">
    <w:name w:val="Encabezado Car"/>
    <w:basedOn w:val="Fuentedeprrafopredeter"/>
    <w:link w:val="Encabezado"/>
    <w:uiPriority w:val="99"/>
    <w:rsid w:val="001C79D8"/>
  </w:style>
  <w:style w:type="paragraph" w:styleId="Piedepgina">
    <w:name w:val="footer"/>
    <w:basedOn w:val="Normal"/>
    <w:link w:val="PiedepginaCar"/>
    <w:uiPriority w:val="99"/>
    <w:unhideWhenUsed/>
    <w:rsid w:val="001C79D8"/>
    <w:pPr>
      <w:tabs>
        <w:tab w:val="center" w:pos="4419"/>
        <w:tab w:val="right" w:pos="8838"/>
      </w:tabs>
    </w:pPr>
  </w:style>
  <w:style w:type="character" w:customStyle="1" w:styleId="PiedepginaCar">
    <w:name w:val="Pie de página Car"/>
    <w:basedOn w:val="Fuentedeprrafopredeter"/>
    <w:link w:val="Piedepgina"/>
    <w:uiPriority w:val="99"/>
    <w:rsid w:val="001C7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legislacion.edomex.gob.mx/sites/legislacion.edomex.gob.mx/files/files/pdf/gct/2017/oct305.pdf" TargetMode="External"/><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J5HhfpeERw+UsIEgBmKfImKnIA==">CgMxLjAyCGgudHlqY3d0MgloLjN6bnlzaDcyCGguZ2pkZ3hzMgloLjFmb2I5dGUyCWguMzBqMHpsbDgAciExSDUzVE55Y0RyanFQWDJSSjI4UzktMV9jeG9FNkRhYlg=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57</Pages>
  <Words>11654</Words>
  <Characters>64101</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INFOEM619</dc:creator>
  <cp:lastModifiedBy>Maricela Villagómez Martínez</cp:lastModifiedBy>
  <cp:revision>2</cp:revision>
  <cp:lastPrinted>2023-12-15T17:19:00Z</cp:lastPrinted>
  <dcterms:created xsi:type="dcterms:W3CDTF">2023-12-20T16:36:00Z</dcterms:created>
  <dcterms:modified xsi:type="dcterms:W3CDTF">2023-12-20T16:36:00Z</dcterms:modified>
</cp:coreProperties>
</file>