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647A4FD" w:rsidR="00662C69" w:rsidRPr="00594F82" w:rsidRDefault="67C165AB" w:rsidP="00B31E90">
      <w:pPr>
        <w:tabs>
          <w:tab w:val="left" w:pos="3465"/>
        </w:tabs>
        <w:spacing w:line="360" w:lineRule="auto"/>
        <w:jc w:val="both"/>
        <w:rPr>
          <w:rFonts w:ascii="Palatino Linotype" w:hAnsi="Palatino Linotype"/>
          <w:color w:val="000000" w:themeColor="text1"/>
        </w:rPr>
      </w:pPr>
      <w:r w:rsidRPr="00594F82">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veintitrés (23) de agosto de dos mil veintitrés.</w:t>
      </w:r>
    </w:p>
    <w:p w14:paraId="1181C59D" w14:textId="77777777" w:rsidR="00B31E90" w:rsidRPr="00594F82" w:rsidRDefault="00B31E90" w:rsidP="00B31E90">
      <w:pPr>
        <w:tabs>
          <w:tab w:val="left" w:pos="3465"/>
        </w:tabs>
        <w:spacing w:line="360" w:lineRule="auto"/>
        <w:jc w:val="both"/>
        <w:rPr>
          <w:rFonts w:ascii="Palatino Linotype" w:hAnsi="Palatino Linotype"/>
          <w:color w:val="000000" w:themeColor="text1"/>
        </w:rPr>
      </w:pPr>
    </w:p>
    <w:p w14:paraId="67C58C41" w14:textId="77777777" w:rsidR="00207968" w:rsidRPr="00594F82" w:rsidRDefault="00662C69" w:rsidP="00B31E90">
      <w:pPr>
        <w:spacing w:line="360" w:lineRule="auto"/>
        <w:jc w:val="both"/>
        <w:rPr>
          <w:rFonts w:ascii="Palatino Linotype" w:eastAsia="Times New Roman" w:hAnsi="Palatino Linotype" w:cs="Times New Roman"/>
          <w:color w:val="000000" w:themeColor="text1"/>
        </w:rPr>
      </w:pPr>
      <w:r w:rsidRPr="00594F82">
        <w:rPr>
          <w:rFonts w:ascii="Palatino Linotype" w:hAnsi="Palatino Linotype"/>
          <w:b/>
          <w:color w:val="000000" w:themeColor="text1"/>
        </w:rPr>
        <w:t>VISTO</w:t>
      </w:r>
      <w:r w:rsidRPr="00594F82">
        <w:rPr>
          <w:rFonts w:ascii="Palatino Linotype" w:hAnsi="Palatino Linotype"/>
          <w:color w:val="000000" w:themeColor="text1"/>
        </w:rPr>
        <w:t xml:space="preserve"> </w:t>
      </w:r>
      <w:r w:rsidR="00F25B61" w:rsidRPr="00594F82">
        <w:rPr>
          <w:rFonts w:ascii="Palatino Linotype" w:hAnsi="Palatino Linotype"/>
          <w:color w:val="000000" w:themeColor="text1"/>
        </w:rPr>
        <w:t>el</w:t>
      </w:r>
      <w:r w:rsidRPr="00594F82">
        <w:rPr>
          <w:rFonts w:ascii="Palatino Linotype" w:hAnsi="Palatino Linotype"/>
          <w:color w:val="000000" w:themeColor="text1"/>
        </w:rPr>
        <w:t xml:space="preserve"> expediente electrónico for</w:t>
      </w:r>
      <w:r w:rsidR="00D37494" w:rsidRPr="00594F82">
        <w:rPr>
          <w:rFonts w:ascii="Palatino Linotype" w:hAnsi="Palatino Linotype"/>
          <w:color w:val="000000" w:themeColor="text1"/>
        </w:rPr>
        <w:t>mado con motivo del</w:t>
      </w:r>
      <w:r w:rsidRPr="00594F82">
        <w:rPr>
          <w:rFonts w:ascii="Palatino Linotype" w:hAnsi="Palatino Linotype"/>
          <w:color w:val="000000" w:themeColor="text1"/>
        </w:rPr>
        <w:t xml:space="preserve"> recurso de revisión </w:t>
      </w:r>
      <w:r w:rsidR="009E35CC" w:rsidRPr="00594F82">
        <w:rPr>
          <w:rFonts w:ascii="Palatino Linotype" w:hAnsi="Palatino Linotype"/>
          <w:b/>
          <w:bCs/>
          <w:color w:val="000000" w:themeColor="text1"/>
        </w:rPr>
        <w:t>14803/INFOEM/IP/RR/2022</w:t>
      </w:r>
      <w:r w:rsidR="005F1362" w:rsidRPr="00594F82">
        <w:rPr>
          <w:rFonts w:ascii="Palatino Linotype" w:eastAsia="Times New Roman" w:hAnsi="Palatino Linotype" w:cs="Arial"/>
          <w:bCs/>
          <w:color w:val="000000" w:themeColor="text1"/>
        </w:rPr>
        <w:t xml:space="preserve">, </w:t>
      </w:r>
      <w:r w:rsidR="006B31E7" w:rsidRPr="00594F82">
        <w:rPr>
          <w:rFonts w:ascii="Palatino Linotype" w:eastAsia="Times New Roman" w:hAnsi="Palatino Linotype" w:cs="Times New Roman"/>
          <w:color w:val="000000" w:themeColor="text1"/>
        </w:rPr>
        <w:t>interpuesto por</w:t>
      </w:r>
      <w:r w:rsidR="00FD27EA" w:rsidRPr="00594F82">
        <w:rPr>
          <w:rFonts w:ascii="Palatino Linotype" w:eastAsia="Times New Roman" w:hAnsi="Palatino Linotype" w:cs="Times New Roman"/>
          <w:color w:val="000000" w:themeColor="text1"/>
        </w:rPr>
        <w:t xml:space="preserve"> </w:t>
      </w:r>
      <w:r w:rsidR="00144FCB" w:rsidRPr="00594F82">
        <w:rPr>
          <w:rFonts w:ascii="Palatino Linotype" w:eastAsia="Times New Roman" w:hAnsi="Palatino Linotype" w:cs="Times New Roman"/>
          <w:b/>
          <w:bCs/>
          <w:color w:val="000000" w:themeColor="text1"/>
        </w:rPr>
        <w:t xml:space="preserve">XXX </w:t>
      </w:r>
      <w:proofErr w:type="spellStart"/>
      <w:r w:rsidR="00144FCB" w:rsidRPr="00594F82">
        <w:rPr>
          <w:rFonts w:ascii="Palatino Linotype" w:eastAsia="Times New Roman" w:hAnsi="Palatino Linotype" w:cs="Times New Roman"/>
          <w:b/>
          <w:bCs/>
          <w:color w:val="000000" w:themeColor="text1"/>
        </w:rPr>
        <w:t>XXX</w:t>
      </w:r>
      <w:proofErr w:type="spellEnd"/>
      <w:r w:rsidR="00144FCB" w:rsidRPr="00594F82">
        <w:rPr>
          <w:rFonts w:ascii="Palatino Linotype" w:eastAsia="Times New Roman" w:hAnsi="Palatino Linotype" w:cs="Times New Roman"/>
          <w:b/>
          <w:bCs/>
          <w:color w:val="000000" w:themeColor="text1"/>
        </w:rPr>
        <w:t xml:space="preserve"> </w:t>
      </w:r>
      <w:proofErr w:type="spellStart"/>
      <w:r w:rsidR="00144FCB" w:rsidRPr="00594F82">
        <w:rPr>
          <w:rFonts w:ascii="Palatino Linotype" w:eastAsia="Times New Roman" w:hAnsi="Palatino Linotype" w:cs="Times New Roman"/>
          <w:b/>
          <w:bCs/>
          <w:color w:val="000000" w:themeColor="text1"/>
        </w:rPr>
        <w:t>XXX</w:t>
      </w:r>
      <w:proofErr w:type="spellEnd"/>
      <w:r w:rsidR="008E082A" w:rsidRPr="00594F82">
        <w:rPr>
          <w:rFonts w:ascii="Palatino Linotype" w:eastAsia="Times New Roman" w:hAnsi="Palatino Linotype" w:cs="Times New Roman"/>
          <w:bCs/>
          <w:color w:val="000000" w:themeColor="text1"/>
        </w:rPr>
        <w:t>, en lo sucesivo</w:t>
      </w:r>
      <w:r w:rsidR="009E35CC" w:rsidRPr="00594F82">
        <w:rPr>
          <w:rFonts w:ascii="Palatino Linotype" w:eastAsia="Times New Roman" w:hAnsi="Palatino Linotype" w:cs="Times New Roman"/>
          <w:bCs/>
          <w:color w:val="000000" w:themeColor="text1"/>
        </w:rPr>
        <w:t xml:space="preserve"> </w:t>
      </w:r>
      <w:r w:rsidR="009E35CC" w:rsidRPr="00594F82">
        <w:rPr>
          <w:rFonts w:ascii="Palatino Linotype" w:eastAsia="Times New Roman" w:hAnsi="Palatino Linotype" w:cs="Times New Roman"/>
          <w:b/>
          <w:bCs/>
          <w:color w:val="000000" w:themeColor="text1"/>
        </w:rPr>
        <w:t>EL</w:t>
      </w:r>
      <w:r w:rsidR="00E92215" w:rsidRPr="00594F82">
        <w:rPr>
          <w:rFonts w:ascii="Palatino Linotype" w:eastAsia="Times New Roman" w:hAnsi="Palatino Linotype" w:cs="Times New Roman"/>
          <w:color w:val="000000" w:themeColor="text1"/>
        </w:rPr>
        <w:t xml:space="preserve"> </w:t>
      </w:r>
    </w:p>
    <w:p w14:paraId="14C668B6" w14:textId="77777777" w:rsidR="00207968" w:rsidRPr="00594F82" w:rsidRDefault="00207968" w:rsidP="00B31E90">
      <w:pPr>
        <w:spacing w:line="360" w:lineRule="auto"/>
        <w:jc w:val="both"/>
        <w:rPr>
          <w:rFonts w:ascii="Palatino Linotype" w:eastAsia="Times New Roman" w:hAnsi="Palatino Linotype" w:cs="Times New Roman"/>
          <w:color w:val="000000" w:themeColor="text1"/>
        </w:rPr>
      </w:pPr>
    </w:p>
    <w:p w14:paraId="04F87235" w14:textId="20A27DF2" w:rsidR="005F0007" w:rsidRPr="00594F82" w:rsidRDefault="006B31E7" w:rsidP="00B31E90">
      <w:pPr>
        <w:spacing w:line="360" w:lineRule="auto"/>
        <w:jc w:val="both"/>
        <w:rPr>
          <w:rFonts w:ascii="Palatino Linotype" w:eastAsia="Times New Roman" w:hAnsi="Palatino Linotype" w:cs="Times New Roman"/>
          <w:color w:val="000000" w:themeColor="text1"/>
        </w:rPr>
      </w:pPr>
      <w:r w:rsidRPr="00594F82">
        <w:rPr>
          <w:rFonts w:ascii="Palatino Linotype" w:eastAsia="Times New Roman" w:hAnsi="Palatino Linotype" w:cs="Times New Roman"/>
          <w:b/>
          <w:bCs/>
          <w:color w:val="000000" w:themeColor="text1"/>
        </w:rPr>
        <w:t>RECURRENTE</w:t>
      </w:r>
      <w:r w:rsidR="00E647FF" w:rsidRPr="00594F82">
        <w:rPr>
          <w:rFonts w:ascii="Palatino Linotype" w:eastAsia="Times New Roman" w:hAnsi="Palatino Linotype" w:cs="Arial"/>
          <w:color w:val="000000" w:themeColor="text1"/>
        </w:rPr>
        <w:t>;</w:t>
      </w:r>
      <w:r w:rsidR="005F1362" w:rsidRPr="00594F82">
        <w:rPr>
          <w:rFonts w:ascii="Palatino Linotype" w:eastAsia="Times New Roman" w:hAnsi="Palatino Linotype" w:cs="Arial"/>
          <w:color w:val="000000" w:themeColor="text1"/>
        </w:rPr>
        <w:t xml:space="preserve"> en contra de la respuesta del</w:t>
      </w:r>
      <w:r w:rsidR="002C1007" w:rsidRPr="00594F82">
        <w:rPr>
          <w:rFonts w:ascii="Palatino Linotype" w:eastAsia="Times New Roman" w:hAnsi="Palatino Linotype" w:cs="Arial"/>
          <w:color w:val="000000" w:themeColor="text1"/>
        </w:rPr>
        <w:t xml:space="preserve"> </w:t>
      </w:r>
      <w:r w:rsidR="009E35CC" w:rsidRPr="00594F82">
        <w:rPr>
          <w:rFonts w:ascii="Palatino Linotype" w:eastAsia="Times New Roman" w:hAnsi="Palatino Linotype" w:cs="Arial"/>
          <w:b/>
          <w:color w:val="000000" w:themeColor="text1"/>
        </w:rPr>
        <w:t>Ayuntamiento de Naucalpan de Juárez</w:t>
      </w:r>
      <w:r w:rsidR="009572EE" w:rsidRPr="00594F82">
        <w:rPr>
          <w:rFonts w:ascii="Palatino Linotype" w:eastAsia="Calibri" w:hAnsi="Palatino Linotype" w:cs="Arial"/>
          <w:color w:val="000000" w:themeColor="text1"/>
          <w:lang w:val="es-ES"/>
        </w:rPr>
        <w:t>,</w:t>
      </w:r>
      <w:r w:rsidR="005F1362" w:rsidRPr="00594F82">
        <w:rPr>
          <w:rFonts w:ascii="Palatino Linotype" w:eastAsia="Calibri" w:hAnsi="Palatino Linotype" w:cs="Arial"/>
          <w:color w:val="000000" w:themeColor="text1"/>
          <w:lang w:val="es-ES"/>
        </w:rPr>
        <w:t xml:space="preserve"> </w:t>
      </w:r>
      <w:r w:rsidR="008E082A" w:rsidRPr="00594F82">
        <w:rPr>
          <w:rFonts w:ascii="Palatino Linotype" w:eastAsia="Calibri" w:hAnsi="Palatino Linotype" w:cs="Arial"/>
          <w:color w:val="000000" w:themeColor="text1"/>
          <w:lang w:val="es-ES"/>
        </w:rPr>
        <w:t>en adelante</w:t>
      </w:r>
      <w:r w:rsidR="00F17EFA" w:rsidRPr="00594F82">
        <w:rPr>
          <w:rFonts w:ascii="Palatino Linotype" w:eastAsia="Times New Roman" w:hAnsi="Palatino Linotype" w:cs="Times New Roman"/>
          <w:color w:val="000000" w:themeColor="text1"/>
        </w:rPr>
        <w:t xml:space="preserve"> </w:t>
      </w:r>
      <w:r w:rsidR="005F1362" w:rsidRPr="00594F82">
        <w:rPr>
          <w:rFonts w:ascii="Palatino Linotype" w:eastAsia="Times New Roman" w:hAnsi="Palatino Linotype" w:cs="Times New Roman"/>
          <w:color w:val="000000" w:themeColor="text1"/>
        </w:rPr>
        <w:t>el</w:t>
      </w:r>
      <w:r w:rsidR="005F1362" w:rsidRPr="00594F82">
        <w:rPr>
          <w:rFonts w:ascii="Palatino Linotype" w:eastAsia="Times New Roman" w:hAnsi="Palatino Linotype" w:cs="Times New Roman"/>
          <w:b/>
          <w:color w:val="000000" w:themeColor="text1"/>
        </w:rPr>
        <w:t xml:space="preserve"> SUJETO OBLIGADO</w:t>
      </w:r>
      <w:r w:rsidR="005F1362" w:rsidRPr="00594F82">
        <w:rPr>
          <w:rFonts w:ascii="Palatino Linotype" w:eastAsia="Times New Roman" w:hAnsi="Palatino Linotype" w:cs="Times New Roman"/>
          <w:color w:val="000000" w:themeColor="text1"/>
        </w:rPr>
        <w:t>,</w:t>
      </w:r>
      <w:r w:rsidR="005F1362" w:rsidRPr="00594F82">
        <w:rPr>
          <w:rFonts w:ascii="Palatino Linotype" w:eastAsia="Times New Roman" w:hAnsi="Palatino Linotype" w:cs="Times New Roman"/>
          <w:b/>
          <w:color w:val="000000" w:themeColor="text1"/>
        </w:rPr>
        <w:t xml:space="preserve"> </w:t>
      </w:r>
      <w:r w:rsidR="005F1362" w:rsidRPr="00594F8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94F82" w:rsidRDefault="009A593A" w:rsidP="00B31E90">
      <w:pPr>
        <w:spacing w:line="360" w:lineRule="auto"/>
        <w:jc w:val="both"/>
        <w:rPr>
          <w:rFonts w:ascii="Palatino Linotype" w:hAnsi="Palatino Linotype"/>
          <w:b/>
          <w:color w:val="000000" w:themeColor="text1"/>
        </w:rPr>
      </w:pPr>
    </w:p>
    <w:p w14:paraId="769E1410" w14:textId="72F80201" w:rsidR="00587366" w:rsidRPr="00594F8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594F82">
        <w:rPr>
          <w:b/>
          <w:color w:val="000000" w:themeColor="text1"/>
        </w:rPr>
        <w:t>A</w:t>
      </w:r>
      <w:r w:rsidR="00F96BC1" w:rsidRPr="00594F82">
        <w:rPr>
          <w:b/>
          <w:color w:val="000000" w:themeColor="text1"/>
        </w:rPr>
        <w:t xml:space="preserve"> </w:t>
      </w:r>
      <w:r w:rsidRPr="00594F82">
        <w:rPr>
          <w:b/>
          <w:color w:val="000000" w:themeColor="text1"/>
        </w:rPr>
        <w:t>N</w:t>
      </w:r>
      <w:r w:rsidR="00F96BC1" w:rsidRPr="00594F82">
        <w:rPr>
          <w:b/>
          <w:color w:val="000000" w:themeColor="text1"/>
        </w:rPr>
        <w:t xml:space="preserve"> </w:t>
      </w:r>
      <w:r w:rsidRPr="00594F82">
        <w:rPr>
          <w:b/>
          <w:color w:val="000000" w:themeColor="text1"/>
        </w:rPr>
        <w:t>T</w:t>
      </w:r>
      <w:r w:rsidR="00F96BC1" w:rsidRPr="00594F82">
        <w:rPr>
          <w:b/>
          <w:color w:val="000000" w:themeColor="text1"/>
        </w:rPr>
        <w:t xml:space="preserve"> </w:t>
      </w:r>
      <w:r w:rsidRPr="00594F82">
        <w:rPr>
          <w:b/>
          <w:color w:val="000000" w:themeColor="text1"/>
        </w:rPr>
        <w:t>E</w:t>
      </w:r>
      <w:r w:rsidR="00F96BC1" w:rsidRPr="00594F82">
        <w:rPr>
          <w:b/>
          <w:color w:val="000000" w:themeColor="text1"/>
        </w:rPr>
        <w:t xml:space="preserve"> </w:t>
      </w:r>
      <w:r w:rsidRPr="00594F82">
        <w:rPr>
          <w:b/>
          <w:color w:val="000000" w:themeColor="text1"/>
        </w:rPr>
        <w:t>C</w:t>
      </w:r>
      <w:r w:rsidR="00F96BC1" w:rsidRPr="00594F82">
        <w:rPr>
          <w:b/>
          <w:color w:val="000000" w:themeColor="text1"/>
        </w:rPr>
        <w:t xml:space="preserve"> </w:t>
      </w:r>
      <w:r w:rsidRPr="00594F82">
        <w:rPr>
          <w:b/>
          <w:color w:val="000000" w:themeColor="text1"/>
        </w:rPr>
        <w:t>E</w:t>
      </w:r>
      <w:r w:rsidR="00F96BC1" w:rsidRPr="00594F82">
        <w:rPr>
          <w:b/>
          <w:color w:val="000000" w:themeColor="text1"/>
        </w:rPr>
        <w:t xml:space="preserve"> </w:t>
      </w:r>
      <w:r w:rsidRPr="00594F82">
        <w:rPr>
          <w:b/>
          <w:color w:val="000000" w:themeColor="text1"/>
        </w:rPr>
        <w:t>D</w:t>
      </w:r>
      <w:r w:rsidR="00F96BC1" w:rsidRPr="00594F82">
        <w:rPr>
          <w:b/>
          <w:color w:val="000000" w:themeColor="text1"/>
        </w:rPr>
        <w:t xml:space="preserve"> </w:t>
      </w:r>
      <w:r w:rsidRPr="00594F82">
        <w:rPr>
          <w:b/>
          <w:color w:val="000000" w:themeColor="text1"/>
        </w:rPr>
        <w:t>E</w:t>
      </w:r>
      <w:r w:rsidR="00F96BC1" w:rsidRPr="00594F82">
        <w:rPr>
          <w:b/>
          <w:color w:val="000000" w:themeColor="text1"/>
        </w:rPr>
        <w:t xml:space="preserve"> </w:t>
      </w:r>
      <w:r w:rsidRPr="00594F82">
        <w:rPr>
          <w:b/>
          <w:color w:val="000000" w:themeColor="text1"/>
        </w:rPr>
        <w:t>N</w:t>
      </w:r>
      <w:r w:rsidR="00F96BC1" w:rsidRPr="00594F82">
        <w:rPr>
          <w:b/>
          <w:color w:val="000000" w:themeColor="text1"/>
        </w:rPr>
        <w:t xml:space="preserve"> </w:t>
      </w:r>
      <w:r w:rsidRPr="00594F82">
        <w:rPr>
          <w:b/>
          <w:color w:val="000000" w:themeColor="text1"/>
        </w:rPr>
        <w:t>T</w:t>
      </w:r>
      <w:r w:rsidR="00F96BC1" w:rsidRPr="00594F82">
        <w:rPr>
          <w:b/>
          <w:color w:val="000000" w:themeColor="text1"/>
        </w:rPr>
        <w:t xml:space="preserve"> </w:t>
      </w:r>
      <w:r w:rsidRPr="00594F82">
        <w:rPr>
          <w:b/>
          <w:color w:val="000000" w:themeColor="text1"/>
        </w:rPr>
        <w:t>E</w:t>
      </w:r>
      <w:r w:rsidR="00F96BC1" w:rsidRPr="00594F82">
        <w:rPr>
          <w:b/>
          <w:color w:val="000000" w:themeColor="text1"/>
        </w:rPr>
        <w:t xml:space="preserve"> </w:t>
      </w:r>
      <w:r w:rsidRPr="00594F82">
        <w:rPr>
          <w:b/>
          <w:color w:val="000000" w:themeColor="text1"/>
        </w:rPr>
        <w:t>S</w:t>
      </w:r>
      <w:bookmarkEnd w:id="0"/>
      <w:bookmarkEnd w:id="1"/>
      <w:bookmarkEnd w:id="2"/>
    </w:p>
    <w:p w14:paraId="5672105D" w14:textId="77777777" w:rsidR="00B31E90" w:rsidRPr="00594F82"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6181832" w:rsidR="00D9392E" w:rsidRPr="00594F82"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4F82">
        <w:rPr>
          <w:rFonts w:ascii="Palatino Linotype" w:eastAsia="Calibri" w:hAnsi="Palatino Linotype" w:cs="Arial"/>
          <w:color w:val="000000" w:themeColor="text1"/>
          <w:lang w:val="es-ES"/>
        </w:rPr>
        <w:t>El</w:t>
      </w:r>
      <w:r w:rsidR="00D9392E" w:rsidRPr="00594F82">
        <w:rPr>
          <w:rFonts w:ascii="Palatino Linotype" w:eastAsia="Calibri" w:hAnsi="Palatino Linotype" w:cs="Arial"/>
          <w:color w:val="000000" w:themeColor="text1"/>
          <w:lang w:val="es-ES"/>
        </w:rPr>
        <w:t xml:space="preserve"> </w:t>
      </w:r>
      <w:r w:rsidR="009E35CC" w:rsidRPr="00594F82">
        <w:rPr>
          <w:rFonts w:ascii="Palatino Linotype" w:eastAsia="Calibri" w:hAnsi="Palatino Linotype" w:cs="Arial"/>
          <w:color w:val="000000" w:themeColor="text1"/>
          <w:lang w:val="es-ES"/>
        </w:rPr>
        <w:t>seis (06) de julio</w:t>
      </w:r>
      <w:r w:rsidR="00F96BC1" w:rsidRPr="00594F82">
        <w:rPr>
          <w:rFonts w:ascii="Palatino Linotype" w:eastAsia="Calibri" w:hAnsi="Palatino Linotype" w:cs="Arial"/>
          <w:color w:val="000000" w:themeColor="text1"/>
          <w:lang w:val="es-ES"/>
        </w:rPr>
        <w:t xml:space="preserve"> de dos mil veintidós</w:t>
      </w:r>
      <w:r w:rsidR="005F1362" w:rsidRPr="00594F82">
        <w:rPr>
          <w:rFonts w:ascii="Palatino Linotype" w:eastAsia="Calibri" w:hAnsi="Palatino Linotype" w:cs="Arial"/>
          <w:color w:val="000000" w:themeColor="text1"/>
          <w:lang w:val="es-ES"/>
        </w:rPr>
        <w:t xml:space="preserve">, </w:t>
      </w:r>
      <w:r w:rsidR="00F96BC1" w:rsidRPr="00594F82">
        <w:rPr>
          <w:rFonts w:ascii="Palatino Linotype" w:eastAsia="Calibri" w:hAnsi="Palatino Linotype" w:cs="Arial"/>
          <w:color w:val="000000" w:themeColor="text1"/>
          <w:lang w:val="es-ES"/>
        </w:rPr>
        <w:t xml:space="preserve">el entonces </w:t>
      </w:r>
      <w:r w:rsidR="00F96BC1" w:rsidRPr="00594F82">
        <w:rPr>
          <w:rFonts w:ascii="Palatino Linotype" w:eastAsia="Calibri" w:hAnsi="Palatino Linotype" w:cs="Arial"/>
          <w:b/>
          <w:color w:val="000000" w:themeColor="text1"/>
          <w:lang w:val="es-ES"/>
        </w:rPr>
        <w:t>SOLICITANTE</w:t>
      </w:r>
      <w:r w:rsidR="005F1362" w:rsidRPr="00594F82">
        <w:rPr>
          <w:rFonts w:ascii="Palatino Linotype" w:hAnsi="Palatino Linotype"/>
          <w:color w:val="000000" w:themeColor="text1"/>
        </w:rPr>
        <w:t xml:space="preserve"> presentó</w:t>
      </w:r>
      <w:r w:rsidR="005F1362" w:rsidRPr="00594F82">
        <w:rPr>
          <w:rFonts w:ascii="Palatino Linotype" w:hAnsi="Palatino Linotype"/>
          <w:b/>
          <w:color w:val="000000" w:themeColor="text1"/>
        </w:rPr>
        <w:t xml:space="preserve"> </w:t>
      </w:r>
      <w:r w:rsidR="00127E68" w:rsidRPr="00594F82">
        <w:rPr>
          <w:rFonts w:ascii="Palatino Linotype" w:hAnsi="Palatino Linotype"/>
          <w:bCs/>
          <w:color w:val="000000" w:themeColor="text1"/>
        </w:rPr>
        <w:t xml:space="preserve">a través </w:t>
      </w:r>
      <w:r w:rsidR="00575376" w:rsidRPr="00594F82">
        <w:rPr>
          <w:rFonts w:ascii="Palatino Linotype" w:hAnsi="Palatino Linotype"/>
          <w:bCs/>
          <w:color w:val="000000" w:themeColor="text1"/>
        </w:rPr>
        <w:t>del</w:t>
      </w:r>
      <w:r w:rsidR="009E35CC" w:rsidRPr="00594F82">
        <w:rPr>
          <w:rFonts w:ascii="Palatino Linotype" w:hAnsi="Palatino Linotype"/>
          <w:bCs/>
          <w:color w:val="000000" w:themeColor="text1"/>
        </w:rPr>
        <w:t xml:space="preserve"> Sistema de Acceso a la Información Mexiquense</w:t>
      </w:r>
      <w:r w:rsidR="00085B60" w:rsidRPr="00594F82">
        <w:rPr>
          <w:rFonts w:ascii="Palatino Linotype" w:hAnsi="Palatino Linotype"/>
          <w:bCs/>
          <w:color w:val="000000" w:themeColor="text1"/>
        </w:rPr>
        <w:t xml:space="preserve"> </w:t>
      </w:r>
      <w:r w:rsidR="009E35CC" w:rsidRPr="00594F82">
        <w:rPr>
          <w:rFonts w:ascii="Palatino Linotype" w:hAnsi="Palatino Linotype"/>
          <w:bCs/>
          <w:color w:val="000000" w:themeColor="text1"/>
        </w:rPr>
        <w:t>(</w:t>
      </w:r>
      <w:r w:rsidR="00085B60" w:rsidRPr="00594F82">
        <w:rPr>
          <w:rFonts w:ascii="Palatino Linotype" w:hAnsi="Palatino Linotype"/>
          <w:bCs/>
          <w:color w:val="000000" w:themeColor="text1"/>
        </w:rPr>
        <w:t>SAIMEX</w:t>
      </w:r>
      <w:r w:rsidR="009E35CC" w:rsidRPr="00594F82">
        <w:rPr>
          <w:rFonts w:ascii="Palatino Linotype" w:hAnsi="Palatino Linotype"/>
          <w:bCs/>
          <w:color w:val="000000" w:themeColor="text1"/>
        </w:rPr>
        <w:t>)</w:t>
      </w:r>
      <w:r w:rsidR="005F1362" w:rsidRPr="00594F82">
        <w:rPr>
          <w:rFonts w:ascii="Palatino Linotype" w:eastAsia="Calibri" w:hAnsi="Palatino Linotype" w:cs="Arial"/>
          <w:color w:val="000000" w:themeColor="text1"/>
          <w:lang w:val="es-ES"/>
        </w:rPr>
        <w:t>, la solicitud de información pública registrada</w:t>
      </w:r>
      <w:r w:rsidR="00772245" w:rsidRPr="00594F82">
        <w:rPr>
          <w:rFonts w:ascii="Palatino Linotype" w:eastAsia="Calibri" w:hAnsi="Palatino Linotype" w:cs="Arial"/>
          <w:color w:val="000000" w:themeColor="text1"/>
          <w:lang w:val="es-ES"/>
        </w:rPr>
        <w:t xml:space="preserve"> con </w:t>
      </w:r>
      <w:r w:rsidR="00F25B61" w:rsidRPr="00594F82">
        <w:rPr>
          <w:rFonts w:ascii="Palatino Linotype" w:eastAsia="Calibri" w:hAnsi="Palatino Linotype" w:cs="Arial"/>
          <w:color w:val="000000" w:themeColor="text1"/>
          <w:lang w:val="es-ES"/>
        </w:rPr>
        <w:t>el</w:t>
      </w:r>
      <w:r w:rsidR="005F1362" w:rsidRPr="00594F82">
        <w:rPr>
          <w:rFonts w:ascii="Palatino Linotype" w:eastAsia="Calibri" w:hAnsi="Palatino Linotype" w:cs="Arial"/>
          <w:color w:val="000000" w:themeColor="text1"/>
          <w:lang w:val="es-ES"/>
        </w:rPr>
        <w:t xml:space="preserve"> número</w:t>
      </w:r>
      <w:r w:rsidR="00772245" w:rsidRPr="00594F82">
        <w:rPr>
          <w:rFonts w:ascii="Palatino Linotype" w:eastAsia="Calibri" w:hAnsi="Palatino Linotype" w:cs="Arial"/>
          <w:color w:val="000000" w:themeColor="text1"/>
          <w:lang w:val="es-ES"/>
        </w:rPr>
        <w:t xml:space="preserve"> </w:t>
      </w:r>
      <w:r w:rsidR="009E35CC" w:rsidRPr="00594F82">
        <w:rPr>
          <w:rFonts w:ascii="Palatino Linotype" w:eastAsia="Calibri" w:hAnsi="Palatino Linotype" w:cs="Arial"/>
          <w:b/>
          <w:color w:val="000000" w:themeColor="text1"/>
          <w:lang w:val="es-ES"/>
        </w:rPr>
        <w:t>00686/NAUCALPA/IP/2022</w:t>
      </w:r>
      <w:r w:rsidR="005F1362" w:rsidRPr="00594F82">
        <w:rPr>
          <w:rFonts w:ascii="Palatino Linotype" w:hAnsi="Palatino Linotype"/>
          <w:b/>
          <w:bCs/>
          <w:color w:val="000000" w:themeColor="text1"/>
        </w:rPr>
        <w:t>,</w:t>
      </w:r>
      <w:r w:rsidR="00F25B61" w:rsidRPr="00594F82">
        <w:rPr>
          <w:rFonts w:ascii="Palatino Linotype" w:eastAsia="Calibri" w:hAnsi="Palatino Linotype" w:cs="Arial"/>
          <w:color w:val="000000" w:themeColor="text1"/>
          <w:lang w:val="es-ES"/>
        </w:rPr>
        <w:t xml:space="preserve"> </w:t>
      </w:r>
      <w:r w:rsidR="008E082A" w:rsidRPr="00594F82">
        <w:rPr>
          <w:rFonts w:ascii="Palatino Linotype" w:eastAsia="Calibri" w:hAnsi="Palatino Linotype" w:cs="Arial"/>
          <w:color w:val="000000" w:themeColor="text1"/>
          <w:lang w:val="es-ES"/>
        </w:rPr>
        <w:t>en la que</w:t>
      </w:r>
      <w:r w:rsidR="00772245" w:rsidRPr="00594F82">
        <w:rPr>
          <w:rFonts w:ascii="Palatino Linotype" w:eastAsia="Calibri" w:hAnsi="Palatino Linotype" w:cs="Arial"/>
          <w:color w:val="000000" w:themeColor="text1"/>
          <w:lang w:val="es-ES"/>
        </w:rPr>
        <w:t xml:space="preserve"> </w:t>
      </w:r>
      <w:r w:rsidR="005F1362" w:rsidRPr="00594F82">
        <w:rPr>
          <w:rFonts w:ascii="Palatino Linotype" w:eastAsia="Calibri" w:hAnsi="Palatino Linotype" w:cs="Arial"/>
          <w:color w:val="000000" w:themeColor="text1"/>
          <w:lang w:val="es-ES"/>
        </w:rPr>
        <w:t>requirió</w:t>
      </w:r>
      <w:r w:rsidR="00022D89" w:rsidRPr="00594F82">
        <w:rPr>
          <w:rFonts w:ascii="Palatino Linotype" w:eastAsia="Calibri" w:hAnsi="Palatino Linotype" w:cs="Arial"/>
          <w:color w:val="000000" w:themeColor="text1"/>
          <w:lang w:val="es-ES"/>
        </w:rPr>
        <w:t xml:space="preserve"> lo siguiente</w:t>
      </w:r>
      <w:r w:rsidR="005F1362" w:rsidRPr="00594F82">
        <w:rPr>
          <w:rFonts w:ascii="Palatino Linotype" w:eastAsia="Calibri" w:hAnsi="Palatino Linotype" w:cs="Arial"/>
          <w:color w:val="000000" w:themeColor="text1"/>
          <w:lang w:val="es-ES"/>
        </w:rPr>
        <w:t>:</w:t>
      </w:r>
    </w:p>
    <w:p w14:paraId="76EB7490" w14:textId="77777777" w:rsidR="00B31E90" w:rsidRPr="00594F8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448BF27" w:rsidR="0097210F" w:rsidRPr="00594F82" w:rsidRDefault="00F25B61" w:rsidP="00B31E90">
      <w:pPr>
        <w:pStyle w:val="Prrafodelista"/>
        <w:spacing w:line="276" w:lineRule="auto"/>
        <w:ind w:left="567" w:right="567"/>
        <w:jc w:val="both"/>
        <w:rPr>
          <w:rFonts w:ascii="Palatino Linotype" w:hAnsi="Palatino Linotype"/>
          <w:color w:val="000000" w:themeColor="text1"/>
          <w:szCs w:val="22"/>
        </w:rPr>
      </w:pPr>
      <w:r w:rsidRPr="00594F82">
        <w:rPr>
          <w:rFonts w:ascii="Palatino Linotype" w:hAnsi="Palatino Linotype"/>
          <w:i/>
          <w:color w:val="000000" w:themeColor="text1"/>
          <w:szCs w:val="22"/>
        </w:rPr>
        <w:t xml:space="preserve"> </w:t>
      </w:r>
      <w:r w:rsidR="005F1362" w:rsidRPr="00594F82">
        <w:rPr>
          <w:rFonts w:ascii="Palatino Linotype" w:hAnsi="Palatino Linotype"/>
          <w:i/>
          <w:color w:val="000000" w:themeColor="text1"/>
          <w:szCs w:val="22"/>
        </w:rPr>
        <w:t>“</w:t>
      </w:r>
      <w:r w:rsidR="009E35CC" w:rsidRPr="00594F82">
        <w:rPr>
          <w:rFonts w:ascii="Palatino Linotype" w:hAnsi="Palatino Linotype"/>
          <w:i/>
          <w:color w:val="000000" w:themeColor="text1"/>
          <w:szCs w:val="22"/>
        </w:rPr>
        <w:t xml:space="preserve">solicito la autorización a condominio así como la autorización del cambio a </w:t>
      </w:r>
      <w:proofErr w:type="spellStart"/>
      <w:r w:rsidR="009E35CC" w:rsidRPr="00594F82">
        <w:rPr>
          <w:rFonts w:ascii="Palatino Linotype" w:hAnsi="Palatino Linotype"/>
          <w:i/>
          <w:color w:val="000000" w:themeColor="text1"/>
          <w:szCs w:val="22"/>
        </w:rPr>
        <w:t>regimen</w:t>
      </w:r>
      <w:proofErr w:type="spellEnd"/>
      <w:r w:rsidR="009E35CC" w:rsidRPr="00594F82">
        <w:rPr>
          <w:rFonts w:ascii="Palatino Linotype" w:hAnsi="Palatino Linotype"/>
          <w:i/>
          <w:color w:val="000000" w:themeColor="text1"/>
          <w:szCs w:val="22"/>
        </w:rPr>
        <w:t xml:space="preserve"> de condominio, de la construcción ubicada en </w:t>
      </w:r>
      <w:r w:rsidR="00594F82" w:rsidRPr="00594F82">
        <w:rPr>
          <w:rFonts w:ascii="Palatino Linotype" w:hAnsi="Palatino Linotype"/>
          <w:i/>
          <w:color w:val="000000" w:themeColor="text1"/>
          <w:szCs w:val="22"/>
        </w:rPr>
        <w:t>XXXXXXXXXXXXXXXXXXX</w:t>
      </w:r>
      <w:r w:rsidR="009E35CC" w:rsidRPr="00594F82">
        <w:rPr>
          <w:rFonts w:ascii="Palatino Linotype" w:hAnsi="Palatino Linotype"/>
          <w:i/>
          <w:color w:val="000000" w:themeColor="text1"/>
          <w:szCs w:val="22"/>
        </w:rPr>
        <w:t xml:space="preserve"> (3ROMANO) fraccionamiento </w:t>
      </w:r>
      <w:r w:rsidR="00594F82" w:rsidRPr="00594F82">
        <w:rPr>
          <w:rFonts w:ascii="Palatino Linotype" w:hAnsi="Palatino Linotype"/>
          <w:i/>
          <w:color w:val="000000" w:themeColor="text1"/>
          <w:szCs w:val="22"/>
        </w:rPr>
        <w:t>XXXXXXXXX</w:t>
      </w:r>
      <w:r w:rsidR="009E35CC" w:rsidRPr="00594F82">
        <w:rPr>
          <w:rFonts w:ascii="Palatino Linotype" w:hAnsi="Palatino Linotype"/>
          <w:i/>
          <w:color w:val="000000" w:themeColor="text1"/>
          <w:szCs w:val="22"/>
        </w:rPr>
        <w:t xml:space="preserve">, </w:t>
      </w:r>
      <w:r w:rsidR="00594F82" w:rsidRPr="00594F82">
        <w:rPr>
          <w:rFonts w:ascii="Palatino Linotype" w:hAnsi="Palatino Linotype"/>
          <w:i/>
          <w:color w:val="000000" w:themeColor="text1"/>
          <w:szCs w:val="22"/>
        </w:rPr>
        <w:t>XXXXXXX</w:t>
      </w:r>
      <w:r w:rsidR="009E35CC" w:rsidRPr="00594F82">
        <w:rPr>
          <w:rFonts w:ascii="Palatino Linotype" w:hAnsi="Palatino Linotype"/>
          <w:i/>
          <w:color w:val="000000" w:themeColor="text1"/>
          <w:szCs w:val="22"/>
        </w:rPr>
        <w:t xml:space="preserve">, Naucalpan de Juárez, C.P. 53590, o en su caso la declaración de inexistencia de los documentos solicitados con antelación, mismas que deben de estar a nombre de </w:t>
      </w:r>
      <w:r w:rsidR="000E4F62" w:rsidRPr="00594F82">
        <w:rPr>
          <w:rFonts w:ascii="Palatino Linotype" w:hAnsi="Palatino Linotype"/>
          <w:i/>
          <w:color w:val="000000" w:themeColor="text1"/>
          <w:szCs w:val="22"/>
        </w:rPr>
        <w:t xml:space="preserve">XXX </w:t>
      </w:r>
      <w:proofErr w:type="spellStart"/>
      <w:r w:rsidR="000E4F62" w:rsidRPr="00594F82">
        <w:rPr>
          <w:rFonts w:ascii="Palatino Linotype" w:hAnsi="Palatino Linotype"/>
          <w:i/>
          <w:color w:val="000000" w:themeColor="text1"/>
          <w:szCs w:val="22"/>
        </w:rPr>
        <w:t>XXX</w:t>
      </w:r>
      <w:proofErr w:type="spellEnd"/>
      <w:r w:rsidR="000E4F62" w:rsidRPr="00594F82">
        <w:rPr>
          <w:rFonts w:ascii="Palatino Linotype" w:hAnsi="Palatino Linotype"/>
          <w:i/>
          <w:color w:val="000000" w:themeColor="text1"/>
          <w:szCs w:val="22"/>
        </w:rPr>
        <w:t xml:space="preserve"> </w:t>
      </w:r>
      <w:proofErr w:type="spellStart"/>
      <w:r w:rsidR="000E4F62" w:rsidRPr="00594F82">
        <w:rPr>
          <w:rFonts w:ascii="Palatino Linotype" w:hAnsi="Palatino Linotype"/>
          <w:i/>
          <w:color w:val="000000" w:themeColor="text1"/>
          <w:szCs w:val="22"/>
        </w:rPr>
        <w:t>XXX</w:t>
      </w:r>
      <w:proofErr w:type="spellEnd"/>
      <w:r w:rsidR="009E35CC" w:rsidRPr="00594F82">
        <w:rPr>
          <w:rFonts w:ascii="Palatino Linotype" w:hAnsi="Palatino Linotype"/>
          <w:i/>
          <w:color w:val="000000" w:themeColor="text1"/>
          <w:szCs w:val="22"/>
        </w:rPr>
        <w:t xml:space="preserve">, teniendo como antecedente la Licencia de Construcción Numero: B-34316/75 de fecha de expedición 25 de febrero de 1975 y fecha de vencimiento 25 de febrero de 1976, expedida por el GOBIERNO DEL ESTADO DE MEXICO, DIRECCION DE </w:t>
      </w:r>
      <w:r w:rsidR="009E35CC" w:rsidRPr="00594F82">
        <w:rPr>
          <w:rFonts w:ascii="Palatino Linotype" w:hAnsi="Palatino Linotype"/>
          <w:i/>
          <w:color w:val="000000" w:themeColor="text1"/>
          <w:szCs w:val="22"/>
        </w:rPr>
        <w:lastRenderedPageBreak/>
        <w:t xml:space="preserve">COMUNICACIONES Y OBRAS PUBLICAS y la cual </w:t>
      </w:r>
      <w:r w:rsidR="00594F82" w:rsidRPr="00594F82">
        <w:rPr>
          <w:rFonts w:ascii="Palatino Linotype" w:hAnsi="Palatino Linotype"/>
          <w:i/>
          <w:color w:val="000000" w:themeColor="text1"/>
          <w:szCs w:val="22"/>
        </w:rPr>
        <w:t>está</w:t>
      </w:r>
      <w:r w:rsidR="009E35CC" w:rsidRPr="00594F82">
        <w:rPr>
          <w:rFonts w:ascii="Palatino Linotype" w:hAnsi="Palatino Linotype"/>
          <w:i/>
          <w:color w:val="000000" w:themeColor="text1"/>
          <w:szCs w:val="22"/>
        </w:rPr>
        <w:t xml:space="preserve"> a nombre de: NEGOCIADORA Y URBANIZADORA S.A., así mismo esta como antecedente la Prorroga a la Licencia Municipal de Construcción NUMERO: DLCA/0193/16, expedida por el H. AYUNTAMIENTO DE NAUCALPAN DE JUAREZ, DIRECCION GENERAL DE DESARROLLO URBANO y la cual se encuentra a nombre de : </w:t>
      </w:r>
      <w:r w:rsidR="006704F7" w:rsidRPr="00594F82">
        <w:rPr>
          <w:rFonts w:ascii="Palatino Linotype" w:hAnsi="Palatino Linotype"/>
          <w:i/>
          <w:color w:val="000000" w:themeColor="text1"/>
          <w:szCs w:val="22"/>
        </w:rPr>
        <w:t xml:space="preserve">XXX </w:t>
      </w:r>
      <w:proofErr w:type="spellStart"/>
      <w:r w:rsidR="006704F7" w:rsidRPr="00594F82">
        <w:rPr>
          <w:rFonts w:ascii="Palatino Linotype" w:hAnsi="Palatino Linotype"/>
          <w:i/>
          <w:color w:val="000000" w:themeColor="text1"/>
          <w:szCs w:val="22"/>
        </w:rPr>
        <w:t>XXX</w:t>
      </w:r>
      <w:proofErr w:type="spellEnd"/>
      <w:r w:rsidR="006704F7" w:rsidRPr="00594F82">
        <w:rPr>
          <w:rFonts w:ascii="Palatino Linotype" w:hAnsi="Palatino Linotype"/>
          <w:i/>
          <w:color w:val="000000" w:themeColor="text1"/>
          <w:szCs w:val="22"/>
        </w:rPr>
        <w:t xml:space="preserve"> </w:t>
      </w:r>
      <w:proofErr w:type="spellStart"/>
      <w:r w:rsidR="006704F7" w:rsidRPr="00594F82">
        <w:rPr>
          <w:rFonts w:ascii="Palatino Linotype" w:hAnsi="Palatino Linotype"/>
          <w:i/>
          <w:color w:val="000000" w:themeColor="text1"/>
          <w:szCs w:val="22"/>
        </w:rPr>
        <w:t>XXX</w:t>
      </w:r>
      <w:proofErr w:type="spellEnd"/>
      <w:r w:rsidR="009E35CC" w:rsidRPr="00594F82">
        <w:rPr>
          <w:rFonts w:ascii="Palatino Linotype" w:hAnsi="Palatino Linotype"/>
          <w:i/>
          <w:color w:val="000000" w:themeColor="text1"/>
          <w:szCs w:val="22"/>
        </w:rPr>
        <w:t>.</w:t>
      </w:r>
      <w:r w:rsidR="005F1362" w:rsidRPr="00594F82">
        <w:rPr>
          <w:rFonts w:ascii="Palatino Linotype" w:hAnsi="Palatino Linotype"/>
          <w:i/>
          <w:color w:val="000000" w:themeColor="text1"/>
          <w:szCs w:val="22"/>
        </w:rPr>
        <w:t xml:space="preserve">” </w:t>
      </w:r>
      <w:r w:rsidR="005F1362" w:rsidRPr="00594F82">
        <w:rPr>
          <w:rFonts w:ascii="Palatino Linotype" w:hAnsi="Palatino Linotype"/>
          <w:color w:val="000000" w:themeColor="text1"/>
          <w:szCs w:val="22"/>
        </w:rPr>
        <w:t>(Sic).</w:t>
      </w:r>
    </w:p>
    <w:p w14:paraId="65A03C8D" w14:textId="77777777" w:rsidR="005F1362" w:rsidRPr="00594F82" w:rsidRDefault="005F1362" w:rsidP="00B31E90">
      <w:pPr>
        <w:spacing w:line="360" w:lineRule="auto"/>
        <w:ind w:right="333"/>
        <w:jc w:val="both"/>
        <w:rPr>
          <w:rFonts w:ascii="Palatino Linotype" w:hAnsi="Palatino Linotype"/>
          <w:color w:val="000000" w:themeColor="text1"/>
        </w:rPr>
      </w:pPr>
    </w:p>
    <w:p w14:paraId="35BA18A9" w14:textId="6768A8DE" w:rsidR="0039142B" w:rsidRPr="00594F82"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4F82">
        <w:rPr>
          <w:rFonts w:ascii="Palatino Linotype" w:eastAsia="Times New Roman" w:hAnsi="Palatino Linotype" w:cs="Arial"/>
          <w:color w:val="000000" w:themeColor="text1"/>
          <w:lang w:val="es-ES"/>
        </w:rPr>
        <w:t>Se hace constar</w:t>
      </w:r>
      <w:r w:rsidR="00E9022C" w:rsidRPr="00594F82">
        <w:rPr>
          <w:rFonts w:ascii="Palatino Linotype" w:eastAsia="Times New Roman" w:hAnsi="Palatino Linotype" w:cs="Arial"/>
          <w:color w:val="000000" w:themeColor="text1"/>
          <w:lang w:val="es-ES"/>
        </w:rPr>
        <w:t xml:space="preserve"> que </w:t>
      </w:r>
      <w:r w:rsidR="00A63B45" w:rsidRPr="00594F82">
        <w:rPr>
          <w:rFonts w:ascii="Palatino Linotype" w:eastAsia="Times New Roman" w:hAnsi="Palatino Linotype" w:cs="Arial"/>
          <w:color w:val="000000" w:themeColor="text1"/>
          <w:lang w:val="es-ES"/>
        </w:rPr>
        <w:t>el</w:t>
      </w:r>
      <w:r w:rsidR="00E9022C" w:rsidRPr="00594F82">
        <w:rPr>
          <w:rFonts w:ascii="Palatino Linotype" w:eastAsia="Times New Roman" w:hAnsi="Palatino Linotype" w:cs="Arial"/>
          <w:color w:val="000000" w:themeColor="text1"/>
          <w:lang w:val="es-ES"/>
        </w:rPr>
        <w:t xml:space="preserve"> particular </w:t>
      </w:r>
      <w:r w:rsidR="005F1362" w:rsidRPr="00594F82">
        <w:rPr>
          <w:rFonts w:ascii="Palatino Linotype" w:eastAsia="Times New Roman" w:hAnsi="Palatino Linotype" w:cs="Arial"/>
          <w:color w:val="000000" w:themeColor="text1"/>
          <w:lang w:val="es-ES"/>
        </w:rPr>
        <w:t>señaló como modalidad de entrega de la información</w:t>
      </w:r>
      <w:r w:rsidR="005F1362" w:rsidRPr="00594F82">
        <w:rPr>
          <w:rFonts w:ascii="Palatino Linotype" w:eastAsia="Times New Roman" w:hAnsi="Palatino Linotype" w:cs="Arial"/>
          <w:bCs/>
          <w:color w:val="000000" w:themeColor="text1"/>
          <w:lang w:val="es-ES"/>
        </w:rPr>
        <w:t>:</w:t>
      </w:r>
      <w:r w:rsidR="001E4152" w:rsidRPr="00594F82">
        <w:rPr>
          <w:rFonts w:ascii="Palatino Linotype" w:eastAsia="Times New Roman" w:hAnsi="Palatino Linotype" w:cs="Arial"/>
          <w:b/>
          <w:color w:val="000000" w:themeColor="text1"/>
          <w:lang w:val="es-ES"/>
        </w:rPr>
        <w:t xml:space="preserve"> </w:t>
      </w:r>
      <w:r w:rsidR="004F0BF4" w:rsidRPr="00594F82">
        <w:rPr>
          <w:rFonts w:ascii="Palatino Linotype" w:eastAsia="Times New Roman" w:hAnsi="Palatino Linotype" w:cs="Arial"/>
          <w:b/>
          <w:i/>
          <w:iCs/>
          <w:color w:val="000000" w:themeColor="text1"/>
          <w:lang w:val="es-ES"/>
        </w:rPr>
        <w:t>A través del SAIMEX</w:t>
      </w:r>
      <w:r w:rsidR="005B4B08" w:rsidRPr="00594F82">
        <w:rPr>
          <w:rFonts w:ascii="Palatino Linotype" w:eastAsia="Calibri" w:hAnsi="Palatino Linotype" w:cs="Arial"/>
          <w:color w:val="000000" w:themeColor="text1"/>
          <w:lang w:val="es-ES"/>
        </w:rPr>
        <w:t>.</w:t>
      </w:r>
    </w:p>
    <w:p w14:paraId="7C0BE992" w14:textId="77777777" w:rsidR="0027463A" w:rsidRPr="00594F82"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E42DA98" w:rsidR="0022448D" w:rsidRPr="00594F82" w:rsidRDefault="001937B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4F82">
        <w:rPr>
          <w:rFonts w:ascii="Palatino Linotype" w:eastAsia="MS Mincho" w:hAnsi="Palatino Linotype" w:cs="Times New Roman"/>
          <w:color w:val="000000" w:themeColor="text1"/>
        </w:rPr>
        <w:t>E</w:t>
      </w:r>
      <w:r w:rsidR="00B31E90" w:rsidRPr="00594F82">
        <w:rPr>
          <w:rFonts w:ascii="Palatino Linotype" w:eastAsia="MS Mincho" w:hAnsi="Palatino Linotype" w:cs="Times New Roman"/>
          <w:color w:val="000000" w:themeColor="text1"/>
        </w:rPr>
        <w:t xml:space="preserve">l </w:t>
      </w:r>
      <w:r w:rsidR="009E35CC" w:rsidRPr="00594F82">
        <w:rPr>
          <w:rFonts w:ascii="Palatino Linotype" w:eastAsia="MS Mincho" w:hAnsi="Palatino Linotype" w:cs="Times New Roman"/>
          <w:color w:val="000000" w:themeColor="text1"/>
        </w:rPr>
        <w:t xml:space="preserve">trece (13) de septiembre </w:t>
      </w:r>
      <w:r w:rsidR="00F96BC1" w:rsidRPr="00594F82">
        <w:rPr>
          <w:rFonts w:ascii="Palatino Linotype" w:eastAsia="MS Mincho" w:hAnsi="Palatino Linotype" w:cs="Times New Roman"/>
          <w:color w:val="000000" w:themeColor="text1"/>
        </w:rPr>
        <w:t xml:space="preserve">de dos mil </w:t>
      </w:r>
      <w:r w:rsidR="000905EC" w:rsidRPr="00594F82">
        <w:rPr>
          <w:rFonts w:ascii="Palatino Linotype" w:eastAsia="MS Mincho" w:hAnsi="Palatino Linotype" w:cs="Times New Roman"/>
          <w:color w:val="000000" w:themeColor="text1"/>
        </w:rPr>
        <w:t>veintidós</w:t>
      </w:r>
      <w:r w:rsidR="000411E2" w:rsidRPr="00594F82">
        <w:rPr>
          <w:rFonts w:ascii="Palatino Linotype" w:eastAsia="MS Mincho" w:hAnsi="Palatino Linotype" w:cs="Times New Roman"/>
          <w:color w:val="000000" w:themeColor="text1"/>
        </w:rPr>
        <w:t xml:space="preserve">, </w:t>
      </w:r>
      <w:r w:rsidR="000411E2" w:rsidRPr="00594F82">
        <w:rPr>
          <w:rFonts w:ascii="Palatino Linotype" w:hAnsi="Palatino Linotype"/>
          <w:color w:val="000000" w:themeColor="text1"/>
          <w:szCs w:val="14"/>
        </w:rPr>
        <w:t xml:space="preserve">el </w:t>
      </w:r>
      <w:r w:rsidR="000411E2" w:rsidRPr="00594F82">
        <w:rPr>
          <w:rFonts w:ascii="Palatino Linotype" w:hAnsi="Palatino Linotype"/>
          <w:b/>
          <w:color w:val="000000" w:themeColor="text1"/>
          <w:szCs w:val="14"/>
        </w:rPr>
        <w:t>SUJETO OBLIGADO</w:t>
      </w:r>
      <w:r w:rsidR="000411E2" w:rsidRPr="00594F82">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94F82" w:rsidRDefault="009A593A" w:rsidP="00B31E90">
      <w:pPr>
        <w:pStyle w:val="Sinespaciado"/>
        <w:ind w:left="567" w:right="567"/>
        <w:jc w:val="right"/>
        <w:rPr>
          <w:rFonts w:ascii="Palatino Linotype" w:hAnsi="Palatino Linotype"/>
          <w:i/>
          <w:noProof/>
          <w:color w:val="000000" w:themeColor="text1"/>
          <w:lang w:eastAsia="es-MX"/>
        </w:rPr>
      </w:pPr>
    </w:p>
    <w:p w14:paraId="37E99202" w14:textId="77777777" w:rsidR="009E35CC" w:rsidRPr="00594F82" w:rsidRDefault="00F25B61" w:rsidP="009E35C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94F82">
        <w:rPr>
          <w:rFonts w:ascii="Palatino Linotype" w:hAnsi="Palatino Linotype"/>
          <w:i/>
          <w:noProof/>
          <w:color w:val="000000" w:themeColor="text1"/>
          <w:sz w:val="22"/>
          <w:szCs w:val="22"/>
          <w:lang w:val="es-MX" w:eastAsia="es-MX"/>
        </w:rPr>
        <w:t xml:space="preserve"> </w:t>
      </w:r>
      <w:r w:rsidR="005F1362" w:rsidRPr="00594F82">
        <w:rPr>
          <w:rFonts w:ascii="Palatino Linotype" w:hAnsi="Palatino Linotype"/>
          <w:i/>
          <w:noProof/>
          <w:color w:val="000000" w:themeColor="text1"/>
          <w:sz w:val="22"/>
          <w:szCs w:val="22"/>
          <w:lang w:val="es-MX" w:eastAsia="es-MX"/>
        </w:rPr>
        <w:t>“</w:t>
      </w:r>
      <w:r w:rsidR="009E35CC" w:rsidRPr="00594F8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0E3674" w14:textId="77777777" w:rsidR="009E35CC" w:rsidRPr="00594F82" w:rsidRDefault="009E35CC" w:rsidP="009E35C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693367D" w14:textId="77777777" w:rsidR="009E35CC" w:rsidRPr="00594F82" w:rsidRDefault="009E35CC" w:rsidP="009E35C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94F82">
        <w:rPr>
          <w:rFonts w:ascii="Palatino Linotype" w:hAnsi="Palatino Linotype"/>
          <w:i/>
          <w:noProof/>
          <w:color w:val="000000" w:themeColor="text1"/>
          <w:sz w:val="22"/>
          <w:szCs w:val="22"/>
          <w:lang w:val="es-MX" w:eastAsia="es-MX"/>
        </w:rPr>
        <w:t>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se anexo oficio signado por la subdirección de operación urbana.</w:t>
      </w:r>
    </w:p>
    <w:p w14:paraId="454BC23A" w14:textId="77777777" w:rsidR="009E35CC" w:rsidRPr="00594F82" w:rsidRDefault="009E35CC" w:rsidP="009E35C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89E1222" w14:textId="77777777" w:rsidR="009E35CC" w:rsidRPr="00594F82" w:rsidRDefault="009E35CC" w:rsidP="009E35C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94F82">
        <w:rPr>
          <w:rFonts w:ascii="Palatino Linotype" w:hAnsi="Palatino Linotype"/>
          <w:i/>
          <w:noProof/>
          <w:color w:val="000000" w:themeColor="text1"/>
          <w:sz w:val="22"/>
          <w:szCs w:val="22"/>
          <w:lang w:val="es-MX" w:eastAsia="es-MX"/>
        </w:rPr>
        <w:t>ATENTAMENTE</w:t>
      </w:r>
    </w:p>
    <w:p w14:paraId="35A36DE0" w14:textId="532A6915" w:rsidR="0039142B" w:rsidRPr="00594F82" w:rsidRDefault="009E35CC" w:rsidP="009E35C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94F82">
        <w:rPr>
          <w:rFonts w:ascii="Palatino Linotype" w:hAnsi="Palatino Linotype"/>
          <w:i/>
          <w:noProof/>
          <w:color w:val="000000" w:themeColor="text1"/>
          <w:sz w:val="22"/>
          <w:szCs w:val="22"/>
          <w:lang w:val="es-MX" w:eastAsia="es-MX"/>
        </w:rPr>
        <w:t>LIC. MARIO MANUEL SÁNCHEZ VILLAFUERTE</w:t>
      </w:r>
      <w:r w:rsidR="005F1362" w:rsidRPr="00594F82">
        <w:rPr>
          <w:rFonts w:ascii="Palatino Linotype" w:hAnsi="Palatino Linotype"/>
          <w:i/>
          <w:noProof/>
          <w:color w:val="000000" w:themeColor="text1"/>
          <w:sz w:val="22"/>
          <w:szCs w:val="22"/>
          <w:lang w:val="es-MX" w:eastAsia="es-MX"/>
        </w:rPr>
        <w:t>”</w:t>
      </w:r>
      <w:r w:rsidR="00EB3DF7" w:rsidRPr="00594F82">
        <w:rPr>
          <w:rFonts w:ascii="Palatino Linotype" w:hAnsi="Palatino Linotype"/>
          <w:noProof/>
          <w:color w:val="000000" w:themeColor="text1"/>
          <w:sz w:val="22"/>
          <w:szCs w:val="22"/>
          <w:lang w:val="es-MX" w:eastAsia="es-MX"/>
        </w:rPr>
        <w:t xml:space="preserve"> (Sic.)</w:t>
      </w:r>
    </w:p>
    <w:p w14:paraId="18538835" w14:textId="77777777" w:rsidR="00FE159E" w:rsidRPr="00594F82" w:rsidRDefault="00FE159E" w:rsidP="00B67B60">
      <w:pPr>
        <w:spacing w:line="360" w:lineRule="auto"/>
        <w:jc w:val="both"/>
        <w:rPr>
          <w:rFonts w:ascii="Palatino Linotype" w:hAnsi="Palatino Linotype" w:cs="Arial"/>
        </w:rPr>
      </w:pPr>
    </w:p>
    <w:p w14:paraId="6EB1129A" w14:textId="066226BC" w:rsidR="00F96BC1" w:rsidRPr="00594F82"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94F82">
        <w:rPr>
          <w:rFonts w:ascii="Palatino Linotype" w:eastAsia="Times New Roman" w:hAnsi="Palatino Linotype" w:cs="Arial"/>
          <w:color w:val="000000" w:themeColor="text1"/>
          <w:lang w:val="es-ES"/>
        </w:rPr>
        <w:t xml:space="preserve">Adjunto a su acuse de respuesta, el </w:t>
      </w:r>
      <w:r w:rsidRPr="00594F82">
        <w:rPr>
          <w:rFonts w:ascii="Palatino Linotype" w:eastAsia="Times New Roman" w:hAnsi="Palatino Linotype" w:cs="Arial"/>
          <w:b/>
          <w:color w:val="000000" w:themeColor="text1"/>
          <w:lang w:val="es-ES"/>
        </w:rPr>
        <w:t>SUJETO OBLIGADO</w:t>
      </w:r>
      <w:r w:rsidRPr="00594F82">
        <w:rPr>
          <w:rFonts w:ascii="Palatino Linotype" w:eastAsia="Times New Roman" w:hAnsi="Palatino Linotype" w:cs="Arial"/>
          <w:color w:val="000000" w:themeColor="text1"/>
          <w:lang w:val="es-ES"/>
        </w:rPr>
        <w:t xml:space="preserve"> presentó </w:t>
      </w:r>
      <w:r w:rsidR="009E35CC" w:rsidRPr="00594F82">
        <w:rPr>
          <w:rFonts w:ascii="Palatino Linotype" w:eastAsia="Times New Roman" w:hAnsi="Palatino Linotype" w:cs="Arial"/>
          <w:color w:val="000000" w:themeColor="text1"/>
          <w:lang w:val="es-ES"/>
        </w:rPr>
        <w:t>el archivo</w:t>
      </w:r>
      <w:r w:rsidRPr="00594F82">
        <w:rPr>
          <w:rFonts w:ascii="Palatino Linotype" w:eastAsia="Times New Roman" w:hAnsi="Palatino Linotype" w:cs="Arial"/>
          <w:color w:val="000000" w:themeColor="text1"/>
          <w:lang w:val="es-ES"/>
        </w:rPr>
        <w:t xml:space="preserve"> electrónico</w:t>
      </w:r>
      <w:r w:rsidR="000B2F84" w:rsidRPr="00594F82">
        <w:rPr>
          <w:rFonts w:ascii="Palatino Linotype" w:eastAsia="Times New Roman" w:hAnsi="Palatino Linotype" w:cs="Arial"/>
          <w:color w:val="000000" w:themeColor="text1"/>
          <w:lang w:val="es-ES"/>
        </w:rPr>
        <w:t xml:space="preserve"> siguiente</w:t>
      </w:r>
      <w:r w:rsidRPr="00594F82">
        <w:rPr>
          <w:rFonts w:ascii="Palatino Linotype" w:eastAsia="Times New Roman" w:hAnsi="Palatino Linotype" w:cs="Arial"/>
          <w:color w:val="000000" w:themeColor="text1"/>
          <w:lang w:val="es-ES"/>
        </w:rPr>
        <w:t>:</w:t>
      </w:r>
    </w:p>
    <w:p w14:paraId="042CEC6E" w14:textId="7C9913F2" w:rsidR="00085B60" w:rsidRPr="00594F82" w:rsidRDefault="007D2192" w:rsidP="00C94D16">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Cs w:val="22"/>
        </w:rPr>
      </w:pPr>
      <w:r w:rsidRPr="00594F82">
        <w:rPr>
          <w:rFonts w:ascii="Palatino Linotype" w:eastAsia="Times New Roman" w:hAnsi="Palatino Linotype" w:cs="Arial"/>
          <w:b/>
          <w:i/>
          <w:color w:val="000000" w:themeColor="text1"/>
          <w:lang w:val="es-ES"/>
        </w:rPr>
        <w:lastRenderedPageBreak/>
        <w:t>“</w:t>
      </w:r>
      <w:r w:rsidR="000B2F84" w:rsidRPr="00594F82">
        <w:rPr>
          <w:rFonts w:ascii="Palatino Linotype" w:eastAsia="Times New Roman" w:hAnsi="Palatino Linotype" w:cs="Arial"/>
          <w:b/>
          <w:i/>
          <w:color w:val="000000" w:themeColor="text1"/>
          <w:lang w:val="es-ES"/>
        </w:rPr>
        <w:t>saimex686</w:t>
      </w:r>
      <w:r w:rsidRPr="00594F82">
        <w:rPr>
          <w:rFonts w:ascii="Palatino Linotype" w:eastAsia="Times New Roman" w:hAnsi="Palatino Linotype" w:cs="Arial"/>
          <w:b/>
          <w:i/>
          <w:color w:val="000000" w:themeColor="text1"/>
          <w:lang w:val="es-ES"/>
        </w:rPr>
        <w:t>.pdf”</w:t>
      </w:r>
      <w:r w:rsidRPr="00594F82">
        <w:rPr>
          <w:rFonts w:ascii="Palatino Linotype" w:eastAsia="Times New Roman" w:hAnsi="Palatino Linotype" w:cs="Arial"/>
          <w:color w:val="000000" w:themeColor="text1"/>
          <w:lang w:val="es-ES"/>
        </w:rPr>
        <w:t xml:space="preserve">: Documento </w:t>
      </w:r>
      <w:r w:rsidR="000B2F84" w:rsidRPr="00594F82">
        <w:rPr>
          <w:rFonts w:ascii="Palatino Linotype" w:eastAsia="Times New Roman" w:hAnsi="Palatino Linotype" w:cs="Arial"/>
          <w:color w:val="000000" w:themeColor="text1"/>
          <w:lang w:val="es-ES"/>
        </w:rPr>
        <w:t>de una foja consistente en la copia digitalizada del oficio número DGDU/SOU/495/2022, de uno (01) de septiembre de dos mil veintidós, emitido por el Titular de la Subdirección de Operación Urbana, dirigido a la Titular de la Subdirección Jurídica, por el que manifiesta que la información requerida es competencia de dependencias del Gobierno Estatal.</w:t>
      </w:r>
    </w:p>
    <w:p w14:paraId="1FC21E16" w14:textId="23BC3BD5" w:rsidR="00F96BC1" w:rsidRPr="00594F82" w:rsidRDefault="00F96BC1" w:rsidP="00F96BC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CF9A2E3" w:rsidR="000D5A1D" w:rsidRPr="00594F82"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94F82">
        <w:rPr>
          <w:rFonts w:ascii="Palatino Linotype" w:eastAsia="Times New Roman" w:hAnsi="Palatino Linotype" w:cs="Arial"/>
          <w:color w:val="000000" w:themeColor="text1"/>
          <w:lang w:val="es-ES"/>
        </w:rPr>
        <w:t>D</w:t>
      </w:r>
      <w:r w:rsidR="00561ED1" w:rsidRPr="00594F82">
        <w:rPr>
          <w:rFonts w:ascii="Palatino Linotype" w:eastAsia="Times New Roman" w:hAnsi="Palatino Linotype" w:cs="Arial"/>
          <w:color w:val="000000" w:themeColor="text1"/>
          <w:lang w:val="es-ES"/>
        </w:rPr>
        <w:t xml:space="preserve">erivado de la respuesta emitida por el </w:t>
      </w:r>
      <w:r w:rsidR="00561ED1" w:rsidRPr="00594F82">
        <w:rPr>
          <w:rFonts w:ascii="Palatino Linotype" w:eastAsia="Times New Roman" w:hAnsi="Palatino Linotype" w:cs="Arial"/>
          <w:b/>
          <w:color w:val="000000" w:themeColor="text1"/>
          <w:lang w:val="es-ES"/>
        </w:rPr>
        <w:t>SUJETO OBLIGADO</w:t>
      </w:r>
      <w:r w:rsidR="00561ED1" w:rsidRPr="00594F82">
        <w:rPr>
          <w:rFonts w:ascii="Palatino Linotype" w:eastAsia="Times New Roman" w:hAnsi="Palatino Linotype" w:cs="Arial"/>
          <w:color w:val="000000" w:themeColor="text1"/>
          <w:lang w:val="es-ES"/>
        </w:rPr>
        <w:t>, e</w:t>
      </w:r>
      <w:r w:rsidR="00DB4BEF" w:rsidRPr="00594F82">
        <w:rPr>
          <w:rFonts w:ascii="Palatino Linotype" w:eastAsia="Times New Roman" w:hAnsi="Palatino Linotype" w:cs="Arial"/>
          <w:color w:val="000000" w:themeColor="text1"/>
          <w:lang w:val="es-ES"/>
        </w:rPr>
        <w:t xml:space="preserve">l </w:t>
      </w:r>
      <w:r w:rsidR="000B2F84" w:rsidRPr="00594F82">
        <w:rPr>
          <w:rFonts w:ascii="Palatino Linotype" w:eastAsia="Times New Roman" w:hAnsi="Palatino Linotype" w:cs="Arial"/>
          <w:color w:val="000000" w:themeColor="text1"/>
          <w:lang w:val="es-ES"/>
        </w:rPr>
        <w:t xml:space="preserve">quince (15) de septiembre </w:t>
      </w:r>
      <w:r w:rsidR="000905EC" w:rsidRPr="00594F82">
        <w:rPr>
          <w:rFonts w:ascii="Palatino Linotype" w:eastAsia="Times New Roman" w:hAnsi="Palatino Linotype" w:cs="Arial"/>
          <w:color w:val="000000" w:themeColor="text1"/>
          <w:lang w:val="es-ES"/>
        </w:rPr>
        <w:t>de dos mil veintidós</w:t>
      </w:r>
      <w:r w:rsidR="00FE49E3" w:rsidRPr="00594F82">
        <w:rPr>
          <w:rFonts w:ascii="Palatino Linotype" w:eastAsia="Times New Roman" w:hAnsi="Palatino Linotype" w:cs="Arial"/>
          <w:color w:val="000000" w:themeColor="text1"/>
          <w:lang w:val="es-ES"/>
        </w:rPr>
        <w:t xml:space="preserve">, </w:t>
      </w:r>
      <w:r w:rsidR="00505B01" w:rsidRPr="00594F82">
        <w:rPr>
          <w:rFonts w:ascii="Palatino Linotype" w:eastAsia="Times New Roman" w:hAnsi="Palatino Linotype" w:cs="Arial"/>
          <w:color w:val="000000" w:themeColor="text1"/>
          <w:lang w:val="es-ES"/>
        </w:rPr>
        <w:t>e</w:t>
      </w:r>
      <w:r w:rsidR="004F0BF4" w:rsidRPr="00594F82">
        <w:rPr>
          <w:rFonts w:ascii="Palatino Linotype" w:eastAsia="Times New Roman" w:hAnsi="Palatino Linotype" w:cs="Arial"/>
          <w:color w:val="000000" w:themeColor="text1"/>
          <w:lang w:val="es-ES"/>
        </w:rPr>
        <w:t>l</w:t>
      </w:r>
      <w:r w:rsidR="005F1362" w:rsidRPr="00594F82">
        <w:rPr>
          <w:rFonts w:ascii="Palatino Linotype" w:eastAsia="Times New Roman" w:hAnsi="Palatino Linotype" w:cs="Arial"/>
          <w:color w:val="000000" w:themeColor="text1"/>
          <w:lang w:val="es-ES"/>
        </w:rPr>
        <w:t xml:space="preserve"> particular</w:t>
      </w:r>
      <w:r w:rsidR="00DB4BEF" w:rsidRPr="00594F82">
        <w:rPr>
          <w:rFonts w:ascii="Palatino Linotype" w:eastAsia="Times New Roman" w:hAnsi="Palatino Linotype" w:cs="Arial"/>
          <w:color w:val="000000" w:themeColor="text1"/>
          <w:lang w:val="es-ES"/>
        </w:rPr>
        <w:t xml:space="preserve"> interpuso</w:t>
      </w:r>
      <w:r w:rsidR="009316E9" w:rsidRPr="00594F82">
        <w:rPr>
          <w:rFonts w:ascii="Palatino Linotype" w:eastAsia="Times New Roman" w:hAnsi="Palatino Linotype" w:cs="Arial"/>
          <w:color w:val="000000" w:themeColor="text1"/>
          <w:lang w:val="es-ES"/>
        </w:rPr>
        <w:t xml:space="preserve"> </w:t>
      </w:r>
      <w:r w:rsidR="00F25B61" w:rsidRPr="00594F82">
        <w:rPr>
          <w:rFonts w:ascii="Palatino Linotype" w:eastAsia="Times New Roman" w:hAnsi="Palatino Linotype" w:cs="Arial"/>
          <w:color w:val="000000" w:themeColor="text1"/>
          <w:lang w:val="es-ES"/>
        </w:rPr>
        <w:t>el</w:t>
      </w:r>
      <w:r w:rsidR="004D68F8" w:rsidRPr="00594F82">
        <w:rPr>
          <w:rFonts w:ascii="Palatino Linotype" w:eastAsia="Times New Roman" w:hAnsi="Palatino Linotype" w:cs="Arial"/>
          <w:color w:val="000000" w:themeColor="text1"/>
          <w:lang w:val="es-ES"/>
        </w:rPr>
        <w:t xml:space="preserve"> recurso de revisión </w:t>
      </w:r>
      <w:r w:rsidR="009E35CC" w:rsidRPr="00594F82">
        <w:rPr>
          <w:rFonts w:ascii="Palatino Linotype" w:eastAsia="Calibri" w:hAnsi="Palatino Linotype" w:cs="Arial"/>
          <w:b/>
          <w:color w:val="000000" w:themeColor="text1"/>
          <w:lang w:val="es-ES"/>
        </w:rPr>
        <w:t>14803/INFOEM/IP/RR/2022</w:t>
      </w:r>
      <w:r w:rsidR="009A0461" w:rsidRPr="00594F82">
        <w:rPr>
          <w:rFonts w:ascii="Palatino Linotype" w:eastAsia="Calibri" w:hAnsi="Palatino Linotype" w:cs="Arial"/>
          <w:color w:val="000000" w:themeColor="text1"/>
          <w:lang w:val="es-ES"/>
        </w:rPr>
        <w:t>;</w:t>
      </w:r>
      <w:r w:rsidR="00102D65" w:rsidRPr="00594F82">
        <w:rPr>
          <w:rFonts w:ascii="Palatino Linotype" w:eastAsia="Times New Roman" w:hAnsi="Palatino Linotype" w:cs="Arial"/>
          <w:color w:val="000000" w:themeColor="text1"/>
          <w:lang w:val="es-ES"/>
        </w:rPr>
        <w:t xml:space="preserve"> </w:t>
      </w:r>
      <w:r w:rsidR="00F25B61" w:rsidRPr="00594F82">
        <w:rPr>
          <w:rFonts w:ascii="Palatino Linotype" w:eastAsia="Times New Roman" w:hAnsi="Palatino Linotype" w:cs="Arial"/>
          <w:color w:val="000000" w:themeColor="text1"/>
          <w:lang w:val="es-ES"/>
        </w:rPr>
        <w:t>impugnación</w:t>
      </w:r>
      <w:r w:rsidR="004D68F8" w:rsidRPr="00594F82">
        <w:rPr>
          <w:rFonts w:ascii="Palatino Linotype" w:eastAsia="Times New Roman" w:hAnsi="Palatino Linotype" w:cs="Arial"/>
          <w:color w:val="000000" w:themeColor="text1"/>
          <w:lang w:val="es-ES"/>
        </w:rPr>
        <w:t xml:space="preserve"> </w:t>
      </w:r>
      <w:r w:rsidR="00A45546" w:rsidRPr="00594F82">
        <w:rPr>
          <w:rFonts w:ascii="Palatino Linotype" w:eastAsia="Times New Roman" w:hAnsi="Palatino Linotype" w:cs="Arial"/>
          <w:color w:val="000000" w:themeColor="text1"/>
          <w:lang w:val="es-ES"/>
        </w:rPr>
        <w:t xml:space="preserve">en </w:t>
      </w:r>
      <w:r w:rsidR="00977D37" w:rsidRPr="00594F82">
        <w:rPr>
          <w:rFonts w:ascii="Palatino Linotype" w:eastAsia="Times New Roman" w:hAnsi="Palatino Linotype" w:cs="Arial"/>
          <w:color w:val="000000" w:themeColor="text1"/>
          <w:lang w:val="es-ES"/>
        </w:rPr>
        <w:t>la</w:t>
      </w:r>
      <w:r w:rsidR="00A45546" w:rsidRPr="00594F82">
        <w:rPr>
          <w:rFonts w:ascii="Palatino Linotype" w:eastAsia="Times New Roman" w:hAnsi="Palatino Linotype" w:cs="Arial"/>
          <w:color w:val="000000" w:themeColor="text1"/>
          <w:lang w:val="es-ES"/>
        </w:rPr>
        <w:t xml:space="preserve"> que refirió </w:t>
      </w:r>
      <w:r w:rsidR="004D68F8" w:rsidRPr="00594F82">
        <w:rPr>
          <w:rFonts w:ascii="Palatino Linotype" w:eastAsia="Times New Roman" w:hAnsi="Palatino Linotype" w:cs="Arial"/>
          <w:color w:val="000000" w:themeColor="text1"/>
          <w:lang w:val="es-ES"/>
        </w:rPr>
        <w:t>lo siguiente:</w:t>
      </w:r>
    </w:p>
    <w:p w14:paraId="054906C6" w14:textId="77777777" w:rsidR="00E34622" w:rsidRPr="00594F8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949DA8F" w:rsidR="00E34622" w:rsidRPr="00594F8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94F82">
        <w:rPr>
          <w:rFonts w:ascii="Palatino Linotype" w:eastAsia="Times New Roman" w:hAnsi="Palatino Linotype" w:cs="Arial"/>
          <w:b/>
          <w:color w:val="000000" w:themeColor="text1"/>
          <w:sz w:val="22"/>
          <w:lang w:val="es-ES"/>
        </w:rPr>
        <w:t>Acto impugnado:</w:t>
      </w:r>
      <w:r w:rsidRPr="00594F82">
        <w:rPr>
          <w:rFonts w:ascii="Palatino Linotype" w:eastAsia="Times New Roman" w:hAnsi="Palatino Linotype" w:cs="Arial"/>
          <w:color w:val="000000" w:themeColor="text1"/>
          <w:sz w:val="22"/>
          <w:lang w:val="es-ES"/>
        </w:rPr>
        <w:t xml:space="preserve"> “</w:t>
      </w:r>
      <w:r w:rsidR="000B2F84" w:rsidRPr="00594F82">
        <w:rPr>
          <w:rFonts w:ascii="Palatino Linotype" w:eastAsia="Times New Roman" w:hAnsi="Palatino Linotype" w:cs="Arial"/>
          <w:i/>
          <w:iCs/>
          <w:color w:val="000000" w:themeColor="text1"/>
          <w:sz w:val="22"/>
        </w:rPr>
        <w:t>respuesta a solicitud de información, esta no es completa, tampoco es clara por parte del sujeto obligado y no corresponde a lo solicitado.</w:t>
      </w:r>
      <w:r w:rsidRPr="00594F82">
        <w:rPr>
          <w:rFonts w:ascii="Palatino Linotype" w:eastAsia="Times New Roman" w:hAnsi="Palatino Linotype" w:cs="Arial"/>
          <w:i/>
          <w:iCs/>
          <w:color w:val="000000" w:themeColor="text1"/>
          <w:sz w:val="22"/>
          <w:lang w:val="es-ES"/>
        </w:rPr>
        <w:t>”</w:t>
      </w:r>
      <w:r w:rsidRPr="00594F82">
        <w:rPr>
          <w:rFonts w:ascii="Palatino Linotype" w:eastAsia="Times New Roman" w:hAnsi="Palatino Linotype" w:cs="Arial"/>
          <w:color w:val="000000" w:themeColor="text1"/>
          <w:sz w:val="22"/>
          <w:lang w:val="es-ES"/>
        </w:rPr>
        <w:t xml:space="preserve"> (Sic)</w:t>
      </w:r>
    </w:p>
    <w:p w14:paraId="25E44FB6" w14:textId="77777777" w:rsidR="00F25B61" w:rsidRPr="00594F82"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5281B5B" w:rsidR="000E096F" w:rsidRPr="00594F8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94F82">
        <w:rPr>
          <w:rFonts w:ascii="Palatino Linotype" w:eastAsia="Times New Roman" w:hAnsi="Palatino Linotype" w:cs="Arial"/>
          <w:b/>
          <w:color w:val="000000" w:themeColor="text1"/>
          <w:sz w:val="22"/>
          <w:lang w:val="es-ES"/>
        </w:rPr>
        <w:t>Razones o motivos de inconformidad:</w:t>
      </w:r>
      <w:r w:rsidRPr="00594F82">
        <w:rPr>
          <w:rFonts w:ascii="Palatino Linotype" w:eastAsia="Times New Roman" w:hAnsi="Palatino Linotype" w:cs="Arial"/>
          <w:color w:val="000000" w:themeColor="text1"/>
          <w:sz w:val="22"/>
          <w:lang w:val="es-ES"/>
        </w:rPr>
        <w:t xml:space="preserve"> </w:t>
      </w:r>
      <w:r w:rsidR="00505B01" w:rsidRPr="00594F82">
        <w:rPr>
          <w:rFonts w:ascii="Palatino Linotype" w:eastAsia="Times New Roman" w:hAnsi="Palatino Linotype" w:cs="Arial"/>
          <w:color w:val="000000" w:themeColor="text1"/>
          <w:sz w:val="22"/>
          <w:lang w:val="es-ES"/>
        </w:rPr>
        <w:t>“</w:t>
      </w:r>
      <w:r w:rsidR="000B2F84" w:rsidRPr="00594F82">
        <w:rPr>
          <w:rFonts w:ascii="Palatino Linotype" w:eastAsia="Times New Roman" w:hAnsi="Palatino Linotype" w:cs="Arial"/>
          <w:i/>
          <w:iCs/>
          <w:color w:val="000000" w:themeColor="text1"/>
          <w:sz w:val="22"/>
        </w:rPr>
        <w:t xml:space="preserve">No es correcta la información que se le dio al suscrito en razón de que la documentación que se </w:t>
      </w:r>
      <w:proofErr w:type="spellStart"/>
      <w:r w:rsidR="000B2F84" w:rsidRPr="00594F82">
        <w:rPr>
          <w:rFonts w:ascii="Palatino Linotype" w:eastAsia="Times New Roman" w:hAnsi="Palatino Linotype" w:cs="Arial"/>
          <w:i/>
          <w:iCs/>
          <w:color w:val="000000" w:themeColor="text1"/>
          <w:sz w:val="22"/>
        </w:rPr>
        <w:t>esta</w:t>
      </w:r>
      <w:proofErr w:type="spellEnd"/>
      <w:r w:rsidR="000B2F84" w:rsidRPr="00594F82">
        <w:rPr>
          <w:rFonts w:ascii="Palatino Linotype" w:eastAsia="Times New Roman" w:hAnsi="Palatino Linotype" w:cs="Arial"/>
          <w:i/>
          <w:iCs/>
          <w:color w:val="000000" w:themeColor="text1"/>
          <w:sz w:val="22"/>
        </w:rPr>
        <w:t xml:space="preserve"> solicitando es competencia del sujeto obligado toda vez que dicho documento lo debió de haber emitido la DIRECCION DE DESARROLLO URBANO DEL H. AYUNTAMIENTO DE NAUCALPAN DE JUAREZ y es el denominado "Autorización de Cambio a Régimen de Condominio" acompañado de los "Planos Arquitectónicos" correspondientes, ya que este es el acto por el cual una construcción que acredita su existencia legal mediante la respectiva Constancia de Terminación de Obra Total, acuerda la división del inmueble en áreas privativas de dominio y uso exclusivo de los condóminos, elementos comunes de la construcción y áreas de uso común del condominio, de conformidad con lo dispuesto por el Código Civil, la Ley de Condominios, el Reglamento Municipal de Condominios, el Reglamento, toda vez que según se desprende de la Licencia de Construcción B-34316/75 emitida por el Gobierno del Estado de México por conducto de la Secretaria de Comunicaciones y Obras </w:t>
      </w:r>
      <w:proofErr w:type="spellStart"/>
      <w:r w:rsidR="000B2F84" w:rsidRPr="00594F82">
        <w:rPr>
          <w:rFonts w:ascii="Palatino Linotype" w:eastAsia="Times New Roman" w:hAnsi="Palatino Linotype" w:cs="Arial"/>
          <w:i/>
          <w:iCs/>
          <w:color w:val="000000" w:themeColor="text1"/>
          <w:sz w:val="22"/>
        </w:rPr>
        <w:t>Publicas</w:t>
      </w:r>
      <w:proofErr w:type="spellEnd"/>
      <w:r w:rsidR="000B2F84" w:rsidRPr="00594F82">
        <w:rPr>
          <w:rFonts w:ascii="Palatino Linotype" w:eastAsia="Times New Roman" w:hAnsi="Palatino Linotype" w:cs="Arial"/>
          <w:i/>
          <w:iCs/>
          <w:color w:val="000000" w:themeColor="text1"/>
          <w:sz w:val="22"/>
        </w:rPr>
        <w:t xml:space="preserve">, es en este mismo documento que contiene la "protocolización" y/o "autorización a </w:t>
      </w:r>
      <w:proofErr w:type="spellStart"/>
      <w:r w:rsidR="000B2F84" w:rsidRPr="00594F82">
        <w:rPr>
          <w:rFonts w:ascii="Palatino Linotype" w:eastAsia="Times New Roman" w:hAnsi="Palatino Linotype" w:cs="Arial"/>
          <w:i/>
          <w:iCs/>
          <w:color w:val="000000" w:themeColor="text1"/>
          <w:sz w:val="22"/>
        </w:rPr>
        <w:t>Regimen</w:t>
      </w:r>
      <w:proofErr w:type="spellEnd"/>
      <w:r w:rsidR="000B2F84" w:rsidRPr="00594F82">
        <w:rPr>
          <w:rFonts w:ascii="Palatino Linotype" w:eastAsia="Times New Roman" w:hAnsi="Palatino Linotype" w:cs="Arial"/>
          <w:i/>
          <w:iCs/>
          <w:color w:val="000000" w:themeColor="text1"/>
          <w:sz w:val="22"/>
        </w:rPr>
        <w:t xml:space="preserve"> en Condominio", según se desprende del documento que exhibo como archivo adjunto, mismo que se </w:t>
      </w:r>
      <w:r w:rsidR="000B2F84" w:rsidRPr="00594F82">
        <w:rPr>
          <w:rFonts w:ascii="Palatino Linotype" w:eastAsia="Times New Roman" w:hAnsi="Palatino Linotype" w:cs="Arial"/>
          <w:i/>
          <w:iCs/>
          <w:color w:val="000000" w:themeColor="text1"/>
          <w:sz w:val="22"/>
        </w:rPr>
        <w:lastRenderedPageBreak/>
        <w:t xml:space="preserve">contrapone con lo establecido en la Licencia Municipal de Construcción numero: DLCA/0193/16, expedida por el H. AYUNTAMIENTO DE NAUCALPAN DE JUAREZ, DIRECCION GENERAL DE DESARROLLO URBANO (prorroga) de fecha de expedición 09 de mayo del 2016 y fecha de vencimiento 08 de mayo del 2017, donde se desprende en el apartado de Obligaciones del Titular en su numeral 4 y que a la letra dice así,..."4.- Esta Licencia Municipal de Construcción NO autoriza la fusión y subdivisión de lotes.", así como en el apartado de Observaciones en el numeral (TRES ROMANO) y que a la letra dice </w:t>
      </w:r>
      <w:proofErr w:type="spellStart"/>
      <w:r w:rsidR="000B2F84" w:rsidRPr="00594F82">
        <w:rPr>
          <w:rFonts w:ascii="Palatino Linotype" w:eastAsia="Times New Roman" w:hAnsi="Palatino Linotype" w:cs="Arial"/>
          <w:i/>
          <w:iCs/>
          <w:color w:val="000000" w:themeColor="text1"/>
          <w:sz w:val="22"/>
        </w:rPr>
        <w:t>así,.."III</w:t>
      </w:r>
      <w:proofErr w:type="spellEnd"/>
      <w:r w:rsidR="000B2F84" w:rsidRPr="00594F82">
        <w:rPr>
          <w:rFonts w:ascii="Palatino Linotype" w:eastAsia="Times New Roman" w:hAnsi="Palatino Linotype" w:cs="Arial"/>
          <w:i/>
          <w:iCs/>
          <w:color w:val="000000" w:themeColor="text1"/>
          <w:sz w:val="22"/>
        </w:rPr>
        <w:t xml:space="preserve">.- La presente Licencia NO autoriza el Cambio a Régimen en Condominio de la Construcción, según se desprende del documento que exhibo en archivo adjunto, por tal motivo es que solicito dicha documentación, toda vez que es competencia del sujeto obligado el emitir el documento denominado "Autorización de Cambio a </w:t>
      </w:r>
      <w:proofErr w:type="spellStart"/>
      <w:r w:rsidR="000B2F84" w:rsidRPr="00594F82">
        <w:rPr>
          <w:rFonts w:ascii="Palatino Linotype" w:eastAsia="Times New Roman" w:hAnsi="Palatino Linotype" w:cs="Arial"/>
          <w:i/>
          <w:iCs/>
          <w:color w:val="000000" w:themeColor="text1"/>
          <w:sz w:val="22"/>
        </w:rPr>
        <w:t>Regimen</w:t>
      </w:r>
      <w:proofErr w:type="spellEnd"/>
      <w:r w:rsidR="000B2F84" w:rsidRPr="00594F82">
        <w:rPr>
          <w:rFonts w:ascii="Palatino Linotype" w:eastAsia="Times New Roman" w:hAnsi="Palatino Linotype" w:cs="Arial"/>
          <w:i/>
          <w:iCs/>
          <w:color w:val="000000" w:themeColor="text1"/>
          <w:sz w:val="22"/>
        </w:rPr>
        <w:t xml:space="preserve"> en Condominio"</w:t>
      </w:r>
      <w:r w:rsidR="00505B01" w:rsidRPr="00594F82">
        <w:rPr>
          <w:rFonts w:ascii="Palatino Linotype" w:eastAsia="Times New Roman" w:hAnsi="Palatino Linotype" w:cs="Arial"/>
          <w:i/>
          <w:iCs/>
          <w:color w:val="000000" w:themeColor="text1"/>
          <w:sz w:val="22"/>
          <w:lang w:val="es-ES"/>
        </w:rPr>
        <w:t>”</w:t>
      </w:r>
      <w:r w:rsidR="00505B01" w:rsidRPr="00594F82">
        <w:rPr>
          <w:rFonts w:ascii="Palatino Linotype" w:eastAsia="Times New Roman" w:hAnsi="Palatino Linotype" w:cs="Arial"/>
          <w:color w:val="000000" w:themeColor="text1"/>
          <w:sz w:val="22"/>
          <w:lang w:val="es-ES"/>
        </w:rPr>
        <w:t xml:space="preserve"> (Sic)</w:t>
      </w:r>
    </w:p>
    <w:p w14:paraId="3C8DEE6E" w14:textId="77777777" w:rsidR="00394F10" w:rsidRPr="00594F82"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3A8A5B" w14:textId="68C24586" w:rsidR="000B2F84" w:rsidRPr="00594F82"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4F82">
        <w:rPr>
          <w:rFonts w:ascii="Palatino Linotype" w:eastAsia="Calibri" w:hAnsi="Palatino Linotype" w:cs="Arial"/>
          <w:color w:val="000000" w:themeColor="text1"/>
          <w:lang w:val="es-ES"/>
        </w:rPr>
        <w:t xml:space="preserve">Adjunto al recurso de revisión, el ahora </w:t>
      </w:r>
      <w:r w:rsidRPr="00594F82">
        <w:rPr>
          <w:rFonts w:ascii="Palatino Linotype" w:eastAsia="Calibri" w:hAnsi="Palatino Linotype" w:cs="Arial"/>
          <w:b/>
          <w:color w:val="000000" w:themeColor="text1"/>
          <w:lang w:val="es-ES"/>
        </w:rPr>
        <w:t>RECURRENTE</w:t>
      </w:r>
      <w:r w:rsidRPr="00594F82">
        <w:rPr>
          <w:rFonts w:ascii="Palatino Linotype" w:eastAsia="Calibri" w:hAnsi="Palatino Linotype" w:cs="Arial"/>
          <w:color w:val="000000" w:themeColor="text1"/>
          <w:lang w:val="es-ES"/>
        </w:rPr>
        <w:t xml:space="preserve"> presentó los siguientes archivos electrónicos:</w:t>
      </w:r>
    </w:p>
    <w:p w14:paraId="7FF21B04" w14:textId="03C84C38" w:rsidR="000B2F84" w:rsidRPr="00594F82" w:rsidRDefault="000B2F84" w:rsidP="000B2F84">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94F82">
        <w:rPr>
          <w:rFonts w:ascii="Palatino Linotype" w:eastAsia="Calibri" w:hAnsi="Palatino Linotype" w:cs="Arial"/>
          <w:color w:val="000000" w:themeColor="text1"/>
          <w:lang w:val="es-ES"/>
        </w:rPr>
        <w:t>“</w:t>
      </w:r>
      <w:proofErr w:type="spellStart"/>
      <w:r w:rsidRPr="00594F82">
        <w:rPr>
          <w:rFonts w:ascii="Palatino Linotype" w:eastAsia="Calibri" w:hAnsi="Palatino Linotype" w:cs="Arial"/>
          <w:b/>
          <w:i/>
          <w:color w:val="000000" w:themeColor="text1"/>
          <w:lang w:val="es-ES"/>
        </w:rPr>
        <w:t>pro.licencia</w:t>
      </w:r>
      <w:proofErr w:type="spellEnd"/>
      <w:r w:rsidRPr="00594F82">
        <w:rPr>
          <w:rFonts w:ascii="Palatino Linotype" w:eastAsia="Calibri" w:hAnsi="Palatino Linotype" w:cs="Arial"/>
          <w:b/>
          <w:i/>
          <w:color w:val="000000" w:themeColor="text1"/>
          <w:lang w:val="es-ES"/>
        </w:rPr>
        <w:t xml:space="preserve"> renato.jpg</w:t>
      </w:r>
      <w:r w:rsidRPr="00594F82">
        <w:rPr>
          <w:rFonts w:ascii="Palatino Linotype" w:eastAsia="Calibri" w:hAnsi="Palatino Linotype" w:cs="Arial"/>
          <w:color w:val="000000" w:themeColor="text1"/>
          <w:lang w:val="es-ES"/>
        </w:rPr>
        <w:t xml:space="preserve">”: Archivo de imagen consistente en la fotografía de la licencia de construcción número DLCA/0193/016, expedida el nueve (09) de mayo de dos mil dieciséis. </w:t>
      </w:r>
    </w:p>
    <w:p w14:paraId="64D54D9A" w14:textId="064CC89F" w:rsidR="000B2F84" w:rsidRPr="00594F82" w:rsidRDefault="000B2F84" w:rsidP="000B2F84">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94F82">
        <w:rPr>
          <w:rFonts w:ascii="Palatino Linotype" w:eastAsia="Calibri" w:hAnsi="Palatino Linotype" w:cs="Arial"/>
          <w:color w:val="000000" w:themeColor="text1"/>
          <w:lang w:val="es-ES"/>
        </w:rPr>
        <w:t>“</w:t>
      </w:r>
      <w:r w:rsidRPr="00594F82">
        <w:rPr>
          <w:rFonts w:ascii="Palatino Linotype" w:eastAsia="Calibri" w:hAnsi="Palatino Linotype" w:cs="Arial"/>
          <w:b/>
          <w:i/>
          <w:color w:val="000000" w:themeColor="text1"/>
          <w:lang w:val="es-ES"/>
        </w:rPr>
        <w:t>Licencia alterada renato.jpg</w:t>
      </w:r>
      <w:r w:rsidRPr="00594F82">
        <w:rPr>
          <w:rFonts w:ascii="Palatino Linotype" w:eastAsia="Calibri" w:hAnsi="Palatino Linotype" w:cs="Arial"/>
          <w:color w:val="000000" w:themeColor="text1"/>
          <w:lang w:val="es-ES"/>
        </w:rPr>
        <w:t xml:space="preserve">”: Archivo de imagen consistente en la fotografía de la licencia de construcción número B-34316/75, </w:t>
      </w:r>
      <w:r w:rsidR="00870E5C" w:rsidRPr="00594F82">
        <w:rPr>
          <w:rFonts w:ascii="Palatino Linotype" w:eastAsia="Calibri" w:hAnsi="Palatino Linotype" w:cs="Arial"/>
          <w:color w:val="000000" w:themeColor="text1"/>
          <w:lang w:val="es-ES"/>
        </w:rPr>
        <w:t>cuyo contenido resulta ilegible.</w:t>
      </w:r>
    </w:p>
    <w:p w14:paraId="780C25C8" w14:textId="77777777" w:rsidR="000B2F84" w:rsidRPr="00594F82" w:rsidRDefault="000B2F84" w:rsidP="000B2F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D9D30A4" w:rsidR="005C7898" w:rsidRPr="00594F82"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4F82">
        <w:rPr>
          <w:rFonts w:ascii="Palatino Linotype" w:eastAsia="Calibri" w:hAnsi="Palatino Linotype" w:cs="Arial"/>
          <w:color w:val="000000" w:themeColor="text1"/>
          <w:lang w:val="es-ES"/>
        </w:rPr>
        <w:t>S</w:t>
      </w:r>
      <w:r w:rsidR="005C7898" w:rsidRPr="00594F82">
        <w:rPr>
          <w:rFonts w:ascii="Palatino Linotype" w:eastAsia="Calibri" w:hAnsi="Palatino Linotype" w:cs="Arial"/>
          <w:color w:val="000000" w:themeColor="text1"/>
          <w:lang w:val="es-ES"/>
        </w:rPr>
        <w:t xml:space="preserve">e </w:t>
      </w:r>
      <w:r w:rsidR="00F25B61" w:rsidRPr="00594F82">
        <w:rPr>
          <w:rFonts w:ascii="Palatino Linotype" w:eastAsia="Times New Roman" w:hAnsi="Palatino Linotype" w:cs="Arial"/>
          <w:color w:val="000000" w:themeColor="text1"/>
          <w:lang w:val="es-ES"/>
        </w:rPr>
        <w:t>registró</w:t>
      </w:r>
      <w:r w:rsidR="005C7898" w:rsidRPr="00594F82">
        <w:rPr>
          <w:rFonts w:ascii="Palatino Linotype" w:eastAsia="Times New Roman" w:hAnsi="Palatino Linotype" w:cs="Arial"/>
          <w:color w:val="000000" w:themeColor="text1"/>
          <w:lang w:val="es-ES"/>
        </w:rPr>
        <w:t xml:space="preserve"> </w:t>
      </w:r>
      <w:r w:rsidR="00F25B61" w:rsidRPr="00594F82">
        <w:rPr>
          <w:rFonts w:ascii="Palatino Linotype" w:eastAsia="Times New Roman" w:hAnsi="Palatino Linotype" w:cs="Arial"/>
          <w:color w:val="000000" w:themeColor="text1"/>
          <w:lang w:val="es-ES"/>
        </w:rPr>
        <w:t>el</w:t>
      </w:r>
      <w:r w:rsidR="005C7898" w:rsidRPr="00594F82">
        <w:rPr>
          <w:rFonts w:ascii="Palatino Linotype" w:eastAsia="Times New Roman" w:hAnsi="Palatino Linotype" w:cs="Arial"/>
          <w:color w:val="000000" w:themeColor="text1"/>
          <w:lang w:val="es-ES"/>
        </w:rPr>
        <w:t xml:space="preserve"> recurso de revisión bajo </w:t>
      </w:r>
      <w:r w:rsidR="00F25B61" w:rsidRPr="00594F82">
        <w:rPr>
          <w:rFonts w:ascii="Palatino Linotype" w:eastAsia="Times New Roman" w:hAnsi="Palatino Linotype" w:cs="Arial"/>
          <w:color w:val="000000" w:themeColor="text1"/>
          <w:lang w:val="es-ES"/>
        </w:rPr>
        <w:t>el</w:t>
      </w:r>
      <w:r w:rsidR="005C7898" w:rsidRPr="00594F82">
        <w:rPr>
          <w:rFonts w:ascii="Palatino Linotype" w:eastAsia="Times New Roman" w:hAnsi="Palatino Linotype" w:cs="Arial"/>
          <w:color w:val="000000" w:themeColor="text1"/>
          <w:lang w:val="es-ES"/>
        </w:rPr>
        <w:t xml:space="preserve"> número de expediente </w:t>
      </w:r>
      <w:r w:rsidR="009E35CC" w:rsidRPr="00594F82">
        <w:rPr>
          <w:rFonts w:ascii="Palatino Linotype" w:eastAsia="Times New Roman" w:hAnsi="Palatino Linotype" w:cs="Arial"/>
          <w:b/>
          <w:color w:val="000000" w:themeColor="text1"/>
          <w:lang w:val="es-ES"/>
        </w:rPr>
        <w:t>14803/INFOEM/IP/RR/2022</w:t>
      </w:r>
      <w:r w:rsidR="005C7898" w:rsidRPr="00594F82">
        <w:rPr>
          <w:rFonts w:ascii="Palatino Linotype" w:hAnsi="Palatino Linotype" w:cs="Arial"/>
          <w:bCs/>
          <w:color w:val="000000" w:themeColor="text1"/>
        </w:rPr>
        <w:t xml:space="preserve">; asimismo, con fundamento en lo dispuesto por el </w:t>
      </w:r>
      <w:r w:rsidR="005C7898" w:rsidRPr="00594F82">
        <w:rPr>
          <w:rFonts w:ascii="Palatino Linotype" w:eastAsia="Calibri" w:hAnsi="Palatino Linotype" w:cs="Arial"/>
          <w:bCs/>
          <w:color w:val="000000" w:themeColor="text1"/>
          <w:lang w:val="es-ES"/>
        </w:rPr>
        <w:t>artículo 185</w:t>
      </w:r>
      <w:r w:rsidR="00AE1CCB" w:rsidRPr="00594F82">
        <w:rPr>
          <w:rFonts w:ascii="Palatino Linotype" w:eastAsia="Calibri" w:hAnsi="Palatino Linotype" w:cs="Arial"/>
          <w:bCs/>
          <w:color w:val="000000" w:themeColor="text1"/>
          <w:lang w:val="es-ES"/>
        </w:rPr>
        <w:t>,</w:t>
      </w:r>
      <w:r w:rsidR="005C7898" w:rsidRPr="00594F82">
        <w:rPr>
          <w:rFonts w:ascii="Palatino Linotype" w:eastAsia="Calibri" w:hAnsi="Palatino Linotype" w:cs="Arial"/>
          <w:bCs/>
          <w:color w:val="000000" w:themeColor="text1"/>
          <w:lang w:val="es-ES"/>
        </w:rPr>
        <w:t xml:space="preserve"> fracción I</w:t>
      </w:r>
      <w:r w:rsidR="00AE1CCB" w:rsidRPr="00594F82">
        <w:rPr>
          <w:rFonts w:ascii="Palatino Linotype" w:eastAsia="Calibri" w:hAnsi="Palatino Linotype" w:cs="Arial"/>
          <w:bCs/>
          <w:color w:val="000000" w:themeColor="text1"/>
          <w:lang w:val="es-ES"/>
        </w:rPr>
        <w:t>,</w:t>
      </w:r>
      <w:r w:rsidR="005C7898" w:rsidRPr="00594F82">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594F82">
        <w:rPr>
          <w:rFonts w:ascii="Palatino Linotype" w:eastAsia="Times New Roman" w:hAnsi="Palatino Linotype" w:cs="Arial"/>
          <w:bCs/>
          <w:color w:val="000000" w:themeColor="text1"/>
          <w:lang w:val="es-ES"/>
        </w:rPr>
        <w:t xml:space="preserve">se </w:t>
      </w:r>
      <w:r w:rsidR="00F25B61" w:rsidRPr="00594F82">
        <w:rPr>
          <w:rFonts w:ascii="Palatino Linotype" w:eastAsia="Times New Roman" w:hAnsi="Palatino Linotype" w:cs="Arial"/>
          <w:bCs/>
          <w:color w:val="000000" w:themeColor="text1"/>
          <w:lang w:val="es-ES"/>
        </w:rPr>
        <w:t>turnó</w:t>
      </w:r>
      <w:r w:rsidR="005C7898" w:rsidRPr="00594F82">
        <w:rPr>
          <w:rFonts w:ascii="Palatino Linotype" w:eastAsia="Times New Roman" w:hAnsi="Palatino Linotype" w:cs="Arial"/>
          <w:bCs/>
          <w:color w:val="000000" w:themeColor="text1"/>
          <w:lang w:val="es-ES"/>
        </w:rPr>
        <w:t xml:space="preserve"> a l</w:t>
      </w:r>
      <w:r w:rsidR="00F25B61" w:rsidRPr="00594F82">
        <w:rPr>
          <w:rFonts w:ascii="Palatino Linotype" w:eastAsia="Times New Roman" w:hAnsi="Palatino Linotype" w:cs="Arial"/>
          <w:bCs/>
          <w:color w:val="000000" w:themeColor="text1"/>
          <w:lang w:val="es-ES"/>
        </w:rPr>
        <w:t>a</w:t>
      </w:r>
      <w:r w:rsidR="005C7898" w:rsidRPr="00594F82">
        <w:rPr>
          <w:rFonts w:ascii="Palatino Linotype" w:eastAsia="Times New Roman" w:hAnsi="Palatino Linotype" w:cs="Arial"/>
          <w:bCs/>
          <w:color w:val="000000" w:themeColor="text1"/>
          <w:lang w:val="es-ES"/>
        </w:rPr>
        <w:t xml:space="preserve"> </w:t>
      </w:r>
      <w:r w:rsidR="005C7898" w:rsidRPr="00594F82">
        <w:rPr>
          <w:rFonts w:ascii="Palatino Linotype" w:eastAsia="Times New Roman" w:hAnsi="Palatino Linotype" w:cs="Arial"/>
          <w:b/>
          <w:bCs/>
          <w:color w:val="000000" w:themeColor="text1"/>
          <w:lang w:val="es-ES"/>
        </w:rPr>
        <w:t>Comisionad</w:t>
      </w:r>
      <w:r w:rsidR="00F25B61" w:rsidRPr="00594F82">
        <w:rPr>
          <w:rFonts w:ascii="Palatino Linotype" w:eastAsia="Times New Roman" w:hAnsi="Palatino Linotype" w:cs="Arial"/>
          <w:b/>
          <w:bCs/>
          <w:color w:val="000000" w:themeColor="text1"/>
          <w:lang w:val="es-ES"/>
        </w:rPr>
        <w:t>a</w:t>
      </w:r>
      <w:r w:rsidR="005C7898" w:rsidRPr="00594F82">
        <w:rPr>
          <w:rFonts w:ascii="Palatino Linotype" w:eastAsia="Times New Roman" w:hAnsi="Palatino Linotype" w:cs="Arial"/>
          <w:b/>
          <w:bCs/>
          <w:color w:val="000000" w:themeColor="text1"/>
          <w:lang w:val="es-ES"/>
        </w:rPr>
        <w:t xml:space="preserve"> María del Rosario Mejía Ayala</w:t>
      </w:r>
      <w:r w:rsidR="00F25B61" w:rsidRPr="00594F82">
        <w:rPr>
          <w:rFonts w:ascii="Palatino Linotype" w:eastAsia="Times New Roman" w:hAnsi="Palatino Linotype" w:cs="Arial"/>
          <w:bCs/>
          <w:color w:val="000000" w:themeColor="text1"/>
          <w:lang w:val="es-ES"/>
        </w:rPr>
        <w:t>,</w:t>
      </w:r>
      <w:r w:rsidR="005C7898" w:rsidRPr="00594F82">
        <w:rPr>
          <w:rFonts w:ascii="Palatino Linotype" w:eastAsia="Times New Roman" w:hAnsi="Palatino Linotype" w:cs="Arial"/>
          <w:bCs/>
          <w:color w:val="000000" w:themeColor="text1"/>
          <w:lang w:val="es-ES"/>
        </w:rPr>
        <w:t xml:space="preserve"> </w:t>
      </w:r>
      <w:r w:rsidR="008E082A" w:rsidRPr="00594F82">
        <w:rPr>
          <w:rFonts w:ascii="Palatino Linotype" w:eastAsia="Times New Roman" w:hAnsi="Palatino Linotype" w:cs="Arial"/>
          <w:bCs/>
          <w:color w:val="000000" w:themeColor="text1"/>
          <w:lang w:val="es-ES"/>
        </w:rPr>
        <w:t>para</w:t>
      </w:r>
      <w:r w:rsidR="005C7898" w:rsidRPr="00594F82">
        <w:rPr>
          <w:rFonts w:ascii="Palatino Linotype" w:eastAsia="Times New Roman" w:hAnsi="Palatino Linotype" w:cs="Arial"/>
          <w:bCs/>
          <w:color w:val="000000" w:themeColor="text1"/>
          <w:lang w:val="es-ES"/>
        </w:rPr>
        <w:t xml:space="preserve"> </w:t>
      </w:r>
      <w:r w:rsidR="005C7898" w:rsidRPr="00594F82">
        <w:rPr>
          <w:rFonts w:ascii="Palatino Linotype" w:eastAsia="Times New Roman" w:hAnsi="Palatino Linotype" w:cs="Arial"/>
          <w:bCs/>
          <w:color w:val="000000" w:themeColor="text1"/>
        </w:rPr>
        <w:t>su análisis.</w:t>
      </w:r>
    </w:p>
    <w:p w14:paraId="23A01433" w14:textId="77777777" w:rsidR="005C7898" w:rsidRPr="00594F82"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32820E1" w:rsidR="00473F11" w:rsidRPr="00594F82"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594F82">
        <w:rPr>
          <w:rFonts w:ascii="Palatino Linotype" w:eastAsia="Times New Roman" w:hAnsi="Palatino Linotype" w:cs="Arial"/>
          <w:color w:val="000000" w:themeColor="text1"/>
          <w:lang w:val="es-ES"/>
        </w:rPr>
        <w:lastRenderedPageBreak/>
        <w:t>La Comisionada Ponente</w:t>
      </w:r>
      <w:r w:rsidR="00473F11" w:rsidRPr="00594F82">
        <w:rPr>
          <w:rFonts w:ascii="Palatino Linotype" w:eastAsia="Calibri" w:hAnsi="Palatino Linotype" w:cs="Arial"/>
          <w:color w:val="000000" w:themeColor="text1"/>
          <w:lang w:val="es-ES"/>
        </w:rPr>
        <w:t>, con fundamento en lo dispuesto por el artículo 185</w:t>
      </w:r>
      <w:r w:rsidR="00F638B9" w:rsidRPr="00594F82">
        <w:rPr>
          <w:rFonts w:ascii="Palatino Linotype" w:eastAsia="Calibri" w:hAnsi="Palatino Linotype" w:cs="Arial"/>
          <w:color w:val="000000" w:themeColor="text1"/>
          <w:lang w:val="es-ES"/>
        </w:rPr>
        <w:t>,</w:t>
      </w:r>
      <w:r w:rsidR="00473F11" w:rsidRPr="00594F82">
        <w:rPr>
          <w:rFonts w:ascii="Palatino Linotype" w:eastAsia="Calibri" w:hAnsi="Palatino Linotype" w:cs="Arial"/>
          <w:color w:val="000000" w:themeColor="text1"/>
          <w:lang w:val="es-ES"/>
        </w:rPr>
        <w:t xml:space="preserve"> fracción II</w:t>
      </w:r>
      <w:r w:rsidR="00F638B9" w:rsidRPr="00594F82">
        <w:rPr>
          <w:rFonts w:ascii="Palatino Linotype" w:eastAsia="Calibri" w:hAnsi="Palatino Linotype" w:cs="Arial"/>
          <w:color w:val="000000" w:themeColor="text1"/>
          <w:lang w:val="es-ES"/>
        </w:rPr>
        <w:t>,</w:t>
      </w:r>
      <w:r w:rsidR="00473F11" w:rsidRPr="00594F82">
        <w:rPr>
          <w:rFonts w:ascii="Palatino Linotype" w:eastAsia="Calibri" w:hAnsi="Palatino Linotype" w:cs="Arial"/>
          <w:color w:val="000000" w:themeColor="text1"/>
          <w:lang w:val="es-ES"/>
        </w:rPr>
        <w:t xml:space="preserve"> de la </w:t>
      </w:r>
      <w:r w:rsidRPr="00594F82">
        <w:rPr>
          <w:rFonts w:ascii="Palatino Linotype" w:eastAsia="Calibri" w:hAnsi="Palatino Linotype" w:cs="Arial"/>
          <w:color w:val="000000" w:themeColor="text1"/>
          <w:lang w:val="es-ES"/>
        </w:rPr>
        <w:t xml:space="preserve">Ley </w:t>
      </w:r>
      <w:r w:rsidR="00473F11" w:rsidRPr="00594F82">
        <w:rPr>
          <w:rFonts w:ascii="Palatino Linotype" w:eastAsia="Calibri" w:hAnsi="Palatino Linotype" w:cs="Arial"/>
          <w:color w:val="000000" w:themeColor="text1"/>
          <w:lang w:val="es-ES"/>
        </w:rPr>
        <w:t>de la materia, a través del acuerdo de admisión de</w:t>
      </w:r>
      <w:r w:rsidR="007E5A30" w:rsidRPr="00594F82">
        <w:rPr>
          <w:rFonts w:ascii="Palatino Linotype" w:eastAsia="Calibri" w:hAnsi="Palatino Linotype" w:cs="Arial"/>
          <w:color w:val="000000" w:themeColor="text1"/>
          <w:lang w:val="es-ES"/>
        </w:rPr>
        <w:t xml:space="preserve"> </w:t>
      </w:r>
      <w:r w:rsidR="00870E5C" w:rsidRPr="00594F82">
        <w:rPr>
          <w:rFonts w:ascii="Palatino Linotype" w:eastAsia="Calibri" w:hAnsi="Palatino Linotype" w:cs="Arial"/>
          <w:color w:val="000000" w:themeColor="text1"/>
          <w:lang w:val="es-ES"/>
        </w:rPr>
        <w:t xml:space="preserve">veintidós (22) de septiembre </w:t>
      </w:r>
      <w:r w:rsidR="000905EC" w:rsidRPr="00594F82">
        <w:rPr>
          <w:rFonts w:ascii="Palatino Linotype" w:eastAsia="Calibri" w:hAnsi="Palatino Linotype" w:cs="Arial"/>
          <w:color w:val="000000" w:themeColor="text1"/>
          <w:lang w:val="es-ES"/>
        </w:rPr>
        <w:t>de dos mil veintidós</w:t>
      </w:r>
      <w:r w:rsidR="00473F11" w:rsidRPr="00594F82">
        <w:rPr>
          <w:rFonts w:ascii="Palatino Linotype" w:eastAsia="Calibri" w:hAnsi="Palatino Linotype" w:cs="Arial"/>
          <w:color w:val="000000" w:themeColor="text1"/>
          <w:lang w:val="es-ES"/>
        </w:rPr>
        <w:t xml:space="preserve">, </w:t>
      </w:r>
      <w:r w:rsidRPr="00594F82">
        <w:rPr>
          <w:rFonts w:ascii="Palatino Linotype" w:eastAsia="Calibri" w:hAnsi="Palatino Linotype" w:cs="Arial"/>
          <w:color w:val="000000" w:themeColor="text1"/>
          <w:lang w:val="es-ES"/>
        </w:rPr>
        <w:t>puso</w:t>
      </w:r>
      <w:r w:rsidR="00473F11" w:rsidRPr="00594F82">
        <w:rPr>
          <w:rFonts w:ascii="Palatino Linotype" w:eastAsia="Calibri" w:hAnsi="Palatino Linotype" w:cs="Arial"/>
          <w:color w:val="000000" w:themeColor="text1"/>
          <w:lang w:val="es-ES"/>
        </w:rPr>
        <w:t xml:space="preserve"> a disposición de las partes </w:t>
      </w:r>
      <w:r w:rsidRPr="00594F82">
        <w:rPr>
          <w:rFonts w:ascii="Palatino Linotype" w:eastAsia="Calibri" w:hAnsi="Palatino Linotype" w:cs="Arial"/>
          <w:color w:val="000000" w:themeColor="text1"/>
          <w:lang w:val="es-ES"/>
        </w:rPr>
        <w:t>el expediente electrónico</w:t>
      </w:r>
      <w:r w:rsidR="00473F11" w:rsidRPr="00594F82">
        <w:rPr>
          <w:rFonts w:ascii="Palatino Linotype" w:eastAsia="Calibri" w:hAnsi="Palatino Linotype" w:cs="Arial"/>
          <w:color w:val="000000" w:themeColor="text1"/>
          <w:lang w:val="es-ES"/>
        </w:rPr>
        <w:t xml:space="preserve"> </w:t>
      </w:r>
      <w:r w:rsidR="00473F11" w:rsidRPr="00594F82">
        <w:rPr>
          <w:rFonts w:ascii="Palatino Linotype" w:eastAsia="Calibri" w:hAnsi="Palatino Linotype" w:cs="Arial"/>
          <w:color w:val="000000" w:themeColor="text1"/>
        </w:rPr>
        <w:t xml:space="preserve">vía </w:t>
      </w:r>
      <w:r w:rsidR="00E85FF3" w:rsidRPr="00594F82">
        <w:rPr>
          <w:rFonts w:ascii="Palatino Linotype" w:eastAsia="Calibri" w:hAnsi="Palatino Linotype" w:cs="Arial"/>
          <w:color w:val="000000" w:themeColor="text1"/>
          <w:lang w:val="es-ES"/>
        </w:rPr>
        <w:t xml:space="preserve">SAIMEX, </w:t>
      </w:r>
      <w:r w:rsidR="00473F11" w:rsidRPr="00594F82">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594F82">
        <w:rPr>
          <w:rFonts w:ascii="Palatino Linotype" w:eastAsia="Calibri" w:hAnsi="Palatino Linotype" w:cs="Arial"/>
          <w:b/>
          <w:color w:val="000000" w:themeColor="text1"/>
          <w:lang w:val="es-ES"/>
        </w:rPr>
        <w:t>SUJETO OBLIGADO</w:t>
      </w:r>
      <w:r w:rsidR="00473F11" w:rsidRPr="00594F82">
        <w:rPr>
          <w:rFonts w:ascii="Palatino Linotype" w:eastAsia="Calibri" w:hAnsi="Palatino Linotype" w:cs="Arial"/>
          <w:color w:val="000000" w:themeColor="text1"/>
          <w:lang w:val="es-ES"/>
        </w:rPr>
        <w:t xml:space="preserve"> presentara </w:t>
      </w:r>
      <w:r w:rsidR="000905EC" w:rsidRPr="00594F82">
        <w:rPr>
          <w:rFonts w:ascii="Palatino Linotype" w:eastAsia="Calibri" w:hAnsi="Palatino Linotype" w:cs="Arial"/>
          <w:color w:val="000000" w:themeColor="text1"/>
          <w:lang w:val="es-ES"/>
        </w:rPr>
        <w:t>el</w:t>
      </w:r>
      <w:r w:rsidR="00473F11" w:rsidRPr="00594F82">
        <w:rPr>
          <w:rFonts w:ascii="Palatino Linotype" w:eastAsia="Calibri" w:hAnsi="Palatino Linotype" w:cs="Arial"/>
          <w:color w:val="000000" w:themeColor="text1"/>
          <w:lang w:val="es-ES"/>
        </w:rPr>
        <w:t xml:space="preserve"> Informe</w:t>
      </w:r>
      <w:r w:rsidR="000905EC" w:rsidRPr="00594F82">
        <w:rPr>
          <w:rFonts w:ascii="Palatino Linotype" w:eastAsia="Calibri" w:hAnsi="Palatino Linotype" w:cs="Arial"/>
          <w:color w:val="000000" w:themeColor="text1"/>
          <w:lang w:val="es-ES"/>
        </w:rPr>
        <w:t xml:space="preserve"> Justificado</w:t>
      </w:r>
      <w:r w:rsidR="00473F11" w:rsidRPr="00594F82">
        <w:rPr>
          <w:rFonts w:ascii="Palatino Linotype" w:eastAsia="Calibri" w:hAnsi="Palatino Linotype" w:cs="Arial"/>
          <w:color w:val="000000" w:themeColor="text1"/>
          <w:lang w:val="es-ES"/>
        </w:rPr>
        <w:t xml:space="preserve"> procedente</w:t>
      </w:r>
      <w:bookmarkEnd w:id="3"/>
      <w:r w:rsidR="00AE1CCB" w:rsidRPr="00594F82">
        <w:rPr>
          <w:rFonts w:ascii="Palatino Linotype" w:eastAsia="Calibri" w:hAnsi="Palatino Linotype" w:cs="Arial"/>
          <w:color w:val="000000" w:themeColor="text1"/>
          <w:lang w:val="es-ES"/>
        </w:rPr>
        <w:t>.</w:t>
      </w:r>
    </w:p>
    <w:p w14:paraId="12EBC051" w14:textId="77777777" w:rsidR="00CF15AD" w:rsidRPr="00594F82"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537B0F44" w:rsidR="00CF15AD" w:rsidRPr="00594F82" w:rsidRDefault="000905E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4F82">
        <w:rPr>
          <w:rFonts w:ascii="Palatino Linotype" w:eastAsia="Calibri" w:hAnsi="Palatino Linotype" w:cs="Arial"/>
          <w:color w:val="000000" w:themeColor="text1"/>
          <w:lang w:val="es-ES"/>
        </w:rPr>
        <w:t xml:space="preserve">El </w:t>
      </w:r>
      <w:r w:rsidR="00870E5C" w:rsidRPr="00594F82">
        <w:rPr>
          <w:rFonts w:ascii="Palatino Linotype" w:eastAsia="Calibri" w:hAnsi="Palatino Linotype" w:cs="Arial"/>
          <w:color w:val="000000" w:themeColor="text1"/>
          <w:lang w:val="es-ES"/>
        </w:rPr>
        <w:t xml:space="preserve">veintiséis (26) de octubre </w:t>
      </w:r>
      <w:r w:rsidRPr="00594F82">
        <w:rPr>
          <w:rFonts w:ascii="Palatino Linotype" w:eastAsia="Calibri" w:hAnsi="Palatino Linotype" w:cs="Arial"/>
          <w:color w:val="000000" w:themeColor="text1"/>
          <w:lang w:val="es-ES"/>
        </w:rPr>
        <w:t xml:space="preserve">de dos mil veintidós, el </w:t>
      </w:r>
      <w:r w:rsidRPr="00594F82">
        <w:rPr>
          <w:rFonts w:ascii="Palatino Linotype" w:eastAsia="Calibri" w:hAnsi="Palatino Linotype" w:cs="Arial"/>
          <w:b/>
          <w:color w:val="000000" w:themeColor="text1"/>
          <w:lang w:val="es-ES"/>
        </w:rPr>
        <w:t>SUJETO OBLIGADO</w:t>
      </w:r>
      <w:r w:rsidRPr="00594F82">
        <w:rPr>
          <w:rFonts w:ascii="Palatino Linotype" w:eastAsia="Calibri" w:hAnsi="Palatino Linotype" w:cs="Arial"/>
          <w:color w:val="000000" w:themeColor="text1"/>
          <w:lang w:val="es-ES"/>
        </w:rPr>
        <w:t xml:space="preserve"> presentó, en vía de informe justificado, </w:t>
      </w:r>
      <w:r w:rsidR="00870E5C" w:rsidRPr="00594F82">
        <w:rPr>
          <w:rFonts w:ascii="Palatino Linotype" w:eastAsia="Calibri" w:hAnsi="Palatino Linotype" w:cs="Arial"/>
          <w:color w:val="000000" w:themeColor="text1"/>
          <w:lang w:val="es-ES"/>
        </w:rPr>
        <w:t>el</w:t>
      </w:r>
      <w:r w:rsidRPr="00594F82">
        <w:rPr>
          <w:rFonts w:ascii="Palatino Linotype" w:eastAsia="Calibri" w:hAnsi="Palatino Linotype" w:cs="Arial"/>
          <w:color w:val="000000" w:themeColor="text1"/>
          <w:lang w:val="es-ES"/>
        </w:rPr>
        <w:t xml:space="preserve"> siguiente archivo electrónico:</w:t>
      </w:r>
    </w:p>
    <w:p w14:paraId="6C3D3720" w14:textId="5134AA86" w:rsidR="000905EC" w:rsidRPr="00594F82" w:rsidRDefault="000905EC" w:rsidP="002473A7">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lang w:val="es-ES"/>
        </w:rPr>
      </w:pPr>
      <w:r w:rsidRPr="00594F82">
        <w:rPr>
          <w:rFonts w:ascii="Palatino Linotype" w:eastAsia="Calibri" w:hAnsi="Palatino Linotype" w:cs="Arial"/>
          <w:b/>
          <w:i/>
          <w:color w:val="000000" w:themeColor="text1"/>
          <w:lang w:val="es-ES"/>
        </w:rPr>
        <w:t>“</w:t>
      </w:r>
      <w:r w:rsidR="00870E5C" w:rsidRPr="00594F82">
        <w:rPr>
          <w:rFonts w:ascii="Palatino Linotype" w:eastAsia="Calibri" w:hAnsi="Palatino Linotype" w:cs="Arial"/>
          <w:b/>
          <w:i/>
          <w:color w:val="000000" w:themeColor="text1"/>
          <w:lang w:val="es-ES"/>
        </w:rPr>
        <w:t xml:space="preserve">Acta de la 19 </w:t>
      </w:r>
      <w:proofErr w:type="spellStart"/>
      <w:r w:rsidR="00870E5C" w:rsidRPr="00594F82">
        <w:rPr>
          <w:rFonts w:ascii="Palatino Linotype" w:eastAsia="Calibri" w:hAnsi="Palatino Linotype" w:cs="Arial"/>
          <w:b/>
          <w:i/>
          <w:color w:val="000000" w:themeColor="text1"/>
          <w:lang w:val="es-ES"/>
        </w:rPr>
        <w:t>Sesion</w:t>
      </w:r>
      <w:proofErr w:type="spellEnd"/>
      <w:r w:rsidR="00870E5C" w:rsidRPr="00594F82">
        <w:rPr>
          <w:rFonts w:ascii="Palatino Linotype" w:eastAsia="Calibri" w:hAnsi="Palatino Linotype" w:cs="Arial"/>
          <w:b/>
          <w:i/>
          <w:color w:val="000000" w:themeColor="text1"/>
          <w:lang w:val="es-ES"/>
        </w:rPr>
        <w:t xml:space="preserve"> Ordinaria</w:t>
      </w:r>
      <w:r w:rsidR="002473A7" w:rsidRPr="00594F82">
        <w:rPr>
          <w:rFonts w:ascii="Palatino Linotype" w:eastAsia="Calibri" w:hAnsi="Palatino Linotype" w:cs="Arial"/>
          <w:b/>
          <w:i/>
          <w:color w:val="000000" w:themeColor="text1"/>
          <w:lang w:val="es-ES"/>
        </w:rPr>
        <w:t>.pdf</w:t>
      </w:r>
      <w:r w:rsidRPr="00594F82">
        <w:rPr>
          <w:rFonts w:ascii="Palatino Linotype" w:eastAsia="Calibri" w:hAnsi="Palatino Linotype" w:cs="Arial"/>
          <w:b/>
          <w:i/>
          <w:color w:val="000000" w:themeColor="text1"/>
          <w:lang w:val="es-ES"/>
        </w:rPr>
        <w:t>”</w:t>
      </w:r>
      <w:r w:rsidRPr="00594F82">
        <w:rPr>
          <w:rFonts w:ascii="Palatino Linotype" w:eastAsia="Calibri" w:hAnsi="Palatino Linotype" w:cs="Arial"/>
          <w:color w:val="000000" w:themeColor="text1"/>
          <w:lang w:val="es-ES"/>
        </w:rPr>
        <w:t xml:space="preserve">: Documento </w:t>
      </w:r>
      <w:r w:rsidR="002473A7" w:rsidRPr="00594F82">
        <w:rPr>
          <w:rFonts w:ascii="Palatino Linotype" w:eastAsia="Calibri" w:hAnsi="Palatino Linotype" w:cs="Arial"/>
          <w:color w:val="000000" w:themeColor="text1"/>
          <w:lang w:val="es-ES"/>
        </w:rPr>
        <w:t xml:space="preserve">de </w:t>
      </w:r>
      <w:r w:rsidR="00870E5C" w:rsidRPr="00594F82">
        <w:rPr>
          <w:rFonts w:ascii="Palatino Linotype" w:eastAsia="Calibri" w:hAnsi="Palatino Linotype" w:cs="Arial"/>
          <w:color w:val="000000" w:themeColor="text1"/>
          <w:lang w:val="es-ES"/>
        </w:rPr>
        <w:t xml:space="preserve">40 fojas consistente en la copia digitalizada del Acta número CT/NAU/ACTA-ORD-0019/2022, correspondiente a la Décima Novena Sesión Ordinaria del Comité de Transparencia, en cuyo punto </w:t>
      </w:r>
      <w:r w:rsidR="00870E5C" w:rsidRPr="00594F82">
        <w:rPr>
          <w:rFonts w:ascii="Palatino Linotype" w:eastAsia="Calibri" w:hAnsi="Palatino Linotype" w:cs="Arial"/>
          <w:b/>
          <w:color w:val="000000" w:themeColor="text1"/>
          <w:lang w:val="es-ES"/>
        </w:rPr>
        <w:t>8</w:t>
      </w:r>
      <w:r w:rsidR="00870E5C" w:rsidRPr="00594F82">
        <w:rPr>
          <w:rFonts w:ascii="Palatino Linotype" w:eastAsia="Calibri" w:hAnsi="Palatino Linotype" w:cs="Arial"/>
          <w:color w:val="000000" w:themeColor="text1"/>
          <w:lang w:val="es-ES"/>
        </w:rPr>
        <w:t xml:space="preserve"> del Orden del Día se aprobó la manifestación de incompetencia de la información requerida en la solicitud </w:t>
      </w:r>
      <w:r w:rsidR="00870E5C" w:rsidRPr="00594F82">
        <w:rPr>
          <w:rFonts w:ascii="Palatino Linotype" w:eastAsia="Calibri" w:hAnsi="Palatino Linotype" w:cs="Arial"/>
          <w:b/>
          <w:color w:val="000000" w:themeColor="text1"/>
          <w:lang w:val="es-ES"/>
        </w:rPr>
        <w:t>00686/NAUCALPA/IP/2022</w:t>
      </w:r>
      <w:r w:rsidR="00870E5C" w:rsidRPr="00594F82">
        <w:rPr>
          <w:rFonts w:ascii="Palatino Linotype" w:eastAsia="Calibri" w:hAnsi="Palatino Linotype" w:cs="Arial"/>
          <w:color w:val="000000" w:themeColor="text1"/>
          <w:lang w:val="es-ES"/>
        </w:rPr>
        <w:t>.</w:t>
      </w:r>
    </w:p>
    <w:p w14:paraId="046CDBF0" w14:textId="77777777" w:rsidR="00BD7AEB" w:rsidRPr="00594F82"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067E81C" w14:textId="313956B8" w:rsidR="00870E5C" w:rsidRPr="00594F82" w:rsidRDefault="00870E5C"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94F82">
        <w:rPr>
          <w:rFonts w:ascii="Palatino Linotype" w:eastAsia="Times New Roman" w:hAnsi="Palatino Linotype" w:cs="Arial"/>
          <w:color w:val="000000" w:themeColor="text1"/>
        </w:rPr>
        <w:t xml:space="preserve">Por su parte, el trece (13) de noviembre de dos mil veintidós, el </w:t>
      </w:r>
      <w:r w:rsidRPr="00594F82">
        <w:rPr>
          <w:rFonts w:ascii="Palatino Linotype" w:eastAsia="Times New Roman" w:hAnsi="Palatino Linotype" w:cs="Arial"/>
          <w:b/>
          <w:color w:val="000000" w:themeColor="text1"/>
        </w:rPr>
        <w:t>RECURRENTE</w:t>
      </w:r>
      <w:r w:rsidRPr="00594F82">
        <w:rPr>
          <w:rFonts w:ascii="Palatino Linotype" w:eastAsia="Times New Roman" w:hAnsi="Palatino Linotype" w:cs="Arial"/>
          <w:color w:val="000000" w:themeColor="text1"/>
        </w:rPr>
        <w:t xml:space="preserve"> presentó, en vía de alegatos, los archivos electrónicos cuyo contenido se expresa a continuación:</w:t>
      </w:r>
    </w:p>
    <w:p w14:paraId="7FC0AE6D" w14:textId="465C97C7" w:rsidR="00870E5C" w:rsidRPr="00594F82" w:rsidRDefault="00870E5C" w:rsidP="00870E5C">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594F82">
        <w:rPr>
          <w:rFonts w:ascii="Palatino Linotype" w:eastAsia="Times New Roman" w:hAnsi="Palatino Linotype" w:cs="Arial"/>
          <w:color w:val="000000" w:themeColor="text1"/>
        </w:rPr>
        <w:t>“</w:t>
      </w:r>
      <w:proofErr w:type="spellStart"/>
      <w:r w:rsidRPr="00594F82">
        <w:rPr>
          <w:rFonts w:ascii="Palatino Linotype" w:eastAsia="Times New Roman" w:hAnsi="Palatino Linotype" w:cs="Arial"/>
          <w:b/>
          <w:i/>
          <w:color w:val="000000" w:themeColor="text1"/>
        </w:rPr>
        <w:t>pro.licencia</w:t>
      </w:r>
      <w:proofErr w:type="spellEnd"/>
      <w:r w:rsidRPr="00594F82">
        <w:rPr>
          <w:rFonts w:ascii="Palatino Linotype" w:eastAsia="Times New Roman" w:hAnsi="Palatino Linotype" w:cs="Arial"/>
          <w:b/>
          <w:i/>
          <w:color w:val="000000" w:themeColor="text1"/>
        </w:rPr>
        <w:t xml:space="preserve"> renato.jpg</w:t>
      </w:r>
      <w:r w:rsidRPr="00594F82">
        <w:rPr>
          <w:rFonts w:ascii="Palatino Linotype" w:eastAsia="Times New Roman" w:hAnsi="Palatino Linotype" w:cs="Arial"/>
          <w:color w:val="000000" w:themeColor="text1"/>
        </w:rPr>
        <w:t xml:space="preserve">”: </w:t>
      </w:r>
      <w:r w:rsidR="003C650F" w:rsidRPr="00594F82">
        <w:rPr>
          <w:rFonts w:ascii="Palatino Linotype" w:eastAsia="Calibri" w:hAnsi="Palatino Linotype" w:cs="Arial"/>
          <w:color w:val="000000" w:themeColor="text1"/>
          <w:lang w:val="es-ES"/>
        </w:rPr>
        <w:t>Archivo de imagen consistente en la fotografía de la licencia de construcción número DLCA/0193/016, expedida el nueve (09) de mayo de dos mil dieciséis, exhibida previamente en la interposición del recurso de revisión.</w:t>
      </w:r>
    </w:p>
    <w:p w14:paraId="469DC2F7" w14:textId="319F2476" w:rsidR="00870E5C" w:rsidRPr="00594F82" w:rsidRDefault="00870E5C" w:rsidP="00870E5C">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594F82">
        <w:rPr>
          <w:rFonts w:ascii="Palatino Linotype" w:eastAsia="Times New Roman" w:hAnsi="Palatino Linotype" w:cs="Arial"/>
          <w:color w:val="000000" w:themeColor="text1"/>
        </w:rPr>
        <w:lastRenderedPageBreak/>
        <w:t>“</w:t>
      </w:r>
      <w:r w:rsidRPr="00594F82">
        <w:rPr>
          <w:rFonts w:ascii="Palatino Linotype" w:eastAsia="Times New Roman" w:hAnsi="Palatino Linotype" w:cs="Arial"/>
          <w:b/>
          <w:i/>
          <w:color w:val="000000" w:themeColor="text1"/>
        </w:rPr>
        <w:t xml:space="preserve">Licencia </w:t>
      </w:r>
      <w:proofErr w:type="spellStart"/>
      <w:r w:rsidRPr="00594F82">
        <w:rPr>
          <w:rFonts w:ascii="Palatino Linotype" w:eastAsia="Times New Roman" w:hAnsi="Palatino Linotype" w:cs="Arial"/>
          <w:b/>
          <w:i/>
          <w:color w:val="000000" w:themeColor="text1"/>
        </w:rPr>
        <w:t>renato</w:t>
      </w:r>
      <w:proofErr w:type="spellEnd"/>
      <w:r w:rsidRPr="00594F82">
        <w:rPr>
          <w:rFonts w:ascii="Palatino Linotype" w:eastAsia="Times New Roman" w:hAnsi="Palatino Linotype" w:cs="Arial"/>
          <w:b/>
          <w:i/>
          <w:color w:val="000000" w:themeColor="text1"/>
        </w:rPr>
        <w:t xml:space="preserve"> falsificada.jpg</w:t>
      </w:r>
      <w:r w:rsidRPr="00594F82">
        <w:rPr>
          <w:rFonts w:ascii="Palatino Linotype" w:eastAsia="Times New Roman" w:hAnsi="Palatino Linotype" w:cs="Arial"/>
          <w:color w:val="000000" w:themeColor="text1"/>
        </w:rPr>
        <w:t xml:space="preserve">”: </w:t>
      </w:r>
      <w:r w:rsidR="003C650F" w:rsidRPr="00594F82">
        <w:rPr>
          <w:rFonts w:ascii="Palatino Linotype" w:eastAsia="Calibri" w:hAnsi="Palatino Linotype" w:cs="Arial"/>
          <w:color w:val="000000" w:themeColor="text1"/>
          <w:lang w:val="es-ES"/>
        </w:rPr>
        <w:t xml:space="preserve">Archivo de imagen consistente en la fotografía de la licencia de construcción número B-34316/75, </w:t>
      </w:r>
      <w:proofErr w:type="gramStart"/>
      <w:r w:rsidR="003C650F" w:rsidRPr="00594F82">
        <w:rPr>
          <w:rFonts w:ascii="Palatino Linotype" w:eastAsia="Calibri" w:hAnsi="Palatino Linotype" w:cs="Arial"/>
          <w:color w:val="000000" w:themeColor="text1"/>
          <w:lang w:val="es-ES"/>
        </w:rPr>
        <w:t>expedida</w:t>
      </w:r>
      <w:proofErr w:type="gramEnd"/>
      <w:r w:rsidR="003C650F" w:rsidRPr="00594F82">
        <w:rPr>
          <w:rFonts w:ascii="Palatino Linotype" w:eastAsia="Calibri" w:hAnsi="Palatino Linotype" w:cs="Arial"/>
          <w:color w:val="000000" w:themeColor="text1"/>
          <w:lang w:val="es-ES"/>
        </w:rPr>
        <w:t xml:space="preserve"> por la entonces Dirección de Comunicaciones y Obras Públicas del Gobierno del Estado de México.</w:t>
      </w:r>
    </w:p>
    <w:p w14:paraId="62A12FD0" w14:textId="2B3358CA" w:rsidR="00870E5C" w:rsidRPr="00594F82" w:rsidRDefault="00870E5C" w:rsidP="00870E5C">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594F82">
        <w:rPr>
          <w:rFonts w:ascii="Palatino Linotype" w:eastAsia="Times New Roman" w:hAnsi="Palatino Linotype" w:cs="Arial"/>
          <w:color w:val="000000" w:themeColor="text1"/>
        </w:rPr>
        <w:t>“</w:t>
      </w:r>
      <w:r w:rsidRPr="00594F82">
        <w:rPr>
          <w:rFonts w:ascii="Palatino Linotype" w:eastAsia="Times New Roman" w:hAnsi="Palatino Linotype" w:cs="Arial"/>
          <w:b/>
          <w:i/>
          <w:color w:val="000000" w:themeColor="text1"/>
        </w:rPr>
        <w:t xml:space="preserve">Licencia </w:t>
      </w:r>
      <w:proofErr w:type="spellStart"/>
      <w:r w:rsidRPr="00594F82">
        <w:rPr>
          <w:rFonts w:ascii="Palatino Linotype" w:eastAsia="Times New Roman" w:hAnsi="Palatino Linotype" w:cs="Arial"/>
          <w:b/>
          <w:i/>
          <w:color w:val="000000" w:themeColor="text1"/>
        </w:rPr>
        <w:t>renato</w:t>
      </w:r>
      <w:proofErr w:type="spellEnd"/>
      <w:r w:rsidRPr="00594F82">
        <w:rPr>
          <w:rFonts w:ascii="Palatino Linotype" w:eastAsia="Times New Roman" w:hAnsi="Palatino Linotype" w:cs="Arial"/>
          <w:b/>
          <w:i/>
          <w:color w:val="000000" w:themeColor="text1"/>
        </w:rPr>
        <w:t xml:space="preserve"> falsificada.jpg</w:t>
      </w:r>
      <w:r w:rsidRPr="00594F82">
        <w:rPr>
          <w:rFonts w:ascii="Palatino Linotype" w:eastAsia="Times New Roman" w:hAnsi="Palatino Linotype" w:cs="Arial"/>
          <w:color w:val="000000" w:themeColor="text1"/>
        </w:rPr>
        <w:t xml:space="preserve">”: </w:t>
      </w:r>
      <w:r w:rsidR="003C650F" w:rsidRPr="00594F82">
        <w:rPr>
          <w:rFonts w:ascii="Palatino Linotype" w:eastAsia="Calibri" w:hAnsi="Palatino Linotype" w:cs="Arial"/>
          <w:color w:val="000000" w:themeColor="text1"/>
          <w:lang w:val="es-ES"/>
        </w:rPr>
        <w:t>Mismo archivo de imagen consistente en la fotografía de la licencia de construcción número DLCA/0193/016.</w:t>
      </w:r>
    </w:p>
    <w:p w14:paraId="4DFB8EB0" w14:textId="0779D19A" w:rsidR="00870E5C" w:rsidRPr="00594F82" w:rsidRDefault="00870E5C" w:rsidP="00870E5C">
      <w:pPr>
        <w:pStyle w:val="Prrafodelista"/>
        <w:numPr>
          <w:ilvl w:val="1"/>
          <w:numId w:val="1"/>
        </w:numPr>
        <w:tabs>
          <w:tab w:val="left" w:pos="426"/>
        </w:tabs>
        <w:spacing w:line="360" w:lineRule="auto"/>
        <w:ind w:left="1134"/>
        <w:jc w:val="both"/>
        <w:rPr>
          <w:rFonts w:ascii="Palatino Linotype" w:hAnsi="Palatino Linotype"/>
          <w:color w:val="000000" w:themeColor="text1"/>
        </w:rPr>
      </w:pPr>
      <w:r w:rsidRPr="00594F82">
        <w:rPr>
          <w:rFonts w:ascii="Palatino Linotype" w:eastAsia="Times New Roman" w:hAnsi="Palatino Linotype" w:cs="Arial"/>
          <w:color w:val="000000" w:themeColor="text1"/>
        </w:rPr>
        <w:t>“</w:t>
      </w:r>
      <w:proofErr w:type="spellStart"/>
      <w:r w:rsidRPr="00594F82">
        <w:rPr>
          <w:rFonts w:ascii="Palatino Linotype" w:eastAsia="Times New Roman" w:hAnsi="Palatino Linotype" w:cs="Arial"/>
          <w:b/>
          <w:i/>
          <w:color w:val="000000" w:themeColor="text1"/>
        </w:rPr>
        <w:t>pro.licencia</w:t>
      </w:r>
      <w:proofErr w:type="spellEnd"/>
      <w:r w:rsidRPr="00594F82">
        <w:rPr>
          <w:rFonts w:ascii="Palatino Linotype" w:eastAsia="Times New Roman" w:hAnsi="Palatino Linotype" w:cs="Arial"/>
          <w:b/>
          <w:i/>
          <w:color w:val="000000" w:themeColor="text1"/>
        </w:rPr>
        <w:t xml:space="preserve"> renato.jpg</w:t>
      </w:r>
      <w:r w:rsidRPr="00594F82">
        <w:rPr>
          <w:rFonts w:ascii="Palatino Linotype" w:eastAsia="Times New Roman" w:hAnsi="Palatino Linotype" w:cs="Arial"/>
          <w:color w:val="000000" w:themeColor="text1"/>
        </w:rPr>
        <w:t xml:space="preserve">”: </w:t>
      </w:r>
      <w:r w:rsidR="003C650F" w:rsidRPr="00594F82">
        <w:rPr>
          <w:rFonts w:ascii="Palatino Linotype" w:eastAsia="Times New Roman" w:hAnsi="Palatino Linotype" w:cs="Arial"/>
          <w:color w:val="000000" w:themeColor="text1"/>
        </w:rPr>
        <w:t xml:space="preserve">Mismo archivo </w:t>
      </w:r>
      <w:r w:rsidRPr="00594F82">
        <w:rPr>
          <w:rFonts w:ascii="Palatino Linotype" w:eastAsia="Times New Roman" w:hAnsi="Palatino Linotype" w:cs="Arial"/>
          <w:color w:val="000000" w:themeColor="text1"/>
        </w:rPr>
        <w:t xml:space="preserve"> </w:t>
      </w:r>
      <w:r w:rsidR="003C650F" w:rsidRPr="00594F82">
        <w:rPr>
          <w:rFonts w:ascii="Palatino Linotype" w:eastAsia="Calibri" w:hAnsi="Palatino Linotype" w:cs="Arial"/>
          <w:color w:val="000000" w:themeColor="text1"/>
          <w:lang w:val="es-ES"/>
        </w:rPr>
        <w:t>de imagen consistente en la fotografía de la licencia de construcción número B-34316/75.</w:t>
      </w:r>
    </w:p>
    <w:p w14:paraId="71A83545" w14:textId="77777777" w:rsidR="00870E5C" w:rsidRPr="00594F82" w:rsidRDefault="00870E5C" w:rsidP="00870E5C">
      <w:pPr>
        <w:pStyle w:val="Prrafodelista"/>
        <w:tabs>
          <w:tab w:val="left" w:pos="426"/>
        </w:tabs>
        <w:spacing w:line="360" w:lineRule="auto"/>
        <w:ind w:left="0"/>
        <w:jc w:val="both"/>
        <w:rPr>
          <w:rFonts w:ascii="Palatino Linotype" w:hAnsi="Palatino Linotype"/>
          <w:color w:val="000000" w:themeColor="text1"/>
        </w:rPr>
      </w:pPr>
    </w:p>
    <w:p w14:paraId="676ABFF5" w14:textId="3FF421F7" w:rsidR="003C650F" w:rsidRPr="00594F82"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Acompañando a los archivos electrónicos referidos </w:t>
      </w:r>
      <w:r w:rsidRPr="00594F82">
        <w:rPr>
          <w:rFonts w:ascii="Palatino Linotype" w:eastAsia="Times New Roman" w:hAnsi="Palatino Linotype" w:cs="Arial"/>
          <w:i/>
          <w:color w:val="000000" w:themeColor="text1"/>
        </w:rPr>
        <w:t>supra</w:t>
      </w:r>
      <w:r w:rsidRPr="00594F82">
        <w:rPr>
          <w:rFonts w:ascii="Palatino Linotype" w:eastAsia="Times New Roman" w:hAnsi="Palatino Linotype" w:cs="Arial"/>
          <w:color w:val="000000" w:themeColor="text1"/>
        </w:rPr>
        <w:t xml:space="preserve">, el </w:t>
      </w:r>
      <w:r w:rsidRPr="00594F82">
        <w:rPr>
          <w:rFonts w:ascii="Palatino Linotype" w:eastAsia="Times New Roman" w:hAnsi="Palatino Linotype" w:cs="Arial"/>
          <w:b/>
          <w:color w:val="000000" w:themeColor="text1"/>
        </w:rPr>
        <w:t>RECURRENTE</w:t>
      </w:r>
      <w:r w:rsidRPr="00594F82">
        <w:rPr>
          <w:rFonts w:ascii="Palatino Linotype" w:eastAsia="Times New Roman" w:hAnsi="Palatino Linotype" w:cs="Arial"/>
          <w:color w:val="000000" w:themeColor="text1"/>
        </w:rPr>
        <w:t xml:space="preserve"> vertió los siguientes comentarios en el apartado de </w:t>
      </w:r>
      <w:r w:rsidRPr="00594F82">
        <w:rPr>
          <w:rFonts w:ascii="Palatino Linotype" w:eastAsia="Times New Roman" w:hAnsi="Palatino Linotype" w:cs="Arial"/>
          <w:i/>
          <w:color w:val="000000" w:themeColor="text1"/>
        </w:rPr>
        <w:t>Manifestaciones</w:t>
      </w:r>
      <w:r w:rsidRPr="00594F82">
        <w:rPr>
          <w:rFonts w:ascii="Palatino Linotype" w:eastAsia="Times New Roman" w:hAnsi="Palatino Linotype" w:cs="Arial"/>
          <w:color w:val="000000" w:themeColor="text1"/>
        </w:rPr>
        <w:t xml:space="preserve"> del SAIMEX:</w:t>
      </w:r>
    </w:p>
    <w:p w14:paraId="792360EF" w14:textId="77777777" w:rsidR="003C650F" w:rsidRPr="00594F82" w:rsidRDefault="003C650F" w:rsidP="003C650F">
      <w:pPr>
        <w:pStyle w:val="Prrafodelista"/>
        <w:tabs>
          <w:tab w:val="left" w:pos="426"/>
        </w:tabs>
        <w:spacing w:line="360" w:lineRule="auto"/>
        <w:ind w:left="0"/>
        <w:jc w:val="both"/>
        <w:rPr>
          <w:rFonts w:ascii="Palatino Linotype" w:hAnsi="Palatino Linotype"/>
          <w:color w:val="000000" w:themeColor="text1"/>
        </w:rPr>
      </w:pPr>
    </w:p>
    <w:p w14:paraId="13C7D3AE" w14:textId="529E78A4" w:rsidR="003C650F" w:rsidRPr="00594F82" w:rsidRDefault="003C650F" w:rsidP="003C650F">
      <w:pPr>
        <w:pStyle w:val="Prrafodelista"/>
        <w:tabs>
          <w:tab w:val="left" w:pos="426"/>
        </w:tabs>
        <w:spacing w:line="276" w:lineRule="auto"/>
        <w:ind w:left="567" w:right="567"/>
        <w:jc w:val="both"/>
        <w:rPr>
          <w:rFonts w:ascii="Palatino Linotype" w:hAnsi="Palatino Linotype"/>
          <w:color w:val="000000" w:themeColor="text1"/>
          <w:sz w:val="22"/>
        </w:rPr>
      </w:pPr>
      <w:r w:rsidRPr="00594F82">
        <w:rPr>
          <w:rFonts w:ascii="Palatino Linotype" w:hAnsi="Palatino Linotype"/>
          <w:i/>
          <w:color w:val="000000" w:themeColor="text1"/>
          <w:sz w:val="22"/>
        </w:rPr>
        <w:t xml:space="preserve">“Solicito el documento que debió de haber emitido la DIRECCION GENERAL DE DESARROLLO URBANO DEL H. AYUNTAMIENTO DE NAUCALPAN DE JUAREZ, MEXICO denominado "Autorización de Cambio a Régimen de Condominio", misma que es atribución y obligación de la Subdirección de Operación Urbana, y que por conducto del Departamento de Licencias de Construcción, área a quien le corresponde la Autorización de Cambio a </w:t>
      </w:r>
      <w:proofErr w:type="spellStart"/>
      <w:r w:rsidRPr="00594F82">
        <w:rPr>
          <w:rFonts w:ascii="Palatino Linotype" w:hAnsi="Palatino Linotype"/>
          <w:i/>
          <w:color w:val="000000" w:themeColor="text1"/>
          <w:sz w:val="22"/>
        </w:rPr>
        <w:t>Regimen</w:t>
      </w:r>
      <w:proofErr w:type="spellEnd"/>
      <w:r w:rsidRPr="00594F82">
        <w:rPr>
          <w:rFonts w:ascii="Palatino Linotype" w:hAnsi="Palatino Linotype"/>
          <w:i/>
          <w:color w:val="000000" w:themeColor="text1"/>
          <w:sz w:val="22"/>
        </w:rPr>
        <w:t xml:space="preserve"> en condominio, así como los documentos que integran el expediente relativo a la solicitud de la Licencia de Construcción para Obra Nueva, ampliación de la Obra Existente, Modificación del Proyecto de una Obra autorizada, Reparación que no afecte elementos estructurales de una Obra Existente, demolición, excavación, relleno, construcción de bardas, las prórrogas, sus extemporaneidades, Constancias de Suspensión Voluntaria a la Licencia de Construcción y Terminación de </w:t>
      </w:r>
      <w:bookmarkStart w:id="6" w:name="_GoBack"/>
      <w:r w:rsidRPr="00594F82">
        <w:rPr>
          <w:rFonts w:ascii="Palatino Linotype" w:hAnsi="Palatino Linotype"/>
          <w:i/>
          <w:color w:val="000000" w:themeColor="text1"/>
          <w:sz w:val="22"/>
        </w:rPr>
        <w:t xml:space="preserve">Obra Parcial o Total, cuando sea producto de una construcción previamente autorizada mediante Licencia de Construcción, acompañado de los "Planos Arquitectónicos" correspondientes, ya que este es el acto por el cual una construcción que acredita su existencia legal mediante la respectiva Constancia de Terminación de Obra Total acuerda la división </w:t>
      </w:r>
      <w:bookmarkEnd w:id="6"/>
      <w:r w:rsidRPr="00594F82">
        <w:rPr>
          <w:rFonts w:ascii="Palatino Linotype" w:hAnsi="Palatino Linotype"/>
          <w:i/>
          <w:color w:val="000000" w:themeColor="text1"/>
          <w:sz w:val="22"/>
        </w:rPr>
        <w:t xml:space="preserve">del inmueble en áreas privativas de dominio y uso exclusivo de los condóminos, elementos comunes de la construcción y áreas de uso común del condominio, de conformidad con lo dispuesto por el Código Civil, </w:t>
      </w:r>
      <w:r w:rsidRPr="00594F82">
        <w:rPr>
          <w:rFonts w:ascii="Palatino Linotype" w:hAnsi="Palatino Linotype"/>
          <w:i/>
          <w:color w:val="000000" w:themeColor="text1"/>
          <w:sz w:val="22"/>
        </w:rPr>
        <w:lastRenderedPageBreak/>
        <w:t>la Ley de Condominios, el Reglamento Municipal de Condominios, el Reglamento y demás disposiciones legales aplicables”</w:t>
      </w:r>
      <w:r w:rsidRPr="00594F82">
        <w:rPr>
          <w:rFonts w:ascii="Palatino Linotype" w:hAnsi="Palatino Linotype"/>
          <w:color w:val="000000" w:themeColor="text1"/>
          <w:sz w:val="22"/>
        </w:rPr>
        <w:t xml:space="preserve"> (Sic)</w:t>
      </w:r>
    </w:p>
    <w:p w14:paraId="7410709B" w14:textId="77777777" w:rsidR="003C650F" w:rsidRPr="00594F82" w:rsidRDefault="003C650F" w:rsidP="003C650F">
      <w:pPr>
        <w:pStyle w:val="Prrafodelista"/>
        <w:tabs>
          <w:tab w:val="left" w:pos="426"/>
        </w:tabs>
        <w:spacing w:line="360" w:lineRule="auto"/>
        <w:ind w:left="0"/>
        <w:jc w:val="both"/>
        <w:rPr>
          <w:rFonts w:ascii="Palatino Linotype" w:hAnsi="Palatino Linotype"/>
          <w:color w:val="000000" w:themeColor="text1"/>
        </w:rPr>
      </w:pPr>
    </w:p>
    <w:p w14:paraId="68087B6D" w14:textId="5EBFA4D5" w:rsidR="0027479B" w:rsidRPr="00594F82"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E</w:t>
      </w:r>
      <w:r w:rsidR="0027479B" w:rsidRPr="00594F82">
        <w:rPr>
          <w:rFonts w:ascii="Palatino Linotype" w:eastAsia="Times New Roman" w:hAnsi="Palatino Linotype" w:cs="Arial"/>
          <w:color w:val="000000" w:themeColor="text1"/>
        </w:rPr>
        <w:t xml:space="preserve">l doce (12) de diciembre de dos mil veintidós, </w:t>
      </w:r>
      <w:r w:rsidR="0027479B" w:rsidRPr="00594F82">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594F82">
        <w:rPr>
          <w:rFonts w:ascii="Palatino Linotype" w:hAnsi="Palatino Linotype" w:cs="Arial"/>
          <w:bCs/>
          <w:color w:val="000000" w:themeColor="text1"/>
        </w:rPr>
        <w:t xml:space="preserve"> </w:t>
      </w:r>
      <w:r w:rsidR="0027479B" w:rsidRPr="00594F82">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Este </w:t>
      </w:r>
      <w:r w:rsidRPr="00594F82">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Por </w:t>
      </w:r>
      <w:r w:rsidRPr="00594F82">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lastRenderedPageBreak/>
        <w:t xml:space="preserve">Así, </w:t>
      </w:r>
      <w:r w:rsidRPr="00594F82">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En </w:t>
      </w:r>
      <w:r w:rsidRPr="00594F82">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Por </w:t>
      </w:r>
      <w:r w:rsidRPr="00594F82">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594F82"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594F82">
        <w:rPr>
          <w:rFonts w:ascii="Palatino Linotype" w:hAnsi="Palatino Linotype"/>
          <w:b/>
        </w:rPr>
        <w:t>Complejidad del Asunto:</w:t>
      </w:r>
      <w:r w:rsidRPr="00594F82">
        <w:rPr>
          <w:rFonts w:ascii="Palatino Linotype" w:hAnsi="Palatino Linotype"/>
        </w:rPr>
        <w:t xml:space="preserve"> La complejidad de la prueba, la pluralidad de sujetos procesales, el tiempo transcurrido, las características y contexto del recurso.</w:t>
      </w:r>
    </w:p>
    <w:p w14:paraId="4A21AAE7" w14:textId="77777777" w:rsidR="0027479B" w:rsidRPr="00594F82"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594F82">
        <w:rPr>
          <w:rFonts w:ascii="Palatino Linotype" w:hAnsi="Palatino Linotype"/>
          <w:b/>
        </w:rPr>
        <w:t>Actividad Procesal del interesado:</w:t>
      </w:r>
      <w:r w:rsidRPr="00594F82">
        <w:rPr>
          <w:rFonts w:ascii="Palatino Linotype" w:hAnsi="Palatino Linotype"/>
        </w:rPr>
        <w:t xml:space="preserve"> Acciones u omisiones del interesado.</w:t>
      </w:r>
    </w:p>
    <w:p w14:paraId="08A62D06" w14:textId="77777777" w:rsidR="0027479B" w:rsidRPr="00594F82"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594F82">
        <w:rPr>
          <w:rFonts w:ascii="Palatino Linotype" w:hAnsi="Palatino Linotype"/>
          <w:b/>
        </w:rPr>
        <w:t>Conducta de la Autoridad:</w:t>
      </w:r>
      <w:r w:rsidRPr="00594F82">
        <w:rPr>
          <w:rFonts w:ascii="Palatino Linotype" w:hAnsi="Palatino Linotype"/>
        </w:rPr>
        <w:t xml:space="preserve"> Las Acciones u omisiones realizadas en el procedimiento. Así como si la autoridad actuó con la debida diligencia.</w:t>
      </w:r>
    </w:p>
    <w:p w14:paraId="0E8513F7" w14:textId="6A19EF22" w:rsidR="0027479B" w:rsidRPr="00594F82"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rPr>
      </w:pPr>
      <w:r w:rsidRPr="00594F82">
        <w:rPr>
          <w:rFonts w:ascii="Palatino Linotype" w:hAnsi="Palatino Linotype"/>
          <w:b/>
        </w:rPr>
        <w:t>La afectación generada en la situación jurídica de la persona involucrada en el proceso:</w:t>
      </w:r>
      <w:r w:rsidRPr="00594F82">
        <w:rPr>
          <w:rFonts w:ascii="Palatino Linotype" w:hAnsi="Palatino Linotype"/>
        </w:rPr>
        <w:t xml:space="preserve"> Violación a sus derechos humanos.</w:t>
      </w:r>
    </w:p>
    <w:p w14:paraId="6332AF0D"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De </w:t>
      </w:r>
      <w:r w:rsidRPr="00594F82">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w:t>
      </w:r>
      <w:r w:rsidRPr="00594F82">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2A7261D0"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t xml:space="preserve">Argumento </w:t>
      </w:r>
      <w:r w:rsidRPr="00594F82">
        <w:rPr>
          <w:rFonts w:ascii="Palatino Linotype" w:hAnsi="Palatino Linotype"/>
        </w:rPr>
        <w:t>que encuentra sustento en la jurisprudencia P</w:t>
      </w:r>
      <w:proofErr w:type="gramStart"/>
      <w:r w:rsidRPr="00594F82">
        <w:rPr>
          <w:rFonts w:ascii="Palatino Linotype" w:hAnsi="Palatino Linotype"/>
        </w:rPr>
        <w:t>./</w:t>
      </w:r>
      <w:proofErr w:type="gramEnd"/>
      <w:r w:rsidRPr="00594F82">
        <w:rPr>
          <w:rFonts w:ascii="Palatino Linotype" w:hAnsi="Palatino Linotype"/>
        </w:rPr>
        <w:t xml:space="preserve">J. 32/92 emitida por el Pleno de la Suprema Corte de Justicia de la Nación de rubro </w:t>
      </w:r>
      <w:r w:rsidRPr="00594F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94F82">
        <w:rPr>
          <w:rStyle w:val="Refdenotaalpie"/>
          <w:rFonts w:ascii="Palatino Linotype" w:hAnsi="Palatino Linotype"/>
          <w:i/>
        </w:rPr>
        <w:footnoteReference w:id="2"/>
      </w:r>
      <w:r w:rsidRPr="00594F82">
        <w:rPr>
          <w:rFonts w:ascii="Palatino Linotype" w:hAnsi="Palatino Linotype"/>
        </w:rPr>
        <w:t>, visible en la Gaceta del Seminario Judicial de la Federación con el registro digital 205635.</w:t>
      </w:r>
    </w:p>
    <w:p w14:paraId="011F251C"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42F56FD8"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hAnsi="Palatino Linotype"/>
          <w:color w:val="000000" w:themeColor="text1"/>
        </w:rPr>
        <w:lastRenderedPageBreak/>
        <w:t xml:space="preserve">Razones </w:t>
      </w:r>
      <w:r w:rsidRPr="00594F82">
        <w:rPr>
          <w:rFonts w:ascii="Palatino Linotype" w:hAnsi="Palatino Linotype"/>
        </w:rPr>
        <w:t xml:space="preserve">por las </w:t>
      </w:r>
      <w:r w:rsidR="00041541" w:rsidRPr="00594F82">
        <w:rPr>
          <w:rFonts w:ascii="Palatino Linotype" w:hAnsi="Palatino Linotype"/>
        </w:rPr>
        <w:t>que</w:t>
      </w:r>
      <w:r w:rsidRPr="00594F82">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594F82" w:rsidRDefault="0027479B" w:rsidP="0027479B">
      <w:pPr>
        <w:pStyle w:val="Prrafodelista"/>
        <w:spacing w:line="276" w:lineRule="auto"/>
        <w:ind w:left="567" w:right="567"/>
        <w:jc w:val="both"/>
        <w:rPr>
          <w:rFonts w:ascii="Palatino Linotype" w:hAnsi="Palatino Linotype"/>
          <w:i/>
          <w:sz w:val="22"/>
        </w:rPr>
      </w:pPr>
      <w:r w:rsidRPr="00594F82">
        <w:rPr>
          <w:rFonts w:ascii="Palatino Linotype" w:hAnsi="Palatino Linotype"/>
          <w:b/>
          <w:i/>
          <w:sz w:val="22"/>
        </w:rPr>
        <w:t>PLAZO RAZONABLE PARA RESOLVER. DIMENSIÓN Y EFECTOS DE ESTE CONCEPTO CUANDO SE ADUCE EXCESIVA CARGA DE TRABAJO.</w:t>
      </w:r>
      <w:r w:rsidRPr="00594F82">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594F82">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94F82">
        <w:rPr>
          <w:rStyle w:val="Refdenotaalpie"/>
          <w:rFonts w:ascii="Palatino Linotype" w:hAnsi="Palatino Linotype"/>
          <w:i/>
          <w:sz w:val="22"/>
        </w:rPr>
        <w:footnoteReference w:id="3"/>
      </w:r>
    </w:p>
    <w:p w14:paraId="604A10F2" w14:textId="77777777" w:rsidR="0027479B" w:rsidRPr="00594F82"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594F82" w:rsidRDefault="0027479B" w:rsidP="0027479B">
      <w:pPr>
        <w:pStyle w:val="Prrafodelista"/>
        <w:spacing w:line="276" w:lineRule="auto"/>
        <w:ind w:left="567" w:right="567"/>
        <w:jc w:val="both"/>
        <w:rPr>
          <w:rFonts w:ascii="Palatino Linotype" w:hAnsi="Palatino Linotype"/>
          <w:i/>
          <w:sz w:val="22"/>
        </w:rPr>
      </w:pPr>
      <w:r w:rsidRPr="00594F82">
        <w:rPr>
          <w:rFonts w:ascii="Palatino Linotype" w:hAnsi="Palatino Linotype"/>
          <w:b/>
          <w:i/>
          <w:sz w:val="22"/>
        </w:rPr>
        <w:t>PLAZO RAZONABLE PARA RESOLVER. CONCEPTO Y ELEMENTOS QUE LO INTEGRAN A LA LUZ DEL DERECHO INTERNACIONAL DE LOS DERECHOS HUMANOS.</w:t>
      </w:r>
      <w:r w:rsidRPr="00594F82">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594F82">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94F82">
        <w:rPr>
          <w:rStyle w:val="Refdenotaalpie"/>
          <w:rFonts w:ascii="Palatino Linotype" w:hAnsi="Palatino Linotype"/>
          <w:i/>
          <w:sz w:val="22"/>
        </w:rPr>
        <w:footnoteReference w:id="4"/>
      </w:r>
    </w:p>
    <w:p w14:paraId="0A6E959A"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0C321F6C"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DCEC56"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909387F" w14:textId="5938DF8B" w:rsidR="0027479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hAnsi="Palatino Linotype"/>
        </w:rPr>
        <w:t xml:space="preserve">El </w:t>
      </w:r>
      <w:r w:rsidR="003C650F" w:rsidRPr="00594F82">
        <w:rPr>
          <w:rFonts w:ascii="Palatino Linotype" w:hAnsi="Palatino Linotype"/>
          <w:color w:val="000000" w:themeColor="text1"/>
        </w:rPr>
        <w:t xml:space="preserve">ocho (08) de agosto </w:t>
      </w:r>
      <w:r w:rsidRPr="00594F82">
        <w:rPr>
          <w:rFonts w:ascii="Palatino Linotype" w:hAnsi="Palatino Linotype"/>
          <w:color w:val="000000" w:themeColor="text1"/>
        </w:rPr>
        <w:t xml:space="preserve">de dos mil veintitrés, </w:t>
      </w:r>
      <w:r w:rsidR="003C650F" w:rsidRPr="00594F82">
        <w:rPr>
          <w:rFonts w:ascii="Palatino Linotype" w:hAnsi="Palatino Linotype"/>
          <w:color w:val="000000" w:themeColor="text1"/>
        </w:rPr>
        <w:t>se puso</w:t>
      </w:r>
      <w:r w:rsidRPr="00594F82">
        <w:rPr>
          <w:rFonts w:ascii="Palatino Linotype" w:hAnsi="Palatino Linotype"/>
          <w:color w:val="000000" w:themeColor="text1"/>
        </w:rPr>
        <w:t xml:space="preserve"> a la vista del </w:t>
      </w:r>
      <w:r w:rsidRPr="00594F82">
        <w:rPr>
          <w:rFonts w:ascii="Palatino Linotype" w:hAnsi="Palatino Linotype"/>
          <w:b/>
          <w:color w:val="000000" w:themeColor="text1"/>
        </w:rPr>
        <w:t>RECURRENTE</w:t>
      </w:r>
      <w:r w:rsidRPr="00594F82">
        <w:rPr>
          <w:rFonts w:ascii="Palatino Linotype" w:hAnsi="Palatino Linotype"/>
          <w:color w:val="000000" w:themeColor="text1"/>
        </w:rPr>
        <w:t xml:space="preserve">, </w:t>
      </w:r>
      <w:r w:rsidR="003C650F" w:rsidRPr="00594F82">
        <w:rPr>
          <w:rFonts w:ascii="Palatino Linotype" w:hAnsi="Palatino Linotype"/>
          <w:color w:val="000000" w:themeColor="text1"/>
        </w:rPr>
        <w:t>el archivo electrónico presentado</w:t>
      </w:r>
      <w:r w:rsidRPr="00594F82">
        <w:rPr>
          <w:rFonts w:ascii="Palatino Linotype" w:hAnsi="Palatino Linotype"/>
          <w:color w:val="000000" w:themeColor="text1"/>
        </w:rPr>
        <w:t xml:space="preserve"> por el </w:t>
      </w:r>
      <w:r w:rsidRPr="00594F82">
        <w:rPr>
          <w:rFonts w:ascii="Palatino Linotype" w:hAnsi="Palatino Linotype"/>
          <w:b/>
          <w:color w:val="000000" w:themeColor="text1"/>
        </w:rPr>
        <w:t xml:space="preserve">SUJETO OBLIGADO </w:t>
      </w:r>
      <w:r w:rsidRPr="00594F82">
        <w:rPr>
          <w:rFonts w:ascii="Palatino Linotype" w:hAnsi="Palatino Linotype"/>
          <w:color w:val="000000" w:themeColor="text1"/>
        </w:rPr>
        <w:t xml:space="preserve">en vía de informe justificado, concediéndole un plazo de tres días para que manifestara lo que a su derecho convenga. Sin embargo, se hace constar que </w:t>
      </w:r>
      <w:r w:rsidR="007B3095" w:rsidRPr="00594F82">
        <w:rPr>
          <w:rFonts w:ascii="Palatino Linotype" w:hAnsi="Palatino Linotype"/>
          <w:color w:val="000000" w:themeColor="text1"/>
        </w:rPr>
        <w:t>el</w:t>
      </w:r>
      <w:r w:rsidRPr="00594F82">
        <w:rPr>
          <w:rFonts w:ascii="Palatino Linotype" w:hAnsi="Palatino Linotype"/>
          <w:color w:val="000000" w:themeColor="text1"/>
        </w:rPr>
        <w:t xml:space="preserve"> particular no ejerció su derecho de réplica sobre los nuevos contenidos.</w:t>
      </w:r>
    </w:p>
    <w:p w14:paraId="0E960422" w14:textId="77777777" w:rsidR="0027479B" w:rsidRPr="00594F82"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45CE9446" w:rsidR="00AE1CCB" w:rsidRPr="00594F82"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Times New Roman" w:hAnsi="Palatino Linotype" w:cs="Arial"/>
          <w:color w:val="000000" w:themeColor="text1"/>
        </w:rPr>
        <w:lastRenderedPageBreak/>
        <w:t>F</w:t>
      </w:r>
      <w:r w:rsidR="00795FC5" w:rsidRPr="00594F82">
        <w:rPr>
          <w:rFonts w:ascii="Palatino Linotype" w:eastAsia="Times New Roman" w:hAnsi="Palatino Linotype" w:cs="Arial"/>
          <w:color w:val="000000" w:themeColor="text1"/>
        </w:rPr>
        <w:t xml:space="preserve">inalmente, el </w:t>
      </w:r>
      <w:r w:rsidR="003C650F" w:rsidRPr="00594F82">
        <w:rPr>
          <w:rFonts w:ascii="Palatino Linotype" w:eastAsia="Times New Roman" w:hAnsi="Palatino Linotype" w:cs="Arial"/>
          <w:color w:val="000000" w:themeColor="text1"/>
        </w:rPr>
        <w:t>catorce (14</w:t>
      </w:r>
      <w:r w:rsidR="007B3095" w:rsidRPr="00594F82">
        <w:rPr>
          <w:rFonts w:ascii="Palatino Linotype" w:eastAsia="Times New Roman" w:hAnsi="Palatino Linotype" w:cs="Arial"/>
          <w:color w:val="000000" w:themeColor="text1"/>
        </w:rPr>
        <w:t xml:space="preserve">) de agosto </w:t>
      </w:r>
      <w:r w:rsidR="007E72D5" w:rsidRPr="00594F82">
        <w:rPr>
          <w:rFonts w:ascii="Palatino Linotype" w:eastAsia="Times New Roman" w:hAnsi="Palatino Linotype" w:cs="Arial"/>
          <w:color w:val="000000" w:themeColor="text1"/>
        </w:rPr>
        <w:t>de dos mil veintitrés</w:t>
      </w:r>
      <w:r w:rsidR="001E0672" w:rsidRPr="00594F82">
        <w:rPr>
          <w:rFonts w:ascii="Palatino Linotype" w:eastAsia="Times New Roman" w:hAnsi="Palatino Linotype" w:cs="Arial"/>
          <w:color w:val="000000" w:themeColor="text1"/>
        </w:rPr>
        <w:t xml:space="preserve">, </w:t>
      </w:r>
      <w:r w:rsidR="00AE1CCB" w:rsidRPr="00594F82">
        <w:rPr>
          <w:rFonts w:ascii="Palatino Linotype" w:hAnsi="Palatino Linotype" w:cs="Arial"/>
          <w:color w:val="000000" w:themeColor="text1"/>
        </w:rPr>
        <w:t xml:space="preserve">la Comisionada Ponente decretó el cierre del periodo de instrucción, por lo que ordenó turnar </w:t>
      </w:r>
      <w:r w:rsidR="008A7F1F" w:rsidRPr="00594F82">
        <w:rPr>
          <w:rFonts w:ascii="Palatino Linotype" w:hAnsi="Palatino Linotype" w:cs="Arial"/>
          <w:color w:val="000000" w:themeColor="text1"/>
        </w:rPr>
        <w:t>el expediente</w:t>
      </w:r>
      <w:r w:rsidR="004D5BA4" w:rsidRPr="00594F82">
        <w:rPr>
          <w:rFonts w:ascii="Palatino Linotype" w:hAnsi="Palatino Linotype" w:cs="Arial"/>
          <w:color w:val="000000" w:themeColor="text1"/>
        </w:rPr>
        <w:t xml:space="preserve"> </w:t>
      </w:r>
      <w:r w:rsidR="00AE1CCB" w:rsidRPr="00594F82">
        <w:rPr>
          <w:rFonts w:ascii="Palatino Linotype" w:hAnsi="Palatino Linotype" w:cs="Arial"/>
          <w:color w:val="000000" w:themeColor="text1"/>
        </w:rPr>
        <w:t>para su resolució</w:t>
      </w:r>
      <w:r w:rsidR="009A7F61" w:rsidRPr="00594F82">
        <w:rPr>
          <w:rFonts w:ascii="Palatino Linotype" w:hAnsi="Palatino Linotype" w:cs="Arial"/>
          <w:color w:val="000000" w:themeColor="text1"/>
        </w:rPr>
        <w:t>n, misma que ahora se pronuncia; y ----------</w:t>
      </w:r>
      <w:r w:rsidR="003C650F" w:rsidRPr="00594F82">
        <w:rPr>
          <w:rFonts w:ascii="Palatino Linotype" w:hAnsi="Palatino Linotype" w:cs="Arial"/>
          <w:color w:val="000000" w:themeColor="text1"/>
        </w:rPr>
        <w:t>--------------</w:t>
      </w:r>
    </w:p>
    <w:p w14:paraId="35BA85D8" w14:textId="77777777" w:rsidR="00AE1CCB" w:rsidRPr="00594F82"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594F82" w:rsidRDefault="007C0013" w:rsidP="00B31E90">
      <w:pPr>
        <w:pStyle w:val="Ttulo1"/>
        <w:spacing w:before="0"/>
        <w:jc w:val="center"/>
        <w:rPr>
          <w:b/>
          <w:color w:val="000000" w:themeColor="text1"/>
        </w:rPr>
      </w:pPr>
      <w:bookmarkStart w:id="7" w:name="_Toc88071777"/>
      <w:r w:rsidRPr="00594F82">
        <w:rPr>
          <w:b/>
          <w:color w:val="000000" w:themeColor="text1"/>
        </w:rPr>
        <w:t>C</w:t>
      </w:r>
      <w:r w:rsidR="00EE696E" w:rsidRPr="00594F82">
        <w:rPr>
          <w:b/>
          <w:color w:val="000000" w:themeColor="text1"/>
        </w:rPr>
        <w:t xml:space="preserve"> </w:t>
      </w:r>
      <w:r w:rsidRPr="00594F82">
        <w:rPr>
          <w:b/>
          <w:color w:val="000000" w:themeColor="text1"/>
        </w:rPr>
        <w:t>O</w:t>
      </w:r>
      <w:r w:rsidR="00EE696E" w:rsidRPr="00594F82">
        <w:rPr>
          <w:b/>
          <w:color w:val="000000" w:themeColor="text1"/>
        </w:rPr>
        <w:t xml:space="preserve"> </w:t>
      </w:r>
      <w:r w:rsidRPr="00594F82">
        <w:rPr>
          <w:b/>
          <w:color w:val="000000" w:themeColor="text1"/>
        </w:rPr>
        <w:t>N</w:t>
      </w:r>
      <w:r w:rsidR="00EE696E" w:rsidRPr="00594F82">
        <w:rPr>
          <w:b/>
          <w:color w:val="000000" w:themeColor="text1"/>
        </w:rPr>
        <w:t xml:space="preserve"> </w:t>
      </w:r>
      <w:r w:rsidRPr="00594F82">
        <w:rPr>
          <w:b/>
          <w:color w:val="000000" w:themeColor="text1"/>
        </w:rPr>
        <w:t>S</w:t>
      </w:r>
      <w:r w:rsidR="00EE696E" w:rsidRPr="00594F82">
        <w:rPr>
          <w:b/>
          <w:color w:val="000000" w:themeColor="text1"/>
        </w:rPr>
        <w:t xml:space="preserve"> </w:t>
      </w:r>
      <w:r w:rsidRPr="00594F82">
        <w:rPr>
          <w:b/>
          <w:color w:val="000000" w:themeColor="text1"/>
        </w:rPr>
        <w:t>I</w:t>
      </w:r>
      <w:r w:rsidR="00EE696E" w:rsidRPr="00594F82">
        <w:rPr>
          <w:b/>
          <w:color w:val="000000" w:themeColor="text1"/>
        </w:rPr>
        <w:t xml:space="preserve"> </w:t>
      </w:r>
      <w:r w:rsidRPr="00594F82">
        <w:rPr>
          <w:b/>
          <w:color w:val="000000" w:themeColor="text1"/>
        </w:rPr>
        <w:t>D</w:t>
      </w:r>
      <w:r w:rsidR="00EE696E" w:rsidRPr="00594F82">
        <w:rPr>
          <w:b/>
          <w:color w:val="000000" w:themeColor="text1"/>
        </w:rPr>
        <w:t xml:space="preserve"> </w:t>
      </w:r>
      <w:r w:rsidRPr="00594F82">
        <w:rPr>
          <w:b/>
          <w:color w:val="000000" w:themeColor="text1"/>
        </w:rPr>
        <w:t>E</w:t>
      </w:r>
      <w:r w:rsidR="00EE696E" w:rsidRPr="00594F82">
        <w:rPr>
          <w:b/>
          <w:color w:val="000000" w:themeColor="text1"/>
        </w:rPr>
        <w:t xml:space="preserve"> </w:t>
      </w:r>
      <w:r w:rsidRPr="00594F82">
        <w:rPr>
          <w:b/>
          <w:color w:val="000000" w:themeColor="text1"/>
        </w:rPr>
        <w:t>R</w:t>
      </w:r>
      <w:r w:rsidR="00EE696E" w:rsidRPr="00594F82">
        <w:rPr>
          <w:b/>
          <w:color w:val="000000" w:themeColor="text1"/>
        </w:rPr>
        <w:t xml:space="preserve"> </w:t>
      </w:r>
      <w:r w:rsidRPr="00594F82">
        <w:rPr>
          <w:b/>
          <w:color w:val="000000" w:themeColor="text1"/>
        </w:rPr>
        <w:t>A</w:t>
      </w:r>
      <w:r w:rsidR="00EE696E" w:rsidRPr="00594F82">
        <w:rPr>
          <w:b/>
          <w:color w:val="000000" w:themeColor="text1"/>
        </w:rPr>
        <w:t xml:space="preserve"> </w:t>
      </w:r>
      <w:r w:rsidRPr="00594F82">
        <w:rPr>
          <w:b/>
          <w:color w:val="000000" w:themeColor="text1"/>
        </w:rPr>
        <w:t>N</w:t>
      </w:r>
      <w:r w:rsidR="00EE696E" w:rsidRPr="00594F82">
        <w:rPr>
          <w:b/>
          <w:color w:val="000000" w:themeColor="text1"/>
        </w:rPr>
        <w:t xml:space="preserve"> </w:t>
      </w:r>
      <w:r w:rsidRPr="00594F82">
        <w:rPr>
          <w:b/>
          <w:color w:val="000000" w:themeColor="text1"/>
        </w:rPr>
        <w:t>D</w:t>
      </w:r>
      <w:r w:rsidR="00EE696E" w:rsidRPr="00594F82">
        <w:rPr>
          <w:b/>
          <w:color w:val="000000" w:themeColor="text1"/>
        </w:rPr>
        <w:t xml:space="preserve"> </w:t>
      </w:r>
      <w:r w:rsidRPr="00594F82">
        <w:rPr>
          <w:b/>
          <w:color w:val="000000" w:themeColor="text1"/>
        </w:rPr>
        <w:t>O</w:t>
      </w:r>
      <w:bookmarkEnd w:id="4"/>
      <w:bookmarkEnd w:id="5"/>
      <w:bookmarkEnd w:id="7"/>
    </w:p>
    <w:p w14:paraId="435CF9A4" w14:textId="77777777" w:rsidR="00FC1DA7" w:rsidRPr="00594F82" w:rsidRDefault="00FC1DA7" w:rsidP="00B31E90">
      <w:pPr>
        <w:rPr>
          <w:color w:val="000000" w:themeColor="text1"/>
          <w:lang w:eastAsia="en-US"/>
        </w:rPr>
      </w:pPr>
    </w:p>
    <w:p w14:paraId="629A5BE2" w14:textId="1FC05436" w:rsidR="007C0013" w:rsidRPr="00594F82"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594F82">
        <w:rPr>
          <w:rFonts w:ascii="Palatino Linotype" w:hAnsi="Palatino Linotype"/>
          <w:b/>
          <w:color w:val="000000" w:themeColor="text1"/>
          <w:sz w:val="24"/>
        </w:rPr>
        <w:t>PRIMERO. De la competencia</w:t>
      </w:r>
      <w:bookmarkEnd w:id="8"/>
      <w:bookmarkEnd w:id="9"/>
      <w:bookmarkEnd w:id="10"/>
    </w:p>
    <w:p w14:paraId="60FBD8C7" w14:textId="77777777" w:rsidR="00FC1DA7" w:rsidRPr="00594F82" w:rsidRDefault="00FC1DA7" w:rsidP="00B31E90">
      <w:pPr>
        <w:rPr>
          <w:rFonts w:ascii="Palatino Linotype" w:hAnsi="Palatino Linotype"/>
          <w:color w:val="000000" w:themeColor="text1"/>
          <w:lang w:eastAsia="en-US"/>
        </w:rPr>
      </w:pPr>
    </w:p>
    <w:p w14:paraId="0BF52B18" w14:textId="224A39AB" w:rsidR="005A228F" w:rsidRPr="00594F8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94F82">
        <w:rPr>
          <w:rFonts w:ascii="Palatino Linotype" w:eastAsia="Calibri" w:hAnsi="Palatino Linotype" w:cs="Times New Roman"/>
          <w:color w:val="000000" w:themeColor="text1"/>
          <w:lang w:val="es-ES"/>
        </w:rPr>
        <w:t xml:space="preserve">Este </w:t>
      </w:r>
      <w:r w:rsidR="00E54CA0" w:rsidRPr="00594F82">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w:t>
      </w:r>
      <w:r w:rsidR="005C7922" w:rsidRPr="00594F82">
        <w:rPr>
          <w:rFonts w:ascii="Palatino Linotype" w:eastAsia="Calibri" w:hAnsi="Palatino Linotype"/>
          <w:color w:val="000000" w:themeColor="text1"/>
        </w:rPr>
        <w:t>el</w:t>
      </w:r>
      <w:r w:rsidR="00E54CA0" w:rsidRPr="00594F82">
        <w:rPr>
          <w:rFonts w:ascii="Palatino Linotype" w:eastAsia="Calibri" w:hAnsi="Palatino Linotype"/>
          <w:color w:val="000000" w:themeColor="text1"/>
        </w:rPr>
        <w:t xml:space="preserve"> </w:t>
      </w:r>
      <w:r w:rsidR="00E54CA0" w:rsidRPr="00594F82">
        <w:rPr>
          <w:rFonts w:ascii="Palatino Linotype" w:eastAsia="Calibri" w:hAnsi="Palatino Linotype"/>
          <w:b/>
          <w:color w:val="000000" w:themeColor="text1"/>
        </w:rPr>
        <w:t>RECURRENTE</w:t>
      </w:r>
      <w:r w:rsidR="00E54CA0" w:rsidRPr="00594F82">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w:t>
      </w:r>
      <w:r w:rsidR="00C94D16" w:rsidRPr="00594F82">
        <w:rPr>
          <w:rFonts w:ascii="Palatino Linotype" w:eastAsia="Calibri" w:hAnsi="Palatino Linotype"/>
          <w:color w:val="000000" w:themeColor="text1"/>
        </w:rPr>
        <w:t>trigésimo segundo, trigésimo tercero y trigésimo cuarto</w:t>
      </w:r>
      <w:r w:rsidR="00E54CA0" w:rsidRPr="00594F82">
        <w:rPr>
          <w:rFonts w:ascii="Palatino Linotype" w:eastAsia="Calibri" w:hAnsi="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E54CA0" w:rsidRPr="00594F82">
        <w:rPr>
          <w:rFonts w:ascii="Palatino Linotype" w:eastAsia="Calibri" w:hAnsi="Palatino Linotype" w:cs="Arial"/>
          <w:b/>
          <w:color w:val="000000" w:themeColor="text1"/>
        </w:rPr>
        <w:t>.</w:t>
      </w:r>
    </w:p>
    <w:p w14:paraId="1956B329" w14:textId="77777777" w:rsidR="00B76C73" w:rsidRPr="00594F82"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94F82"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594F82">
        <w:rPr>
          <w:rFonts w:ascii="Palatino Linotype" w:hAnsi="Palatino Linotype"/>
          <w:b/>
          <w:color w:val="000000" w:themeColor="text1"/>
          <w:sz w:val="24"/>
        </w:rPr>
        <w:t>SEGUNDO. De la oportunidad y proced</w:t>
      </w:r>
      <w:r w:rsidR="00F35C44" w:rsidRPr="00594F82">
        <w:rPr>
          <w:rFonts w:ascii="Palatino Linotype" w:hAnsi="Palatino Linotype"/>
          <w:b/>
          <w:color w:val="000000" w:themeColor="text1"/>
          <w:sz w:val="24"/>
        </w:rPr>
        <w:t>encia</w:t>
      </w:r>
      <w:r w:rsidRPr="00594F82">
        <w:rPr>
          <w:rFonts w:ascii="Palatino Linotype" w:hAnsi="Palatino Linotype"/>
          <w:b/>
          <w:color w:val="000000" w:themeColor="text1"/>
          <w:sz w:val="24"/>
        </w:rPr>
        <w:t>.</w:t>
      </w:r>
      <w:bookmarkEnd w:id="11"/>
      <w:bookmarkEnd w:id="12"/>
      <w:bookmarkEnd w:id="13"/>
    </w:p>
    <w:p w14:paraId="18E22450" w14:textId="77777777" w:rsidR="00C6440A" w:rsidRPr="00594F82" w:rsidRDefault="00C6440A" w:rsidP="00B31E90">
      <w:pPr>
        <w:rPr>
          <w:color w:val="000000" w:themeColor="text1"/>
          <w:lang w:eastAsia="en-US"/>
        </w:rPr>
      </w:pPr>
    </w:p>
    <w:p w14:paraId="1DAE4B2B" w14:textId="4C272597" w:rsidR="008A7F1F" w:rsidRPr="00594F82"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594F82">
        <w:rPr>
          <w:rFonts w:ascii="Palatino Linotype" w:eastAsia="Calibri" w:hAnsi="Palatino Linotype" w:cs="Arial"/>
          <w:color w:val="000000" w:themeColor="text1"/>
        </w:rPr>
        <w:t>El</w:t>
      </w:r>
      <w:r w:rsidR="003E6D0F" w:rsidRPr="00594F82">
        <w:rPr>
          <w:rFonts w:ascii="Palatino Linotype" w:eastAsia="Calibri" w:hAnsi="Palatino Linotype" w:cs="Arial"/>
          <w:color w:val="000000" w:themeColor="text1"/>
        </w:rPr>
        <w:t xml:space="preserve"> </w:t>
      </w:r>
      <w:r w:rsidRPr="00594F82">
        <w:rPr>
          <w:rFonts w:ascii="Palatino Linotype" w:eastAsia="Calibri" w:hAnsi="Palatino Linotype" w:cs="Arial"/>
        </w:rPr>
        <w:t>medio de impugnación fue presentado a través del SAIMEX</w:t>
      </w:r>
      <w:r w:rsidRPr="00594F82">
        <w:rPr>
          <w:rFonts w:ascii="Palatino Linotype" w:eastAsia="Calibri" w:hAnsi="Palatino Linotype" w:cs="Arial"/>
          <w:b/>
        </w:rPr>
        <w:t>,</w:t>
      </w:r>
      <w:r w:rsidRPr="00594F82">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594F82">
        <w:rPr>
          <w:rFonts w:ascii="Palatino Linotype" w:eastAsia="Calibri" w:hAnsi="Palatino Linotype" w:cs="Arial"/>
          <w:b/>
        </w:rPr>
        <w:t>SUJETO OBLIGADO</w:t>
      </w:r>
      <w:r w:rsidRPr="00594F82">
        <w:rPr>
          <w:rFonts w:ascii="Palatino Linotype" w:eastAsia="Calibri" w:hAnsi="Palatino Linotype" w:cs="Arial"/>
        </w:rPr>
        <w:t xml:space="preserve"> entregó respuesta el </w:t>
      </w:r>
      <w:r w:rsidR="003C650F" w:rsidRPr="00594F82">
        <w:rPr>
          <w:rFonts w:ascii="Palatino Linotype" w:eastAsia="Calibri" w:hAnsi="Palatino Linotype" w:cs="Arial"/>
        </w:rPr>
        <w:t xml:space="preserve">trece (13) de septiembre </w:t>
      </w:r>
      <w:r w:rsidR="00E54CA0" w:rsidRPr="00594F82">
        <w:rPr>
          <w:rFonts w:ascii="Palatino Linotype" w:eastAsia="Calibri" w:hAnsi="Palatino Linotype" w:cs="Arial"/>
        </w:rPr>
        <w:t>de dos mil veintidós</w:t>
      </w:r>
      <w:r w:rsidRPr="00594F82">
        <w:rPr>
          <w:rFonts w:ascii="Palatino Linotype" w:eastAsia="Calibri" w:hAnsi="Palatino Linotype" w:cs="Arial"/>
        </w:rPr>
        <w:t xml:space="preserve">, el plazo para interponer el recurso de revisión trascurrió del </w:t>
      </w:r>
      <w:r w:rsidR="003C650F" w:rsidRPr="00594F82">
        <w:rPr>
          <w:rFonts w:ascii="Palatino Linotype" w:eastAsia="Calibri" w:hAnsi="Palatino Linotype" w:cs="Arial"/>
        </w:rPr>
        <w:t xml:space="preserve">catorce (14) de septiembre al cinco </w:t>
      </w:r>
      <w:r w:rsidR="003C650F" w:rsidRPr="00594F82">
        <w:rPr>
          <w:rFonts w:ascii="Palatino Linotype" w:eastAsia="Calibri" w:hAnsi="Palatino Linotype" w:cs="Arial"/>
        </w:rPr>
        <w:lastRenderedPageBreak/>
        <w:t xml:space="preserve">(05) de octubre </w:t>
      </w:r>
      <w:r w:rsidRPr="00594F82">
        <w:rPr>
          <w:rFonts w:ascii="Palatino Linotype" w:eastAsia="Calibri" w:hAnsi="Palatino Linotype" w:cs="Arial"/>
        </w:rPr>
        <w:t xml:space="preserve">de dos mil veintidós; sin contemplar en el cómputo los </w:t>
      </w:r>
      <w:r w:rsidR="007E72D5" w:rsidRPr="00594F82">
        <w:rPr>
          <w:rFonts w:ascii="Palatino Linotype" w:eastAsia="Calibri" w:hAnsi="Palatino Linotype" w:cs="Arial"/>
        </w:rPr>
        <w:t>sábado</w:t>
      </w:r>
      <w:r w:rsidR="00093A7F" w:rsidRPr="00594F82">
        <w:rPr>
          <w:rFonts w:ascii="Palatino Linotype" w:eastAsia="Calibri" w:hAnsi="Palatino Linotype" w:cs="Arial"/>
        </w:rPr>
        <w:t>s</w:t>
      </w:r>
      <w:r w:rsidR="003C650F" w:rsidRPr="00594F82">
        <w:rPr>
          <w:rFonts w:ascii="Palatino Linotype" w:eastAsia="Calibri" w:hAnsi="Palatino Linotype" w:cs="Arial"/>
        </w:rPr>
        <w:t xml:space="preserve">, </w:t>
      </w:r>
      <w:r w:rsidR="00BF22B8" w:rsidRPr="00594F82">
        <w:rPr>
          <w:rFonts w:ascii="Palatino Linotype" w:eastAsia="Calibri" w:hAnsi="Palatino Linotype" w:cs="Arial"/>
        </w:rPr>
        <w:t xml:space="preserve"> </w:t>
      </w:r>
      <w:r w:rsidR="007E72D5" w:rsidRPr="00594F82">
        <w:rPr>
          <w:rFonts w:ascii="Palatino Linotype" w:eastAsia="Calibri" w:hAnsi="Palatino Linotype" w:cs="Arial"/>
        </w:rPr>
        <w:t>domingos</w:t>
      </w:r>
      <w:r w:rsidR="003C650F" w:rsidRPr="00594F82">
        <w:rPr>
          <w:rFonts w:ascii="Palatino Linotype" w:eastAsia="Calibri" w:hAnsi="Palatino Linotype" w:cs="Arial"/>
        </w:rPr>
        <w:t xml:space="preserve"> y días inhábiles</w:t>
      </w:r>
      <w:r w:rsidR="003A2CF7" w:rsidRPr="00594F82">
        <w:rPr>
          <w:rFonts w:ascii="Palatino Linotype" w:eastAsia="Calibri" w:hAnsi="Palatino Linotype" w:cs="Arial"/>
        </w:rPr>
        <w:t>,</w:t>
      </w:r>
      <w:r w:rsidRPr="00594F82">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594F82"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CCEA40" w14:textId="7D212A28" w:rsidR="00774AB3" w:rsidRPr="00594F82" w:rsidRDefault="003C650F" w:rsidP="003C650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94F82">
        <w:rPr>
          <w:rFonts w:ascii="Palatino Linotype" w:eastAsia="Calibri" w:hAnsi="Palatino Linotype" w:cs="Arial"/>
        </w:rPr>
        <w:t>Luego entonces, si el recurso de revisión que hoy nos ocupa fue interpuesto el quince (15) de septiembre de dos mil veintidós, éste se encuentra dentro del plazo legalmente establecido para ello.</w:t>
      </w:r>
    </w:p>
    <w:p w14:paraId="06DDA138" w14:textId="77777777" w:rsidR="003C650F" w:rsidRPr="00594F82" w:rsidRDefault="003C650F" w:rsidP="003C650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94F82"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94F82">
        <w:rPr>
          <w:rFonts w:ascii="Palatino Linotype" w:eastAsia="Calibri" w:hAnsi="Palatino Linotype" w:cs="Arial"/>
          <w:color w:val="000000" w:themeColor="text1"/>
        </w:rPr>
        <w:t xml:space="preserve">Consecuencia de lo anterior, </w:t>
      </w:r>
      <w:r w:rsidR="00566BC5" w:rsidRPr="00594F82">
        <w:rPr>
          <w:rFonts w:ascii="Palatino Linotype" w:eastAsia="Calibri" w:hAnsi="Palatino Linotype" w:cs="Arial"/>
          <w:color w:val="000000" w:themeColor="text1"/>
        </w:rPr>
        <w:t>este Órgano Garante</w:t>
      </w:r>
      <w:r w:rsidRPr="00594F82">
        <w:rPr>
          <w:rFonts w:ascii="Palatino Linotype" w:eastAsia="Calibri" w:hAnsi="Palatino Linotype" w:cs="Arial"/>
          <w:color w:val="000000" w:themeColor="text1"/>
        </w:rPr>
        <w:t xml:space="preserve"> advierte que </w:t>
      </w:r>
      <w:r w:rsidR="00FB2EE1" w:rsidRPr="00594F82">
        <w:rPr>
          <w:rFonts w:ascii="Palatino Linotype" w:eastAsia="Calibri" w:hAnsi="Palatino Linotype" w:cs="Arial"/>
          <w:color w:val="000000" w:themeColor="text1"/>
        </w:rPr>
        <w:t>el</w:t>
      </w:r>
      <w:r w:rsidR="00540208" w:rsidRPr="00594F82">
        <w:rPr>
          <w:rFonts w:ascii="Palatino Linotype" w:eastAsia="Calibri" w:hAnsi="Palatino Linotype" w:cs="Arial"/>
          <w:color w:val="000000" w:themeColor="text1"/>
        </w:rPr>
        <w:t xml:space="preserve"> </w:t>
      </w:r>
      <w:r w:rsidR="00FB2EE1" w:rsidRPr="00594F82">
        <w:rPr>
          <w:rFonts w:ascii="Palatino Linotype" w:eastAsia="Calibri" w:hAnsi="Palatino Linotype" w:cs="Arial"/>
          <w:color w:val="000000" w:themeColor="text1"/>
        </w:rPr>
        <w:t xml:space="preserve">escrito </w:t>
      </w:r>
      <w:r w:rsidR="00540208" w:rsidRPr="00594F82">
        <w:rPr>
          <w:rFonts w:ascii="Palatino Linotype" w:eastAsia="Calibri" w:hAnsi="Palatino Linotype" w:cs="Arial"/>
          <w:color w:val="000000" w:themeColor="text1"/>
        </w:rPr>
        <w:t>contiene las formalidades previstas por el artículo 180</w:t>
      </w:r>
      <w:r w:rsidR="00FB2EE1" w:rsidRPr="00594F82">
        <w:rPr>
          <w:rFonts w:ascii="Palatino Linotype" w:eastAsia="Calibri" w:hAnsi="Palatino Linotype" w:cs="Arial"/>
          <w:color w:val="000000" w:themeColor="text1"/>
        </w:rPr>
        <w:t>,</w:t>
      </w:r>
      <w:r w:rsidR="00540208" w:rsidRPr="00594F82">
        <w:rPr>
          <w:rFonts w:ascii="Palatino Linotype" w:eastAsia="Calibri" w:hAnsi="Palatino Linotype" w:cs="Arial"/>
          <w:color w:val="000000" w:themeColor="text1"/>
        </w:rPr>
        <w:t xml:space="preserve"> último párrafo</w:t>
      </w:r>
      <w:r w:rsidR="00FB2EE1" w:rsidRPr="00594F82">
        <w:rPr>
          <w:rFonts w:ascii="Palatino Linotype" w:eastAsia="Calibri" w:hAnsi="Palatino Linotype" w:cs="Arial"/>
          <w:color w:val="000000" w:themeColor="text1"/>
        </w:rPr>
        <w:t>,</w:t>
      </w:r>
      <w:r w:rsidR="00540208" w:rsidRPr="00594F82">
        <w:rPr>
          <w:rFonts w:ascii="Palatino Linotype" w:eastAsia="Calibri" w:hAnsi="Palatino Linotype" w:cs="Arial"/>
          <w:color w:val="000000" w:themeColor="text1"/>
        </w:rPr>
        <w:t xml:space="preserve"> de la Ley </w:t>
      </w:r>
      <w:r w:rsidR="004911B6" w:rsidRPr="00594F82">
        <w:rPr>
          <w:rFonts w:ascii="Palatino Linotype" w:eastAsia="Calibri" w:hAnsi="Palatino Linotype" w:cs="Arial"/>
          <w:color w:val="000000" w:themeColor="text1"/>
        </w:rPr>
        <w:t>de Transparencia y Acceso a la Información Pública del Estado de México y Municipios</w:t>
      </w:r>
      <w:r w:rsidR="00540208" w:rsidRPr="00594F82">
        <w:rPr>
          <w:rFonts w:ascii="Palatino Linotype" w:eastAsia="Calibri" w:hAnsi="Palatino Linotype" w:cs="Arial"/>
          <w:color w:val="000000" w:themeColor="text1"/>
        </w:rPr>
        <w:t xml:space="preserve">, por lo que es procedente que </w:t>
      </w:r>
      <w:r w:rsidR="004911B6" w:rsidRPr="00594F82">
        <w:rPr>
          <w:rFonts w:ascii="Palatino Linotype" w:eastAsia="Calibri" w:hAnsi="Palatino Linotype" w:cs="Arial"/>
          <w:color w:val="000000" w:themeColor="text1"/>
        </w:rPr>
        <w:t>e</w:t>
      </w:r>
      <w:r w:rsidR="00540208" w:rsidRPr="00594F82">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94F82">
        <w:rPr>
          <w:rFonts w:ascii="Palatino Linotype" w:eastAsia="Calibri" w:hAnsi="Palatino Linotype" w:cs="Arial"/>
          <w:color w:val="000000" w:themeColor="text1"/>
        </w:rPr>
        <w:t xml:space="preserve">Municipios, conozca y resuelva </w:t>
      </w:r>
      <w:r w:rsidR="00FB2EE1" w:rsidRPr="00594F82">
        <w:rPr>
          <w:rFonts w:ascii="Palatino Linotype" w:eastAsia="Calibri" w:hAnsi="Palatino Linotype" w:cs="Arial"/>
          <w:color w:val="000000" w:themeColor="text1"/>
        </w:rPr>
        <w:t>el</w:t>
      </w:r>
      <w:r w:rsidR="00540208" w:rsidRPr="00594F82">
        <w:rPr>
          <w:rFonts w:ascii="Palatino Linotype" w:eastAsia="Calibri" w:hAnsi="Palatino Linotype" w:cs="Arial"/>
          <w:color w:val="000000" w:themeColor="text1"/>
        </w:rPr>
        <w:t xml:space="preserve"> presente recurso.</w:t>
      </w:r>
    </w:p>
    <w:p w14:paraId="316CB621" w14:textId="77777777" w:rsidR="00710B50" w:rsidRPr="00594F82"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594F82"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594F82">
        <w:rPr>
          <w:rFonts w:ascii="Palatino Linotype" w:hAnsi="Palatino Linotype"/>
          <w:b/>
          <w:color w:val="000000" w:themeColor="text1"/>
        </w:rPr>
        <w:t xml:space="preserve">TERCERO. </w:t>
      </w:r>
      <w:r w:rsidR="00D5750C" w:rsidRPr="00594F82">
        <w:rPr>
          <w:rFonts w:ascii="Palatino Linotype" w:hAnsi="Palatino Linotype"/>
          <w:b/>
          <w:color w:val="000000" w:themeColor="text1"/>
        </w:rPr>
        <w:t xml:space="preserve">Del planteamiento de la </w:t>
      </w:r>
      <w:r w:rsidR="00D5750C" w:rsidRPr="00594F82">
        <w:rPr>
          <w:rFonts w:ascii="Palatino Linotype" w:hAnsi="Palatino Linotype"/>
          <w:b/>
          <w:i/>
          <w:color w:val="000000" w:themeColor="text1"/>
        </w:rPr>
        <w:t>Litis</w:t>
      </w:r>
      <w:r w:rsidRPr="00594F82">
        <w:rPr>
          <w:rFonts w:ascii="Palatino Linotype" w:hAnsi="Palatino Linotype"/>
          <w:b/>
          <w:color w:val="000000" w:themeColor="text1"/>
        </w:rPr>
        <w:t>.</w:t>
      </w:r>
      <w:bookmarkEnd w:id="14"/>
    </w:p>
    <w:p w14:paraId="4FB84CAD" w14:textId="77777777" w:rsidR="00CA62D4" w:rsidRPr="00594F82"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6430F52F" w:rsidR="00635424" w:rsidRPr="00594F82" w:rsidRDefault="003C650F"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594F82">
        <w:rPr>
          <w:rFonts w:ascii="Palatino Linotype" w:hAnsi="Palatino Linotype" w:cs="Arial"/>
          <w:color w:val="000000" w:themeColor="text1"/>
        </w:rPr>
        <w:t xml:space="preserve">De una construcción específica, se requirió la Autorización a Condominio, así como la Autorización del Cambio a Régimen de Condominio. El </w:t>
      </w:r>
      <w:r w:rsidRPr="00594F82">
        <w:rPr>
          <w:rFonts w:ascii="Palatino Linotype" w:hAnsi="Palatino Linotype" w:cs="Arial"/>
          <w:b/>
          <w:color w:val="000000" w:themeColor="text1"/>
        </w:rPr>
        <w:t>SUJETO OBLIGADO</w:t>
      </w:r>
      <w:r w:rsidRPr="00594F82">
        <w:rPr>
          <w:rFonts w:ascii="Palatino Linotype" w:hAnsi="Palatino Linotype" w:cs="Arial"/>
          <w:color w:val="000000" w:themeColor="text1"/>
        </w:rPr>
        <w:t xml:space="preserve"> contestó al particular que la emisión de los documentos solicitados era competencia del Gobierno del Estado de México.</w:t>
      </w:r>
    </w:p>
    <w:p w14:paraId="54C012CA" w14:textId="77777777" w:rsidR="00635424" w:rsidRPr="00594F82"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886AB35" w:rsidR="00117D31" w:rsidRPr="00594F82"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4F82">
        <w:rPr>
          <w:rFonts w:ascii="Palatino Linotype" w:hAnsi="Palatino Linotype" w:cs="Arial"/>
          <w:color w:val="000000" w:themeColor="text1"/>
        </w:rPr>
        <w:lastRenderedPageBreak/>
        <w:t>El</w:t>
      </w:r>
      <w:r w:rsidR="00117D31" w:rsidRPr="00594F82">
        <w:rPr>
          <w:rFonts w:ascii="Palatino Linotype" w:hAnsi="Palatino Linotype" w:cs="Arial"/>
          <w:color w:val="000000" w:themeColor="text1"/>
        </w:rPr>
        <w:t xml:space="preserve"> particular impugnó la respuesta del </w:t>
      </w:r>
      <w:r w:rsidR="00117D31" w:rsidRPr="00594F82">
        <w:rPr>
          <w:rFonts w:ascii="Palatino Linotype" w:hAnsi="Palatino Linotype" w:cs="Arial"/>
          <w:b/>
          <w:bCs/>
          <w:color w:val="000000" w:themeColor="text1"/>
        </w:rPr>
        <w:t>SUJETO OBLIGADO</w:t>
      </w:r>
      <w:r w:rsidR="00117D31" w:rsidRPr="00594F82">
        <w:rPr>
          <w:rFonts w:ascii="Palatino Linotype" w:hAnsi="Palatino Linotype" w:cs="Arial"/>
          <w:color w:val="000000" w:themeColor="text1"/>
        </w:rPr>
        <w:t>, mediante el recurso de revisión con número indicado al rubro, y en el que señaló</w:t>
      </w:r>
      <w:r w:rsidR="008472A9" w:rsidRPr="00594F82">
        <w:rPr>
          <w:rFonts w:ascii="Palatino Linotype" w:hAnsi="Palatino Linotype" w:cs="Arial"/>
          <w:color w:val="000000" w:themeColor="text1"/>
        </w:rPr>
        <w:t xml:space="preserve"> por agravios, </w:t>
      </w:r>
      <w:r w:rsidR="00D268CC" w:rsidRPr="00594F82">
        <w:rPr>
          <w:rFonts w:ascii="Palatino Linotype" w:hAnsi="Palatino Linotype" w:cs="Arial"/>
          <w:color w:val="000000" w:themeColor="text1"/>
        </w:rPr>
        <w:t>que la respuesta no estaba completa, no era clara y no correspondía con lo solicitado</w:t>
      </w:r>
      <w:r w:rsidR="008E1826" w:rsidRPr="00594F82">
        <w:rPr>
          <w:rFonts w:ascii="Palatino Linotype" w:hAnsi="Palatino Linotype" w:cs="Arial"/>
          <w:color w:val="000000" w:themeColor="text1"/>
        </w:rPr>
        <w:t>.</w:t>
      </w:r>
    </w:p>
    <w:p w14:paraId="52493E42" w14:textId="77777777" w:rsidR="0056788F" w:rsidRPr="00594F82"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7FE818D" w:rsidR="001A032D" w:rsidRPr="00594F82"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4F82">
        <w:rPr>
          <w:rFonts w:ascii="Palatino Linotype" w:hAnsi="Palatino Linotype" w:cs="Arial"/>
          <w:color w:val="000000" w:themeColor="text1"/>
        </w:rPr>
        <w:t xml:space="preserve">En ese sentido, </w:t>
      </w:r>
      <w:r w:rsidR="00566BC5" w:rsidRPr="00594F82">
        <w:rPr>
          <w:rFonts w:ascii="Palatino Linotype" w:hAnsi="Palatino Linotype" w:cs="Arial"/>
          <w:color w:val="000000" w:themeColor="text1"/>
        </w:rPr>
        <w:t>este Órgano Garante</w:t>
      </w:r>
      <w:r w:rsidR="002E160F" w:rsidRPr="00594F82">
        <w:rPr>
          <w:rFonts w:ascii="Palatino Linotype" w:hAnsi="Palatino Linotype" w:cs="Arial"/>
          <w:color w:val="000000" w:themeColor="text1"/>
        </w:rPr>
        <w:t xml:space="preserve"> advierte que las razones o motivos de inconformidad manifestados por el </w:t>
      </w:r>
      <w:r w:rsidRPr="00594F82">
        <w:rPr>
          <w:rFonts w:ascii="Palatino Linotype" w:hAnsi="Palatino Linotype" w:cs="Arial"/>
          <w:b/>
          <w:bCs/>
          <w:color w:val="000000" w:themeColor="text1"/>
        </w:rPr>
        <w:t>RECURRENTE</w:t>
      </w:r>
      <w:r w:rsidRPr="00594F82">
        <w:rPr>
          <w:rFonts w:ascii="Palatino Linotype" w:hAnsi="Palatino Linotype" w:cs="Arial"/>
          <w:color w:val="000000" w:themeColor="text1"/>
        </w:rPr>
        <w:t xml:space="preserve"> </w:t>
      </w:r>
      <w:r w:rsidR="002E160F" w:rsidRPr="00594F82">
        <w:rPr>
          <w:rFonts w:ascii="Palatino Linotype" w:hAnsi="Palatino Linotype" w:cs="Arial"/>
          <w:color w:val="000000" w:themeColor="text1"/>
        </w:rPr>
        <w:t>sugieren que la respuesta proporcionada</w:t>
      </w:r>
      <w:r w:rsidR="00B855AA" w:rsidRPr="00594F82">
        <w:rPr>
          <w:rFonts w:ascii="Palatino Linotype" w:hAnsi="Palatino Linotype" w:cs="Arial"/>
          <w:color w:val="000000" w:themeColor="text1"/>
        </w:rPr>
        <w:t xml:space="preserve"> por el </w:t>
      </w:r>
      <w:r w:rsidR="00B855AA" w:rsidRPr="00594F82">
        <w:rPr>
          <w:rFonts w:ascii="Palatino Linotype" w:hAnsi="Palatino Linotype" w:cs="Arial"/>
          <w:b/>
          <w:bCs/>
          <w:color w:val="000000" w:themeColor="text1"/>
        </w:rPr>
        <w:t>SUJETO OBLIGADO</w:t>
      </w:r>
      <w:r w:rsidR="007409D8" w:rsidRPr="00594F82">
        <w:rPr>
          <w:rFonts w:ascii="Palatino Linotype" w:hAnsi="Palatino Linotype" w:cs="Arial"/>
          <w:color w:val="000000" w:themeColor="text1"/>
        </w:rPr>
        <w:t xml:space="preserve"> no </w:t>
      </w:r>
      <w:r w:rsidR="006D57BE" w:rsidRPr="00594F82">
        <w:rPr>
          <w:rFonts w:ascii="Palatino Linotype" w:hAnsi="Palatino Linotype" w:cs="Arial"/>
          <w:color w:val="000000" w:themeColor="text1"/>
        </w:rPr>
        <w:t>cumplió</w:t>
      </w:r>
      <w:r w:rsidR="00B855AA" w:rsidRPr="00594F82">
        <w:rPr>
          <w:rFonts w:ascii="Palatino Linotype" w:hAnsi="Palatino Linotype" w:cs="Arial"/>
          <w:color w:val="000000" w:themeColor="text1"/>
        </w:rPr>
        <w:t xml:space="preserve"> con </w:t>
      </w:r>
      <w:r w:rsidR="008F7752" w:rsidRPr="00594F82">
        <w:rPr>
          <w:rFonts w:ascii="Palatino Linotype" w:hAnsi="Palatino Linotype" w:cs="Arial"/>
          <w:color w:val="000000" w:themeColor="text1"/>
        </w:rPr>
        <w:t>los</w:t>
      </w:r>
      <w:r w:rsidR="00B855AA" w:rsidRPr="00594F82">
        <w:rPr>
          <w:rFonts w:ascii="Palatino Linotype" w:hAnsi="Palatino Linotype" w:cs="Arial"/>
          <w:color w:val="000000" w:themeColor="text1"/>
        </w:rPr>
        <w:t xml:space="preserve"> principio</w:t>
      </w:r>
      <w:r w:rsidR="008F7752" w:rsidRPr="00594F82">
        <w:rPr>
          <w:rFonts w:ascii="Palatino Linotype" w:hAnsi="Palatino Linotype" w:cs="Arial"/>
          <w:color w:val="000000" w:themeColor="text1"/>
        </w:rPr>
        <w:t>s</w:t>
      </w:r>
      <w:r w:rsidR="00B855AA" w:rsidRPr="00594F82">
        <w:rPr>
          <w:rFonts w:ascii="Palatino Linotype" w:hAnsi="Palatino Linotype" w:cs="Arial"/>
          <w:color w:val="000000" w:themeColor="text1"/>
        </w:rPr>
        <w:t xml:space="preserve"> contendido</w:t>
      </w:r>
      <w:r w:rsidR="008F7752" w:rsidRPr="00594F82">
        <w:rPr>
          <w:rFonts w:ascii="Palatino Linotype" w:hAnsi="Palatino Linotype" w:cs="Arial"/>
          <w:color w:val="000000" w:themeColor="text1"/>
        </w:rPr>
        <w:t>s</w:t>
      </w:r>
      <w:r w:rsidR="00B855AA" w:rsidRPr="00594F82">
        <w:rPr>
          <w:rFonts w:ascii="Palatino Linotype" w:hAnsi="Palatino Linotype" w:cs="Arial"/>
          <w:color w:val="000000" w:themeColor="text1"/>
        </w:rPr>
        <w:t xml:space="preserve"> en el artículo 11 de la Ley de Transparencia y Acceso a la Información Pública del Estado de México y Municipios, </w:t>
      </w:r>
      <w:r w:rsidR="00041541" w:rsidRPr="00594F82">
        <w:rPr>
          <w:rFonts w:ascii="Palatino Linotype" w:hAnsi="Palatino Linotype" w:cs="Arial"/>
          <w:color w:val="000000" w:themeColor="text1"/>
        </w:rPr>
        <w:t>que</w:t>
      </w:r>
      <w:r w:rsidR="00B855AA" w:rsidRPr="00594F82">
        <w:rPr>
          <w:rFonts w:ascii="Palatino Linotype" w:hAnsi="Palatino Linotype" w:cs="Arial"/>
          <w:color w:val="000000" w:themeColor="text1"/>
        </w:rPr>
        <w:t xml:space="preserve"> señala</w:t>
      </w:r>
      <w:r w:rsidR="008F7752" w:rsidRPr="00594F82">
        <w:rPr>
          <w:rFonts w:ascii="Palatino Linotype" w:hAnsi="Palatino Linotype" w:cs="Arial"/>
          <w:color w:val="000000" w:themeColor="text1"/>
        </w:rPr>
        <w:t>n</w:t>
      </w:r>
      <w:r w:rsidR="00B855AA" w:rsidRPr="00594F82">
        <w:rPr>
          <w:rFonts w:ascii="Palatino Linotype" w:hAnsi="Palatino Linotype" w:cs="Arial"/>
          <w:color w:val="000000" w:themeColor="text1"/>
        </w:rPr>
        <w:t xml:space="preserve"> que en la generación, publicación y entrega de información se deberá garantizar que ésta </w:t>
      </w:r>
      <w:r w:rsidR="00C51671" w:rsidRPr="00594F82">
        <w:rPr>
          <w:rFonts w:ascii="Palatino Linotype" w:hAnsi="Palatino Linotype" w:cs="Arial"/>
          <w:color w:val="000000" w:themeColor="text1"/>
        </w:rPr>
        <w:t>sea</w:t>
      </w:r>
      <w:r w:rsidR="007409D8" w:rsidRPr="00594F82">
        <w:rPr>
          <w:rFonts w:ascii="Palatino Linotype" w:hAnsi="Palatino Linotype" w:cs="Arial"/>
          <w:color w:val="000000" w:themeColor="text1"/>
        </w:rPr>
        <w:t xml:space="preserve"> </w:t>
      </w:r>
      <w:r w:rsidR="008E1826" w:rsidRPr="00594F82">
        <w:rPr>
          <w:rFonts w:ascii="Palatino Linotype" w:hAnsi="Palatino Linotype" w:cs="Arial"/>
          <w:b/>
          <w:color w:val="000000" w:themeColor="text1"/>
        </w:rPr>
        <w:t>completa</w:t>
      </w:r>
      <w:r w:rsidR="00D268CC" w:rsidRPr="00594F82">
        <w:rPr>
          <w:rFonts w:ascii="Palatino Linotype" w:hAnsi="Palatino Linotype" w:cs="Arial"/>
          <w:color w:val="000000" w:themeColor="text1"/>
        </w:rPr>
        <w:t xml:space="preserve"> y</w:t>
      </w:r>
      <w:r w:rsidR="00157A53" w:rsidRPr="00594F82">
        <w:rPr>
          <w:rFonts w:ascii="Palatino Linotype" w:hAnsi="Palatino Linotype" w:cs="Arial"/>
          <w:color w:val="000000" w:themeColor="text1"/>
        </w:rPr>
        <w:t xml:space="preserve"> </w:t>
      </w:r>
      <w:r w:rsidR="00157A53" w:rsidRPr="00594F82">
        <w:rPr>
          <w:rFonts w:ascii="Palatino Linotype" w:hAnsi="Palatino Linotype" w:cs="Arial"/>
          <w:b/>
          <w:color w:val="000000" w:themeColor="text1"/>
        </w:rPr>
        <w:t>congruente</w:t>
      </w:r>
      <w:r w:rsidR="00B855AA" w:rsidRPr="00594F82">
        <w:rPr>
          <w:rFonts w:ascii="Palatino Linotype" w:hAnsi="Palatino Linotype" w:cs="Arial"/>
          <w:color w:val="000000" w:themeColor="text1"/>
        </w:rPr>
        <w:t>.</w:t>
      </w:r>
    </w:p>
    <w:p w14:paraId="026A3A70" w14:textId="1CDC3EDC" w:rsidR="00197091" w:rsidRPr="00594F82"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73E7ADF" w:rsidR="00AD76A1" w:rsidRPr="00594F82"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4F82">
        <w:rPr>
          <w:rFonts w:ascii="Palatino Linotype" w:hAnsi="Palatino Linotype" w:cs="Arial"/>
          <w:color w:val="000000" w:themeColor="text1"/>
          <w:szCs w:val="23"/>
        </w:rPr>
        <w:t xml:space="preserve">Por lo anterior, la </w:t>
      </w:r>
      <w:r w:rsidRPr="00594F82">
        <w:rPr>
          <w:rFonts w:ascii="Palatino Linotype" w:hAnsi="Palatino Linotype" w:cs="Arial"/>
          <w:i/>
          <w:color w:val="000000" w:themeColor="text1"/>
          <w:szCs w:val="23"/>
        </w:rPr>
        <w:t>Litis</w:t>
      </w:r>
      <w:r w:rsidRPr="00594F82">
        <w:rPr>
          <w:rFonts w:ascii="Palatino Linotype" w:hAnsi="Palatino Linotype" w:cs="Arial"/>
          <w:color w:val="000000" w:themeColor="text1"/>
          <w:szCs w:val="23"/>
        </w:rPr>
        <w:t xml:space="preserve"> a resolver en el presente recurso se circunscribe en determinar si</w:t>
      </w:r>
      <w:r w:rsidR="002C6561" w:rsidRPr="00594F82">
        <w:rPr>
          <w:rFonts w:ascii="Palatino Linotype" w:hAnsi="Palatino Linotype" w:cs="Arial"/>
          <w:color w:val="000000" w:themeColor="text1"/>
          <w:szCs w:val="23"/>
        </w:rPr>
        <w:t xml:space="preserve"> </w:t>
      </w:r>
      <w:r w:rsidR="004B0EB6" w:rsidRPr="00594F82">
        <w:rPr>
          <w:rFonts w:ascii="Palatino Linotype" w:hAnsi="Palatino Linotype" w:cs="Arial"/>
          <w:color w:val="000000" w:themeColor="text1"/>
          <w:szCs w:val="23"/>
        </w:rPr>
        <w:t>la respuesta del</w:t>
      </w:r>
      <w:r w:rsidR="002C6561" w:rsidRPr="00594F82">
        <w:rPr>
          <w:rFonts w:ascii="Palatino Linotype" w:hAnsi="Palatino Linotype" w:cs="Arial"/>
          <w:color w:val="000000" w:themeColor="text1"/>
          <w:szCs w:val="23"/>
        </w:rPr>
        <w:t xml:space="preserve"> </w:t>
      </w:r>
      <w:r w:rsidR="002C6561" w:rsidRPr="00594F82">
        <w:rPr>
          <w:rFonts w:ascii="Palatino Linotype" w:hAnsi="Palatino Linotype" w:cs="Arial"/>
          <w:b/>
          <w:bCs/>
          <w:color w:val="000000" w:themeColor="text1"/>
          <w:szCs w:val="23"/>
        </w:rPr>
        <w:t>SUJETO OBLIGADO</w:t>
      </w:r>
      <w:r w:rsidR="002C6561" w:rsidRPr="00594F82">
        <w:rPr>
          <w:rFonts w:ascii="Palatino Linotype" w:hAnsi="Palatino Linotype" w:cs="Arial"/>
          <w:color w:val="000000" w:themeColor="text1"/>
          <w:szCs w:val="23"/>
        </w:rPr>
        <w:t xml:space="preserve"> </w:t>
      </w:r>
      <w:r w:rsidR="004B0EB6" w:rsidRPr="00594F82">
        <w:rPr>
          <w:rFonts w:ascii="Palatino Linotype" w:hAnsi="Palatino Linotype" w:cs="Arial"/>
          <w:color w:val="000000" w:themeColor="text1"/>
          <w:szCs w:val="23"/>
        </w:rPr>
        <w:t xml:space="preserve">colma el derecho de acceso a la información ejercido por </w:t>
      </w:r>
      <w:r w:rsidR="001025C6" w:rsidRPr="00594F82">
        <w:rPr>
          <w:rFonts w:ascii="Palatino Linotype" w:hAnsi="Palatino Linotype" w:cs="Arial"/>
          <w:color w:val="000000" w:themeColor="text1"/>
          <w:szCs w:val="23"/>
        </w:rPr>
        <w:t>el</w:t>
      </w:r>
      <w:r w:rsidR="004B0EB6" w:rsidRPr="00594F82">
        <w:rPr>
          <w:rFonts w:ascii="Palatino Linotype" w:hAnsi="Palatino Linotype" w:cs="Arial"/>
          <w:color w:val="000000" w:themeColor="text1"/>
          <w:szCs w:val="23"/>
        </w:rPr>
        <w:t xml:space="preserve"> </w:t>
      </w:r>
      <w:r w:rsidR="004B0EB6" w:rsidRPr="00594F82">
        <w:rPr>
          <w:rFonts w:ascii="Palatino Linotype" w:hAnsi="Palatino Linotype" w:cs="Arial"/>
          <w:b/>
          <w:bCs/>
          <w:color w:val="000000" w:themeColor="text1"/>
          <w:szCs w:val="23"/>
        </w:rPr>
        <w:t>RECURRENTE</w:t>
      </w:r>
      <w:r w:rsidR="002C6561" w:rsidRPr="00594F82">
        <w:rPr>
          <w:rFonts w:ascii="Palatino Linotype" w:hAnsi="Palatino Linotype" w:cs="Arial"/>
          <w:color w:val="000000" w:themeColor="text1"/>
          <w:szCs w:val="23"/>
        </w:rPr>
        <w:t xml:space="preserve"> o</w:t>
      </w:r>
      <w:r w:rsidR="001025C6" w:rsidRPr="00594F82">
        <w:rPr>
          <w:rFonts w:ascii="Palatino Linotype" w:hAnsi="Palatino Linotype" w:cs="Arial"/>
          <w:color w:val="000000" w:themeColor="text1"/>
          <w:szCs w:val="23"/>
        </w:rPr>
        <w:t>,</w:t>
      </w:r>
      <w:r w:rsidR="002C6561" w:rsidRPr="00594F82">
        <w:rPr>
          <w:rFonts w:ascii="Palatino Linotype" w:hAnsi="Palatino Linotype" w:cs="Arial"/>
          <w:color w:val="000000" w:themeColor="text1"/>
          <w:szCs w:val="23"/>
        </w:rPr>
        <w:t xml:space="preserve"> si por el contrario, se</w:t>
      </w:r>
      <w:r w:rsidR="00E32652" w:rsidRPr="00594F82">
        <w:rPr>
          <w:rFonts w:ascii="Palatino Linotype" w:hAnsi="Palatino Linotype" w:cs="Arial"/>
          <w:color w:val="000000" w:themeColor="text1"/>
          <w:szCs w:val="23"/>
        </w:rPr>
        <w:t xml:space="preserve"> </w:t>
      </w:r>
      <w:r w:rsidR="0028248C" w:rsidRPr="00594F82">
        <w:rPr>
          <w:rFonts w:ascii="Palatino Linotype" w:hAnsi="Palatino Linotype"/>
          <w:color w:val="000000" w:themeColor="text1"/>
        </w:rPr>
        <w:t>actualiza</w:t>
      </w:r>
      <w:r w:rsidR="00C51671" w:rsidRPr="00594F82">
        <w:rPr>
          <w:rFonts w:ascii="Palatino Linotype" w:hAnsi="Palatino Linotype"/>
          <w:color w:val="000000" w:themeColor="text1"/>
        </w:rPr>
        <w:t>n</w:t>
      </w:r>
      <w:r w:rsidR="0028248C" w:rsidRPr="00594F82">
        <w:rPr>
          <w:rFonts w:ascii="Palatino Linotype" w:hAnsi="Palatino Linotype"/>
          <w:color w:val="000000" w:themeColor="text1"/>
        </w:rPr>
        <w:t xml:space="preserve"> la</w:t>
      </w:r>
      <w:r w:rsidR="00C51671" w:rsidRPr="00594F82">
        <w:rPr>
          <w:rFonts w:ascii="Palatino Linotype" w:hAnsi="Palatino Linotype"/>
          <w:color w:val="000000" w:themeColor="text1"/>
        </w:rPr>
        <w:t>s</w:t>
      </w:r>
      <w:r w:rsidR="0028248C" w:rsidRPr="00594F82">
        <w:rPr>
          <w:rFonts w:ascii="Palatino Linotype" w:hAnsi="Palatino Linotype"/>
          <w:color w:val="000000" w:themeColor="text1"/>
        </w:rPr>
        <w:t xml:space="preserve"> causal</w:t>
      </w:r>
      <w:r w:rsidR="00C51671" w:rsidRPr="00594F82">
        <w:rPr>
          <w:rFonts w:ascii="Palatino Linotype" w:hAnsi="Palatino Linotype"/>
          <w:color w:val="000000" w:themeColor="text1"/>
        </w:rPr>
        <w:t>es</w:t>
      </w:r>
      <w:r w:rsidR="0028248C" w:rsidRPr="00594F82">
        <w:rPr>
          <w:rFonts w:ascii="Palatino Linotype" w:hAnsi="Palatino Linotype"/>
          <w:color w:val="000000" w:themeColor="text1"/>
        </w:rPr>
        <w:t xml:space="preserve"> de procedencia</w:t>
      </w:r>
      <w:r w:rsidR="00E66A80" w:rsidRPr="00594F82">
        <w:rPr>
          <w:rFonts w:ascii="Palatino Linotype" w:hAnsi="Palatino Linotype" w:cs="Arial"/>
          <w:color w:val="000000" w:themeColor="text1"/>
          <w:szCs w:val="23"/>
        </w:rPr>
        <w:t xml:space="preserve"> del recurso de revisión establecida</w:t>
      </w:r>
      <w:r w:rsidR="00C51671" w:rsidRPr="00594F82">
        <w:rPr>
          <w:rFonts w:ascii="Palatino Linotype" w:hAnsi="Palatino Linotype" w:cs="Arial"/>
          <w:color w:val="000000" w:themeColor="text1"/>
          <w:szCs w:val="23"/>
        </w:rPr>
        <w:t>s</w:t>
      </w:r>
      <w:r w:rsidR="00E66A80" w:rsidRPr="00594F82">
        <w:rPr>
          <w:rFonts w:ascii="Palatino Linotype" w:hAnsi="Palatino Linotype" w:cs="Arial"/>
          <w:color w:val="000000" w:themeColor="text1"/>
          <w:szCs w:val="23"/>
        </w:rPr>
        <w:t xml:space="preserve"> en el artículo 179 </w:t>
      </w:r>
      <w:r w:rsidR="00C51671" w:rsidRPr="00594F82">
        <w:rPr>
          <w:rFonts w:ascii="Palatino Linotype" w:hAnsi="Palatino Linotype" w:cs="Arial"/>
          <w:color w:val="000000" w:themeColor="text1"/>
          <w:szCs w:val="23"/>
        </w:rPr>
        <w:t>fracciones</w:t>
      </w:r>
      <w:r w:rsidR="00E66A80" w:rsidRPr="00594F82">
        <w:rPr>
          <w:rFonts w:ascii="Palatino Linotype" w:hAnsi="Palatino Linotype" w:cs="Arial"/>
          <w:color w:val="000000" w:themeColor="text1"/>
          <w:szCs w:val="23"/>
        </w:rPr>
        <w:t xml:space="preserve"> </w:t>
      </w:r>
      <w:r w:rsidR="006015F0" w:rsidRPr="00594F82">
        <w:rPr>
          <w:rFonts w:ascii="Palatino Linotype" w:hAnsi="Palatino Linotype" w:cs="Arial"/>
          <w:color w:val="000000" w:themeColor="text1"/>
          <w:szCs w:val="23"/>
        </w:rPr>
        <w:t>I</w:t>
      </w:r>
      <w:r w:rsidR="008E1826" w:rsidRPr="00594F82">
        <w:rPr>
          <w:rFonts w:ascii="Palatino Linotype" w:hAnsi="Palatino Linotype" w:cs="Arial"/>
          <w:color w:val="000000" w:themeColor="text1"/>
          <w:szCs w:val="23"/>
        </w:rPr>
        <w:t>I</w:t>
      </w:r>
      <w:r w:rsidR="00157A53" w:rsidRPr="00594F82">
        <w:rPr>
          <w:rFonts w:ascii="Palatino Linotype" w:hAnsi="Palatino Linotype" w:cs="Arial"/>
          <w:color w:val="000000" w:themeColor="text1"/>
          <w:szCs w:val="23"/>
        </w:rPr>
        <w:t>,</w:t>
      </w:r>
      <w:r w:rsidR="00F72B50" w:rsidRPr="00594F82">
        <w:rPr>
          <w:rFonts w:ascii="Palatino Linotype" w:hAnsi="Palatino Linotype" w:cs="Arial"/>
          <w:color w:val="000000" w:themeColor="text1"/>
          <w:szCs w:val="23"/>
        </w:rPr>
        <w:t xml:space="preserve"> </w:t>
      </w:r>
      <w:r w:rsidR="008E1826" w:rsidRPr="00594F82">
        <w:rPr>
          <w:rFonts w:ascii="Palatino Linotype" w:hAnsi="Palatino Linotype" w:cs="Arial"/>
          <w:color w:val="000000" w:themeColor="text1"/>
          <w:szCs w:val="23"/>
        </w:rPr>
        <w:t>V</w:t>
      </w:r>
      <w:r w:rsidR="00157A53" w:rsidRPr="00594F82">
        <w:rPr>
          <w:rFonts w:ascii="Palatino Linotype" w:hAnsi="Palatino Linotype" w:cs="Arial"/>
          <w:color w:val="000000" w:themeColor="text1"/>
          <w:szCs w:val="23"/>
        </w:rPr>
        <w:t xml:space="preserve"> y/o XI</w:t>
      </w:r>
      <w:r w:rsidR="00F72B50" w:rsidRPr="00594F82">
        <w:rPr>
          <w:rFonts w:ascii="Palatino Linotype" w:hAnsi="Palatino Linotype" w:cs="Arial"/>
          <w:color w:val="000000" w:themeColor="text1"/>
          <w:szCs w:val="23"/>
        </w:rPr>
        <w:t xml:space="preserve"> </w:t>
      </w:r>
      <w:r w:rsidR="00E66A80" w:rsidRPr="00594F82">
        <w:rPr>
          <w:rFonts w:ascii="Palatino Linotype" w:hAnsi="Palatino Linotype" w:cs="Arial"/>
          <w:color w:val="000000" w:themeColor="text1"/>
          <w:szCs w:val="23"/>
        </w:rPr>
        <w:t xml:space="preserve">de la Ley de Transparencia y Acceso a la Información Pública del Estado de México y Municipios, </w:t>
      </w:r>
      <w:r w:rsidR="00C51671" w:rsidRPr="00594F82">
        <w:rPr>
          <w:rFonts w:ascii="Palatino Linotype" w:hAnsi="Palatino Linotype" w:cs="Arial"/>
          <w:color w:val="000000" w:themeColor="text1"/>
          <w:szCs w:val="23"/>
        </w:rPr>
        <w:t xml:space="preserve">y </w:t>
      </w:r>
      <w:r w:rsidR="00E66A80" w:rsidRPr="00594F82">
        <w:rPr>
          <w:rFonts w:ascii="Palatino Linotype" w:hAnsi="Palatino Linotype" w:cs="Arial"/>
          <w:color w:val="000000" w:themeColor="text1"/>
          <w:szCs w:val="23"/>
        </w:rPr>
        <w:t>que se transcribe</w:t>
      </w:r>
      <w:r w:rsidR="00C51671" w:rsidRPr="00594F82">
        <w:rPr>
          <w:rFonts w:ascii="Palatino Linotype" w:hAnsi="Palatino Linotype" w:cs="Arial"/>
          <w:color w:val="000000" w:themeColor="text1"/>
          <w:szCs w:val="23"/>
        </w:rPr>
        <w:t>n</w:t>
      </w:r>
      <w:r w:rsidR="00E66A80" w:rsidRPr="00594F82">
        <w:rPr>
          <w:rFonts w:ascii="Palatino Linotype" w:hAnsi="Palatino Linotype" w:cs="Arial"/>
          <w:color w:val="000000" w:themeColor="text1"/>
          <w:szCs w:val="23"/>
        </w:rPr>
        <w:t xml:space="preserve"> a continuación:</w:t>
      </w:r>
    </w:p>
    <w:p w14:paraId="5D251E5B" w14:textId="77777777" w:rsidR="002630E4" w:rsidRPr="00594F82"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94F82" w:rsidRDefault="00E66A80" w:rsidP="00B31E90">
      <w:pPr>
        <w:pStyle w:val="Sinespaciado"/>
        <w:tabs>
          <w:tab w:val="left" w:pos="426"/>
        </w:tabs>
        <w:ind w:left="851" w:right="567"/>
        <w:jc w:val="both"/>
        <w:rPr>
          <w:rFonts w:ascii="Palatino Linotype" w:hAnsi="Palatino Linotype"/>
          <w:i/>
          <w:color w:val="000000" w:themeColor="text1"/>
          <w:sz w:val="22"/>
        </w:rPr>
      </w:pPr>
      <w:r w:rsidRPr="00594F82">
        <w:rPr>
          <w:rFonts w:ascii="Palatino Linotype" w:hAnsi="Palatino Linotype"/>
          <w:i/>
          <w:color w:val="000000" w:themeColor="text1"/>
          <w:sz w:val="22"/>
        </w:rPr>
        <w:t>“</w:t>
      </w:r>
      <w:r w:rsidRPr="00594F82">
        <w:rPr>
          <w:rFonts w:ascii="Palatino Linotype" w:hAnsi="Palatino Linotype"/>
          <w:b/>
          <w:i/>
          <w:color w:val="000000" w:themeColor="text1"/>
          <w:sz w:val="22"/>
        </w:rPr>
        <w:t>Artículo 179.</w:t>
      </w:r>
      <w:r w:rsidRPr="00594F82">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FA844DD" w14:textId="40DAC404" w:rsidR="004107D7" w:rsidRPr="00594F82" w:rsidRDefault="004107D7" w:rsidP="004107D7">
      <w:pPr>
        <w:pStyle w:val="Sinespaciado"/>
        <w:tabs>
          <w:tab w:val="left" w:pos="426"/>
        </w:tabs>
        <w:ind w:left="851" w:right="567"/>
        <w:jc w:val="both"/>
        <w:rPr>
          <w:rFonts w:ascii="Palatino Linotype" w:hAnsi="Palatino Linotype"/>
          <w:i/>
          <w:color w:val="000000" w:themeColor="text1"/>
          <w:sz w:val="22"/>
        </w:rPr>
      </w:pPr>
      <w:r w:rsidRPr="00594F82">
        <w:rPr>
          <w:rFonts w:ascii="Palatino Linotype" w:hAnsi="Palatino Linotype"/>
          <w:i/>
          <w:color w:val="000000" w:themeColor="text1"/>
          <w:sz w:val="22"/>
        </w:rPr>
        <w:t>(…)</w:t>
      </w:r>
    </w:p>
    <w:p w14:paraId="239EAF76" w14:textId="561DD51E" w:rsidR="00D268CC" w:rsidRPr="00594F82" w:rsidRDefault="00D268CC" w:rsidP="004170BE">
      <w:pPr>
        <w:pStyle w:val="Sinespaciado"/>
        <w:tabs>
          <w:tab w:val="left" w:pos="426"/>
        </w:tabs>
        <w:ind w:left="851" w:right="567"/>
        <w:jc w:val="both"/>
        <w:rPr>
          <w:rFonts w:ascii="Palatino Linotype" w:hAnsi="Palatino Linotype"/>
          <w:b/>
          <w:i/>
          <w:color w:val="000000" w:themeColor="text1"/>
          <w:sz w:val="22"/>
        </w:rPr>
      </w:pPr>
      <w:r w:rsidRPr="00594F82">
        <w:rPr>
          <w:rFonts w:ascii="Palatino Linotype" w:hAnsi="Palatino Linotype"/>
          <w:b/>
          <w:i/>
          <w:color w:val="000000" w:themeColor="text1"/>
          <w:sz w:val="22"/>
        </w:rPr>
        <w:t xml:space="preserve">IV. </w:t>
      </w:r>
      <w:r w:rsidRPr="00594F82">
        <w:rPr>
          <w:rFonts w:ascii="Palatino Linotype" w:hAnsi="Palatino Linotype"/>
          <w:i/>
          <w:color w:val="000000" w:themeColor="text1"/>
          <w:sz w:val="22"/>
        </w:rPr>
        <w:t>La declaración de incompetencia por el sujeto obligado;</w:t>
      </w:r>
    </w:p>
    <w:p w14:paraId="66C550A8" w14:textId="77777777" w:rsidR="008E1826" w:rsidRPr="00594F82" w:rsidRDefault="008E1826" w:rsidP="004170BE">
      <w:pPr>
        <w:pStyle w:val="Sinespaciado"/>
        <w:tabs>
          <w:tab w:val="left" w:pos="426"/>
        </w:tabs>
        <w:ind w:left="851" w:right="567"/>
        <w:jc w:val="both"/>
        <w:rPr>
          <w:rFonts w:ascii="Palatino Linotype" w:hAnsi="Palatino Linotype"/>
          <w:i/>
          <w:color w:val="000000" w:themeColor="text1"/>
          <w:sz w:val="22"/>
        </w:rPr>
      </w:pPr>
      <w:r w:rsidRPr="00594F82">
        <w:rPr>
          <w:rFonts w:ascii="Palatino Linotype" w:hAnsi="Palatino Linotype"/>
          <w:b/>
          <w:i/>
          <w:color w:val="000000" w:themeColor="text1"/>
          <w:sz w:val="22"/>
        </w:rPr>
        <w:t>V.</w:t>
      </w:r>
      <w:r w:rsidRPr="00594F82">
        <w:rPr>
          <w:rFonts w:ascii="Palatino Linotype" w:hAnsi="Palatino Linotype"/>
          <w:i/>
          <w:color w:val="000000" w:themeColor="text1"/>
          <w:sz w:val="22"/>
        </w:rPr>
        <w:t xml:space="preserve"> La entrega de información incompleta; </w:t>
      </w:r>
    </w:p>
    <w:p w14:paraId="32FCB86B" w14:textId="77777777" w:rsidR="00157A53" w:rsidRPr="00594F82" w:rsidRDefault="002D7AE2" w:rsidP="004170BE">
      <w:pPr>
        <w:pStyle w:val="Sinespaciado"/>
        <w:tabs>
          <w:tab w:val="left" w:pos="426"/>
        </w:tabs>
        <w:ind w:left="851" w:right="567"/>
        <w:jc w:val="both"/>
        <w:rPr>
          <w:rFonts w:ascii="Palatino Linotype" w:hAnsi="Palatino Linotype"/>
          <w:bCs/>
          <w:i/>
          <w:color w:val="000000" w:themeColor="text1"/>
          <w:sz w:val="22"/>
        </w:rPr>
      </w:pPr>
      <w:r w:rsidRPr="00594F82">
        <w:rPr>
          <w:rFonts w:ascii="Palatino Linotype" w:hAnsi="Palatino Linotype"/>
          <w:bCs/>
          <w:i/>
          <w:color w:val="000000" w:themeColor="text1"/>
          <w:sz w:val="22"/>
        </w:rPr>
        <w:t>(...)</w:t>
      </w:r>
    </w:p>
    <w:p w14:paraId="23681EED" w14:textId="21ADE638" w:rsidR="00157A53" w:rsidRPr="00594F82" w:rsidRDefault="00157A53" w:rsidP="004170BE">
      <w:pPr>
        <w:pStyle w:val="Sinespaciado"/>
        <w:tabs>
          <w:tab w:val="left" w:pos="426"/>
        </w:tabs>
        <w:ind w:left="851" w:right="567"/>
        <w:jc w:val="both"/>
        <w:rPr>
          <w:rFonts w:ascii="Palatino Linotype" w:hAnsi="Palatino Linotype"/>
          <w:bCs/>
          <w:i/>
          <w:color w:val="000000" w:themeColor="text1"/>
          <w:sz w:val="22"/>
        </w:rPr>
      </w:pPr>
      <w:r w:rsidRPr="00594F82">
        <w:rPr>
          <w:rFonts w:ascii="Palatino Linotype" w:hAnsi="Palatino Linotype"/>
          <w:b/>
          <w:bCs/>
          <w:i/>
          <w:color w:val="000000" w:themeColor="text1"/>
          <w:sz w:val="22"/>
        </w:rPr>
        <w:t>XI.</w:t>
      </w:r>
      <w:r w:rsidRPr="00594F82">
        <w:rPr>
          <w:rFonts w:ascii="Palatino Linotype" w:hAnsi="Palatino Linotype"/>
          <w:bCs/>
          <w:i/>
          <w:color w:val="000000" w:themeColor="text1"/>
          <w:sz w:val="22"/>
        </w:rPr>
        <w:t xml:space="preserve"> La falta de trámite a una solicitud;</w:t>
      </w:r>
    </w:p>
    <w:p w14:paraId="4FCA9B3F" w14:textId="65BB2C65" w:rsidR="00515DEC" w:rsidRPr="00594F82" w:rsidRDefault="00157A53" w:rsidP="004170BE">
      <w:pPr>
        <w:pStyle w:val="Sinespaciado"/>
        <w:tabs>
          <w:tab w:val="left" w:pos="426"/>
        </w:tabs>
        <w:ind w:left="851" w:right="567"/>
        <w:jc w:val="both"/>
        <w:rPr>
          <w:rFonts w:ascii="Palatino Linotype" w:hAnsi="Palatino Linotype"/>
          <w:bCs/>
          <w:i/>
          <w:color w:val="000000" w:themeColor="text1"/>
          <w:sz w:val="22"/>
        </w:rPr>
      </w:pPr>
      <w:r w:rsidRPr="00594F82">
        <w:rPr>
          <w:rFonts w:ascii="Palatino Linotype" w:hAnsi="Palatino Linotype"/>
          <w:bCs/>
          <w:i/>
          <w:color w:val="000000" w:themeColor="text1"/>
          <w:sz w:val="22"/>
        </w:rPr>
        <w:t>(…)</w:t>
      </w:r>
      <w:r w:rsidR="007D7B65" w:rsidRPr="00594F82">
        <w:rPr>
          <w:rFonts w:ascii="Palatino Linotype" w:hAnsi="Palatino Linotype"/>
          <w:bCs/>
          <w:i/>
          <w:color w:val="000000" w:themeColor="text1"/>
          <w:sz w:val="22"/>
        </w:rPr>
        <w:t>”</w:t>
      </w:r>
    </w:p>
    <w:p w14:paraId="3D6F08B5" w14:textId="77777777" w:rsidR="00D268CC" w:rsidRPr="00594F82" w:rsidRDefault="00D268CC" w:rsidP="0021056F">
      <w:pPr>
        <w:rPr>
          <w:lang w:eastAsia="en-US"/>
        </w:rPr>
      </w:pPr>
    </w:p>
    <w:p w14:paraId="5CEC2F48" w14:textId="072A0162" w:rsidR="00EF014A" w:rsidRPr="00594F82" w:rsidRDefault="00094B41" w:rsidP="00F96156">
      <w:pPr>
        <w:pStyle w:val="Ttulo2"/>
        <w:tabs>
          <w:tab w:val="left" w:pos="426"/>
        </w:tabs>
        <w:rPr>
          <w:rFonts w:ascii="Palatino Linotype" w:hAnsi="Palatino Linotype" w:cs="Arial"/>
          <w:b/>
          <w:color w:val="000000" w:themeColor="text1"/>
          <w:sz w:val="24"/>
        </w:rPr>
      </w:pPr>
      <w:bookmarkStart w:id="20" w:name="_Toc88071781"/>
      <w:r w:rsidRPr="00594F82">
        <w:rPr>
          <w:rFonts w:ascii="Palatino Linotype" w:hAnsi="Palatino Linotype" w:cs="Arial"/>
          <w:b/>
          <w:color w:val="000000" w:themeColor="text1"/>
          <w:sz w:val="24"/>
        </w:rPr>
        <w:lastRenderedPageBreak/>
        <w:t>CUARTO</w:t>
      </w:r>
      <w:r w:rsidR="00EF014A" w:rsidRPr="00594F82">
        <w:rPr>
          <w:rFonts w:ascii="Palatino Linotype" w:hAnsi="Palatino Linotype" w:cs="Arial"/>
          <w:b/>
          <w:color w:val="000000" w:themeColor="text1"/>
          <w:sz w:val="24"/>
        </w:rPr>
        <w:t>. Estudio y Resolución del asunto.</w:t>
      </w:r>
      <w:bookmarkEnd w:id="20"/>
    </w:p>
    <w:p w14:paraId="6E979250" w14:textId="2A34D6B5" w:rsidR="00A55D2B" w:rsidRPr="00594F8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594F82"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594F82">
        <w:rPr>
          <w:rFonts w:ascii="Palatino Linotype" w:hAnsi="Palatino Linotype"/>
          <w:b/>
          <w:color w:val="000000" w:themeColor="text1"/>
        </w:rPr>
        <w:t xml:space="preserve">I. </w:t>
      </w:r>
      <w:r w:rsidR="008C33F9" w:rsidRPr="00594F82">
        <w:rPr>
          <w:rFonts w:ascii="Palatino Linotype" w:hAnsi="Palatino Linotype"/>
          <w:b/>
          <w:color w:val="000000" w:themeColor="text1"/>
        </w:rPr>
        <w:t>Del deber de las autoridades de promover, respetar, proteger y garantizar el derecho de acceso a la información pública</w:t>
      </w:r>
      <w:r w:rsidR="00167813" w:rsidRPr="00594F82">
        <w:rPr>
          <w:rFonts w:ascii="Palatino Linotype" w:hAnsi="Palatino Linotype"/>
          <w:b/>
          <w:color w:val="000000" w:themeColor="text1"/>
        </w:rPr>
        <w:t>.</w:t>
      </w:r>
      <w:bookmarkEnd w:id="23"/>
    </w:p>
    <w:p w14:paraId="126843DA" w14:textId="77777777" w:rsidR="008C33F9" w:rsidRPr="00594F82"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248AECC" w:rsidR="008C33F9" w:rsidRPr="00594F82"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lang w:val="es-ES"/>
        </w:rPr>
        <w:t xml:space="preserve">Es elemental </w:t>
      </w:r>
      <w:r w:rsidRPr="00594F82">
        <w:rPr>
          <w:rFonts w:ascii="Palatino Linotype" w:hAnsi="Palatino Linotype"/>
        </w:rPr>
        <w:t>precisar</w:t>
      </w:r>
      <w:r w:rsidRPr="00594F82">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94F82">
        <w:rPr>
          <w:rFonts w:ascii="Palatino Linotype" w:hAnsi="Palatino Linotype"/>
          <w:b/>
          <w:bCs/>
        </w:rPr>
        <w:t>SUJETO OBLIGADO</w:t>
      </w:r>
      <w:r w:rsidRPr="00594F82">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94F82">
        <w:rPr>
          <w:rFonts w:ascii="Palatino Linotype" w:hAnsi="Palatino Linotype"/>
          <w:b/>
          <w:bCs/>
        </w:rPr>
        <w:t xml:space="preserve">Constitución Política de los Estados Unidos Mexicanos </w:t>
      </w:r>
      <w:r w:rsidRPr="00594F82">
        <w:rPr>
          <w:rFonts w:ascii="Palatino Linotype" w:hAnsi="Palatino Linotype"/>
          <w:bCs/>
        </w:rPr>
        <w:t xml:space="preserve">al señalar la obligación de “promover, </w:t>
      </w:r>
      <w:r w:rsidRPr="00594F82">
        <w:rPr>
          <w:rFonts w:ascii="Palatino Linotype" w:hAnsi="Palatino Linotype"/>
          <w:b/>
          <w:bCs/>
        </w:rPr>
        <w:t>respetar</w:t>
      </w:r>
      <w:r w:rsidRPr="00594F82">
        <w:rPr>
          <w:rFonts w:ascii="Palatino Linotype" w:hAnsi="Palatino Linotype"/>
          <w:bCs/>
        </w:rPr>
        <w:t xml:space="preserve">, proteger y </w:t>
      </w:r>
      <w:r w:rsidRPr="00594F82">
        <w:rPr>
          <w:rFonts w:ascii="Palatino Linotype" w:hAnsi="Palatino Linotype"/>
          <w:b/>
          <w:bCs/>
        </w:rPr>
        <w:t>garantizar</w:t>
      </w:r>
      <w:r w:rsidRPr="00594F82">
        <w:rPr>
          <w:rFonts w:ascii="Palatino Linotype" w:hAnsi="Palatino Linotype"/>
          <w:bCs/>
        </w:rPr>
        <w:t xml:space="preserve"> los derechos humanos”, entre los </w:t>
      </w:r>
      <w:r w:rsidR="00041541" w:rsidRPr="00594F82">
        <w:rPr>
          <w:rFonts w:ascii="Palatino Linotype" w:hAnsi="Palatino Linotype"/>
          <w:bCs/>
        </w:rPr>
        <w:t>que</w:t>
      </w:r>
      <w:r w:rsidRPr="00594F82">
        <w:rPr>
          <w:rFonts w:ascii="Palatino Linotype" w:hAnsi="Palatino Linotype"/>
          <w:bCs/>
        </w:rPr>
        <w:t xml:space="preserve"> se encuentra dicho derecho.</w:t>
      </w:r>
    </w:p>
    <w:p w14:paraId="1F31B48B" w14:textId="77777777" w:rsidR="008C33F9" w:rsidRPr="00594F82"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594F82"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lang w:val="es-ES"/>
        </w:rPr>
        <w:t xml:space="preserve">Por </w:t>
      </w:r>
      <w:r w:rsidRPr="00594F82">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594F82"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594F82"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lang w:val="es-ES"/>
        </w:rPr>
        <w:lastRenderedPageBreak/>
        <w:t xml:space="preserve">Así las cosas, </w:t>
      </w:r>
      <w:r w:rsidRPr="00594F82">
        <w:rPr>
          <w:rFonts w:ascii="Palatino Linotype" w:hAnsi="Palatino Linotype"/>
          <w:color w:val="000000" w:themeColor="text1"/>
        </w:rPr>
        <w:t xml:space="preserve">podemos definir el Derecho de Acceso a la Información Pública como: </w:t>
      </w:r>
      <w:r w:rsidRPr="00594F82">
        <w:rPr>
          <w:rFonts w:ascii="Palatino Linotype" w:hAnsi="Palatino Linotype"/>
          <w:i/>
          <w:color w:val="000000" w:themeColor="text1"/>
        </w:rPr>
        <w:t>La igualdad de oportunidades para recibir, buscar e impartir información</w:t>
      </w:r>
      <w:r w:rsidRPr="00594F82">
        <w:rPr>
          <w:rFonts w:ascii="Palatino Linotype" w:hAnsi="Palatino Linotype"/>
          <w:i/>
          <w:color w:val="000000" w:themeColor="text1"/>
          <w:vertAlign w:val="superscript"/>
        </w:rPr>
        <w:footnoteReference w:id="5"/>
      </w:r>
      <w:r w:rsidRPr="00594F82">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4F82">
        <w:rPr>
          <w:rFonts w:ascii="Palatino Linotype" w:hAnsi="Palatino Linotype"/>
          <w:i/>
          <w:color w:val="000000" w:themeColor="text1"/>
          <w:vertAlign w:val="superscript"/>
        </w:rPr>
        <w:footnoteReference w:id="6"/>
      </w:r>
      <w:r w:rsidRPr="00594F82">
        <w:rPr>
          <w:rFonts w:ascii="Palatino Linotype" w:hAnsi="Palatino Linotype"/>
          <w:color w:val="000000" w:themeColor="text1"/>
        </w:rPr>
        <w:t>que se constituye como una herramienta fundamental para ejercer</w:t>
      </w:r>
      <w:r w:rsidRPr="00594F82">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94F82">
        <w:rPr>
          <w:rFonts w:ascii="Palatino Linotype" w:hAnsi="Palatino Linotype"/>
          <w:i/>
          <w:color w:val="000000" w:themeColor="text1"/>
          <w:vertAlign w:val="superscript"/>
        </w:rPr>
        <w:footnoteReference w:id="7"/>
      </w:r>
      <w:r w:rsidRPr="00594F82">
        <w:rPr>
          <w:rFonts w:ascii="Palatino Linotype" w:hAnsi="Palatino Linotype"/>
          <w:i/>
          <w:color w:val="000000" w:themeColor="text1"/>
        </w:rPr>
        <w:t xml:space="preserve"> </w:t>
      </w:r>
      <w:r w:rsidRPr="00594F82">
        <w:rPr>
          <w:rFonts w:ascii="Palatino Linotype" w:hAnsi="Palatino Linotype"/>
          <w:color w:val="000000" w:themeColor="text1"/>
        </w:rPr>
        <w:t>fomentando</w:t>
      </w:r>
      <w:r w:rsidRPr="00594F82">
        <w:rPr>
          <w:rFonts w:ascii="Palatino Linotype" w:hAnsi="Palatino Linotype"/>
          <w:i/>
          <w:color w:val="000000" w:themeColor="text1"/>
        </w:rPr>
        <w:t xml:space="preserve"> la transparencia de las actividades estatales y </w:t>
      </w:r>
      <w:r w:rsidRPr="00594F82">
        <w:rPr>
          <w:rFonts w:ascii="Palatino Linotype" w:hAnsi="Palatino Linotype"/>
          <w:color w:val="000000" w:themeColor="text1"/>
        </w:rPr>
        <w:t>promoviendo</w:t>
      </w:r>
      <w:r w:rsidRPr="00594F82">
        <w:rPr>
          <w:rFonts w:ascii="Palatino Linotype" w:hAnsi="Palatino Linotype"/>
          <w:i/>
          <w:color w:val="000000" w:themeColor="text1"/>
        </w:rPr>
        <w:t xml:space="preserve"> la responsabilidad de los funcionarios sobre su gestión pública,</w:t>
      </w:r>
      <w:r w:rsidRPr="00594F82">
        <w:rPr>
          <w:rFonts w:ascii="Palatino Linotype" w:hAnsi="Palatino Linotype"/>
          <w:i/>
          <w:color w:val="000000" w:themeColor="text1"/>
          <w:vertAlign w:val="superscript"/>
        </w:rPr>
        <w:footnoteReference w:id="8"/>
      </w:r>
      <w:r w:rsidRPr="00594F82">
        <w:rPr>
          <w:rFonts w:ascii="Palatino Linotype" w:hAnsi="Palatino Linotype"/>
          <w:color w:val="000000" w:themeColor="text1"/>
        </w:rPr>
        <w:t>que permite</w:t>
      </w:r>
      <w:r w:rsidRPr="00594F82">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594F82"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323D83D9" w:rsidR="008C33F9" w:rsidRPr="00594F82"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lang w:val="es-ES"/>
        </w:rPr>
        <w:t xml:space="preserve">Por </w:t>
      </w:r>
      <w:r w:rsidRPr="00594F82">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594F82">
        <w:rPr>
          <w:rFonts w:ascii="Palatino Linotype" w:hAnsi="Palatino Linotype"/>
          <w:color w:val="000000" w:themeColor="text1"/>
        </w:rPr>
        <w:t>,</w:t>
      </w:r>
      <w:r w:rsidRPr="00594F82">
        <w:rPr>
          <w:rFonts w:ascii="Palatino Linotype" w:hAnsi="Palatino Linotype"/>
          <w:color w:val="000000" w:themeColor="text1"/>
        </w:rPr>
        <w:t xml:space="preserve"> establece que </w:t>
      </w:r>
      <w:r w:rsidRPr="00594F82">
        <w:rPr>
          <w:rFonts w:ascii="Palatino Linotype" w:hAnsi="Palatino Linotype"/>
          <w:b/>
          <w:color w:val="000000" w:themeColor="text1"/>
        </w:rPr>
        <w:t xml:space="preserve">el recurso de revisión es la garantía secundaria </w:t>
      </w:r>
      <w:r w:rsidR="00041541" w:rsidRPr="00594F82">
        <w:rPr>
          <w:rFonts w:ascii="Palatino Linotype" w:hAnsi="Palatino Linotype"/>
          <w:b/>
          <w:color w:val="000000" w:themeColor="text1"/>
        </w:rPr>
        <w:t>en la que</w:t>
      </w:r>
      <w:r w:rsidRPr="00594F82">
        <w:rPr>
          <w:rFonts w:ascii="Palatino Linotype" w:hAnsi="Palatino Linotype"/>
          <w:b/>
          <w:color w:val="000000" w:themeColor="text1"/>
        </w:rPr>
        <w:t xml:space="preserve"> se pretende reparar cualquier posible afectación al derecho de acceso a la información pública</w:t>
      </w:r>
      <w:r w:rsidRPr="00594F82">
        <w:rPr>
          <w:rFonts w:ascii="Palatino Linotype" w:hAnsi="Palatino Linotype"/>
          <w:color w:val="000000" w:themeColor="text1"/>
        </w:rPr>
        <w:t xml:space="preserve">, siendo éste el medio a través del </w:t>
      </w:r>
      <w:r w:rsidR="00041541" w:rsidRPr="00594F82">
        <w:rPr>
          <w:rFonts w:ascii="Palatino Linotype" w:hAnsi="Palatino Linotype"/>
          <w:color w:val="000000" w:themeColor="text1"/>
        </w:rPr>
        <w:t>que</w:t>
      </w:r>
      <w:r w:rsidRPr="00594F82">
        <w:rPr>
          <w:rFonts w:ascii="Palatino Linotype" w:hAnsi="Palatino Linotype"/>
          <w:color w:val="000000" w:themeColor="text1"/>
        </w:rPr>
        <w:t xml:space="preserve"> este Órgano Garante</w:t>
      </w:r>
      <w:r w:rsidR="00041541" w:rsidRPr="00594F82">
        <w:rPr>
          <w:rFonts w:ascii="Palatino Linotype" w:hAnsi="Palatino Linotype"/>
          <w:color w:val="000000" w:themeColor="text1"/>
        </w:rPr>
        <w:t>,</w:t>
      </w:r>
      <w:r w:rsidRPr="00594F82">
        <w:rPr>
          <w:rFonts w:ascii="Palatino Linotype" w:hAnsi="Palatino Linotype"/>
          <w:color w:val="000000" w:themeColor="text1"/>
        </w:rPr>
        <w:t xml:space="preserve"> después de realizar el análisis al procedimiento de acceso a la información, podrá </w:t>
      </w:r>
      <w:r w:rsidRPr="00594F82">
        <w:rPr>
          <w:rFonts w:ascii="Palatino Linotype" w:hAnsi="Palatino Linotype"/>
          <w:color w:val="000000" w:themeColor="text1"/>
        </w:rPr>
        <w:lastRenderedPageBreak/>
        <w:t>determinar la posible afectación y, de ser el caso, ordenar la reparación a la violación del derecho en cuestión.</w:t>
      </w:r>
    </w:p>
    <w:p w14:paraId="1973F5A9" w14:textId="77777777" w:rsidR="000A44DE" w:rsidRPr="00594F82"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594F82"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94F82">
        <w:rPr>
          <w:rFonts w:ascii="Palatino Linotype" w:hAnsi="Palatino Linotype"/>
          <w:b/>
          <w:color w:val="000000" w:themeColor="text1"/>
        </w:rPr>
        <w:t xml:space="preserve">II. De </w:t>
      </w:r>
      <w:r w:rsidR="001019F7" w:rsidRPr="00594F82">
        <w:rPr>
          <w:rFonts w:ascii="Palatino Linotype" w:hAnsi="Palatino Linotype"/>
          <w:b/>
          <w:color w:val="000000" w:themeColor="text1"/>
        </w:rPr>
        <w:t>la atención a la solicitud de información</w:t>
      </w:r>
      <w:r w:rsidRPr="00594F82">
        <w:rPr>
          <w:rFonts w:ascii="Palatino Linotype" w:hAnsi="Palatino Linotype"/>
          <w:b/>
          <w:color w:val="000000" w:themeColor="text1"/>
        </w:rPr>
        <w:t>.</w:t>
      </w:r>
    </w:p>
    <w:p w14:paraId="419307A3" w14:textId="77777777" w:rsidR="000A44DE" w:rsidRPr="00594F82"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594F82"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rPr>
        <w:t>La</w:t>
      </w:r>
      <w:r w:rsidR="004B20FF" w:rsidRPr="00594F82">
        <w:rPr>
          <w:rFonts w:ascii="Palatino Linotype" w:hAnsi="Palatino Linotype"/>
        </w:rPr>
        <w:t xml:space="preserve"> Ley de Transparencia y Acceso a la Información Pública del Estado de México y Municipios, en su artículo 150, establece que </w:t>
      </w:r>
      <w:r w:rsidR="004B20FF" w:rsidRPr="00594F82">
        <w:rPr>
          <w:rFonts w:ascii="Palatino Linotype" w:hAnsi="Palatino Linotype"/>
          <w:b/>
        </w:rPr>
        <w:t>el procedimiento de acceso a la información es la garantía primaria del derecho en cuestión y se rige por los principios de</w:t>
      </w:r>
      <w:r w:rsidR="004B20FF" w:rsidRPr="00594F82">
        <w:rPr>
          <w:rFonts w:ascii="Palatino Linotype" w:hAnsi="Palatino Linotype"/>
        </w:rPr>
        <w:t xml:space="preserve"> simplicidad, rapidez gratuidad del procedimiento, </w:t>
      </w:r>
      <w:r w:rsidR="004B20FF" w:rsidRPr="00594F82">
        <w:rPr>
          <w:rFonts w:ascii="Palatino Linotype" w:hAnsi="Palatino Linotype"/>
          <w:b/>
        </w:rPr>
        <w:t>auxilio y orientación a los particulares</w:t>
      </w:r>
      <w:r w:rsidR="004B20FF" w:rsidRPr="00594F82">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594F82"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6E8E6F75" w:rsidR="004B20FF" w:rsidRPr="00594F82"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Para atender las solicitudes de información, los Sujetos Obligados contarán con un área denominada </w:t>
      </w:r>
      <w:r w:rsidRPr="00594F82">
        <w:rPr>
          <w:rFonts w:ascii="Palatino Linotype" w:hAnsi="Palatino Linotype"/>
          <w:b/>
          <w:bCs/>
          <w:color w:val="000000" w:themeColor="text1"/>
        </w:rPr>
        <w:t>Unidad de Transparencia</w:t>
      </w:r>
      <w:r w:rsidRPr="00594F82">
        <w:rPr>
          <w:rFonts w:ascii="Palatino Linotype" w:hAnsi="Palatino Linotype"/>
          <w:color w:val="000000" w:themeColor="text1"/>
          <w:vertAlign w:val="superscript"/>
        </w:rPr>
        <w:footnoteReference w:id="9"/>
      </w:r>
      <w:r w:rsidRPr="00594F82">
        <w:rPr>
          <w:rFonts w:ascii="Palatino Linotype" w:hAnsi="Palatino Linotype"/>
          <w:color w:val="000000" w:themeColor="text1"/>
        </w:rPr>
        <w:t xml:space="preserve">, </w:t>
      </w:r>
      <w:r w:rsidR="00682241" w:rsidRPr="00594F82">
        <w:rPr>
          <w:rFonts w:ascii="Palatino Linotype" w:hAnsi="Palatino Linotype"/>
          <w:color w:val="000000" w:themeColor="text1"/>
        </w:rPr>
        <w:t xml:space="preserve">que </w:t>
      </w:r>
      <w:r w:rsidRPr="00594F82">
        <w:rPr>
          <w:rFonts w:ascii="Palatino Linotype" w:hAnsi="Palatino Linotype"/>
          <w:color w:val="000000" w:themeColor="text1"/>
        </w:rPr>
        <w:t xml:space="preserve">será presidida por un Titular, quien fungirá como enlace entre éstos y los solicitantes. Dicha Unidad </w:t>
      </w:r>
      <w:r w:rsidRPr="00594F82">
        <w:rPr>
          <w:rFonts w:ascii="Palatino Linotype" w:hAnsi="Palatino Linotype"/>
          <w:b/>
          <w:bCs/>
          <w:color w:val="000000" w:themeColor="text1"/>
        </w:rPr>
        <w:t>será la encargada de tramitar internamente la solicitud de información</w:t>
      </w:r>
      <w:r w:rsidRPr="00594F82">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594F82">
        <w:rPr>
          <w:rFonts w:ascii="Palatino Linotype" w:hAnsi="Palatino Linotype"/>
          <w:b/>
          <w:bCs/>
          <w:color w:val="000000" w:themeColor="text1"/>
        </w:rPr>
        <w:t xml:space="preserve">gestionar la atención a las solicitudes de información </w:t>
      </w:r>
      <w:r w:rsidRPr="00594F82">
        <w:rPr>
          <w:rFonts w:ascii="Palatino Linotype" w:hAnsi="Palatino Linotype"/>
          <w:color w:val="000000" w:themeColor="text1"/>
        </w:rPr>
        <w:t>en los términos de la Ley General y la Ley de Transparencia y Acceso a la Información Pública del Estado de México y Municipios</w:t>
      </w:r>
      <w:r w:rsidRPr="00594F82">
        <w:rPr>
          <w:rFonts w:ascii="Palatino Linotype" w:hAnsi="Palatino Linotype"/>
          <w:color w:val="000000" w:themeColor="text1"/>
          <w:vertAlign w:val="superscript"/>
        </w:rPr>
        <w:footnoteReference w:id="10"/>
      </w:r>
      <w:r w:rsidRPr="00594F82">
        <w:rPr>
          <w:rFonts w:ascii="Palatino Linotype" w:hAnsi="Palatino Linotype"/>
          <w:color w:val="000000" w:themeColor="text1"/>
        </w:rPr>
        <w:t>.</w:t>
      </w:r>
    </w:p>
    <w:p w14:paraId="50C37EAB" w14:textId="77777777" w:rsidR="004B20FF" w:rsidRPr="00594F82"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594F82"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rPr>
        <w:lastRenderedPageBreak/>
        <w:t xml:space="preserve">De </w:t>
      </w:r>
      <w:r w:rsidRPr="00594F82">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594F82"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594F82">
        <w:rPr>
          <w:rFonts w:ascii="Palatino Linotype" w:eastAsia="MS Mincho" w:hAnsi="Palatino Linotype" w:cs="Times New Roman"/>
          <w:color w:val="000000"/>
        </w:rPr>
        <w:t>Recibir, tramitar y dar respuesta a las solicitudes de acceso a la información;</w:t>
      </w:r>
    </w:p>
    <w:p w14:paraId="2715552E" w14:textId="77777777" w:rsidR="004B20FF" w:rsidRPr="00594F82"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594F82">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594F82"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594F82">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594F82"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594F82">
        <w:rPr>
          <w:rFonts w:ascii="Palatino Linotype" w:eastAsia="MS Mincho" w:hAnsi="Palatino Linotype" w:cs="Times New Roman"/>
          <w:color w:val="000000"/>
        </w:rPr>
        <w:t>Efectuar las notificaciones a los solicitantes.</w:t>
      </w:r>
    </w:p>
    <w:p w14:paraId="74375237" w14:textId="77777777" w:rsidR="004B20FF" w:rsidRPr="00594F82"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594F82"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rPr>
        <w:t xml:space="preserve">Otros sujetos del proceso de atención a las solicitudes de información son los </w:t>
      </w:r>
      <w:r w:rsidRPr="00594F82">
        <w:rPr>
          <w:rFonts w:ascii="Palatino Linotype" w:hAnsi="Palatino Linotype"/>
          <w:b/>
          <w:bCs/>
        </w:rPr>
        <w:t>servidores públicos habilitados</w:t>
      </w:r>
      <w:r w:rsidRPr="00594F82">
        <w:rPr>
          <w:rFonts w:ascii="Palatino Linotype" w:hAnsi="Palatino Linotype"/>
        </w:rPr>
        <w:t xml:space="preserve">, quienes serán designados por el titular del </w:t>
      </w:r>
      <w:r w:rsidR="0010205D" w:rsidRPr="00594F82">
        <w:rPr>
          <w:rFonts w:ascii="Palatino Linotype" w:hAnsi="Palatino Linotype"/>
          <w:b/>
          <w:bCs/>
        </w:rPr>
        <w:t>SUJETO OBLIGADO</w:t>
      </w:r>
      <w:r w:rsidR="0010205D" w:rsidRPr="00594F82">
        <w:rPr>
          <w:rFonts w:ascii="Palatino Linotype" w:hAnsi="Palatino Linotype"/>
        </w:rPr>
        <w:t>,</w:t>
      </w:r>
      <w:r w:rsidRPr="00594F82">
        <w:rPr>
          <w:rFonts w:ascii="Palatino Linotype" w:hAnsi="Palatino Linotype"/>
        </w:rPr>
        <w:t xml:space="preserve"> a propuesta del responsable de la Unidad de Transparencia</w:t>
      </w:r>
      <w:r w:rsidRPr="00594F82">
        <w:rPr>
          <w:rFonts w:ascii="Palatino Linotype" w:hAnsi="Palatino Linotype"/>
          <w:vertAlign w:val="superscript"/>
        </w:rPr>
        <w:footnoteReference w:id="11"/>
      </w:r>
      <w:r w:rsidRPr="00594F82">
        <w:rPr>
          <w:rFonts w:ascii="Palatino Linotype" w:hAnsi="Palatino Linotype"/>
        </w:rPr>
        <w:t xml:space="preserve"> y tendrán, entre sus atribuciones, las siguientes</w:t>
      </w:r>
      <w:r w:rsidRPr="00594F82">
        <w:rPr>
          <w:rFonts w:ascii="Palatino Linotype" w:hAnsi="Palatino Linotype"/>
          <w:vertAlign w:val="superscript"/>
        </w:rPr>
        <w:footnoteReference w:id="12"/>
      </w:r>
      <w:r w:rsidRPr="00594F82">
        <w:rPr>
          <w:rFonts w:ascii="Palatino Linotype" w:hAnsi="Palatino Linotype"/>
        </w:rPr>
        <w:t>:</w:t>
      </w:r>
    </w:p>
    <w:p w14:paraId="5BCDFDDB" w14:textId="77777777" w:rsidR="004B20FF" w:rsidRPr="00594F82"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594F82">
        <w:rPr>
          <w:rFonts w:ascii="Palatino Linotype" w:hAnsi="Palatino Linotype"/>
        </w:rPr>
        <w:t>Localizar la información que le solicite la Unidad de Transparencia; y</w:t>
      </w:r>
    </w:p>
    <w:p w14:paraId="089097A0" w14:textId="77777777" w:rsidR="004B20FF" w:rsidRPr="00594F82"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94F82">
        <w:rPr>
          <w:rFonts w:ascii="Palatino Linotype" w:hAnsi="Palatino Linotype"/>
        </w:rPr>
        <w:t>Proporcionar la información que obre en los archivos y que le sea solicitada por la Unidad de Transparencia.</w:t>
      </w:r>
    </w:p>
    <w:p w14:paraId="2E15792B" w14:textId="77777777" w:rsidR="004B20FF" w:rsidRPr="00594F82"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594F82"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rPr>
        <w:t xml:space="preserve">De tal </w:t>
      </w:r>
      <w:r w:rsidRPr="00594F82">
        <w:rPr>
          <w:rFonts w:ascii="Palatino Linotype" w:eastAsia="MS Mincho" w:hAnsi="Palatino Linotype" w:cs="Times New Roman"/>
          <w:color w:val="000000"/>
        </w:rPr>
        <w:t xml:space="preserve">manera que cada una de las áreas administrativas del </w:t>
      </w:r>
      <w:r w:rsidRPr="00594F82">
        <w:rPr>
          <w:rFonts w:ascii="Palatino Linotype" w:eastAsia="MS Mincho" w:hAnsi="Palatino Linotype" w:cs="Times New Roman"/>
          <w:b/>
          <w:bCs/>
          <w:color w:val="000000"/>
        </w:rPr>
        <w:t>SUJETO OBLIGADO</w:t>
      </w:r>
      <w:r w:rsidRPr="00594F82">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3DC86A5" w14:textId="199F9D1C" w:rsidR="00F92741" w:rsidRPr="00594F82"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rPr>
        <w:lastRenderedPageBreak/>
        <w:t>U</w:t>
      </w:r>
      <w:r w:rsidR="00F92741" w:rsidRPr="00594F82">
        <w:rPr>
          <w:rFonts w:ascii="Palatino Linotype" w:hAnsi="Palatino Linotype"/>
        </w:rPr>
        <w:t xml:space="preserve">na expuesto lo anterior, de la lectura a la solicitud de información </w:t>
      </w:r>
      <w:r w:rsidR="009E35CC" w:rsidRPr="00594F82">
        <w:rPr>
          <w:rFonts w:ascii="Palatino Linotype" w:hAnsi="Palatino Linotype"/>
          <w:b/>
        </w:rPr>
        <w:t>00686/NAUCALPA/IP/2022</w:t>
      </w:r>
      <w:r w:rsidR="00F92741" w:rsidRPr="00594F82">
        <w:rPr>
          <w:rFonts w:ascii="Palatino Linotype" w:hAnsi="Palatino Linotype"/>
        </w:rPr>
        <w:t xml:space="preserve">, y como fuera señalado en el </w:t>
      </w:r>
      <w:r w:rsidR="00F92741" w:rsidRPr="00594F82">
        <w:rPr>
          <w:rFonts w:ascii="Palatino Linotype" w:hAnsi="Palatino Linotype"/>
          <w:i/>
          <w:iCs/>
        </w:rPr>
        <w:t>Planteamiento de la Litis</w:t>
      </w:r>
      <w:r w:rsidR="00F92741" w:rsidRPr="00594F82">
        <w:rPr>
          <w:rFonts w:ascii="Palatino Linotype" w:hAnsi="Palatino Linotype"/>
        </w:rPr>
        <w:t xml:space="preserve"> de esta resolución, se advierte que el entonces </w:t>
      </w:r>
      <w:r w:rsidR="00F92741" w:rsidRPr="00594F82">
        <w:rPr>
          <w:rFonts w:ascii="Palatino Linotype" w:hAnsi="Palatino Linotype"/>
          <w:b/>
        </w:rPr>
        <w:t>SOLICITANTE</w:t>
      </w:r>
      <w:r w:rsidR="00F92741" w:rsidRPr="00594F82">
        <w:rPr>
          <w:rFonts w:ascii="Palatino Linotype" w:hAnsi="Palatino Linotype"/>
        </w:rPr>
        <w:t xml:space="preserve"> requirió acceder a la siguiente información:</w:t>
      </w:r>
    </w:p>
    <w:p w14:paraId="1575257B" w14:textId="04456717" w:rsidR="0010205D" w:rsidRPr="00594F82" w:rsidRDefault="00D268CC" w:rsidP="00D268C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594F82">
        <w:rPr>
          <w:rFonts w:ascii="Palatino Linotype" w:hAnsi="Palatino Linotype" w:cs="Arial"/>
          <w:color w:val="000000" w:themeColor="text1"/>
        </w:rPr>
        <w:t>De una construcción específica:</w:t>
      </w:r>
    </w:p>
    <w:p w14:paraId="75908F8E" w14:textId="20345473" w:rsidR="00D268CC" w:rsidRPr="00594F82" w:rsidRDefault="00D268CC" w:rsidP="00D268CC">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94F82">
        <w:rPr>
          <w:rFonts w:ascii="Palatino Linotype" w:hAnsi="Palatino Linotype" w:cs="Arial"/>
          <w:color w:val="000000" w:themeColor="text1"/>
        </w:rPr>
        <w:t>Autorización a Condominio; y</w:t>
      </w:r>
    </w:p>
    <w:p w14:paraId="1D2E9C71" w14:textId="2390310F" w:rsidR="00D268CC" w:rsidRPr="00594F82" w:rsidRDefault="00D268CC" w:rsidP="00D268CC">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94F82">
        <w:rPr>
          <w:rFonts w:ascii="Palatino Linotype" w:hAnsi="Palatino Linotype" w:cs="Arial"/>
          <w:color w:val="000000" w:themeColor="text1"/>
        </w:rPr>
        <w:t>Autorización del Cambio a Régimen de Condominio.</w:t>
      </w:r>
    </w:p>
    <w:p w14:paraId="6CF43C85" w14:textId="77777777" w:rsidR="00157A53" w:rsidRPr="00594F82" w:rsidRDefault="00157A53" w:rsidP="00157A53">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402CAF0F" w:rsidR="00EA2E5E" w:rsidRPr="00594F82" w:rsidRDefault="006652B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rPr>
        <w:t xml:space="preserve">Por su parte, </w:t>
      </w:r>
      <w:r w:rsidR="00F92741" w:rsidRPr="00594F82">
        <w:rPr>
          <w:rFonts w:ascii="Palatino Linotype" w:hAnsi="Palatino Linotype"/>
        </w:rPr>
        <w:t xml:space="preserve">en respuesta a la solicitud de información </w:t>
      </w:r>
      <w:r w:rsidR="009E35CC" w:rsidRPr="00594F82">
        <w:rPr>
          <w:rFonts w:ascii="Palatino Linotype" w:hAnsi="Palatino Linotype"/>
          <w:b/>
          <w:bCs/>
        </w:rPr>
        <w:t>00686/NAUCALPA/IP/2022</w:t>
      </w:r>
      <w:r w:rsidR="00F92741" w:rsidRPr="00594F82">
        <w:rPr>
          <w:rFonts w:ascii="Palatino Linotype" w:hAnsi="Palatino Linotype"/>
        </w:rPr>
        <w:t xml:space="preserve">, el </w:t>
      </w:r>
      <w:r w:rsidR="00F92741" w:rsidRPr="00594F82">
        <w:rPr>
          <w:rFonts w:ascii="Palatino Linotype" w:hAnsi="Palatino Linotype"/>
          <w:b/>
        </w:rPr>
        <w:t>SUJETO OBLIGADO</w:t>
      </w:r>
      <w:r w:rsidR="00F92741" w:rsidRPr="00594F82">
        <w:rPr>
          <w:rFonts w:ascii="Palatino Linotype" w:hAnsi="Palatino Linotype"/>
        </w:rPr>
        <w:t xml:space="preserve"> </w:t>
      </w:r>
      <w:r w:rsidR="008E1826" w:rsidRPr="00594F82">
        <w:rPr>
          <w:rFonts w:ascii="Palatino Linotype" w:hAnsi="Palatino Linotype"/>
        </w:rPr>
        <w:t xml:space="preserve">entregó el oficio número </w:t>
      </w:r>
      <w:r w:rsidR="00D268CC" w:rsidRPr="00594F82">
        <w:rPr>
          <w:rFonts w:ascii="Palatino Linotype" w:hAnsi="Palatino Linotype"/>
        </w:rPr>
        <w:t>DGDU/SOU/495/2022, de uno (01) de septiembre de dos mil veintidós, emitido por el Titular de la Subdirección de Operación Urbana, dirigido a la Titular de la Subdirección Jurídica</w:t>
      </w:r>
      <w:r w:rsidR="00920B5E" w:rsidRPr="00594F82">
        <w:rPr>
          <w:rFonts w:ascii="Palatino Linotype" w:hAnsi="Palatino Linotype"/>
        </w:rPr>
        <w:t>,</w:t>
      </w:r>
      <w:r w:rsidR="008E1826" w:rsidRPr="00594F82">
        <w:rPr>
          <w:rFonts w:ascii="Palatino Linotype" w:hAnsi="Palatino Linotype"/>
        </w:rPr>
        <w:t xml:space="preserve"> </w:t>
      </w:r>
      <w:r w:rsidR="00682241" w:rsidRPr="00594F82">
        <w:rPr>
          <w:rFonts w:ascii="Palatino Linotype" w:hAnsi="Palatino Linotype"/>
        </w:rPr>
        <w:t>que</w:t>
      </w:r>
      <w:r w:rsidR="008E1826" w:rsidRPr="00594F82">
        <w:rPr>
          <w:rFonts w:ascii="Palatino Linotype" w:hAnsi="Palatino Linotype"/>
        </w:rPr>
        <w:t xml:space="preserve"> manifestó lo siguiente:</w:t>
      </w:r>
    </w:p>
    <w:p w14:paraId="674C1076" w14:textId="77777777" w:rsidR="00D425C6" w:rsidRPr="00594F82"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2FFA87CC" w14:textId="5015BA4D" w:rsidR="00D268CC" w:rsidRPr="00594F82" w:rsidRDefault="00FB720D" w:rsidP="00920B5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r w:rsidR="00920B5E" w:rsidRPr="00594F82">
        <w:rPr>
          <w:rFonts w:ascii="Palatino Linotype" w:hAnsi="Palatino Linotype"/>
          <w:i/>
          <w:iCs/>
          <w:color w:val="000000" w:themeColor="text1"/>
          <w:sz w:val="22"/>
          <w:szCs w:val="22"/>
        </w:rPr>
        <w:t xml:space="preserve">(…) </w:t>
      </w:r>
      <w:r w:rsidR="00D268CC" w:rsidRPr="00594F82">
        <w:rPr>
          <w:rFonts w:ascii="Palatino Linotype" w:hAnsi="Palatino Linotype"/>
          <w:i/>
          <w:iCs/>
          <w:color w:val="000000" w:themeColor="text1"/>
          <w:sz w:val="22"/>
          <w:szCs w:val="22"/>
        </w:rPr>
        <w:t>me permito informarle que la documentación que requiere el peticionario referente a la “Autorización de cambio a Régimen en Condominio y planos arquitectónicos, que refiere se encuentran relacionados con las licencias de construcción B-34316/75, ésta fue expedida por autoridades del Gobierno del Estado, no obran en poder de esta Dirección General pues como bien lo señala fueron emitidas por el órgano de Gobierno Estatal</w:t>
      </w:r>
    </w:p>
    <w:p w14:paraId="4D339CDD" w14:textId="77777777" w:rsidR="00D268CC" w:rsidRPr="00594F82" w:rsidRDefault="00D268CC" w:rsidP="00920B5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60B23C7" w14:textId="3132A663" w:rsidR="00FB720D" w:rsidRPr="00594F82" w:rsidRDefault="00D268CC" w:rsidP="00920B5E">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94F82">
        <w:rPr>
          <w:rFonts w:ascii="Palatino Linotype" w:hAnsi="Palatino Linotype"/>
          <w:i/>
          <w:iCs/>
          <w:color w:val="000000" w:themeColor="text1"/>
          <w:sz w:val="22"/>
          <w:szCs w:val="22"/>
        </w:rPr>
        <w:t>Respecto a la licencia de construcción DLCA/0193/16, no contiene documento alguno del que solicita el peticionario; además se hace del conocimiento que el Cambio de Régimen de Propiedad a Condominio, la Evaluación Técnica de Factibilidad del Impacto Urbano, Dictamen Único de Factibilidad, son emitidos y es competencia de dependencias de Gobierno Estatal.</w:t>
      </w:r>
      <w:r w:rsidR="00AF5C58" w:rsidRPr="00594F82">
        <w:rPr>
          <w:rFonts w:ascii="Palatino Linotype" w:hAnsi="Palatino Linotype"/>
          <w:i/>
          <w:iCs/>
          <w:color w:val="000000" w:themeColor="text1"/>
          <w:sz w:val="22"/>
          <w:szCs w:val="22"/>
        </w:rPr>
        <w:t>”</w:t>
      </w:r>
      <w:r w:rsidR="008D45C3" w:rsidRPr="00594F82">
        <w:rPr>
          <w:rFonts w:ascii="Palatino Linotype" w:hAnsi="Palatino Linotype"/>
          <w:color w:val="000000" w:themeColor="text1"/>
          <w:sz w:val="22"/>
          <w:szCs w:val="22"/>
        </w:rPr>
        <w:t xml:space="preserve"> (Sic)</w:t>
      </w:r>
    </w:p>
    <w:p w14:paraId="335F64A5" w14:textId="77777777" w:rsidR="00FB720D" w:rsidRPr="00594F82"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752EE092" w:rsidR="007774E7" w:rsidRPr="00594F82" w:rsidRDefault="00F15B5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lastRenderedPageBreak/>
        <w:t>Por su parte, el</w:t>
      </w:r>
      <w:r w:rsidR="008D45C3" w:rsidRPr="00594F82">
        <w:rPr>
          <w:rFonts w:ascii="Palatino Linotype" w:eastAsia="Times New Roman" w:hAnsi="Palatino Linotype" w:cs="Arial"/>
        </w:rPr>
        <w:t xml:space="preserve"> ahora</w:t>
      </w:r>
      <w:r w:rsidR="007774E7" w:rsidRPr="00594F82">
        <w:rPr>
          <w:rFonts w:ascii="Palatino Linotype" w:eastAsia="Times New Roman" w:hAnsi="Palatino Linotype" w:cs="Arial"/>
        </w:rPr>
        <w:t xml:space="preserve"> </w:t>
      </w:r>
      <w:r w:rsidR="007774E7" w:rsidRPr="00594F82">
        <w:rPr>
          <w:rFonts w:ascii="Palatino Linotype" w:eastAsia="Times New Roman" w:hAnsi="Palatino Linotype" w:cs="Arial"/>
          <w:b/>
          <w:bCs/>
        </w:rPr>
        <w:t>RECURRENTE</w:t>
      </w:r>
      <w:r w:rsidR="007774E7" w:rsidRPr="00594F82">
        <w:rPr>
          <w:rFonts w:ascii="Palatino Linotype" w:eastAsia="Times New Roman" w:hAnsi="Palatino Linotype" w:cs="Arial"/>
        </w:rPr>
        <w:t xml:space="preserve"> presentó el recurso de revisión con número al rubro citado, en contra de la respuesta del </w:t>
      </w:r>
      <w:r w:rsidR="007774E7" w:rsidRPr="00594F82">
        <w:rPr>
          <w:rFonts w:ascii="Palatino Linotype" w:eastAsia="Times New Roman" w:hAnsi="Palatino Linotype" w:cs="Arial"/>
          <w:b/>
          <w:bCs/>
        </w:rPr>
        <w:t>SUJETO OBLIGADO</w:t>
      </w:r>
      <w:r w:rsidR="007774E7" w:rsidRPr="00594F82">
        <w:rPr>
          <w:rFonts w:ascii="Palatino Linotype" w:eastAsia="Times New Roman" w:hAnsi="Palatino Linotype" w:cs="Arial"/>
        </w:rPr>
        <w:t>, y en el que señaló por agravios lo siguiente:</w:t>
      </w:r>
    </w:p>
    <w:p w14:paraId="247569EF" w14:textId="2EBB35BF" w:rsidR="007774E7" w:rsidRPr="00594F82" w:rsidRDefault="00A911B1" w:rsidP="0056578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594F82">
        <w:rPr>
          <w:rFonts w:ascii="Palatino Linotype" w:hAnsi="Palatino Linotype" w:cs="Arial"/>
          <w:color w:val="000000" w:themeColor="text1"/>
        </w:rPr>
        <w:t xml:space="preserve">Que </w:t>
      </w:r>
      <w:r w:rsidR="005A2600" w:rsidRPr="00594F82">
        <w:rPr>
          <w:rFonts w:ascii="Palatino Linotype" w:hAnsi="Palatino Linotype" w:cs="Arial"/>
          <w:color w:val="000000" w:themeColor="text1"/>
        </w:rPr>
        <w:t xml:space="preserve">la información solicitada sí es competencia del </w:t>
      </w:r>
      <w:r w:rsidR="005A2600" w:rsidRPr="00594F82">
        <w:rPr>
          <w:rFonts w:ascii="Palatino Linotype" w:hAnsi="Palatino Linotype" w:cs="Arial"/>
          <w:b/>
          <w:color w:val="000000" w:themeColor="text1"/>
        </w:rPr>
        <w:t>SUJETO OBLIGADO</w:t>
      </w:r>
      <w:r w:rsidR="005A2600" w:rsidRPr="00594F82">
        <w:rPr>
          <w:rFonts w:ascii="Palatino Linotype" w:hAnsi="Palatino Linotype" w:cs="Arial"/>
          <w:color w:val="000000" w:themeColor="text1"/>
        </w:rPr>
        <w:t xml:space="preserve"> y que, de hecho, es generada por la Dirección de Desarrollo Urbano a través del trámite denominado “Autorización de Cambio a Régimen de Condominio”.</w:t>
      </w:r>
    </w:p>
    <w:p w14:paraId="6B38C1A6" w14:textId="77777777" w:rsidR="007774E7" w:rsidRPr="00594F82"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291CC36" w14:textId="05DE3073" w:rsidR="009C0285" w:rsidRPr="00594F82" w:rsidRDefault="009C0285"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Posteriormente, en vía de informe justificado, el </w:t>
      </w:r>
      <w:r w:rsidRPr="00594F82">
        <w:rPr>
          <w:rFonts w:ascii="Palatino Linotype" w:hAnsi="Palatino Linotype"/>
          <w:b/>
          <w:color w:val="000000" w:themeColor="text1"/>
        </w:rPr>
        <w:t>SUJETO OBLIGADO</w:t>
      </w:r>
      <w:r w:rsidRPr="00594F82">
        <w:rPr>
          <w:rFonts w:ascii="Palatino Linotype" w:hAnsi="Palatino Linotype"/>
          <w:color w:val="000000" w:themeColor="text1"/>
        </w:rPr>
        <w:t xml:space="preserve"> presentó el </w:t>
      </w:r>
      <w:r w:rsidR="005A2600" w:rsidRPr="00594F82">
        <w:rPr>
          <w:rFonts w:ascii="Palatino Linotype" w:hAnsi="Palatino Linotype"/>
          <w:color w:val="000000" w:themeColor="text1"/>
        </w:rPr>
        <w:t xml:space="preserve">Acta de la décima Novena Sesión Ordinaria del Comité de Transparencia, celebrada el siete (07) de octubre de dos mil veintidós, en cuyo punto </w:t>
      </w:r>
      <w:r w:rsidR="005A2600" w:rsidRPr="00594F82">
        <w:rPr>
          <w:rFonts w:ascii="Palatino Linotype" w:hAnsi="Palatino Linotype"/>
          <w:b/>
          <w:color w:val="000000" w:themeColor="text1"/>
        </w:rPr>
        <w:t>8</w:t>
      </w:r>
      <w:r w:rsidR="005A2600" w:rsidRPr="00594F82">
        <w:rPr>
          <w:rFonts w:ascii="Palatino Linotype" w:hAnsi="Palatino Linotype"/>
          <w:color w:val="000000" w:themeColor="text1"/>
        </w:rPr>
        <w:t xml:space="preserve"> del Orden del Día consistió en la aprobación de la manifestación de incompetencia para poseer, generar o administrar la información solicitada, señalando a la Secretaría de Desarrollo Urbano y Obra como el ente competente para contar con los documentos.</w:t>
      </w:r>
    </w:p>
    <w:p w14:paraId="57262E4D" w14:textId="77777777" w:rsidR="009C0285" w:rsidRPr="00594F82"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5A7D6B55" w14:textId="3DCB6139" w:rsidR="00073701" w:rsidRPr="00594F82" w:rsidRDefault="00CA3FB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Calibri" w:hAnsi="Palatino Linotype" w:cs="Arial"/>
        </w:rPr>
        <w:t xml:space="preserve">Así las cosas, se procederá a analizar el marco legal que recubre a la información solicitada, así como la competencia del </w:t>
      </w:r>
      <w:r w:rsidR="00CF73C6" w:rsidRPr="00594F82">
        <w:rPr>
          <w:rFonts w:ascii="Palatino Linotype" w:eastAsia="Calibri" w:hAnsi="Palatino Linotype" w:cs="Arial"/>
          <w:b/>
          <w:bCs/>
        </w:rPr>
        <w:t>SUJETO OBLIGADO</w:t>
      </w:r>
      <w:r w:rsidR="00CF73C6" w:rsidRPr="00594F82">
        <w:rPr>
          <w:rFonts w:ascii="Palatino Linotype" w:eastAsia="Calibri" w:hAnsi="Palatino Linotype" w:cs="Arial"/>
        </w:rPr>
        <w:t xml:space="preserve"> para poseerla, generarla o administrarla.</w:t>
      </w:r>
    </w:p>
    <w:p w14:paraId="0895DF21" w14:textId="77777777" w:rsidR="00073701" w:rsidRPr="00594F82"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078D7321" w:rsidR="00C5125B" w:rsidRPr="00594F82"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94F82">
        <w:rPr>
          <w:rFonts w:ascii="Palatino Linotype" w:hAnsi="Palatino Linotype"/>
          <w:b/>
          <w:bCs/>
          <w:color w:val="000000" w:themeColor="text1"/>
        </w:rPr>
        <w:t xml:space="preserve">III. </w:t>
      </w:r>
      <w:r w:rsidR="00C063C5" w:rsidRPr="00594F82">
        <w:rPr>
          <w:rFonts w:ascii="Palatino Linotype" w:hAnsi="Palatino Linotype"/>
          <w:b/>
          <w:bCs/>
          <w:color w:val="000000" w:themeColor="text1"/>
        </w:rPr>
        <w:t>De la competencia del SUJETO OBLIGADO para poseer, generar y/o administrar la información</w:t>
      </w:r>
      <w:r w:rsidRPr="00594F82">
        <w:rPr>
          <w:rFonts w:ascii="Palatino Linotype" w:hAnsi="Palatino Linotype"/>
          <w:b/>
          <w:bCs/>
          <w:color w:val="000000" w:themeColor="text1"/>
        </w:rPr>
        <w:t>.</w:t>
      </w:r>
    </w:p>
    <w:p w14:paraId="63098631" w14:textId="77777777" w:rsidR="006766B3" w:rsidRPr="00594F82"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7033F0B0" w14:textId="75DA6336" w:rsidR="00CD7E32" w:rsidRPr="00594F82" w:rsidRDefault="006E2F03" w:rsidP="00CD7E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Ahora bien, el </w:t>
      </w:r>
      <w:r w:rsidR="00CD7E32" w:rsidRPr="00594F82">
        <w:rPr>
          <w:rFonts w:ascii="Palatino Linotype" w:eastAsia="MS Mincho" w:hAnsi="Palatino Linotype" w:cs="Times New Roman"/>
          <w:color w:val="000000"/>
        </w:rPr>
        <w:t xml:space="preserve">Código Administrativo del Estado de México, en su Libro Quinto, se encarga de fijar las normas básicas e instrumentos para planear y regular el ordenamiento territorial de los asentamientos humanos y el desarrollo urbano en </w:t>
      </w:r>
      <w:r w:rsidR="00CD7E32" w:rsidRPr="00594F82">
        <w:rPr>
          <w:rFonts w:ascii="Palatino Linotype" w:eastAsia="MS Mincho" w:hAnsi="Palatino Linotype" w:cs="Times New Roman"/>
          <w:color w:val="000000"/>
        </w:rPr>
        <w:lastRenderedPageBreak/>
        <w:t>la Entidad, con pleno respeto a los derechos humanos; asimismo, asigna las atribuciones y responsabilidades del Estado y de los municipios en su aplicación</w:t>
      </w:r>
      <w:r w:rsidR="00B914D9" w:rsidRPr="00594F82">
        <w:rPr>
          <w:rStyle w:val="Refdenotaalpie"/>
          <w:rFonts w:ascii="Palatino Linotype" w:eastAsia="MS Mincho" w:hAnsi="Palatino Linotype" w:cs="Times New Roman"/>
          <w:color w:val="000000"/>
        </w:rPr>
        <w:footnoteReference w:id="13"/>
      </w:r>
      <w:r w:rsidR="00CD7E32" w:rsidRPr="00594F82">
        <w:rPr>
          <w:rFonts w:ascii="Palatino Linotype" w:eastAsia="MS Mincho" w:hAnsi="Palatino Linotype" w:cs="Times New Roman"/>
          <w:color w:val="000000"/>
        </w:rPr>
        <w:t>.</w:t>
      </w:r>
    </w:p>
    <w:p w14:paraId="2F7A11FA" w14:textId="77777777" w:rsidR="00553419" w:rsidRPr="00594F82" w:rsidRDefault="00553419" w:rsidP="00553419">
      <w:pPr>
        <w:pStyle w:val="Prrafodelista"/>
        <w:tabs>
          <w:tab w:val="left" w:pos="426"/>
        </w:tabs>
        <w:spacing w:before="240" w:after="240" w:line="360" w:lineRule="auto"/>
        <w:ind w:left="0" w:right="51"/>
        <w:jc w:val="both"/>
        <w:rPr>
          <w:rFonts w:ascii="Palatino Linotype" w:hAnsi="Palatino Linotype"/>
          <w:color w:val="000000" w:themeColor="text1"/>
        </w:rPr>
      </w:pPr>
    </w:p>
    <w:p w14:paraId="4B792949" w14:textId="2CF7089F" w:rsidR="00553419" w:rsidRPr="00594F82" w:rsidRDefault="00553419" w:rsidP="00CD7E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Dada la naturaleza de la información solicitada, conviene establecer el concepto de </w:t>
      </w:r>
      <w:r w:rsidR="005F2F1E" w:rsidRPr="00594F82">
        <w:rPr>
          <w:rFonts w:ascii="Palatino Linotype" w:eastAsia="MS Mincho" w:hAnsi="Palatino Linotype" w:cs="Times New Roman"/>
          <w:b/>
          <w:bCs/>
          <w:i/>
          <w:iCs/>
          <w:color w:val="000000"/>
        </w:rPr>
        <w:t>condominio</w:t>
      </w:r>
      <w:r w:rsidR="00C256ED" w:rsidRPr="00594F82">
        <w:rPr>
          <w:rFonts w:ascii="Palatino Linotype" w:eastAsia="MS Mincho" w:hAnsi="Palatino Linotype" w:cs="Times New Roman"/>
          <w:color w:val="000000"/>
        </w:rPr>
        <w:t xml:space="preserve">, </w:t>
      </w:r>
      <w:r w:rsidR="00682241" w:rsidRPr="00594F82">
        <w:rPr>
          <w:rFonts w:ascii="Palatino Linotype" w:eastAsia="MS Mincho" w:hAnsi="Palatino Linotype" w:cs="Times New Roman"/>
          <w:color w:val="000000"/>
        </w:rPr>
        <w:t>que en</w:t>
      </w:r>
      <w:r w:rsidR="00C256ED" w:rsidRPr="00594F82">
        <w:rPr>
          <w:rFonts w:ascii="Palatino Linotype" w:eastAsia="MS Mincho" w:hAnsi="Palatino Linotype" w:cs="Times New Roman"/>
          <w:color w:val="000000"/>
        </w:rPr>
        <w:t xml:space="preserve"> la fracción XIII del artículo</w:t>
      </w:r>
      <w:r w:rsidR="00B14050" w:rsidRPr="00594F82">
        <w:rPr>
          <w:rFonts w:ascii="Palatino Linotype" w:eastAsia="MS Mincho" w:hAnsi="Palatino Linotype" w:cs="Times New Roman"/>
          <w:color w:val="000000"/>
        </w:rPr>
        <w:t xml:space="preserve"> 5.3 del Código Administrativo de la Entidad lo identifica como la modalidad en la ejecución del desarrollo urbano que tiene por objeto estructurar u ordenar, como una unidad espacial integral, las áreas privativas y comunes, la zonificación y normas de uso y aprovechamiento del suelo, la ubicación de edificios, las obras de urbanización, las obras de infraestructura primaria en su caso; así como la imagen urbana de un predio o lote.</w:t>
      </w:r>
    </w:p>
    <w:p w14:paraId="13A58CEC" w14:textId="77777777" w:rsidR="00CD7E32" w:rsidRPr="00594F82" w:rsidRDefault="00CD7E32" w:rsidP="00CD7E32">
      <w:pPr>
        <w:pStyle w:val="Prrafodelista"/>
        <w:tabs>
          <w:tab w:val="left" w:pos="426"/>
        </w:tabs>
        <w:spacing w:before="240" w:after="240" w:line="360" w:lineRule="auto"/>
        <w:ind w:left="0" w:right="51"/>
        <w:jc w:val="both"/>
        <w:rPr>
          <w:rFonts w:ascii="Palatino Linotype" w:hAnsi="Palatino Linotype"/>
          <w:color w:val="000000" w:themeColor="text1"/>
        </w:rPr>
      </w:pPr>
    </w:p>
    <w:p w14:paraId="511BEC4F" w14:textId="2B2FA595" w:rsidR="00CD7E32" w:rsidRPr="00594F82" w:rsidRDefault="003B4874" w:rsidP="00CD7E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Ahora </w:t>
      </w:r>
      <w:r w:rsidR="004A14B9" w:rsidRPr="00594F82">
        <w:rPr>
          <w:rFonts w:ascii="Palatino Linotype" w:eastAsia="MS Mincho" w:hAnsi="Palatino Linotype" w:cs="Times New Roman"/>
          <w:color w:val="000000"/>
        </w:rPr>
        <w:t>bien,</w:t>
      </w:r>
      <w:r w:rsidR="00CD7E32" w:rsidRPr="00594F82">
        <w:rPr>
          <w:rFonts w:ascii="Palatino Linotype" w:eastAsia="MS Mincho" w:hAnsi="Palatino Linotype" w:cs="Times New Roman"/>
          <w:color w:val="000000"/>
        </w:rPr>
        <w:t xml:space="preserve"> para la aplicación del Libro Quinto</w:t>
      </w:r>
      <w:r w:rsidRPr="00594F82">
        <w:rPr>
          <w:rFonts w:ascii="Palatino Linotype" w:eastAsia="MS Mincho" w:hAnsi="Palatino Linotype" w:cs="Times New Roman"/>
          <w:color w:val="000000"/>
        </w:rPr>
        <w:t xml:space="preserve"> del Código de mérito, </w:t>
      </w:r>
      <w:r w:rsidR="004A14B9" w:rsidRPr="00594F82">
        <w:rPr>
          <w:rFonts w:ascii="Palatino Linotype" w:eastAsia="MS Mincho" w:hAnsi="Palatino Linotype" w:cs="Times New Roman"/>
          <w:color w:val="000000"/>
        </w:rPr>
        <w:t>serán reconocidos como autoridades</w:t>
      </w:r>
      <w:r w:rsidR="004A14B9" w:rsidRPr="00594F82">
        <w:rPr>
          <w:rStyle w:val="Refdenotaalpie"/>
          <w:rFonts w:ascii="Palatino Linotype" w:eastAsia="MS Mincho" w:hAnsi="Palatino Linotype" w:cs="Times New Roman"/>
          <w:color w:val="000000"/>
        </w:rPr>
        <w:footnoteReference w:id="14"/>
      </w:r>
      <w:r w:rsidR="00CD7E32" w:rsidRPr="00594F82">
        <w:rPr>
          <w:rFonts w:ascii="Palatino Linotype" w:eastAsia="MS Mincho" w:hAnsi="Palatino Linotype" w:cs="Times New Roman"/>
          <w:color w:val="000000"/>
        </w:rPr>
        <w:t xml:space="preserve">: el Gobernador del Estado, la </w:t>
      </w:r>
      <w:r w:rsidR="00CD7E32" w:rsidRPr="00594F82">
        <w:rPr>
          <w:rFonts w:ascii="Palatino Linotype" w:eastAsia="MS Mincho" w:hAnsi="Palatino Linotype" w:cs="Times New Roman"/>
          <w:b/>
          <w:bCs/>
          <w:color w:val="000000"/>
        </w:rPr>
        <w:t>Secretaría de Desarrollo Urbano y Obra</w:t>
      </w:r>
      <w:r w:rsidR="00CD7E32" w:rsidRPr="00594F82">
        <w:rPr>
          <w:rFonts w:ascii="Palatino Linotype" w:eastAsia="MS Mincho" w:hAnsi="Palatino Linotype" w:cs="Times New Roman"/>
          <w:color w:val="000000"/>
        </w:rPr>
        <w:t xml:space="preserve">, la Secretaría de Movilidad, y </w:t>
      </w:r>
      <w:r w:rsidR="00CD7E32" w:rsidRPr="00594F82">
        <w:rPr>
          <w:rFonts w:ascii="Palatino Linotype" w:eastAsia="MS Mincho" w:hAnsi="Palatino Linotype" w:cs="Times New Roman"/>
          <w:b/>
          <w:color w:val="000000"/>
        </w:rPr>
        <w:t>los municipios</w:t>
      </w:r>
      <w:r w:rsidR="00CD7E32" w:rsidRPr="00594F82">
        <w:rPr>
          <w:rFonts w:ascii="Palatino Linotype" w:eastAsia="MS Mincho" w:hAnsi="Palatino Linotype" w:cs="Times New Roman"/>
          <w:color w:val="000000"/>
        </w:rPr>
        <w:t>.</w:t>
      </w:r>
    </w:p>
    <w:p w14:paraId="374583D7" w14:textId="77777777" w:rsidR="00CD7E32" w:rsidRPr="00594F82" w:rsidRDefault="00CD7E32" w:rsidP="00CD7E32">
      <w:pPr>
        <w:pStyle w:val="Prrafodelista"/>
        <w:tabs>
          <w:tab w:val="left" w:pos="426"/>
        </w:tabs>
        <w:spacing w:before="240" w:after="240" w:line="360" w:lineRule="auto"/>
        <w:ind w:left="0" w:right="51"/>
        <w:jc w:val="both"/>
        <w:rPr>
          <w:rFonts w:ascii="Palatino Linotype" w:hAnsi="Palatino Linotype"/>
          <w:color w:val="000000" w:themeColor="text1"/>
        </w:rPr>
      </w:pPr>
    </w:p>
    <w:p w14:paraId="7209E588" w14:textId="6AC7959C" w:rsidR="00A9000F" w:rsidRPr="00594F82" w:rsidRDefault="00A9000F" w:rsidP="00A9000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94F82">
        <w:rPr>
          <w:rFonts w:ascii="Palatino Linotype" w:hAnsi="Palatino Linotype"/>
          <w:b/>
          <w:bCs/>
          <w:color w:val="000000" w:themeColor="text1"/>
        </w:rPr>
        <w:t>III.I. De la Secretaría de Desarrollo Urbano y Obra.</w:t>
      </w:r>
    </w:p>
    <w:p w14:paraId="1BA311E4" w14:textId="77777777" w:rsidR="00A9000F" w:rsidRPr="00594F82" w:rsidRDefault="00A9000F" w:rsidP="00CD7E32">
      <w:pPr>
        <w:pStyle w:val="Prrafodelista"/>
        <w:tabs>
          <w:tab w:val="left" w:pos="426"/>
        </w:tabs>
        <w:spacing w:before="240" w:after="240" w:line="360" w:lineRule="auto"/>
        <w:ind w:left="0" w:right="51"/>
        <w:jc w:val="both"/>
        <w:rPr>
          <w:rFonts w:ascii="Palatino Linotype" w:hAnsi="Palatino Linotype"/>
          <w:color w:val="000000" w:themeColor="text1"/>
        </w:rPr>
      </w:pPr>
    </w:p>
    <w:p w14:paraId="40E35ABB" w14:textId="6D8CA881" w:rsidR="00A9000F" w:rsidRPr="00594F82" w:rsidRDefault="00D47F36"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La Constitución Política del Estado Libre y Soberano de México establece que el Poder Ejecutivo del Estado se deposita en un solo individuo que se denomina Gobernador del Estado de Méxic</w:t>
      </w:r>
      <w:r w:rsidR="003D6BD3" w:rsidRPr="00594F82">
        <w:rPr>
          <w:rFonts w:ascii="Palatino Linotype" w:eastAsia="MS Mincho" w:hAnsi="Palatino Linotype" w:cs="Times New Roman"/>
          <w:color w:val="000000"/>
        </w:rPr>
        <w:t>o</w:t>
      </w:r>
      <w:r w:rsidR="003D6BD3" w:rsidRPr="00594F82">
        <w:rPr>
          <w:rStyle w:val="Refdenotaalpie"/>
          <w:rFonts w:ascii="Palatino Linotype" w:eastAsia="MS Mincho" w:hAnsi="Palatino Linotype" w:cs="Times New Roman"/>
          <w:color w:val="000000"/>
        </w:rPr>
        <w:footnoteReference w:id="15"/>
      </w:r>
      <w:r w:rsidR="00A57B20" w:rsidRPr="00594F82">
        <w:rPr>
          <w:rFonts w:ascii="Palatino Linotype" w:eastAsia="MS Mincho" w:hAnsi="Palatino Linotype" w:cs="Times New Roman"/>
          <w:color w:val="000000"/>
        </w:rPr>
        <w:t>, quien tendrá entre sus atribuciones, las siguientes</w:t>
      </w:r>
      <w:r w:rsidR="00A57B20" w:rsidRPr="00594F82">
        <w:rPr>
          <w:rStyle w:val="Refdenotaalpie"/>
          <w:rFonts w:ascii="Palatino Linotype" w:eastAsia="MS Mincho" w:hAnsi="Palatino Linotype" w:cs="Times New Roman"/>
          <w:color w:val="000000"/>
        </w:rPr>
        <w:footnoteReference w:id="16"/>
      </w:r>
      <w:r w:rsidR="00A57B20" w:rsidRPr="00594F82">
        <w:rPr>
          <w:rFonts w:ascii="Palatino Linotype" w:eastAsia="MS Mincho" w:hAnsi="Palatino Linotype" w:cs="Times New Roman"/>
          <w:color w:val="000000"/>
        </w:rPr>
        <w:t>:</w:t>
      </w:r>
    </w:p>
    <w:p w14:paraId="1E7AB84F" w14:textId="578449A7" w:rsidR="00E1328C" w:rsidRPr="00594F82" w:rsidRDefault="00E1328C" w:rsidP="00C94D16">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eastAsia="MS Mincho" w:hAnsi="Palatino Linotype" w:cs="Times New Roman"/>
          <w:color w:val="000000"/>
        </w:rPr>
        <w:lastRenderedPageBreak/>
        <w:t>Conducir y administrar los ramos de la administración pública del gobierno del Estado, dictando y poniendo en ejecución las políticas correspondientes mediante las acciones públicas y los procedimientos necesarios para este fin</w:t>
      </w:r>
      <w:r w:rsidR="00766EF9" w:rsidRPr="00594F82">
        <w:rPr>
          <w:rFonts w:ascii="Palatino Linotype" w:eastAsia="MS Mincho" w:hAnsi="Palatino Linotype" w:cs="Times New Roman"/>
          <w:color w:val="000000"/>
        </w:rPr>
        <w:t>.</w:t>
      </w:r>
    </w:p>
    <w:p w14:paraId="456EEE55" w14:textId="77777777" w:rsidR="00A9000F" w:rsidRPr="00594F82" w:rsidRDefault="00A9000F" w:rsidP="00A9000F">
      <w:pPr>
        <w:pStyle w:val="Prrafodelista"/>
        <w:tabs>
          <w:tab w:val="left" w:pos="426"/>
        </w:tabs>
        <w:spacing w:line="360" w:lineRule="auto"/>
        <w:ind w:left="0" w:right="51"/>
        <w:jc w:val="both"/>
        <w:rPr>
          <w:rFonts w:ascii="Palatino Linotype" w:hAnsi="Palatino Linotype"/>
          <w:color w:val="000000" w:themeColor="text1"/>
        </w:rPr>
      </w:pPr>
    </w:p>
    <w:p w14:paraId="35AF4A2D" w14:textId="40733748" w:rsidR="00A9000F" w:rsidRPr="00594F82" w:rsidRDefault="00766EF9"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Por su parte, el numeral 78 de la </w:t>
      </w:r>
      <w:r w:rsidRPr="00594F82">
        <w:rPr>
          <w:rFonts w:ascii="Palatino Linotype" w:eastAsia="MS Mincho" w:hAnsi="Palatino Linotype" w:cs="Times New Roman"/>
          <w:i/>
          <w:iCs/>
          <w:color w:val="000000"/>
        </w:rPr>
        <w:t>Magna Carta</w:t>
      </w:r>
      <w:r w:rsidRPr="00594F82">
        <w:rPr>
          <w:rFonts w:ascii="Palatino Linotype" w:eastAsia="MS Mincho" w:hAnsi="Palatino Linotype" w:cs="Times New Roman"/>
          <w:color w:val="000000"/>
        </w:rPr>
        <w:t xml:space="preserve"> Estatal </w:t>
      </w:r>
      <w:r w:rsidR="009D4EDF" w:rsidRPr="00594F82">
        <w:rPr>
          <w:rFonts w:ascii="Palatino Linotype" w:eastAsia="MS Mincho" w:hAnsi="Palatino Linotype" w:cs="Times New Roman"/>
          <w:color w:val="000000"/>
        </w:rPr>
        <w:t>señala que, para el despacho de los asuntos, el Ejecutivo contará con las dependencias y los organismos auxiliares que las disposiciones legales establezcan.</w:t>
      </w:r>
    </w:p>
    <w:p w14:paraId="3D21CE06" w14:textId="77777777" w:rsidR="00A9000F" w:rsidRPr="00594F82" w:rsidRDefault="00A9000F" w:rsidP="00A9000F">
      <w:pPr>
        <w:pStyle w:val="Prrafodelista"/>
        <w:tabs>
          <w:tab w:val="left" w:pos="426"/>
        </w:tabs>
        <w:spacing w:line="360" w:lineRule="auto"/>
        <w:ind w:left="0" w:right="51"/>
        <w:jc w:val="both"/>
        <w:rPr>
          <w:rFonts w:ascii="Palatino Linotype" w:hAnsi="Palatino Linotype"/>
          <w:color w:val="000000" w:themeColor="text1"/>
        </w:rPr>
      </w:pPr>
    </w:p>
    <w:p w14:paraId="2D37370F" w14:textId="7EA1DEE5" w:rsidR="00A9000F" w:rsidRPr="00594F82" w:rsidRDefault="00C853EF"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En seguimiento con el precepto constitucional, la Ley Orgánica de la Administración Pública del Estado de México, en su artículo 19, establece lo siguiente:</w:t>
      </w:r>
    </w:p>
    <w:p w14:paraId="37A07D98" w14:textId="77777777" w:rsidR="00C853EF" w:rsidRPr="00594F82" w:rsidRDefault="00C853EF" w:rsidP="00C853EF">
      <w:pPr>
        <w:pStyle w:val="Prrafodelista"/>
        <w:tabs>
          <w:tab w:val="left" w:pos="426"/>
        </w:tabs>
        <w:spacing w:line="360" w:lineRule="auto"/>
        <w:ind w:left="0" w:right="51"/>
        <w:jc w:val="both"/>
        <w:rPr>
          <w:rFonts w:ascii="Palatino Linotype" w:hAnsi="Palatino Linotype"/>
          <w:color w:val="000000" w:themeColor="text1"/>
        </w:rPr>
      </w:pPr>
    </w:p>
    <w:p w14:paraId="6730ADFB" w14:textId="77777777" w:rsidR="00444D54" w:rsidRPr="00594F82" w:rsidRDefault="00C853EF" w:rsidP="00C853E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r w:rsidR="00444D54" w:rsidRPr="00594F82">
        <w:rPr>
          <w:rFonts w:ascii="Palatino Linotype" w:hAnsi="Palatino Linotype"/>
          <w:b/>
          <w:bCs/>
          <w:i/>
          <w:iCs/>
          <w:color w:val="000000" w:themeColor="text1"/>
          <w:sz w:val="22"/>
          <w:szCs w:val="22"/>
        </w:rPr>
        <w:t>Artículo 19.-</w:t>
      </w:r>
      <w:r w:rsidR="00444D54" w:rsidRPr="00594F82">
        <w:rPr>
          <w:rFonts w:ascii="Palatino Linotype" w:hAnsi="Palatino Linotype"/>
          <w:i/>
          <w:iCs/>
          <w:color w:val="000000" w:themeColor="text1"/>
          <w:sz w:val="22"/>
          <w:szCs w:val="22"/>
        </w:rPr>
        <w:t xml:space="preserve"> Para el estudio, planeación y despacho de los asuntos, en los diversos ramos de la Administración Pública del Estado, auxiliarán al Titular del Ejecutivo, las siguientes dependencias: </w:t>
      </w:r>
    </w:p>
    <w:p w14:paraId="5C376927" w14:textId="7178C1BF" w:rsidR="00444D54" w:rsidRPr="00594F82" w:rsidRDefault="00444D54" w:rsidP="00C853E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5D6D93FA" w14:textId="77777777" w:rsidR="00444D54" w:rsidRPr="00594F82" w:rsidRDefault="00444D54" w:rsidP="00C853E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VIII.</w:t>
      </w:r>
      <w:r w:rsidRPr="00594F82">
        <w:rPr>
          <w:rFonts w:ascii="Palatino Linotype" w:hAnsi="Palatino Linotype"/>
          <w:i/>
          <w:iCs/>
          <w:color w:val="000000" w:themeColor="text1"/>
          <w:sz w:val="22"/>
          <w:szCs w:val="22"/>
        </w:rPr>
        <w:t xml:space="preserve"> Secretaría de Desarrollo Urbano y Obra; </w:t>
      </w:r>
    </w:p>
    <w:p w14:paraId="112D30FE" w14:textId="32A5B05B" w:rsidR="00C853EF" w:rsidRPr="00594F82" w:rsidRDefault="00444D54" w:rsidP="00C853E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311AA008" w14:textId="77777777" w:rsidR="00C853EF" w:rsidRPr="00594F82" w:rsidRDefault="00C853EF" w:rsidP="00C853EF">
      <w:pPr>
        <w:pStyle w:val="Prrafodelista"/>
        <w:tabs>
          <w:tab w:val="left" w:pos="426"/>
        </w:tabs>
        <w:spacing w:line="360" w:lineRule="auto"/>
        <w:ind w:left="0" w:right="51"/>
        <w:jc w:val="both"/>
        <w:rPr>
          <w:rFonts w:ascii="Palatino Linotype" w:hAnsi="Palatino Linotype"/>
          <w:color w:val="000000" w:themeColor="text1"/>
        </w:rPr>
      </w:pPr>
    </w:p>
    <w:p w14:paraId="4D0AD569" w14:textId="5D151225" w:rsidR="00C853EF" w:rsidRPr="00594F82" w:rsidRDefault="006C250B"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La </w:t>
      </w:r>
      <w:r w:rsidRPr="00594F82">
        <w:rPr>
          <w:rFonts w:ascii="Palatino Linotype" w:eastAsia="MS Mincho" w:hAnsi="Palatino Linotype" w:cs="Times New Roman"/>
          <w:b/>
          <w:bCs/>
          <w:color w:val="000000"/>
        </w:rPr>
        <w:t>Secretaría de Desarrollo Urbano y Obra</w:t>
      </w:r>
      <w:r w:rsidRPr="00594F82">
        <w:rPr>
          <w:rFonts w:ascii="Palatino Linotype" w:eastAsia="MS Mincho" w:hAnsi="Palatino Linotype" w:cs="Times New Roman"/>
          <w:color w:val="000000"/>
        </w:rPr>
        <w:t xml:space="preserve"> es la dependencia encargada del ordenamiento territorial de los asentamientos humanos, de regular el desarrollo urbano de los centros de población y la vivienda, y de coordinar y evaluar, en el ámbito del territorio estatal, las acciones y programas orientados al desarrollo armónico y sustentable de las zonas metropolitanas, así como de ejecutar obras </w:t>
      </w:r>
      <w:r w:rsidRPr="00594F82">
        <w:rPr>
          <w:rFonts w:ascii="Palatino Linotype" w:eastAsia="MS Mincho" w:hAnsi="Palatino Linotype" w:cs="Times New Roman"/>
          <w:color w:val="000000"/>
        </w:rPr>
        <w:lastRenderedPageBreak/>
        <w:t>públicas a su cargo, y de promover y ejecutar las acciones para el desarrollo de infraestructura en la Entidad</w:t>
      </w:r>
      <w:r w:rsidRPr="00594F82">
        <w:rPr>
          <w:rStyle w:val="Refdenotaalpie"/>
          <w:rFonts w:ascii="Palatino Linotype" w:eastAsia="MS Mincho" w:hAnsi="Palatino Linotype" w:cs="Times New Roman"/>
          <w:color w:val="000000"/>
        </w:rPr>
        <w:footnoteReference w:id="17"/>
      </w:r>
      <w:r w:rsidRPr="00594F82">
        <w:rPr>
          <w:rFonts w:ascii="Palatino Linotype" w:eastAsia="MS Mincho" w:hAnsi="Palatino Linotype" w:cs="Times New Roman"/>
          <w:color w:val="000000"/>
        </w:rPr>
        <w:t>.</w:t>
      </w:r>
    </w:p>
    <w:p w14:paraId="2DCCEC24" w14:textId="77777777" w:rsidR="00C853EF" w:rsidRPr="00594F82" w:rsidRDefault="00C853EF" w:rsidP="00C853EF">
      <w:pPr>
        <w:pStyle w:val="Prrafodelista"/>
        <w:tabs>
          <w:tab w:val="left" w:pos="426"/>
        </w:tabs>
        <w:spacing w:line="360" w:lineRule="auto"/>
        <w:ind w:left="0" w:right="51"/>
        <w:jc w:val="both"/>
        <w:rPr>
          <w:rFonts w:ascii="Palatino Linotype" w:hAnsi="Palatino Linotype"/>
          <w:color w:val="000000" w:themeColor="text1"/>
        </w:rPr>
      </w:pPr>
    </w:p>
    <w:p w14:paraId="3716B0F4" w14:textId="6F7420E6" w:rsidR="00C853EF" w:rsidRPr="00594F82" w:rsidRDefault="00C8504F"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De conformidad con lo dispuesto por el artículo 31 de la Ley Orgánica de la Administración Pública del Estado de México, la </w:t>
      </w:r>
      <w:r w:rsidRPr="00594F82">
        <w:rPr>
          <w:rFonts w:ascii="Palatino Linotype" w:eastAsia="MS Mincho" w:hAnsi="Palatino Linotype" w:cs="Times New Roman"/>
          <w:b/>
          <w:bCs/>
          <w:color w:val="000000"/>
        </w:rPr>
        <w:t>Secretaría de Desarrollo Urbano y Obra</w:t>
      </w:r>
      <w:r w:rsidRPr="00594F82">
        <w:rPr>
          <w:rFonts w:ascii="Palatino Linotype" w:eastAsia="MS Mincho" w:hAnsi="Palatino Linotype" w:cs="Times New Roman"/>
          <w:color w:val="000000"/>
        </w:rPr>
        <w:t xml:space="preserve"> tendrá, entre sus atribuciones:</w:t>
      </w:r>
    </w:p>
    <w:p w14:paraId="22A05917" w14:textId="623DA32A" w:rsidR="00C8504F" w:rsidRPr="00594F82" w:rsidRDefault="00C8504F" w:rsidP="00C8504F">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eastAsia="MS Mincho" w:hAnsi="Palatino Linotype" w:cs="Times New Roman"/>
          <w:b/>
          <w:bCs/>
          <w:color w:val="000000"/>
        </w:rPr>
        <w:t xml:space="preserve">Emitir </w:t>
      </w:r>
      <w:r w:rsidR="00442335" w:rsidRPr="00594F82">
        <w:rPr>
          <w:rFonts w:ascii="Palatino Linotype" w:eastAsia="MS Mincho" w:hAnsi="Palatino Linotype" w:cs="Times New Roman"/>
          <w:b/>
          <w:bCs/>
          <w:color w:val="000000"/>
        </w:rPr>
        <w:t>autorizaciones para</w:t>
      </w:r>
      <w:r w:rsidR="00442335" w:rsidRPr="00594F82">
        <w:rPr>
          <w:rFonts w:ascii="Palatino Linotype" w:eastAsia="MS Mincho" w:hAnsi="Palatino Linotype" w:cs="Times New Roman"/>
          <w:color w:val="000000"/>
        </w:rPr>
        <w:t xml:space="preserve"> conjuntos urbanos, </w:t>
      </w:r>
      <w:r w:rsidR="00442335" w:rsidRPr="00594F82">
        <w:rPr>
          <w:rFonts w:ascii="Palatino Linotype" w:eastAsia="MS Mincho" w:hAnsi="Palatino Linotype" w:cs="Times New Roman"/>
          <w:b/>
          <w:bCs/>
          <w:color w:val="000000"/>
        </w:rPr>
        <w:t>condominios</w:t>
      </w:r>
      <w:r w:rsidR="00442335" w:rsidRPr="00594F82">
        <w:rPr>
          <w:rFonts w:ascii="Palatino Linotype" w:eastAsia="MS Mincho" w:hAnsi="Palatino Linotype" w:cs="Times New Roman"/>
          <w:color w:val="000000"/>
        </w:rPr>
        <w:t xml:space="preserve">, subdivisiones, fusiones, </w:t>
      </w:r>
      <w:proofErr w:type="spellStart"/>
      <w:r w:rsidR="00442335" w:rsidRPr="00594F82">
        <w:rPr>
          <w:rFonts w:ascii="Palatino Linotype" w:eastAsia="MS Mincho" w:hAnsi="Palatino Linotype" w:cs="Times New Roman"/>
          <w:color w:val="000000"/>
        </w:rPr>
        <w:t>relotificaciones</w:t>
      </w:r>
      <w:proofErr w:type="spellEnd"/>
      <w:r w:rsidR="00442335" w:rsidRPr="00594F82">
        <w:rPr>
          <w:rFonts w:ascii="Palatino Linotype" w:eastAsia="MS Mincho" w:hAnsi="Palatino Linotype" w:cs="Times New Roman"/>
          <w:color w:val="000000"/>
        </w:rPr>
        <w:t xml:space="preserve"> de predios y demás establecidas en los ordenamientos jurídicos aplicables, así como para el uso y disponibilidad del Agua por Zona o Región para que los municipios otorguen licencias de construcción de vivienda o industria.</w:t>
      </w:r>
    </w:p>
    <w:p w14:paraId="757A10D7" w14:textId="77777777" w:rsidR="00C853EF" w:rsidRPr="00594F82" w:rsidRDefault="00C853EF" w:rsidP="00C94D16">
      <w:pPr>
        <w:pStyle w:val="Prrafodelista"/>
        <w:tabs>
          <w:tab w:val="left" w:pos="426"/>
        </w:tabs>
        <w:spacing w:line="360" w:lineRule="auto"/>
        <w:ind w:left="426" w:right="51" w:hanging="426"/>
        <w:jc w:val="both"/>
        <w:rPr>
          <w:rFonts w:ascii="Palatino Linotype" w:hAnsi="Palatino Linotype"/>
          <w:color w:val="000000" w:themeColor="text1"/>
        </w:rPr>
      </w:pPr>
    </w:p>
    <w:p w14:paraId="3C40441F" w14:textId="09494C38" w:rsidR="00C853EF" w:rsidRPr="00594F82" w:rsidRDefault="00931048"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Al respecto, </w:t>
      </w:r>
      <w:r w:rsidR="00EC4D46" w:rsidRPr="00594F82">
        <w:rPr>
          <w:rFonts w:ascii="Palatino Linotype" w:eastAsia="MS Mincho" w:hAnsi="Palatino Linotype" w:cs="Times New Roman"/>
          <w:color w:val="000000"/>
        </w:rPr>
        <w:t xml:space="preserve">el </w:t>
      </w:r>
      <w:r w:rsidR="0068057A" w:rsidRPr="00594F82">
        <w:rPr>
          <w:rFonts w:ascii="Palatino Linotype" w:eastAsia="MS Mincho" w:hAnsi="Palatino Linotype" w:cs="Times New Roman"/>
          <w:color w:val="000000"/>
        </w:rPr>
        <w:t xml:space="preserve">artículo 5.49 del Código Administrativo del Estado de México establece que, </w:t>
      </w:r>
      <w:r w:rsidR="0068057A" w:rsidRPr="00594F82">
        <w:rPr>
          <w:rFonts w:ascii="Palatino Linotype" w:eastAsia="MS Mincho" w:hAnsi="Palatino Linotype" w:cs="Times New Roman"/>
          <w:b/>
          <w:bCs/>
          <w:color w:val="000000"/>
        </w:rPr>
        <w:t xml:space="preserve">para </w:t>
      </w:r>
      <w:r w:rsidR="00BC1517" w:rsidRPr="00594F82">
        <w:rPr>
          <w:rFonts w:ascii="Palatino Linotype" w:eastAsia="MS Mincho" w:hAnsi="Palatino Linotype" w:cs="Times New Roman"/>
          <w:b/>
          <w:bCs/>
          <w:color w:val="000000"/>
        </w:rPr>
        <w:t>la autorización que emita la Secretaría de Desarrollo Urbano y Obra para condominios</w:t>
      </w:r>
      <w:r w:rsidR="00BC1517" w:rsidRPr="00594F82">
        <w:rPr>
          <w:rFonts w:ascii="Palatino Linotype" w:eastAsia="MS Mincho" w:hAnsi="Palatino Linotype" w:cs="Times New Roman"/>
          <w:color w:val="000000"/>
        </w:rPr>
        <w:t xml:space="preserve"> horizontales, verticales y mixtos, que incluyan a su vez usos mixtos compatibles, y </w:t>
      </w:r>
      <w:r w:rsidR="00BC1517" w:rsidRPr="00594F82">
        <w:rPr>
          <w:rFonts w:ascii="Palatino Linotype" w:eastAsia="MS Mincho" w:hAnsi="Palatino Linotype" w:cs="Times New Roman"/>
          <w:b/>
          <w:bCs/>
          <w:color w:val="000000"/>
          <w:u w:val="single"/>
        </w:rPr>
        <w:t>con antelación a la constitución de dicho régimen de propiedad</w:t>
      </w:r>
      <w:r w:rsidR="00BC1517" w:rsidRPr="00594F82">
        <w:rPr>
          <w:rFonts w:ascii="Palatino Linotype" w:eastAsia="MS Mincho" w:hAnsi="Palatino Linotype" w:cs="Times New Roman"/>
          <w:color w:val="000000"/>
        </w:rPr>
        <w:t xml:space="preserve">, </w:t>
      </w:r>
      <w:r w:rsidR="00BC1517" w:rsidRPr="00594F82">
        <w:rPr>
          <w:rFonts w:ascii="Palatino Linotype" w:eastAsia="MS Mincho" w:hAnsi="Palatino Linotype" w:cs="Times New Roman"/>
          <w:b/>
          <w:bCs/>
          <w:color w:val="000000"/>
        </w:rPr>
        <w:t>se deberá obtener la evaluación técnica de impacto en materia urbana y la Evaluación de Impacto Estatal</w:t>
      </w:r>
      <w:r w:rsidR="00BC1517" w:rsidRPr="00594F82">
        <w:rPr>
          <w:rFonts w:ascii="Palatino Linotype" w:eastAsia="MS Mincho" w:hAnsi="Palatino Linotype" w:cs="Times New Roman"/>
          <w:color w:val="000000"/>
        </w:rPr>
        <w:t>.</w:t>
      </w:r>
    </w:p>
    <w:p w14:paraId="799F65E9" w14:textId="77777777" w:rsidR="00C853EF" w:rsidRPr="00594F82" w:rsidRDefault="00C853EF" w:rsidP="00C853EF">
      <w:pPr>
        <w:pStyle w:val="Prrafodelista"/>
        <w:tabs>
          <w:tab w:val="left" w:pos="426"/>
        </w:tabs>
        <w:spacing w:line="360" w:lineRule="auto"/>
        <w:ind w:left="0" w:right="51"/>
        <w:jc w:val="both"/>
        <w:rPr>
          <w:rFonts w:ascii="Palatino Linotype" w:hAnsi="Palatino Linotype"/>
          <w:color w:val="000000" w:themeColor="text1"/>
        </w:rPr>
      </w:pPr>
    </w:p>
    <w:p w14:paraId="75654495" w14:textId="2EF542AB" w:rsidR="00C853EF" w:rsidRPr="00594F82" w:rsidRDefault="00853444"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Por su parte, el numeral 5.50 de la normatividad en estudio señala que</w:t>
      </w:r>
      <w:r w:rsidR="00B33BD7" w:rsidRPr="00594F82">
        <w:rPr>
          <w:rFonts w:ascii="Palatino Linotype" w:hAnsi="Palatino Linotype"/>
          <w:color w:val="000000" w:themeColor="text1"/>
        </w:rPr>
        <w:t xml:space="preserve"> la </w:t>
      </w:r>
      <w:r w:rsidR="00086DFF" w:rsidRPr="00594F82">
        <w:rPr>
          <w:rFonts w:ascii="Palatino Linotype" w:hAnsi="Palatino Linotype"/>
          <w:color w:val="000000" w:themeColor="text1"/>
        </w:rPr>
        <w:t xml:space="preserve">autorización de los condominios que impliquen el desarrollo de 30 o más viviendas, o en otros usos, un coeficiente de utilización de 3,000 o más metros cuadrados de construcción, serán aplicables los lineamientos que para los conjuntos urbanos </w:t>
      </w:r>
      <w:r w:rsidR="00086DFF" w:rsidRPr="00594F82">
        <w:rPr>
          <w:rFonts w:ascii="Palatino Linotype" w:hAnsi="Palatino Linotype"/>
          <w:color w:val="000000" w:themeColor="text1"/>
        </w:rPr>
        <w:lastRenderedPageBreak/>
        <w:t>establece el artículo 5.38 del Código Administrativo del Estado de México</w:t>
      </w:r>
      <w:r w:rsidRPr="00594F82">
        <w:rPr>
          <w:rStyle w:val="Refdenotaalpie"/>
          <w:rFonts w:ascii="Palatino Linotype" w:hAnsi="Palatino Linotype"/>
          <w:color w:val="000000" w:themeColor="text1"/>
        </w:rPr>
        <w:footnoteReference w:id="18"/>
      </w:r>
      <w:r w:rsidR="00086DFF" w:rsidRPr="00594F82">
        <w:rPr>
          <w:rFonts w:ascii="Palatino Linotype" w:hAnsi="Palatino Linotype"/>
          <w:color w:val="000000" w:themeColor="text1"/>
        </w:rPr>
        <w:t>,</w:t>
      </w:r>
      <w:r w:rsidR="00280870" w:rsidRPr="00594F82">
        <w:rPr>
          <w:rFonts w:ascii="Palatino Linotype" w:hAnsi="Palatino Linotype"/>
          <w:color w:val="000000" w:themeColor="text1"/>
        </w:rPr>
        <w:t xml:space="preserve"> mismo que establece lo siguiente:</w:t>
      </w:r>
    </w:p>
    <w:p w14:paraId="1F0B8560" w14:textId="77777777" w:rsidR="00C853EF" w:rsidRPr="00594F82" w:rsidRDefault="00C853EF" w:rsidP="00C853EF">
      <w:pPr>
        <w:pStyle w:val="Prrafodelista"/>
        <w:tabs>
          <w:tab w:val="left" w:pos="426"/>
        </w:tabs>
        <w:spacing w:line="360" w:lineRule="auto"/>
        <w:ind w:left="0" w:right="51"/>
        <w:jc w:val="both"/>
        <w:rPr>
          <w:rFonts w:ascii="Palatino Linotype" w:hAnsi="Palatino Linotype"/>
          <w:color w:val="000000" w:themeColor="text1"/>
        </w:rPr>
      </w:pPr>
    </w:p>
    <w:p w14:paraId="34B393C5"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r w:rsidRPr="00594F82">
        <w:rPr>
          <w:rFonts w:ascii="Palatino Linotype" w:hAnsi="Palatino Linotype"/>
          <w:b/>
          <w:bCs/>
          <w:i/>
          <w:iCs/>
          <w:color w:val="000000" w:themeColor="text1"/>
          <w:sz w:val="22"/>
          <w:szCs w:val="22"/>
        </w:rPr>
        <w:t>Artículo 5.38.</w:t>
      </w:r>
      <w:r w:rsidRPr="00594F82">
        <w:rPr>
          <w:rFonts w:ascii="Palatino Linotype" w:hAnsi="Palatino Linotype"/>
          <w:i/>
          <w:iCs/>
          <w:color w:val="000000" w:themeColor="text1"/>
          <w:sz w:val="22"/>
          <w:szCs w:val="22"/>
        </w:rPr>
        <w:t xml:space="preserve"> La autorización de conjuntos urbanos se sujetará a los lineamientos siguientes: </w:t>
      </w:r>
    </w:p>
    <w:p w14:paraId="636E48FB"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w:t>
      </w:r>
      <w:r w:rsidRPr="00594F82">
        <w:rPr>
          <w:rFonts w:ascii="Palatino Linotype" w:hAnsi="Palatino Linotype"/>
          <w:i/>
          <w:iCs/>
          <w:color w:val="000000" w:themeColor="text1"/>
          <w:sz w:val="22"/>
          <w:szCs w:val="22"/>
        </w:rPr>
        <w:t xml:space="preserve"> Deberá de ser solicitada ante la Secretaría en términos de las disposiciones legales aplicables. </w:t>
      </w:r>
    </w:p>
    <w:p w14:paraId="2FFF0D04"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II.</w:t>
      </w:r>
      <w:r w:rsidRPr="00594F82">
        <w:rPr>
          <w:rFonts w:ascii="Palatino Linotype" w:hAnsi="Palatino Linotype"/>
          <w:i/>
          <w:iCs/>
          <w:color w:val="000000" w:themeColor="text1"/>
          <w:sz w:val="22"/>
          <w:szCs w:val="22"/>
        </w:rPr>
        <w:t xml:space="preserve"> El número de viviendas y de usos del suelo dependerá de lo que establezca el Plan Municipal de Desarrollo Urbano y se determinará principalmente en función de la factibilidad de agua potable y energía eléctrica que emitan las autoridades competentes. Asimismo, se deberá cumplir con todas las condicionantes que se determinan en el presente Libro y su reglamentación correspondiente; </w:t>
      </w:r>
    </w:p>
    <w:p w14:paraId="7372B553"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III.</w:t>
      </w:r>
      <w:r w:rsidRPr="00594F82">
        <w:rPr>
          <w:rFonts w:ascii="Palatino Linotype" w:hAnsi="Palatino Linotype"/>
          <w:i/>
          <w:iCs/>
          <w:color w:val="000000" w:themeColor="text1"/>
          <w:sz w:val="22"/>
          <w:szCs w:val="22"/>
        </w:rPr>
        <w:t xml:space="preserve"> Derogada. </w:t>
      </w:r>
    </w:p>
    <w:p w14:paraId="1905691B"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IV.</w:t>
      </w:r>
      <w:r w:rsidRPr="00594F82">
        <w:rPr>
          <w:rFonts w:ascii="Palatino Linotype" w:hAnsi="Palatino Linotype"/>
          <w:i/>
          <w:iCs/>
          <w:color w:val="000000" w:themeColor="text1"/>
          <w:sz w:val="22"/>
          <w:szCs w:val="22"/>
        </w:rPr>
        <w:t xml:space="preserve"> Su trámite y resolución se sujetará a lo dispuesto en este Libro, su reglamentación y demás disposiciones aplicables; </w:t>
      </w:r>
    </w:p>
    <w:p w14:paraId="67EF6ED1"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w:t>
      </w:r>
      <w:r w:rsidRPr="00594F82">
        <w:rPr>
          <w:rFonts w:ascii="Palatino Linotype" w:hAnsi="Palatino Linotype"/>
          <w:i/>
          <w:iCs/>
          <w:color w:val="000000" w:themeColor="text1"/>
          <w:sz w:val="22"/>
          <w:szCs w:val="22"/>
        </w:rPr>
        <w:t xml:space="preserve"> Derogada. </w:t>
      </w:r>
    </w:p>
    <w:p w14:paraId="7EC77473"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w:t>
      </w:r>
      <w:r w:rsidRPr="00594F82">
        <w:rPr>
          <w:rFonts w:ascii="Palatino Linotype" w:hAnsi="Palatino Linotype"/>
          <w:i/>
          <w:iCs/>
          <w:color w:val="000000" w:themeColor="text1"/>
          <w:sz w:val="22"/>
          <w:szCs w:val="22"/>
        </w:rPr>
        <w:t xml:space="preserve"> No procederá la autorización para vivienda en áreas no urbanizables, con excepción de lo dispuesto en el Reglamento del presente Libro; </w:t>
      </w:r>
    </w:p>
    <w:p w14:paraId="4ADD1E88"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VII.</w:t>
      </w:r>
      <w:r w:rsidRPr="00594F82">
        <w:rPr>
          <w:rFonts w:ascii="Palatino Linotype" w:hAnsi="Palatino Linotype"/>
          <w:i/>
          <w:iCs/>
          <w:color w:val="000000" w:themeColor="text1"/>
          <w:sz w:val="22"/>
          <w:szCs w:val="22"/>
        </w:rPr>
        <w:t xml:space="preserve"> Derogada. </w:t>
      </w:r>
    </w:p>
    <w:p w14:paraId="4E009BCF" w14:textId="77777777" w:rsidR="006B0995" w:rsidRPr="00594F82" w:rsidRDefault="00280870"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VIII.</w:t>
      </w:r>
      <w:r w:rsidRPr="00594F82">
        <w:rPr>
          <w:rFonts w:ascii="Palatino Linotype" w:hAnsi="Palatino Linotype"/>
          <w:i/>
          <w:iCs/>
          <w:color w:val="000000" w:themeColor="text1"/>
          <w:sz w:val="22"/>
          <w:szCs w:val="22"/>
        </w:rPr>
        <w:t xml:space="preserve"> Comprenderán, según el caso, las autorizaciones relativas a condominios, subdivisiones, fusiones y apertura, ampliación o modificación de vías públicas, usos específicos del suelo y sus normas de aprovechamiento, cambios de uso del suelo, de densidad de vivienda, coeficiente de </w:t>
      </w:r>
      <w:r w:rsidR="00CF30A1" w:rsidRPr="00594F82">
        <w:rPr>
          <w:rFonts w:ascii="Palatino Linotype" w:hAnsi="Palatino Linotype"/>
          <w:i/>
          <w:iCs/>
          <w:color w:val="000000" w:themeColor="text1"/>
          <w:sz w:val="22"/>
          <w:szCs w:val="22"/>
        </w:rPr>
        <w:t xml:space="preserve">ocupación del suelo, coeficiente de utilización del suelo y altura de edificaciones; </w:t>
      </w:r>
    </w:p>
    <w:p w14:paraId="52462FB6" w14:textId="77777777" w:rsidR="006B0995"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IX.</w:t>
      </w:r>
      <w:r w:rsidRPr="00594F82">
        <w:rPr>
          <w:rFonts w:ascii="Palatino Linotype" w:hAnsi="Palatino Linotype"/>
          <w:i/>
          <w:iCs/>
          <w:color w:val="000000" w:themeColor="text1"/>
          <w:sz w:val="22"/>
          <w:szCs w:val="22"/>
        </w:rPr>
        <w:t xml:space="preserve"> Emitida la autorización, no se podrá incrementar la superficie enajenable ni excederse el número de lotes y/o viviendas aprobadas, salvo lo dispuesto en el artículo 5.47 de este Libro. </w:t>
      </w:r>
    </w:p>
    <w:p w14:paraId="6801949D" w14:textId="77777777" w:rsidR="006B0995"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w:t>
      </w:r>
      <w:r w:rsidRPr="00594F82">
        <w:rPr>
          <w:rFonts w:ascii="Palatino Linotype" w:hAnsi="Palatino Linotype"/>
          <w:i/>
          <w:iCs/>
          <w:color w:val="000000" w:themeColor="text1"/>
          <w:sz w:val="22"/>
          <w:szCs w:val="22"/>
        </w:rPr>
        <w:t xml:space="preserve"> Su titular tendrá, en los términos y condiciones previstos en la reglamentación de este Libro, las obligaciones siguientes: </w:t>
      </w:r>
    </w:p>
    <w:p w14:paraId="3E5ADC58"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lastRenderedPageBreak/>
        <w:t>a)</w:t>
      </w:r>
      <w:r w:rsidRPr="00594F82">
        <w:rPr>
          <w:rFonts w:ascii="Palatino Linotype" w:hAnsi="Palatino Linotype"/>
          <w:i/>
          <w:iCs/>
          <w:color w:val="000000" w:themeColor="text1"/>
          <w:sz w:val="22"/>
          <w:szCs w:val="22"/>
        </w:rPr>
        <w:t xml:space="preserve"> Ceder a título gratuito al Estado y al municipio la propiedad de las superficies de terreno para vías públicas y áreas de donación para equipamiento urbano, que establezcan los acuerdos de autorización. </w:t>
      </w:r>
    </w:p>
    <w:p w14:paraId="1839C3E4"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Tratándose de los conjuntos urbanos, las áreas de donación de terreno destinadas a equipamiento urbano a favor del Estado y del municipio, según corresponda, podrán cumplirse previa determinación de la Secretaría, por medio del depósito del valor económico que se determine a través del Instituto de Información e Investigación Geográfica Estadística y Catastral del Estado de México; o a través de la ejecución de obra pública en el lugar y bajo las especificaciones que determine la Secretaría dentro del mismo municipio, en proporción al valor económico que determine el Instituto de Información e Investigación Geográfica Estadística y Catastral del Estado de México, de conformidad con las disposiciones reglamentarias de éste y demás disposiciones jurídicas aplicables; </w:t>
      </w:r>
    </w:p>
    <w:p w14:paraId="7B5B7EAA" w14:textId="00174835"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Los depósitos en numerario a favor del Estado deberán realizarse al Fideicomiso de Reserva Territorial para el Desarrollo de Equipamiento Urbano Regional, y a favor del municipio a la respectiva hacienda municipal. </w:t>
      </w:r>
    </w:p>
    <w:p w14:paraId="196C9942"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b)</w:t>
      </w:r>
      <w:r w:rsidRPr="00594F82">
        <w:rPr>
          <w:rFonts w:ascii="Palatino Linotype" w:hAnsi="Palatino Linotype"/>
          <w:i/>
          <w:iCs/>
          <w:color w:val="000000" w:themeColor="text1"/>
          <w:sz w:val="22"/>
          <w:szCs w:val="22"/>
        </w:rPr>
        <w:t xml:space="preserve"> Construir las obras de infraestructura, urbanización y equipamiento urbano, de conformidad con lo que establezca el presente Libro y su reglamentación. </w:t>
      </w:r>
    </w:p>
    <w:p w14:paraId="7C94A33A"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Tratándose de obras de equipamiento urbano regional, el titular de la autorización podrá cumplir con dicha obligación, mediante el depósito de su valor económico al Fideicomiso de Reserva Territorial para el Desarrollo de Equipamiento Urbano Regional o para la ejecución de obra pública dentro del Municipio correspondiente, de conformidad con lo que establezcan las disposiciones reglamentarias de este Libro. </w:t>
      </w:r>
    </w:p>
    <w:p w14:paraId="1940956F" w14:textId="5DB179A5"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La realización de estas obras se hará del conocimiento público de conformidad con lo que establezca los proyectos ejecutivos, las memorias de cálculo y lo que corresponda de acuerdo con la normatividad aplicable; </w:t>
      </w:r>
    </w:p>
    <w:p w14:paraId="53BF9D62"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c)</w:t>
      </w:r>
      <w:r w:rsidRPr="00594F82">
        <w:rPr>
          <w:rFonts w:ascii="Palatino Linotype" w:hAnsi="Palatino Linotype"/>
          <w:i/>
          <w:iCs/>
          <w:color w:val="000000" w:themeColor="text1"/>
          <w:sz w:val="22"/>
          <w:szCs w:val="22"/>
        </w:rPr>
        <w:t xml:space="preserve"> Instalar un medidor electrónico de consumo para determinar el volumen del suministro de agua por cada unidad privativa que se ubique en el conjunto urbano autorizado; </w:t>
      </w:r>
    </w:p>
    <w:p w14:paraId="67B2B4FE"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d)</w:t>
      </w:r>
      <w:r w:rsidRPr="00594F82">
        <w:rPr>
          <w:rFonts w:ascii="Palatino Linotype" w:hAnsi="Palatino Linotype"/>
          <w:i/>
          <w:iCs/>
          <w:color w:val="000000" w:themeColor="text1"/>
          <w:sz w:val="22"/>
          <w:szCs w:val="22"/>
        </w:rPr>
        <w:t xml:space="preserve"> Presentar a la Secretaría los proyectos ejecutivos, memorias de cálculo y especificaciones técnicas, debidamente aprobados por las autoridades competentes, de las obras de urbanización, infraestructura y equipamiento urbano que establezcan los respectivos acuerdos de autorización. </w:t>
      </w:r>
    </w:p>
    <w:p w14:paraId="36E901DF"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e)</w:t>
      </w:r>
      <w:r w:rsidRPr="00594F82">
        <w:rPr>
          <w:rFonts w:ascii="Palatino Linotype" w:hAnsi="Palatino Linotype"/>
          <w:i/>
          <w:iCs/>
          <w:color w:val="000000" w:themeColor="text1"/>
          <w:sz w:val="22"/>
          <w:szCs w:val="22"/>
        </w:rPr>
        <w:t xml:space="preserve"> Iniciar las obras de urbanización, infraestructura y equipamiento urbano que establezcan los acuerdos de autorización de los desarrollos, en un plazo máximo de </w:t>
      </w:r>
      <w:r w:rsidRPr="00594F82">
        <w:rPr>
          <w:rFonts w:ascii="Palatino Linotype" w:hAnsi="Palatino Linotype"/>
          <w:i/>
          <w:iCs/>
          <w:color w:val="000000" w:themeColor="text1"/>
          <w:sz w:val="22"/>
          <w:szCs w:val="22"/>
        </w:rPr>
        <w:lastRenderedPageBreak/>
        <w:t xml:space="preserve">nueve meses contados a partir de la publicación de la autorización en el Periódico Oficial “Gaceta del Gobierno”. </w:t>
      </w:r>
    </w:p>
    <w:p w14:paraId="3BF96BE7"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f)</w:t>
      </w:r>
      <w:r w:rsidRPr="00594F82">
        <w:rPr>
          <w:rFonts w:ascii="Palatino Linotype" w:hAnsi="Palatino Linotype"/>
          <w:i/>
          <w:iCs/>
          <w:color w:val="000000" w:themeColor="text1"/>
          <w:sz w:val="22"/>
          <w:szCs w:val="22"/>
        </w:rPr>
        <w:t xml:space="preserve"> Dedicar definitivamente al uso para el que fueron hechas, las instalaciones del conjunto urbano, tales como clubes, construcciones para actividades deportivas, culturales o recreativas y otras que se utilicen como promoción para la venta de lotes; </w:t>
      </w:r>
    </w:p>
    <w:p w14:paraId="135F8AC3"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g)</w:t>
      </w:r>
      <w:r w:rsidRPr="00594F82">
        <w:rPr>
          <w:rFonts w:ascii="Palatino Linotype" w:hAnsi="Palatino Linotype"/>
          <w:i/>
          <w:iCs/>
          <w:color w:val="000000" w:themeColor="text1"/>
          <w:sz w:val="22"/>
          <w:szCs w:val="22"/>
        </w:rPr>
        <w:t xml:space="preserve"> Garantizar la construcción de las obras de infraestructura, urbanización y equipamiento urbano que establezcan los acuerdos de autorización, mediante fianza o hipoteca; garantías que deberá constituir a favor del Gobierno del Estado, por un monto equivalente al cien por ciento del presupuesto a costo directo de las obras por realizar; </w:t>
      </w:r>
    </w:p>
    <w:p w14:paraId="65A31DB8"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h)</w:t>
      </w:r>
      <w:r w:rsidRPr="00594F82">
        <w:rPr>
          <w:rFonts w:ascii="Palatino Linotype" w:hAnsi="Palatino Linotype"/>
          <w:i/>
          <w:iCs/>
          <w:color w:val="000000" w:themeColor="text1"/>
          <w:sz w:val="22"/>
          <w:szCs w:val="22"/>
        </w:rPr>
        <w:t xml:space="preserve"> Garantizar los defectos y vicios ocultos de las obras de infraestructura, urbanización y equipamiento urbano, mediante fianza o hipoteca; garantías que deberá constituir a favor del Gobierno del Estado o del municipio según corresponda la recepción de las mismas, por un monto equivalente al veinte por ciento del valor de las obras al momento de su entrega recepción. </w:t>
      </w:r>
    </w:p>
    <w:p w14:paraId="57F9ADFC"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La realización de estas obras se hará del conocimiento público de conformidad con lo que establezca el reglamento; </w:t>
      </w:r>
    </w:p>
    <w:p w14:paraId="79B40F76"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w:t>
      </w:r>
      <w:r w:rsidRPr="00594F82">
        <w:rPr>
          <w:rFonts w:ascii="Palatino Linotype" w:hAnsi="Palatino Linotype"/>
          <w:i/>
          <w:iCs/>
          <w:color w:val="000000" w:themeColor="text1"/>
          <w:sz w:val="22"/>
          <w:szCs w:val="22"/>
        </w:rPr>
        <w:t xml:space="preserve"> Efectuar el pago de la publicación en el Periódico Oficial “Gaceta del Gobierno” de la autorización correspondiente; </w:t>
      </w:r>
    </w:p>
    <w:p w14:paraId="32821433"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j)</w:t>
      </w:r>
      <w:r w:rsidRPr="00594F82">
        <w:rPr>
          <w:rFonts w:ascii="Palatino Linotype" w:hAnsi="Palatino Linotype"/>
          <w:i/>
          <w:iCs/>
          <w:color w:val="000000" w:themeColor="text1"/>
          <w:sz w:val="22"/>
          <w:szCs w:val="22"/>
        </w:rPr>
        <w:t xml:space="preserve"> Inscribir en el Instituto de la Función Registral el acuerdo de autorización respectivo y sus planos correspondientes, así como comprobar ante la Secretaría el haber realizado dicha inscripción, dentro de los 90 días hábiles siguientes a la fecha de publicación de la autorización en el Periódico Oficial “Gaceta del Gobierno”; </w:t>
      </w:r>
    </w:p>
    <w:p w14:paraId="17F2CFA9"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k)</w:t>
      </w:r>
      <w:r w:rsidRPr="00594F82">
        <w:rPr>
          <w:rFonts w:ascii="Palatino Linotype" w:hAnsi="Palatino Linotype"/>
          <w:i/>
          <w:iCs/>
          <w:color w:val="000000" w:themeColor="text1"/>
          <w:sz w:val="22"/>
          <w:szCs w:val="22"/>
        </w:rPr>
        <w:t xml:space="preserve"> Abstenerse de enajenar los lotes de terreno hipotecados a favor del Estado o del respectivo municipio; </w:t>
      </w:r>
    </w:p>
    <w:p w14:paraId="211FF1BE"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l)</w:t>
      </w:r>
      <w:r w:rsidRPr="00594F82">
        <w:rPr>
          <w:rFonts w:ascii="Palatino Linotype" w:hAnsi="Palatino Linotype"/>
          <w:i/>
          <w:iCs/>
          <w:color w:val="000000" w:themeColor="text1"/>
          <w:sz w:val="22"/>
          <w:szCs w:val="22"/>
        </w:rPr>
        <w:t xml:space="preserve"> Pagar los impuestos y derechos de conformidad con lo que establezcan los acuerdos de autorización del desarrollo; </w:t>
      </w:r>
    </w:p>
    <w:p w14:paraId="7E3BF709"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m)</w:t>
      </w:r>
      <w:r w:rsidRPr="00594F82">
        <w:rPr>
          <w:rFonts w:ascii="Palatino Linotype" w:hAnsi="Palatino Linotype"/>
          <w:i/>
          <w:iCs/>
          <w:color w:val="000000" w:themeColor="text1"/>
          <w:sz w:val="22"/>
          <w:szCs w:val="22"/>
        </w:rPr>
        <w:t xml:space="preserve"> Proporcionar a las autoridades federales, estatales y municipales competentes, toda la información y documentación que se les requiera, para la supervisión de las obras de infraestructura, urbanización y equipamiento urbano que establezcan las autorizaciones, así como otorgar a los peritos designados para la supervisión de las obras, todas las facilidades que se requieran para el adecuado seguimiento de las mismas y acatar las observaciones que le formulen las autoridades competentes, con motivo de la supervisión que realicen durante la ejecución de las obras; </w:t>
      </w:r>
    </w:p>
    <w:p w14:paraId="3BBEDA58" w14:textId="77777777" w:rsidR="00180328" w:rsidRPr="00594F82" w:rsidRDefault="00CF30A1" w:rsidP="006B0995">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lastRenderedPageBreak/>
        <w:t>n)</w:t>
      </w:r>
      <w:r w:rsidRPr="00594F82">
        <w:rPr>
          <w:rFonts w:ascii="Palatino Linotype" w:hAnsi="Palatino Linotype"/>
          <w:i/>
          <w:iCs/>
          <w:color w:val="000000" w:themeColor="text1"/>
          <w:sz w:val="22"/>
          <w:szCs w:val="22"/>
        </w:rPr>
        <w:t xml:space="preserve"> Dar aviso de la terminación de las obras de infraestructura, urbanización y equipamiento y hacer la entrega de las mismas a las autoridades municipales o estatales según corresponda, de conformidad con lo que prescriban las disposiciones reglamentarias del presente Libro; </w:t>
      </w:r>
    </w:p>
    <w:p w14:paraId="3BD04701"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o)</w:t>
      </w:r>
      <w:r w:rsidRPr="00594F82">
        <w:rPr>
          <w:rFonts w:ascii="Palatino Linotype" w:hAnsi="Palatino Linotype"/>
          <w:i/>
          <w:iCs/>
          <w:color w:val="000000" w:themeColor="text1"/>
          <w:sz w:val="22"/>
          <w:szCs w:val="22"/>
        </w:rPr>
        <w:t xml:space="preserve"> Prestar gratuitamente los servicios de suministro de agua potable y drenaje a los adquirentes de las viviendas del desarrollo autorizado, hasta en tanto el desarrollador entregue al Municipio correspondiente las obras de infraestructura, urbanización y equipamiento urbano establecidas en la Autorización; y </w:t>
      </w:r>
    </w:p>
    <w:p w14:paraId="2098EF59" w14:textId="5839C891" w:rsidR="006B0995"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p)</w:t>
      </w:r>
      <w:r w:rsidRPr="00594F82">
        <w:rPr>
          <w:rFonts w:ascii="Palatino Linotype" w:hAnsi="Palatino Linotype"/>
          <w:i/>
          <w:iCs/>
          <w:color w:val="000000" w:themeColor="text1"/>
          <w:sz w:val="22"/>
          <w:szCs w:val="22"/>
        </w:rPr>
        <w:t xml:space="preserve"> Las demás que establezcan otras disposiciones legales aplicables. </w:t>
      </w:r>
    </w:p>
    <w:p w14:paraId="11FF6D36" w14:textId="77777777" w:rsidR="00180328"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 xml:space="preserve">XI. </w:t>
      </w:r>
      <w:r w:rsidRPr="00594F82">
        <w:rPr>
          <w:rFonts w:ascii="Palatino Linotype" w:hAnsi="Palatino Linotype"/>
          <w:i/>
          <w:iCs/>
          <w:color w:val="000000" w:themeColor="text1"/>
          <w:sz w:val="22"/>
          <w:szCs w:val="22"/>
        </w:rPr>
        <w:t xml:space="preserve">Serán solidariamente responsables del cumplimiento de las obligaciones previstas en este Libro, su reglamentación y en la autorización: </w:t>
      </w:r>
    </w:p>
    <w:p w14:paraId="00E375BF"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a)</w:t>
      </w:r>
      <w:r w:rsidRPr="00594F82">
        <w:rPr>
          <w:rFonts w:ascii="Palatino Linotype" w:hAnsi="Palatino Linotype"/>
          <w:i/>
          <w:iCs/>
          <w:color w:val="000000" w:themeColor="text1"/>
          <w:sz w:val="22"/>
          <w:szCs w:val="22"/>
        </w:rPr>
        <w:t xml:space="preserve"> El titular de la autorización del conjunto urbano y el propietario del terreno, cuando sean personas distintas, así como sus causahabientes; y </w:t>
      </w:r>
    </w:p>
    <w:p w14:paraId="07B906ED"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b)</w:t>
      </w:r>
      <w:r w:rsidRPr="00594F82">
        <w:rPr>
          <w:rFonts w:ascii="Palatino Linotype" w:hAnsi="Palatino Linotype"/>
          <w:i/>
          <w:iCs/>
          <w:color w:val="000000" w:themeColor="text1"/>
          <w:sz w:val="22"/>
          <w:szCs w:val="22"/>
        </w:rPr>
        <w:t xml:space="preserve"> En el caso de fideicomisos, el fideicomitente y la fiduciaria en lo que corresponda. </w:t>
      </w:r>
    </w:p>
    <w:p w14:paraId="10249A20" w14:textId="3128DD28"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c)</w:t>
      </w:r>
      <w:r w:rsidRPr="00594F82">
        <w:rPr>
          <w:rFonts w:ascii="Palatino Linotype" w:hAnsi="Palatino Linotype"/>
          <w:i/>
          <w:iCs/>
          <w:color w:val="000000" w:themeColor="text1"/>
          <w:sz w:val="22"/>
          <w:szCs w:val="22"/>
        </w:rPr>
        <w:t xml:space="preserve"> Compradores de lotes en bloque. </w:t>
      </w:r>
    </w:p>
    <w:p w14:paraId="47551C35" w14:textId="77777777" w:rsidR="00180328"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XII.</w:t>
      </w:r>
      <w:r w:rsidRPr="00594F82">
        <w:rPr>
          <w:rFonts w:ascii="Palatino Linotype" w:hAnsi="Palatino Linotype"/>
          <w:i/>
          <w:iCs/>
          <w:color w:val="000000" w:themeColor="text1"/>
          <w:sz w:val="22"/>
          <w:szCs w:val="22"/>
        </w:rPr>
        <w:t xml:space="preserve"> La promoción y publicidad sobre lotes de un conjunto urbano deberá apegarse a la autorización respectiva y será de tal naturaleza, que permita una adecuada orientación al adquirente. Queda prohibida la propaganda engañosa que ofrezca condiciones, situaciones o bienes que no estén contemplados en la autorización; y </w:t>
      </w:r>
    </w:p>
    <w:p w14:paraId="44C05410" w14:textId="77777777" w:rsidR="00180328"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XIII.</w:t>
      </w:r>
      <w:r w:rsidRPr="00594F82">
        <w:rPr>
          <w:rFonts w:ascii="Palatino Linotype" w:hAnsi="Palatino Linotype"/>
          <w:i/>
          <w:iCs/>
          <w:color w:val="000000" w:themeColor="text1"/>
          <w:sz w:val="22"/>
          <w:szCs w:val="22"/>
        </w:rPr>
        <w:t xml:space="preserve"> Los permisos para la venta de lotes se otorgarán de la manera siguiente: </w:t>
      </w:r>
    </w:p>
    <w:p w14:paraId="74F2F04F"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a)</w:t>
      </w:r>
      <w:r w:rsidRPr="00594F82">
        <w:rPr>
          <w:rFonts w:ascii="Palatino Linotype" w:hAnsi="Palatino Linotype"/>
          <w:i/>
          <w:iCs/>
          <w:color w:val="000000" w:themeColor="text1"/>
          <w:sz w:val="22"/>
          <w:szCs w:val="22"/>
        </w:rPr>
        <w:t xml:space="preserve"> Un primer permiso por el cincuenta por ciento al inicio de la ejecución de las obras de urbanización, equipamiento e infraestructura. </w:t>
      </w:r>
    </w:p>
    <w:p w14:paraId="5C94EF61"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b)</w:t>
      </w:r>
      <w:r w:rsidRPr="00594F82">
        <w:rPr>
          <w:rFonts w:ascii="Palatino Linotype" w:hAnsi="Palatino Linotype"/>
          <w:i/>
          <w:iCs/>
          <w:color w:val="000000" w:themeColor="text1"/>
          <w:sz w:val="22"/>
          <w:szCs w:val="22"/>
        </w:rPr>
        <w:t xml:space="preserve"> Un segundo permiso por el veinticinco por ciento, cuando se tenga concluido el cincuenta por ciento de las obras señaladas. </w:t>
      </w:r>
    </w:p>
    <w:p w14:paraId="7D14380B"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c)</w:t>
      </w:r>
      <w:r w:rsidRPr="00594F82">
        <w:rPr>
          <w:rFonts w:ascii="Palatino Linotype" w:hAnsi="Palatino Linotype"/>
          <w:i/>
          <w:iCs/>
          <w:color w:val="000000" w:themeColor="text1"/>
          <w:sz w:val="22"/>
          <w:szCs w:val="22"/>
        </w:rPr>
        <w:t xml:space="preserve"> El restante veinticinco por ciento, cuando se tenga concluido el cien por ciento de dichas obras. </w:t>
      </w:r>
    </w:p>
    <w:p w14:paraId="061D5DE2" w14:textId="77777777"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No se otorgará permiso de venta alguno si no se acredita previamente la garantía de las obras de urbanización, equipamiento o infraestructura faltantes. </w:t>
      </w:r>
    </w:p>
    <w:p w14:paraId="55B9CA3D" w14:textId="0BB6FD3A" w:rsidR="00180328" w:rsidRPr="00594F82" w:rsidRDefault="00CF30A1" w:rsidP="00180328">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 xml:space="preserve">Para la venta de lotes o vivienda nueva en que intervenga una desarrolladora de conjuntos urbanos, se deberá acreditar por esta ante fedatario público con quien se formalice la operación, estar al corriente en el pago del impuesto predial y de derechos por el suministro de agua, en concordancia con lo establecido en los artículos 107 y 129 del Código Financiero del Estado de México y Municipios, requisito sin el cual no podrá verificarse la compraventa. </w:t>
      </w:r>
    </w:p>
    <w:p w14:paraId="4480F7F6" w14:textId="77777777" w:rsidR="00180328"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XIV.</w:t>
      </w:r>
      <w:r w:rsidRPr="00594F82">
        <w:rPr>
          <w:rFonts w:ascii="Palatino Linotype" w:hAnsi="Palatino Linotype"/>
          <w:i/>
          <w:iCs/>
          <w:color w:val="000000" w:themeColor="text1"/>
          <w:sz w:val="22"/>
          <w:szCs w:val="22"/>
        </w:rPr>
        <w:t xml:space="preserve"> Derogada. </w:t>
      </w:r>
    </w:p>
    <w:p w14:paraId="24EB5870" w14:textId="77777777" w:rsidR="00180328"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lastRenderedPageBreak/>
        <w:t>XV.</w:t>
      </w:r>
      <w:r w:rsidRPr="00594F82">
        <w:rPr>
          <w:rFonts w:ascii="Palatino Linotype" w:hAnsi="Palatino Linotype"/>
          <w:i/>
          <w:iCs/>
          <w:color w:val="000000" w:themeColor="text1"/>
          <w:sz w:val="22"/>
          <w:szCs w:val="22"/>
        </w:rPr>
        <w:t xml:space="preserve"> La vivienda en áreas no urbanizables se sujetará a lo establecido en la reglamentación de este Libro y los planes municipales de desarrollo urbano. </w:t>
      </w:r>
    </w:p>
    <w:p w14:paraId="59C6148F" w14:textId="029EFF35" w:rsidR="00280870" w:rsidRPr="00594F82" w:rsidRDefault="00CF30A1" w:rsidP="0028087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XVI.</w:t>
      </w:r>
      <w:r w:rsidRPr="00594F82">
        <w:rPr>
          <w:rFonts w:ascii="Palatino Linotype" w:hAnsi="Palatino Linotype"/>
          <w:i/>
          <w:iCs/>
          <w:color w:val="000000" w:themeColor="text1"/>
          <w:sz w:val="22"/>
          <w:szCs w:val="22"/>
        </w:rPr>
        <w:t xml:space="preserve"> No se emitirán nuevas autorizaciones a los solicitantes o sus socios, en caso de personas jurídicas colectivas, que tengan un atraso igual o mayor al cincuenta por ciento del cumplimiento de las obligaciones que con anterioridad se les hayan fijado en autorizaciones emitidas a su favor, hasta en tanto acrediten su cumplimiento.</w:t>
      </w:r>
      <w:r w:rsidR="00180328" w:rsidRPr="00594F82">
        <w:rPr>
          <w:rFonts w:ascii="Palatino Linotype" w:hAnsi="Palatino Linotype"/>
          <w:i/>
          <w:iCs/>
          <w:color w:val="000000" w:themeColor="text1"/>
          <w:sz w:val="22"/>
          <w:szCs w:val="22"/>
        </w:rPr>
        <w:t>”</w:t>
      </w:r>
    </w:p>
    <w:p w14:paraId="3466BF8E" w14:textId="77777777" w:rsidR="00280870" w:rsidRPr="00594F82" w:rsidRDefault="00280870" w:rsidP="00C853EF">
      <w:pPr>
        <w:pStyle w:val="Prrafodelista"/>
        <w:tabs>
          <w:tab w:val="left" w:pos="426"/>
        </w:tabs>
        <w:spacing w:line="360" w:lineRule="auto"/>
        <w:ind w:left="0" w:right="51"/>
        <w:jc w:val="both"/>
        <w:rPr>
          <w:rFonts w:ascii="Palatino Linotype" w:hAnsi="Palatino Linotype"/>
          <w:color w:val="000000" w:themeColor="text1"/>
        </w:rPr>
      </w:pPr>
    </w:p>
    <w:p w14:paraId="0FDA8B02" w14:textId="6E6CBB2D" w:rsidR="00C853EF" w:rsidRPr="00594F82" w:rsidRDefault="007766B2"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De lo anterior se colige que, como fuera señalado por el </w:t>
      </w:r>
      <w:r w:rsidRPr="00594F82">
        <w:rPr>
          <w:rFonts w:ascii="Palatino Linotype" w:eastAsia="MS Mincho" w:hAnsi="Palatino Linotype" w:cs="Times New Roman"/>
          <w:b/>
          <w:bCs/>
          <w:color w:val="000000"/>
        </w:rPr>
        <w:t>SUJETO OBLIGADO</w:t>
      </w:r>
      <w:r w:rsidRPr="00594F82">
        <w:rPr>
          <w:rFonts w:ascii="Palatino Linotype" w:eastAsia="MS Mincho" w:hAnsi="Palatino Linotype" w:cs="Times New Roman"/>
          <w:color w:val="000000"/>
        </w:rPr>
        <w:t xml:space="preserve"> a través de su respuesta y posterior informe justificado, la </w:t>
      </w:r>
      <w:r w:rsidRPr="00594F82">
        <w:rPr>
          <w:rFonts w:ascii="Palatino Linotype" w:eastAsia="MS Mincho" w:hAnsi="Palatino Linotype" w:cs="Times New Roman"/>
          <w:b/>
          <w:bCs/>
          <w:color w:val="000000"/>
        </w:rPr>
        <w:t>autorización de condominio</w:t>
      </w:r>
      <w:r w:rsidR="00714346" w:rsidRPr="00594F82">
        <w:rPr>
          <w:rFonts w:ascii="Palatino Linotype" w:eastAsia="MS Mincho" w:hAnsi="Palatino Linotype" w:cs="Times New Roman"/>
          <w:color w:val="000000"/>
        </w:rPr>
        <w:t xml:space="preserve"> consiste en un trámite que debe ser realizado ante la </w:t>
      </w:r>
      <w:r w:rsidR="00714346" w:rsidRPr="00594F82">
        <w:rPr>
          <w:rFonts w:ascii="Palatino Linotype" w:eastAsia="MS Mincho" w:hAnsi="Palatino Linotype" w:cs="Times New Roman"/>
          <w:b/>
          <w:bCs/>
          <w:color w:val="000000"/>
        </w:rPr>
        <w:t>Secretaría de Desarrollo Urbano y Obra</w:t>
      </w:r>
      <w:r w:rsidR="00714346" w:rsidRPr="00594F82">
        <w:rPr>
          <w:rFonts w:ascii="Palatino Linotype" w:eastAsia="MS Mincho" w:hAnsi="Palatino Linotype" w:cs="Times New Roman"/>
          <w:color w:val="000000"/>
        </w:rPr>
        <w:t>, y no ante el ayuntamiento</w:t>
      </w:r>
      <w:r w:rsidR="00B478CF" w:rsidRPr="00594F82">
        <w:rPr>
          <w:rFonts w:ascii="Palatino Linotype" w:eastAsia="MS Mincho" w:hAnsi="Palatino Linotype" w:cs="Times New Roman"/>
          <w:color w:val="000000"/>
        </w:rPr>
        <w:t>.</w:t>
      </w:r>
    </w:p>
    <w:p w14:paraId="1E080831" w14:textId="77777777" w:rsidR="00A9000F" w:rsidRPr="00594F82" w:rsidRDefault="00A9000F" w:rsidP="00A9000F">
      <w:pPr>
        <w:pStyle w:val="Prrafodelista"/>
        <w:tabs>
          <w:tab w:val="left" w:pos="426"/>
        </w:tabs>
        <w:spacing w:line="360" w:lineRule="auto"/>
        <w:ind w:left="0" w:right="51"/>
        <w:jc w:val="both"/>
        <w:rPr>
          <w:rFonts w:ascii="Palatino Linotype" w:hAnsi="Palatino Linotype"/>
          <w:color w:val="000000" w:themeColor="text1"/>
        </w:rPr>
      </w:pPr>
    </w:p>
    <w:p w14:paraId="244F2ABA" w14:textId="1066A218" w:rsidR="00A9000F" w:rsidRPr="00594F82" w:rsidRDefault="00B478CF" w:rsidP="00CD7E3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eastAsia="MS Mincho" w:hAnsi="Palatino Linotype" w:cs="Times New Roman"/>
          <w:color w:val="000000"/>
        </w:rPr>
        <w:t xml:space="preserve">Por lo tanto, toda vez que el </w:t>
      </w:r>
      <w:r w:rsidRPr="00594F82">
        <w:rPr>
          <w:rFonts w:ascii="Palatino Linotype" w:eastAsia="MS Mincho" w:hAnsi="Palatino Linotype" w:cs="Times New Roman"/>
          <w:b/>
          <w:bCs/>
          <w:color w:val="000000"/>
        </w:rPr>
        <w:t>SUJETO OBLIGADO</w:t>
      </w:r>
      <w:r w:rsidRPr="00594F82">
        <w:rPr>
          <w:rFonts w:ascii="Palatino Linotype" w:eastAsia="MS Mincho" w:hAnsi="Palatino Linotype" w:cs="Times New Roman"/>
          <w:color w:val="000000"/>
        </w:rPr>
        <w:t xml:space="preserve"> presentó, en vía de informe justificado, el Acuerdo del Comité de Transparencia </w:t>
      </w:r>
      <w:r w:rsidR="00682241" w:rsidRPr="00594F82">
        <w:rPr>
          <w:rFonts w:ascii="Palatino Linotype" w:eastAsia="MS Mincho" w:hAnsi="Palatino Linotype" w:cs="Times New Roman"/>
          <w:color w:val="000000"/>
        </w:rPr>
        <w:t>en el que</w:t>
      </w:r>
      <w:r w:rsidRPr="00594F82">
        <w:rPr>
          <w:rFonts w:ascii="Palatino Linotype" w:eastAsia="MS Mincho" w:hAnsi="Palatino Linotype" w:cs="Times New Roman"/>
          <w:color w:val="000000"/>
        </w:rPr>
        <w:t xml:space="preserve"> manifiesta su incompetencia para poseer, generar o administrar la información requerida a través de la solicitud </w:t>
      </w:r>
      <w:r w:rsidRPr="00594F82">
        <w:rPr>
          <w:rFonts w:ascii="Palatino Linotype" w:eastAsia="MS Mincho" w:hAnsi="Palatino Linotype" w:cs="Times New Roman"/>
          <w:b/>
          <w:bCs/>
          <w:color w:val="000000"/>
        </w:rPr>
        <w:t>00686/NAUCALPA/IP/2022</w:t>
      </w:r>
      <w:r w:rsidRPr="00594F82">
        <w:rPr>
          <w:rFonts w:ascii="Palatino Linotype" w:eastAsia="MS Mincho" w:hAnsi="Palatino Linotype" w:cs="Times New Roman"/>
          <w:color w:val="000000"/>
        </w:rPr>
        <w:t xml:space="preserve">, este Órgano Garante concluye que </w:t>
      </w:r>
      <w:r w:rsidR="007A2D2D" w:rsidRPr="00594F82">
        <w:rPr>
          <w:rFonts w:ascii="Palatino Linotype" w:eastAsia="MS Mincho" w:hAnsi="Palatino Linotype" w:cs="Times New Roman"/>
          <w:color w:val="000000"/>
        </w:rPr>
        <w:t xml:space="preserve">el Ayuntamiento de Naucalpan de Juárez </w:t>
      </w:r>
      <w:r w:rsidRPr="00594F82">
        <w:rPr>
          <w:rFonts w:ascii="Palatino Linotype" w:eastAsia="MS Mincho" w:hAnsi="Palatino Linotype" w:cs="Times New Roman"/>
          <w:b/>
          <w:bCs/>
          <w:color w:val="000000"/>
        </w:rPr>
        <w:t>col</w:t>
      </w:r>
      <w:r w:rsidR="009107CD" w:rsidRPr="00594F82">
        <w:rPr>
          <w:rFonts w:ascii="Palatino Linotype" w:eastAsia="MS Mincho" w:hAnsi="Palatino Linotype" w:cs="Times New Roman"/>
          <w:b/>
          <w:bCs/>
          <w:color w:val="000000"/>
        </w:rPr>
        <w:t>mó</w:t>
      </w:r>
      <w:r w:rsidR="009107CD" w:rsidRPr="00594F82">
        <w:rPr>
          <w:rFonts w:ascii="Palatino Linotype" w:eastAsia="MS Mincho" w:hAnsi="Palatino Linotype" w:cs="Times New Roman"/>
          <w:color w:val="000000"/>
        </w:rPr>
        <w:t xml:space="preserve"> el requerimiento relativo a la </w:t>
      </w:r>
      <w:r w:rsidR="009107CD" w:rsidRPr="00594F82">
        <w:rPr>
          <w:rFonts w:ascii="Palatino Linotype" w:eastAsia="MS Mincho" w:hAnsi="Palatino Linotype" w:cs="Times New Roman"/>
          <w:b/>
          <w:bCs/>
          <w:color w:val="000000"/>
        </w:rPr>
        <w:t>autorización de condominio</w:t>
      </w:r>
      <w:r w:rsidR="009107CD" w:rsidRPr="00594F82">
        <w:rPr>
          <w:rFonts w:ascii="Palatino Linotype" w:eastAsia="MS Mincho" w:hAnsi="Palatino Linotype" w:cs="Times New Roman"/>
          <w:color w:val="000000"/>
        </w:rPr>
        <w:t>.</w:t>
      </w:r>
    </w:p>
    <w:p w14:paraId="68203AF8" w14:textId="77777777" w:rsidR="00A9000F" w:rsidRPr="00594F82" w:rsidRDefault="00A9000F" w:rsidP="00A9000F">
      <w:pPr>
        <w:pStyle w:val="Prrafodelista"/>
        <w:tabs>
          <w:tab w:val="left" w:pos="426"/>
        </w:tabs>
        <w:spacing w:line="360" w:lineRule="auto"/>
        <w:ind w:left="0" w:right="51"/>
        <w:jc w:val="both"/>
        <w:rPr>
          <w:rFonts w:ascii="Palatino Linotype" w:hAnsi="Palatino Linotype"/>
          <w:color w:val="000000" w:themeColor="text1"/>
        </w:rPr>
      </w:pPr>
    </w:p>
    <w:p w14:paraId="510034CE" w14:textId="24B252DD" w:rsidR="00CF73C6" w:rsidRPr="00594F82" w:rsidRDefault="00551A50" w:rsidP="00CD7E32">
      <w:pPr>
        <w:pStyle w:val="Prrafodelista"/>
        <w:numPr>
          <w:ilvl w:val="0"/>
          <w:numId w:val="1"/>
        </w:numPr>
        <w:tabs>
          <w:tab w:val="left" w:pos="426"/>
        </w:tabs>
        <w:spacing w:line="360" w:lineRule="auto"/>
        <w:ind w:right="51"/>
        <w:jc w:val="both"/>
        <w:rPr>
          <w:rFonts w:ascii="Palatino Linotype" w:hAnsi="Palatino Linotype"/>
          <w:b/>
          <w:bCs/>
          <w:color w:val="000000" w:themeColor="text1"/>
        </w:rPr>
      </w:pPr>
      <w:r w:rsidRPr="00594F82">
        <w:rPr>
          <w:rFonts w:ascii="Palatino Linotype" w:eastAsia="MS Mincho" w:hAnsi="Palatino Linotype" w:cs="Times New Roman"/>
          <w:color w:val="000000"/>
        </w:rPr>
        <w:t>Razón de lo anterior</w:t>
      </w:r>
      <w:r w:rsidR="0013111C" w:rsidRPr="00594F82">
        <w:rPr>
          <w:rFonts w:ascii="Palatino Linotype" w:eastAsia="MS Mincho" w:hAnsi="Palatino Linotype" w:cs="Times New Roman"/>
          <w:color w:val="000000"/>
        </w:rPr>
        <w:t xml:space="preserve">, se dejan a salvo los derechos del particular para que, de considerarlo idóneo a sus intereses, formule una solicitud de información a la </w:t>
      </w:r>
      <w:r w:rsidR="0013111C" w:rsidRPr="00594F82">
        <w:rPr>
          <w:rFonts w:ascii="Palatino Linotype" w:eastAsia="MS Mincho" w:hAnsi="Palatino Linotype" w:cs="Times New Roman"/>
          <w:b/>
          <w:bCs/>
          <w:color w:val="000000"/>
        </w:rPr>
        <w:t>Secretaría de Desarrollo Urbano y Obra</w:t>
      </w:r>
      <w:r w:rsidR="0013111C" w:rsidRPr="00594F82">
        <w:rPr>
          <w:rFonts w:ascii="Palatino Linotype" w:eastAsia="MS Mincho" w:hAnsi="Palatino Linotype" w:cs="Times New Roman"/>
          <w:color w:val="000000"/>
        </w:rPr>
        <w:t>.</w:t>
      </w:r>
    </w:p>
    <w:p w14:paraId="27BA8EAA"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69911839" w14:textId="6AD65C56" w:rsidR="009465B0" w:rsidRPr="00594F82" w:rsidRDefault="009465B0" w:rsidP="009465B0">
      <w:pPr>
        <w:pStyle w:val="Prrafodelista"/>
        <w:tabs>
          <w:tab w:val="left" w:pos="426"/>
        </w:tabs>
        <w:spacing w:line="360" w:lineRule="auto"/>
        <w:ind w:left="0" w:right="51"/>
        <w:jc w:val="both"/>
        <w:outlineLvl w:val="2"/>
        <w:rPr>
          <w:rFonts w:ascii="Palatino Linotype" w:hAnsi="Palatino Linotype"/>
          <w:b/>
          <w:bCs/>
          <w:color w:val="000000" w:themeColor="text1"/>
        </w:rPr>
      </w:pPr>
      <w:r w:rsidRPr="00594F82">
        <w:rPr>
          <w:rFonts w:ascii="Palatino Linotype" w:hAnsi="Palatino Linotype"/>
          <w:b/>
          <w:bCs/>
          <w:color w:val="000000" w:themeColor="text1"/>
        </w:rPr>
        <w:t>III.II. Del Ayuntamiento de Naucalpan de Juárez.</w:t>
      </w:r>
    </w:p>
    <w:p w14:paraId="680699F1"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110120F8" w14:textId="77777777" w:rsidR="00205B35" w:rsidRPr="00594F82" w:rsidRDefault="00205B35" w:rsidP="00205B35">
      <w:pPr>
        <w:numPr>
          <w:ilvl w:val="0"/>
          <w:numId w:val="1"/>
        </w:numPr>
        <w:tabs>
          <w:tab w:val="left" w:pos="426"/>
        </w:tabs>
        <w:spacing w:line="360" w:lineRule="auto"/>
        <w:ind w:right="49"/>
        <w:contextualSpacing/>
        <w:jc w:val="both"/>
        <w:rPr>
          <w:rFonts w:ascii="Palatino Linotype" w:hAnsi="Palatino Linotype"/>
          <w:color w:val="000000" w:themeColor="text1"/>
        </w:rPr>
      </w:pPr>
      <w:r w:rsidRPr="00594F82">
        <w:rPr>
          <w:rFonts w:ascii="Palatino Linotype" w:hAnsi="Palatino Linotype"/>
          <w:color w:val="000000" w:themeColor="text1"/>
        </w:rPr>
        <w:t xml:space="preserve">El </w:t>
      </w:r>
      <w:r w:rsidRPr="00594F82">
        <w:rPr>
          <w:rFonts w:ascii="Palatino Linotype" w:hAnsi="Palatino Linotype" w:cs="Arial"/>
          <w:color w:val="000000"/>
        </w:rPr>
        <w:t xml:space="preserve">artículo 115 de la Constitución Política de los Estados Unidos Mexicanos, en su fracción II, establece que </w:t>
      </w:r>
      <w:r w:rsidRPr="00594F82">
        <w:rPr>
          <w:rFonts w:ascii="Palatino Linotype" w:hAnsi="Palatino Linotype" w:cs="Arial"/>
          <w:b/>
          <w:color w:val="000000"/>
        </w:rPr>
        <w:t xml:space="preserve">los municipios estarán investidos de personalidad </w:t>
      </w:r>
      <w:r w:rsidRPr="00594F82">
        <w:rPr>
          <w:rFonts w:ascii="Palatino Linotype" w:hAnsi="Palatino Linotype" w:cs="Arial"/>
          <w:b/>
          <w:color w:val="000000"/>
        </w:rPr>
        <w:lastRenderedPageBreak/>
        <w:t>jurídica y manejarán su patrimonio conforme a la ley</w:t>
      </w:r>
      <w:r w:rsidRPr="00594F82">
        <w:rPr>
          <w:rFonts w:ascii="Palatino Linotype" w:hAnsi="Palatino Linotype" w:cs="Arial"/>
          <w:color w:val="000000"/>
        </w:rPr>
        <w:t>. Por lo tanto,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35A9638" w14:textId="77777777" w:rsidR="00205B35" w:rsidRPr="00594F82" w:rsidRDefault="00205B35" w:rsidP="00205B35">
      <w:pPr>
        <w:tabs>
          <w:tab w:val="left" w:pos="426"/>
        </w:tabs>
        <w:spacing w:line="360" w:lineRule="auto"/>
        <w:ind w:right="49"/>
        <w:contextualSpacing/>
        <w:jc w:val="both"/>
        <w:rPr>
          <w:rFonts w:ascii="Palatino Linotype" w:hAnsi="Palatino Linotype"/>
          <w:color w:val="000000" w:themeColor="text1"/>
        </w:rPr>
      </w:pPr>
    </w:p>
    <w:p w14:paraId="7541D129" w14:textId="77777777" w:rsidR="00205B35" w:rsidRPr="00594F82" w:rsidRDefault="00205B35" w:rsidP="00205B3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Por su parte, la Ley Orgánica Municipal del Estado de México establece que cada municipio será gobernado por un ayuntamiento de elección popular directa y no habrá ninguna autoridad intermedia entre éste y el Gobierno del Estado</w:t>
      </w:r>
      <w:r w:rsidRPr="00594F82">
        <w:rPr>
          <w:rStyle w:val="Refdenotaalpie"/>
          <w:rFonts w:ascii="Palatino Linotype" w:hAnsi="Palatino Linotype" w:cs="Arial"/>
          <w:color w:val="000000"/>
        </w:rPr>
        <w:footnoteReference w:id="19"/>
      </w:r>
      <w:r w:rsidRPr="00594F82">
        <w:rPr>
          <w:rFonts w:ascii="Palatino Linotype" w:hAnsi="Palatino Linotype" w:cs="Arial"/>
          <w:color w:val="000000"/>
        </w:rPr>
        <w:t>. Los ayuntamientos se renovarán cada tres años, iniciarán su periodo el uno (01) de enero del año inmediato siguiente al de las elecciones municipales ordinarias y concluirán el treinta y uno (31) de diciembre del año de las elecciones para su renovación; y se integrarán por</w:t>
      </w:r>
      <w:r w:rsidRPr="00594F82">
        <w:rPr>
          <w:rStyle w:val="Refdenotaalpie"/>
          <w:rFonts w:ascii="Palatino Linotype" w:hAnsi="Palatino Linotype" w:cs="Arial"/>
          <w:color w:val="000000"/>
        </w:rPr>
        <w:footnoteReference w:id="20"/>
      </w:r>
      <w:r w:rsidRPr="00594F82">
        <w:rPr>
          <w:rFonts w:ascii="Palatino Linotype" w:hAnsi="Palatino Linotype" w:cs="Arial"/>
          <w:color w:val="000000"/>
        </w:rPr>
        <w:t>:</w:t>
      </w:r>
    </w:p>
    <w:p w14:paraId="7902049B"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5D77B21B"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Un presidente, un síndico y cinco regidores, electos por planilla según el principio de mayoría relativa, y cuatro regidores designados según el principio de representación proporcional, cuando se trate de municipios </w:t>
      </w:r>
      <w:r w:rsidRPr="00594F82">
        <w:rPr>
          <w:rFonts w:ascii="Palatino Linotype" w:hAnsi="Palatino Linotype" w:cs="Arial"/>
          <w:color w:val="000000"/>
        </w:rPr>
        <w:lastRenderedPageBreak/>
        <w:t xml:space="preserve">que tengan una población de más de 150 mil habitantes y menos de 500 mil habitantes. </w:t>
      </w:r>
    </w:p>
    <w:p w14:paraId="53F8A321"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0497035B" w14:textId="77777777" w:rsidR="00205B35" w:rsidRPr="00594F82" w:rsidRDefault="00205B35" w:rsidP="00205B35">
      <w:pPr>
        <w:pStyle w:val="Prrafodelista"/>
        <w:tabs>
          <w:tab w:val="left" w:pos="426"/>
        </w:tabs>
        <w:spacing w:line="360" w:lineRule="auto"/>
        <w:ind w:left="0" w:right="51"/>
        <w:jc w:val="both"/>
        <w:rPr>
          <w:rFonts w:ascii="Palatino Linotype" w:hAnsi="Palatino Linotype"/>
          <w:color w:val="000000" w:themeColor="text1"/>
        </w:rPr>
      </w:pPr>
    </w:p>
    <w:p w14:paraId="30686FC9" w14:textId="77777777" w:rsidR="00205B35" w:rsidRPr="00594F82" w:rsidRDefault="00205B35" w:rsidP="00205B3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w:t>
      </w:r>
      <w:r w:rsidRPr="00594F82">
        <w:rPr>
          <w:rStyle w:val="Refdenotaalpie"/>
          <w:rFonts w:ascii="Palatino Linotype" w:hAnsi="Palatino Linotype" w:cs="Arial"/>
          <w:color w:val="000000"/>
        </w:rPr>
        <w:footnoteReference w:id="21"/>
      </w:r>
      <w:r w:rsidRPr="00594F82">
        <w:rPr>
          <w:rFonts w:ascii="Palatino Linotype" w:hAnsi="Palatino Linotype" w:cs="Arial"/>
          <w:color w:val="000000"/>
        </w:rPr>
        <w:t>.</w:t>
      </w:r>
    </w:p>
    <w:p w14:paraId="31952E90" w14:textId="77777777" w:rsidR="00205B35" w:rsidRPr="00594F82" w:rsidRDefault="00205B35" w:rsidP="00205B35">
      <w:pPr>
        <w:pStyle w:val="Prrafodelista"/>
        <w:tabs>
          <w:tab w:val="left" w:pos="426"/>
        </w:tabs>
        <w:spacing w:line="360" w:lineRule="auto"/>
        <w:ind w:left="0" w:right="51"/>
        <w:jc w:val="both"/>
        <w:rPr>
          <w:rFonts w:ascii="Palatino Linotype" w:hAnsi="Palatino Linotype"/>
          <w:color w:val="000000" w:themeColor="text1"/>
        </w:rPr>
      </w:pPr>
    </w:p>
    <w:p w14:paraId="43281B29" w14:textId="77777777" w:rsidR="00205B35" w:rsidRPr="00594F82" w:rsidRDefault="00205B35" w:rsidP="00205B3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Ahora bien, de conformidad con lo establecido por el artículo 87 de la Ley Orgánica Municipal del Estado de México, los ayuntamientos se conformarán, al menos, por las siguientes dependencias:</w:t>
      </w:r>
    </w:p>
    <w:p w14:paraId="74A6CD5B" w14:textId="77777777" w:rsidR="00205B35" w:rsidRPr="00594F82" w:rsidRDefault="00205B35" w:rsidP="00205B35">
      <w:pPr>
        <w:pStyle w:val="Prrafodelista"/>
        <w:tabs>
          <w:tab w:val="left" w:pos="426"/>
        </w:tabs>
        <w:spacing w:line="360" w:lineRule="auto"/>
        <w:ind w:left="0" w:right="51"/>
        <w:jc w:val="both"/>
        <w:rPr>
          <w:rFonts w:ascii="Palatino Linotype" w:hAnsi="Palatino Linotype"/>
          <w:color w:val="000000" w:themeColor="text1"/>
        </w:rPr>
      </w:pPr>
    </w:p>
    <w:p w14:paraId="3E21179E"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r w:rsidRPr="00594F82">
        <w:rPr>
          <w:rFonts w:ascii="Palatino Linotype" w:hAnsi="Palatino Linotype"/>
          <w:b/>
          <w:bCs/>
          <w:i/>
          <w:iCs/>
          <w:color w:val="000000" w:themeColor="text1"/>
          <w:sz w:val="22"/>
          <w:szCs w:val="22"/>
        </w:rPr>
        <w:t>Artículo 87.-</w:t>
      </w:r>
      <w:r w:rsidRPr="00594F82">
        <w:rPr>
          <w:rFonts w:ascii="Palatino Linotype" w:hAnsi="Palatino Linotype"/>
          <w:i/>
          <w:iCs/>
          <w:color w:val="000000" w:themeColor="text1"/>
          <w:sz w:val="22"/>
          <w:szCs w:val="22"/>
        </w:rPr>
        <w:t xml:space="preserve"> Para el despacho, estudio y planeación de los diversos asuntos de la administración municipal, el ayuntamiento contará por lo menos con las siguientes Dependencias: </w:t>
      </w:r>
    </w:p>
    <w:p w14:paraId="1693D01C"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w:t>
      </w:r>
      <w:r w:rsidRPr="00594F82">
        <w:rPr>
          <w:rFonts w:ascii="Palatino Linotype" w:hAnsi="Palatino Linotype"/>
          <w:i/>
          <w:iCs/>
          <w:color w:val="000000" w:themeColor="text1"/>
          <w:sz w:val="22"/>
          <w:szCs w:val="22"/>
        </w:rPr>
        <w:t xml:space="preserve"> La secretaría del ayuntamiento; </w:t>
      </w:r>
    </w:p>
    <w:p w14:paraId="3FA36F21"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r w:rsidRPr="00594F82">
        <w:rPr>
          <w:rFonts w:ascii="Palatino Linotype" w:hAnsi="Palatino Linotype"/>
          <w:b/>
          <w:bCs/>
          <w:i/>
          <w:iCs/>
          <w:color w:val="000000" w:themeColor="text1"/>
          <w:sz w:val="22"/>
          <w:szCs w:val="22"/>
        </w:rPr>
        <w:t xml:space="preserve">II. </w:t>
      </w:r>
      <w:r w:rsidRPr="00594F82">
        <w:rPr>
          <w:rFonts w:ascii="Palatino Linotype" w:hAnsi="Palatino Linotype"/>
          <w:bCs/>
          <w:i/>
          <w:iCs/>
          <w:color w:val="000000" w:themeColor="text1"/>
          <w:sz w:val="22"/>
          <w:szCs w:val="22"/>
        </w:rPr>
        <w:t>La tesorería municipal.</w:t>
      </w:r>
      <w:r w:rsidRPr="00594F82">
        <w:rPr>
          <w:rFonts w:ascii="Palatino Linotype" w:hAnsi="Palatino Linotype"/>
          <w:b/>
          <w:bCs/>
          <w:i/>
          <w:iCs/>
          <w:color w:val="000000" w:themeColor="text1"/>
          <w:sz w:val="22"/>
          <w:szCs w:val="22"/>
        </w:rPr>
        <w:t xml:space="preserve"> </w:t>
      </w:r>
    </w:p>
    <w:p w14:paraId="7BEB1E39"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 xml:space="preserve">III. </w:t>
      </w:r>
      <w:r w:rsidRPr="00594F82">
        <w:rPr>
          <w:rFonts w:ascii="Palatino Linotype" w:hAnsi="Palatino Linotype"/>
          <w:i/>
          <w:iCs/>
          <w:color w:val="000000" w:themeColor="text1"/>
          <w:sz w:val="22"/>
          <w:szCs w:val="22"/>
        </w:rPr>
        <w:t xml:space="preserve">La Dirección de Obras Públicas o equivalente. </w:t>
      </w:r>
    </w:p>
    <w:p w14:paraId="05F37DBA"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IV.</w:t>
      </w:r>
      <w:r w:rsidRPr="00594F82">
        <w:rPr>
          <w:rFonts w:ascii="Palatino Linotype" w:hAnsi="Palatino Linotype"/>
          <w:i/>
          <w:iCs/>
          <w:color w:val="000000" w:themeColor="text1"/>
          <w:sz w:val="22"/>
          <w:szCs w:val="22"/>
        </w:rPr>
        <w:t xml:space="preserve"> La Dirección de Desarrollo Económico o equivalente. </w:t>
      </w:r>
    </w:p>
    <w:p w14:paraId="692AF633"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b/>
          <w:bCs/>
          <w:i/>
          <w:iCs/>
          <w:color w:val="000000" w:themeColor="text1"/>
          <w:sz w:val="22"/>
          <w:szCs w:val="22"/>
        </w:rPr>
      </w:pPr>
      <w:r w:rsidRPr="00594F82">
        <w:rPr>
          <w:rFonts w:ascii="Palatino Linotype" w:hAnsi="Palatino Linotype"/>
          <w:b/>
          <w:bCs/>
          <w:i/>
          <w:iCs/>
          <w:color w:val="000000" w:themeColor="text1"/>
          <w:sz w:val="22"/>
          <w:szCs w:val="22"/>
        </w:rPr>
        <w:t xml:space="preserve">V. La Dirección de Desarrollo Urbano o equivalente; </w:t>
      </w:r>
    </w:p>
    <w:p w14:paraId="3033F41F"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w:t>
      </w:r>
      <w:r w:rsidRPr="00594F82">
        <w:rPr>
          <w:rFonts w:ascii="Palatino Linotype" w:hAnsi="Palatino Linotype"/>
          <w:i/>
          <w:iCs/>
          <w:color w:val="000000" w:themeColor="text1"/>
          <w:sz w:val="22"/>
          <w:szCs w:val="22"/>
        </w:rPr>
        <w:t xml:space="preserve"> La Dirección de Ecología o equivalente. </w:t>
      </w:r>
    </w:p>
    <w:p w14:paraId="54290AD3"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VII.</w:t>
      </w:r>
      <w:r w:rsidRPr="00594F82">
        <w:rPr>
          <w:rFonts w:ascii="Palatino Linotype" w:hAnsi="Palatino Linotype"/>
          <w:i/>
          <w:iCs/>
          <w:color w:val="000000" w:themeColor="text1"/>
          <w:sz w:val="22"/>
          <w:szCs w:val="22"/>
        </w:rPr>
        <w:t xml:space="preserve"> La Dirección de Desarrollo Social o equivalente. </w:t>
      </w:r>
    </w:p>
    <w:p w14:paraId="45911805"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VIII.</w:t>
      </w:r>
      <w:r w:rsidRPr="00594F82">
        <w:rPr>
          <w:rFonts w:ascii="Palatino Linotype" w:hAnsi="Palatino Linotype"/>
          <w:i/>
          <w:iCs/>
          <w:color w:val="000000" w:themeColor="text1"/>
          <w:sz w:val="22"/>
          <w:szCs w:val="22"/>
        </w:rPr>
        <w:t xml:space="preserve"> La Coordinación Municipal de Protección Civil o equivalente. </w:t>
      </w:r>
    </w:p>
    <w:p w14:paraId="6A5349B6"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lastRenderedPageBreak/>
        <w:t>IX.</w:t>
      </w:r>
      <w:r w:rsidRPr="00594F82">
        <w:rPr>
          <w:rFonts w:ascii="Palatino Linotype" w:hAnsi="Palatino Linotype"/>
          <w:i/>
          <w:iCs/>
          <w:color w:val="000000" w:themeColor="text1"/>
          <w:sz w:val="22"/>
          <w:szCs w:val="22"/>
        </w:rPr>
        <w:t xml:space="preserve"> La Dirección de las Mujeres o equivalente.”</w:t>
      </w:r>
    </w:p>
    <w:p w14:paraId="183FB96A" w14:textId="77777777" w:rsidR="00205B35" w:rsidRPr="00594F82" w:rsidRDefault="00205B35" w:rsidP="00205B35">
      <w:pPr>
        <w:pStyle w:val="Prrafodelista"/>
        <w:tabs>
          <w:tab w:val="left" w:pos="426"/>
        </w:tabs>
        <w:spacing w:line="276" w:lineRule="auto"/>
        <w:ind w:left="567" w:right="567"/>
        <w:jc w:val="both"/>
        <w:rPr>
          <w:rFonts w:ascii="Palatino Linotype" w:hAnsi="Palatino Linotype"/>
          <w:color w:val="000000" w:themeColor="text1"/>
          <w:sz w:val="22"/>
          <w:szCs w:val="22"/>
        </w:rPr>
      </w:pPr>
      <w:r w:rsidRPr="00594F82">
        <w:rPr>
          <w:rFonts w:ascii="Palatino Linotype" w:hAnsi="Palatino Linotype"/>
          <w:color w:val="000000" w:themeColor="text1"/>
          <w:sz w:val="22"/>
          <w:szCs w:val="22"/>
        </w:rPr>
        <w:t>(Énfasis añadido)</w:t>
      </w:r>
    </w:p>
    <w:p w14:paraId="5FB8D95E" w14:textId="77777777" w:rsidR="00205B35" w:rsidRPr="00594F82" w:rsidRDefault="00205B35" w:rsidP="00205B35">
      <w:pPr>
        <w:pStyle w:val="Prrafodelista"/>
        <w:tabs>
          <w:tab w:val="left" w:pos="426"/>
        </w:tabs>
        <w:spacing w:line="360" w:lineRule="auto"/>
        <w:ind w:left="0" w:right="51"/>
        <w:jc w:val="both"/>
        <w:rPr>
          <w:rFonts w:ascii="Palatino Linotype" w:hAnsi="Palatino Linotype"/>
          <w:color w:val="000000" w:themeColor="text1"/>
        </w:rPr>
      </w:pPr>
    </w:p>
    <w:p w14:paraId="5177DE63" w14:textId="77777777" w:rsidR="00205B35" w:rsidRPr="00594F82" w:rsidRDefault="00205B35" w:rsidP="00205B3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Por su parte, la Dirección de Desarrollo Urbano será el órgano del ayuntamiento encargado de planear, organizar y ejecutar las acciones en materia de ordenamiento territorial dentro del municipio. Por ello es que contará, entre sus funciones, con las siguientes</w:t>
      </w:r>
      <w:r w:rsidRPr="00594F82">
        <w:rPr>
          <w:rStyle w:val="Refdenotaalpie"/>
          <w:rFonts w:ascii="Palatino Linotype" w:hAnsi="Palatino Linotype" w:cs="Arial"/>
          <w:color w:val="000000"/>
        </w:rPr>
        <w:footnoteReference w:id="22"/>
      </w:r>
      <w:r w:rsidRPr="00594F82">
        <w:rPr>
          <w:rFonts w:ascii="Palatino Linotype" w:hAnsi="Palatino Linotype" w:cs="Arial"/>
          <w:color w:val="000000"/>
        </w:rPr>
        <w:t>:</w:t>
      </w:r>
    </w:p>
    <w:p w14:paraId="7E9B63BD"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Ejecutar la política en materia de </w:t>
      </w:r>
      <w:r w:rsidRPr="00594F82">
        <w:rPr>
          <w:rFonts w:ascii="Palatino Linotype" w:hAnsi="Palatino Linotype" w:cs="Arial"/>
          <w:b/>
          <w:bCs/>
          <w:color w:val="000000"/>
        </w:rPr>
        <w:t>reordenamiento urbano</w:t>
      </w:r>
      <w:r w:rsidRPr="00594F82">
        <w:rPr>
          <w:rFonts w:ascii="Palatino Linotype" w:hAnsi="Palatino Linotype" w:cs="Arial"/>
          <w:color w:val="000000"/>
        </w:rPr>
        <w:t>;</w:t>
      </w:r>
    </w:p>
    <w:p w14:paraId="2A4E3974"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Aplicar y vigilar el cumplimiento de las disposiciones legales en materia de </w:t>
      </w:r>
      <w:r w:rsidRPr="00594F82">
        <w:rPr>
          <w:rFonts w:ascii="Palatino Linotype" w:hAnsi="Palatino Linotype" w:cs="Arial"/>
          <w:b/>
          <w:bCs/>
          <w:color w:val="000000"/>
        </w:rPr>
        <w:t>ordenamiento territorial</w:t>
      </w:r>
      <w:r w:rsidRPr="00594F82">
        <w:rPr>
          <w:rFonts w:ascii="Palatino Linotype" w:hAnsi="Palatino Linotype" w:cs="Arial"/>
          <w:color w:val="000000"/>
        </w:rPr>
        <w:t xml:space="preserve"> de los asentamientos humanos, del desarrollo urbano y vivienda; </w:t>
      </w:r>
    </w:p>
    <w:p w14:paraId="15FEF148"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b/>
          <w:color w:val="000000"/>
        </w:rPr>
        <w:t>Analizar las</w:t>
      </w:r>
      <w:r w:rsidRPr="00594F82">
        <w:rPr>
          <w:rFonts w:ascii="Palatino Linotype" w:hAnsi="Palatino Linotype" w:cs="Arial"/>
          <w:color w:val="000000"/>
        </w:rPr>
        <w:t xml:space="preserve"> cédulas informativas de zonificación, </w:t>
      </w:r>
      <w:r w:rsidRPr="00594F82">
        <w:rPr>
          <w:rFonts w:ascii="Palatino Linotype" w:hAnsi="Palatino Linotype" w:cs="Arial"/>
          <w:b/>
          <w:color w:val="000000"/>
        </w:rPr>
        <w:t>licencias de uso de suelo y licencias de construcción</w:t>
      </w:r>
      <w:r w:rsidRPr="00594F82">
        <w:rPr>
          <w:rFonts w:ascii="Palatino Linotype" w:hAnsi="Palatino Linotype" w:cs="Arial"/>
          <w:color w:val="000000"/>
        </w:rPr>
        <w:t>; y</w:t>
      </w:r>
    </w:p>
    <w:p w14:paraId="707B1E56" w14:textId="77777777" w:rsidR="00205B35" w:rsidRPr="00594F82" w:rsidRDefault="00205B35" w:rsidP="00205B35">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b/>
          <w:bCs/>
          <w:color w:val="000000"/>
        </w:rPr>
        <w:t>Vigilar la utilización y aprovechamiento del suelo</w:t>
      </w:r>
      <w:r w:rsidRPr="00594F82">
        <w:rPr>
          <w:rFonts w:ascii="Palatino Linotype" w:hAnsi="Palatino Linotype" w:cs="Arial"/>
          <w:color w:val="000000"/>
        </w:rPr>
        <w:t xml:space="preserve"> con fines urbanos, en su circunscripción territorial.</w:t>
      </w:r>
    </w:p>
    <w:p w14:paraId="604CABC8"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100D6986" w14:textId="2F14B24D" w:rsidR="00EC3B73" w:rsidRPr="00594F82" w:rsidRDefault="00612317"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Lo anterior es armonizado a través del Bando Municipal 2022 de Naucalpan de Juárez, </w:t>
      </w:r>
      <w:r w:rsidR="00682241" w:rsidRPr="00594F82">
        <w:rPr>
          <w:rFonts w:ascii="Palatino Linotype" w:hAnsi="Palatino Linotype" w:cs="Arial"/>
          <w:color w:val="000000"/>
        </w:rPr>
        <w:t>que</w:t>
      </w:r>
      <w:r w:rsidRPr="00594F82">
        <w:rPr>
          <w:rFonts w:ascii="Palatino Linotype" w:hAnsi="Palatino Linotype" w:cs="Arial"/>
          <w:color w:val="000000"/>
        </w:rPr>
        <w:t xml:space="preserve"> reconoce que la </w:t>
      </w:r>
      <w:r w:rsidR="00C80B74" w:rsidRPr="00594F82">
        <w:rPr>
          <w:rFonts w:ascii="Palatino Linotype" w:hAnsi="Palatino Linotype" w:cs="Arial"/>
          <w:color w:val="000000"/>
        </w:rPr>
        <w:t xml:space="preserve">administración pública municipal se entenderá como el conjunto de órganos y autoridades, a través de los </w:t>
      </w:r>
      <w:r w:rsidR="00682241" w:rsidRPr="00594F82">
        <w:rPr>
          <w:rFonts w:ascii="Palatino Linotype" w:hAnsi="Palatino Linotype" w:cs="Arial"/>
          <w:color w:val="000000"/>
        </w:rPr>
        <w:t>que</w:t>
      </w:r>
      <w:r w:rsidR="00C80B74" w:rsidRPr="00594F82">
        <w:rPr>
          <w:rFonts w:ascii="Palatino Linotype" w:hAnsi="Palatino Linotype" w:cs="Arial"/>
          <w:color w:val="000000"/>
        </w:rPr>
        <w:t xml:space="preserve"> el municipio realizará actividades para satisfacer las necesidades generales que constituyen el objeto de los servicios y funciones públicas, mismas que se realizan de manera permanente y continua, siempre de acuerdo con el interés público y general</w:t>
      </w:r>
      <w:r w:rsidR="00C80B74" w:rsidRPr="00594F82">
        <w:rPr>
          <w:rStyle w:val="Refdenotaalpie"/>
          <w:rFonts w:ascii="Palatino Linotype" w:hAnsi="Palatino Linotype" w:cs="Arial"/>
          <w:color w:val="000000"/>
        </w:rPr>
        <w:footnoteReference w:id="23"/>
      </w:r>
      <w:r w:rsidR="00C80B74" w:rsidRPr="00594F82">
        <w:rPr>
          <w:rFonts w:ascii="Palatino Linotype" w:hAnsi="Palatino Linotype" w:cs="Arial"/>
          <w:color w:val="000000"/>
        </w:rPr>
        <w:t>.</w:t>
      </w:r>
    </w:p>
    <w:p w14:paraId="786713CF"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0ED795E7" w14:textId="36CAEC09" w:rsidR="00EC3B73" w:rsidRPr="00594F82" w:rsidRDefault="008459B3"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lastRenderedPageBreak/>
        <w:t xml:space="preserve">De conformidad con lo dispuesto por el numeral </w:t>
      </w:r>
      <w:r w:rsidR="0092543E" w:rsidRPr="00594F82">
        <w:rPr>
          <w:rFonts w:ascii="Palatino Linotype" w:hAnsi="Palatino Linotype" w:cs="Arial"/>
          <w:color w:val="000000"/>
        </w:rPr>
        <w:t>43</w:t>
      </w:r>
      <w:r w:rsidRPr="00594F82">
        <w:rPr>
          <w:rFonts w:ascii="Palatino Linotype" w:hAnsi="Palatino Linotype" w:cs="Arial"/>
          <w:color w:val="000000"/>
        </w:rPr>
        <w:t xml:space="preserve"> del Bando Municipal 2022 del </w:t>
      </w:r>
      <w:r w:rsidRPr="00594F82">
        <w:rPr>
          <w:rFonts w:ascii="Palatino Linotype" w:hAnsi="Palatino Linotype" w:cs="Arial"/>
          <w:b/>
          <w:bCs/>
          <w:color w:val="000000"/>
        </w:rPr>
        <w:t>SUJETO OBLIGADO</w:t>
      </w:r>
      <w:r w:rsidRPr="00594F82">
        <w:rPr>
          <w:rFonts w:ascii="Palatino Linotype" w:hAnsi="Palatino Linotype" w:cs="Arial"/>
          <w:color w:val="000000"/>
        </w:rPr>
        <w:t>, la administración pública municipal</w:t>
      </w:r>
      <w:r w:rsidR="0092543E" w:rsidRPr="00594F82">
        <w:rPr>
          <w:rFonts w:ascii="Palatino Linotype" w:hAnsi="Palatino Linotype" w:cs="Arial"/>
          <w:color w:val="000000"/>
        </w:rPr>
        <w:t xml:space="preserve"> se dividirá de la siguiente forma:</w:t>
      </w:r>
    </w:p>
    <w:p w14:paraId="256FEB94"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3BED2F84" w14:textId="77777777" w:rsidR="00283964" w:rsidRPr="00594F82" w:rsidRDefault="0092543E" w:rsidP="0092543E">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r w:rsidR="00283964" w:rsidRPr="00594F82">
        <w:rPr>
          <w:rFonts w:ascii="Palatino Linotype" w:hAnsi="Palatino Linotype"/>
          <w:b/>
          <w:bCs/>
          <w:i/>
          <w:iCs/>
          <w:color w:val="000000" w:themeColor="text1"/>
          <w:sz w:val="22"/>
          <w:szCs w:val="22"/>
        </w:rPr>
        <w:t>Artículo 43.</w:t>
      </w:r>
      <w:r w:rsidR="00283964" w:rsidRPr="00594F82">
        <w:rPr>
          <w:rFonts w:ascii="Palatino Linotype" w:hAnsi="Palatino Linotype"/>
          <w:i/>
          <w:iCs/>
          <w:color w:val="000000" w:themeColor="text1"/>
          <w:sz w:val="22"/>
          <w:szCs w:val="22"/>
        </w:rPr>
        <w:t xml:space="preserve"> La Administración Pública Centralizada y Descentralizada se </w:t>
      </w:r>
      <w:proofErr w:type="gramStart"/>
      <w:r w:rsidR="00283964" w:rsidRPr="00594F82">
        <w:rPr>
          <w:rFonts w:ascii="Palatino Linotype" w:hAnsi="Palatino Linotype"/>
          <w:i/>
          <w:iCs/>
          <w:color w:val="000000" w:themeColor="text1"/>
          <w:sz w:val="22"/>
          <w:szCs w:val="22"/>
        </w:rPr>
        <w:t>constituyen</w:t>
      </w:r>
      <w:proofErr w:type="gramEnd"/>
      <w:r w:rsidR="00283964" w:rsidRPr="00594F82">
        <w:rPr>
          <w:rFonts w:ascii="Palatino Linotype" w:hAnsi="Palatino Linotype"/>
          <w:i/>
          <w:iCs/>
          <w:color w:val="000000" w:themeColor="text1"/>
          <w:sz w:val="22"/>
          <w:szCs w:val="22"/>
        </w:rPr>
        <w:t xml:space="preserve"> por las dependencias que señala la Ley Orgánica Municipal del Estado de México, aquellas que determine el Reglamento Orgánico y por las que sean creadas por el Ayuntamiento, mismas que estarán jerárquicamente subordinadas al Presidente Municipal. </w:t>
      </w:r>
    </w:p>
    <w:p w14:paraId="732744AE" w14:textId="1CA9DF6E" w:rsidR="0092543E" w:rsidRPr="00594F82" w:rsidRDefault="00283964" w:rsidP="0092543E">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A).</w:t>
      </w:r>
      <w:r w:rsidRPr="00594F82">
        <w:rPr>
          <w:rFonts w:ascii="Palatino Linotype" w:hAnsi="Palatino Linotype"/>
          <w:i/>
          <w:iCs/>
          <w:color w:val="000000" w:themeColor="text1"/>
          <w:sz w:val="22"/>
          <w:szCs w:val="22"/>
        </w:rPr>
        <w:t>La Administración Pública Centralizada está integrada por:</w:t>
      </w:r>
    </w:p>
    <w:p w14:paraId="0623B514" w14:textId="4767F742" w:rsidR="00283964" w:rsidRPr="00594F82" w:rsidRDefault="00283964" w:rsidP="00283964">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6DFFD584" w14:textId="2E635901" w:rsidR="00283964" w:rsidRPr="00594F82" w:rsidRDefault="009B3CD8" w:rsidP="00283964">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IX.</w:t>
      </w:r>
      <w:r w:rsidRPr="00594F82">
        <w:rPr>
          <w:rFonts w:ascii="Palatino Linotype" w:hAnsi="Palatino Linotype"/>
          <w:i/>
          <w:iCs/>
          <w:color w:val="000000" w:themeColor="text1"/>
          <w:sz w:val="22"/>
          <w:szCs w:val="22"/>
        </w:rPr>
        <w:t xml:space="preserve"> Dirección General de Desarrollo Urbano;</w:t>
      </w:r>
    </w:p>
    <w:p w14:paraId="7FC4BCBE" w14:textId="42430548" w:rsidR="00283964" w:rsidRPr="00594F82" w:rsidRDefault="00283964" w:rsidP="00283964">
      <w:pPr>
        <w:pStyle w:val="Prrafodelista"/>
        <w:tabs>
          <w:tab w:val="left" w:pos="426"/>
        </w:tabs>
        <w:spacing w:line="276" w:lineRule="auto"/>
        <w:ind w:left="851"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652F4173" w14:textId="77777777" w:rsidR="0092543E" w:rsidRPr="00594F82" w:rsidRDefault="0092543E" w:rsidP="00EC3B73">
      <w:pPr>
        <w:pStyle w:val="Prrafodelista"/>
        <w:tabs>
          <w:tab w:val="left" w:pos="426"/>
        </w:tabs>
        <w:spacing w:line="360" w:lineRule="auto"/>
        <w:ind w:left="0" w:right="51"/>
        <w:jc w:val="both"/>
        <w:rPr>
          <w:rFonts w:ascii="Palatino Linotype" w:hAnsi="Palatino Linotype"/>
          <w:color w:val="000000" w:themeColor="text1"/>
        </w:rPr>
      </w:pPr>
    </w:p>
    <w:p w14:paraId="415DA20B" w14:textId="1DC59D5A" w:rsidR="00EC3B73" w:rsidRPr="00594F82" w:rsidRDefault="009B3CD8"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La Dirección General de Desarrollo Urbano será la dependencia de la administración pública municipal</w:t>
      </w:r>
      <w:r w:rsidR="002F26D8" w:rsidRPr="00594F82">
        <w:rPr>
          <w:rFonts w:ascii="Palatino Linotype" w:hAnsi="Palatino Linotype" w:cs="Arial"/>
          <w:color w:val="000000"/>
        </w:rPr>
        <w:t xml:space="preserve"> encargada de planear, ordenar y regular, los asentamientos humanos en el territorio municipal, el desarrollo urbano, la infraestructura vial local a cargo del Municipio y los anuncios, </w:t>
      </w:r>
      <w:r w:rsidR="00682241" w:rsidRPr="00594F82">
        <w:rPr>
          <w:rFonts w:ascii="Palatino Linotype" w:hAnsi="Palatino Linotype" w:cs="Arial"/>
          <w:color w:val="000000"/>
        </w:rPr>
        <w:t>que</w:t>
      </w:r>
      <w:r w:rsidR="002F26D8" w:rsidRPr="00594F82">
        <w:rPr>
          <w:rFonts w:ascii="Palatino Linotype" w:hAnsi="Palatino Linotype" w:cs="Arial"/>
          <w:color w:val="000000"/>
        </w:rPr>
        <w:t xml:space="preserve"> podrá concertar y acordar acciones con las autoridades de la Federación, de los Estados, de la Ciudad de México u otros Municipios, debiendo vigilar el cumplimiento de las disposiciones jurídicas que regulan esas materias</w:t>
      </w:r>
      <w:r w:rsidR="002F26D8" w:rsidRPr="00594F82">
        <w:rPr>
          <w:rStyle w:val="Refdenotaalpie"/>
          <w:rFonts w:ascii="Palatino Linotype" w:hAnsi="Palatino Linotype" w:cs="Arial"/>
          <w:color w:val="000000"/>
        </w:rPr>
        <w:footnoteReference w:id="24"/>
      </w:r>
      <w:r w:rsidR="002F26D8" w:rsidRPr="00594F82">
        <w:rPr>
          <w:rFonts w:ascii="Palatino Linotype" w:hAnsi="Palatino Linotype" w:cs="Arial"/>
          <w:color w:val="000000"/>
        </w:rPr>
        <w:t>.</w:t>
      </w:r>
    </w:p>
    <w:p w14:paraId="51AD5E83"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51B9437D" w14:textId="7FD46957" w:rsidR="00EC3B73" w:rsidRPr="00594F82" w:rsidRDefault="0021514E"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No es ocioso mencionar que este Órgano Garante </w:t>
      </w:r>
      <w:r w:rsidR="00B1011E" w:rsidRPr="00594F82">
        <w:rPr>
          <w:rFonts w:ascii="Palatino Linotype" w:hAnsi="Palatino Linotype" w:cs="Arial"/>
          <w:color w:val="000000"/>
        </w:rPr>
        <w:t>realizó una búsqueda en el portal oficial del Ayuntamiento de Naucalpan de Juárez</w:t>
      </w:r>
      <w:r w:rsidR="00B1011E" w:rsidRPr="00594F82">
        <w:rPr>
          <w:rStyle w:val="Refdenotaalpie"/>
          <w:rFonts w:ascii="Palatino Linotype" w:hAnsi="Palatino Linotype" w:cs="Arial"/>
          <w:color w:val="000000"/>
        </w:rPr>
        <w:footnoteReference w:id="25"/>
      </w:r>
      <w:r w:rsidR="00B1011E" w:rsidRPr="00594F82">
        <w:rPr>
          <w:rFonts w:ascii="Palatino Linotype" w:hAnsi="Palatino Linotype" w:cs="Arial"/>
          <w:color w:val="000000"/>
        </w:rPr>
        <w:t>, específicamente en su apartado de</w:t>
      </w:r>
      <w:r w:rsidR="00B43F5B" w:rsidRPr="00594F82">
        <w:rPr>
          <w:rFonts w:ascii="Palatino Linotype" w:hAnsi="Palatino Linotype" w:cs="Arial"/>
          <w:color w:val="000000"/>
        </w:rPr>
        <w:t xml:space="preserve">nominado </w:t>
      </w:r>
      <w:r w:rsidR="00B43F5B" w:rsidRPr="00594F82">
        <w:rPr>
          <w:rFonts w:ascii="Palatino Linotype" w:hAnsi="Palatino Linotype" w:cs="Arial"/>
          <w:i/>
          <w:iCs/>
          <w:color w:val="000000"/>
        </w:rPr>
        <w:t>Reglamentos Municipales</w:t>
      </w:r>
      <w:r w:rsidR="00B43F5B" w:rsidRPr="00594F82">
        <w:rPr>
          <w:rStyle w:val="Refdenotaalpie"/>
          <w:rFonts w:ascii="Palatino Linotype" w:hAnsi="Palatino Linotype" w:cs="Arial"/>
          <w:i/>
          <w:iCs/>
          <w:color w:val="000000"/>
        </w:rPr>
        <w:footnoteReference w:id="26"/>
      </w:r>
      <w:r w:rsidR="00B43F5B" w:rsidRPr="00594F82">
        <w:rPr>
          <w:rFonts w:ascii="Palatino Linotype" w:hAnsi="Palatino Linotype" w:cs="Arial"/>
          <w:color w:val="000000"/>
        </w:rPr>
        <w:t xml:space="preserve">, encontrándose </w:t>
      </w:r>
      <w:r w:rsidR="00FC5161" w:rsidRPr="00594F82">
        <w:rPr>
          <w:rFonts w:ascii="Palatino Linotype" w:hAnsi="Palatino Linotype" w:cs="Arial"/>
          <w:color w:val="000000"/>
        </w:rPr>
        <w:t xml:space="preserve">el Reglamento del </w:t>
      </w:r>
      <w:r w:rsidR="00FC5161" w:rsidRPr="00594F82">
        <w:rPr>
          <w:rFonts w:ascii="Palatino Linotype" w:hAnsi="Palatino Linotype" w:cs="Arial"/>
          <w:color w:val="000000"/>
        </w:rPr>
        <w:lastRenderedPageBreak/>
        <w:t>Ordenamiento Territorial de los Asentamientos Humanos y Desarrollo Urbano del Municipio de Naucalpan de Juárez</w:t>
      </w:r>
      <w:r w:rsidR="00DD1ED4" w:rsidRPr="00594F82">
        <w:rPr>
          <w:rFonts w:ascii="Palatino Linotype" w:hAnsi="Palatino Linotype" w:cs="Arial"/>
          <w:color w:val="000000"/>
        </w:rPr>
        <w:t>.</w:t>
      </w:r>
    </w:p>
    <w:p w14:paraId="030FA7F4"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02023D5A" w14:textId="1B3FD358" w:rsidR="00EC3B73" w:rsidRPr="00594F82" w:rsidRDefault="004E0E70"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Dicha normatividad, en su numeral 88, establece que la</w:t>
      </w:r>
      <w:r w:rsidR="006D1070" w:rsidRPr="00594F82">
        <w:rPr>
          <w:rFonts w:ascii="Palatino Linotype" w:hAnsi="Palatino Linotype" w:cs="Arial"/>
          <w:color w:val="000000"/>
        </w:rPr>
        <w:t>s</w:t>
      </w:r>
      <w:r w:rsidRPr="00594F82">
        <w:rPr>
          <w:rFonts w:ascii="Palatino Linotype" w:hAnsi="Palatino Linotype" w:cs="Arial"/>
          <w:color w:val="000000"/>
        </w:rPr>
        <w:t xml:space="preserve"> </w:t>
      </w:r>
      <w:r w:rsidRPr="00594F82">
        <w:rPr>
          <w:rFonts w:ascii="Palatino Linotype" w:hAnsi="Palatino Linotype" w:cs="Arial"/>
          <w:b/>
          <w:bCs/>
          <w:color w:val="000000"/>
        </w:rPr>
        <w:t>licencia</w:t>
      </w:r>
      <w:r w:rsidR="006D1070" w:rsidRPr="00594F82">
        <w:rPr>
          <w:rFonts w:ascii="Palatino Linotype" w:hAnsi="Palatino Linotype" w:cs="Arial"/>
          <w:b/>
          <w:bCs/>
          <w:color w:val="000000"/>
        </w:rPr>
        <w:t>s</w:t>
      </w:r>
      <w:r w:rsidRPr="00594F82">
        <w:rPr>
          <w:rFonts w:ascii="Palatino Linotype" w:hAnsi="Palatino Linotype" w:cs="Arial"/>
          <w:b/>
          <w:bCs/>
          <w:color w:val="000000"/>
        </w:rPr>
        <w:t xml:space="preserve"> de construcción</w:t>
      </w:r>
      <w:r w:rsidRPr="00594F82">
        <w:rPr>
          <w:rFonts w:ascii="Palatino Linotype" w:hAnsi="Palatino Linotype" w:cs="Arial"/>
          <w:color w:val="000000"/>
        </w:rPr>
        <w:t xml:space="preserve"> será</w:t>
      </w:r>
      <w:r w:rsidR="006D1070" w:rsidRPr="00594F82">
        <w:rPr>
          <w:rFonts w:ascii="Palatino Linotype" w:hAnsi="Palatino Linotype" w:cs="Arial"/>
          <w:color w:val="000000"/>
        </w:rPr>
        <w:t>n</w:t>
      </w:r>
      <w:r w:rsidRPr="00594F82">
        <w:rPr>
          <w:rFonts w:ascii="Palatino Linotype" w:hAnsi="Palatino Linotype" w:cs="Arial"/>
          <w:color w:val="000000"/>
        </w:rPr>
        <w:t xml:space="preserve"> </w:t>
      </w:r>
      <w:r w:rsidR="006D1070" w:rsidRPr="00594F82">
        <w:rPr>
          <w:rFonts w:ascii="Palatino Linotype" w:hAnsi="Palatino Linotype" w:cs="Arial"/>
          <w:color w:val="000000"/>
        </w:rPr>
        <w:t xml:space="preserve">expedidas por la </w:t>
      </w:r>
      <w:r w:rsidR="006D1070" w:rsidRPr="00594F82">
        <w:rPr>
          <w:rFonts w:ascii="Palatino Linotype" w:hAnsi="Palatino Linotype" w:cs="Arial"/>
          <w:b/>
          <w:bCs/>
          <w:color w:val="000000"/>
        </w:rPr>
        <w:t>Dirección General de Desarrollo Urbano</w:t>
      </w:r>
      <w:r w:rsidR="00DD1ED4" w:rsidRPr="00594F82">
        <w:rPr>
          <w:rFonts w:ascii="Palatino Linotype" w:hAnsi="Palatino Linotype" w:cs="Arial"/>
          <w:color w:val="000000"/>
        </w:rPr>
        <w:t>, y tendrán por único objeto el sujetar a las edificaciones que se realicen en el territorio municipal a la normatividad contenida en los Planes de Desarrollo Urbano correspondientes, al Reglamento y a los demás ordenamientos legales aplicables.</w:t>
      </w:r>
    </w:p>
    <w:p w14:paraId="0AAADF63"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7E195D1C" w14:textId="474495DA" w:rsidR="00EC3B73" w:rsidRPr="00594F82" w:rsidRDefault="00DD1ED4"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Por su parte, el artículo 89, fracción XII, del Reglamento del Ordenamiento Territorial de los Asentamientos Humanos y Desarrollo Urbano del Municipio de Naucalpan de Juárez, establece lo siguiente:</w:t>
      </w:r>
    </w:p>
    <w:p w14:paraId="58487EBB"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7FE18569" w14:textId="498640A5" w:rsidR="00DD1ED4" w:rsidRPr="00594F82" w:rsidRDefault="00DD1ED4" w:rsidP="00DD1ED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r w:rsidR="002D75DE" w:rsidRPr="00594F82">
        <w:rPr>
          <w:rFonts w:ascii="Palatino Linotype" w:hAnsi="Palatino Linotype"/>
          <w:b/>
          <w:bCs/>
          <w:i/>
          <w:iCs/>
          <w:color w:val="000000" w:themeColor="text1"/>
          <w:sz w:val="22"/>
          <w:szCs w:val="22"/>
        </w:rPr>
        <w:t>Artículo 89.-</w:t>
      </w:r>
      <w:r w:rsidR="002D75DE" w:rsidRPr="00594F82">
        <w:rPr>
          <w:rFonts w:ascii="Palatino Linotype" w:hAnsi="Palatino Linotype"/>
          <w:i/>
          <w:iCs/>
          <w:color w:val="000000" w:themeColor="text1"/>
          <w:sz w:val="22"/>
          <w:szCs w:val="22"/>
        </w:rPr>
        <w:t xml:space="preserve"> Para los efectos de interpretación del Código Administrativo y aplicación del Reglamento se considera:</w:t>
      </w:r>
    </w:p>
    <w:p w14:paraId="22BF0567" w14:textId="7748852A" w:rsidR="002D75DE" w:rsidRPr="00594F82" w:rsidRDefault="002D75DE" w:rsidP="00DD1ED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3B5E6CE0" w14:textId="4EA59C47" w:rsidR="002D75DE" w:rsidRPr="00594F82" w:rsidRDefault="002D75DE" w:rsidP="00DD1ED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XII. Cambio de la Construcción a Régimen de Condominio.-</w:t>
      </w:r>
      <w:r w:rsidRPr="00594F82">
        <w:rPr>
          <w:rFonts w:ascii="Palatino Linotype" w:hAnsi="Palatino Linotype"/>
          <w:i/>
          <w:iCs/>
          <w:color w:val="000000" w:themeColor="text1"/>
          <w:sz w:val="22"/>
          <w:szCs w:val="22"/>
        </w:rPr>
        <w:t xml:space="preserve"> Es el acto por el cual una construcción que acredita su existencia legal mediante la respectiva Constancia de Terminación de Obra Total, acuerda la división del inmueble en áreas privativas de dominio y uso exclusivo de los condóminos, elementos comunes de la construcción y áreas de uso común del condominio, de conformidad con lo dispuesto por el Código Civil, la Ley de Condominios, el Reglamento Municipal de Condominios, el Reglamento y demás disposiciones legales aplicables. </w:t>
      </w:r>
      <w:r w:rsidRPr="00594F82">
        <w:rPr>
          <w:rFonts w:ascii="Palatino Linotype" w:hAnsi="Palatino Linotype"/>
          <w:b/>
          <w:bCs/>
          <w:i/>
          <w:iCs/>
          <w:color w:val="000000" w:themeColor="text1"/>
          <w:sz w:val="22"/>
          <w:szCs w:val="22"/>
        </w:rPr>
        <w:t>La Dirección expedirá el documento denominado Autorización de Cambio a Régimen de Condominio, acompañada de los planos arquitectónicos correspondientes.</w:t>
      </w:r>
    </w:p>
    <w:p w14:paraId="42294364" w14:textId="41D808C7" w:rsidR="002D75DE" w:rsidRPr="00594F82" w:rsidRDefault="002D75DE" w:rsidP="00DD1ED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603C1C1A" w14:textId="7DE836F4" w:rsidR="00E17E41" w:rsidRPr="00594F82" w:rsidRDefault="00E17E41" w:rsidP="00DD1ED4">
      <w:pPr>
        <w:pStyle w:val="Prrafodelista"/>
        <w:tabs>
          <w:tab w:val="left" w:pos="426"/>
        </w:tabs>
        <w:spacing w:line="276" w:lineRule="auto"/>
        <w:ind w:left="567" w:right="567"/>
        <w:jc w:val="both"/>
        <w:rPr>
          <w:rFonts w:ascii="Palatino Linotype" w:hAnsi="Palatino Linotype"/>
          <w:color w:val="000000" w:themeColor="text1"/>
          <w:sz w:val="22"/>
          <w:szCs w:val="22"/>
        </w:rPr>
      </w:pPr>
      <w:r w:rsidRPr="00594F82">
        <w:rPr>
          <w:rFonts w:ascii="Palatino Linotype" w:hAnsi="Palatino Linotype"/>
          <w:color w:val="000000" w:themeColor="text1"/>
          <w:sz w:val="22"/>
          <w:szCs w:val="22"/>
        </w:rPr>
        <w:t>(Énfasis añadido)</w:t>
      </w:r>
    </w:p>
    <w:p w14:paraId="595ED064" w14:textId="77777777" w:rsidR="00DD1ED4" w:rsidRPr="00594F82" w:rsidRDefault="00DD1ED4" w:rsidP="00EC3B73">
      <w:pPr>
        <w:pStyle w:val="Prrafodelista"/>
        <w:tabs>
          <w:tab w:val="left" w:pos="426"/>
        </w:tabs>
        <w:spacing w:line="360" w:lineRule="auto"/>
        <w:ind w:left="0" w:right="51"/>
        <w:jc w:val="both"/>
        <w:rPr>
          <w:rFonts w:ascii="Palatino Linotype" w:hAnsi="Palatino Linotype"/>
          <w:color w:val="000000" w:themeColor="text1"/>
        </w:rPr>
      </w:pPr>
    </w:p>
    <w:p w14:paraId="5576DC14" w14:textId="3E2FC583" w:rsidR="00EC3B73" w:rsidRPr="00594F82" w:rsidRDefault="00B5463C" w:rsidP="00C94D1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lastRenderedPageBreak/>
        <w:t xml:space="preserve">De lo anterior se colige que la </w:t>
      </w:r>
      <w:r w:rsidR="00F568CF" w:rsidRPr="00594F82">
        <w:rPr>
          <w:rFonts w:ascii="Palatino Linotype" w:hAnsi="Palatino Linotype" w:cs="Arial"/>
          <w:b/>
          <w:bCs/>
          <w:color w:val="000000"/>
        </w:rPr>
        <w:t>Autorización de Cambio de la Construcción Existente a Régimen de Condominio</w:t>
      </w:r>
      <w:r w:rsidR="00F568CF" w:rsidRPr="00594F82">
        <w:rPr>
          <w:rFonts w:ascii="Palatino Linotype" w:hAnsi="Palatino Linotype" w:cs="Arial"/>
          <w:color w:val="000000"/>
        </w:rPr>
        <w:t xml:space="preserve"> es el documento expedido por la </w:t>
      </w:r>
      <w:r w:rsidR="00F568CF" w:rsidRPr="00594F82">
        <w:rPr>
          <w:rFonts w:ascii="Palatino Linotype" w:hAnsi="Palatino Linotype" w:cs="Arial"/>
          <w:b/>
          <w:bCs/>
          <w:color w:val="000000"/>
        </w:rPr>
        <w:t>Dirección General de Desarrollo Urbano</w:t>
      </w:r>
      <w:r w:rsidR="00F568CF" w:rsidRPr="00594F82">
        <w:rPr>
          <w:rFonts w:ascii="Palatino Linotype" w:hAnsi="Palatino Linotype" w:cs="Arial"/>
          <w:color w:val="000000"/>
        </w:rPr>
        <w:t>, en favor de</w:t>
      </w:r>
      <w:r w:rsidR="00BC77D3" w:rsidRPr="00594F82">
        <w:rPr>
          <w:rFonts w:ascii="Palatino Linotype" w:hAnsi="Palatino Linotype" w:cs="Arial"/>
          <w:color w:val="000000"/>
        </w:rPr>
        <w:t xml:space="preserve">l </w:t>
      </w:r>
      <w:r w:rsidR="00F568CF" w:rsidRPr="00594F82">
        <w:rPr>
          <w:rFonts w:ascii="Palatino Linotype" w:hAnsi="Palatino Linotype" w:cs="Arial"/>
          <w:color w:val="000000"/>
        </w:rPr>
        <w:t>propietario de un inmueble</w:t>
      </w:r>
      <w:r w:rsidR="00BC77D3" w:rsidRPr="00594F82">
        <w:rPr>
          <w:rFonts w:ascii="Palatino Linotype" w:hAnsi="Palatino Linotype" w:cs="Arial"/>
          <w:color w:val="000000"/>
        </w:rPr>
        <w:t>,</w:t>
      </w:r>
      <w:r w:rsidR="00F568CF" w:rsidRPr="00594F82">
        <w:rPr>
          <w:rFonts w:ascii="Palatino Linotype" w:hAnsi="Palatino Linotype" w:cs="Arial"/>
          <w:color w:val="000000"/>
        </w:rPr>
        <w:t xml:space="preserve"> </w:t>
      </w:r>
      <w:r w:rsidR="00682241" w:rsidRPr="00594F82">
        <w:rPr>
          <w:rFonts w:ascii="Palatino Linotype" w:hAnsi="Palatino Linotype" w:cs="Arial"/>
          <w:color w:val="000000"/>
        </w:rPr>
        <w:t>en el que</w:t>
      </w:r>
      <w:r w:rsidR="00BC77D3" w:rsidRPr="00594F82">
        <w:rPr>
          <w:rFonts w:ascii="Palatino Linotype" w:hAnsi="Palatino Linotype" w:cs="Arial"/>
          <w:color w:val="000000"/>
        </w:rPr>
        <w:t xml:space="preserve"> se </w:t>
      </w:r>
      <w:r w:rsidR="00F568CF" w:rsidRPr="00594F82">
        <w:rPr>
          <w:rFonts w:ascii="Palatino Linotype" w:hAnsi="Palatino Linotype" w:cs="Arial"/>
          <w:color w:val="000000"/>
        </w:rPr>
        <w:t>acuerda la división del mismo en áreas privativas de dominio y uso exclusivo de los condóminos, elementos comunes y áreas de uso común del condominio, siempre y cuando se acredite la existencia legal mediante la respectiva Licencia de Construcción y su correspondiente terminación de obra.</w:t>
      </w:r>
    </w:p>
    <w:p w14:paraId="7032AB61"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3E35A782" w14:textId="76F55F7C" w:rsidR="00EC3B73" w:rsidRPr="00594F82" w:rsidRDefault="00A45829"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Por lo anterior, la </w:t>
      </w:r>
      <w:r w:rsidRPr="00594F82">
        <w:rPr>
          <w:rFonts w:ascii="Palatino Linotype" w:hAnsi="Palatino Linotype" w:cs="Arial"/>
          <w:b/>
          <w:bCs/>
          <w:color w:val="000000"/>
        </w:rPr>
        <w:t>Autorización de Cambio de la Construcción Existente a Régimen de Condominio</w:t>
      </w:r>
      <w:r w:rsidRPr="00594F82">
        <w:rPr>
          <w:rFonts w:ascii="Palatino Linotype" w:hAnsi="Palatino Linotype" w:cs="Arial"/>
          <w:color w:val="000000"/>
        </w:rPr>
        <w:t xml:space="preserve"> </w:t>
      </w:r>
      <w:r w:rsidR="00937351" w:rsidRPr="00594F82">
        <w:rPr>
          <w:rFonts w:ascii="Palatino Linotype" w:hAnsi="Palatino Linotype" w:cs="Arial"/>
          <w:color w:val="000000"/>
        </w:rPr>
        <w:t>dejará constancia, al menos, de</w:t>
      </w:r>
      <w:r w:rsidR="00937351" w:rsidRPr="00594F82">
        <w:rPr>
          <w:rStyle w:val="Refdenotaalpie"/>
          <w:rFonts w:ascii="Palatino Linotype" w:hAnsi="Palatino Linotype" w:cs="Arial"/>
          <w:color w:val="000000"/>
        </w:rPr>
        <w:footnoteReference w:id="27"/>
      </w:r>
      <w:r w:rsidR="00937351" w:rsidRPr="00594F82">
        <w:rPr>
          <w:rFonts w:ascii="Palatino Linotype" w:hAnsi="Palatino Linotype" w:cs="Arial"/>
          <w:color w:val="000000"/>
        </w:rPr>
        <w:t>:</w:t>
      </w:r>
    </w:p>
    <w:p w14:paraId="20D023EC" w14:textId="77777777" w:rsidR="00D454C3" w:rsidRPr="00594F82" w:rsidRDefault="00937351"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Número </w:t>
      </w:r>
      <w:r w:rsidR="00D454C3" w:rsidRPr="00594F82">
        <w:rPr>
          <w:rFonts w:ascii="Palatino Linotype" w:hAnsi="Palatino Linotype" w:cs="Arial"/>
          <w:color w:val="000000"/>
        </w:rPr>
        <w:t xml:space="preserve">de Autorización; </w:t>
      </w:r>
    </w:p>
    <w:p w14:paraId="14DCAEC0"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Datos Generales del Titular y en su caso del representante legal. Se incluirá el nombre completo y domicilio que se señaló para oír y recibir notificaciones; </w:t>
      </w:r>
    </w:p>
    <w:p w14:paraId="5F014754"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Datos Generales del Perito: número de su registro y domicilio, en caso de ser requisito para la obtención de la autorización correspondiente; </w:t>
      </w:r>
    </w:p>
    <w:p w14:paraId="63241539" w14:textId="4F1A422C"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Datos Generales de identificación del predio o inmueble sujeto al otorgamiento de la autorización, tales como calle, lote y/o manzana y/o número oficial, localidad, superficie del predio y/o inmueble y clave catastral; </w:t>
      </w:r>
    </w:p>
    <w:p w14:paraId="6F05A7B8"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Especificaciones de la Autorización: superficie de construcción que se autoriza en régimen de condominio, la superficie de construcción anterior y los antecedentes legales que acrediten la misma; } Referencia a </w:t>
      </w:r>
      <w:r w:rsidRPr="00594F82">
        <w:rPr>
          <w:rFonts w:ascii="Palatino Linotype" w:hAnsi="Palatino Linotype" w:cs="Arial"/>
          <w:color w:val="000000"/>
        </w:rPr>
        <w:lastRenderedPageBreak/>
        <w:t xml:space="preserve">los dictámenes y antecedentes de autorización que sustentan el otorgamiento de la Autorización, de ser el caso; </w:t>
      </w:r>
    </w:p>
    <w:p w14:paraId="34DF3377"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Tabla de indivisos; </w:t>
      </w:r>
    </w:p>
    <w:p w14:paraId="06BF8E89"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Obligaciones; </w:t>
      </w:r>
    </w:p>
    <w:p w14:paraId="6B141F07"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Planos arquitectónicos del régimen en condominio sellados y autorizados que acompañan la expedición de la Autorización; </w:t>
      </w:r>
    </w:p>
    <w:p w14:paraId="3358CEBB"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Monto de la contribución respectiva, así como su correspondiente folio del recibo oficial expedido por la Tesorería; </w:t>
      </w:r>
    </w:p>
    <w:p w14:paraId="03C14F56"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Vigencia; </w:t>
      </w:r>
    </w:p>
    <w:p w14:paraId="790BECBB" w14:textId="77777777" w:rsidR="00D454C3"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 xml:space="preserve">Fundamentación legal; y </w:t>
      </w:r>
    </w:p>
    <w:p w14:paraId="165C612B" w14:textId="5B30C53F" w:rsidR="00937351" w:rsidRPr="00594F82" w:rsidRDefault="00D454C3" w:rsidP="00937351">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94F82">
        <w:rPr>
          <w:rFonts w:ascii="Palatino Linotype" w:hAnsi="Palatino Linotype" w:cs="Arial"/>
          <w:color w:val="000000"/>
        </w:rPr>
        <w:t>Autorización: nombre, cargo y firma del funcionario que autoriza, lugar y fecha de expedición y sello de la Dirección.</w:t>
      </w:r>
    </w:p>
    <w:p w14:paraId="62E5A8E3"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23E8DA8D" w14:textId="2B2E7160" w:rsidR="00EC3B73" w:rsidRPr="00594F82" w:rsidRDefault="00D454C3"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Luego entonces, </w:t>
      </w:r>
      <w:r w:rsidR="00F40438" w:rsidRPr="00594F82">
        <w:rPr>
          <w:rFonts w:ascii="Palatino Linotype" w:hAnsi="Palatino Linotype" w:cs="Arial"/>
          <w:color w:val="000000"/>
        </w:rPr>
        <w:t xml:space="preserve">contrario a lo manifestado por el </w:t>
      </w:r>
      <w:r w:rsidR="00F40438" w:rsidRPr="00594F82">
        <w:rPr>
          <w:rFonts w:ascii="Palatino Linotype" w:hAnsi="Palatino Linotype" w:cs="Arial"/>
          <w:b/>
          <w:bCs/>
          <w:color w:val="000000"/>
        </w:rPr>
        <w:t>SUJETO OBLIGADO</w:t>
      </w:r>
      <w:r w:rsidR="00F40438" w:rsidRPr="00594F82">
        <w:rPr>
          <w:rFonts w:ascii="Palatino Linotype" w:hAnsi="Palatino Linotype" w:cs="Arial"/>
          <w:color w:val="000000"/>
        </w:rPr>
        <w:t xml:space="preserve"> a través de su respuesta y posterior informe justificado, el Ayuntamiento de Naucalpan</w:t>
      </w:r>
      <w:r w:rsidR="00886882" w:rsidRPr="00594F82">
        <w:rPr>
          <w:rFonts w:ascii="Palatino Linotype" w:hAnsi="Palatino Linotype" w:cs="Arial"/>
          <w:color w:val="000000"/>
        </w:rPr>
        <w:t xml:space="preserve">, a través de su </w:t>
      </w:r>
      <w:r w:rsidR="00886882" w:rsidRPr="00594F82">
        <w:rPr>
          <w:rFonts w:ascii="Palatino Linotype" w:hAnsi="Palatino Linotype" w:cs="Arial"/>
          <w:b/>
          <w:bCs/>
          <w:color w:val="000000"/>
        </w:rPr>
        <w:t>Dirección General de Desarrollo Urbano</w:t>
      </w:r>
      <w:r w:rsidR="00886882" w:rsidRPr="00594F82">
        <w:rPr>
          <w:rFonts w:ascii="Palatino Linotype" w:hAnsi="Palatino Linotype" w:cs="Arial"/>
          <w:color w:val="000000"/>
        </w:rPr>
        <w:t>,</w:t>
      </w:r>
      <w:r w:rsidR="00F40438" w:rsidRPr="00594F82">
        <w:rPr>
          <w:rFonts w:ascii="Palatino Linotype" w:hAnsi="Palatino Linotype" w:cs="Arial"/>
          <w:color w:val="000000"/>
        </w:rPr>
        <w:t xml:space="preserve"> es competente para </w:t>
      </w:r>
      <w:r w:rsidR="00DD1D29" w:rsidRPr="00594F82">
        <w:rPr>
          <w:rFonts w:ascii="Palatino Linotype" w:hAnsi="Palatino Linotype" w:cs="Arial"/>
          <w:color w:val="000000"/>
        </w:rPr>
        <w:t xml:space="preserve">expedir </w:t>
      </w:r>
      <w:r w:rsidR="00DD1D29" w:rsidRPr="00594F82">
        <w:rPr>
          <w:rFonts w:ascii="Palatino Linotype" w:hAnsi="Palatino Linotype" w:cs="Arial"/>
          <w:b/>
          <w:bCs/>
          <w:color w:val="000000"/>
        </w:rPr>
        <w:t>Autorizaciones de Cambio a Régimen de Condominio</w:t>
      </w:r>
      <w:r w:rsidR="009B5D3A" w:rsidRPr="00594F82">
        <w:rPr>
          <w:rFonts w:ascii="Palatino Linotype" w:hAnsi="Palatino Linotype" w:cs="Arial"/>
          <w:color w:val="000000"/>
        </w:rPr>
        <w:t>.</w:t>
      </w:r>
    </w:p>
    <w:p w14:paraId="78E1382A" w14:textId="77777777" w:rsidR="00903C6E" w:rsidRPr="00594F82" w:rsidRDefault="00903C6E" w:rsidP="00903C6E">
      <w:pPr>
        <w:pStyle w:val="Prrafodelista"/>
        <w:tabs>
          <w:tab w:val="left" w:pos="426"/>
        </w:tabs>
        <w:spacing w:line="360" w:lineRule="auto"/>
        <w:ind w:left="0" w:right="51"/>
        <w:jc w:val="both"/>
        <w:rPr>
          <w:rFonts w:ascii="Palatino Linotype" w:hAnsi="Palatino Linotype"/>
          <w:color w:val="000000" w:themeColor="text1"/>
        </w:rPr>
      </w:pPr>
    </w:p>
    <w:p w14:paraId="3818CAEF" w14:textId="719C7417" w:rsidR="00903C6E" w:rsidRPr="00594F82" w:rsidRDefault="00935A61"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Una vez establecido lo anterior, conviene referir que la Ley de Transparencia y Acceso a la Información Pública del Estado de México y Municipios, en su numeral 92, enlista y reconoce </w:t>
      </w:r>
      <w:r w:rsidR="00A17429" w:rsidRPr="00594F82">
        <w:rPr>
          <w:rFonts w:ascii="Palatino Linotype" w:hAnsi="Palatino Linotype" w:cs="Arial"/>
          <w:color w:val="000000"/>
        </w:rPr>
        <w:t xml:space="preserve"> a la información que, por su naturaleza, los Sujeto Obligados estarán constreñidos a publicar y difundir, de manera permanente, a la ciudadanía</w:t>
      </w:r>
      <w:r w:rsidR="00606FFE" w:rsidRPr="00594F82">
        <w:rPr>
          <w:rFonts w:ascii="Palatino Linotype" w:hAnsi="Palatino Linotype" w:cs="Arial"/>
          <w:color w:val="000000"/>
        </w:rPr>
        <w:t>; resultando de especial interés la información señalada en la fracción XXXII, misma que se transcribe a continuación:</w:t>
      </w:r>
    </w:p>
    <w:p w14:paraId="1F8D0806" w14:textId="77777777" w:rsidR="00EC3B73" w:rsidRPr="00594F82" w:rsidRDefault="00EC3B73" w:rsidP="00EC3B73">
      <w:pPr>
        <w:pStyle w:val="Prrafodelista"/>
        <w:tabs>
          <w:tab w:val="left" w:pos="426"/>
        </w:tabs>
        <w:spacing w:line="360" w:lineRule="auto"/>
        <w:ind w:left="0" w:right="51"/>
        <w:jc w:val="both"/>
        <w:rPr>
          <w:rFonts w:ascii="Palatino Linotype" w:hAnsi="Palatino Linotype"/>
          <w:color w:val="000000" w:themeColor="text1"/>
        </w:rPr>
      </w:pPr>
    </w:p>
    <w:p w14:paraId="202718DB" w14:textId="6313DCF4" w:rsidR="00606FFE" w:rsidRPr="00594F82" w:rsidRDefault="00606FFE" w:rsidP="00606FFE">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lastRenderedPageBreak/>
        <w:t>“</w:t>
      </w:r>
      <w:r w:rsidR="00307264" w:rsidRPr="00594F82">
        <w:rPr>
          <w:rFonts w:ascii="Palatino Linotype" w:hAnsi="Palatino Linotype"/>
          <w:b/>
          <w:bCs/>
          <w:i/>
          <w:iCs/>
          <w:color w:val="000000" w:themeColor="text1"/>
          <w:sz w:val="22"/>
          <w:szCs w:val="22"/>
        </w:rPr>
        <w:t xml:space="preserve">Artículo 92. </w:t>
      </w:r>
      <w:r w:rsidR="00307264" w:rsidRPr="00594F82">
        <w:rPr>
          <w:rFonts w:ascii="Palatino Linotype" w:hAnsi="Palatino Linotype"/>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00FADC" w14:textId="1A87418C" w:rsidR="00307264" w:rsidRPr="00594F82" w:rsidRDefault="00307264" w:rsidP="00606FFE">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281348FB" w14:textId="49EC3601" w:rsidR="00307264" w:rsidRPr="00594F82" w:rsidRDefault="00307264" w:rsidP="00606FFE">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b/>
          <w:bCs/>
          <w:i/>
          <w:iCs/>
          <w:color w:val="000000" w:themeColor="text1"/>
          <w:sz w:val="22"/>
          <w:szCs w:val="22"/>
        </w:rPr>
        <w:t>XXXII.</w:t>
      </w:r>
      <w:r w:rsidRPr="00594F82">
        <w:rPr>
          <w:rFonts w:ascii="Palatino Linotype" w:hAnsi="Palatino Linotype"/>
          <w:i/>
          <w:iCs/>
          <w:color w:val="000000" w:themeColor="text1"/>
          <w:sz w:val="22"/>
          <w:szCs w:val="22"/>
        </w:rPr>
        <w:t xml:space="preserve"> Las concesiones, contratos, convenios, </w:t>
      </w:r>
      <w:r w:rsidRPr="00594F82">
        <w:rPr>
          <w:rFonts w:ascii="Palatino Linotype" w:hAnsi="Palatino Linotype"/>
          <w:b/>
          <w:bCs/>
          <w:i/>
          <w:iCs/>
          <w:color w:val="000000" w:themeColor="text1"/>
          <w:sz w:val="22"/>
          <w:szCs w:val="22"/>
        </w:rPr>
        <w:t>permisos</w:t>
      </w:r>
      <w:r w:rsidRPr="00594F82">
        <w:rPr>
          <w:rFonts w:ascii="Palatino Linotype" w:hAnsi="Palatino Linotype"/>
          <w:i/>
          <w:iCs/>
          <w:color w:val="000000" w:themeColor="text1"/>
          <w:sz w:val="22"/>
          <w:szCs w:val="22"/>
        </w:rPr>
        <w:t xml:space="preserve">, </w:t>
      </w:r>
      <w:r w:rsidRPr="00594F82">
        <w:rPr>
          <w:rFonts w:ascii="Palatino Linotype" w:hAnsi="Palatino Linotype"/>
          <w:b/>
          <w:bCs/>
          <w:i/>
          <w:iCs/>
          <w:color w:val="000000" w:themeColor="text1"/>
          <w:sz w:val="22"/>
          <w:szCs w:val="22"/>
        </w:rPr>
        <w:t>licencias o autorizaciones otorgados</w:t>
      </w:r>
      <w:r w:rsidRPr="00594F82">
        <w:rPr>
          <w:rFonts w:ascii="Palatino Linotype" w:hAnsi="Palatino Linotype"/>
          <w:i/>
          <w:iCs/>
          <w:color w:val="000000" w:themeColor="text1"/>
          <w:sz w:val="22"/>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175E799" w14:textId="1D407466" w:rsidR="00307264" w:rsidRPr="00594F82" w:rsidRDefault="00307264" w:rsidP="00606FFE">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94F82">
        <w:rPr>
          <w:rFonts w:ascii="Palatino Linotype" w:hAnsi="Palatino Linotype"/>
          <w:i/>
          <w:iCs/>
          <w:color w:val="000000" w:themeColor="text1"/>
          <w:sz w:val="22"/>
          <w:szCs w:val="22"/>
        </w:rPr>
        <w:t>(...)”</w:t>
      </w:r>
    </w:p>
    <w:p w14:paraId="43EF83B4" w14:textId="77777777" w:rsidR="00606FFE" w:rsidRPr="00594F82" w:rsidRDefault="00606FFE" w:rsidP="00EC3B73">
      <w:pPr>
        <w:pStyle w:val="Prrafodelista"/>
        <w:tabs>
          <w:tab w:val="left" w:pos="426"/>
        </w:tabs>
        <w:spacing w:line="360" w:lineRule="auto"/>
        <w:ind w:left="0" w:right="51"/>
        <w:jc w:val="both"/>
        <w:rPr>
          <w:rFonts w:ascii="Palatino Linotype" w:hAnsi="Palatino Linotype"/>
          <w:color w:val="000000" w:themeColor="text1"/>
        </w:rPr>
      </w:pPr>
    </w:p>
    <w:p w14:paraId="25732451" w14:textId="63E27908" w:rsidR="0087453A" w:rsidRPr="00594F82" w:rsidRDefault="0087453A"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 xml:space="preserve">De lo anterior se advierte que todos los permisos, licencias o autorizaciones que sean expedidos por el </w:t>
      </w:r>
      <w:r w:rsidRPr="00594F82">
        <w:rPr>
          <w:rFonts w:ascii="Palatino Linotype" w:hAnsi="Palatino Linotype" w:cs="Arial"/>
          <w:b/>
          <w:bCs/>
          <w:color w:val="000000"/>
        </w:rPr>
        <w:t>SUJETO OBLIGADO</w:t>
      </w:r>
      <w:r w:rsidRPr="00594F82">
        <w:rPr>
          <w:rFonts w:ascii="Palatino Linotype" w:hAnsi="Palatino Linotype" w:cs="Arial"/>
          <w:color w:val="000000"/>
        </w:rPr>
        <w:t xml:space="preserve"> será reconocido como información de interés público, pues </w:t>
      </w:r>
      <w:r w:rsidR="00B96907" w:rsidRPr="00594F82">
        <w:rPr>
          <w:rFonts w:ascii="Palatino Linotype" w:hAnsi="Palatino Linotype" w:cs="Arial"/>
          <w:color w:val="000000"/>
        </w:rPr>
        <w:t xml:space="preserve">estos documentos demuestran fehacientemente el quehacer administrativo del municipio en materia de </w:t>
      </w:r>
      <w:r w:rsidR="008E6117" w:rsidRPr="00594F82">
        <w:rPr>
          <w:rFonts w:ascii="Palatino Linotype" w:hAnsi="Palatino Linotype" w:cs="Arial"/>
          <w:color w:val="000000"/>
        </w:rPr>
        <w:t>(para nuestro caso específico) construcciones privadas.</w:t>
      </w:r>
    </w:p>
    <w:p w14:paraId="097AC438" w14:textId="77777777" w:rsidR="00B96907" w:rsidRPr="00594F82" w:rsidRDefault="00B96907" w:rsidP="00B96907">
      <w:pPr>
        <w:pStyle w:val="Prrafodelista"/>
        <w:tabs>
          <w:tab w:val="left" w:pos="426"/>
        </w:tabs>
        <w:spacing w:line="360" w:lineRule="auto"/>
        <w:ind w:left="0" w:right="51"/>
        <w:jc w:val="both"/>
        <w:rPr>
          <w:rFonts w:ascii="Palatino Linotype" w:hAnsi="Palatino Linotype"/>
          <w:color w:val="000000" w:themeColor="text1"/>
        </w:rPr>
      </w:pPr>
    </w:p>
    <w:p w14:paraId="1AB88EDC" w14:textId="0CB6E33B" w:rsidR="00B96907" w:rsidRPr="00594F82" w:rsidRDefault="008E6117"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Sin embargo, en este punto resulta imperativo mencionar que la mayoría del Pleno sostiene el Criterio que las autorizaciones, permisos o licencias que sean expedidas en favor de personas físicas o jurídico-colectivas, y cuyo fin no </w:t>
      </w:r>
      <w:r w:rsidR="003D1BBA" w:rsidRPr="00594F82">
        <w:rPr>
          <w:rFonts w:ascii="Palatino Linotype" w:hAnsi="Palatino Linotype"/>
          <w:color w:val="000000" w:themeColor="text1"/>
        </w:rPr>
        <w:t xml:space="preserve">implique el uso de recursos públicos, </w:t>
      </w:r>
      <w:r w:rsidR="00895A3A" w:rsidRPr="00594F82">
        <w:rPr>
          <w:rFonts w:ascii="Palatino Linotype" w:hAnsi="Palatino Linotype"/>
          <w:color w:val="000000" w:themeColor="text1"/>
        </w:rPr>
        <w:t xml:space="preserve">deberá clasificarse </w:t>
      </w:r>
      <w:r w:rsidR="00BC43D1" w:rsidRPr="00594F82">
        <w:rPr>
          <w:rFonts w:ascii="Palatino Linotype" w:hAnsi="Palatino Linotype"/>
          <w:color w:val="000000" w:themeColor="text1"/>
        </w:rPr>
        <w:t xml:space="preserve">su </w:t>
      </w:r>
      <w:r w:rsidR="00BC43D1" w:rsidRPr="00594F82">
        <w:rPr>
          <w:rFonts w:ascii="Palatino Linotype" w:hAnsi="Palatino Linotype"/>
          <w:b/>
          <w:bCs/>
          <w:color w:val="000000" w:themeColor="text1"/>
        </w:rPr>
        <w:t>titular</w:t>
      </w:r>
      <w:r w:rsidR="00BC43D1" w:rsidRPr="00594F82">
        <w:rPr>
          <w:rFonts w:ascii="Palatino Linotype" w:hAnsi="Palatino Linotype"/>
          <w:color w:val="000000" w:themeColor="text1"/>
        </w:rPr>
        <w:t xml:space="preserve">, </w:t>
      </w:r>
      <w:r w:rsidR="00BC43D1" w:rsidRPr="00594F82">
        <w:rPr>
          <w:rFonts w:ascii="Palatino Linotype" w:hAnsi="Palatino Linotype"/>
          <w:b/>
          <w:bCs/>
          <w:color w:val="000000" w:themeColor="text1"/>
        </w:rPr>
        <w:t>así como cualquier dato que pueda hacerlo identificable</w:t>
      </w:r>
      <w:r w:rsidR="00BC43D1" w:rsidRPr="00594F82">
        <w:rPr>
          <w:rFonts w:ascii="Palatino Linotype" w:hAnsi="Palatino Linotype"/>
          <w:color w:val="000000" w:themeColor="text1"/>
        </w:rPr>
        <w:t>.</w:t>
      </w:r>
    </w:p>
    <w:p w14:paraId="5267EC66" w14:textId="77777777" w:rsidR="0087453A" w:rsidRPr="00594F82" w:rsidRDefault="0087453A" w:rsidP="0087453A">
      <w:pPr>
        <w:pStyle w:val="Prrafodelista"/>
        <w:tabs>
          <w:tab w:val="left" w:pos="426"/>
        </w:tabs>
        <w:spacing w:line="360" w:lineRule="auto"/>
        <w:ind w:left="0" w:right="51"/>
        <w:jc w:val="both"/>
        <w:rPr>
          <w:rFonts w:ascii="Palatino Linotype" w:hAnsi="Palatino Linotype"/>
          <w:color w:val="000000" w:themeColor="text1"/>
        </w:rPr>
      </w:pPr>
    </w:p>
    <w:p w14:paraId="48A94490" w14:textId="4D450427" w:rsidR="00EC3B73" w:rsidRPr="00594F82" w:rsidRDefault="0087453A"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s="Arial"/>
          <w:color w:val="000000"/>
        </w:rPr>
        <w:t>P</w:t>
      </w:r>
      <w:r w:rsidR="00CB1997" w:rsidRPr="00594F82">
        <w:rPr>
          <w:rFonts w:ascii="Palatino Linotype" w:hAnsi="Palatino Linotype" w:cs="Arial"/>
          <w:color w:val="000000"/>
        </w:rPr>
        <w:t xml:space="preserve">or lo </w:t>
      </w:r>
      <w:r w:rsidR="00903C6E" w:rsidRPr="00594F82">
        <w:rPr>
          <w:rFonts w:ascii="Palatino Linotype" w:hAnsi="Palatino Linotype" w:cs="Arial"/>
          <w:color w:val="000000"/>
        </w:rPr>
        <w:t>tanto,</w:t>
      </w:r>
      <w:r w:rsidR="00CB1997" w:rsidRPr="00594F82">
        <w:rPr>
          <w:rFonts w:ascii="Palatino Linotype" w:hAnsi="Palatino Linotype" w:cs="Arial"/>
          <w:color w:val="000000"/>
        </w:rPr>
        <w:t xml:space="preserve"> el </w:t>
      </w:r>
      <w:r w:rsidR="00CB1997" w:rsidRPr="00594F82">
        <w:rPr>
          <w:rFonts w:ascii="Palatino Linotype" w:hAnsi="Palatino Linotype" w:cs="Arial"/>
          <w:b/>
          <w:bCs/>
          <w:color w:val="000000"/>
        </w:rPr>
        <w:t>SUJETO OBLIGADO</w:t>
      </w:r>
      <w:r w:rsidR="00CB1997" w:rsidRPr="00594F82">
        <w:rPr>
          <w:rFonts w:ascii="Palatino Linotype" w:hAnsi="Palatino Linotype" w:cs="Arial"/>
          <w:color w:val="000000"/>
        </w:rPr>
        <w:t xml:space="preserve"> deberá entregar, previa búsqueda exhaustiva y razonable, la </w:t>
      </w:r>
      <w:r w:rsidR="00903C6E" w:rsidRPr="00594F82">
        <w:rPr>
          <w:rFonts w:ascii="Palatino Linotype" w:hAnsi="Palatino Linotype" w:cs="Arial"/>
          <w:b/>
          <w:bCs/>
          <w:color w:val="000000"/>
        </w:rPr>
        <w:t>Autorización de Cambio a Régimen de Condominio</w:t>
      </w:r>
      <w:r w:rsidR="00903C6E" w:rsidRPr="00594F82">
        <w:rPr>
          <w:rFonts w:ascii="Palatino Linotype" w:hAnsi="Palatino Linotype" w:cs="Arial"/>
          <w:color w:val="000000"/>
        </w:rPr>
        <w:t xml:space="preserve"> del inmueble señalado en la solicitud de información </w:t>
      </w:r>
      <w:r w:rsidR="00903C6E" w:rsidRPr="00594F82">
        <w:rPr>
          <w:rFonts w:ascii="Palatino Linotype" w:hAnsi="Palatino Linotype" w:cs="Arial"/>
          <w:b/>
          <w:bCs/>
          <w:color w:val="000000"/>
        </w:rPr>
        <w:t>00686/NAUCALPA/IP/2022</w:t>
      </w:r>
      <w:r w:rsidR="00903C6E" w:rsidRPr="00594F82">
        <w:rPr>
          <w:rFonts w:ascii="Palatino Linotype" w:hAnsi="Palatino Linotype" w:cs="Arial"/>
          <w:color w:val="000000"/>
        </w:rPr>
        <w:t>, en versión pública.</w:t>
      </w:r>
    </w:p>
    <w:p w14:paraId="025A8791" w14:textId="1E354EA0" w:rsidR="002A1407" w:rsidRPr="00594F82" w:rsidRDefault="002A1407"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lastRenderedPageBreak/>
        <w:t xml:space="preserve">Para efectos de lo anterior, aparte del análisis vertido en el estudio de fondo del asunto, el </w:t>
      </w:r>
      <w:r w:rsidRPr="00594F82">
        <w:rPr>
          <w:rFonts w:ascii="Palatino Linotype" w:hAnsi="Palatino Linotype"/>
          <w:b/>
          <w:bCs/>
          <w:color w:val="000000" w:themeColor="text1"/>
        </w:rPr>
        <w:t>SUJETO OBLIGADO</w:t>
      </w:r>
      <w:r w:rsidRPr="00594F82">
        <w:rPr>
          <w:rFonts w:ascii="Palatino Linotype" w:hAnsi="Palatino Linotype"/>
          <w:color w:val="000000" w:themeColor="text1"/>
        </w:rPr>
        <w:t xml:space="preserve"> deberá atender las disposiciones establecidas en el Considerando QUINTO de esta resolución.</w:t>
      </w:r>
    </w:p>
    <w:p w14:paraId="42EF9BE2" w14:textId="77777777" w:rsidR="00B56741" w:rsidRPr="00594F82" w:rsidRDefault="00B56741" w:rsidP="00B56741">
      <w:pPr>
        <w:pStyle w:val="Prrafodelista"/>
        <w:tabs>
          <w:tab w:val="left" w:pos="426"/>
        </w:tabs>
        <w:spacing w:line="360" w:lineRule="auto"/>
        <w:ind w:left="0" w:right="51"/>
        <w:jc w:val="both"/>
        <w:rPr>
          <w:rFonts w:ascii="Palatino Linotype" w:hAnsi="Palatino Linotype"/>
          <w:color w:val="000000" w:themeColor="text1"/>
        </w:rPr>
      </w:pPr>
    </w:p>
    <w:p w14:paraId="70531EE0" w14:textId="0FC46043" w:rsidR="00B56741" w:rsidRPr="00594F82" w:rsidRDefault="00A14E10" w:rsidP="00C94D1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No se omite mencionar que el </w:t>
      </w:r>
      <w:r w:rsidRPr="00594F82">
        <w:rPr>
          <w:rFonts w:ascii="Palatino Linotype" w:hAnsi="Palatino Linotype"/>
          <w:b/>
          <w:bCs/>
          <w:color w:val="000000" w:themeColor="text1"/>
        </w:rPr>
        <w:t>RECURRENTE</w:t>
      </w:r>
      <w:r w:rsidRPr="00594F82">
        <w:rPr>
          <w:rFonts w:ascii="Palatino Linotype" w:hAnsi="Palatino Linotype"/>
          <w:color w:val="000000" w:themeColor="text1"/>
        </w:rPr>
        <w:t xml:space="preserve"> solicitó que, en caso de que la </w:t>
      </w:r>
      <w:r w:rsidRPr="00594F82">
        <w:rPr>
          <w:rFonts w:ascii="Palatino Linotype" w:hAnsi="Palatino Linotype" w:cs="Arial"/>
          <w:b/>
          <w:bCs/>
          <w:color w:val="000000"/>
        </w:rPr>
        <w:t>Autorización de Cambio a Régimen de Condominio</w:t>
      </w:r>
      <w:r w:rsidR="004542CD" w:rsidRPr="00594F82">
        <w:rPr>
          <w:rFonts w:ascii="Palatino Linotype" w:hAnsi="Palatino Linotype" w:cs="Arial"/>
          <w:color w:val="000000"/>
        </w:rPr>
        <w:t xml:space="preserve"> no se encontrara en los archivos del </w:t>
      </w:r>
      <w:r w:rsidR="004542CD" w:rsidRPr="00594F82">
        <w:rPr>
          <w:rFonts w:ascii="Palatino Linotype" w:hAnsi="Palatino Linotype" w:cs="Arial"/>
          <w:b/>
          <w:bCs/>
          <w:color w:val="000000"/>
        </w:rPr>
        <w:t>SUJETO OBLIGADO</w:t>
      </w:r>
      <w:r w:rsidR="004542CD" w:rsidRPr="00594F82">
        <w:rPr>
          <w:rFonts w:ascii="Palatino Linotype" w:hAnsi="Palatino Linotype" w:cs="Arial"/>
          <w:color w:val="000000"/>
        </w:rPr>
        <w:t xml:space="preserve">, se le proporcionara entonces el </w:t>
      </w:r>
      <w:r w:rsidR="004542CD" w:rsidRPr="00594F82">
        <w:rPr>
          <w:rFonts w:ascii="Palatino Linotype" w:hAnsi="Palatino Linotype" w:cs="Arial"/>
          <w:b/>
          <w:bCs/>
          <w:color w:val="000000"/>
        </w:rPr>
        <w:t>Acuerdo de Inexistencia</w:t>
      </w:r>
      <w:r w:rsidR="004542CD" w:rsidRPr="00594F82">
        <w:rPr>
          <w:rFonts w:ascii="Palatino Linotype" w:hAnsi="Palatino Linotype" w:cs="Arial"/>
          <w:color w:val="000000"/>
        </w:rPr>
        <w:t xml:space="preserve"> respectivo. Empero, de las pruebas aportadas por el particular </w:t>
      </w:r>
      <w:r w:rsidR="002E1B72" w:rsidRPr="00594F82">
        <w:rPr>
          <w:rFonts w:ascii="Palatino Linotype" w:hAnsi="Palatino Linotype" w:cs="Arial"/>
          <w:color w:val="000000"/>
        </w:rPr>
        <w:t xml:space="preserve">en su recurso de revisión, y en la posterior etapa de </w:t>
      </w:r>
      <w:r w:rsidR="002E1B72" w:rsidRPr="00594F82">
        <w:rPr>
          <w:rFonts w:ascii="Palatino Linotype" w:hAnsi="Palatino Linotype" w:cs="Arial"/>
          <w:i/>
          <w:iCs/>
          <w:color w:val="000000"/>
        </w:rPr>
        <w:t>Manifestaciones</w:t>
      </w:r>
      <w:r w:rsidR="002E1B72" w:rsidRPr="00594F82">
        <w:rPr>
          <w:rFonts w:ascii="Palatino Linotype" w:hAnsi="Palatino Linotype" w:cs="Arial"/>
          <w:color w:val="000000"/>
        </w:rPr>
        <w:t xml:space="preserve">, </w:t>
      </w:r>
      <w:r w:rsidR="002E1B72" w:rsidRPr="00594F82">
        <w:rPr>
          <w:rFonts w:ascii="Palatino Linotype" w:hAnsi="Palatino Linotype" w:cs="Arial"/>
          <w:b/>
          <w:bCs/>
          <w:color w:val="000000"/>
        </w:rPr>
        <w:t xml:space="preserve">no se logra </w:t>
      </w:r>
      <w:r w:rsidR="00084601" w:rsidRPr="00594F82">
        <w:rPr>
          <w:rFonts w:ascii="Palatino Linotype" w:hAnsi="Palatino Linotype" w:cs="Arial"/>
          <w:b/>
          <w:bCs/>
          <w:color w:val="000000"/>
        </w:rPr>
        <w:t>demostrar de plano</w:t>
      </w:r>
      <w:r w:rsidR="002E1B72" w:rsidRPr="00594F82">
        <w:rPr>
          <w:rFonts w:ascii="Palatino Linotype" w:hAnsi="Palatino Linotype" w:cs="Arial"/>
          <w:b/>
          <w:bCs/>
          <w:color w:val="000000"/>
        </w:rPr>
        <w:t xml:space="preserve"> que el ayuntamiento haya emitido la autorización </w:t>
      </w:r>
      <w:r w:rsidR="00084601" w:rsidRPr="00594F82">
        <w:rPr>
          <w:rFonts w:ascii="Palatino Linotype" w:hAnsi="Palatino Linotype" w:cs="Arial"/>
          <w:b/>
          <w:bCs/>
          <w:color w:val="000000"/>
        </w:rPr>
        <w:t>requerida</w:t>
      </w:r>
      <w:r w:rsidR="00084601" w:rsidRPr="00594F82">
        <w:rPr>
          <w:rFonts w:ascii="Palatino Linotype" w:hAnsi="Palatino Linotype" w:cs="Arial"/>
          <w:color w:val="000000"/>
        </w:rPr>
        <w:t>.</w:t>
      </w:r>
    </w:p>
    <w:p w14:paraId="1A4D7040" w14:textId="77777777" w:rsidR="00A14E10" w:rsidRPr="00594F82" w:rsidRDefault="00A14E10" w:rsidP="00A14E10">
      <w:pPr>
        <w:pStyle w:val="Prrafodelista"/>
        <w:tabs>
          <w:tab w:val="left" w:pos="426"/>
        </w:tabs>
        <w:spacing w:line="360" w:lineRule="auto"/>
        <w:ind w:left="0" w:right="51"/>
        <w:jc w:val="both"/>
        <w:rPr>
          <w:rFonts w:ascii="Palatino Linotype" w:hAnsi="Palatino Linotype"/>
          <w:color w:val="000000" w:themeColor="text1"/>
        </w:rPr>
      </w:pPr>
    </w:p>
    <w:p w14:paraId="7FF1B8CF" w14:textId="03D7BAEC" w:rsidR="00B56741" w:rsidRPr="00594F82" w:rsidRDefault="00084601"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Lo anterior en razón de que, del análisis realizado al contenido de la Licencia de Construcción </w:t>
      </w:r>
      <w:r w:rsidR="00494871" w:rsidRPr="00594F82">
        <w:rPr>
          <w:rFonts w:ascii="Palatino Linotype" w:hAnsi="Palatino Linotype"/>
          <w:color w:val="000000" w:themeColor="text1"/>
        </w:rPr>
        <w:t xml:space="preserve">DLCA/0193/16, expedida el nueve (09) de mayo de dos mil dieciséis, por la Dirección General de Desarrollo Urbano, </w:t>
      </w:r>
      <w:r w:rsidR="00FB1CA5" w:rsidRPr="00594F82">
        <w:rPr>
          <w:rFonts w:ascii="Palatino Linotype" w:hAnsi="Palatino Linotype"/>
          <w:color w:val="000000" w:themeColor="text1"/>
        </w:rPr>
        <w:t xml:space="preserve">en su apartado denominado </w:t>
      </w:r>
      <w:r w:rsidR="00FB1CA5" w:rsidRPr="00594F82">
        <w:rPr>
          <w:rFonts w:ascii="Palatino Linotype" w:hAnsi="Palatino Linotype"/>
          <w:i/>
          <w:iCs/>
          <w:color w:val="000000" w:themeColor="text1"/>
        </w:rPr>
        <w:t>Observaciones</w:t>
      </w:r>
      <w:r w:rsidR="00FB1CA5" w:rsidRPr="00594F82">
        <w:rPr>
          <w:rFonts w:ascii="Palatino Linotype" w:hAnsi="Palatino Linotype"/>
          <w:color w:val="000000" w:themeColor="text1"/>
        </w:rPr>
        <w:t>, se aprecia lo siguiente:</w:t>
      </w:r>
    </w:p>
    <w:p w14:paraId="5292363E" w14:textId="77777777" w:rsidR="00B56741" w:rsidRPr="00594F82" w:rsidRDefault="00B56741" w:rsidP="00B56741">
      <w:pPr>
        <w:pStyle w:val="Prrafodelista"/>
        <w:tabs>
          <w:tab w:val="left" w:pos="426"/>
        </w:tabs>
        <w:spacing w:line="360" w:lineRule="auto"/>
        <w:ind w:left="0" w:right="51"/>
        <w:jc w:val="both"/>
        <w:rPr>
          <w:rFonts w:ascii="Palatino Linotype" w:hAnsi="Palatino Linotype"/>
          <w:color w:val="000000" w:themeColor="text1"/>
        </w:rPr>
      </w:pPr>
    </w:p>
    <w:p w14:paraId="2B87EE84" w14:textId="7747B464" w:rsidR="00FB1CA5" w:rsidRPr="00594F82" w:rsidRDefault="00CF1C1F" w:rsidP="00FB1CA5">
      <w:pPr>
        <w:pStyle w:val="Prrafodelista"/>
        <w:tabs>
          <w:tab w:val="left" w:pos="426"/>
        </w:tabs>
        <w:spacing w:line="360" w:lineRule="auto"/>
        <w:ind w:left="0" w:right="51"/>
        <w:jc w:val="center"/>
        <w:rPr>
          <w:rFonts w:ascii="Palatino Linotype" w:hAnsi="Palatino Linotype"/>
          <w:color w:val="000000" w:themeColor="text1"/>
        </w:rPr>
      </w:pPr>
      <w:r w:rsidRPr="00594F82">
        <w:rPr>
          <w:rFonts w:ascii="Palatino Linotype" w:hAnsi="Palatino Linotype"/>
          <w:noProof/>
          <w:color w:val="000000" w:themeColor="text1"/>
          <w:lang w:val="es-MX" w:eastAsia="es-MX"/>
        </w:rPr>
        <w:drawing>
          <wp:inline distT="0" distB="0" distL="0" distR="0" wp14:anchorId="14E04722" wp14:editId="254077AC">
            <wp:extent cx="4835946" cy="384665"/>
            <wp:effectExtent l="38100" t="38100" r="92075" b="98425"/>
            <wp:docPr id="825707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07151" name=""/>
                    <pic:cNvPicPr/>
                  </pic:nvPicPr>
                  <pic:blipFill>
                    <a:blip r:embed="rId8"/>
                    <a:stretch>
                      <a:fillRect/>
                    </a:stretch>
                  </pic:blipFill>
                  <pic:spPr>
                    <a:xfrm>
                      <a:off x="0" y="0"/>
                      <a:ext cx="5003868" cy="39802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3C2559" w14:textId="77777777" w:rsidR="00FB1CA5" w:rsidRPr="00594F82" w:rsidRDefault="00FB1CA5" w:rsidP="00B56741">
      <w:pPr>
        <w:pStyle w:val="Prrafodelista"/>
        <w:tabs>
          <w:tab w:val="left" w:pos="426"/>
        </w:tabs>
        <w:spacing w:line="360" w:lineRule="auto"/>
        <w:ind w:left="0" w:right="51"/>
        <w:jc w:val="both"/>
        <w:rPr>
          <w:rFonts w:ascii="Palatino Linotype" w:hAnsi="Palatino Linotype"/>
          <w:color w:val="000000" w:themeColor="text1"/>
        </w:rPr>
      </w:pPr>
    </w:p>
    <w:p w14:paraId="3C25A886" w14:textId="4C6C7E40" w:rsidR="00B56741" w:rsidRPr="00594F82" w:rsidRDefault="006F3DD2"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De la imagen anterior se advierte que la Licencia de Construcción exhibida por el </w:t>
      </w:r>
      <w:r w:rsidRPr="00594F82">
        <w:rPr>
          <w:rFonts w:ascii="Palatino Linotype" w:hAnsi="Palatino Linotype"/>
          <w:b/>
          <w:bCs/>
          <w:color w:val="000000" w:themeColor="text1"/>
        </w:rPr>
        <w:t>RECURRENTE</w:t>
      </w:r>
      <w:r w:rsidR="00E80F1A" w:rsidRPr="00594F82">
        <w:rPr>
          <w:rFonts w:ascii="Palatino Linotype" w:hAnsi="Palatino Linotype"/>
          <w:color w:val="000000" w:themeColor="text1"/>
        </w:rPr>
        <w:t xml:space="preserve">, relacionada con el inmueble de su interés, advierte explícitamente que </w:t>
      </w:r>
      <w:r w:rsidR="008F39D5" w:rsidRPr="00594F82">
        <w:rPr>
          <w:rFonts w:ascii="Palatino Linotype" w:hAnsi="Palatino Linotype"/>
          <w:b/>
          <w:bCs/>
          <w:color w:val="000000" w:themeColor="text1"/>
        </w:rPr>
        <w:t>no autoriza el cambio a régimen en condominio de la construcción</w:t>
      </w:r>
      <w:r w:rsidR="008F39D5" w:rsidRPr="00594F82">
        <w:rPr>
          <w:rFonts w:ascii="Palatino Linotype" w:hAnsi="Palatino Linotype"/>
          <w:color w:val="000000" w:themeColor="text1"/>
        </w:rPr>
        <w:t xml:space="preserve">, entendiéndose que </w:t>
      </w:r>
      <w:r w:rsidR="00170988" w:rsidRPr="00594F82">
        <w:rPr>
          <w:rFonts w:ascii="Palatino Linotype" w:hAnsi="Palatino Linotype"/>
          <w:color w:val="000000" w:themeColor="text1"/>
        </w:rPr>
        <w:t xml:space="preserve">el trámite solicitado debió consistir en un </w:t>
      </w:r>
      <w:r w:rsidR="00170988" w:rsidRPr="00594F82">
        <w:rPr>
          <w:rFonts w:ascii="Palatino Linotype" w:hAnsi="Palatino Linotype"/>
          <w:b/>
          <w:bCs/>
          <w:color w:val="000000" w:themeColor="text1"/>
        </w:rPr>
        <w:t>acto futuro o posterior</w:t>
      </w:r>
      <w:r w:rsidR="00412015" w:rsidRPr="00594F82">
        <w:rPr>
          <w:rFonts w:ascii="Palatino Linotype" w:hAnsi="Palatino Linotype"/>
          <w:color w:val="000000" w:themeColor="text1"/>
        </w:rPr>
        <w:t xml:space="preserve"> a la emisión de dicha Licencia; </w:t>
      </w:r>
      <w:r w:rsidR="00412015" w:rsidRPr="00594F82">
        <w:rPr>
          <w:rFonts w:ascii="Palatino Linotype" w:hAnsi="Palatino Linotype"/>
          <w:i/>
          <w:iCs/>
          <w:color w:val="000000" w:themeColor="text1"/>
        </w:rPr>
        <w:t>ergo</w:t>
      </w:r>
      <w:r w:rsidR="00412015" w:rsidRPr="00594F82">
        <w:rPr>
          <w:rFonts w:ascii="Palatino Linotype" w:hAnsi="Palatino Linotype"/>
          <w:color w:val="000000" w:themeColor="text1"/>
        </w:rPr>
        <w:t xml:space="preserve"> n</w:t>
      </w:r>
      <w:r w:rsidR="00590BE7" w:rsidRPr="00594F82">
        <w:rPr>
          <w:rFonts w:ascii="Palatino Linotype" w:hAnsi="Palatino Linotype"/>
          <w:color w:val="000000" w:themeColor="text1"/>
        </w:rPr>
        <w:t xml:space="preserve">o se tiene certeza alguna de </w:t>
      </w:r>
      <w:r w:rsidR="00590BE7" w:rsidRPr="00594F82">
        <w:rPr>
          <w:rFonts w:ascii="Palatino Linotype" w:hAnsi="Palatino Linotype"/>
          <w:color w:val="000000" w:themeColor="text1"/>
        </w:rPr>
        <w:lastRenderedPageBreak/>
        <w:t xml:space="preserve">que se haya realizado o no el trámite denominado </w:t>
      </w:r>
      <w:r w:rsidR="00590BE7" w:rsidRPr="00594F82">
        <w:rPr>
          <w:rFonts w:ascii="Palatino Linotype" w:hAnsi="Palatino Linotype" w:cs="Arial"/>
          <w:b/>
          <w:bCs/>
          <w:color w:val="000000"/>
        </w:rPr>
        <w:t>Autorización de Cambio a Régimen de Condominio</w:t>
      </w:r>
      <w:r w:rsidR="00590BE7" w:rsidRPr="00594F82">
        <w:rPr>
          <w:rFonts w:ascii="Palatino Linotype" w:hAnsi="Palatino Linotype" w:cs="Arial"/>
          <w:color w:val="000000"/>
        </w:rPr>
        <w:t>.</w:t>
      </w:r>
    </w:p>
    <w:p w14:paraId="4CA3D5E5" w14:textId="77777777" w:rsidR="00B56741" w:rsidRPr="00594F82" w:rsidRDefault="00B56741" w:rsidP="00B56741">
      <w:pPr>
        <w:pStyle w:val="Prrafodelista"/>
        <w:tabs>
          <w:tab w:val="left" w:pos="426"/>
        </w:tabs>
        <w:spacing w:line="360" w:lineRule="auto"/>
        <w:ind w:left="0" w:right="51"/>
        <w:jc w:val="both"/>
        <w:rPr>
          <w:rFonts w:ascii="Palatino Linotype" w:hAnsi="Palatino Linotype"/>
          <w:color w:val="000000" w:themeColor="text1"/>
        </w:rPr>
      </w:pPr>
    </w:p>
    <w:p w14:paraId="5332A6AD" w14:textId="4763BDA0" w:rsidR="00B56741" w:rsidRPr="00594F82" w:rsidRDefault="005702D3"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Por lo tanto, </w:t>
      </w:r>
      <w:r w:rsidR="000B6CE5" w:rsidRPr="00594F82">
        <w:rPr>
          <w:rFonts w:ascii="Palatino Linotype" w:hAnsi="Palatino Linotype" w:cs="Tahoma"/>
          <w:bCs/>
          <w:iCs/>
          <w:lang w:val="es-ES"/>
        </w:rPr>
        <w:t xml:space="preserve">si derivado de la búsqueda de la información, ésta no se localizara en los archivos del </w:t>
      </w:r>
      <w:r w:rsidR="000B6CE5" w:rsidRPr="00594F82">
        <w:rPr>
          <w:rFonts w:ascii="Palatino Linotype" w:hAnsi="Palatino Linotype" w:cs="Tahoma"/>
          <w:b/>
          <w:bCs/>
          <w:iCs/>
          <w:lang w:val="es-ES"/>
        </w:rPr>
        <w:t>SUJETO OBLIGADO</w:t>
      </w:r>
      <w:r w:rsidR="000B6CE5" w:rsidRPr="00594F82">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2283878D" w14:textId="77777777" w:rsidR="00590BE7" w:rsidRPr="00594F82" w:rsidRDefault="00590BE7" w:rsidP="00590BE7">
      <w:pPr>
        <w:pStyle w:val="Prrafodelista"/>
        <w:tabs>
          <w:tab w:val="left" w:pos="426"/>
        </w:tabs>
        <w:spacing w:line="360" w:lineRule="auto"/>
        <w:ind w:left="0" w:right="51"/>
        <w:jc w:val="both"/>
        <w:rPr>
          <w:rFonts w:ascii="Palatino Linotype" w:hAnsi="Palatino Linotype"/>
          <w:color w:val="000000" w:themeColor="text1"/>
        </w:rPr>
      </w:pPr>
    </w:p>
    <w:p w14:paraId="0F8DAD04" w14:textId="77777777" w:rsidR="005702D3" w:rsidRPr="00594F82" w:rsidRDefault="005702D3" w:rsidP="005702D3">
      <w:pPr>
        <w:pStyle w:val="Prrafodelista"/>
        <w:tabs>
          <w:tab w:val="left" w:pos="426"/>
        </w:tabs>
        <w:spacing w:before="240" w:after="240" w:line="276" w:lineRule="auto"/>
        <w:ind w:left="567" w:right="567"/>
        <w:jc w:val="both"/>
        <w:rPr>
          <w:rFonts w:ascii="Palatino Linotype" w:hAnsi="Palatino Linotype" w:cs="Tahoma"/>
          <w:bCs/>
          <w:i/>
          <w:iCs/>
          <w:sz w:val="22"/>
        </w:rPr>
      </w:pPr>
      <w:r w:rsidRPr="00594F82">
        <w:rPr>
          <w:rFonts w:ascii="Palatino Linotype" w:hAnsi="Palatino Linotype" w:cs="Tahoma"/>
          <w:bCs/>
          <w:i/>
          <w:iCs/>
          <w:sz w:val="22"/>
        </w:rPr>
        <w:t>“</w:t>
      </w:r>
      <w:r w:rsidRPr="00594F82">
        <w:rPr>
          <w:rFonts w:ascii="Palatino Linotype" w:hAnsi="Palatino Linotype" w:cs="Tahoma"/>
          <w:b/>
          <w:bCs/>
          <w:i/>
          <w:iCs/>
          <w:sz w:val="22"/>
        </w:rPr>
        <w:t>Artículo 19.</w:t>
      </w:r>
      <w:r w:rsidRPr="00594F82">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49332BFF" w14:textId="77777777" w:rsidR="005702D3" w:rsidRPr="00594F82" w:rsidRDefault="005702D3" w:rsidP="005702D3">
      <w:pPr>
        <w:pStyle w:val="Prrafodelista"/>
        <w:tabs>
          <w:tab w:val="left" w:pos="426"/>
        </w:tabs>
        <w:spacing w:before="240" w:after="240" w:line="276" w:lineRule="auto"/>
        <w:ind w:left="567" w:right="567"/>
        <w:jc w:val="both"/>
        <w:rPr>
          <w:rFonts w:ascii="Palatino Linotype" w:hAnsi="Palatino Linotype" w:cs="Tahoma"/>
          <w:b/>
          <w:bCs/>
          <w:i/>
          <w:iCs/>
          <w:sz w:val="22"/>
        </w:rPr>
      </w:pPr>
      <w:r w:rsidRPr="00594F82">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4B2BC2A8" w14:textId="77777777" w:rsidR="005702D3" w:rsidRPr="00594F82" w:rsidRDefault="005702D3" w:rsidP="005702D3">
      <w:pPr>
        <w:pStyle w:val="Prrafodelista"/>
        <w:tabs>
          <w:tab w:val="left" w:pos="426"/>
        </w:tabs>
        <w:spacing w:before="240" w:after="240" w:line="276" w:lineRule="auto"/>
        <w:ind w:left="567" w:right="567"/>
        <w:jc w:val="both"/>
        <w:rPr>
          <w:rFonts w:ascii="Palatino Linotype" w:hAnsi="Palatino Linotype" w:cs="Tahoma"/>
          <w:bCs/>
          <w:i/>
          <w:iCs/>
          <w:sz w:val="22"/>
        </w:rPr>
      </w:pPr>
      <w:r w:rsidRPr="00594F82">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8D78BE2" w14:textId="77777777" w:rsidR="005702D3" w:rsidRPr="00594F82" w:rsidRDefault="005702D3" w:rsidP="005702D3">
      <w:pPr>
        <w:pStyle w:val="Prrafodelista"/>
        <w:tabs>
          <w:tab w:val="left" w:pos="426"/>
        </w:tabs>
        <w:spacing w:before="240" w:after="240" w:line="276" w:lineRule="auto"/>
        <w:ind w:left="567" w:right="567"/>
        <w:jc w:val="both"/>
        <w:rPr>
          <w:rFonts w:ascii="Palatino Linotype" w:hAnsi="Palatino Linotype" w:cs="Tahoma"/>
          <w:bCs/>
          <w:iCs/>
          <w:sz w:val="22"/>
        </w:rPr>
      </w:pPr>
      <w:r w:rsidRPr="00594F82">
        <w:rPr>
          <w:rFonts w:ascii="Palatino Linotype" w:hAnsi="Palatino Linotype" w:cs="Tahoma"/>
          <w:bCs/>
          <w:iCs/>
          <w:sz w:val="22"/>
        </w:rPr>
        <w:t>(Énfasis añadido)</w:t>
      </w:r>
    </w:p>
    <w:p w14:paraId="5F5AF3CC" w14:textId="77777777" w:rsidR="009A24D2" w:rsidRPr="00594F82" w:rsidRDefault="009A24D2" w:rsidP="00590BE7">
      <w:pPr>
        <w:pStyle w:val="Prrafodelista"/>
        <w:tabs>
          <w:tab w:val="left" w:pos="426"/>
        </w:tabs>
        <w:spacing w:line="360" w:lineRule="auto"/>
        <w:ind w:left="0" w:right="51"/>
        <w:jc w:val="both"/>
        <w:rPr>
          <w:rFonts w:ascii="Palatino Linotype" w:hAnsi="Palatino Linotype"/>
          <w:color w:val="000000" w:themeColor="text1"/>
        </w:rPr>
      </w:pPr>
    </w:p>
    <w:p w14:paraId="65AD8272" w14:textId="7C02F880" w:rsidR="00590BE7" w:rsidRPr="00594F82" w:rsidRDefault="000B6CE5"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Por </w:t>
      </w:r>
      <w:r w:rsidR="00612044" w:rsidRPr="00594F82">
        <w:rPr>
          <w:rFonts w:ascii="Palatino Linotype" w:hAnsi="Palatino Linotype" w:cs="Tahoma"/>
          <w:bCs/>
          <w:iCs/>
          <w:lang w:val="es-ES"/>
        </w:rPr>
        <w:t xml:space="preserve">lo que </w:t>
      </w:r>
      <w:r w:rsidR="00612044" w:rsidRPr="00594F82">
        <w:rPr>
          <w:rFonts w:ascii="Palatino Linotype" w:hAnsi="Palatino Linotype"/>
          <w:iCs/>
          <w:color w:val="000000"/>
          <w:lang w:eastAsia="es-MX"/>
        </w:rPr>
        <w:t xml:space="preserve">ser el caso que no se hayan ejercido las facultades, competencias o funciones que propiciaran la generación de la información que se ordena entregar, el </w:t>
      </w:r>
      <w:r w:rsidR="00612044" w:rsidRPr="00594F82">
        <w:rPr>
          <w:rFonts w:ascii="Palatino Linotype" w:hAnsi="Palatino Linotype"/>
          <w:b/>
          <w:iCs/>
          <w:color w:val="000000"/>
          <w:lang w:eastAsia="es-MX"/>
        </w:rPr>
        <w:t>SUJETO OBLIGADO</w:t>
      </w:r>
      <w:r w:rsidR="00612044" w:rsidRPr="00594F82">
        <w:rPr>
          <w:rFonts w:ascii="Palatino Linotype" w:hAnsi="Palatino Linotype"/>
          <w:iCs/>
          <w:color w:val="000000"/>
          <w:lang w:eastAsia="es-MX"/>
        </w:rPr>
        <w:t xml:space="preserve"> deberá motivar su respuesta en función de las causas que motiven tal circunstancia.</w:t>
      </w:r>
    </w:p>
    <w:p w14:paraId="2FCC8471" w14:textId="77777777" w:rsidR="008A513F" w:rsidRPr="00594F82" w:rsidRDefault="008A513F" w:rsidP="008A513F">
      <w:pPr>
        <w:pStyle w:val="Prrafodelista"/>
        <w:tabs>
          <w:tab w:val="left" w:pos="426"/>
        </w:tabs>
        <w:spacing w:line="360" w:lineRule="auto"/>
        <w:ind w:left="0" w:right="51"/>
        <w:jc w:val="both"/>
        <w:rPr>
          <w:rFonts w:ascii="Palatino Linotype" w:hAnsi="Palatino Linotype"/>
          <w:color w:val="000000" w:themeColor="text1"/>
        </w:rPr>
      </w:pPr>
    </w:p>
    <w:p w14:paraId="29A91607" w14:textId="23BD627F" w:rsidR="001F0379" w:rsidRPr="00594F82" w:rsidRDefault="001F0379" w:rsidP="001F0379">
      <w:pPr>
        <w:pStyle w:val="Ttulo2"/>
        <w:rPr>
          <w:rFonts w:ascii="Palatino Linotype" w:hAnsi="Palatino Linotype" w:cs="Tahoma"/>
          <w:b/>
          <w:iCs/>
          <w:color w:val="auto"/>
        </w:rPr>
      </w:pPr>
      <w:r w:rsidRPr="00594F82">
        <w:rPr>
          <w:rFonts w:ascii="Palatino Linotype" w:hAnsi="Palatino Linotype" w:cs="Tahoma"/>
          <w:b/>
          <w:iCs/>
          <w:color w:val="auto"/>
        </w:rPr>
        <w:t>QUINTO. De la versión pública.</w:t>
      </w:r>
    </w:p>
    <w:p w14:paraId="63E1B520" w14:textId="77777777" w:rsidR="001F0379" w:rsidRPr="00594F82"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3B2FD096" w14:textId="77777777" w:rsidR="008E46F0" w:rsidRPr="00594F82" w:rsidRDefault="00223616"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lastRenderedPageBreak/>
        <w:t xml:space="preserve">Debe </w:t>
      </w:r>
      <w:r w:rsidR="008E46F0" w:rsidRPr="00594F82">
        <w:rPr>
          <w:rFonts w:ascii="Palatino Linotype" w:hAnsi="Palatino Linotype"/>
          <w:color w:val="000000" w:themeColor="text1"/>
        </w:rPr>
        <w:t xml:space="preserve">destacarse que, debido a la naturaleza de la información </w:t>
      </w:r>
      <w:r w:rsidR="008E46F0" w:rsidRPr="00594F82">
        <w:rPr>
          <w:rFonts w:ascii="Palatino Linotype" w:hAnsi="Palatino Linotype"/>
          <w:bCs/>
          <w:color w:val="000000" w:themeColor="text1"/>
        </w:rPr>
        <w:t>solicitada, consistente en el soporte documental de todas las autorizaciones de cambio de uso de suelo, eventualmente</w:t>
      </w:r>
      <w:r w:rsidR="008E46F0" w:rsidRPr="00594F82">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461E5FB"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AC09FB5"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La </w:t>
      </w:r>
      <w:r w:rsidRPr="00594F82">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BBAE35"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D16FDB8"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El </w:t>
      </w:r>
      <w:r w:rsidRPr="00594F82">
        <w:rPr>
          <w:rFonts w:ascii="Palatino Linotype" w:eastAsia="MS Mincho" w:hAnsi="Palatino Linotype" w:cs="Times New Roman"/>
        </w:rPr>
        <w:t xml:space="preserve">grave problema que enfrentamos en general, los acuerdos de clasificación de la información que emiten los Sujetos Obligados siguen sin observar los requisitos, </w:t>
      </w:r>
      <w:r w:rsidRPr="00594F82">
        <w:rPr>
          <w:rFonts w:ascii="Palatino Linotype" w:eastAsia="MS Mincho" w:hAnsi="Palatino Linotype" w:cs="Times New Roman"/>
        </w:rPr>
        <w:lastRenderedPageBreak/>
        <w:t>tanto por la complejidad del procedimiento como por la falta de atención de los operadores jurídicos.</w:t>
      </w:r>
    </w:p>
    <w:p w14:paraId="06106D37"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3F3A83A3" w14:textId="77777777" w:rsidR="008E46F0" w:rsidRPr="00594F82"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94F82">
        <w:rPr>
          <w:rFonts w:ascii="Palatino Linotype" w:hAnsi="Palatino Linotype"/>
          <w:b/>
          <w:color w:val="000000" w:themeColor="text1"/>
        </w:rPr>
        <w:t>I. Requisitos previos.</w:t>
      </w:r>
    </w:p>
    <w:p w14:paraId="42D8E7F2"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646FFB1"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Los </w:t>
      </w:r>
      <w:r w:rsidRPr="00594F82">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CBD56F"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2C7DCA3"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Además, </w:t>
      </w:r>
      <w:r w:rsidRPr="00594F82">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86846D5"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3724FB1"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El </w:t>
      </w:r>
      <w:r w:rsidRPr="00594F82">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w:t>
      </w:r>
      <w:r w:rsidRPr="00594F82">
        <w:rPr>
          <w:rFonts w:ascii="Palatino Linotype" w:eastAsia="MS Mincho" w:hAnsi="Palatino Linotype" w:cs="Times New Roman"/>
        </w:rPr>
        <w:lastRenderedPageBreak/>
        <w:t>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3680BF2"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99F2A2B" w14:textId="77777777" w:rsidR="008E46F0" w:rsidRPr="00594F82"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94F82">
        <w:rPr>
          <w:rFonts w:ascii="Palatino Linotype" w:hAnsi="Palatino Linotype"/>
          <w:b/>
          <w:color w:val="000000" w:themeColor="text1"/>
        </w:rPr>
        <w:t>II. Supuestos de clasificación.</w:t>
      </w:r>
    </w:p>
    <w:p w14:paraId="5A2172A2"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037A7D6"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Las </w:t>
      </w:r>
      <w:r w:rsidRPr="00594F82">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22EA7AB"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30650"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Los </w:t>
      </w:r>
      <w:r w:rsidRPr="00594F82">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A7617EF" w14:textId="77777777" w:rsidR="008E46F0" w:rsidRPr="00594F82"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4F8119BE" w14:textId="77777777" w:rsidR="008E46F0" w:rsidRPr="00594F82"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94F82">
        <w:rPr>
          <w:rFonts w:ascii="Palatino Linotype" w:hAnsi="Palatino Linotype" w:cs="Bookman Old Style"/>
          <w:bCs/>
          <w:i/>
          <w:color w:val="000000"/>
          <w:sz w:val="22"/>
          <w:szCs w:val="22"/>
        </w:rPr>
        <w:t>“</w:t>
      </w:r>
      <w:r w:rsidRPr="00594F82">
        <w:rPr>
          <w:rFonts w:ascii="Palatino Linotype" w:hAnsi="Palatino Linotype" w:cs="Bookman Old Style"/>
          <w:b/>
          <w:i/>
          <w:color w:val="000000"/>
          <w:sz w:val="22"/>
          <w:szCs w:val="22"/>
        </w:rPr>
        <w:t>I.</w:t>
      </w:r>
      <w:r w:rsidRPr="00594F82">
        <w:rPr>
          <w:rFonts w:ascii="Palatino Linotype" w:hAnsi="Palatino Linotype" w:cs="Bookman Old Style"/>
          <w:bCs/>
          <w:i/>
          <w:color w:val="000000"/>
          <w:sz w:val="22"/>
          <w:szCs w:val="22"/>
        </w:rPr>
        <w:t xml:space="preserve"> </w:t>
      </w:r>
      <w:r w:rsidRPr="00594F82">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6C579C6" w14:textId="77777777" w:rsidR="008E46F0" w:rsidRPr="00594F82"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94F82">
        <w:rPr>
          <w:rFonts w:ascii="Palatino Linotype" w:hAnsi="Palatino Linotype" w:cs="Bookman Old Style"/>
          <w:b/>
          <w:i/>
          <w:color w:val="000000"/>
          <w:sz w:val="22"/>
          <w:szCs w:val="22"/>
        </w:rPr>
        <w:t>II.</w:t>
      </w:r>
      <w:r w:rsidRPr="00594F82">
        <w:rPr>
          <w:rFonts w:ascii="Palatino Linotype" w:hAnsi="Palatino Linotype" w:cs="Bookman Old Style"/>
          <w:bCs/>
          <w:i/>
          <w:color w:val="000000"/>
          <w:sz w:val="22"/>
          <w:szCs w:val="22"/>
        </w:rPr>
        <w:t xml:space="preserve"> </w:t>
      </w:r>
      <w:r w:rsidRPr="00594F82">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DD5C0D" w14:textId="77777777" w:rsidR="008E46F0" w:rsidRPr="00594F82"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94F82">
        <w:rPr>
          <w:rFonts w:ascii="Palatino Linotype" w:hAnsi="Palatino Linotype" w:cs="Bookman Old Style"/>
          <w:b/>
          <w:i/>
          <w:color w:val="000000"/>
          <w:sz w:val="22"/>
          <w:szCs w:val="22"/>
        </w:rPr>
        <w:t>III.</w:t>
      </w:r>
      <w:r w:rsidRPr="00594F82">
        <w:rPr>
          <w:rFonts w:ascii="Palatino Linotype" w:hAnsi="Palatino Linotype" w:cs="Bookman Old Style"/>
          <w:bCs/>
          <w:i/>
          <w:color w:val="000000"/>
          <w:sz w:val="22"/>
          <w:szCs w:val="22"/>
        </w:rPr>
        <w:t xml:space="preserve"> </w:t>
      </w:r>
      <w:r w:rsidRPr="00594F82">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7211E43" w14:textId="77777777" w:rsidR="008E46F0" w:rsidRPr="00594F82"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94F82">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C92CB61" w14:textId="77777777" w:rsidR="008E46F0" w:rsidRPr="00594F82"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594F82">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8C9AB75"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Palatino Linotype" w:hAnsi="Palatino Linotype" w:cs="Palatino Linotype"/>
          <w:color w:val="000000"/>
        </w:rPr>
        <w:lastRenderedPageBreak/>
        <w:t xml:space="preserve">Mientras </w:t>
      </w:r>
      <w:r w:rsidRPr="00594F82">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BC36B04"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D452E"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Como </w:t>
      </w:r>
      <w:r w:rsidRPr="00594F82">
        <w:rPr>
          <w:rFonts w:ascii="Palatino Linotype" w:eastAsia="MS Mincho" w:hAnsi="Palatino Linotype" w:cs="Times New Roman"/>
        </w:rPr>
        <w:t xml:space="preserve">consecuencia de lo anterior, el </w:t>
      </w:r>
      <w:r w:rsidRPr="00594F82">
        <w:rPr>
          <w:rFonts w:ascii="Palatino Linotype" w:eastAsia="MS Mincho" w:hAnsi="Palatino Linotype" w:cs="Times New Roman"/>
          <w:b/>
          <w:bCs/>
        </w:rPr>
        <w:t>SUJETO OBLIGADO</w:t>
      </w:r>
      <w:r w:rsidRPr="00594F82">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383CF8C"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2BE25E6"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Al </w:t>
      </w:r>
      <w:r w:rsidRPr="00594F82">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C09B94" w14:textId="77777777" w:rsidR="008E46F0" w:rsidRPr="00594F82"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1D715B" w14:textId="4A530A78" w:rsidR="008E46F0" w:rsidRPr="00594F82"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i/>
          <w:sz w:val="22"/>
          <w:szCs w:val="22"/>
        </w:rPr>
        <w:t>“</w:t>
      </w:r>
      <w:r w:rsidRPr="00594F82">
        <w:rPr>
          <w:rFonts w:ascii="Palatino Linotype" w:hAnsi="Palatino Linotype" w:cs="Arial"/>
          <w:b/>
          <w:i/>
          <w:sz w:val="22"/>
          <w:szCs w:val="22"/>
        </w:rPr>
        <w:t>Quincuagésimo.</w:t>
      </w:r>
      <w:r w:rsidRPr="00594F82">
        <w:rPr>
          <w:rFonts w:ascii="Palatino Linotype" w:hAnsi="Palatino Linotype" w:cs="Arial"/>
          <w:i/>
          <w:sz w:val="22"/>
          <w:szCs w:val="22"/>
        </w:rPr>
        <w:t xml:space="preserve"> Los titulares </w:t>
      </w:r>
      <w:r w:rsidR="00C94D16" w:rsidRPr="00594F82">
        <w:rPr>
          <w:rFonts w:ascii="Palatino Linotype" w:hAnsi="Palatino Linotype" w:cs="Arial"/>
          <w:i/>
          <w:sz w:val="22"/>
          <w:szCs w:val="22"/>
        </w:rPr>
        <w:t>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7927BCF" w14:textId="77777777" w:rsidR="008E46F0" w:rsidRPr="00594F82"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E6811BD" w14:textId="77777777" w:rsidR="00DF1F7B" w:rsidRPr="00594F82" w:rsidRDefault="008E46F0"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Quincuagésimo primero.</w:t>
      </w:r>
      <w:r w:rsidRPr="00594F82">
        <w:rPr>
          <w:rFonts w:ascii="Palatino Linotype" w:hAnsi="Palatino Linotype" w:cs="Arial"/>
          <w:i/>
          <w:sz w:val="22"/>
          <w:szCs w:val="22"/>
        </w:rPr>
        <w:t xml:space="preserve"> </w:t>
      </w:r>
      <w:r w:rsidR="00C94D16" w:rsidRPr="00594F82">
        <w:rPr>
          <w:rFonts w:ascii="Palatino Linotype" w:hAnsi="Palatino Linotype" w:cs="Arial"/>
          <w:i/>
          <w:sz w:val="22"/>
          <w:szCs w:val="22"/>
        </w:rPr>
        <w:t xml:space="preserve">Toda acta del Comité de Transparencia deberá contener: </w:t>
      </w:r>
    </w:p>
    <w:p w14:paraId="3886392F" w14:textId="03BF738A" w:rsidR="00DF1F7B" w:rsidRPr="00594F82"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w:t>
      </w:r>
      <w:r w:rsidR="00C94D16" w:rsidRPr="00594F82">
        <w:rPr>
          <w:rFonts w:ascii="Palatino Linotype" w:hAnsi="Palatino Linotype" w:cs="Arial"/>
          <w:b/>
          <w:i/>
          <w:sz w:val="22"/>
          <w:szCs w:val="22"/>
        </w:rPr>
        <w:t>.</w:t>
      </w:r>
      <w:r w:rsidR="00C94D16" w:rsidRPr="00594F82">
        <w:rPr>
          <w:rFonts w:ascii="Palatino Linotype" w:hAnsi="Palatino Linotype" w:cs="Arial"/>
          <w:i/>
          <w:sz w:val="22"/>
          <w:szCs w:val="22"/>
        </w:rPr>
        <w:t xml:space="preserve"> El número de sesión y fecha; </w:t>
      </w:r>
    </w:p>
    <w:p w14:paraId="61CE44D0" w14:textId="5C382E02" w:rsidR="00DF1F7B" w:rsidRPr="00594F82"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II</w:t>
      </w:r>
      <w:r w:rsidR="00C94D16" w:rsidRPr="00594F82">
        <w:rPr>
          <w:rFonts w:ascii="Palatino Linotype" w:hAnsi="Palatino Linotype" w:cs="Arial"/>
          <w:b/>
          <w:i/>
          <w:sz w:val="22"/>
          <w:szCs w:val="22"/>
        </w:rPr>
        <w:t>.</w:t>
      </w:r>
      <w:r w:rsidR="00C94D16" w:rsidRPr="00594F82">
        <w:rPr>
          <w:rFonts w:ascii="Palatino Linotype" w:hAnsi="Palatino Linotype" w:cs="Arial"/>
          <w:i/>
          <w:sz w:val="22"/>
          <w:szCs w:val="22"/>
        </w:rPr>
        <w:t xml:space="preserve"> El nombre del área que solicitó la clasificación de información; </w:t>
      </w:r>
    </w:p>
    <w:p w14:paraId="54BFB667" w14:textId="71173AB9" w:rsidR="00DF1F7B" w:rsidRPr="00594F82"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III</w:t>
      </w:r>
      <w:r w:rsidR="00C94D16" w:rsidRPr="00594F82">
        <w:rPr>
          <w:rFonts w:ascii="Palatino Linotype" w:hAnsi="Palatino Linotype" w:cs="Arial"/>
          <w:b/>
          <w:i/>
          <w:sz w:val="22"/>
          <w:szCs w:val="22"/>
        </w:rPr>
        <w:t>.</w:t>
      </w:r>
      <w:r w:rsidR="00C94D16" w:rsidRPr="00594F82">
        <w:rPr>
          <w:rFonts w:ascii="Palatino Linotype" w:hAnsi="Palatino Linotype" w:cs="Arial"/>
          <w:i/>
          <w:sz w:val="22"/>
          <w:szCs w:val="22"/>
        </w:rPr>
        <w:t xml:space="preserve"> La fundamentación legal y motivación correspondiente; </w:t>
      </w:r>
    </w:p>
    <w:p w14:paraId="08F1144B" w14:textId="77777777" w:rsidR="00DF1F7B" w:rsidRPr="00594F82"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IV.</w:t>
      </w:r>
      <w:r w:rsidRPr="00594F82">
        <w:rPr>
          <w:rFonts w:ascii="Palatino Linotype" w:hAnsi="Palatino Linotype" w:cs="Arial"/>
          <w:i/>
          <w:sz w:val="22"/>
          <w:szCs w:val="22"/>
        </w:rPr>
        <w:t xml:space="preserve"> La resolución o resoluciones aprobadas; y </w:t>
      </w:r>
    </w:p>
    <w:p w14:paraId="6E594570" w14:textId="77777777" w:rsidR="00DF1F7B" w:rsidRPr="00594F82"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V.</w:t>
      </w:r>
      <w:r w:rsidRPr="00594F82">
        <w:rPr>
          <w:rFonts w:ascii="Palatino Linotype" w:hAnsi="Palatino Linotype" w:cs="Arial"/>
          <w:i/>
          <w:sz w:val="22"/>
          <w:szCs w:val="22"/>
        </w:rPr>
        <w:t xml:space="preserve"> La rúbrica o firma digital de cada integrante del Comité de Transparencia. </w:t>
      </w:r>
    </w:p>
    <w:p w14:paraId="62D0AA2A" w14:textId="77777777" w:rsidR="00DF1F7B" w:rsidRPr="00594F82"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i/>
          <w:sz w:val="22"/>
          <w:szCs w:val="22"/>
        </w:rPr>
        <w:t xml:space="preserve">Las resoluciones del Comité en las que se haya determinado confirmar o modificar la clasificación de información pública como reservada, deberán incluir, cuando menos: </w:t>
      </w:r>
    </w:p>
    <w:p w14:paraId="438F6819" w14:textId="3BC28903" w:rsidR="00DF1F7B" w:rsidRPr="00594F82"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lastRenderedPageBreak/>
        <w:t>I</w:t>
      </w:r>
      <w:r w:rsidR="00C94D16" w:rsidRPr="00594F82">
        <w:rPr>
          <w:rFonts w:ascii="Palatino Linotype" w:hAnsi="Palatino Linotype" w:cs="Arial"/>
          <w:b/>
          <w:i/>
          <w:sz w:val="22"/>
          <w:szCs w:val="22"/>
        </w:rPr>
        <w:t>.</w:t>
      </w:r>
      <w:r w:rsidR="00C94D16" w:rsidRPr="00594F82">
        <w:rPr>
          <w:rFonts w:ascii="Palatino Linotype" w:hAnsi="Palatino Linotype" w:cs="Arial"/>
          <w:i/>
          <w:sz w:val="22"/>
          <w:szCs w:val="22"/>
        </w:rPr>
        <w:t xml:space="preserve"> Los motivos y razonamientos que sustenten la confirmación o modificación de la prueba de daño; </w:t>
      </w:r>
    </w:p>
    <w:p w14:paraId="6839A5A6" w14:textId="600B2BB1" w:rsidR="00DF1F7B" w:rsidRPr="00594F82"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II</w:t>
      </w:r>
      <w:r w:rsidR="00C94D16" w:rsidRPr="00594F82">
        <w:rPr>
          <w:rFonts w:ascii="Palatino Linotype" w:hAnsi="Palatino Linotype" w:cs="Arial"/>
          <w:b/>
          <w:i/>
          <w:sz w:val="22"/>
          <w:szCs w:val="22"/>
        </w:rPr>
        <w:t>.</w:t>
      </w:r>
      <w:r w:rsidR="00C94D16" w:rsidRPr="00594F82">
        <w:rPr>
          <w:rFonts w:ascii="Palatino Linotype" w:hAnsi="Palatino Linotype" w:cs="Arial"/>
          <w:i/>
          <w:sz w:val="22"/>
          <w:szCs w:val="22"/>
        </w:rPr>
        <w:t xml:space="preserve"> Descripción de las partes o secciones reservadas, en caso de clasificación parcial; </w:t>
      </w:r>
    </w:p>
    <w:p w14:paraId="13285D14" w14:textId="3252E452" w:rsidR="00DF1F7B" w:rsidRPr="00594F82"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III</w:t>
      </w:r>
      <w:r w:rsidR="00C94D16" w:rsidRPr="00594F82">
        <w:rPr>
          <w:rFonts w:ascii="Palatino Linotype" w:hAnsi="Palatino Linotype" w:cs="Arial"/>
          <w:b/>
          <w:i/>
          <w:sz w:val="22"/>
          <w:szCs w:val="22"/>
        </w:rPr>
        <w:t>.</w:t>
      </w:r>
      <w:r w:rsidR="00C94D16" w:rsidRPr="00594F82">
        <w:rPr>
          <w:rFonts w:ascii="Palatino Linotype" w:hAnsi="Palatino Linotype" w:cs="Arial"/>
          <w:i/>
          <w:sz w:val="22"/>
          <w:szCs w:val="22"/>
        </w:rPr>
        <w:t xml:space="preserve"> El periodo por el que mantendrá su clasificación y fecha de expiración; y </w:t>
      </w:r>
    </w:p>
    <w:p w14:paraId="7FD3ABFC" w14:textId="77777777" w:rsidR="00DF1F7B" w:rsidRPr="00594F82"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IV.</w:t>
      </w:r>
      <w:r w:rsidRPr="00594F82">
        <w:rPr>
          <w:rFonts w:ascii="Palatino Linotype" w:hAnsi="Palatino Linotype" w:cs="Arial"/>
          <w:i/>
          <w:sz w:val="22"/>
          <w:szCs w:val="22"/>
        </w:rPr>
        <w:t xml:space="preserve"> El nombre del titular y área encargada de realizar la versión pública del documento, en su caso. </w:t>
      </w:r>
    </w:p>
    <w:p w14:paraId="3AB24BE1" w14:textId="77777777" w:rsidR="00DF1F7B" w:rsidRPr="00594F82"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515D3DF" w14:textId="77777777" w:rsidR="00DF1F7B" w:rsidRPr="00594F82"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i/>
          <w:sz w:val="22"/>
          <w:szCs w:val="22"/>
        </w:rPr>
        <w:t xml:space="preserve">En los casos en que se clasifique la información como reservada siempre se entregará o anexará la prueba de daño con la respuesta al solicitante. </w:t>
      </w:r>
    </w:p>
    <w:p w14:paraId="4578C844" w14:textId="77777777" w:rsidR="00DF1F7B" w:rsidRPr="00594F82"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4B10EFC" w14:textId="116E09C0" w:rsidR="008E46F0" w:rsidRPr="00594F82"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7798D0C1" w14:textId="77777777" w:rsidR="008E46F0" w:rsidRPr="00594F82"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8C1A78B" w14:textId="77777777" w:rsidR="00DF1F7B" w:rsidRPr="00594F82" w:rsidRDefault="008E46F0"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Quincuagésimo segundo.</w:t>
      </w:r>
      <w:r w:rsidRPr="00594F82">
        <w:rPr>
          <w:rFonts w:ascii="Palatino Linotype" w:hAnsi="Palatino Linotype" w:cs="Arial"/>
          <w:i/>
          <w:sz w:val="22"/>
          <w:szCs w:val="22"/>
        </w:rPr>
        <w:t xml:space="preserve"> </w:t>
      </w:r>
      <w:r w:rsidR="00DF1F7B" w:rsidRPr="00594F82">
        <w:rPr>
          <w:rFonts w:ascii="Palatino Linotype" w:hAnsi="Palatino Linotype" w:cs="Arial"/>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00DF1F7B" w:rsidRPr="00594F82">
        <w:rPr>
          <w:rFonts w:ascii="Palatino Linotype" w:hAnsi="Palatino Linotype" w:cs="Arial"/>
          <w:i/>
          <w:sz w:val="22"/>
          <w:szCs w:val="22"/>
        </w:rPr>
        <w:t>sobreposicion</w:t>
      </w:r>
      <w:proofErr w:type="spellEnd"/>
      <w:r w:rsidR="00DF1F7B" w:rsidRPr="00594F82">
        <w:rPr>
          <w:rFonts w:ascii="Palatino Linotype" w:hAnsi="Palatino Linotype" w:cs="Arial"/>
          <w:i/>
          <w:sz w:val="22"/>
          <w:szCs w:val="22"/>
        </w:rPr>
        <w:t xml:space="preserve"> de contenido distinto al autorizado por el Comité. </w:t>
      </w:r>
    </w:p>
    <w:p w14:paraId="0350DA28" w14:textId="77777777" w:rsidR="00DF1F7B" w:rsidRPr="00594F82"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CD92C81" w14:textId="77777777" w:rsidR="00DF1F7B" w:rsidRPr="00594F82"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i/>
          <w:sz w:val="22"/>
          <w:szCs w:val="22"/>
        </w:rPr>
        <w:t xml:space="preserve">En el caso específico de la clasificación y elaboración de versiones públicas de documentos que contengan información confidencial, las áreas de los sujetos obligados deberán: </w:t>
      </w:r>
    </w:p>
    <w:p w14:paraId="74D88733" w14:textId="4A0809F6" w:rsidR="00DF1F7B" w:rsidRPr="00594F82"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594F82">
        <w:rPr>
          <w:rFonts w:ascii="Palatino Linotype" w:hAnsi="Palatino Linotype" w:cs="Arial"/>
          <w:b/>
          <w:i/>
          <w:sz w:val="22"/>
          <w:szCs w:val="22"/>
        </w:rPr>
        <w:t>I.</w:t>
      </w:r>
      <w:r w:rsidRPr="00594F82">
        <w:rPr>
          <w:rFonts w:ascii="Palatino Linotype" w:hAnsi="Palatino Linotype" w:cs="Arial"/>
          <w:i/>
          <w:sz w:val="22"/>
          <w:szCs w:val="22"/>
        </w:rPr>
        <w:t xml:space="preserve"> Fijar la fecha en que se elaboró la versión pública y la fecha en la cual el Comité de Transparencia confirmo dicha versión; </w:t>
      </w:r>
    </w:p>
    <w:p w14:paraId="53E16ADD" w14:textId="5A3782E3" w:rsidR="00DF1F7B" w:rsidRPr="00594F82"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594F82">
        <w:rPr>
          <w:rFonts w:ascii="Palatino Linotype" w:hAnsi="Palatino Linotype" w:cs="Arial"/>
          <w:b/>
          <w:i/>
          <w:sz w:val="22"/>
          <w:szCs w:val="22"/>
        </w:rPr>
        <w:t>II.</w:t>
      </w:r>
      <w:r w:rsidRPr="00594F82">
        <w:rPr>
          <w:rFonts w:ascii="Palatino Linotype" w:hAnsi="Palatino Linotype" w:cs="Arial"/>
          <w:i/>
          <w:sz w:val="22"/>
          <w:szCs w:val="22"/>
        </w:rPr>
        <w:t xml:space="preserve"> Señalar dentro del documento el tipo de información confidencial que fue testada en cada caso específico, de conformidad con el lineamiento trigésimo octavo; y </w:t>
      </w:r>
    </w:p>
    <w:p w14:paraId="2E0BEA2F" w14:textId="3EF77AD5" w:rsidR="00DF1F7B" w:rsidRPr="00594F82"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594F82">
        <w:rPr>
          <w:rFonts w:ascii="Palatino Linotype" w:hAnsi="Palatino Linotype" w:cs="Arial"/>
          <w:b/>
          <w:i/>
          <w:sz w:val="22"/>
          <w:szCs w:val="22"/>
        </w:rPr>
        <w:t>III.</w:t>
      </w:r>
      <w:r w:rsidRPr="00594F82">
        <w:rPr>
          <w:rFonts w:ascii="Palatino Linotype" w:hAnsi="Palatino Linotype" w:cs="Arial"/>
          <w:i/>
          <w:sz w:val="22"/>
          <w:szCs w:val="22"/>
        </w:rPr>
        <w:t xml:space="preserve"> Señalar las personas o instancias autorizadas a acceder a la información clasificada. </w:t>
      </w:r>
    </w:p>
    <w:p w14:paraId="6987886B" w14:textId="77777777" w:rsidR="00DF1F7B" w:rsidRPr="00594F82"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AD8A1BF" w14:textId="156EB2EB" w:rsidR="008E46F0" w:rsidRPr="00594F82"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i/>
          <w:sz w:val="22"/>
          <w:szCs w:val="22"/>
        </w:rPr>
        <w:t>En los documentos de difusión electrónica, señalar en la primera hoja y en el nombre del archivo, que la versión publica corresponde a un documento que contiene información confidencial.</w:t>
      </w:r>
    </w:p>
    <w:p w14:paraId="03C1E406" w14:textId="77777777" w:rsidR="008E46F0" w:rsidRPr="00594F82"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055602B" w14:textId="177DA38C" w:rsidR="008E46F0" w:rsidRPr="00594F82"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94F82">
        <w:rPr>
          <w:rFonts w:ascii="Palatino Linotype" w:hAnsi="Palatino Linotype" w:cs="Arial"/>
          <w:b/>
          <w:i/>
          <w:sz w:val="22"/>
          <w:szCs w:val="22"/>
        </w:rPr>
        <w:t>Quincuagésimo tercero.</w:t>
      </w:r>
      <w:r w:rsidRPr="00594F82">
        <w:rPr>
          <w:rFonts w:ascii="Palatino Linotype" w:hAnsi="Palatino Linotype" w:cs="Arial"/>
          <w:i/>
          <w:sz w:val="22"/>
          <w:szCs w:val="22"/>
        </w:rPr>
        <w:t xml:space="preserve"> </w:t>
      </w:r>
      <w:r w:rsidR="00DF1F7B" w:rsidRPr="00594F82">
        <w:rPr>
          <w:rFonts w:ascii="Palatino Linotype" w:hAnsi="Palatino Linotype" w:cs="Arial"/>
          <w:i/>
          <w:sz w:val="22"/>
          <w:szCs w:val="22"/>
        </w:rPr>
        <w:t>EI formato para señalar la clasificación de un documento o expediente que contenga información reservada, es el siguiente:</w:t>
      </w:r>
    </w:p>
    <w:p w14:paraId="26572EFC" w14:textId="77777777" w:rsidR="008E46F0" w:rsidRPr="00594F82" w:rsidRDefault="008E46F0" w:rsidP="008E46F0">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594F82">
        <w:rPr>
          <w:rFonts w:ascii="Palatino Linotype" w:hAnsi="Palatino Linotype" w:cs="Arial"/>
          <w:i/>
          <w:noProof/>
          <w:lang w:val="es-MX" w:eastAsia="es-MX"/>
        </w:rPr>
        <w:lastRenderedPageBreak/>
        <w:drawing>
          <wp:inline distT="0" distB="0" distL="0" distR="0" wp14:anchorId="029C4FD3" wp14:editId="41AEFBD6">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B23975"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5533B62"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Palatino Linotype" w:hAnsi="Palatino Linotype" w:cs="Palatino Linotype"/>
          <w:color w:val="000000"/>
        </w:rPr>
        <w:t xml:space="preserve">Una </w:t>
      </w:r>
      <w:r w:rsidRPr="00594F82">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519FE70"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142CE60" w14:textId="77777777" w:rsidR="008E46F0" w:rsidRPr="00594F82"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94F82">
        <w:rPr>
          <w:rFonts w:ascii="Palatino Linotype" w:hAnsi="Palatino Linotype"/>
          <w:b/>
          <w:color w:val="000000" w:themeColor="text1"/>
        </w:rPr>
        <w:t>III. La intervención del Comité de Transparencia.</w:t>
      </w:r>
    </w:p>
    <w:p w14:paraId="2AF421DA"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sidRPr="00594F82">
        <w:rPr>
          <w:rFonts w:ascii="Palatino Linotype" w:hAnsi="Palatino Linotype"/>
          <w:b/>
          <w:color w:val="000000" w:themeColor="text1"/>
        </w:rPr>
        <w:t>a) Formalidades para emitir el Acuerdo de Clasificación.</w:t>
      </w:r>
    </w:p>
    <w:p w14:paraId="72C36E1A"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E63C757"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El </w:t>
      </w:r>
      <w:r w:rsidRPr="00594F82">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594F82">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E34406"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DB577D6" w14:textId="48BE6B9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Evidentemente, </w:t>
      </w:r>
      <w:r w:rsidRPr="00594F82">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w:t>
      </w:r>
      <w:r w:rsidR="00041541" w:rsidRPr="00594F82">
        <w:rPr>
          <w:rFonts w:ascii="Palatino Linotype" w:eastAsia="MS Mincho" w:hAnsi="Palatino Linotype" w:cs="Times New Roman"/>
        </w:rPr>
        <w:t>a de archivos y el titular del Ó</w:t>
      </w:r>
      <w:r w:rsidRPr="00594F82">
        <w:rPr>
          <w:rFonts w:ascii="Palatino Linotype" w:eastAsia="MS Mincho" w:hAnsi="Palatino Linotype" w:cs="Times New Roman"/>
        </w:rPr>
        <w:t xml:space="preserve">rgano </w:t>
      </w:r>
      <w:r w:rsidR="00041541" w:rsidRPr="00594F82">
        <w:rPr>
          <w:rFonts w:ascii="Palatino Linotype" w:eastAsia="MS Mincho" w:hAnsi="Palatino Linotype" w:cs="Times New Roman"/>
        </w:rPr>
        <w:t>I</w:t>
      </w:r>
      <w:r w:rsidRPr="00594F82">
        <w:rPr>
          <w:rFonts w:ascii="Palatino Linotype" w:eastAsia="MS Mincho" w:hAnsi="Palatino Linotype" w:cs="Times New Roman"/>
        </w:rPr>
        <w:t xml:space="preserve">nterno de </w:t>
      </w:r>
      <w:r w:rsidR="00041541" w:rsidRPr="00594F82">
        <w:rPr>
          <w:rFonts w:ascii="Palatino Linotype" w:eastAsia="MS Mincho" w:hAnsi="Palatino Linotype" w:cs="Times New Roman"/>
        </w:rPr>
        <w:t>C</w:t>
      </w:r>
      <w:r w:rsidRPr="00594F82">
        <w:rPr>
          <w:rFonts w:ascii="Palatino Linotype" w:eastAsia="MS Mincho" w:hAnsi="Palatino Linotype" w:cs="Times New Roman"/>
        </w:rPr>
        <w:t>ontrol</w:t>
      </w:r>
      <w:r w:rsidR="00041541" w:rsidRPr="00594F82">
        <w:rPr>
          <w:rFonts w:ascii="Palatino Linotype" w:eastAsia="MS Mincho" w:hAnsi="Palatino Linotype" w:cs="Times New Roman"/>
        </w:rPr>
        <w:t xml:space="preserve"> competente</w:t>
      </w:r>
      <w:r w:rsidRPr="00594F82">
        <w:rPr>
          <w:rFonts w:ascii="Palatino Linotype" w:eastAsia="MS Mincho" w:hAnsi="Palatino Linotype" w:cs="Times New Roman"/>
        </w:rPr>
        <w:t>, integrado siempre por un número impar y que no debe de existir dependencia jerárquica entre sus integrantes. Cualquier otra composición del Comité puede generar vicios de legalidad de origen en el acto que restringe un derecho humano.</w:t>
      </w:r>
    </w:p>
    <w:p w14:paraId="35C34EE5"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0B66E4D"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La </w:t>
      </w:r>
      <w:r w:rsidRPr="00594F82">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594F82">
        <w:rPr>
          <w:rFonts w:ascii="Palatino Linotype" w:eastAsia="MS Mincho" w:hAnsi="Palatino Linotype" w:cs="Times New Roman"/>
        </w:rPr>
        <w:lastRenderedPageBreak/>
        <w:t>por los titulares de áreas y que son sujetas a control, en primera instancia, por el Comité de Transparencia.</w:t>
      </w:r>
    </w:p>
    <w:p w14:paraId="11B241EA"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E975B7C"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sidRPr="00594F82">
        <w:rPr>
          <w:rFonts w:ascii="Palatino Linotype" w:hAnsi="Palatino Linotype"/>
          <w:b/>
          <w:color w:val="000000" w:themeColor="text1"/>
        </w:rPr>
        <w:t>b) Requisitos de fondo del Acuerdo de Clasificación.</w:t>
      </w:r>
    </w:p>
    <w:p w14:paraId="0F9DAE11"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F2B8BFB"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Como </w:t>
      </w:r>
      <w:r w:rsidRPr="00594F82">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4A5F2CD"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D607B69"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De </w:t>
      </w:r>
      <w:r w:rsidRPr="00594F82">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6B5C49"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06C04101"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Han </w:t>
      </w:r>
      <w:r w:rsidRPr="00594F82">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594F82">
        <w:rPr>
          <w:rFonts w:ascii="Palatino Linotype" w:eastAsia="MS Mincho" w:hAnsi="Palatino Linotype" w:cs="Times New Roman"/>
        </w:rPr>
        <w:lastRenderedPageBreak/>
        <w:t xml:space="preserve">Proceso”, refiere que </w:t>
      </w:r>
      <w:r w:rsidRPr="00594F82">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94F82">
        <w:rPr>
          <w:rFonts w:ascii="Palatino Linotype" w:eastAsia="MS Mincho" w:hAnsi="Palatino Linotype" w:cs="Times New Roman"/>
        </w:rPr>
        <w:t>.</w:t>
      </w:r>
    </w:p>
    <w:p w14:paraId="188A66BB"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093E396"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Por </w:t>
      </w:r>
      <w:r w:rsidRPr="00594F82">
        <w:rPr>
          <w:rFonts w:ascii="Palatino Linotype" w:eastAsia="MS Mincho" w:hAnsi="Palatino Linotype" w:cs="Times New Roman"/>
        </w:rPr>
        <w:t>su parte, el intérprete judicial del país ha establecido una jurisprudencia</w:t>
      </w:r>
      <w:r w:rsidRPr="00594F82">
        <w:rPr>
          <w:rStyle w:val="Refdenotaalpie"/>
          <w:rFonts w:ascii="Palatino Linotype" w:eastAsia="MS Mincho" w:hAnsi="Palatino Linotype" w:cs="Times New Roman"/>
        </w:rPr>
        <w:footnoteReference w:id="28"/>
      </w:r>
      <w:r w:rsidRPr="00594F82">
        <w:rPr>
          <w:rFonts w:ascii="Palatino Linotype" w:eastAsia="MS Mincho" w:hAnsi="Palatino Linotype" w:cs="Times New Roman"/>
        </w:rPr>
        <w:t xml:space="preserve"> respecto a qué debe entenderse por fundamentación y motivación, en los siguientes términos:</w:t>
      </w:r>
    </w:p>
    <w:p w14:paraId="148EA831" w14:textId="77777777" w:rsidR="008E46F0" w:rsidRPr="00594F82"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D72A34" w14:textId="77777777" w:rsidR="008E46F0" w:rsidRPr="00594F82" w:rsidRDefault="008E46F0" w:rsidP="008E46F0">
      <w:pPr>
        <w:spacing w:line="276" w:lineRule="auto"/>
        <w:ind w:left="567" w:right="567"/>
        <w:contextualSpacing/>
        <w:jc w:val="both"/>
        <w:rPr>
          <w:rFonts w:ascii="Palatino Linotype" w:hAnsi="Palatino Linotype" w:cs="Arial"/>
          <w:i/>
          <w:color w:val="000000"/>
          <w:sz w:val="22"/>
          <w:szCs w:val="22"/>
        </w:rPr>
      </w:pPr>
      <w:r w:rsidRPr="00594F82">
        <w:rPr>
          <w:rFonts w:ascii="Palatino Linotype" w:hAnsi="Palatino Linotype" w:cs="Arial"/>
          <w:b/>
          <w:i/>
          <w:color w:val="000000"/>
          <w:sz w:val="22"/>
          <w:szCs w:val="22"/>
        </w:rPr>
        <w:t>FUNDAMENTACIÓN Y MOTIVACIÓN.</w:t>
      </w:r>
      <w:r w:rsidRPr="00594F82">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7AF4E4"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411AD29"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Palatino Linotype" w:hAnsi="Palatino Linotype" w:cs="Palatino Linotype"/>
          <w:color w:val="000000"/>
        </w:rPr>
        <w:t xml:space="preserve">Así, </w:t>
      </w:r>
      <w:r w:rsidRPr="00594F82">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52CF209"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684E0B93"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lastRenderedPageBreak/>
        <w:t xml:space="preserve">En </w:t>
      </w:r>
      <w:r w:rsidRPr="00594F82">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1EEB1C"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E2E4971" w14:textId="77777777" w:rsidR="008E46F0"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En </w:t>
      </w:r>
      <w:r w:rsidRPr="00594F82">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0C45DB3"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1BFBBC0" w14:textId="784B7A36" w:rsidR="00E00CA5" w:rsidRPr="00594F82"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rPr>
        <w:t xml:space="preserve">Otro </w:t>
      </w:r>
      <w:r w:rsidRPr="00594F82">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CE5215" w14:textId="77777777" w:rsidR="008E46F0" w:rsidRPr="00594F82"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594F82"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594F82">
        <w:rPr>
          <w:rFonts w:ascii="Palatino Linotype" w:hAnsi="Palatino Linotype" w:cs="Arial"/>
          <w:b/>
          <w:bCs/>
          <w:lang w:eastAsia="es-MX"/>
        </w:rPr>
        <w:t>SEXTO</w:t>
      </w:r>
      <w:r w:rsidR="00C65875" w:rsidRPr="00594F82">
        <w:rPr>
          <w:rFonts w:ascii="Palatino Linotype" w:hAnsi="Palatino Linotype" w:cs="Arial"/>
          <w:b/>
          <w:bCs/>
          <w:lang w:eastAsia="es-MX"/>
        </w:rPr>
        <w:t>. Decisión.</w:t>
      </w:r>
    </w:p>
    <w:p w14:paraId="462AEDDB" w14:textId="77777777" w:rsidR="00C65875" w:rsidRPr="00594F82"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007F62A4" w:rsidR="00C65875" w:rsidRPr="00594F82"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s="Arial"/>
          <w:lang w:eastAsia="es-MX"/>
        </w:rPr>
        <w:t xml:space="preserve">Luego </w:t>
      </w:r>
      <w:r w:rsidRPr="00594F82">
        <w:rPr>
          <w:rFonts w:ascii="Palatino Linotype" w:hAnsi="Palatino Linotype"/>
          <w:color w:val="000000" w:themeColor="text1"/>
        </w:rPr>
        <w:t>de analizar</w:t>
      </w:r>
      <w:r w:rsidR="00343B5C" w:rsidRPr="00594F82">
        <w:rPr>
          <w:rFonts w:ascii="Palatino Linotype" w:hAnsi="Palatino Linotype"/>
          <w:color w:val="000000" w:themeColor="text1"/>
        </w:rPr>
        <w:t xml:space="preserve"> </w:t>
      </w:r>
      <w:r w:rsidR="00612044" w:rsidRPr="00594F82">
        <w:rPr>
          <w:rFonts w:ascii="Palatino Linotype" w:hAnsi="Palatino Linotype"/>
          <w:color w:val="000000" w:themeColor="text1"/>
        </w:rPr>
        <w:t>el marco legal que engloba</w:t>
      </w:r>
      <w:r w:rsidR="00C1448D" w:rsidRPr="00594F82">
        <w:rPr>
          <w:rFonts w:ascii="Palatino Linotype" w:hAnsi="Palatino Linotype"/>
          <w:color w:val="000000" w:themeColor="text1"/>
        </w:rPr>
        <w:t xml:space="preserve"> la información solicitada, se estableció que la Autorización de Condominios </w:t>
      </w:r>
      <w:r w:rsidR="00E4244E" w:rsidRPr="00594F82">
        <w:rPr>
          <w:rFonts w:ascii="Palatino Linotype" w:hAnsi="Palatino Linotype"/>
          <w:color w:val="000000" w:themeColor="text1"/>
        </w:rPr>
        <w:t xml:space="preserve">era un trámite a cargo de la Secretaría de Desarrollo Urbano y Obra del Gobierno del Estado de México, mientras que </w:t>
      </w:r>
      <w:r w:rsidR="006B60B4" w:rsidRPr="00594F82">
        <w:rPr>
          <w:rFonts w:ascii="Palatino Linotype" w:hAnsi="Palatino Linotype"/>
          <w:color w:val="000000" w:themeColor="text1"/>
        </w:rPr>
        <w:t>el denominado Autorización de Cambio a Régimen de Condominio se realizaba ante la Dirección General de Desarrollo Urbano del ayuntamiento, por lo que se ordenó su búsqueda y entrega.</w:t>
      </w:r>
    </w:p>
    <w:p w14:paraId="53A0C7F3" w14:textId="77777777" w:rsidR="00E62DCB" w:rsidRPr="00594F82"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7242370" w:rsidR="00F01443" w:rsidRPr="00594F82"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eastAsia="MS Mincho" w:hAnsi="Palatino Linotype" w:cstheme="majorBidi"/>
          <w:lang w:val="es-ES"/>
        </w:rPr>
        <w:lastRenderedPageBreak/>
        <w:t>Por lo tanto, e</w:t>
      </w:r>
      <w:r w:rsidR="003E6079" w:rsidRPr="00594F82">
        <w:rPr>
          <w:rFonts w:ascii="Palatino Linotype" w:eastAsia="MS Mincho" w:hAnsi="Palatino Linotype" w:cstheme="majorBidi"/>
          <w:lang w:val="es-ES"/>
        </w:rPr>
        <w:t>n consecuencia y en mérito de lo expuesto en líneas anteriores, resultan</w:t>
      </w:r>
      <w:r w:rsidR="00FB5B03" w:rsidRPr="00594F82">
        <w:rPr>
          <w:rFonts w:ascii="Palatino Linotype" w:eastAsia="MS Mincho" w:hAnsi="Palatino Linotype" w:cstheme="majorBidi"/>
          <w:lang w:val="es-ES"/>
        </w:rPr>
        <w:t xml:space="preserve"> </w:t>
      </w:r>
      <w:r w:rsidR="006B60B4" w:rsidRPr="00594F82">
        <w:rPr>
          <w:rFonts w:ascii="Palatino Linotype" w:eastAsia="MS Mincho" w:hAnsi="Palatino Linotype" w:cstheme="majorBidi"/>
          <w:lang w:val="es-ES"/>
        </w:rPr>
        <w:t xml:space="preserve">parcialmente </w:t>
      </w:r>
      <w:r w:rsidR="003E6079" w:rsidRPr="00594F82">
        <w:rPr>
          <w:rFonts w:ascii="Palatino Linotype" w:eastAsia="MS Mincho" w:hAnsi="Palatino Linotype" w:cstheme="majorBidi"/>
          <w:lang w:val="es-ES"/>
        </w:rPr>
        <w:t xml:space="preserve">fundadas las razones o motivos de inconformidad hechos valer por el </w:t>
      </w:r>
      <w:r w:rsidR="003E6079" w:rsidRPr="00594F82">
        <w:rPr>
          <w:rFonts w:ascii="Palatino Linotype" w:eastAsia="MS Mincho" w:hAnsi="Palatino Linotype" w:cstheme="majorBidi"/>
          <w:b/>
          <w:lang w:val="es-ES"/>
        </w:rPr>
        <w:t>RECURRENTE</w:t>
      </w:r>
      <w:r w:rsidR="003E6079" w:rsidRPr="00594F82">
        <w:rPr>
          <w:rFonts w:ascii="Palatino Linotype" w:eastAsia="MS Mincho" w:hAnsi="Palatino Linotype" w:cstheme="majorBidi"/>
          <w:lang w:val="es-ES"/>
        </w:rPr>
        <w:t xml:space="preserve"> dentro del recurso de revisión </w:t>
      </w:r>
      <w:r w:rsidR="009E35CC" w:rsidRPr="00594F82">
        <w:rPr>
          <w:rFonts w:ascii="Palatino Linotype" w:eastAsia="MS Mincho" w:hAnsi="Palatino Linotype" w:cstheme="majorBidi"/>
          <w:b/>
          <w:bCs/>
          <w:lang w:val="es-ES"/>
        </w:rPr>
        <w:t>14803/INFOEM/IP/RR/2022</w:t>
      </w:r>
      <w:r w:rsidR="003E6079" w:rsidRPr="00594F82">
        <w:rPr>
          <w:rFonts w:ascii="Palatino Linotype" w:eastAsia="MS Mincho" w:hAnsi="Palatino Linotype" w:cstheme="majorBidi"/>
          <w:lang w:val="es-ES"/>
        </w:rPr>
        <w:t xml:space="preserve">; por ello, y con fundamento en la fracción </w:t>
      </w:r>
      <w:r w:rsidR="00743CAC" w:rsidRPr="00594F82">
        <w:rPr>
          <w:rFonts w:ascii="Palatino Linotype" w:eastAsia="MS Mincho" w:hAnsi="Palatino Linotype" w:cstheme="majorBidi"/>
          <w:lang w:val="es-ES"/>
        </w:rPr>
        <w:t>I</w:t>
      </w:r>
      <w:r w:rsidR="003E6079" w:rsidRPr="00594F82">
        <w:rPr>
          <w:rFonts w:ascii="Palatino Linotype" w:eastAsia="MS Mincho" w:hAnsi="Palatino Linotype" w:cstheme="majorBidi"/>
          <w:lang w:val="es-ES"/>
        </w:rPr>
        <w:t xml:space="preserve">II del numeral 186 de la Ley de Transparencia y Acceso a la Información Pública del Estado de México y Municipios, se </w:t>
      </w:r>
      <w:r w:rsidR="00520844" w:rsidRPr="00594F82">
        <w:rPr>
          <w:rFonts w:ascii="Palatino Linotype" w:eastAsia="MS Mincho" w:hAnsi="Palatino Linotype" w:cstheme="majorBidi"/>
          <w:b/>
          <w:lang w:val="es-ES"/>
        </w:rPr>
        <w:t>MODIFICA</w:t>
      </w:r>
      <w:r w:rsidR="003E6079" w:rsidRPr="00594F82">
        <w:rPr>
          <w:rFonts w:ascii="Palatino Linotype" w:eastAsia="MS Mincho" w:hAnsi="Palatino Linotype" w:cstheme="majorBidi"/>
          <w:lang w:val="es-ES"/>
        </w:rPr>
        <w:t xml:space="preserve"> la respuesta a l</w:t>
      </w:r>
      <w:r w:rsidRPr="00594F82">
        <w:rPr>
          <w:rFonts w:ascii="Palatino Linotype" w:eastAsia="MS Mincho" w:hAnsi="Palatino Linotype" w:cstheme="majorBidi"/>
          <w:lang w:val="es-ES"/>
        </w:rPr>
        <w:t>a</w:t>
      </w:r>
      <w:r w:rsidR="003E6079" w:rsidRPr="00594F82">
        <w:rPr>
          <w:rFonts w:ascii="Palatino Linotype" w:eastAsia="MS Mincho" w:hAnsi="Palatino Linotype" w:cstheme="majorBidi"/>
          <w:lang w:val="es-ES"/>
        </w:rPr>
        <w:t xml:space="preserve"> solicitud de información número </w:t>
      </w:r>
      <w:r w:rsidR="009E35CC" w:rsidRPr="00594F82">
        <w:rPr>
          <w:rFonts w:ascii="Palatino Linotype" w:eastAsia="MS Mincho" w:hAnsi="Palatino Linotype" w:cstheme="majorBidi"/>
          <w:b/>
          <w:lang w:val="es-ES"/>
        </w:rPr>
        <w:t>00686/NAUCALPA/IP/2022</w:t>
      </w:r>
      <w:r w:rsidR="003E6079" w:rsidRPr="00594F82">
        <w:rPr>
          <w:rFonts w:ascii="Palatino Linotype" w:eastAsia="MS Mincho" w:hAnsi="Palatino Linotype" w:cstheme="majorBidi"/>
          <w:lang w:val="es-ES"/>
        </w:rPr>
        <w:t>.</w:t>
      </w:r>
    </w:p>
    <w:p w14:paraId="370E910A" w14:textId="77777777" w:rsidR="00F01443" w:rsidRPr="00594F82"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594F82"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F82">
        <w:rPr>
          <w:rFonts w:ascii="Palatino Linotype" w:hAnsi="Palatino Linotype"/>
          <w:color w:val="000000" w:themeColor="text1"/>
          <w:lang w:val="es-ES"/>
        </w:rPr>
        <w:t xml:space="preserve">Por </w:t>
      </w:r>
      <w:r w:rsidR="00B41516" w:rsidRPr="00594F82">
        <w:rPr>
          <w:rFonts w:ascii="Palatino Linotype" w:hAnsi="Palatino Linotype"/>
          <w:color w:val="000000" w:themeColor="text1"/>
        </w:rPr>
        <w:t xml:space="preserve">lo anteriormente expuesto y fundado, </w:t>
      </w:r>
      <w:r w:rsidR="003E6079" w:rsidRPr="00594F82">
        <w:rPr>
          <w:rFonts w:ascii="Palatino Linotype" w:hAnsi="Palatino Linotype"/>
          <w:color w:val="000000" w:themeColor="text1"/>
        </w:rPr>
        <w:t>e</w:t>
      </w:r>
      <w:r w:rsidR="00B41516" w:rsidRPr="00594F82">
        <w:rPr>
          <w:rFonts w:ascii="Palatino Linotype" w:hAnsi="Palatino Linotype"/>
          <w:color w:val="000000" w:themeColor="text1"/>
        </w:rPr>
        <w:t xml:space="preserve">ste </w:t>
      </w:r>
      <w:r w:rsidR="00B41516" w:rsidRPr="00594F82">
        <w:rPr>
          <w:rFonts w:ascii="Palatino Linotype" w:hAnsi="Palatino Linotype"/>
          <w:b/>
          <w:color w:val="000000" w:themeColor="text1"/>
        </w:rPr>
        <w:t>ÓRGANO GARANTE</w:t>
      </w:r>
      <w:r w:rsidR="00B41516" w:rsidRPr="00594F82">
        <w:rPr>
          <w:rFonts w:ascii="Palatino Linotype" w:hAnsi="Palatino Linotype"/>
          <w:color w:val="000000" w:themeColor="text1"/>
        </w:rPr>
        <w:t xml:space="preserve"> emite los siguientes:</w:t>
      </w:r>
      <w:r w:rsidR="003E6079" w:rsidRPr="00594F82">
        <w:rPr>
          <w:rFonts w:ascii="Palatino Linotype" w:hAnsi="Palatino Linotype"/>
          <w:color w:val="000000" w:themeColor="text1"/>
        </w:rPr>
        <w:t xml:space="preserve"> </w:t>
      </w:r>
      <w:r w:rsidR="00D71057" w:rsidRPr="00594F82">
        <w:rPr>
          <w:rFonts w:ascii="Palatino Linotype" w:hAnsi="Palatino Linotype"/>
          <w:color w:val="000000" w:themeColor="text1"/>
        </w:rPr>
        <w:t>--------------------------------------------------------------------------</w:t>
      </w:r>
      <w:r w:rsidR="00E10AC3" w:rsidRPr="00594F82">
        <w:rPr>
          <w:rFonts w:ascii="Palatino Linotype" w:hAnsi="Palatino Linotype"/>
          <w:color w:val="000000" w:themeColor="text1"/>
        </w:rPr>
        <w:t>-----------------</w:t>
      </w:r>
      <w:r w:rsidR="00895335" w:rsidRPr="00594F82">
        <w:rPr>
          <w:rFonts w:ascii="Palatino Linotype" w:hAnsi="Palatino Linotype"/>
          <w:color w:val="000000" w:themeColor="text1"/>
        </w:rPr>
        <w:t>--</w:t>
      </w:r>
      <w:r w:rsidR="003E6079" w:rsidRPr="00594F82">
        <w:rPr>
          <w:rFonts w:ascii="Palatino Linotype" w:hAnsi="Palatino Linotype"/>
          <w:color w:val="000000" w:themeColor="text1"/>
        </w:rPr>
        <w:t>--</w:t>
      </w:r>
      <w:r w:rsidR="00FC6C3D" w:rsidRPr="00594F82">
        <w:rPr>
          <w:rFonts w:ascii="Palatino Linotype" w:hAnsi="Palatino Linotype"/>
          <w:color w:val="000000" w:themeColor="text1"/>
        </w:rPr>
        <w:t>----------------------------------------</w:t>
      </w:r>
      <w:r w:rsidR="00472A17" w:rsidRPr="00594F82">
        <w:rPr>
          <w:rFonts w:ascii="Palatino Linotype" w:hAnsi="Palatino Linotype"/>
          <w:color w:val="000000" w:themeColor="text1"/>
        </w:rPr>
        <w:t>------------------------------------------------------------------------------------------------------------------------------------------------------------------------</w:t>
      </w:r>
      <w:r w:rsidR="00FC6C3D" w:rsidRPr="00594F82">
        <w:rPr>
          <w:rFonts w:ascii="Palatino Linotype" w:hAnsi="Palatino Linotype"/>
          <w:color w:val="000000" w:themeColor="text1"/>
        </w:rPr>
        <w:t>----------</w:t>
      </w:r>
    </w:p>
    <w:p w14:paraId="64A61CAA" w14:textId="50904DF4" w:rsidR="00BD540C" w:rsidRPr="00594F82" w:rsidRDefault="00BD540C">
      <w:pPr>
        <w:rPr>
          <w:rFonts w:ascii="Palatino Linotype" w:hAnsi="Palatino Linotype"/>
          <w:color w:val="000000" w:themeColor="text1"/>
        </w:rPr>
      </w:pPr>
    </w:p>
    <w:p w14:paraId="18C7D92B" w14:textId="2E6B88EF" w:rsidR="009959DB" w:rsidRPr="00594F82"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594F82">
        <w:rPr>
          <w:b/>
          <w:color w:val="000000" w:themeColor="text1"/>
          <w:sz w:val="28"/>
          <w:szCs w:val="24"/>
        </w:rPr>
        <w:t>R E S O L U T I V O S</w:t>
      </w:r>
      <w:bookmarkEnd w:id="21"/>
      <w:bookmarkEnd w:id="22"/>
      <w:bookmarkEnd w:id="24"/>
      <w:bookmarkEnd w:id="25"/>
      <w:bookmarkEnd w:id="26"/>
    </w:p>
    <w:p w14:paraId="2EF2AC2D" w14:textId="77777777" w:rsidR="00A73C04" w:rsidRPr="00594F82" w:rsidRDefault="00A73C04" w:rsidP="002578EE">
      <w:pPr>
        <w:spacing w:line="360" w:lineRule="auto"/>
        <w:jc w:val="both"/>
        <w:rPr>
          <w:rFonts w:ascii="Palatino Linotype" w:eastAsia="Times New Roman" w:hAnsi="Palatino Linotype" w:cs="Arial"/>
          <w:b/>
          <w:sz w:val="28"/>
          <w:szCs w:val="28"/>
        </w:rPr>
      </w:pPr>
    </w:p>
    <w:p w14:paraId="0C435278" w14:textId="46C2FC8C" w:rsidR="00A73C04" w:rsidRPr="00594F82" w:rsidRDefault="00A73C04" w:rsidP="00A73C04">
      <w:pPr>
        <w:spacing w:line="360" w:lineRule="auto"/>
        <w:jc w:val="both"/>
        <w:rPr>
          <w:rFonts w:ascii="Palatino Linotype" w:eastAsia="Times New Roman" w:hAnsi="Palatino Linotype" w:cs="Times New Roman"/>
        </w:rPr>
      </w:pPr>
      <w:r w:rsidRPr="00594F82">
        <w:rPr>
          <w:rFonts w:ascii="Palatino Linotype" w:eastAsia="Times New Roman" w:hAnsi="Palatino Linotype" w:cs="Arial"/>
          <w:b/>
          <w:sz w:val="28"/>
          <w:szCs w:val="28"/>
        </w:rPr>
        <w:t>PRIMERO</w:t>
      </w:r>
      <w:r w:rsidRPr="00594F82">
        <w:rPr>
          <w:rFonts w:ascii="Palatino Linotype" w:eastAsia="Times New Roman" w:hAnsi="Palatino Linotype" w:cs="Arial"/>
          <w:b/>
        </w:rPr>
        <w:t xml:space="preserve">. </w:t>
      </w:r>
      <w:r w:rsidR="00743CAC" w:rsidRPr="00594F82">
        <w:rPr>
          <w:rFonts w:ascii="Palatino Linotype" w:eastAsia="Times New Roman" w:hAnsi="Palatino Linotype" w:cs="Arial"/>
        </w:rPr>
        <w:t xml:space="preserve">Resultan </w:t>
      </w:r>
      <w:r w:rsidR="006B60B4" w:rsidRPr="00594F82">
        <w:rPr>
          <w:rFonts w:ascii="Palatino Linotype" w:eastAsia="Times New Roman" w:hAnsi="Palatino Linotype" w:cs="Arial"/>
        </w:rPr>
        <w:t xml:space="preserve">parcialmente </w:t>
      </w:r>
      <w:r w:rsidRPr="00594F82">
        <w:rPr>
          <w:rFonts w:ascii="Palatino Linotype" w:eastAsia="Times New Roman" w:hAnsi="Palatino Linotype" w:cs="Arial"/>
        </w:rPr>
        <w:t>fundadas las</w:t>
      </w:r>
      <w:r w:rsidRPr="00594F82">
        <w:rPr>
          <w:rFonts w:ascii="Palatino Linotype" w:eastAsia="Times New Roman" w:hAnsi="Palatino Linotype" w:cs="Arial"/>
          <w:b/>
        </w:rPr>
        <w:t xml:space="preserve"> </w:t>
      </w:r>
      <w:r w:rsidRPr="00594F82">
        <w:rPr>
          <w:rFonts w:ascii="Palatino Linotype" w:eastAsia="Times New Roman" w:hAnsi="Palatino Linotype" w:cs="Arial"/>
          <w:lang w:val="es-ES"/>
        </w:rPr>
        <w:t xml:space="preserve">razones o motivos de inconformidad hechos valer </w:t>
      </w:r>
      <w:r w:rsidRPr="00594F82">
        <w:rPr>
          <w:rFonts w:ascii="Palatino Linotype" w:eastAsia="Calibri" w:hAnsi="Palatino Linotype" w:cs="Arial"/>
          <w:lang w:val="es-ES"/>
        </w:rPr>
        <w:t xml:space="preserve">en </w:t>
      </w:r>
      <w:r w:rsidR="00291D91" w:rsidRPr="00594F82">
        <w:rPr>
          <w:rFonts w:ascii="Palatino Linotype" w:eastAsia="Calibri" w:hAnsi="Palatino Linotype" w:cs="Arial"/>
          <w:lang w:val="es-ES"/>
        </w:rPr>
        <w:t>el</w:t>
      </w:r>
      <w:r w:rsidRPr="00594F82">
        <w:rPr>
          <w:rFonts w:ascii="Palatino Linotype" w:eastAsia="Calibri" w:hAnsi="Palatino Linotype" w:cs="Arial"/>
          <w:lang w:val="es-ES"/>
        </w:rPr>
        <w:t xml:space="preserve"> recurso de revisión </w:t>
      </w:r>
      <w:r w:rsidR="009E35CC" w:rsidRPr="00594F82">
        <w:rPr>
          <w:rFonts w:ascii="Palatino Linotype" w:eastAsia="Times New Roman" w:hAnsi="Palatino Linotype" w:cs="Times New Roman"/>
          <w:b/>
        </w:rPr>
        <w:t>14803/INFOEM/IP/RR/2022</w:t>
      </w:r>
      <w:r w:rsidRPr="00594F82">
        <w:rPr>
          <w:rFonts w:ascii="Palatino Linotype" w:eastAsia="Times New Roman" w:hAnsi="Palatino Linotype" w:cs="Times New Roman"/>
          <w:b/>
        </w:rPr>
        <w:t xml:space="preserve"> </w:t>
      </w:r>
      <w:r w:rsidRPr="00594F82">
        <w:rPr>
          <w:rFonts w:ascii="Palatino Linotype" w:eastAsia="Times New Roman" w:hAnsi="Palatino Linotype" w:cs="Times New Roman"/>
        </w:rPr>
        <w:t>en términos de</w:t>
      </w:r>
      <w:r w:rsidR="00743CAC" w:rsidRPr="00594F82">
        <w:rPr>
          <w:rFonts w:ascii="Palatino Linotype" w:eastAsia="Times New Roman" w:hAnsi="Palatino Linotype" w:cs="Times New Roman"/>
        </w:rPr>
        <w:t xml:space="preserve"> </w:t>
      </w:r>
      <w:r w:rsidRPr="00594F82">
        <w:rPr>
          <w:rFonts w:ascii="Palatino Linotype" w:eastAsia="Times New Roman" w:hAnsi="Palatino Linotype" w:cs="Times New Roman"/>
        </w:rPr>
        <w:t>l</w:t>
      </w:r>
      <w:r w:rsidR="00743CAC" w:rsidRPr="00594F82">
        <w:rPr>
          <w:rFonts w:ascii="Palatino Linotype" w:eastAsia="Times New Roman" w:hAnsi="Palatino Linotype" w:cs="Times New Roman"/>
        </w:rPr>
        <w:t>os</w:t>
      </w:r>
      <w:r w:rsidR="008E082A" w:rsidRPr="00594F82">
        <w:rPr>
          <w:rFonts w:ascii="Palatino Linotype" w:eastAsia="Times New Roman" w:hAnsi="Palatino Linotype" w:cs="Times New Roman"/>
          <w:b/>
          <w:bCs/>
        </w:rPr>
        <w:t xml:space="preserve"> c</w:t>
      </w:r>
      <w:r w:rsidRPr="00594F82">
        <w:rPr>
          <w:rFonts w:ascii="Palatino Linotype" w:eastAsia="Times New Roman" w:hAnsi="Palatino Linotype" w:cs="Times New Roman"/>
          <w:b/>
          <w:bCs/>
        </w:rPr>
        <w:t>onsiderando</w:t>
      </w:r>
      <w:r w:rsidR="00743CAC" w:rsidRPr="00594F82">
        <w:rPr>
          <w:rFonts w:ascii="Palatino Linotype" w:eastAsia="Times New Roman" w:hAnsi="Palatino Linotype" w:cs="Times New Roman"/>
          <w:b/>
          <w:bCs/>
        </w:rPr>
        <w:t>s</w:t>
      </w:r>
      <w:r w:rsidRPr="00594F82">
        <w:rPr>
          <w:rFonts w:ascii="Palatino Linotype" w:eastAsia="Times New Roman" w:hAnsi="Palatino Linotype" w:cs="Times New Roman"/>
        </w:rPr>
        <w:t xml:space="preserve"> </w:t>
      </w:r>
      <w:r w:rsidRPr="00594F82">
        <w:rPr>
          <w:rFonts w:ascii="Palatino Linotype" w:eastAsia="Times New Roman" w:hAnsi="Palatino Linotype" w:cs="Times New Roman"/>
          <w:b/>
        </w:rPr>
        <w:t>CUARTO</w:t>
      </w:r>
      <w:r w:rsidRPr="00594F82">
        <w:rPr>
          <w:rFonts w:ascii="Palatino Linotype" w:eastAsia="Times New Roman" w:hAnsi="Palatino Linotype" w:cs="Times New Roman"/>
        </w:rPr>
        <w:t xml:space="preserve"> </w:t>
      </w:r>
      <w:r w:rsidR="00743CAC" w:rsidRPr="00594F82">
        <w:rPr>
          <w:rFonts w:ascii="Palatino Linotype" w:eastAsia="Times New Roman" w:hAnsi="Palatino Linotype" w:cs="Times New Roman"/>
        </w:rPr>
        <w:t xml:space="preserve">y </w:t>
      </w:r>
      <w:r w:rsidR="00743CAC" w:rsidRPr="00594F82">
        <w:rPr>
          <w:rFonts w:ascii="Palatino Linotype" w:eastAsia="Times New Roman" w:hAnsi="Palatino Linotype" w:cs="Times New Roman"/>
          <w:b/>
        </w:rPr>
        <w:t>QUINTO</w:t>
      </w:r>
      <w:r w:rsidR="00743CAC" w:rsidRPr="00594F82">
        <w:rPr>
          <w:rFonts w:ascii="Palatino Linotype" w:eastAsia="Times New Roman" w:hAnsi="Palatino Linotype" w:cs="Times New Roman"/>
        </w:rPr>
        <w:t xml:space="preserve"> </w:t>
      </w:r>
      <w:r w:rsidRPr="00594F82">
        <w:rPr>
          <w:rFonts w:ascii="Palatino Linotype" w:eastAsia="Times New Roman" w:hAnsi="Palatino Linotype" w:cs="Times New Roman"/>
        </w:rPr>
        <w:t>de la presente resolución.</w:t>
      </w:r>
    </w:p>
    <w:p w14:paraId="0DBF8BF4" w14:textId="77777777" w:rsidR="00A73C04" w:rsidRPr="00594F82" w:rsidRDefault="00A73C04" w:rsidP="00A73C04">
      <w:pPr>
        <w:spacing w:line="360" w:lineRule="auto"/>
        <w:contextualSpacing/>
        <w:jc w:val="both"/>
        <w:rPr>
          <w:rFonts w:ascii="Palatino Linotype" w:eastAsia="Calibri" w:hAnsi="Palatino Linotype" w:cs="Arial"/>
          <w:b/>
          <w:bCs/>
          <w:lang w:val="es-ES"/>
        </w:rPr>
      </w:pPr>
    </w:p>
    <w:p w14:paraId="2A288E5F" w14:textId="415F516A" w:rsidR="00743CAC" w:rsidRPr="00594F82" w:rsidRDefault="00743CAC" w:rsidP="00743CAC">
      <w:pPr>
        <w:spacing w:line="360" w:lineRule="auto"/>
        <w:contextualSpacing/>
        <w:jc w:val="both"/>
        <w:rPr>
          <w:rFonts w:ascii="Palatino Linotype" w:eastAsia="Times New Roman" w:hAnsi="Palatino Linotype" w:cs="Arial"/>
          <w:color w:val="000000"/>
        </w:rPr>
      </w:pPr>
      <w:r w:rsidRPr="00594F82">
        <w:rPr>
          <w:rFonts w:ascii="Palatino Linotype" w:eastAsia="Calibri" w:hAnsi="Palatino Linotype" w:cs="Arial"/>
          <w:b/>
          <w:bCs/>
          <w:sz w:val="28"/>
          <w:szCs w:val="28"/>
          <w:lang w:val="es-ES"/>
        </w:rPr>
        <w:t>SEGUNDO</w:t>
      </w:r>
      <w:r w:rsidRPr="00594F82">
        <w:rPr>
          <w:rFonts w:ascii="Palatino Linotype" w:eastAsia="Calibri" w:hAnsi="Palatino Linotype" w:cs="Arial"/>
          <w:b/>
          <w:bCs/>
          <w:lang w:val="es-ES"/>
        </w:rPr>
        <w:t xml:space="preserve">. </w:t>
      </w:r>
      <w:r w:rsidRPr="00594F82">
        <w:rPr>
          <w:rFonts w:ascii="Palatino Linotype" w:eastAsia="Calibri" w:hAnsi="Palatino Linotype" w:cs="Arial"/>
          <w:lang w:val="es-ES"/>
        </w:rPr>
        <w:t xml:space="preserve">Se </w:t>
      </w:r>
      <w:r w:rsidR="00520844" w:rsidRPr="00594F82">
        <w:rPr>
          <w:rFonts w:ascii="Palatino Linotype" w:eastAsia="Calibri" w:hAnsi="Palatino Linotype" w:cs="Arial"/>
          <w:b/>
          <w:lang w:val="es-ES"/>
        </w:rPr>
        <w:t>MODIFICA</w:t>
      </w:r>
      <w:r w:rsidRPr="00594F82">
        <w:rPr>
          <w:rFonts w:ascii="Palatino Linotype" w:eastAsia="Calibri" w:hAnsi="Palatino Linotype" w:cs="Arial"/>
          <w:lang w:val="es-ES"/>
        </w:rPr>
        <w:t xml:space="preserve"> la respuesta emitida por el </w:t>
      </w:r>
      <w:r w:rsidR="009E35CC" w:rsidRPr="00594F82">
        <w:rPr>
          <w:rFonts w:ascii="Palatino Linotype" w:eastAsia="Calibri" w:hAnsi="Palatino Linotype" w:cs="Arial"/>
          <w:b/>
        </w:rPr>
        <w:t>Ayuntamiento de Naucalpan de Juárez</w:t>
      </w:r>
      <w:r w:rsidR="008E082A" w:rsidRPr="00594F82">
        <w:rPr>
          <w:rFonts w:ascii="Palatino Linotype" w:eastAsia="Calibri" w:hAnsi="Palatino Linotype" w:cs="Arial"/>
          <w:b/>
        </w:rPr>
        <w:t>,</w:t>
      </w:r>
      <w:r w:rsidRPr="00594F82">
        <w:rPr>
          <w:rFonts w:ascii="Palatino Linotype" w:eastAsia="Calibri" w:hAnsi="Palatino Linotype" w:cs="Arial"/>
          <w:bCs/>
        </w:rPr>
        <w:t xml:space="preserve"> a la solicitud </w:t>
      </w:r>
      <w:r w:rsidR="009E35CC" w:rsidRPr="00594F82">
        <w:rPr>
          <w:rFonts w:ascii="Palatino Linotype" w:eastAsia="MS Mincho" w:hAnsi="Palatino Linotype" w:cstheme="majorBidi"/>
          <w:b/>
          <w:lang w:val="es-ES"/>
        </w:rPr>
        <w:t>00686/NAUCALPA/IP/2022</w:t>
      </w:r>
      <w:r w:rsidRPr="00594F82">
        <w:rPr>
          <w:rFonts w:ascii="Palatino Linotype" w:eastAsia="MS Mincho" w:hAnsi="Palatino Linotype" w:cstheme="majorBidi"/>
          <w:b/>
          <w:lang w:val="es-ES"/>
        </w:rPr>
        <w:t xml:space="preserve"> </w:t>
      </w:r>
      <w:r w:rsidRPr="00594F82">
        <w:rPr>
          <w:rFonts w:ascii="Palatino Linotype" w:eastAsia="Calibri" w:hAnsi="Palatino Linotype" w:cs="Arial"/>
        </w:rPr>
        <w:t xml:space="preserve">y se </w:t>
      </w:r>
      <w:r w:rsidRPr="00594F82">
        <w:rPr>
          <w:rFonts w:ascii="Palatino Linotype" w:eastAsia="Calibri" w:hAnsi="Palatino Linotype" w:cs="Arial"/>
          <w:b/>
        </w:rPr>
        <w:t>ORDENA</w:t>
      </w:r>
      <w:r w:rsidRPr="00594F82">
        <w:rPr>
          <w:rFonts w:ascii="Palatino Linotype" w:eastAsia="Calibri" w:hAnsi="Palatino Linotype" w:cs="Arial"/>
          <w:b/>
          <w:lang w:val="es-ES"/>
        </w:rPr>
        <w:t xml:space="preserve"> </w:t>
      </w:r>
      <w:r w:rsidRPr="00594F82">
        <w:rPr>
          <w:rFonts w:ascii="Palatino Linotype" w:eastAsia="Calibri" w:hAnsi="Palatino Linotype" w:cs="Arial"/>
          <w:lang w:val="es-ES"/>
        </w:rPr>
        <w:t xml:space="preserve">entregar, </w:t>
      </w:r>
      <w:bookmarkStart w:id="27" w:name="_Toc460947013"/>
      <w:r w:rsidRPr="00594F82">
        <w:rPr>
          <w:rFonts w:ascii="Palatino Linotype" w:eastAsia="Calibri" w:hAnsi="Palatino Linotype" w:cs="Arial"/>
          <w:lang w:val="es-ES"/>
        </w:rPr>
        <w:t>vía Sistema de Acceso a la Información Pública Mexiquense (SAIMEX)</w:t>
      </w:r>
      <w:r w:rsidRPr="00594F82">
        <w:rPr>
          <w:rFonts w:ascii="Palatino Linotype" w:eastAsia="Times New Roman" w:hAnsi="Palatino Linotype" w:cs="Arial"/>
          <w:color w:val="000000"/>
        </w:rPr>
        <w:t xml:space="preserve">, </w:t>
      </w:r>
      <w:r w:rsidR="006B60B4" w:rsidRPr="00594F82">
        <w:rPr>
          <w:rFonts w:ascii="Palatino Linotype" w:eastAsia="Times New Roman" w:hAnsi="Palatino Linotype" w:cs="Arial"/>
          <w:color w:val="000000"/>
        </w:rPr>
        <w:t xml:space="preserve">previa búsqueda exhaustiva y razonable, </w:t>
      </w:r>
      <w:r w:rsidR="00520844" w:rsidRPr="00594F82">
        <w:rPr>
          <w:rFonts w:ascii="Palatino Linotype" w:eastAsia="Times New Roman" w:hAnsi="Palatino Linotype" w:cs="Arial"/>
          <w:color w:val="000000"/>
        </w:rPr>
        <w:t xml:space="preserve">en versión pública, </w:t>
      </w:r>
      <w:r w:rsidR="00A84187" w:rsidRPr="00594F82">
        <w:rPr>
          <w:rFonts w:ascii="Palatino Linotype" w:eastAsia="Times New Roman" w:hAnsi="Palatino Linotype" w:cs="Arial"/>
          <w:color w:val="000000"/>
        </w:rPr>
        <w:t>la siguiente información</w:t>
      </w:r>
      <w:r w:rsidRPr="00594F82">
        <w:rPr>
          <w:rFonts w:ascii="Palatino Linotype" w:eastAsia="Times New Roman" w:hAnsi="Palatino Linotype" w:cs="Arial"/>
          <w:color w:val="000000"/>
        </w:rPr>
        <w:t xml:space="preserve">: </w:t>
      </w:r>
    </w:p>
    <w:p w14:paraId="6E6AD4FF" w14:textId="77777777" w:rsidR="00596238" w:rsidRPr="00594F82" w:rsidRDefault="00596238" w:rsidP="00743CAC">
      <w:pPr>
        <w:spacing w:line="360" w:lineRule="auto"/>
        <w:contextualSpacing/>
        <w:jc w:val="both"/>
        <w:rPr>
          <w:rFonts w:ascii="Palatino Linotype" w:eastAsia="Times New Roman" w:hAnsi="Palatino Linotype" w:cs="Arial"/>
          <w:color w:val="000000"/>
        </w:rPr>
      </w:pPr>
    </w:p>
    <w:p w14:paraId="326766E2" w14:textId="1F5858D4" w:rsidR="004D54E4" w:rsidRPr="00594F82" w:rsidRDefault="00A9456E"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94F82">
        <w:rPr>
          <w:rFonts w:ascii="Palatino Linotype" w:hAnsi="Palatino Linotype"/>
          <w:b/>
          <w:bCs/>
          <w:color w:val="000000"/>
        </w:rPr>
        <w:t xml:space="preserve">Autorización de Cambio a Régimen de Condominio de la construcción </w:t>
      </w:r>
      <w:r w:rsidR="00434884" w:rsidRPr="00594F82">
        <w:rPr>
          <w:rFonts w:ascii="Palatino Linotype" w:hAnsi="Palatino Linotype"/>
          <w:b/>
          <w:bCs/>
          <w:color w:val="000000"/>
        </w:rPr>
        <w:t>referida en la solicitud de información.</w:t>
      </w:r>
    </w:p>
    <w:p w14:paraId="2DA954F0" w14:textId="64C75DDA" w:rsidR="000D7CBE" w:rsidRPr="00594F82" w:rsidRDefault="000D7CBE" w:rsidP="000D7CBE">
      <w:pPr>
        <w:tabs>
          <w:tab w:val="left" w:pos="993"/>
        </w:tabs>
        <w:spacing w:line="360" w:lineRule="auto"/>
        <w:jc w:val="both"/>
        <w:rPr>
          <w:rFonts w:ascii="Palatino Linotype" w:eastAsia="Calibri" w:hAnsi="Palatino Linotype" w:cs="Arial"/>
        </w:rPr>
      </w:pPr>
      <w:r w:rsidRPr="00594F82">
        <w:rPr>
          <w:rFonts w:ascii="Palatino Linotype" w:hAnsi="Palatino Linotype"/>
          <w:color w:val="000000"/>
        </w:rPr>
        <w:t xml:space="preserve">Para </w:t>
      </w:r>
      <w:r w:rsidRPr="00594F82">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594F82">
        <w:rPr>
          <w:rFonts w:ascii="Palatino Linotype" w:eastAsia="Calibri" w:hAnsi="Palatino Linotype" w:cs="Arial"/>
          <w:b/>
        </w:rPr>
        <w:t>RECURRENTE</w:t>
      </w:r>
      <w:r w:rsidRPr="00594F82">
        <w:rPr>
          <w:rFonts w:ascii="Palatino Linotype" w:eastAsia="Calibri" w:hAnsi="Palatino Linotype" w:cs="Arial"/>
        </w:rPr>
        <w:t>.</w:t>
      </w:r>
    </w:p>
    <w:p w14:paraId="135DAD13" w14:textId="77777777" w:rsidR="00434884" w:rsidRPr="00594F82" w:rsidRDefault="00434884" w:rsidP="000D7CBE">
      <w:pPr>
        <w:tabs>
          <w:tab w:val="left" w:pos="993"/>
        </w:tabs>
        <w:spacing w:line="360" w:lineRule="auto"/>
        <w:jc w:val="both"/>
        <w:rPr>
          <w:rFonts w:ascii="Palatino Linotype" w:eastAsia="Calibri" w:hAnsi="Palatino Linotype" w:cs="Arial"/>
        </w:rPr>
      </w:pPr>
    </w:p>
    <w:p w14:paraId="70973D33" w14:textId="77777777" w:rsidR="00B93C6F" w:rsidRPr="00594F82" w:rsidRDefault="00B93C6F" w:rsidP="00B93C6F">
      <w:pPr>
        <w:spacing w:line="360" w:lineRule="auto"/>
        <w:contextualSpacing/>
        <w:jc w:val="both"/>
        <w:rPr>
          <w:rFonts w:ascii="Palatino Linotype" w:hAnsi="Palatino Linotype"/>
          <w:color w:val="000000"/>
          <w:lang w:eastAsia="es-MX"/>
        </w:rPr>
      </w:pPr>
      <w:r w:rsidRPr="00594F82">
        <w:rPr>
          <w:rFonts w:ascii="Palatino Linotype" w:hAnsi="Palatino Linotype"/>
          <w:iCs/>
          <w:color w:val="000000"/>
          <w:lang w:eastAsia="es-MX"/>
        </w:rPr>
        <w:t xml:space="preserve">Por otro lado, de ser el caso de que no se hayan ejercido las facultades, competencias o funciones que propiciaran la generación de la información que se ordena entregar, el </w:t>
      </w:r>
      <w:r w:rsidRPr="00594F82">
        <w:rPr>
          <w:rFonts w:ascii="Palatino Linotype" w:hAnsi="Palatino Linotype"/>
          <w:b/>
          <w:iCs/>
          <w:color w:val="000000"/>
          <w:lang w:eastAsia="es-MX"/>
        </w:rPr>
        <w:t>SUJETO OBLIGADO</w:t>
      </w:r>
      <w:r w:rsidRPr="00594F82">
        <w:rPr>
          <w:rFonts w:ascii="Palatino Linotype" w:hAnsi="Palatino Linotype"/>
          <w:iCs/>
          <w:color w:val="000000"/>
          <w:lang w:eastAsia="es-MX"/>
        </w:rPr>
        <w:t xml:space="preserve"> deberá motivar su respuesta en función de las causas que motiven tal circunstancia</w:t>
      </w:r>
      <w:r w:rsidRPr="00594F82">
        <w:rPr>
          <w:rFonts w:ascii="Palatino Linotype" w:hAnsi="Palatino Linotype"/>
          <w:bCs/>
          <w:iCs/>
          <w:color w:val="000000"/>
          <w:lang w:eastAsia="es-MX"/>
        </w:rPr>
        <w:t>.</w:t>
      </w:r>
    </w:p>
    <w:p w14:paraId="2C495AAB" w14:textId="77777777" w:rsidR="008A6ED2" w:rsidRPr="00594F82" w:rsidRDefault="008A6ED2" w:rsidP="000D7CBE">
      <w:pPr>
        <w:tabs>
          <w:tab w:val="left" w:pos="993"/>
        </w:tabs>
        <w:spacing w:line="360" w:lineRule="auto"/>
        <w:jc w:val="both"/>
        <w:rPr>
          <w:rFonts w:ascii="Palatino Linotype" w:eastAsia="Calibri" w:hAnsi="Palatino Linotype" w:cs="Arial"/>
        </w:rPr>
      </w:pPr>
    </w:p>
    <w:p w14:paraId="22EACC04" w14:textId="18C000D4" w:rsidR="00743CAC" w:rsidRPr="00594F82" w:rsidRDefault="00743CAC" w:rsidP="00743CAC">
      <w:pPr>
        <w:spacing w:line="360" w:lineRule="auto"/>
        <w:jc w:val="both"/>
        <w:rPr>
          <w:rFonts w:ascii="Palatino Linotype" w:eastAsia="MS Mincho" w:hAnsi="Palatino Linotype" w:cs="Times New Roman"/>
          <w:color w:val="000000"/>
        </w:rPr>
      </w:pPr>
      <w:r w:rsidRPr="00594F82">
        <w:rPr>
          <w:rFonts w:ascii="Palatino Linotype" w:eastAsia="MS Mincho" w:hAnsi="Palatino Linotype" w:cs="Times New Roman"/>
          <w:b/>
          <w:color w:val="000000"/>
          <w:sz w:val="28"/>
          <w:szCs w:val="28"/>
        </w:rPr>
        <w:t>TERCERO</w:t>
      </w:r>
      <w:r w:rsidRPr="00594F82">
        <w:rPr>
          <w:rFonts w:ascii="Palatino Linotype" w:eastAsia="MS Mincho" w:hAnsi="Palatino Linotype" w:cs="Times New Roman"/>
          <w:b/>
          <w:color w:val="000000"/>
        </w:rPr>
        <w:t>.</w:t>
      </w:r>
      <w:r w:rsidRPr="00594F82">
        <w:rPr>
          <w:rFonts w:ascii="Palatino Linotype" w:eastAsia="MS Mincho" w:hAnsi="Palatino Linotype" w:cs="Times New Roman"/>
          <w:color w:val="000000"/>
        </w:rPr>
        <w:t xml:space="preserve"> </w:t>
      </w:r>
      <w:r w:rsidR="00CD7A0C" w:rsidRPr="00594F82">
        <w:rPr>
          <w:rFonts w:ascii="Palatino Linotype" w:eastAsia="MS Mincho" w:hAnsi="Palatino Linotype" w:cs="Times New Roman"/>
          <w:b/>
          <w:bCs/>
          <w:color w:val="000000"/>
        </w:rPr>
        <w:t>Notifíquese</w:t>
      </w:r>
      <w:r w:rsidR="00CD7A0C" w:rsidRPr="00594F82">
        <w:rPr>
          <w:rFonts w:ascii="Palatino Linotype" w:eastAsia="MS Mincho" w:hAnsi="Palatino Linotype" w:cs="Times New Roman"/>
          <w:color w:val="000000"/>
        </w:rPr>
        <w:t xml:space="preserve"> al </w:t>
      </w:r>
      <w:r w:rsidR="00CD7A0C" w:rsidRPr="00594F82">
        <w:rPr>
          <w:rFonts w:ascii="Palatino Linotype" w:hAnsi="Palatino Linotype" w:cs="Arial"/>
          <w:color w:val="222222"/>
          <w:lang w:eastAsia="es-MX"/>
        </w:rPr>
        <w:t xml:space="preserve">Titular de la Unidad de Transparencia del </w:t>
      </w:r>
      <w:r w:rsidR="00CD7A0C" w:rsidRPr="00594F82">
        <w:rPr>
          <w:rFonts w:ascii="Palatino Linotype" w:hAnsi="Palatino Linotype" w:cs="Arial"/>
          <w:b/>
          <w:bCs/>
          <w:color w:val="222222"/>
          <w:lang w:eastAsia="es-MX"/>
        </w:rPr>
        <w:t>SUJETO OBLIGADO</w:t>
      </w:r>
      <w:r w:rsidR="00CD7A0C" w:rsidRPr="00594F82">
        <w:rPr>
          <w:rFonts w:ascii="Palatino Linotype" w:hAnsi="Palatino Linotype" w:cs="Arial"/>
          <w:color w:val="222222"/>
          <w:lang w:eastAsia="es-MX"/>
        </w:rPr>
        <w:t xml:space="preserve">, vía SAIMEX, </w:t>
      </w:r>
      <w:r w:rsidR="00CD7A0C" w:rsidRPr="00594F82">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ordenado dentro del </w:t>
      </w:r>
      <w:r w:rsidR="00CD7A0C" w:rsidRPr="00594F82">
        <w:rPr>
          <w:rFonts w:ascii="Palatino Linotype" w:hAnsi="Palatino Linotype" w:cs="Arial"/>
          <w:b/>
          <w:color w:val="222222"/>
          <w:lang w:val="es-MX" w:eastAsia="es-MX"/>
        </w:rPr>
        <w:t>plazo de diez días</w:t>
      </w:r>
      <w:r w:rsidR="00CD7A0C" w:rsidRPr="00594F82">
        <w:rPr>
          <w:rFonts w:ascii="Palatino Linotype" w:hAnsi="Palatino Linotype" w:cs="Arial"/>
          <w:color w:val="222222"/>
          <w:lang w:val="es-MX" w:eastAsia="es-MX"/>
        </w:rPr>
        <w:t xml:space="preserve">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00CD7A0C" w:rsidRPr="00594F82">
        <w:rPr>
          <w:rFonts w:ascii="Palatino Linotype" w:hAnsi="Palatino Linotype" w:cs="Arial"/>
          <w:color w:val="222222"/>
          <w:lang w:val="es-MX" w:eastAsia="es-MX"/>
        </w:rPr>
        <w:lastRenderedPageBreak/>
        <w:t>previsto en los artículos 198, 200, fracción III; 214, 215 y 216 de la Ley de Transparencia y Acceso a la Información Pública del Estado de México y Municipios</w:t>
      </w:r>
      <w:r w:rsidRPr="00594F82">
        <w:rPr>
          <w:rFonts w:ascii="Palatino Linotype" w:eastAsia="MS Mincho" w:hAnsi="Palatino Linotype" w:cs="Times New Roman"/>
          <w:color w:val="000000"/>
        </w:rPr>
        <w:t>.</w:t>
      </w:r>
    </w:p>
    <w:p w14:paraId="24A1876D" w14:textId="77777777" w:rsidR="00743CAC" w:rsidRPr="00594F82"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594F82" w:rsidRDefault="00743CAC" w:rsidP="00743CAC">
      <w:pPr>
        <w:spacing w:line="360" w:lineRule="auto"/>
        <w:jc w:val="both"/>
        <w:rPr>
          <w:rFonts w:ascii="Palatino Linotype" w:eastAsia="MS Mincho" w:hAnsi="Palatino Linotype" w:cs="Times New Roman"/>
          <w:color w:val="000000"/>
        </w:rPr>
      </w:pPr>
      <w:r w:rsidRPr="00594F82">
        <w:rPr>
          <w:rFonts w:ascii="Palatino Linotype" w:eastAsia="MS Mincho" w:hAnsi="Palatino Linotype" w:cs="Times New Roman"/>
          <w:b/>
          <w:bCs/>
          <w:color w:val="000000"/>
          <w:sz w:val="28"/>
          <w:szCs w:val="28"/>
        </w:rPr>
        <w:t>CUARTO</w:t>
      </w:r>
      <w:r w:rsidRPr="00594F82">
        <w:rPr>
          <w:rFonts w:ascii="Palatino Linotype" w:eastAsia="MS Mincho" w:hAnsi="Palatino Linotype" w:cs="Times New Roman"/>
          <w:b/>
          <w:bCs/>
          <w:color w:val="000000"/>
        </w:rPr>
        <w:t>.</w:t>
      </w:r>
      <w:r w:rsidRPr="00594F82">
        <w:rPr>
          <w:rFonts w:ascii="Palatino Linotype" w:eastAsia="MS Mincho" w:hAnsi="Palatino Linotype" w:cs="Times New Roman"/>
          <w:color w:val="000000"/>
        </w:rPr>
        <w:t xml:space="preserve"> De </w:t>
      </w:r>
      <w:r w:rsidRPr="00594F82">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94F82">
        <w:rPr>
          <w:rFonts w:ascii="Palatino Linotype" w:eastAsia="MS Mincho" w:hAnsi="Palatino Linotype" w:cs="Times New Roman"/>
          <w:b/>
          <w:color w:val="000000"/>
        </w:rPr>
        <w:t>SUJETO OBLIGADO,</w:t>
      </w:r>
      <w:r w:rsidRPr="00594F82">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594F82"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594F82" w:rsidRDefault="00743CAC" w:rsidP="00743CAC">
      <w:pPr>
        <w:spacing w:line="360" w:lineRule="auto"/>
        <w:jc w:val="both"/>
        <w:rPr>
          <w:rFonts w:ascii="Palatino Linotype" w:eastAsia="MS Mincho" w:hAnsi="Palatino Linotype" w:cs="Times New Roman"/>
          <w:color w:val="000000"/>
        </w:rPr>
      </w:pPr>
      <w:r w:rsidRPr="00594F82">
        <w:rPr>
          <w:rFonts w:ascii="Palatino Linotype" w:eastAsia="MS Mincho" w:hAnsi="Palatino Linotype" w:cs="Times New Roman"/>
          <w:b/>
          <w:color w:val="000000"/>
          <w:sz w:val="28"/>
          <w:szCs w:val="28"/>
        </w:rPr>
        <w:t>QUINTO</w:t>
      </w:r>
      <w:r w:rsidRPr="00594F82">
        <w:rPr>
          <w:rFonts w:ascii="Palatino Linotype" w:eastAsia="MS Mincho" w:hAnsi="Palatino Linotype" w:cs="Times New Roman"/>
          <w:b/>
          <w:color w:val="000000"/>
        </w:rPr>
        <w:t xml:space="preserve">. </w:t>
      </w:r>
      <w:r w:rsidRPr="00594F82">
        <w:rPr>
          <w:rFonts w:ascii="Palatino Linotype" w:eastAsia="MS Mincho" w:hAnsi="Palatino Linotype" w:cs="Times New Roman"/>
          <w:color w:val="000000"/>
        </w:rPr>
        <w:t xml:space="preserve">Notifíquese al </w:t>
      </w:r>
      <w:r w:rsidRPr="00594F82">
        <w:rPr>
          <w:rFonts w:ascii="Palatino Linotype" w:eastAsia="MS Mincho" w:hAnsi="Palatino Linotype" w:cs="Times New Roman"/>
          <w:b/>
          <w:bCs/>
          <w:color w:val="000000"/>
        </w:rPr>
        <w:t>RECURRENTE</w:t>
      </w:r>
      <w:r w:rsidRPr="00594F82">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594F82" w:rsidRDefault="00743CAC" w:rsidP="00743CAC">
      <w:pPr>
        <w:spacing w:line="360" w:lineRule="auto"/>
        <w:jc w:val="both"/>
        <w:rPr>
          <w:rFonts w:ascii="Palatino Linotype" w:hAnsi="Palatino Linotype"/>
          <w:b/>
        </w:rPr>
      </w:pPr>
    </w:p>
    <w:p w14:paraId="2A314043" w14:textId="0AD77D5B" w:rsidR="00743CAC" w:rsidRPr="00594F82" w:rsidRDefault="00743CAC" w:rsidP="00743CAC">
      <w:pPr>
        <w:spacing w:line="360" w:lineRule="auto"/>
        <w:jc w:val="both"/>
        <w:rPr>
          <w:rFonts w:ascii="Palatino Linotype" w:eastAsia="MS Mincho" w:hAnsi="Palatino Linotype" w:cs="Times New Roman"/>
          <w:color w:val="000000"/>
        </w:rPr>
      </w:pPr>
      <w:r w:rsidRPr="00594F82">
        <w:rPr>
          <w:rFonts w:ascii="Palatino Linotype" w:eastAsia="MS Mincho" w:hAnsi="Palatino Linotype" w:cs="Times New Roman"/>
          <w:b/>
          <w:sz w:val="28"/>
          <w:szCs w:val="28"/>
        </w:rPr>
        <w:t>SEXTO</w:t>
      </w:r>
      <w:r w:rsidRPr="00594F82">
        <w:rPr>
          <w:rFonts w:ascii="Palatino Linotype" w:eastAsia="MS Mincho" w:hAnsi="Palatino Linotype" w:cs="Times New Roman"/>
          <w:b/>
          <w:color w:val="000000"/>
        </w:rPr>
        <w:t xml:space="preserve">. </w:t>
      </w:r>
      <w:r w:rsidRPr="00594F82">
        <w:rPr>
          <w:rFonts w:ascii="Palatino Linotype" w:eastAsia="MS Mincho" w:hAnsi="Palatino Linotype" w:cs="Times New Roman"/>
          <w:color w:val="000000"/>
        </w:rPr>
        <w:t xml:space="preserve">Se </w:t>
      </w:r>
      <w:bookmarkEnd w:id="27"/>
      <w:r w:rsidRPr="00594F82">
        <w:rPr>
          <w:rFonts w:ascii="Palatino Linotype" w:eastAsia="MS Mincho" w:hAnsi="Palatino Linotype" w:cs="Times New Roman"/>
          <w:color w:val="000000" w:themeColor="text1"/>
        </w:rPr>
        <w:t>hace del conocimiento del</w:t>
      </w:r>
      <w:r w:rsidRPr="00594F82">
        <w:rPr>
          <w:rFonts w:ascii="Palatino Linotype" w:eastAsia="MS Mincho" w:hAnsi="Palatino Linotype" w:cs="Times New Roman"/>
          <w:b/>
          <w:color w:val="000000" w:themeColor="text1"/>
        </w:rPr>
        <w:t xml:space="preserve"> RECURRENTE </w:t>
      </w:r>
      <w:r w:rsidRPr="00594F82">
        <w:rPr>
          <w:rFonts w:ascii="Palatino Linotype" w:eastAsia="MS Mincho" w:hAnsi="Palatino Linotype" w:cs="Times New Roman"/>
          <w:color w:val="000000" w:themeColor="text1"/>
        </w:rPr>
        <w:t xml:space="preserve">que, </w:t>
      </w:r>
      <w:r w:rsidR="00F75114" w:rsidRPr="00594F82">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594F82">
        <w:rPr>
          <w:rFonts w:ascii="Palatino Linotype" w:eastAsia="MS Mincho" w:hAnsi="Palatino Linotype" w:cs="Times New Roman"/>
          <w:bCs/>
          <w:color w:val="000000"/>
          <w:lang w:val="es-ES"/>
        </w:rPr>
        <w:t>vía juicio de amparo</w:t>
      </w:r>
      <w:r w:rsidR="00F75114" w:rsidRPr="00594F82">
        <w:rPr>
          <w:rFonts w:ascii="Palatino Linotype" w:eastAsia="MS Mincho" w:hAnsi="Palatino Linotype" w:cs="Times New Roman"/>
          <w:color w:val="000000"/>
          <w:lang w:val="es-ES"/>
        </w:rPr>
        <w:t xml:space="preserve"> en los términos de las leyes aplicables</w:t>
      </w:r>
      <w:r w:rsidR="00C603F1" w:rsidRPr="00594F82">
        <w:rPr>
          <w:rFonts w:ascii="Palatino Linotype" w:eastAsia="MS Mincho" w:hAnsi="Palatino Linotype"/>
          <w:color w:val="000000" w:themeColor="text1"/>
        </w:rPr>
        <w:t>.</w:t>
      </w:r>
    </w:p>
    <w:p w14:paraId="6FF4D7B9" w14:textId="77777777" w:rsidR="008E082A" w:rsidRPr="00594F82" w:rsidRDefault="008E082A" w:rsidP="008E082A">
      <w:pPr>
        <w:spacing w:before="240" w:after="240" w:line="360" w:lineRule="auto"/>
        <w:ind w:firstLine="1"/>
        <w:jc w:val="both"/>
        <w:rPr>
          <w:rStyle w:val="Referenciasutil"/>
          <w:rFonts w:ascii="Palatino Linotype" w:hAnsi="Palatino Linotype"/>
          <w:color w:val="auto"/>
        </w:rPr>
      </w:pPr>
      <w:bookmarkStart w:id="28" w:name="_Hlk129792997"/>
    </w:p>
    <w:p w14:paraId="6A906A04" w14:textId="77777777" w:rsidR="008E082A" w:rsidRPr="008E082A" w:rsidRDefault="008E082A" w:rsidP="008E082A">
      <w:pPr>
        <w:spacing w:before="240" w:after="240" w:line="360" w:lineRule="auto"/>
        <w:ind w:firstLine="1"/>
        <w:jc w:val="both"/>
        <w:rPr>
          <w:rFonts w:ascii="Palatino Linotype" w:hAnsi="Palatino Linotype"/>
          <w:smallCaps/>
        </w:rPr>
      </w:pPr>
      <w:r w:rsidRPr="00594F8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w:t>
      </w:r>
      <w:r w:rsidRPr="00594F82">
        <w:rPr>
          <w:rStyle w:val="Referenciasutil"/>
          <w:rFonts w:ascii="Palatino Linotype" w:hAnsi="Palatino Linotype"/>
          <w:color w:val="auto"/>
        </w:rPr>
        <w:lastRenderedPageBreak/>
        <w:t>AGOSTO DE DOS MIL VEINTITRÉS, ANTE EL SECRETARIO TÉCNICO DEL PLENO ALEXIS TAPIA RAMÍREZ.</w:t>
      </w:r>
      <w:r w:rsidRPr="008E082A">
        <w:rPr>
          <w:rStyle w:val="Referenciasutil"/>
          <w:rFonts w:ascii="Palatino Linotype" w:hAnsi="Palatino Linotype"/>
          <w:color w:val="auto"/>
        </w:rPr>
        <w:t xml:space="preserve"> </w:t>
      </w:r>
      <w:bookmarkEnd w:id="28"/>
    </w:p>
    <w:p w14:paraId="7EFA4F21" w14:textId="4ECEB206" w:rsidR="00895335" w:rsidRDefault="00895335" w:rsidP="67C165AB">
      <w:pPr>
        <w:spacing w:line="360" w:lineRule="auto"/>
        <w:ind w:right="48"/>
        <w:jc w:val="both"/>
        <w:rPr>
          <w:rFonts w:ascii="Palatino Linotype" w:hAnsi="Palatino Linotype" w:cs="Arial"/>
          <w:color w:val="000000" w:themeColor="text1"/>
        </w:rPr>
      </w:pPr>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17B06" w14:textId="77777777" w:rsidR="00887B6F" w:rsidRDefault="00887B6F" w:rsidP="00587366">
      <w:r>
        <w:separator/>
      </w:r>
    </w:p>
  </w:endnote>
  <w:endnote w:type="continuationSeparator" w:id="0">
    <w:p w14:paraId="7C86B6CB" w14:textId="77777777" w:rsidR="00887B6F" w:rsidRDefault="00887B6F" w:rsidP="00587366">
      <w:r>
        <w:continuationSeparator/>
      </w:r>
    </w:p>
  </w:endnote>
  <w:endnote w:type="continuationNotice" w:id="1">
    <w:p w14:paraId="6EB16FD2" w14:textId="77777777" w:rsidR="00887B6F" w:rsidRDefault="00887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E082A" w:rsidRPr="00883450" w:rsidRDefault="008E082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4F82">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4F82">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0E7C8B1E" w:rsidR="008E082A" w:rsidRDefault="008E08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E082A" w:rsidRPr="00883450" w:rsidRDefault="008E082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4F82" w:rsidRPr="00594F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4F82" w:rsidRPr="00594F82">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6B993D8B" w:rsidR="008E082A" w:rsidRPr="00883450" w:rsidRDefault="008E082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A1F0" w14:textId="77777777" w:rsidR="00887B6F" w:rsidRDefault="00887B6F" w:rsidP="00587366">
      <w:r>
        <w:separator/>
      </w:r>
    </w:p>
  </w:footnote>
  <w:footnote w:type="continuationSeparator" w:id="0">
    <w:p w14:paraId="79F37B99" w14:textId="77777777" w:rsidR="00887B6F" w:rsidRDefault="00887B6F" w:rsidP="00587366">
      <w:r>
        <w:continuationSeparator/>
      </w:r>
    </w:p>
  </w:footnote>
  <w:footnote w:type="continuationNotice" w:id="1">
    <w:p w14:paraId="150449E3" w14:textId="77777777" w:rsidR="00887B6F" w:rsidRDefault="00887B6F"/>
  </w:footnote>
  <w:footnote w:id="2">
    <w:p w14:paraId="470C14FC" w14:textId="77777777" w:rsidR="008E082A" w:rsidRPr="00C7183E" w:rsidRDefault="008E082A"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8E082A" w:rsidRDefault="008E082A"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8E082A" w:rsidRDefault="008E082A"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8E082A" w:rsidRPr="009C43C2" w:rsidRDefault="008E082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8E082A" w:rsidRPr="009C43C2" w:rsidRDefault="008E082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8E082A" w:rsidRPr="009C43C2" w:rsidRDefault="008E082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8E082A" w:rsidRDefault="008E082A"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1AD34A50" w14:textId="77777777" w:rsidR="008E082A" w:rsidRDefault="008E082A"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8E082A" w:rsidRDefault="008E082A" w:rsidP="004B20FF">
      <w:pPr>
        <w:pStyle w:val="Textonotapie"/>
      </w:pPr>
      <w:r>
        <w:rPr>
          <w:rStyle w:val="Refdenotaalpie"/>
        </w:rPr>
        <w:footnoteRef/>
      </w:r>
      <w:r>
        <w:t xml:space="preserve"> Artículo 51, Ídem.</w:t>
      </w:r>
    </w:p>
  </w:footnote>
  <w:footnote w:id="11">
    <w:p w14:paraId="64B17C69" w14:textId="77777777" w:rsidR="008E082A" w:rsidRDefault="008E082A"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8E082A" w:rsidRDefault="008E082A" w:rsidP="004B20FF">
      <w:pPr>
        <w:pStyle w:val="Textonotapie"/>
      </w:pPr>
      <w:r>
        <w:rPr>
          <w:rStyle w:val="Refdenotaalpie"/>
        </w:rPr>
        <w:footnoteRef/>
      </w:r>
      <w:r>
        <w:t xml:space="preserve"> Artículo 59, Ídem.</w:t>
      </w:r>
    </w:p>
  </w:footnote>
  <w:footnote w:id="13">
    <w:p w14:paraId="561CFD96" w14:textId="4647AB44" w:rsidR="008E082A" w:rsidRDefault="008E082A">
      <w:pPr>
        <w:pStyle w:val="Textonotapie"/>
      </w:pPr>
      <w:r>
        <w:rPr>
          <w:rStyle w:val="Refdenotaalpie"/>
        </w:rPr>
        <w:footnoteRef/>
      </w:r>
      <w:r>
        <w:t xml:space="preserve"> Artículo 5.1, Código Administrativo del Estado de México.</w:t>
      </w:r>
    </w:p>
  </w:footnote>
  <w:footnote w:id="14">
    <w:p w14:paraId="5E3EDAC1" w14:textId="6B7FCD35" w:rsidR="008E082A" w:rsidRDefault="008E082A">
      <w:pPr>
        <w:pStyle w:val="Textonotapie"/>
      </w:pPr>
      <w:r>
        <w:rPr>
          <w:rStyle w:val="Refdenotaalpie"/>
        </w:rPr>
        <w:footnoteRef/>
      </w:r>
      <w:r>
        <w:t xml:space="preserve"> Artículo 5.8, Ídem.</w:t>
      </w:r>
    </w:p>
  </w:footnote>
  <w:footnote w:id="15">
    <w:p w14:paraId="578AD3B6" w14:textId="115E994C" w:rsidR="008E082A" w:rsidRDefault="008E082A">
      <w:pPr>
        <w:pStyle w:val="Textonotapie"/>
      </w:pPr>
      <w:r>
        <w:rPr>
          <w:rStyle w:val="Refdenotaalpie"/>
        </w:rPr>
        <w:footnoteRef/>
      </w:r>
      <w:r>
        <w:t xml:space="preserve"> Artículo 65, Constitución Política del Estado Libre y Soberano de México.</w:t>
      </w:r>
    </w:p>
  </w:footnote>
  <w:footnote w:id="16">
    <w:p w14:paraId="48294EFB" w14:textId="710129E7" w:rsidR="008E082A" w:rsidRDefault="008E082A">
      <w:pPr>
        <w:pStyle w:val="Textonotapie"/>
      </w:pPr>
      <w:r>
        <w:rPr>
          <w:rStyle w:val="Refdenotaalpie"/>
        </w:rPr>
        <w:footnoteRef/>
      </w:r>
      <w:r>
        <w:t xml:space="preserve"> Artículo 77, Ídem.</w:t>
      </w:r>
    </w:p>
  </w:footnote>
  <w:footnote w:id="17">
    <w:p w14:paraId="0C65EA7D" w14:textId="37BC21C0" w:rsidR="008E082A" w:rsidRDefault="008E082A">
      <w:pPr>
        <w:pStyle w:val="Textonotapie"/>
      </w:pPr>
      <w:r>
        <w:rPr>
          <w:rStyle w:val="Refdenotaalpie"/>
        </w:rPr>
        <w:footnoteRef/>
      </w:r>
      <w:r>
        <w:t xml:space="preserve"> Artículo 31, Ley Orgánica de la Administración Pública del Estado de México.</w:t>
      </w:r>
    </w:p>
  </w:footnote>
  <w:footnote w:id="18">
    <w:p w14:paraId="1192BA2F" w14:textId="22C0A898" w:rsidR="008E082A" w:rsidRDefault="008E082A" w:rsidP="00853444">
      <w:pPr>
        <w:pStyle w:val="Textonotapie"/>
        <w:jc w:val="both"/>
      </w:pPr>
      <w:r>
        <w:rPr>
          <w:rStyle w:val="Refdenotaalpie"/>
        </w:rPr>
        <w:footnoteRef/>
      </w:r>
      <w:r>
        <w:t xml:space="preserve"> Con </w:t>
      </w:r>
      <w:r w:rsidRPr="00853444">
        <w:t>excepción de la obligación prevista para el titular de la autorización, de ceder superficies de terreno para vías públicas, así como la relativa a entregar a las autoridades municipales o estatales de la materia, las obras de urbanización y equipamiento del condominio</w:t>
      </w:r>
      <w:r>
        <w:t>.</w:t>
      </w:r>
    </w:p>
  </w:footnote>
  <w:footnote w:id="19">
    <w:p w14:paraId="3E47B883" w14:textId="77777777" w:rsidR="008E082A" w:rsidRDefault="008E082A" w:rsidP="00205B35">
      <w:pPr>
        <w:pStyle w:val="Textonotapie"/>
      </w:pPr>
      <w:r>
        <w:rPr>
          <w:rStyle w:val="Refdenotaalpie"/>
        </w:rPr>
        <w:footnoteRef/>
      </w:r>
      <w:r>
        <w:t xml:space="preserve"> Artículo 15, Ley Orgánica Municipal del Estado de México.</w:t>
      </w:r>
    </w:p>
  </w:footnote>
  <w:footnote w:id="20">
    <w:p w14:paraId="607E4963" w14:textId="77777777" w:rsidR="008E082A" w:rsidRDefault="008E082A" w:rsidP="00205B35">
      <w:pPr>
        <w:pStyle w:val="Textonotapie"/>
      </w:pPr>
      <w:r>
        <w:rPr>
          <w:rStyle w:val="Refdenotaalpie"/>
        </w:rPr>
        <w:footnoteRef/>
      </w:r>
      <w:r>
        <w:t xml:space="preserve"> Artículo 16, Ídem.</w:t>
      </w:r>
    </w:p>
  </w:footnote>
  <w:footnote w:id="21">
    <w:p w14:paraId="67D245F6" w14:textId="77777777" w:rsidR="008E082A" w:rsidRDefault="008E082A" w:rsidP="00205B35">
      <w:pPr>
        <w:pStyle w:val="Textonotapie"/>
      </w:pPr>
      <w:r>
        <w:rPr>
          <w:rStyle w:val="Refdenotaalpie"/>
        </w:rPr>
        <w:footnoteRef/>
      </w:r>
      <w:r>
        <w:t xml:space="preserve"> Artículo 86, Ley Orgánica Municipal del Estado de México.</w:t>
      </w:r>
    </w:p>
  </w:footnote>
  <w:footnote w:id="22">
    <w:p w14:paraId="08D2D6E5" w14:textId="77777777" w:rsidR="008E082A" w:rsidRDefault="008E082A" w:rsidP="00205B35">
      <w:pPr>
        <w:pStyle w:val="Textonotapie"/>
      </w:pPr>
      <w:r>
        <w:rPr>
          <w:rStyle w:val="Refdenotaalpie"/>
        </w:rPr>
        <w:footnoteRef/>
      </w:r>
      <w:r>
        <w:t xml:space="preserve"> Artículo 96 </w:t>
      </w:r>
      <w:proofErr w:type="spellStart"/>
      <w:r>
        <w:t>Sexies</w:t>
      </w:r>
      <w:proofErr w:type="spellEnd"/>
      <w:r>
        <w:t>, Ley Orgánica Municipal del Estado de México.</w:t>
      </w:r>
    </w:p>
  </w:footnote>
  <w:footnote w:id="23">
    <w:p w14:paraId="284AECFD" w14:textId="3CF5B098" w:rsidR="008E082A" w:rsidRDefault="008E082A">
      <w:pPr>
        <w:pStyle w:val="Textonotapie"/>
      </w:pPr>
      <w:r>
        <w:rPr>
          <w:rStyle w:val="Refdenotaalpie"/>
        </w:rPr>
        <w:footnoteRef/>
      </w:r>
      <w:r>
        <w:t xml:space="preserve"> Artículo 42, Bando Municipal 2022 de Naucalpan de Juárez.</w:t>
      </w:r>
    </w:p>
  </w:footnote>
  <w:footnote w:id="24">
    <w:p w14:paraId="0C2AA9E2" w14:textId="584D9C5A" w:rsidR="008E082A" w:rsidRDefault="008E082A">
      <w:pPr>
        <w:pStyle w:val="Textonotapie"/>
      </w:pPr>
      <w:r>
        <w:rPr>
          <w:rStyle w:val="Refdenotaalpie"/>
        </w:rPr>
        <w:footnoteRef/>
      </w:r>
      <w:r>
        <w:t xml:space="preserve"> Artículo 81, Bando Municipal 2022 de Naucalpan de Juárez.</w:t>
      </w:r>
    </w:p>
  </w:footnote>
  <w:footnote w:id="25">
    <w:p w14:paraId="10CECF96" w14:textId="52B14F86" w:rsidR="008E082A" w:rsidRDefault="008E082A">
      <w:pPr>
        <w:pStyle w:val="Textonotapie"/>
      </w:pPr>
      <w:r>
        <w:rPr>
          <w:rStyle w:val="Refdenotaalpie"/>
        </w:rPr>
        <w:footnoteRef/>
      </w:r>
      <w:r>
        <w:t xml:space="preserve"> Consultable en: https://naucalpan.gob.mx</w:t>
      </w:r>
    </w:p>
  </w:footnote>
  <w:footnote w:id="26">
    <w:p w14:paraId="17738142" w14:textId="7154173F" w:rsidR="008E082A" w:rsidRDefault="008E082A">
      <w:pPr>
        <w:pStyle w:val="Textonotapie"/>
      </w:pPr>
      <w:r>
        <w:rPr>
          <w:rStyle w:val="Refdenotaalpie"/>
        </w:rPr>
        <w:footnoteRef/>
      </w:r>
      <w:r>
        <w:t xml:space="preserve"> Consultable en: </w:t>
      </w:r>
      <w:r w:rsidRPr="00B43F5B">
        <w:t>https://naucalpan.gob.mx/reglamentos-municipales/</w:t>
      </w:r>
    </w:p>
  </w:footnote>
  <w:footnote w:id="27">
    <w:p w14:paraId="3E5D0B49" w14:textId="5316F71A" w:rsidR="008E082A" w:rsidRDefault="008E082A">
      <w:pPr>
        <w:pStyle w:val="Textonotapie"/>
      </w:pPr>
      <w:r>
        <w:rPr>
          <w:rStyle w:val="Refdenotaalpie"/>
        </w:rPr>
        <w:footnoteRef/>
      </w:r>
      <w:r>
        <w:t xml:space="preserve"> Artículo 119, </w:t>
      </w:r>
      <w:r w:rsidRPr="00937351">
        <w:t>Reglamento del Ordenamiento Territorial de los Asentamientos Humanos y Desarrollo Urbano del Municipio de Naucalpan de Juárez</w:t>
      </w:r>
      <w:r>
        <w:t>.</w:t>
      </w:r>
    </w:p>
  </w:footnote>
  <w:footnote w:id="28">
    <w:p w14:paraId="710024B2" w14:textId="77777777" w:rsidR="008E082A" w:rsidRDefault="008E082A" w:rsidP="008E46F0">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8E082A" w:rsidRPr="00025127" w14:paraId="07F2896E" w14:textId="77777777" w:rsidTr="008E29BB">
      <w:trPr>
        <w:trHeight w:val="138"/>
        <w:jc w:val="right"/>
      </w:trPr>
      <w:tc>
        <w:tcPr>
          <w:tcW w:w="3828" w:type="dxa"/>
          <w:vAlign w:val="center"/>
        </w:tcPr>
        <w:p w14:paraId="4A5B1974" w14:textId="172F35BB" w:rsidR="008E082A" w:rsidRPr="00025127" w:rsidRDefault="008E082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2EF3DA77" w:rsidR="008E082A" w:rsidRPr="00025127" w:rsidRDefault="008E082A" w:rsidP="00F25B61">
          <w:pPr>
            <w:pStyle w:val="Encabezado"/>
            <w:jc w:val="both"/>
            <w:rPr>
              <w:rFonts w:ascii="Palatino Linotype" w:hAnsi="Palatino Linotype"/>
              <w:b/>
              <w:sz w:val="22"/>
              <w:szCs w:val="22"/>
            </w:rPr>
          </w:pPr>
          <w:r>
            <w:rPr>
              <w:rFonts w:ascii="Palatino Linotype" w:hAnsi="Palatino Linotype"/>
              <w:b/>
              <w:sz w:val="22"/>
              <w:szCs w:val="22"/>
            </w:rPr>
            <w:t>14803</w:t>
          </w:r>
          <w:r w:rsidRPr="00025127">
            <w:rPr>
              <w:rFonts w:ascii="Palatino Linotype" w:hAnsi="Palatino Linotype"/>
              <w:b/>
              <w:sz w:val="22"/>
              <w:szCs w:val="22"/>
            </w:rPr>
            <w:t>/INFOEM/IP/RR/</w:t>
          </w:r>
          <w:r>
            <w:rPr>
              <w:rFonts w:ascii="Palatino Linotype" w:hAnsi="Palatino Linotype"/>
              <w:b/>
              <w:sz w:val="22"/>
              <w:szCs w:val="22"/>
            </w:rPr>
            <w:t>2022</w:t>
          </w:r>
        </w:p>
      </w:tc>
    </w:tr>
    <w:tr w:rsidR="008E082A" w:rsidRPr="00025127" w14:paraId="1B5D8690" w14:textId="77777777" w:rsidTr="008E29BB">
      <w:trPr>
        <w:trHeight w:val="233"/>
        <w:jc w:val="right"/>
      </w:trPr>
      <w:tc>
        <w:tcPr>
          <w:tcW w:w="3828" w:type="dxa"/>
          <w:vAlign w:val="center"/>
        </w:tcPr>
        <w:p w14:paraId="3903F2C6" w14:textId="22D569F8" w:rsidR="008E082A" w:rsidRPr="00025127" w:rsidRDefault="008E082A" w:rsidP="009E35C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F52394A" w:rsidR="008E082A" w:rsidRPr="00025127" w:rsidRDefault="008E082A" w:rsidP="009E35CC">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8E082A" w:rsidRPr="00025127" w14:paraId="095EB01B" w14:textId="77777777" w:rsidTr="008E29BB">
      <w:trPr>
        <w:trHeight w:val="321"/>
        <w:jc w:val="right"/>
      </w:trPr>
      <w:tc>
        <w:tcPr>
          <w:tcW w:w="3828" w:type="dxa"/>
          <w:vAlign w:val="center"/>
        </w:tcPr>
        <w:p w14:paraId="6E000A51" w14:textId="05E1861A" w:rsidR="008E082A" w:rsidRPr="00025127" w:rsidRDefault="008E082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8E082A" w:rsidRPr="00025127" w:rsidRDefault="008E082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8E082A" w:rsidRDefault="008E082A"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8E082A" w:rsidRPr="00025127" w14:paraId="0A3256F2" w14:textId="77777777" w:rsidTr="008E29BB">
      <w:trPr>
        <w:trHeight w:val="138"/>
        <w:jc w:val="right"/>
      </w:trPr>
      <w:tc>
        <w:tcPr>
          <w:tcW w:w="3828" w:type="dxa"/>
          <w:vAlign w:val="center"/>
        </w:tcPr>
        <w:p w14:paraId="3D80769D" w14:textId="44A35B8D" w:rsidR="008E082A" w:rsidRPr="00025127" w:rsidRDefault="008E082A"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145AABE" w:rsidR="008E082A" w:rsidRPr="00025127" w:rsidRDefault="008E082A" w:rsidP="00F25B61">
          <w:pPr>
            <w:pStyle w:val="Encabezado"/>
            <w:rPr>
              <w:rFonts w:ascii="Palatino Linotype" w:hAnsi="Palatino Linotype"/>
              <w:b/>
              <w:sz w:val="22"/>
              <w:szCs w:val="22"/>
            </w:rPr>
          </w:pPr>
          <w:r>
            <w:rPr>
              <w:rFonts w:ascii="Palatino Linotype" w:hAnsi="Palatino Linotype"/>
              <w:b/>
              <w:sz w:val="22"/>
              <w:szCs w:val="22"/>
            </w:rPr>
            <w:t>14803</w:t>
          </w:r>
          <w:r w:rsidRPr="00025127">
            <w:rPr>
              <w:rFonts w:ascii="Palatino Linotype" w:hAnsi="Palatino Linotype"/>
              <w:b/>
              <w:sz w:val="22"/>
              <w:szCs w:val="22"/>
            </w:rPr>
            <w:t>/INFOEM/IP/RR/</w:t>
          </w:r>
          <w:r>
            <w:rPr>
              <w:rFonts w:ascii="Palatino Linotype" w:hAnsi="Palatino Linotype"/>
              <w:b/>
              <w:sz w:val="22"/>
              <w:szCs w:val="22"/>
            </w:rPr>
            <w:t>2022</w:t>
          </w:r>
        </w:p>
      </w:tc>
    </w:tr>
    <w:tr w:rsidR="008E082A" w:rsidRPr="00025127" w14:paraId="128C8B3C" w14:textId="77777777" w:rsidTr="008E29BB">
      <w:trPr>
        <w:trHeight w:val="233"/>
        <w:jc w:val="right"/>
      </w:trPr>
      <w:tc>
        <w:tcPr>
          <w:tcW w:w="3828" w:type="dxa"/>
          <w:vAlign w:val="center"/>
        </w:tcPr>
        <w:p w14:paraId="483E3371" w14:textId="66B1BC74" w:rsidR="008E082A" w:rsidRPr="00025127" w:rsidRDefault="008E082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C6F33AB" w:rsidR="008E082A" w:rsidRPr="00025127" w:rsidRDefault="00144FCB"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8E082A" w:rsidRPr="00025127" w14:paraId="41BE0704" w14:textId="77777777" w:rsidTr="008E29BB">
      <w:trPr>
        <w:trHeight w:val="321"/>
        <w:jc w:val="right"/>
      </w:trPr>
      <w:tc>
        <w:tcPr>
          <w:tcW w:w="3828" w:type="dxa"/>
          <w:vAlign w:val="center"/>
        </w:tcPr>
        <w:p w14:paraId="34C64148" w14:textId="10C6C8A9" w:rsidR="008E082A" w:rsidRPr="00025127" w:rsidRDefault="008E082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1063B33B" w:rsidR="008E082A" w:rsidRPr="00025127" w:rsidRDefault="008E082A" w:rsidP="009E35CC">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8E082A" w:rsidRPr="00025127" w14:paraId="0C8B6193" w14:textId="77777777" w:rsidTr="008E29BB">
      <w:trPr>
        <w:trHeight w:val="321"/>
        <w:jc w:val="right"/>
      </w:trPr>
      <w:tc>
        <w:tcPr>
          <w:tcW w:w="3828" w:type="dxa"/>
          <w:vAlign w:val="center"/>
        </w:tcPr>
        <w:p w14:paraId="321FFAFF" w14:textId="0E8C2CE7" w:rsidR="008E082A" w:rsidRPr="00025127" w:rsidRDefault="008E082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8E082A" w:rsidRPr="00025127" w:rsidRDefault="008E082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8E082A" w:rsidRDefault="00887B6F"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4"/>
  </w:num>
  <w:num w:numId="5">
    <w:abstractNumId w:val="2"/>
  </w:num>
  <w:num w:numId="6">
    <w:abstractNumId w:val="15"/>
  </w:num>
  <w:num w:numId="7">
    <w:abstractNumId w:val="12"/>
  </w:num>
  <w:num w:numId="8">
    <w:abstractNumId w:val="7"/>
  </w:num>
  <w:num w:numId="9">
    <w:abstractNumId w:val="10"/>
  </w:num>
  <w:num w:numId="10">
    <w:abstractNumId w:val="19"/>
  </w:num>
  <w:num w:numId="11">
    <w:abstractNumId w:val="3"/>
  </w:num>
  <w:num w:numId="12">
    <w:abstractNumId w:val="16"/>
  </w:num>
  <w:num w:numId="13">
    <w:abstractNumId w:val="14"/>
  </w:num>
  <w:num w:numId="14">
    <w:abstractNumId w:val="20"/>
  </w:num>
  <w:num w:numId="15">
    <w:abstractNumId w:val="18"/>
  </w:num>
  <w:num w:numId="16">
    <w:abstractNumId w:val="1"/>
  </w:num>
  <w:num w:numId="17">
    <w:abstractNumId w:val="5"/>
  </w:num>
  <w:num w:numId="18">
    <w:abstractNumId w:val="13"/>
  </w:num>
  <w:num w:numId="19">
    <w:abstractNumId w:val="11"/>
  </w:num>
  <w:num w:numId="20">
    <w:abstractNumId w:val="17"/>
  </w:num>
  <w:num w:numId="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2D5C"/>
    <w:rsid w:val="0000310F"/>
    <w:rsid w:val="0000381E"/>
    <w:rsid w:val="00003A05"/>
    <w:rsid w:val="0000407F"/>
    <w:rsid w:val="000058E3"/>
    <w:rsid w:val="000061A2"/>
    <w:rsid w:val="0000797D"/>
    <w:rsid w:val="00007E8A"/>
    <w:rsid w:val="000100D7"/>
    <w:rsid w:val="0001106B"/>
    <w:rsid w:val="00011317"/>
    <w:rsid w:val="00012472"/>
    <w:rsid w:val="000130E7"/>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541"/>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3701"/>
    <w:rsid w:val="00074573"/>
    <w:rsid w:val="00076A3F"/>
    <w:rsid w:val="00076E15"/>
    <w:rsid w:val="000770CE"/>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861"/>
    <w:rsid w:val="000C3BCB"/>
    <w:rsid w:val="000C4111"/>
    <w:rsid w:val="000C48CA"/>
    <w:rsid w:val="000C4A8E"/>
    <w:rsid w:val="000C5458"/>
    <w:rsid w:val="000C5A04"/>
    <w:rsid w:val="000C5AF7"/>
    <w:rsid w:val="000C6B73"/>
    <w:rsid w:val="000C6CE3"/>
    <w:rsid w:val="000C6E97"/>
    <w:rsid w:val="000D0855"/>
    <w:rsid w:val="000D11CC"/>
    <w:rsid w:val="000D15CB"/>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F62"/>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DC2"/>
    <w:rsid w:val="00143219"/>
    <w:rsid w:val="001436BB"/>
    <w:rsid w:val="001437CC"/>
    <w:rsid w:val="00143BD1"/>
    <w:rsid w:val="00143E36"/>
    <w:rsid w:val="00144FCB"/>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A53"/>
    <w:rsid w:val="00157CE4"/>
    <w:rsid w:val="00160DE4"/>
    <w:rsid w:val="00160E22"/>
    <w:rsid w:val="001611E5"/>
    <w:rsid w:val="00161E95"/>
    <w:rsid w:val="00162DCC"/>
    <w:rsid w:val="00163780"/>
    <w:rsid w:val="00163B1F"/>
    <w:rsid w:val="001648EE"/>
    <w:rsid w:val="00164B65"/>
    <w:rsid w:val="001656F2"/>
    <w:rsid w:val="00165DC8"/>
    <w:rsid w:val="00166794"/>
    <w:rsid w:val="00167813"/>
    <w:rsid w:val="00170988"/>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138D"/>
    <w:rsid w:val="001A1C6B"/>
    <w:rsid w:val="001A2857"/>
    <w:rsid w:val="001A2A89"/>
    <w:rsid w:val="001A2C62"/>
    <w:rsid w:val="001A3634"/>
    <w:rsid w:val="001A4D5D"/>
    <w:rsid w:val="001A5150"/>
    <w:rsid w:val="001A58B9"/>
    <w:rsid w:val="001A61E1"/>
    <w:rsid w:val="001A6C1E"/>
    <w:rsid w:val="001B1208"/>
    <w:rsid w:val="001B2AB9"/>
    <w:rsid w:val="001B30F9"/>
    <w:rsid w:val="001B3659"/>
    <w:rsid w:val="001B370C"/>
    <w:rsid w:val="001B40F3"/>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C7C3D"/>
    <w:rsid w:val="001D07C9"/>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5B35"/>
    <w:rsid w:val="002073E5"/>
    <w:rsid w:val="00207665"/>
    <w:rsid w:val="002076E2"/>
    <w:rsid w:val="00207968"/>
    <w:rsid w:val="0021056F"/>
    <w:rsid w:val="00210BD1"/>
    <w:rsid w:val="00211229"/>
    <w:rsid w:val="00211E8C"/>
    <w:rsid w:val="00212C9C"/>
    <w:rsid w:val="00212FCA"/>
    <w:rsid w:val="00213108"/>
    <w:rsid w:val="00213D85"/>
    <w:rsid w:val="00213DFB"/>
    <w:rsid w:val="002142D5"/>
    <w:rsid w:val="0021453E"/>
    <w:rsid w:val="0021475E"/>
    <w:rsid w:val="0021514E"/>
    <w:rsid w:val="00215A63"/>
    <w:rsid w:val="00215F08"/>
    <w:rsid w:val="002179AC"/>
    <w:rsid w:val="00217B86"/>
    <w:rsid w:val="00220ADB"/>
    <w:rsid w:val="002217BA"/>
    <w:rsid w:val="00221E74"/>
    <w:rsid w:val="00223177"/>
    <w:rsid w:val="00223507"/>
    <w:rsid w:val="00223616"/>
    <w:rsid w:val="00223ACC"/>
    <w:rsid w:val="0022448D"/>
    <w:rsid w:val="00226ED6"/>
    <w:rsid w:val="002275DE"/>
    <w:rsid w:val="00230170"/>
    <w:rsid w:val="002305CF"/>
    <w:rsid w:val="002310B5"/>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3A7"/>
    <w:rsid w:val="002507D8"/>
    <w:rsid w:val="002510FA"/>
    <w:rsid w:val="00252A20"/>
    <w:rsid w:val="00252B41"/>
    <w:rsid w:val="0025524F"/>
    <w:rsid w:val="002578EE"/>
    <w:rsid w:val="00257D1F"/>
    <w:rsid w:val="00257E5F"/>
    <w:rsid w:val="00260C1D"/>
    <w:rsid w:val="00261001"/>
    <w:rsid w:val="002617DC"/>
    <w:rsid w:val="00261A42"/>
    <w:rsid w:val="00261D84"/>
    <w:rsid w:val="002629A6"/>
    <w:rsid w:val="002630E4"/>
    <w:rsid w:val="0026364B"/>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56F3"/>
    <w:rsid w:val="00286DDB"/>
    <w:rsid w:val="002871EB"/>
    <w:rsid w:val="0028741E"/>
    <w:rsid w:val="00287EB2"/>
    <w:rsid w:val="00290DBD"/>
    <w:rsid w:val="00291D91"/>
    <w:rsid w:val="002948C4"/>
    <w:rsid w:val="00294D2D"/>
    <w:rsid w:val="002960D6"/>
    <w:rsid w:val="00297E45"/>
    <w:rsid w:val="002A047E"/>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0E9A"/>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9BE"/>
    <w:rsid w:val="002D0E3D"/>
    <w:rsid w:val="002D10C8"/>
    <w:rsid w:val="002D1A38"/>
    <w:rsid w:val="002D1AA7"/>
    <w:rsid w:val="002D1C2C"/>
    <w:rsid w:val="002D28CB"/>
    <w:rsid w:val="002D2E16"/>
    <w:rsid w:val="002D35AE"/>
    <w:rsid w:val="002D373C"/>
    <w:rsid w:val="002D57AA"/>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BEF"/>
    <w:rsid w:val="002F7D11"/>
    <w:rsid w:val="003001E4"/>
    <w:rsid w:val="003007E0"/>
    <w:rsid w:val="00300DF2"/>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104F"/>
    <w:rsid w:val="0035199B"/>
    <w:rsid w:val="003522BF"/>
    <w:rsid w:val="00352901"/>
    <w:rsid w:val="0035420B"/>
    <w:rsid w:val="00355AEE"/>
    <w:rsid w:val="00355D3B"/>
    <w:rsid w:val="0035606B"/>
    <w:rsid w:val="0035651C"/>
    <w:rsid w:val="00356F8B"/>
    <w:rsid w:val="00357CC7"/>
    <w:rsid w:val="0036073F"/>
    <w:rsid w:val="003615A3"/>
    <w:rsid w:val="003629EE"/>
    <w:rsid w:val="00363DCB"/>
    <w:rsid w:val="003643B3"/>
    <w:rsid w:val="00364DC9"/>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1B01"/>
    <w:rsid w:val="003A2029"/>
    <w:rsid w:val="003A2676"/>
    <w:rsid w:val="003A2CF7"/>
    <w:rsid w:val="003A3033"/>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60AF"/>
    <w:rsid w:val="003B7304"/>
    <w:rsid w:val="003B790C"/>
    <w:rsid w:val="003B7EC4"/>
    <w:rsid w:val="003C183D"/>
    <w:rsid w:val="003C19CA"/>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E0"/>
    <w:rsid w:val="003D4163"/>
    <w:rsid w:val="003D459A"/>
    <w:rsid w:val="003D46D0"/>
    <w:rsid w:val="003D5051"/>
    <w:rsid w:val="003D5661"/>
    <w:rsid w:val="003D596C"/>
    <w:rsid w:val="003D65BF"/>
    <w:rsid w:val="003D6BD3"/>
    <w:rsid w:val="003D792A"/>
    <w:rsid w:val="003E1680"/>
    <w:rsid w:val="003E1870"/>
    <w:rsid w:val="003E2E98"/>
    <w:rsid w:val="003E2ED8"/>
    <w:rsid w:val="003E3CBC"/>
    <w:rsid w:val="003E4701"/>
    <w:rsid w:val="003E4C96"/>
    <w:rsid w:val="003E6079"/>
    <w:rsid w:val="003E6128"/>
    <w:rsid w:val="003E6679"/>
    <w:rsid w:val="003E6D0F"/>
    <w:rsid w:val="003E6D1E"/>
    <w:rsid w:val="003E712E"/>
    <w:rsid w:val="003F052B"/>
    <w:rsid w:val="003F0769"/>
    <w:rsid w:val="003F0DDA"/>
    <w:rsid w:val="003F140F"/>
    <w:rsid w:val="003F1552"/>
    <w:rsid w:val="003F15DB"/>
    <w:rsid w:val="003F2702"/>
    <w:rsid w:val="003F2778"/>
    <w:rsid w:val="003F36A4"/>
    <w:rsid w:val="003F3757"/>
    <w:rsid w:val="003F4900"/>
    <w:rsid w:val="003F70CA"/>
    <w:rsid w:val="003F7823"/>
    <w:rsid w:val="003F7CCB"/>
    <w:rsid w:val="00400541"/>
    <w:rsid w:val="00400E76"/>
    <w:rsid w:val="0040137F"/>
    <w:rsid w:val="00402179"/>
    <w:rsid w:val="0040278D"/>
    <w:rsid w:val="00402C84"/>
    <w:rsid w:val="00403249"/>
    <w:rsid w:val="00403781"/>
    <w:rsid w:val="004044E9"/>
    <w:rsid w:val="0040471A"/>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2378"/>
    <w:rsid w:val="0042267F"/>
    <w:rsid w:val="00422A4D"/>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A36"/>
    <w:rsid w:val="004D5BA4"/>
    <w:rsid w:val="004D68F8"/>
    <w:rsid w:val="004D6D19"/>
    <w:rsid w:val="004D70F9"/>
    <w:rsid w:val="004E0E70"/>
    <w:rsid w:val="004E11D8"/>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884"/>
    <w:rsid w:val="00577C3F"/>
    <w:rsid w:val="00581871"/>
    <w:rsid w:val="00581C0F"/>
    <w:rsid w:val="00582919"/>
    <w:rsid w:val="00583749"/>
    <w:rsid w:val="005849B2"/>
    <w:rsid w:val="00585172"/>
    <w:rsid w:val="00586719"/>
    <w:rsid w:val="00587366"/>
    <w:rsid w:val="0058757A"/>
    <w:rsid w:val="00590037"/>
    <w:rsid w:val="00590579"/>
    <w:rsid w:val="00590892"/>
    <w:rsid w:val="00590BE7"/>
    <w:rsid w:val="00591931"/>
    <w:rsid w:val="005924FA"/>
    <w:rsid w:val="00593476"/>
    <w:rsid w:val="005937B2"/>
    <w:rsid w:val="005937BC"/>
    <w:rsid w:val="00594C52"/>
    <w:rsid w:val="00594F82"/>
    <w:rsid w:val="00595511"/>
    <w:rsid w:val="00596238"/>
    <w:rsid w:val="00596514"/>
    <w:rsid w:val="0059679B"/>
    <w:rsid w:val="00597B2E"/>
    <w:rsid w:val="00597B44"/>
    <w:rsid w:val="00597D18"/>
    <w:rsid w:val="005A0C09"/>
    <w:rsid w:val="005A1FAB"/>
    <w:rsid w:val="005A228F"/>
    <w:rsid w:val="005A22CB"/>
    <w:rsid w:val="005A2600"/>
    <w:rsid w:val="005A2A65"/>
    <w:rsid w:val="005A2F65"/>
    <w:rsid w:val="005A3513"/>
    <w:rsid w:val="005A3581"/>
    <w:rsid w:val="005A3BD7"/>
    <w:rsid w:val="005A51E5"/>
    <w:rsid w:val="005A60E1"/>
    <w:rsid w:val="005A6788"/>
    <w:rsid w:val="005A786F"/>
    <w:rsid w:val="005B13E4"/>
    <w:rsid w:val="005B169C"/>
    <w:rsid w:val="005B289B"/>
    <w:rsid w:val="005B2D8D"/>
    <w:rsid w:val="005B2DD1"/>
    <w:rsid w:val="005B2DE7"/>
    <w:rsid w:val="005B3017"/>
    <w:rsid w:val="005B3A49"/>
    <w:rsid w:val="005B3F0D"/>
    <w:rsid w:val="005B4B08"/>
    <w:rsid w:val="005B5703"/>
    <w:rsid w:val="005B6ADF"/>
    <w:rsid w:val="005B773D"/>
    <w:rsid w:val="005B7C5D"/>
    <w:rsid w:val="005C02B5"/>
    <w:rsid w:val="005C0821"/>
    <w:rsid w:val="005C1A74"/>
    <w:rsid w:val="005C2568"/>
    <w:rsid w:val="005C3294"/>
    <w:rsid w:val="005C33B8"/>
    <w:rsid w:val="005C347F"/>
    <w:rsid w:val="005C380A"/>
    <w:rsid w:val="005C3B63"/>
    <w:rsid w:val="005C450C"/>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FFE"/>
    <w:rsid w:val="00607A6F"/>
    <w:rsid w:val="006118CE"/>
    <w:rsid w:val="00611DC1"/>
    <w:rsid w:val="00612044"/>
    <w:rsid w:val="00612317"/>
    <w:rsid w:val="00613655"/>
    <w:rsid w:val="006144EE"/>
    <w:rsid w:val="0061450C"/>
    <w:rsid w:val="00616236"/>
    <w:rsid w:val="00617125"/>
    <w:rsid w:val="00617813"/>
    <w:rsid w:val="006206CC"/>
    <w:rsid w:val="0062118E"/>
    <w:rsid w:val="00622B06"/>
    <w:rsid w:val="006232D4"/>
    <w:rsid w:val="00623C15"/>
    <w:rsid w:val="00624425"/>
    <w:rsid w:val="006257C2"/>
    <w:rsid w:val="00625CD0"/>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05D2"/>
    <w:rsid w:val="00662C69"/>
    <w:rsid w:val="00663214"/>
    <w:rsid w:val="006633C0"/>
    <w:rsid w:val="00663470"/>
    <w:rsid w:val="00663CC7"/>
    <w:rsid w:val="006642CA"/>
    <w:rsid w:val="0066458B"/>
    <w:rsid w:val="00664805"/>
    <w:rsid w:val="00664FB5"/>
    <w:rsid w:val="006652B2"/>
    <w:rsid w:val="006674A0"/>
    <w:rsid w:val="006704F7"/>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2241"/>
    <w:rsid w:val="00682297"/>
    <w:rsid w:val="006842C0"/>
    <w:rsid w:val="00685689"/>
    <w:rsid w:val="0068594B"/>
    <w:rsid w:val="00686B04"/>
    <w:rsid w:val="00686E53"/>
    <w:rsid w:val="00687CAD"/>
    <w:rsid w:val="006901FA"/>
    <w:rsid w:val="006904D3"/>
    <w:rsid w:val="00690ED0"/>
    <w:rsid w:val="006917EC"/>
    <w:rsid w:val="00692D5E"/>
    <w:rsid w:val="00693427"/>
    <w:rsid w:val="006934DA"/>
    <w:rsid w:val="00693503"/>
    <w:rsid w:val="00693FA4"/>
    <w:rsid w:val="00694C00"/>
    <w:rsid w:val="00694D22"/>
    <w:rsid w:val="006958A7"/>
    <w:rsid w:val="00695F94"/>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424B"/>
    <w:rsid w:val="006B4585"/>
    <w:rsid w:val="006B53EE"/>
    <w:rsid w:val="006B5BA1"/>
    <w:rsid w:val="006B60B4"/>
    <w:rsid w:val="006B65D4"/>
    <w:rsid w:val="006B7A58"/>
    <w:rsid w:val="006C15A0"/>
    <w:rsid w:val="006C250B"/>
    <w:rsid w:val="006C26B3"/>
    <w:rsid w:val="006C2FEE"/>
    <w:rsid w:val="006C50B1"/>
    <w:rsid w:val="006C50C2"/>
    <w:rsid w:val="006C563A"/>
    <w:rsid w:val="006C6C8C"/>
    <w:rsid w:val="006C6E1A"/>
    <w:rsid w:val="006D1070"/>
    <w:rsid w:val="006D1B6D"/>
    <w:rsid w:val="006D21CE"/>
    <w:rsid w:val="006D24C4"/>
    <w:rsid w:val="006D27EF"/>
    <w:rsid w:val="006D3FB4"/>
    <w:rsid w:val="006D41E3"/>
    <w:rsid w:val="006D425C"/>
    <w:rsid w:val="006D52D1"/>
    <w:rsid w:val="006D57BE"/>
    <w:rsid w:val="006D6D3D"/>
    <w:rsid w:val="006D77A2"/>
    <w:rsid w:val="006E013D"/>
    <w:rsid w:val="006E1056"/>
    <w:rsid w:val="006E2F03"/>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51AA"/>
    <w:rsid w:val="006F5231"/>
    <w:rsid w:val="006F69E5"/>
    <w:rsid w:val="00700553"/>
    <w:rsid w:val="0070102E"/>
    <w:rsid w:val="00701218"/>
    <w:rsid w:val="00702D2E"/>
    <w:rsid w:val="007050B1"/>
    <w:rsid w:val="007050D2"/>
    <w:rsid w:val="00705527"/>
    <w:rsid w:val="00705B80"/>
    <w:rsid w:val="007060B5"/>
    <w:rsid w:val="00707096"/>
    <w:rsid w:val="00710B50"/>
    <w:rsid w:val="007127BB"/>
    <w:rsid w:val="00712B96"/>
    <w:rsid w:val="007136BC"/>
    <w:rsid w:val="007137B5"/>
    <w:rsid w:val="00714346"/>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428B"/>
    <w:rsid w:val="00735A75"/>
    <w:rsid w:val="00736115"/>
    <w:rsid w:val="007365AD"/>
    <w:rsid w:val="00736C54"/>
    <w:rsid w:val="007409D8"/>
    <w:rsid w:val="00740BA4"/>
    <w:rsid w:val="007411E3"/>
    <w:rsid w:val="007417CD"/>
    <w:rsid w:val="00742486"/>
    <w:rsid w:val="007426B7"/>
    <w:rsid w:val="00742D6A"/>
    <w:rsid w:val="00743CAC"/>
    <w:rsid w:val="0074433B"/>
    <w:rsid w:val="007446C2"/>
    <w:rsid w:val="0074573F"/>
    <w:rsid w:val="0074628D"/>
    <w:rsid w:val="007467D9"/>
    <w:rsid w:val="007473D2"/>
    <w:rsid w:val="007474B7"/>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511"/>
    <w:rsid w:val="00762697"/>
    <w:rsid w:val="007644E6"/>
    <w:rsid w:val="007652EA"/>
    <w:rsid w:val="00766CDD"/>
    <w:rsid w:val="00766EF9"/>
    <w:rsid w:val="007674F3"/>
    <w:rsid w:val="00767CD2"/>
    <w:rsid w:val="00770859"/>
    <w:rsid w:val="00771B73"/>
    <w:rsid w:val="00771B88"/>
    <w:rsid w:val="00772245"/>
    <w:rsid w:val="0077236C"/>
    <w:rsid w:val="0077277D"/>
    <w:rsid w:val="00774A5F"/>
    <w:rsid w:val="00774AB3"/>
    <w:rsid w:val="00774DFD"/>
    <w:rsid w:val="00775193"/>
    <w:rsid w:val="007753FA"/>
    <w:rsid w:val="0077544D"/>
    <w:rsid w:val="007758D3"/>
    <w:rsid w:val="00775D67"/>
    <w:rsid w:val="007766B2"/>
    <w:rsid w:val="00776C78"/>
    <w:rsid w:val="007774E7"/>
    <w:rsid w:val="0078079A"/>
    <w:rsid w:val="007814A7"/>
    <w:rsid w:val="0078249C"/>
    <w:rsid w:val="00782761"/>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C29"/>
    <w:rsid w:val="007B5AF0"/>
    <w:rsid w:val="007B6317"/>
    <w:rsid w:val="007B694D"/>
    <w:rsid w:val="007B79A9"/>
    <w:rsid w:val="007C0013"/>
    <w:rsid w:val="007C0CBC"/>
    <w:rsid w:val="007C1605"/>
    <w:rsid w:val="007C255D"/>
    <w:rsid w:val="007C3795"/>
    <w:rsid w:val="007C37D2"/>
    <w:rsid w:val="007C3985"/>
    <w:rsid w:val="007C42D5"/>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5D2"/>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6F2"/>
    <w:rsid w:val="008459B3"/>
    <w:rsid w:val="00845D12"/>
    <w:rsid w:val="00846713"/>
    <w:rsid w:val="00846C5D"/>
    <w:rsid w:val="00846D48"/>
    <w:rsid w:val="008472A9"/>
    <w:rsid w:val="008473E4"/>
    <w:rsid w:val="008473FA"/>
    <w:rsid w:val="00847830"/>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24DD"/>
    <w:rsid w:val="00863125"/>
    <w:rsid w:val="00864325"/>
    <w:rsid w:val="008645F1"/>
    <w:rsid w:val="00864EBB"/>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B6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BC"/>
    <w:rsid w:val="008B3CBF"/>
    <w:rsid w:val="008B4590"/>
    <w:rsid w:val="008B512C"/>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123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082A"/>
    <w:rsid w:val="008E0EDE"/>
    <w:rsid w:val="008E11CC"/>
    <w:rsid w:val="008E1826"/>
    <w:rsid w:val="008E1B8F"/>
    <w:rsid w:val="008E2154"/>
    <w:rsid w:val="008E234C"/>
    <w:rsid w:val="008E26D5"/>
    <w:rsid w:val="008E29BB"/>
    <w:rsid w:val="008E2B17"/>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7752"/>
    <w:rsid w:val="009006C5"/>
    <w:rsid w:val="0090174A"/>
    <w:rsid w:val="00902E52"/>
    <w:rsid w:val="009036B3"/>
    <w:rsid w:val="00903C6E"/>
    <w:rsid w:val="009052C1"/>
    <w:rsid w:val="0090620F"/>
    <w:rsid w:val="009071FE"/>
    <w:rsid w:val="00907761"/>
    <w:rsid w:val="00907A46"/>
    <w:rsid w:val="00910076"/>
    <w:rsid w:val="009107CD"/>
    <w:rsid w:val="0091242A"/>
    <w:rsid w:val="00912E53"/>
    <w:rsid w:val="00912F01"/>
    <w:rsid w:val="0091395C"/>
    <w:rsid w:val="00913AA4"/>
    <w:rsid w:val="00915778"/>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ECA"/>
    <w:rsid w:val="0095218D"/>
    <w:rsid w:val="00953054"/>
    <w:rsid w:val="009531D6"/>
    <w:rsid w:val="00953610"/>
    <w:rsid w:val="0095382C"/>
    <w:rsid w:val="00953B03"/>
    <w:rsid w:val="009548C1"/>
    <w:rsid w:val="009552A1"/>
    <w:rsid w:val="00955D67"/>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15"/>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5C2"/>
    <w:rsid w:val="00984D47"/>
    <w:rsid w:val="0098595E"/>
    <w:rsid w:val="00986073"/>
    <w:rsid w:val="0098780B"/>
    <w:rsid w:val="00990EE2"/>
    <w:rsid w:val="009916D2"/>
    <w:rsid w:val="009917E9"/>
    <w:rsid w:val="009918B7"/>
    <w:rsid w:val="009918C6"/>
    <w:rsid w:val="0099229C"/>
    <w:rsid w:val="00994350"/>
    <w:rsid w:val="00994E5F"/>
    <w:rsid w:val="009959DB"/>
    <w:rsid w:val="00995C9F"/>
    <w:rsid w:val="0099705D"/>
    <w:rsid w:val="0099752D"/>
    <w:rsid w:val="00997C2A"/>
    <w:rsid w:val="009A0358"/>
    <w:rsid w:val="009A0461"/>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49B"/>
    <w:rsid w:val="009B6F16"/>
    <w:rsid w:val="009B7C54"/>
    <w:rsid w:val="009C0285"/>
    <w:rsid w:val="009C0940"/>
    <w:rsid w:val="009C0950"/>
    <w:rsid w:val="009C1D99"/>
    <w:rsid w:val="009C1F8B"/>
    <w:rsid w:val="009C20A8"/>
    <w:rsid w:val="009C5057"/>
    <w:rsid w:val="009C6069"/>
    <w:rsid w:val="009C6CAB"/>
    <w:rsid w:val="009D1378"/>
    <w:rsid w:val="009D1780"/>
    <w:rsid w:val="009D2384"/>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720"/>
    <w:rsid w:val="00A50922"/>
    <w:rsid w:val="00A50B8A"/>
    <w:rsid w:val="00A51F40"/>
    <w:rsid w:val="00A5217A"/>
    <w:rsid w:val="00A526B0"/>
    <w:rsid w:val="00A54A94"/>
    <w:rsid w:val="00A55D2B"/>
    <w:rsid w:val="00A55FD1"/>
    <w:rsid w:val="00A572BC"/>
    <w:rsid w:val="00A57A82"/>
    <w:rsid w:val="00A57B20"/>
    <w:rsid w:val="00A62B7B"/>
    <w:rsid w:val="00A63B45"/>
    <w:rsid w:val="00A65B37"/>
    <w:rsid w:val="00A66665"/>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77A26"/>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B1131"/>
    <w:rsid w:val="00AB1B91"/>
    <w:rsid w:val="00AB2744"/>
    <w:rsid w:val="00AB274F"/>
    <w:rsid w:val="00AB2E93"/>
    <w:rsid w:val="00AB3F90"/>
    <w:rsid w:val="00AB5F30"/>
    <w:rsid w:val="00AB61E4"/>
    <w:rsid w:val="00AB6BE3"/>
    <w:rsid w:val="00AB7AAA"/>
    <w:rsid w:val="00AC2197"/>
    <w:rsid w:val="00AC37C3"/>
    <w:rsid w:val="00AC3E08"/>
    <w:rsid w:val="00AC3E65"/>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5FF5"/>
    <w:rsid w:val="00AE6A90"/>
    <w:rsid w:val="00AE6F39"/>
    <w:rsid w:val="00AE7823"/>
    <w:rsid w:val="00AE7F20"/>
    <w:rsid w:val="00AF0E7C"/>
    <w:rsid w:val="00AF1F04"/>
    <w:rsid w:val="00AF3B55"/>
    <w:rsid w:val="00AF3D59"/>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BEC"/>
    <w:rsid w:val="00B37104"/>
    <w:rsid w:val="00B37930"/>
    <w:rsid w:val="00B406E3"/>
    <w:rsid w:val="00B41516"/>
    <w:rsid w:val="00B428BD"/>
    <w:rsid w:val="00B433EB"/>
    <w:rsid w:val="00B43F5B"/>
    <w:rsid w:val="00B447D7"/>
    <w:rsid w:val="00B44F9F"/>
    <w:rsid w:val="00B451F7"/>
    <w:rsid w:val="00B452A3"/>
    <w:rsid w:val="00B4545E"/>
    <w:rsid w:val="00B47889"/>
    <w:rsid w:val="00B478CF"/>
    <w:rsid w:val="00B47D0D"/>
    <w:rsid w:val="00B52B7D"/>
    <w:rsid w:val="00B531D2"/>
    <w:rsid w:val="00B537D8"/>
    <w:rsid w:val="00B53CCA"/>
    <w:rsid w:val="00B54441"/>
    <w:rsid w:val="00B545C9"/>
    <w:rsid w:val="00B5463C"/>
    <w:rsid w:val="00B54A5F"/>
    <w:rsid w:val="00B55DEA"/>
    <w:rsid w:val="00B560C2"/>
    <w:rsid w:val="00B5626B"/>
    <w:rsid w:val="00B56409"/>
    <w:rsid w:val="00B56741"/>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FBD"/>
    <w:rsid w:val="00B974B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61B2"/>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4A74"/>
    <w:rsid w:val="00BE545A"/>
    <w:rsid w:val="00BE57A2"/>
    <w:rsid w:val="00BE5E11"/>
    <w:rsid w:val="00BE6C95"/>
    <w:rsid w:val="00BE74FA"/>
    <w:rsid w:val="00BE7E61"/>
    <w:rsid w:val="00BF0A54"/>
    <w:rsid w:val="00BF0F1C"/>
    <w:rsid w:val="00BF1278"/>
    <w:rsid w:val="00BF1857"/>
    <w:rsid w:val="00BF1B7F"/>
    <w:rsid w:val="00BF22B8"/>
    <w:rsid w:val="00BF2346"/>
    <w:rsid w:val="00BF3B85"/>
    <w:rsid w:val="00BF485E"/>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3C5"/>
    <w:rsid w:val="00C06C02"/>
    <w:rsid w:val="00C11482"/>
    <w:rsid w:val="00C11E0B"/>
    <w:rsid w:val="00C12419"/>
    <w:rsid w:val="00C1254E"/>
    <w:rsid w:val="00C12E38"/>
    <w:rsid w:val="00C1442C"/>
    <w:rsid w:val="00C1448D"/>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6121"/>
    <w:rsid w:val="00C2782D"/>
    <w:rsid w:val="00C27ABF"/>
    <w:rsid w:val="00C3086E"/>
    <w:rsid w:val="00C315FB"/>
    <w:rsid w:val="00C31713"/>
    <w:rsid w:val="00C317BD"/>
    <w:rsid w:val="00C3198E"/>
    <w:rsid w:val="00C31C1C"/>
    <w:rsid w:val="00C33279"/>
    <w:rsid w:val="00C34B8F"/>
    <w:rsid w:val="00C35332"/>
    <w:rsid w:val="00C363DA"/>
    <w:rsid w:val="00C37421"/>
    <w:rsid w:val="00C37D4F"/>
    <w:rsid w:val="00C41015"/>
    <w:rsid w:val="00C41131"/>
    <w:rsid w:val="00C411C1"/>
    <w:rsid w:val="00C418A9"/>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468"/>
    <w:rsid w:val="00C47CDC"/>
    <w:rsid w:val="00C50A2B"/>
    <w:rsid w:val="00C511D7"/>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4E76"/>
    <w:rsid w:val="00C76B87"/>
    <w:rsid w:val="00C77E23"/>
    <w:rsid w:val="00C80034"/>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4D16"/>
    <w:rsid w:val="00C95593"/>
    <w:rsid w:val="00C9667A"/>
    <w:rsid w:val="00C96A1F"/>
    <w:rsid w:val="00C9707E"/>
    <w:rsid w:val="00CA03B7"/>
    <w:rsid w:val="00CA0640"/>
    <w:rsid w:val="00CA2022"/>
    <w:rsid w:val="00CA3FB6"/>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5758"/>
    <w:rsid w:val="00CE6EC5"/>
    <w:rsid w:val="00CE7E6A"/>
    <w:rsid w:val="00CF030B"/>
    <w:rsid w:val="00CF15AD"/>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1D4F"/>
    <w:rsid w:val="00DA226D"/>
    <w:rsid w:val="00DA22D8"/>
    <w:rsid w:val="00DA2D95"/>
    <w:rsid w:val="00DA370D"/>
    <w:rsid w:val="00DA3A4F"/>
    <w:rsid w:val="00DA42C0"/>
    <w:rsid w:val="00DA42E6"/>
    <w:rsid w:val="00DA52A2"/>
    <w:rsid w:val="00DA5647"/>
    <w:rsid w:val="00DA57B0"/>
    <w:rsid w:val="00DA7146"/>
    <w:rsid w:val="00DA7E2F"/>
    <w:rsid w:val="00DB0C0B"/>
    <w:rsid w:val="00DB0D6C"/>
    <w:rsid w:val="00DB1065"/>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1D29"/>
    <w:rsid w:val="00DD1ED4"/>
    <w:rsid w:val="00DD2912"/>
    <w:rsid w:val="00DD2A39"/>
    <w:rsid w:val="00DD2E02"/>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DF7"/>
    <w:rsid w:val="00DF13A5"/>
    <w:rsid w:val="00DF1888"/>
    <w:rsid w:val="00DF1C93"/>
    <w:rsid w:val="00DF1E5D"/>
    <w:rsid w:val="00DF1F7B"/>
    <w:rsid w:val="00DF2ABA"/>
    <w:rsid w:val="00DF391A"/>
    <w:rsid w:val="00DF419C"/>
    <w:rsid w:val="00DF51C5"/>
    <w:rsid w:val="00DF6794"/>
    <w:rsid w:val="00DF72C7"/>
    <w:rsid w:val="00DF7862"/>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813"/>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50C6"/>
    <w:rsid w:val="00E6520A"/>
    <w:rsid w:val="00E6662D"/>
    <w:rsid w:val="00E66A80"/>
    <w:rsid w:val="00E66EE6"/>
    <w:rsid w:val="00E7063D"/>
    <w:rsid w:val="00E71329"/>
    <w:rsid w:val="00E71633"/>
    <w:rsid w:val="00E7218C"/>
    <w:rsid w:val="00E72689"/>
    <w:rsid w:val="00E730AA"/>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676"/>
    <w:rsid w:val="00F10D6B"/>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B84"/>
    <w:rsid w:val="00F53104"/>
    <w:rsid w:val="00F5372F"/>
    <w:rsid w:val="00F53C70"/>
    <w:rsid w:val="00F550F8"/>
    <w:rsid w:val="00F55309"/>
    <w:rsid w:val="00F562A9"/>
    <w:rsid w:val="00F568CF"/>
    <w:rsid w:val="00F56E0D"/>
    <w:rsid w:val="00F5766B"/>
    <w:rsid w:val="00F606BE"/>
    <w:rsid w:val="00F60C62"/>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B6"/>
    <w:rsid w:val="00FF35F5"/>
    <w:rsid w:val="00FF3B7B"/>
    <w:rsid w:val="00FF3EA0"/>
    <w:rsid w:val="00FF3FF6"/>
    <w:rsid w:val="00FF40F7"/>
    <w:rsid w:val="00FF58AA"/>
    <w:rsid w:val="00FF7333"/>
    <w:rsid w:val="00FF7602"/>
    <w:rsid w:val="00FF7A5B"/>
    <w:rsid w:val="67C165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8E082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4194-BB98-48BF-8765-6DD2846E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53</Pages>
  <Words>12683</Words>
  <Characters>69761</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2023-08-22T16:13:00Z</dcterms:created>
  <dcterms:modified xsi:type="dcterms:W3CDTF">2023-09-12T00:57:00Z</dcterms:modified>
</cp:coreProperties>
</file>