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D6600" w14:textId="7D344A48"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BE08EF">
        <w:rPr>
          <w:rFonts w:ascii="Palatino Linotype" w:eastAsia="Palatino Linotype" w:hAnsi="Palatino Linotype" w:cs="Palatino Linotype"/>
          <w:b/>
        </w:rPr>
        <w:t>tres de octu</w:t>
      </w:r>
      <w:r>
        <w:rPr>
          <w:rFonts w:ascii="Palatino Linotype" w:eastAsia="Palatino Linotype" w:hAnsi="Palatino Linotype" w:cs="Palatino Linotype"/>
          <w:b/>
        </w:rPr>
        <w:t>bre de dos mil veintitrés</w:t>
      </w:r>
      <w:r>
        <w:rPr>
          <w:rFonts w:ascii="Palatino Linotype" w:eastAsia="Palatino Linotype" w:hAnsi="Palatino Linotype" w:cs="Palatino Linotype"/>
        </w:rPr>
        <w:t xml:space="preserve">. </w:t>
      </w:r>
    </w:p>
    <w:p w14:paraId="450EECC9" w14:textId="0DC6944A" w:rsidR="00AC237C" w:rsidRDefault="00BF7E9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02719/INFOEM/IP/RR/2023</w:t>
      </w:r>
      <w:r>
        <w:rPr>
          <w:rFonts w:ascii="Palatino Linotype" w:eastAsia="Palatino Linotype" w:hAnsi="Palatino Linotype" w:cs="Palatino Linotype"/>
        </w:rPr>
        <w:t>, interpuesto por</w:t>
      </w:r>
      <w:r w:rsidR="00F930DE">
        <w:rPr>
          <w:rFonts w:ascii="Palatino Linotype" w:eastAsia="Palatino Linotype" w:hAnsi="Palatino Linotype" w:cs="Palatino Linotype"/>
          <w:b/>
        </w:rPr>
        <w:t xml:space="preserve"> XXXXX XXXX XX</w:t>
      </w:r>
      <w:r w:rsidR="009C218E">
        <w:rPr>
          <w:rFonts w:ascii="Palatino Linotype" w:eastAsia="Palatino Linotype" w:hAnsi="Palatino Linotype" w:cs="Palatino Linotype"/>
          <w:b/>
        </w:rPr>
        <w:t>X</w:t>
      </w:r>
      <w:bookmarkStart w:id="0" w:name="_GoBack"/>
      <w:bookmarkEnd w:id="0"/>
      <w:r w:rsidR="00F930DE">
        <w:rPr>
          <w:rFonts w:ascii="Palatino Linotype" w:eastAsia="Palatino Linotype" w:hAnsi="Palatino Linotype" w:cs="Palatino Linotype"/>
          <w:b/>
        </w:rPr>
        <w:t>XX</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Texcoco,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689EAC3D" w14:textId="77777777" w:rsidR="00AC237C" w:rsidRDefault="00BF7E93">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2A429C78"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trece de abril del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00129/TEXCOCO/IP/2023, </w:t>
      </w:r>
      <w:r>
        <w:rPr>
          <w:rFonts w:ascii="Palatino Linotype" w:eastAsia="Palatino Linotype" w:hAnsi="Palatino Linotype" w:cs="Palatino Linotype"/>
        </w:rPr>
        <w:t xml:space="preserve">mediante la cual requirió la información siguiente: </w:t>
      </w:r>
    </w:p>
    <w:p w14:paraId="5879682E" w14:textId="77777777" w:rsidR="00AC237C" w:rsidRDefault="00BF7E93">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“copia del contrato, estudios de mercado, acta del cabildo </w:t>
      </w:r>
      <w:r>
        <w:rPr>
          <w:rFonts w:ascii="Palatino Linotype" w:eastAsia="Palatino Linotype" w:hAnsi="Palatino Linotype" w:cs="Palatino Linotype"/>
          <w:b/>
          <w:i/>
          <w:sz w:val="22"/>
          <w:szCs w:val="22"/>
          <w:u w:val="single"/>
        </w:rPr>
        <w:t xml:space="preserve">para su compra, </w:t>
      </w:r>
      <w:r>
        <w:rPr>
          <w:rFonts w:ascii="Palatino Linotype" w:eastAsia="Palatino Linotype" w:hAnsi="Palatino Linotype" w:cs="Palatino Linotype"/>
          <w:i/>
          <w:sz w:val="22"/>
          <w:szCs w:val="22"/>
        </w:rPr>
        <w:t xml:space="preserve">o sub </w:t>
      </w:r>
      <w:proofErr w:type="spellStart"/>
      <w:r>
        <w:rPr>
          <w:rFonts w:ascii="Palatino Linotype" w:eastAsia="Palatino Linotype" w:hAnsi="Palatino Linotype" w:cs="Palatino Linotype"/>
          <w:i/>
          <w:sz w:val="22"/>
          <w:szCs w:val="22"/>
        </w:rPr>
        <w:t>comite</w:t>
      </w:r>
      <w:proofErr w:type="spellEnd"/>
      <w:r>
        <w:rPr>
          <w:rFonts w:ascii="Palatino Linotype" w:eastAsia="Palatino Linotype" w:hAnsi="Palatino Linotype" w:cs="Palatino Linotype"/>
          <w:i/>
          <w:sz w:val="22"/>
          <w:szCs w:val="22"/>
        </w:rPr>
        <w:t xml:space="preserve"> de adquisiciones arrendamiento y prestación de servicios, revisión de anexos por el OIC , Los anexos, Tarjeta de circulación , tenencias, verificación, junta de aclaraciones, propuestas económicas </w:t>
      </w:r>
      <w:r>
        <w:rPr>
          <w:rFonts w:ascii="Palatino Linotype" w:eastAsia="Palatino Linotype" w:hAnsi="Palatino Linotype" w:cs="Palatino Linotype"/>
          <w:b/>
          <w:i/>
          <w:sz w:val="22"/>
          <w:szCs w:val="22"/>
          <w:u w:val="single"/>
        </w:rPr>
        <w:t>de sus patrullas</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b/>
          <w:i/>
          <w:sz w:val="22"/>
          <w:szCs w:val="22"/>
          <w:u w:val="single"/>
        </w:rPr>
        <w:t>de 2018 a la fecha</w:t>
      </w:r>
      <w:r>
        <w:rPr>
          <w:rFonts w:ascii="Palatino Linotype" w:eastAsia="Palatino Linotype" w:hAnsi="Palatino Linotype" w:cs="Palatino Linotype"/>
          <w:i/>
          <w:sz w:val="22"/>
          <w:szCs w:val="22"/>
        </w:rPr>
        <w:t xml:space="preserve"> , costo del vehículo, del equipo policial y del radio . </w:t>
      </w:r>
      <w:proofErr w:type="spellStart"/>
      <w:proofErr w:type="gramStart"/>
      <w:r>
        <w:rPr>
          <w:rFonts w:ascii="Palatino Linotype" w:eastAsia="Palatino Linotype" w:hAnsi="Palatino Linotype" w:cs="Palatino Linotype"/>
          <w:i/>
          <w:sz w:val="22"/>
          <w:szCs w:val="22"/>
        </w:rPr>
        <w:t>maracas</w:t>
      </w:r>
      <w:proofErr w:type="spellEnd"/>
      <w:proofErr w:type="gramEnd"/>
      <w:r>
        <w:rPr>
          <w:rFonts w:ascii="Palatino Linotype" w:eastAsia="Palatino Linotype" w:hAnsi="Palatino Linotype" w:cs="Palatino Linotype"/>
          <w:i/>
          <w:sz w:val="22"/>
          <w:szCs w:val="22"/>
        </w:rPr>
        <w:t xml:space="preserve"> y modelos” (Sic) </w:t>
      </w:r>
    </w:p>
    <w:p w14:paraId="449E9C94" w14:textId="77777777" w:rsidR="00AC237C" w:rsidRDefault="00BF7E93">
      <w:pPr>
        <w:tabs>
          <w:tab w:val="left" w:pos="108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p w14:paraId="13E9BAE0"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08B2E671" w14:textId="77777777" w:rsidR="00AC237C" w:rsidRDefault="00AC237C">
      <w:pPr>
        <w:spacing w:line="360" w:lineRule="auto"/>
        <w:ind w:right="900"/>
        <w:rPr>
          <w:rFonts w:ascii="Palatino Linotype" w:eastAsia="Palatino Linotype" w:hAnsi="Palatino Linotype" w:cs="Palatino Linotype"/>
          <w:sz w:val="22"/>
          <w:szCs w:val="22"/>
        </w:rPr>
      </w:pPr>
    </w:p>
    <w:p w14:paraId="523F1FF7" w14:textId="77777777" w:rsidR="00AC237C" w:rsidRDefault="00BF7E9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Prórroga. </w:t>
      </w:r>
      <w:r>
        <w:rPr>
          <w:rFonts w:ascii="Palatino Linotype" w:eastAsia="Palatino Linotype" w:hAnsi="Palatino Linotype" w:cs="Palatino Linotype"/>
        </w:rPr>
        <w:t xml:space="preserve">El </w:t>
      </w:r>
      <w:r>
        <w:rPr>
          <w:rFonts w:ascii="Palatino Linotype" w:eastAsia="Palatino Linotype" w:hAnsi="Palatino Linotype" w:cs="Palatino Linotype"/>
          <w:b/>
        </w:rPr>
        <w:t>cuatro de mayo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parte solicitante, la prórroga para atender la presente solicitud de información, medularmente en los siguientes términos:</w:t>
      </w:r>
    </w:p>
    <w:p w14:paraId="5ABA394B" w14:textId="77777777" w:rsidR="00AC237C" w:rsidRDefault="00BF7E93">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5F7515D" w14:textId="0721EDB8" w:rsidR="00AC237C" w:rsidRDefault="00BF7E93" w:rsidP="00D56C0F">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espera de información para dar respuesta a su solicitud</w:t>
      </w:r>
      <w:r w:rsidR="00D56C0F">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w:t>
      </w:r>
      <w:r w:rsidR="00D56C0F">
        <w:rPr>
          <w:rFonts w:ascii="Palatino Linotype" w:eastAsia="Palatino Linotype" w:hAnsi="Palatino Linotype" w:cs="Palatino Linotype"/>
          <w:i/>
          <w:sz w:val="22"/>
          <w:szCs w:val="22"/>
        </w:rPr>
        <w:tab/>
      </w:r>
    </w:p>
    <w:p w14:paraId="3374FBAD" w14:textId="77777777" w:rsidR="00D56C0F" w:rsidRDefault="00D56C0F" w:rsidP="00D56C0F">
      <w:pPr>
        <w:spacing w:line="360" w:lineRule="auto"/>
        <w:jc w:val="both"/>
        <w:rPr>
          <w:rFonts w:ascii="Palatino Linotype" w:hAnsi="Palatino Linotype" w:cs="Arial"/>
        </w:rPr>
      </w:pPr>
      <w:r>
        <w:rPr>
          <w:rFonts w:ascii="Palatino Linotype" w:hAnsi="Palatino Linotype" w:cs="Arial"/>
        </w:rPr>
        <w:t xml:space="preserve">Como refiere el </w:t>
      </w:r>
      <w:r>
        <w:rPr>
          <w:rFonts w:ascii="Palatino Linotype" w:hAnsi="Palatino Linotype" w:cs="Arial"/>
          <w:b/>
          <w:bCs/>
        </w:rPr>
        <w:t>Sujeto Obligado</w:t>
      </w:r>
      <w:r>
        <w:rPr>
          <w:rFonts w:ascii="Palatino Linotype" w:hAnsi="Palatino Linotype" w:cs="Arial"/>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2BF943AA" w14:textId="3BA9702E" w:rsidR="00AC237C" w:rsidRDefault="00BF7E93" w:rsidP="00D56C0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dieciséis de mayo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14A5935F" w14:textId="77777777" w:rsidR="00AC237C" w:rsidRDefault="00BF7E93">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136959" w14:textId="77777777" w:rsidR="00AC237C" w:rsidRDefault="00BF7E93">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Texcoco, México a 16 de mayo de 2023 Folio de la solicitud: 000129/TEXCOCO/IP/2023 C. SOLICITANTE En respuesta a la solicitud recibida, nos permitimos hacer de su conocimiento que con fundamento en el artículo 53, Fracciones: II, V y VI de la Ley de Transparencia y Acceso a la Información Pública del Estado de México y Municipios, le contestamos que: </w:t>
      </w:r>
      <w:r>
        <w:rPr>
          <w:rFonts w:ascii="Palatino Linotype" w:eastAsia="Palatino Linotype" w:hAnsi="Palatino Linotype" w:cs="Palatino Linotype"/>
          <w:b/>
          <w:i/>
          <w:sz w:val="22"/>
          <w:szCs w:val="22"/>
          <w:u w:val="single"/>
        </w:rPr>
        <w:t>Encontrará una respuesta a su solicitud de acuerdo a lo establecido en la Ley de Transparencia y Acceso a la Información Pública del Estado de México y Municipios en archivo PDF</w:t>
      </w:r>
      <w:r>
        <w:rPr>
          <w:rFonts w:ascii="Palatino Linotype" w:eastAsia="Palatino Linotype" w:hAnsi="Palatino Linotype" w:cs="Palatino Linotype"/>
          <w:i/>
          <w:sz w:val="22"/>
          <w:szCs w:val="22"/>
        </w:rPr>
        <w:t>. ATENTAMENTE Lic. René Jonathan Sandoval Tinoco Unidad de Transparencia Ayuntamiento de Texcoco</w:t>
      </w:r>
    </w:p>
    <w:p w14:paraId="16BD39E6" w14:textId="77777777" w:rsidR="00AC237C" w:rsidRDefault="00BF7E93">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462F9BA" w14:textId="77777777" w:rsidR="00AC237C" w:rsidRDefault="00BF7E93">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René Jonathan Sandoval Tinoco” (Sic) (Énfasis añadido)</w:t>
      </w:r>
    </w:p>
    <w:p w14:paraId="14135839" w14:textId="77777777" w:rsidR="00AC237C" w:rsidRDefault="00BF7E93">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14:paraId="452C3BBA" w14:textId="77777777" w:rsidR="00AC237C" w:rsidRDefault="00BF7E93">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“RESPUESTA SOLICITUD 00129-2023.pdf”: </w:t>
      </w:r>
      <w:r>
        <w:rPr>
          <w:rFonts w:ascii="Palatino Linotype" w:eastAsia="Palatino Linotype" w:hAnsi="Palatino Linotype" w:cs="Palatino Linotype"/>
        </w:rPr>
        <w:t>Documento de dos fojas en el que se aprecia el pronunciamiento del Titular de la Unidad de Transparencia, quien  remite la respuesta a la persona solicitante.</w:t>
      </w:r>
    </w:p>
    <w:p w14:paraId="4CFC312D" w14:textId="54CF70E8" w:rsidR="00AC237C" w:rsidRDefault="00F930DE">
      <w:pPr>
        <w:spacing w:before="240" w:after="240" w:line="360" w:lineRule="auto"/>
        <w:ind w:left="567" w:right="900"/>
        <w:jc w:val="center"/>
        <w:rPr>
          <w:rFonts w:ascii="Palatino Linotype" w:eastAsia="Palatino Linotype" w:hAnsi="Palatino Linotype" w:cs="Palatino Linotype"/>
        </w:rPr>
      </w:pPr>
      <w:r>
        <w:rPr>
          <w:noProof/>
          <w:lang w:val="es-MX"/>
        </w:rPr>
        <w:lastRenderedPageBreak/>
        <w:drawing>
          <wp:inline distT="0" distB="0" distL="0" distR="0" wp14:anchorId="352B50BE" wp14:editId="65F550F3">
            <wp:extent cx="4876800" cy="683354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44" t="18407" r="38562" b="13096"/>
                    <a:stretch/>
                  </pic:blipFill>
                  <pic:spPr bwMode="auto">
                    <a:xfrm>
                      <a:off x="0" y="0"/>
                      <a:ext cx="4892253" cy="6855194"/>
                    </a:xfrm>
                    <a:prstGeom prst="rect">
                      <a:avLst/>
                    </a:prstGeom>
                    <a:ln>
                      <a:noFill/>
                    </a:ln>
                    <a:extLst>
                      <a:ext uri="{53640926-AAD7-44D8-BBD7-CCE9431645EC}">
                        <a14:shadowObscured xmlns:a14="http://schemas.microsoft.com/office/drawing/2010/main"/>
                      </a:ext>
                    </a:extLst>
                  </pic:spPr>
                </pic:pic>
              </a:graphicData>
            </a:graphic>
          </wp:inline>
        </w:drawing>
      </w:r>
    </w:p>
    <w:p w14:paraId="01F766B0" w14:textId="2BA7D8EC" w:rsidR="00AC237C" w:rsidRDefault="00BF7E93">
      <w:pPr>
        <w:spacing w:before="240" w:after="240" w:line="360" w:lineRule="auto"/>
        <w:ind w:left="567" w:right="900"/>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“Anexo 001.pdf”: </w:t>
      </w:r>
      <w:r>
        <w:rPr>
          <w:rFonts w:ascii="Palatino Linotype" w:eastAsia="Palatino Linotype" w:hAnsi="Palatino Linotype" w:cs="Palatino Linotype"/>
        </w:rPr>
        <w:t xml:space="preserve">Documento de doce fojas en el que se aprecian recuadros de color negro </w:t>
      </w:r>
      <w:r w:rsidR="00D56C0F">
        <w:rPr>
          <w:rFonts w:ascii="Palatino Linotype" w:eastAsia="Palatino Linotype" w:hAnsi="Palatino Linotype" w:cs="Palatino Linotype"/>
        </w:rPr>
        <w:t>que</w:t>
      </w:r>
      <w:r>
        <w:rPr>
          <w:rFonts w:ascii="Palatino Linotype" w:eastAsia="Palatino Linotype" w:hAnsi="Palatino Linotype" w:cs="Palatino Linotype"/>
        </w:rPr>
        <w:t xml:space="preserve"> imposibilita</w:t>
      </w:r>
      <w:r w:rsidR="00D56C0F">
        <w:rPr>
          <w:rFonts w:ascii="Palatino Linotype" w:eastAsia="Palatino Linotype" w:hAnsi="Palatino Linotype" w:cs="Palatino Linotype"/>
        </w:rPr>
        <w:t>n</w:t>
      </w:r>
      <w:r>
        <w:rPr>
          <w:rFonts w:ascii="Palatino Linotype" w:eastAsia="Palatino Linotype" w:hAnsi="Palatino Linotype" w:cs="Palatino Linotype"/>
        </w:rPr>
        <w:t xml:space="preserve"> la lectura de algún tipo de información.</w:t>
      </w:r>
    </w:p>
    <w:p w14:paraId="0B2B3187" w14:textId="77777777" w:rsidR="00AC237C" w:rsidRDefault="00BF7E93">
      <w:pPr>
        <w:spacing w:before="240" w:after="240" w:line="360" w:lineRule="auto"/>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56D0AB2" wp14:editId="63402761">
            <wp:extent cx="3995868" cy="5297531"/>
            <wp:effectExtent l="0" t="0" r="0" b="0"/>
            <wp:docPr id="563968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95868" cy="5297531"/>
                    </a:xfrm>
                    <a:prstGeom prst="rect">
                      <a:avLst/>
                    </a:prstGeom>
                    <a:ln/>
                  </pic:spPr>
                </pic:pic>
              </a:graphicData>
            </a:graphic>
          </wp:inline>
        </w:drawing>
      </w:r>
    </w:p>
    <w:p w14:paraId="1317B561" w14:textId="77777777" w:rsidR="00AC237C" w:rsidRDefault="00BF7E9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diecisiete de mayo de dos mil </w:t>
      </w:r>
      <w:r>
        <w:rPr>
          <w:rFonts w:ascii="Palatino Linotype" w:eastAsia="Palatino Linotype" w:hAnsi="Palatino Linotype" w:cs="Palatino Linotype"/>
          <w:b/>
        </w:rPr>
        <w:lastRenderedPageBreak/>
        <w:t>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0F961097" w14:textId="77777777" w:rsidR="00AC237C" w:rsidRDefault="00BF7E93">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 Acto impugnado: </w:t>
      </w:r>
      <w:r>
        <w:rPr>
          <w:rFonts w:ascii="Palatino Linotype" w:eastAsia="Palatino Linotype" w:hAnsi="Palatino Linotype" w:cs="Palatino Linotype"/>
          <w:b/>
        </w:rPr>
        <w:tab/>
      </w:r>
    </w:p>
    <w:p w14:paraId="0B072A97" w14:textId="77777777" w:rsidR="00AC237C" w:rsidRDefault="00BF7E93">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 xml:space="preserve">el </w:t>
      </w:r>
      <w:proofErr w:type="spellStart"/>
      <w:r>
        <w:rPr>
          <w:rFonts w:ascii="Palatino Linotype" w:eastAsia="Palatino Linotype" w:hAnsi="Palatino Linotype" w:cs="Palatino Linotype"/>
          <w:b/>
          <w:i/>
          <w:sz w:val="22"/>
          <w:szCs w:val="22"/>
          <w:u w:val="single"/>
        </w:rPr>
        <w:t>Infoem</w:t>
      </w:r>
      <w:proofErr w:type="spellEnd"/>
      <w:r>
        <w:rPr>
          <w:rFonts w:ascii="Palatino Linotype" w:eastAsia="Palatino Linotype" w:hAnsi="Palatino Linotype" w:cs="Palatino Linotype"/>
          <w:b/>
          <w:i/>
          <w:sz w:val="22"/>
          <w:szCs w:val="22"/>
          <w:u w:val="single"/>
        </w:rPr>
        <w:t xml:space="preserve"> podrá revisar la respuesta y </w:t>
      </w:r>
      <w:r w:rsidRPr="00FE71E0">
        <w:rPr>
          <w:rFonts w:ascii="Palatino Linotype" w:eastAsia="Palatino Linotype" w:hAnsi="Palatino Linotype" w:cs="Palatino Linotype"/>
          <w:b/>
          <w:i/>
          <w:color w:val="000000" w:themeColor="text1"/>
          <w:sz w:val="22"/>
          <w:szCs w:val="22"/>
          <w:u w:val="single"/>
        </w:rPr>
        <w:t xml:space="preserve">dar vista a la contraloría </w:t>
      </w:r>
      <w:r>
        <w:rPr>
          <w:rFonts w:ascii="Palatino Linotype" w:eastAsia="Palatino Linotype" w:hAnsi="Palatino Linotype" w:cs="Palatino Linotype"/>
          <w:b/>
          <w:i/>
          <w:sz w:val="22"/>
          <w:szCs w:val="22"/>
          <w:u w:val="single"/>
        </w:rPr>
        <w:t>del estado y ordenar entregar todo lo solicitado con máxima publicidad</w:t>
      </w:r>
      <w:r>
        <w:rPr>
          <w:rFonts w:ascii="Palatino Linotype" w:eastAsia="Palatino Linotype" w:hAnsi="Palatino Linotype" w:cs="Palatino Linotype"/>
          <w:i/>
          <w:sz w:val="22"/>
          <w:szCs w:val="22"/>
        </w:rPr>
        <w:t xml:space="preserve"> punto por punto de todo el periodo solicitado” (Sic) (Énfasis añadido)</w:t>
      </w:r>
    </w:p>
    <w:p w14:paraId="2CF9A7C1" w14:textId="77777777" w:rsidR="00AC237C" w:rsidRDefault="00AC237C">
      <w:pPr>
        <w:ind w:left="851" w:right="902"/>
        <w:jc w:val="both"/>
        <w:rPr>
          <w:rFonts w:ascii="Palatino Linotype" w:eastAsia="Palatino Linotype" w:hAnsi="Palatino Linotype" w:cs="Palatino Linotype"/>
          <w:i/>
          <w:sz w:val="22"/>
          <w:szCs w:val="22"/>
        </w:rPr>
      </w:pPr>
    </w:p>
    <w:p w14:paraId="00A55E7D"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w:t>
      </w:r>
    </w:p>
    <w:p w14:paraId="63268231" w14:textId="77777777" w:rsidR="00AC237C" w:rsidRDefault="00BF7E93">
      <w:pPr>
        <w:ind w:left="567"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“opacidad por corrupción” (Sic) </w:t>
      </w:r>
    </w:p>
    <w:p w14:paraId="575D6A67" w14:textId="77777777" w:rsidR="00AC237C" w:rsidRDefault="00AC237C">
      <w:pPr>
        <w:ind w:left="851" w:right="902"/>
        <w:jc w:val="both"/>
        <w:rPr>
          <w:rFonts w:ascii="Palatino Linotype" w:eastAsia="Palatino Linotype" w:hAnsi="Palatino Linotype" w:cs="Palatino Linotype"/>
          <w:i/>
          <w:sz w:val="22"/>
          <w:szCs w:val="22"/>
        </w:rPr>
      </w:pPr>
    </w:p>
    <w:p w14:paraId="35C7E1E3" w14:textId="77777777" w:rsidR="00AC237C" w:rsidRDefault="00BF7E9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50318D97" w14:textId="77777777" w:rsidR="00AC237C" w:rsidRDefault="00AC237C">
      <w:pPr>
        <w:spacing w:line="360" w:lineRule="auto"/>
        <w:ind w:right="51"/>
        <w:jc w:val="both"/>
        <w:rPr>
          <w:rFonts w:ascii="Palatino Linotype" w:eastAsia="Palatino Linotype" w:hAnsi="Palatino Linotype" w:cs="Palatino Linotype"/>
        </w:rPr>
      </w:pPr>
    </w:p>
    <w:p w14:paraId="1811C8AD" w14:textId="77777777" w:rsidR="00AC237C" w:rsidRDefault="00BF7E9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Admisión del Recurso de Revisión.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veintidós de mayo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7D4C611F" w14:textId="5912312A" w:rsidR="00AC237C" w:rsidRDefault="00BF7E93">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lastRenderedPageBreak/>
        <w:t>7. Manifestaciones</w:t>
      </w:r>
      <w:r>
        <w:rPr>
          <w:rFonts w:ascii="Palatino Linotype" w:eastAsia="Palatino Linotype" w:hAnsi="Palatino Linotype" w:cs="Palatino Linotype"/>
        </w:rPr>
        <w:t xml:space="preserve">. Durante este plazo, se tiene constancia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remitir su informe justificado, mientras que por cuanto hace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advierte que el </w:t>
      </w:r>
      <w:r>
        <w:rPr>
          <w:rFonts w:ascii="Palatino Linotype" w:eastAsia="Palatino Linotype" w:hAnsi="Palatino Linotype" w:cs="Palatino Linotype"/>
          <w:b/>
        </w:rPr>
        <w:t>tres de junio de dos mil veintitrés</w:t>
      </w:r>
      <w:r>
        <w:rPr>
          <w:rFonts w:ascii="Palatino Linotype" w:eastAsia="Palatino Linotype" w:hAnsi="Palatino Linotype" w:cs="Palatino Linotype"/>
        </w:rPr>
        <w:t xml:space="preserve">, adjuntó el soporte documental </w:t>
      </w:r>
      <w:r w:rsidR="00FE71E0">
        <w:rPr>
          <w:rFonts w:ascii="Palatino Linotype" w:eastAsia="Palatino Linotype" w:hAnsi="Palatino Linotype" w:cs="Palatino Linotype"/>
          <w:b/>
          <w:i/>
        </w:rPr>
        <w:t>“Tex</w:t>
      </w:r>
      <w:r>
        <w:rPr>
          <w:rFonts w:ascii="Palatino Linotype" w:eastAsia="Palatino Linotype" w:hAnsi="Palatino Linotype" w:cs="Palatino Linotype"/>
          <w:b/>
          <w:i/>
        </w:rPr>
        <w:t xml:space="preserve">.pdf”, </w:t>
      </w:r>
      <w:r>
        <w:rPr>
          <w:rFonts w:ascii="Palatino Linotype" w:eastAsia="Palatino Linotype" w:hAnsi="Palatino Linotype" w:cs="Palatino Linotype"/>
        </w:rPr>
        <w:t xml:space="preserve">mismo que se compone de cuatro fojas y </w:t>
      </w:r>
      <w:r w:rsidR="00D56C0F">
        <w:rPr>
          <w:rFonts w:ascii="Palatino Linotype" w:eastAsia="Palatino Linotype" w:hAnsi="Palatino Linotype" w:cs="Palatino Linotype"/>
        </w:rPr>
        <w:t xml:space="preserve">que da indicios relacionados con </w:t>
      </w:r>
      <w:r>
        <w:rPr>
          <w:rFonts w:ascii="Palatino Linotype" w:eastAsia="Palatino Linotype" w:hAnsi="Palatino Linotype" w:cs="Palatino Linotype"/>
        </w:rPr>
        <w:t>diversas entregas de patrullas.</w:t>
      </w:r>
    </w:p>
    <w:p w14:paraId="7636DF04" w14:textId="77777777" w:rsidR="00AC237C" w:rsidRDefault="00BF7E9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F33907A" wp14:editId="683A62CC">
            <wp:extent cx="5612130" cy="3681730"/>
            <wp:effectExtent l="0" t="0" r="0" b="0"/>
            <wp:docPr id="5639681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2130" cy="3681730"/>
                    </a:xfrm>
                    <a:prstGeom prst="rect">
                      <a:avLst/>
                    </a:prstGeom>
                    <a:ln/>
                  </pic:spPr>
                </pic:pic>
              </a:graphicData>
            </a:graphic>
          </wp:inline>
        </w:drawing>
      </w:r>
    </w:p>
    <w:p w14:paraId="321686ED" w14:textId="77777777" w:rsidR="00AC237C" w:rsidRDefault="00BF7E9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2ED1B15" wp14:editId="7D34A87A">
            <wp:extent cx="5612130" cy="1779905"/>
            <wp:effectExtent l="0" t="0" r="0" b="0"/>
            <wp:docPr id="5639681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1779905"/>
                    </a:xfrm>
                    <a:prstGeom prst="rect">
                      <a:avLst/>
                    </a:prstGeom>
                    <a:ln/>
                  </pic:spPr>
                </pic:pic>
              </a:graphicData>
            </a:graphic>
          </wp:inline>
        </w:drawing>
      </w:r>
    </w:p>
    <w:p w14:paraId="25431049" w14:textId="77777777" w:rsidR="00AC237C" w:rsidRDefault="00BF7E93">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rPr>
        <w:t>Ampliación del término para resolver</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treinta de agosto </w:t>
      </w:r>
      <w:r>
        <w:rPr>
          <w:rFonts w:ascii="Palatino Linotype" w:eastAsia="Palatino Linotype" w:hAnsi="Palatino Linotype" w:cs="Palatino Linotype"/>
          <w:b/>
        </w:rPr>
        <w:t>del año dos mil veintitrés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8D4805C"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2B4D19F9" w14:textId="77777777" w:rsidR="00AC237C" w:rsidRDefault="00AC237C">
      <w:pPr>
        <w:spacing w:line="360" w:lineRule="auto"/>
        <w:jc w:val="both"/>
        <w:rPr>
          <w:rFonts w:ascii="Palatino Linotype" w:eastAsia="Palatino Linotype" w:hAnsi="Palatino Linotype" w:cs="Palatino Linotype"/>
        </w:rPr>
      </w:pPr>
    </w:p>
    <w:p w14:paraId="47EA230C"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C4F6909" w14:textId="77777777" w:rsidR="00AC237C" w:rsidRDefault="00AC237C">
      <w:pPr>
        <w:spacing w:line="360" w:lineRule="auto"/>
        <w:jc w:val="both"/>
        <w:rPr>
          <w:rFonts w:ascii="Palatino Linotype" w:eastAsia="Palatino Linotype" w:hAnsi="Palatino Linotype" w:cs="Palatino Linotype"/>
        </w:rPr>
      </w:pPr>
    </w:p>
    <w:p w14:paraId="0D7D6AC5"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75BBA5" w14:textId="77777777" w:rsidR="00AC237C" w:rsidRDefault="00AC237C">
      <w:pPr>
        <w:spacing w:line="360" w:lineRule="auto"/>
        <w:jc w:val="both"/>
        <w:rPr>
          <w:rFonts w:ascii="Palatino Linotype" w:eastAsia="Palatino Linotype" w:hAnsi="Palatino Linotype" w:cs="Palatino Linotype"/>
        </w:rPr>
      </w:pPr>
    </w:p>
    <w:p w14:paraId="02AC65A3"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AC3D6A3" w14:textId="77777777" w:rsidR="00AC237C" w:rsidRDefault="00AC237C">
      <w:pPr>
        <w:spacing w:line="360" w:lineRule="auto"/>
        <w:jc w:val="both"/>
        <w:rPr>
          <w:rFonts w:ascii="Palatino Linotype" w:eastAsia="Palatino Linotype" w:hAnsi="Palatino Linotype" w:cs="Palatino Linotype"/>
        </w:rPr>
      </w:pPr>
    </w:p>
    <w:p w14:paraId="360DFC71" w14:textId="77777777" w:rsidR="00AC237C" w:rsidRDefault="00BF7E93">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19A41A2" w14:textId="77777777" w:rsidR="00AC237C" w:rsidRDefault="00AC237C">
      <w:pPr>
        <w:spacing w:line="360" w:lineRule="auto"/>
        <w:jc w:val="both"/>
        <w:rPr>
          <w:rFonts w:ascii="Palatino Linotype" w:eastAsia="Palatino Linotype" w:hAnsi="Palatino Linotype" w:cs="Palatino Linotype"/>
        </w:rPr>
      </w:pPr>
    </w:p>
    <w:p w14:paraId="25D4C1BD" w14:textId="77777777" w:rsidR="00AC237C" w:rsidRDefault="00BF7E93">
      <w:pPr>
        <w:numPr>
          <w:ilvl w:val="0"/>
          <w:numId w:val="2"/>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E1939FD" w14:textId="77777777" w:rsidR="00AC237C" w:rsidRDefault="00AC237C">
      <w:pPr>
        <w:spacing w:line="360" w:lineRule="auto"/>
        <w:ind w:left="567" w:right="900" w:hanging="141"/>
        <w:jc w:val="both"/>
        <w:rPr>
          <w:rFonts w:ascii="Palatino Linotype" w:eastAsia="Palatino Linotype" w:hAnsi="Palatino Linotype" w:cs="Palatino Linotype"/>
          <w:b/>
        </w:rPr>
      </w:pPr>
    </w:p>
    <w:p w14:paraId="58D27FF1" w14:textId="77777777" w:rsidR="00AC237C" w:rsidRDefault="00BF7E93">
      <w:pPr>
        <w:numPr>
          <w:ilvl w:val="0"/>
          <w:numId w:val="2"/>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xml:space="preserve"> Acciones u omisiones del interesado.</w:t>
      </w:r>
    </w:p>
    <w:p w14:paraId="1E832315" w14:textId="77777777" w:rsidR="00AC237C" w:rsidRDefault="00AC237C">
      <w:pPr>
        <w:spacing w:line="360" w:lineRule="auto"/>
        <w:ind w:left="567" w:right="900" w:hanging="141"/>
        <w:jc w:val="both"/>
        <w:rPr>
          <w:rFonts w:ascii="Palatino Linotype" w:eastAsia="Palatino Linotype" w:hAnsi="Palatino Linotype" w:cs="Palatino Linotype"/>
        </w:rPr>
      </w:pPr>
    </w:p>
    <w:p w14:paraId="27E5B100" w14:textId="77777777" w:rsidR="00AC237C" w:rsidRDefault="00BF7E93">
      <w:pPr>
        <w:numPr>
          <w:ilvl w:val="0"/>
          <w:numId w:val="2"/>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31C414B5" w14:textId="77777777" w:rsidR="00AC237C" w:rsidRDefault="00AC237C">
      <w:pPr>
        <w:spacing w:line="360" w:lineRule="auto"/>
        <w:ind w:left="567" w:right="900" w:hanging="141"/>
        <w:rPr>
          <w:rFonts w:ascii="Palatino Linotype" w:eastAsia="Palatino Linotype" w:hAnsi="Palatino Linotype" w:cs="Palatino Linotype"/>
        </w:rPr>
      </w:pPr>
    </w:p>
    <w:p w14:paraId="4A5B3713" w14:textId="77777777" w:rsidR="00AC237C" w:rsidRDefault="00BF7E93">
      <w:p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Violación a sus derechos humanos.</w:t>
      </w:r>
    </w:p>
    <w:p w14:paraId="285CAD25" w14:textId="77777777" w:rsidR="00AC237C" w:rsidRDefault="00AC237C">
      <w:pPr>
        <w:spacing w:line="360" w:lineRule="auto"/>
        <w:jc w:val="both"/>
        <w:rPr>
          <w:rFonts w:ascii="Palatino Linotype" w:eastAsia="Palatino Linotype" w:hAnsi="Palatino Linotype" w:cs="Palatino Linotype"/>
        </w:rPr>
      </w:pPr>
    </w:p>
    <w:p w14:paraId="066B24BC"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6CEDED" w14:textId="77777777" w:rsidR="00AC237C" w:rsidRDefault="00AC237C">
      <w:pPr>
        <w:spacing w:line="360" w:lineRule="auto"/>
        <w:jc w:val="both"/>
        <w:rPr>
          <w:rFonts w:ascii="Palatino Linotype" w:eastAsia="Palatino Linotype" w:hAnsi="Palatino Linotype" w:cs="Palatino Linotype"/>
        </w:rPr>
      </w:pPr>
    </w:p>
    <w:p w14:paraId="08F08EB1" w14:textId="77777777" w:rsidR="00AC237C" w:rsidRDefault="00BF7E9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0F9EDDDE" w14:textId="77777777" w:rsidR="00AC237C" w:rsidRDefault="00AC237C">
      <w:pPr>
        <w:spacing w:line="360" w:lineRule="auto"/>
        <w:jc w:val="both"/>
        <w:rPr>
          <w:rFonts w:ascii="Palatino Linotype" w:eastAsia="Palatino Linotype" w:hAnsi="Palatino Linotype" w:cs="Palatino Linotype"/>
        </w:rPr>
      </w:pPr>
    </w:p>
    <w:p w14:paraId="5CB23EA6"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Pr>
          <w:rFonts w:ascii="Palatino Linotype" w:eastAsia="Palatino Linotype" w:hAnsi="Palatino Linotype" w:cs="Palatino Linotype"/>
        </w:rPr>
        <w:lastRenderedPageBreak/>
        <w:t>los términos legales previamente establecidos por la Ley, por tratarse de causas de fuerza mayor.</w:t>
      </w:r>
    </w:p>
    <w:p w14:paraId="3D1A5E91" w14:textId="77777777" w:rsidR="00AC237C" w:rsidRDefault="00AC237C">
      <w:pPr>
        <w:spacing w:line="360" w:lineRule="auto"/>
        <w:jc w:val="both"/>
        <w:rPr>
          <w:rFonts w:ascii="Palatino Linotype" w:eastAsia="Palatino Linotype" w:hAnsi="Palatino Linotype" w:cs="Palatino Linotype"/>
        </w:rPr>
      </w:pPr>
    </w:p>
    <w:p w14:paraId="37AAA89C"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9132A89" w14:textId="77777777" w:rsidR="00AC237C" w:rsidRDefault="00AC237C">
      <w:pPr>
        <w:spacing w:line="360" w:lineRule="auto"/>
        <w:jc w:val="both"/>
        <w:rPr>
          <w:rFonts w:ascii="Palatino Linotype" w:eastAsia="Palatino Linotype" w:hAnsi="Palatino Linotype" w:cs="Palatino Linotype"/>
        </w:rPr>
      </w:pPr>
    </w:p>
    <w:p w14:paraId="5F5396A5"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24C71FB8" w14:textId="77777777" w:rsidR="00AC237C" w:rsidRDefault="00AC237C">
      <w:pPr>
        <w:spacing w:line="360" w:lineRule="auto"/>
        <w:jc w:val="both"/>
        <w:rPr>
          <w:rFonts w:ascii="Palatino Linotype" w:eastAsia="Palatino Linotype" w:hAnsi="Palatino Linotype" w:cs="Palatino Linotype"/>
          <w:b/>
        </w:rPr>
      </w:pPr>
    </w:p>
    <w:p w14:paraId="06189F47"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9A31A91" w14:textId="77777777" w:rsidR="00AC237C" w:rsidRDefault="00AC237C">
      <w:pPr>
        <w:spacing w:line="360" w:lineRule="auto"/>
        <w:jc w:val="both"/>
        <w:rPr>
          <w:rFonts w:ascii="Palatino Linotype" w:eastAsia="Palatino Linotype" w:hAnsi="Palatino Linotype" w:cs="Palatino Linotype"/>
        </w:rPr>
      </w:pPr>
    </w:p>
    <w:p w14:paraId="013F1A3A"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CDDC5C2" w14:textId="77777777" w:rsidR="00AC237C" w:rsidRDefault="00AC237C">
      <w:pPr>
        <w:spacing w:after="240" w:line="360" w:lineRule="auto"/>
        <w:jc w:val="both"/>
        <w:rPr>
          <w:rFonts w:ascii="Palatino Linotype" w:eastAsia="Palatino Linotype" w:hAnsi="Palatino Linotype" w:cs="Palatino Linotype"/>
          <w:b/>
        </w:rPr>
      </w:pPr>
    </w:p>
    <w:p w14:paraId="12F8A781" w14:textId="77777777" w:rsidR="00AC237C" w:rsidRDefault="00BF7E93">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dieciocho de septiembre de dos mil veintitrés</w:t>
      </w:r>
      <w:r>
        <w:rPr>
          <w:rFonts w:ascii="Palatino Linotype" w:eastAsia="Palatino Linotype" w:hAnsi="Palatino Linotype" w:cs="Palatino Linotype"/>
        </w:rPr>
        <w:t xml:space="preserve">, la Comisionada Ponente determinó el cierre de instrucción en términos de la fracción VI del artículo 185 de </w:t>
      </w:r>
      <w:r>
        <w:rPr>
          <w:rFonts w:ascii="Palatino Linotype" w:eastAsia="Palatino Linotype" w:hAnsi="Palatino Linotype" w:cs="Palatino Linotype"/>
        </w:rPr>
        <w:lastRenderedPageBreak/>
        <w:t>la Ley de Transparencia y Acceso a la Información Pública del Estado de México y Municipios.</w:t>
      </w:r>
    </w:p>
    <w:p w14:paraId="683EC0D3"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A784B00" w14:textId="77777777" w:rsidR="00AC237C" w:rsidRDefault="00BF7E93">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03E20B81" w14:textId="77777777" w:rsidR="00AC237C" w:rsidRDefault="00AC237C">
      <w:pPr>
        <w:widowControl w:val="0"/>
        <w:spacing w:line="360" w:lineRule="auto"/>
        <w:jc w:val="center"/>
        <w:rPr>
          <w:rFonts w:ascii="Palatino Linotype" w:eastAsia="Palatino Linotype" w:hAnsi="Palatino Linotype" w:cs="Palatino Linotype"/>
          <w:b/>
        </w:rPr>
      </w:pPr>
    </w:p>
    <w:p w14:paraId="11E018CD"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D242825" w14:textId="77777777" w:rsidR="00AC237C" w:rsidRDefault="00BF7E93">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4F24EBB5" w14:textId="77777777" w:rsidR="00AC237C" w:rsidRDefault="00BF7E9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recurso de revisión fue interpuesto dentro del plazo de quince días hábiles, previsto en el artículo 178 de la Ley de Transparencia, toda vez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respondió a la solicitud de información el </w:t>
      </w:r>
      <w:r>
        <w:rPr>
          <w:rFonts w:ascii="Palatino Linotype" w:eastAsia="Palatino Linotype" w:hAnsi="Palatino Linotype" w:cs="Palatino Linotype"/>
          <w:b/>
          <w:color w:val="000000"/>
        </w:rPr>
        <w:t xml:space="preserve">dieciséis de mayo de dos mil veintitrés, </w:t>
      </w:r>
      <w:r>
        <w:rPr>
          <w:rFonts w:ascii="Palatino Linotype" w:eastAsia="Palatino Linotype" w:hAnsi="Palatino Linotype" w:cs="Palatino Linotype"/>
          <w:color w:val="000000"/>
        </w:rPr>
        <w:t xml:space="preserve">mientras que el recurso de revisión se interpuso el </w:t>
      </w:r>
      <w:r>
        <w:rPr>
          <w:rFonts w:ascii="Palatino Linotype" w:eastAsia="Palatino Linotype" w:hAnsi="Palatino Linotype" w:cs="Palatino Linotype"/>
          <w:b/>
          <w:color w:val="000000"/>
        </w:rPr>
        <w:t>diecisiete de mayo de dos mil veintitrés</w:t>
      </w:r>
      <w:r>
        <w:rPr>
          <w:rFonts w:ascii="Palatino Linotype" w:eastAsia="Palatino Linotype" w:hAnsi="Palatino Linotype" w:cs="Palatino Linotype"/>
          <w:color w:val="000000"/>
        </w:rPr>
        <w:t xml:space="preserve">, esto es, el </w:t>
      </w:r>
      <w:r>
        <w:rPr>
          <w:rFonts w:ascii="Palatino Linotype" w:eastAsia="Palatino Linotype" w:hAnsi="Palatino Linotype" w:cs="Palatino Linotype"/>
          <w:b/>
          <w:color w:val="000000"/>
        </w:rPr>
        <w:t xml:space="preserve">primer día hábil </w:t>
      </w:r>
      <w:r>
        <w:rPr>
          <w:rFonts w:ascii="Palatino Linotype" w:eastAsia="Palatino Linotype" w:hAnsi="Palatino Linotype" w:cs="Palatino Linotype"/>
          <w:color w:val="000000"/>
        </w:rPr>
        <w:t>posterior en que tuvo conocimiento de la respuesta impugnada.</w:t>
      </w:r>
    </w:p>
    <w:p w14:paraId="5673578B" w14:textId="77777777" w:rsidR="00AC237C" w:rsidRDefault="00BF7E9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al considerar la fecha en que se formuló la solicitud y la fecha en que respondió a 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21F252B4"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85B89BF" w14:textId="77777777" w:rsidR="00AC237C" w:rsidRDefault="00BF7E9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Pr>
          <w:rFonts w:ascii="Palatino Linotype" w:eastAsia="Palatino Linotype" w:hAnsi="Palatino Linotype" w:cs="Palatino Linotype"/>
        </w:rPr>
        <w:t xml:space="preserve">fracción I de </w:t>
      </w:r>
      <w:r>
        <w:rPr>
          <w:rFonts w:ascii="Palatino Linotype" w:eastAsia="Palatino Linotype" w:hAnsi="Palatino Linotype" w:cs="Palatino Linotype"/>
          <w:color w:val="000000"/>
        </w:rPr>
        <w:t>la Ley de Transparencia y Acceso a la Información Pública del Estado de México y Municipios; que a la letra dice:</w:t>
      </w:r>
    </w:p>
    <w:p w14:paraId="1AC053BC" w14:textId="77777777" w:rsidR="00AC237C" w:rsidRDefault="00BF7E9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5F5903A0" w14:textId="77777777" w:rsidR="00AC237C" w:rsidRDefault="00BF7E9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I. La negativa a la información solicitada</w:t>
      </w:r>
      <w:r>
        <w:rPr>
          <w:rFonts w:ascii="Palatino Linotype" w:eastAsia="Palatino Linotype" w:hAnsi="Palatino Linotype" w:cs="Palatino Linotype"/>
          <w:i/>
          <w:color w:val="000000"/>
          <w:sz w:val="22"/>
          <w:szCs w:val="22"/>
        </w:rPr>
        <w:t>;” (Énfasis añadido)</w:t>
      </w:r>
    </w:p>
    <w:p w14:paraId="74ECF108"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e informe justificado otorgados por el Sujeto Obligado son adecuados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 en su defecto, en caso de ser procedente, ordenar la entrega de información oportuna.</w:t>
      </w:r>
    </w:p>
    <w:p w14:paraId="40E7ACED" w14:textId="77777777" w:rsidR="00AC237C" w:rsidRDefault="00BF7E9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2E1E507" w14:textId="77777777" w:rsidR="00AC237C" w:rsidRDefault="00BF7E93">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7F1C0AB7" w14:textId="77777777" w:rsidR="00AC237C" w:rsidRDefault="00BF7E93">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1D41220" w14:textId="77777777" w:rsidR="00AC237C" w:rsidRDefault="00BF7E93">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6FC85B5F" w14:textId="77777777" w:rsidR="00AC237C" w:rsidRDefault="00BF7E93">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14:paraId="74662E30" w14:textId="77777777" w:rsidR="00AC237C" w:rsidRDefault="00BF7E93">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14:paraId="0F06F02F" w14:textId="77777777" w:rsidR="00AC237C" w:rsidRDefault="00BF7E93">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14:paraId="18390196" w14:textId="77777777" w:rsidR="00AC237C" w:rsidRDefault="00BF7E9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5DFE880B" w14:textId="77777777" w:rsidR="00AC237C" w:rsidRDefault="00BF7E9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8B602D0" w14:textId="77777777" w:rsidR="00AC237C" w:rsidRDefault="00BF7E9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49969FDB" w14:textId="77777777" w:rsidR="00AC237C" w:rsidRDefault="00BF7E9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14:paraId="327F7A8A" w14:textId="77777777" w:rsidR="00AC237C" w:rsidRDefault="00BF7E9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5F8CBBC6" w14:textId="77777777" w:rsidR="00AC237C" w:rsidRDefault="00BF7E9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w:t>
      </w:r>
      <w:r>
        <w:rPr>
          <w:rFonts w:ascii="Palatino Linotype" w:eastAsia="Palatino Linotype" w:hAnsi="Palatino Linotype" w:cs="Palatino Linotype"/>
          <w:i/>
          <w:color w:val="000000"/>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350C8B40" w14:textId="77777777" w:rsidR="00AC237C" w:rsidRDefault="00BF7E9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3D46D471" w14:textId="77777777" w:rsidR="00AC237C" w:rsidRDefault="00BF7E93">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6150C3BF" w14:textId="77777777" w:rsidR="00AC237C" w:rsidRDefault="00BF7E9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2726846" w14:textId="77777777" w:rsidR="00AC237C" w:rsidRDefault="00BF7E93">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A17493B" w14:textId="77777777" w:rsidR="00AC237C" w:rsidRDefault="00BF7E93">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Pr>
          <w:rFonts w:ascii="Palatino Linotype" w:eastAsia="Palatino Linotype" w:hAnsi="Palatino Linotype" w:cs="Palatino Linotype"/>
          <w:b/>
          <w:i/>
          <w:color w:val="000000"/>
          <w:sz w:val="22"/>
          <w:szCs w:val="22"/>
        </w:rPr>
        <w:lastRenderedPageBreak/>
        <w:t>público, en los términos de las causas legítimas y estrictamente necesarias previstas por esta Ley.</w:t>
      </w:r>
    </w:p>
    <w:p w14:paraId="5A612364" w14:textId="77777777" w:rsidR="00AC237C" w:rsidRDefault="00BF7E93">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14:paraId="5B978DB1" w14:textId="77777777" w:rsidR="00AC237C" w:rsidRDefault="00BF7E9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0239B63" w14:textId="77777777" w:rsidR="00AC237C" w:rsidRDefault="00BF7E93">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510D07DF" w14:textId="77777777" w:rsidR="00AC237C" w:rsidRDefault="00BF7E93">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BF3C6DB" w14:textId="77777777" w:rsidR="00AC237C" w:rsidRDefault="00BF7E9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5220BF63" w14:textId="77777777" w:rsidR="00AC237C" w:rsidRDefault="00BF7E9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14:paraId="4D5B0E4F" w14:textId="77777777" w:rsidR="00AC237C" w:rsidRDefault="00BF7E9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lastRenderedPageBreak/>
        <w:t>“NO EXISTE OBLIGACIÓN DE ELABORAR DOCUMENTOS AD HOC PARA ATENDER LAS SOLICITUDES DE ACCESO A LA INFORMACIÓN.</w:t>
      </w:r>
    </w:p>
    <w:p w14:paraId="3940C245" w14:textId="77777777" w:rsidR="00AC237C" w:rsidRDefault="00BF7E9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469952E" w14:textId="77777777" w:rsidR="00AC237C" w:rsidRDefault="00BF7E9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18CBD75" w14:textId="77777777" w:rsidR="00AC237C" w:rsidRDefault="00BF7E93">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F4D10BC" w14:textId="77777777" w:rsidR="00AC237C" w:rsidRDefault="00BF7E9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color w:val="000000"/>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A87F753" w14:textId="77777777" w:rsidR="00AC237C" w:rsidRDefault="00BF7E9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14:paraId="4D28353F" w14:textId="77777777" w:rsidR="00AC237C" w:rsidRDefault="00BF7E9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14:paraId="1A8F82BD" w14:textId="77777777" w:rsidR="00AC237C" w:rsidRDefault="00BF7E9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0E973FC4" w14:textId="77777777" w:rsidR="00AC237C" w:rsidRDefault="00BF7E9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B75F108" w14:textId="77777777" w:rsidR="00AC237C" w:rsidRDefault="00BF7E9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14:paraId="56ACADE6" w14:textId="77777777" w:rsidR="00AC237C" w:rsidRDefault="00BF7E9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w:t>
      </w:r>
      <w:r>
        <w:rPr>
          <w:rFonts w:ascii="Palatino Linotype" w:eastAsia="Palatino Linotype" w:hAnsi="Palatino Linotype" w:cs="Palatino Linotype"/>
          <w:i/>
          <w:color w:val="000000"/>
          <w:sz w:val="22"/>
          <w:szCs w:val="22"/>
        </w:rPr>
        <w:lastRenderedPageBreak/>
        <w:t>públicos, administrados, generados o en posesión de los órganos u organismos públicos, en virtud del ejercicio de sus funciones de derecho público, sin importar su fuente, soporte o fecha de elaboración.</w:t>
      </w:r>
    </w:p>
    <w:p w14:paraId="39984345" w14:textId="77777777" w:rsidR="00AC237C" w:rsidRDefault="00BF7E93">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21598B6E" w14:textId="77777777" w:rsidR="00AC237C" w:rsidRDefault="00BF7E9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0346BAE1" w14:textId="77777777" w:rsidR="00AC237C" w:rsidRDefault="00BF7E9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B7BFAE4" w14:textId="77777777" w:rsidR="00AC237C" w:rsidRDefault="00BF7E93">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(Énfasis añadido)</w:t>
      </w:r>
    </w:p>
    <w:p w14:paraId="6E54DCA9"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8A23C73"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14:paraId="12F5E7C3" w14:textId="54F52A7A" w:rsidR="00AC237C" w:rsidRDefault="00BF7E93">
      <w:p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De las patrullas </w:t>
      </w:r>
      <w:r w:rsidR="007436A1">
        <w:rPr>
          <w:rFonts w:ascii="Palatino Linotype" w:eastAsia="Palatino Linotype" w:hAnsi="Palatino Linotype" w:cs="Palatino Linotype"/>
          <w:b/>
          <w:color w:val="000000"/>
        </w:rPr>
        <w:t xml:space="preserve">municipales </w:t>
      </w:r>
      <w:r w:rsidR="007436A1" w:rsidRPr="007436A1">
        <w:rPr>
          <w:rFonts w:ascii="Palatino Linotype" w:eastAsia="Palatino Linotype" w:hAnsi="Palatino Linotype" w:cs="Palatino Linotype"/>
          <w:b/>
          <w:color w:val="000000"/>
        </w:rPr>
        <w:t>del uno de enero de dos mil dieciocho al trece de abril de dos mil veintitrés:</w:t>
      </w:r>
    </w:p>
    <w:p w14:paraId="7EC8F176" w14:textId="77777777" w:rsidR="00AC237C" w:rsidRDefault="00BF7E93" w:rsidP="007436A1">
      <w:pPr>
        <w:numPr>
          <w:ilvl w:val="0"/>
          <w:numId w:val="4"/>
        </w:numPr>
        <w:pBdr>
          <w:top w:val="nil"/>
          <w:left w:val="nil"/>
          <w:bottom w:val="nil"/>
          <w:right w:val="nil"/>
          <w:between w:val="nil"/>
        </w:pBdr>
        <w:tabs>
          <w:tab w:val="left" w:pos="851"/>
        </w:tabs>
        <w:spacing w:before="240" w:line="360" w:lineRule="auto"/>
        <w:ind w:left="426"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Copia del contrato</w:t>
      </w:r>
    </w:p>
    <w:p w14:paraId="7DE442F6" w14:textId="77777777" w:rsidR="00AC237C" w:rsidRDefault="00BF7E93" w:rsidP="007436A1">
      <w:pPr>
        <w:numPr>
          <w:ilvl w:val="0"/>
          <w:numId w:val="4"/>
        </w:numPr>
        <w:pBdr>
          <w:top w:val="nil"/>
          <w:left w:val="nil"/>
          <w:bottom w:val="nil"/>
          <w:right w:val="nil"/>
          <w:between w:val="nil"/>
        </w:pBdr>
        <w:tabs>
          <w:tab w:val="left" w:pos="851"/>
        </w:tabs>
        <w:spacing w:line="360" w:lineRule="auto"/>
        <w:ind w:left="426"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Estudios de mercado</w:t>
      </w:r>
    </w:p>
    <w:p w14:paraId="38E9C463" w14:textId="04DDC55A" w:rsidR="00AC237C" w:rsidRDefault="00BF7E93" w:rsidP="007436A1">
      <w:pPr>
        <w:numPr>
          <w:ilvl w:val="0"/>
          <w:numId w:val="4"/>
        </w:numPr>
        <w:pBdr>
          <w:top w:val="nil"/>
          <w:left w:val="nil"/>
          <w:bottom w:val="nil"/>
          <w:right w:val="nil"/>
          <w:between w:val="nil"/>
        </w:pBdr>
        <w:tabs>
          <w:tab w:val="left" w:pos="851"/>
        </w:tabs>
        <w:spacing w:line="276" w:lineRule="auto"/>
        <w:ind w:left="426"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Acta de </w:t>
      </w:r>
      <w:r w:rsidR="007436A1">
        <w:rPr>
          <w:rFonts w:ascii="Palatino Linotype" w:eastAsia="Palatino Linotype" w:hAnsi="Palatino Linotype" w:cs="Palatino Linotype"/>
          <w:color w:val="000000"/>
        </w:rPr>
        <w:t>C</w:t>
      </w:r>
      <w:r>
        <w:rPr>
          <w:rFonts w:ascii="Palatino Linotype" w:eastAsia="Palatino Linotype" w:hAnsi="Palatino Linotype" w:cs="Palatino Linotype"/>
          <w:color w:val="000000"/>
        </w:rPr>
        <w:t xml:space="preserve">abildo para su compra o </w:t>
      </w:r>
      <w:r w:rsidR="007436A1">
        <w:rPr>
          <w:rFonts w:ascii="Palatino Linotype" w:eastAsia="Palatino Linotype" w:hAnsi="Palatino Linotype" w:cs="Palatino Linotype"/>
          <w:color w:val="000000"/>
        </w:rPr>
        <w:t>del</w:t>
      </w:r>
      <w:r>
        <w:rPr>
          <w:rFonts w:ascii="Palatino Linotype" w:eastAsia="Palatino Linotype" w:hAnsi="Palatino Linotype" w:cs="Palatino Linotype"/>
          <w:color w:val="000000"/>
        </w:rPr>
        <w:t xml:space="preserve"> </w:t>
      </w:r>
      <w:r w:rsidR="007436A1">
        <w:rPr>
          <w:rFonts w:ascii="Palatino Linotype" w:eastAsia="Palatino Linotype" w:hAnsi="Palatino Linotype" w:cs="Palatino Linotype"/>
          <w:color w:val="000000"/>
        </w:rPr>
        <w:t>Sub</w:t>
      </w:r>
      <w:r>
        <w:rPr>
          <w:rFonts w:ascii="Palatino Linotype" w:eastAsia="Palatino Linotype" w:hAnsi="Palatino Linotype" w:cs="Palatino Linotype"/>
          <w:color w:val="000000"/>
        </w:rPr>
        <w:t xml:space="preserve">comité de adquisiciones arrendamiento y prestación de servicios </w:t>
      </w:r>
    </w:p>
    <w:p w14:paraId="24CDE37A" w14:textId="77777777" w:rsidR="007436A1" w:rsidRDefault="007436A1" w:rsidP="007436A1">
      <w:pPr>
        <w:numPr>
          <w:ilvl w:val="0"/>
          <w:numId w:val="4"/>
        </w:numPr>
        <w:pBdr>
          <w:top w:val="nil"/>
          <w:left w:val="nil"/>
          <w:bottom w:val="nil"/>
          <w:right w:val="nil"/>
          <w:between w:val="nil"/>
        </w:pBdr>
        <w:tabs>
          <w:tab w:val="left" w:pos="851"/>
        </w:tabs>
        <w:spacing w:line="360" w:lineRule="auto"/>
        <w:ind w:left="426" w:right="49" w:firstLine="0"/>
        <w:jc w:val="both"/>
        <w:rPr>
          <w:rFonts w:ascii="Palatino Linotype" w:eastAsia="Palatino Linotype" w:hAnsi="Palatino Linotype" w:cs="Palatino Linotype"/>
          <w:color w:val="000000"/>
        </w:rPr>
      </w:pPr>
      <w:r w:rsidRPr="007436A1">
        <w:rPr>
          <w:rFonts w:ascii="Palatino Linotype" w:eastAsia="Palatino Linotype" w:hAnsi="Palatino Linotype" w:cs="Palatino Linotype"/>
          <w:color w:val="000000"/>
        </w:rPr>
        <w:t>Revisión de anexos por el Órgano Interno de Control</w:t>
      </w:r>
    </w:p>
    <w:p w14:paraId="131C945F" w14:textId="099C8B73" w:rsidR="00AC237C" w:rsidRDefault="00BF7E93" w:rsidP="007436A1">
      <w:pPr>
        <w:numPr>
          <w:ilvl w:val="0"/>
          <w:numId w:val="4"/>
        </w:numPr>
        <w:pBdr>
          <w:top w:val="nil"/>
          <w:left w:val="nil"/>
          <w:bottom w:val="nil"/>
          <w:right w:val="nil"/>
          <w:between w:val="nil"/>
        </w:pBdr>
        <w:tabs>
          <w:tab w:val="left" w:pos="851"/>
        </w:tabs>
        <w:spacing w:line="360" w:lineRule="auto"/>
        <w:ind w:left="426"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anexos</w:t>
      </w:r>
    </w:p>
    <w:p w14:paraId="4A74B795" w14:textId="77777777" w:rsidR="00AC237C" w:rsidRDefault="00BF7E93" w:rsidP="007436A1">
      <w:pPr>
        <w:numPr>
          <w:ilvl w:val="0"/>
          <w:numId w:val="4"/>
        </w:numPr>
        <w:pBdr>
          <w:top w:val="nil"/>
          <w:left w:val="nil"/>
          <w:bottom w:val="nil"/>
          <w:right w:val="nil"/>
          <w:between w:val="nil"/>
        </w:pBdr>
        <w:tabs>
          <w:tab w:val="left" w:pos="851"/>
        </w:tabs>
        <w:spacing w:line="360" w:lineRule="auto"/>
        <w:ind w:left="426"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Tarjeta de circulación </w:t>
      </w:r>
    </w:p>
    <w:p w14:paraId="7AB3BC5F" w14:textId="77777777" w:rsidR="00AC237C" w:rsidRDefault="00BF7E93" w:rsidP="007436A1">
      <w:pPr>
        <w:numPr>
          <w:ilvl w:val="0"/>
          <w:numId w:val="4"/>
        </w:numPr>
        <w:pBdr>
          <w:top w:val="nil"/>
          <w:left w:val="nil"/>
          <w:bottom w:val="nil"/>
          <w:right w:val="nil"/>
          <w:between w:val="nil"/>
        </w:pBdr>
        <w:tabs>
          <w:tab w:val="left" w:pos="851"/>
        </w:tabs>
        <w:spacing w:line="360" w:lineRule="auto"/>
        <w:ind w:left="426"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Tenencias</w:t>
      </w:r>
    </w:p>
    <w:p w14:paraId="5C4E8245" w14:textId="77777777" w:rsidR="00AC237C" w:rsidRDefault="00BF7E93" w:rsidP="007436A1">
      <w:pPr>
        <w:numPr>
          <w:ilvl w:val="0"/>
          <w:numId w:val="4"/>
        </w:numPr>
        <w:pBdr>
          <w:top w:val="nil"/>
          <w:left w:val="nil"/>
          <w:bottom w:val="nil"/>
          <w:right w:val="nil"/>
          <w:between w:val="nil"/>
        </w:pBdr>
        <w:tabs>
          <w:tab w:val="left" w:pos="851"/>
        </w:tabs>
        <w:spacing w:line="360" w:lineRule="auto"/>
        <w:ind w:left="426"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Verificación</w:t>
      </w:r>
    </w:p>
    <w:p w14:paraId="4AE87159" w14:textId="77777777" w:rsidR="00AC237C" w:rsidRDefault="00BF7E93" w:rsidP="007436A1">
      <w:pPr>
        <w:numPr>
          <w:ilvl w:val="0"/>
          <w:numId w:val="4"/>
        </w:numPr>
        <w:pBdr>
          <w:top w:val="nil"/>
          <w:left w:val="nil"/>
          <w:bottom w:val="nil"/>
          <w:right w:val="nil"/>
          <w:between w:val="nil"/>
        </w:pBdr>
        <w:tabs>
          <w:tab w:val="left" w:pos="851"/>
        </w:tabs>
        <w:spacing w:line="360" w:lineRule="auto"/>
        <w:ind w:left="426"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Junta de aclaraciones</w:t>
      </w:r>
    </w:p>
    <w:p w14:paraId="52514CD5" w14:textId="77777777" w:rsidR="00AC237C" w:rsidRDefault="00BF7E93" w:rsidP="007436A1">
      <w:pPr>
        <w:numPr>
          <w:ilvl w:val="0"/>
          <w:numId w:val="4"/>
        </w:numPr>
        <w:pBdr>
          <w:top w:val="nil"/>
          <w:left w:val="nil"/>
          <w:bottom w:val="nil"/>
          <w:right w:val="nil"/>
          <w:between w:val="nil"/>
        </w:pBdr>
        <w:tabs>
          <w:tab w:val="left" w:pos="851"/>
        </w:tabs>
        <w:spacing w:line="360" w:lineRule="auto"/>
        <w:ind w:left="426"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Propuestas económicas </w:t>
      </w:r>
    </w:p>
    <w:p w14:paraId="79178391" w14:textId="5EFB5423" w:rsidR="00AC237C" w:rsidRPr="007436A1" w:rsidRDefault="00BF7E93" w:rsidP="00FE71E0">
      <w:pPr>
        <w:numPr>
          <w:ilvl w:val="0"/>
          <w:numId w:val="4"/>
        </w:numPr>
        <w:pBdr>
          <w:top w:val="nil"/>
          <w:left w:val="nil"/>
          <w:bottom w:val="nil"/>
          <w:right w:val="nil"/>
          <w:between w:val="nil"/>
        </w:pBdr>
        <w:tabs>
          <w:tab w:val="left" w:pos="851"/>
        </w:tabs>
        <w:spacing w:after="240" w:line="360" w:lineRule="auto"/>
        <w:ind w:left="426" w:right="49" w:firstLine="0"/>
        <w:jc w:val="both"/>
        <w:rPr>
          <w:rFonts w:ascii="Palatino Linotype" w:eastAsia="Palatino Linotype" w:hAnsi="Palatino Linotype" w:cs="Palatino Linotype"/>
          <w:color w:val="000000"/>
        </w:rPr>
      </w:pPr>
      <w:r w:rsidRPr="007436A1">
        <w:rPr>
          <w:rFonts w:ascii="Palatino Linotype" w:eastAsia="Palatino Linotype" w:hAnsi="Palatino Linotype" w:cs="Palatino Linotype"/>
          <w:color w:val="000000"/>
        </w:rPr>
        <w:t>Costo del vehículo, del equipo policial y del radio</w:t>
      </w:r>
      <w:r w:rsidR="007436A1">
        <w:rPr>
          <w:rFonts w:ascii="Palatino Linotype" w:eastAsia="Palatino Linotype" w:hAnsi="Palatino Linotype" w:cs="Palatino Linotype"/>
          <w:color w:val="000000"/>
        </w:rPr>
        <w:t>; m</w:t>
      </w:r>
      <w:r w:rsidRPr="007436A1">
        <w:rPr>
          <w:rFonts w:ascii="Palatino Linotype" w:eastAsia="Palatino Linotype" w:hAnsi="Palatino Linotype" w:cs="Palatino Linotype"/>
          <w:color w:val="000000"/>
        </w:rPr>
        <w:t>arcas y modelos</w:t>
      </w:r>
    </w:p>
    <w:p w14:paraId="29F4FB64" w14:textId="4AD582EC" w:rsidR="00FE71E0" w:rsidRDefault="00BF7E9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sidR="00FE71E0">
        <w:rPr>
          <w:rFonts w:ascii="Palatino Linotype" w:eastAsia="Palatino Linotype" w:hAnsi="Palatino Linotype" w:cs="Palatino Linotype"/>
          <w:color w:val="000000"/>
        </w:rPr>
        <w:t xml:space="preserve">señaló lo siguiente: </w:t>
      </w:r>
    </w:p>
    <w:p w14:paraId="1A7D0FD8" w14:textId="273F37C1" w:rsidR="00FE71E0" w:rsidRPr="00FE71E0" w:rsidRDefault="00FE71E0" w:rsidP="00FE71E0">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rPr>
      </w:pPr>
      <w:r w:rsidRPr="00FE71E0">
        <w:rPr>
          <w:rFonts w:ascii="Palatino Linotype" w:eastAsia="Palatino Linotype" w:hAnsi="Palatino Linotype" w:cs="Palatino Linotype"/>
          <w:i/>
          <w:color w:val="000000"/>
          <w:sz w:val="22"/>
        </w:rPr>
        <w:t xml:space="preserve">“…Que, una vez analizada su solicitud, </w:t>
      </w:r>
      <w:r w:rsidRPr="00FE71E0">
        <w:rPr>
          <w:rFonts w:ascii="Palatino Linotype" w:eastAsia="Palatino Linotype" w:hAnsi="Palatino Linotype" w:cs="Palatino Linotype"/>
          <w:b/>
          <w:i/>
          <w:color w:val="000000"/>
          <w:sz w:val="22"/>
          <w:u w:val="single"/>
        </w:rPr>
        <w:t>fue turnada al área competente de conformidad con el Artículo 162 de la Ley de la materia, en este proceso a la Dirección General de Administración del Ayuntamiento Municipal de Texcoco</w:t>
      </w:r>
      <w:r w:rsidRPr="00FE71E0">
        <w:rPr>
          <w:rFonts w:ascii="Palatino Linotype" w:eastAsia="Palatino Linotype" w:hAnsi="Palatino Linotype" w:cs="Palatino Linotype"/>
          <w:i/>
          <w:color w:val="000000"/>
          <w:sz w:val="22"/>
        </w:rPr>
        <w:t>, y mediante oficio nos remiten la siguiente información:</w:t>
      </w:r>
    </w:p>
    <w:p w14:paraId="4F2CD75F" w14:textId="5E5DF8D6" w:rsidR="00FE71E0" w:rsidRPr="00FE71E0" w:rsidRDefault="00FE71E0" w:rsidP="00FE71E0">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rPr>
      </w:pPr>
      <w:r w:rsidRPr="00FE71E0">
        <w:rPr>
          <w:rFonts w:ascii="Palatino Linotype" w:eastAsia="Palatino Linotype" w:hAnsi="Palatino Linotype" w:cs="Palatino Linotype"/>
          <w:i/>
          <w:color w:val="000000"/>
          <w:sz w:val="22"/>
        </w:rPr>
        <w:t>…”</w:t>
      </w:r>
      <w:r>
        <w:rPr>
          <w:rFonts w:ascii="Palatino Linotype" w:eastAsia="Palatino Linotype" w:hAnsi="Palatino Linotype" w:cs="Palatino Linotype"/>
          <w:i/>
          <w:color w:val="000000"/>
          <w:sz w:val="22"/>
        </w:rPr>
        <w:t xml:space="preserve"> (Énfasis añadido)</w:t>
      </w:r>
    </w:p>
    <w:p w14:paraId="161F47D7" w14:textId="422F9EFE" w:rsidR="00AC237C" w:rsidRDefault="00FE71E0">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 precisar que se r</w:t>
      </w:r>
      <w:r w:rsidR="00BF7E93">
        <w:rPr>
          <w:rFonts w:ascii="Palatino Linotype" w:eastAsia="Palatino Linotype" w:hAnsi="Palatino Linotype" w:cs="Palatino Linotype"/>
          <w:color w:val="000000"/>
        </w:rPr>
        <w:t>emitió un documento de doce fojas en el que se aprecian recuadros de color negro e imposibilita la lectura de algún tipo de información</w:t>
      </w:r>
      <w:r w:rsidR="007436A1">
        <w:rPr>
          <w:rFonts w:ascii="Palatino Linotype" w:eastAsia="Palatino Linotype" w:hAnsi="Palatino Linotype" w:cs="Palatino Linotype"/>
          <w:color w:val="000000"/>
        </w:rPr>
        <w:t>, es decir, remitió un documento ilegible.</w:t>
      </w:r>
    </w:p>
    <w:p w14:paraId="4913C7D1" w14:textId="77777777" w:rsidR="00AC237C" w:rsidRDefault="00BF7E93">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esta tesitura, una vez conocida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al no estar conforme con los términos de la misma, interpuso el recurso de revisión que nos ocupa, donde señaló en su acto impugnado, lo siguiente: </w:t>
      </w:r>
      <w:r>
        <w:rPr>
          <w:rFonts w:ascii="Palatino Linotype" w:eastAsia="Palatino Linotype" w:hAnsi="Palatino Linotype" w:cs="Palatino Linotype"/>
          <w:i/>
        </w:rPr>
        <w:lastRenderedPageBreak/>
        <w:t>“</w:t>
      </w:r>
      <w:r>
        <w:rPr>
          <w:rFonts w:ascii="Palatino Linotype" w:eastAsia="Palatino Linotype" w:hAnsi="Palatino Linotype" w:cs="Palatino Linotype"/>
          <w:b/>
          <w:i/>
          <w:u w:val="single"/>
        </w:rPr>
        <w:t xml:space="preserve">el </w:t>
      </w:r>
      <w:proofErr w:type="spellStart"/>
      <w:r>
        <w:rPr>
          <w:rFonts w:ascii="Palatino Linotype" w:eastAsia="Palatino Linotype" w:hAnsi="Palatino Linotype" w:cs="Palatino Linotype"/>
          <w:b/>
          <w:i/>
          <w:u w:val="single"/>
        </w:rPr>
        <w:t>Infoem</w:t>
      </w:r>
      <w:proofErr w:type="spellEnd"/>
      <w:r>
        <w:rPr>
          <w:rFonts w:ascii="Palatino Linotype" w:eastAsia="Palatino Linotype" w:hAnsi="Palatino Linotype" w:cs="Palatino Linotype"/>
          <w:b/>
          <w:i/>
          <w:u w:val="single"/>
        </w:rPr>
        <w:t xml:space="preserve"> podrá revisar la respuesta y dar vista a la contraloría del estado y ordenar entregar todo lo solicitado con máxima publicidad punto por punto de todo el periodo solicitado”</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(Sic) (Énfasis añadido), </w:t>
      </w:r>
      <w:r>
        <w:rPr>
          <w:rFonts w:ascii="Palatino Linotype" w:eastAsia="Palatino Linotype" w:hAnsi="Palatino Linotype" w:cs="Palatino Linotype"/>
        </w:rPr>
        <w:t>es decir, su inconformidad medularmente versa sobre la negativa a entregar la información solicitada.</w:t>
      </w:r>
    </w:p>
    <w:p w14:paraId="16E5660F" w14:textId="24C7623B"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remitir su informe justificado, mientas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adjuntó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un documento de cuatro fojas </w:t>
      </w:r>
      <w:r w:rsidR="007436A1">
        <w:rPr>
          <w:rFonts w:ascii="Palatino Linotype" w:eastAsia="Palatino Linotype" w:hAnsi="Palatino Linotype" w:cs="Palatino Linotype"/>
        </w:rPr>
        <w:t xml:space="preserve">que da indicios de </w:t>
      </w:r>
      <w:r>
        <w:rPr>
          <w:rFonts w:ascii="Palatino Linotype" w:eastAsia="Palatino Linotype" w:hAnsi="Palatino Linotype" w:cs="Palatino Linotype"/>
        </w:rPr>
        <w:t>entregas de patrullas.</w:t>
      </w:r>
    </w:p>
    <w:p w14:paraId="79890BB6" w14:textId="37F35116"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en cuenta las posturas de las partes, es necesario iniciar señalando que del análisis a la respuesta, se tiene que se le turnó a la </w:t>
      </w:r>
      <w:r>
        <w:rPr>
          <w:rFonts w:ascii="Palatino Linotype" w:eastAsia="Palatino Linotype" w:hAnsi="Palatino Linotype" w:cs="Palatino Linotype"/>
          <w:b/>
        </w:rPr>
        <w:t>Dirección General de Administración</w:t>
      </w:r>
      <w:r>
        <w:rPr>
          <w:rFonts w:ascii="Palatino Linotype" w:eastAsia="Palatino Linotype" w:hAnsi="Palatino Linotype" w:cs="Palatino Linotype"/>
        </w:rPr>
        <w:t>,</w:t>
      </w:r>
      <w:r w:rsidR="009E27C7">
        <w:rPr>
          <w:rFonts w:ascii="Palatino Linotype" w:eastAsia="Palatino Linotype" w:hAnsi="Palatino Linotype" w:cs="Palatino Linotype"/>
        </w:rPr>
        <w:t xml:space="preserve"> </w:t>
      </w:r>
      <w:r>
        <w:rPr>
          <w:rFonts w:ascii="Palatino Linotype" w:eastAsia="Palatino Linotype" w:hAnsi="Palatino Linotype" w:cs="Palatino Linotype"/>
        </w:rPr>
        <w:t>la cual de conformidad con lo establecido por el Bando Municipal vigente a la fecha de la solicitud, cuenta con las siguientes atribuciones:</w:t>
      </w:r>
    </w:p>
    <w:p w14:paraId="19934326" w14:textId="77777777" w:rsidR="00AC237C" w:rsidRDefault="00BF7E9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85. </w:t>
      </w:r>
      <w:r>
        <w:rPr>
          <w:rFonts w:ascii="Palatino Linotype" w:eastAsia="Palatino Linotype" w:hAnsi="Palatino Linotype" w:cs="Palatino Linotype"/>
          <w:b/>
          <w:i/>
          <w:sz w:val="22"/>
          <w:szCs w:val="22"/>
          <w:u w:val="single"/>
        </w:rPr>
        <w:t>La Dirección General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w:t>
      </w:r>
      <w:r>
        <w:rPr>
          <w:rFonts w:ascii="Palatino Linotype" w:eastAsia="Palatino Linotype" w:hAnsi="Palatino Linotype" w:cs="Palatino Linotype"/>
          <w:i/>
          <w:sz w:val="22"/>
          <w:szCs w:val="22"/>
        </w:rPr>
        <w:t xml:space="preserve"> humanos, </w:t>
      </w:r>
      <w:r>
        <w:rPr>
          <w:rFonts w:ascii="Palatino Linotype" w:eastAsia="Palatino Linotype" w:hAnsi="Palatino Linotype" w:cs="Palatino Linotype"/>
          <w:b/>
          <w:i/>
          <w:sz w:val="22"/>
          <w:szCs w:val="22"/>
        </w:rPr>
        <w:t>materiales</w:t>
      </w:r>
      <w:r>
        <w:rPr>
          <w:rFonts w:ascii="Palatino Linotype" w:eastAsia="Palatino Linotype" w:hAnsi="Palatino Linotype" w:cs="Palatino Linotype"/>
          <w:i/>
          <w:sz w:val="22"/>
          <w:szCs w:val="22"/>
        </w:rPr>
        <w:t>, tecnológicos y de servicios, para el cumplimiento de los programas y proyectos del Gobierno Municipal.</w:t>
      </w:r>
    </w:p>
    <w:p w14:paraId="4183D05D" w14:textId="77777777" w:rsidR="00AC237C" w:rsidRDefault="00BF7E9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Así, como también deberá brindar el soporte material, técnico, humano, administrativo, organizacional e informático a las dependencias de la Administración Pública Municipal.</w:t>
      </w:r>
    </w:p>
    <w:p w14:paraId="78DD452A" w14:textId="77777777" w:rsidR="00AC237C" w:rsidRDefault="00BF7E9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demás que le instruya el Ayuntamiento y la Presidenta Municipal en el ejercicio de sus facultades. De igual forma, las que expresamente le otorguen otros ordenamientos jurídicos o administrativos.</w:t>
      </w:r>
    </w:p>
    <w:p w14:paraId="5BB3641A" w14:textId="77777777" w:rsidR="00AC237C" w:rsidRDefault="00BF7E9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86. Para el eficiente y eficaz ejercicio de sus atribuciones la Dirección General de Administración contará con las siguientes unidades administrativas:</w:t>
      </w:r>
    </w:p>
    <w:p w14:paraId="0C141F6D" w14:textId="77777777" w:rsidR="00AC237C" w:rsidRDefault="00BF7E9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 Subdirección de Recursos Humanos y Nómina;</w:t>
      </w:r>
    </w:p>
    <w:p w14:paraId="7B06543D" w14:textId="77777777" w:rsidR="00AC237C" w:rsidRDefault="00BF7E93">
      <w:pPr>
        <w:spacing w:before="240" w:after="240" w:line="276"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II. Subdirección de Licitaciones y Adquisiciones;</w:t>
      </w:r>
    </w:p>
    <w:p w14:paraId="3CDA987A" w14:textId="77777777" w:rsidR="00AC237C" w:rsidRDefault="00BF7E9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Subdirección de Servicios Generales, y la</w:t>
      </w:r>
    </w:p>
    <w:p w14:paraId="291864F3" w14:textId="77777777" w:rsidR="00AC237C" w:rsidRDefault="00BF7E93">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Coordinación de Sistemas y Soporte Técnico.” (Énfasis añadido)</w:t>
      </w:r>
    </w:p>
    <w:p w14:paraId="27E595F2"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lo anterior, no escapa de la óptica de este organismo garante que la </w:t>
      </w:r>
      <w:r>
        <w:rPr>
          <w:rFonts w:ascii="Palatino Linotype" w:eastAsia="Palatino Linotype" w:hAnsi="Palatino Linotype" w:cs="Palatino Linotype"/>
          <w:b/>
        </w:rPr>
        <w:t>Dirección General de Administración</w:t>
      </w:r>
      <w:r>
        <w:rPr>
          <w:rFonts w:ascii="Palatino Linotype" w:eastAsia="Palatino Linotype" w:hAnsi="Palatino Linotype" w:cs="Palatino Linotype"/>
        </w:rPr>
        <w:t xml:space="preserve"> forma parte del Comité de Adquisiciones y Servicios, tal como la señalan la Ley de Contratación Pública del Estado de México y Municipios y el Reglamento de la Ley de Contratación Pública del Estado de México y Municipios, se inserta a continuación la siguiente cita con la finalidad de reforzar este dicho: </w:t>
      </w:r>
    </w:p>
    <w:p w14:paraId="2DB62C52" w14:textId="77777777" w:rsidR="00AC237C" w:rsidRDefault="00AC237C">
      <w:pPr>
        <w:spacing w:line="360" w:lineRule="auto"/>
        <w:jc w:val="both"/>
        <w:rPr>
          <w:rFonts w:ascii="Palatino Linotype" w:eastAsia="Palatino Linotype" w:hAnsi="Palatino Linotype" w:cs="Palatino Linotype"/>
        </w:rPr>
      </w:pPr>
    </w:p>
    <w:p w14:paraId="40CF2399" w14:textId="77777777" w:rsidR="00AC237C" w:rsidRDefault="00BF7E9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Ley de Contratación Pública del Estado de México y Municipios: </w:t>
      </w:r>
    </w:p>
    <w:p w14:paraId="65958E4E" w14:textId="77777777" w:rsidR="00AC237C" w:rsidRDefault="00AC237C">
      <w:pPr>
        <w:spacing w:line="360" w:lineRule="auto"/>
        <w:jc w:val="both"/>
        <w:rPr>
          <w:rFonts w:ascii="Palatino Linotype" w:eastAsia="Palatino Linotype" w:hAnsi="Palatino Linotype" w:cs="Palatino Linotype"/>
          <w:b/>
          <w:sz w:val="22"/>
          <w:szCs w:val="22"/>
        </w:rPr>
      </w:pPr>
    </w:p>
    <w:p w14:paraId="35812B7D" w14:textId="77777777" w:rsidR="00AC237C" w:rsidRDefault="00BF7E93">
      <w:pPr>
        <w:spacing w:line="276" w:lineRule="auto"/>
        <w:ind w:left="567"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23.- Los comités de adquisiciones y de servicios tendrán las funciones siguientes: </w:t>
      </w:r>
    </w:p>
    <w:p w14:paraId="376E3C7E" w14:textId="77777777" w:rsidR="00AC237C" w:rsidRDefault="00BF7E93">
      <w:pPr>
        <w:spacing w:line="276" w:lineRule="auto"/>
        <w:ind w:left="567"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Dictaminar sobre la procedencia de los casos de excepción al procedimiento de licitación pública. </w:t>
      </w:r>
    </w:p>
    <w:p w14:paraId="1B137EB3" w14:textId="77777777" w:rsidR="00AC237C" w:rsidRDefault="00BF7E93">
      <w:pPr>
        <w:spacing w:line="276" w:lineRule="auto"/>
        <w:ind w:left="567"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55F05319" w14:textId="77777777" w:rsidR="00AC237C" w:rsidRDefault="00BF7E93">
      <w:pPr>
        <w:spacing w:line="276" w:lineRule="auto"/>
        <w:ind w:left="567"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Emitir los dictámenes de adjudicación. </w:t>
      </w:r>
    </w:p>
    <w:p w14:paraId="7FB0B727" w14:textId="77777777" w:rsidR="00AC237C" w:rsidRDefault="00BF7E93">
      <w:pPr>
        <w:spacing w:line="276" w:lineRule="auto"/>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Las demás que establezca el reglamento de esta Ley.” </w:t>
      </w:r>
      <w:r>
        <w:rPr>
          <w:rFonts w:ascii="Palatino Linotype" w:eastAsia="Palatino Linotype" w:hAnsi="Palatino Linotype" w:cs="Palatino Linotype"/>
          <w:i/>
          <w:sz w:val="22"/>
          <w:szCs w:val="22"/>
        </w:rPr>
        <w:t>(Énfasis añadido)</w:t>
      </w:r>
    </w:p>
    <w:p w14:paraId="396F418A" w14:textId="77777777" w:rsidR="00AC237C" w:rsidRDefault="00AC237C">
      <w:pPr>
        <w:spacing w:line="276" w:lineRule="auto"/>
        <w:jc w:val="both"/>
        <w:rPr>
          <w:rFonts w:ascii="Palatino Linotype" w:eastAsia="Palatino Linotype" w:hAnsi="Palatino Linotype" w:cs="Palatino Linotype"/>
        </w:rPr>
      </w:pPr>
    </w:p>
    <w:p w14:paraId="7C321409" w14:textId="77777777" w:rsidR="00AC237C" w:rsidRDefault="00BF7E9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Reglamento de la Ley de Contratación Pública del Estado de México y Municipios: </w:t>
      </w:r>
    </w:p>
    <w:p w14:paraId="2837935C" w14:textId="77777777" w:rsidR="00AC237C" w:rsidRDefault="00AC237C">
      <w:pPr>
        <w:spacing w:line="276" w:lineRule="auto"/>
        <w:jc w:val="both"/>
        <w:rPr>
          <w:rFonts w:ascii="Palatino Linotype" w:eastAsia="Palatino Linotype" w:hAnsi="Palatino Linotype" w:cs="Palatino Linotype"/>
          <w:b/>
          <w:i/>
          <w:sz w:val="22"/>
          <w:szCs w:val="22"/>
        </w:rPr>
      </w:pPr>
    </w:p>
    <w:p w14:paraId="771CEE16" w14:textId="77777777" w:rsidR="00AC237C" w:rsidRDefault="00BF7E93">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43.- La Secretaría, organismos auxiliares, tribunales administrativos y municipios, se auxiliarán de un Comité de Adquisiciones </w:t>
      </w:r>
      <w:r>
        <w:rPr>
          <w:rFonts w:ascii="Palatino Linotype" w:eastAsia="Palatino Linotype" w:hAnsi="Palatino Linotype" w:cs="Palatino Linotype"/>
          <w:b/>
          <w:i/>
          <w:sz w:val="22"/>
          <w:szCs w:val="22"/>
        </w:rPr>
        <w:lastRenderedPageBreak/>
        <w:t xml:space="preserve">y Servicios, para la substanciación de los procedimientos de adquisición regulados en la Ley. </w:t>
      </w:r>
    </w:p>
    <w:p w14:paraId="2BE6AEA4" w14:textId="77777777" w:rsidR="00AC237C" w:rsidRDefault="00BF7E93">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44.- El Comité de Adquisiciones y Servicios se integrará por: </w:t>
      </w:r>
    </w:p>
    <w:p w14:paraId="4BC68BBD" w14:textId="77777777" w:rsidR="00AC237C" w:rsidRDefault="00BF7E93">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 En la Secretaría, por el titular del área encargada de operar el sistema de adquisiciones de las dependencias del Poder Ejecutivo, y en los organismos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auxiliares, tribunales administrativos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municipios, por el titular de la unidad administrativa, quien fungirá como presidente;</w:t>
      </w:r>
      <w:r>
        <w:rPr>
          <w:rFonts w:ascii="Palatino Linotype" w:eastAsia="Palatino Linotype" w:hAnsi="Palatino Linotype" w:cs="Palatino Linotype"/>
          <w:b/>
          <w:i/>
          <w:sz w:val="22"/>
          <w:szCs w:val="22"/>
        </w:rPr>
        <w:t xml:space="preserve"> </w:t>
      </w:r>
    </w:p>
    <w:p w14:paraId="1AEBBA6A" w14:textId="77777777" w:rsidR="00AC237C" w:rsidRDefault="00BF7E9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representante del área financiera de la Secretaría, entidad, tribunal administrativo o municipio, con función de vocal; </w:t>
      </w:r>
    </w:p>
    <w:p w14:paraId="605B256F" w14:textId="77777777" w:rsidR="00AC237C" w:rsidRDefault="00BF7E9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Un representante de cada dependencia o unidad administrativa interesada en la adquisición de los bienes o contratación del servicio, con función de vocal; </w:t>
      </w:r>
    </w:p>
    <w:p w14:paraId="23B8049E" w14:textId="77777777" w:rsidR="00AC237C" w:rsidRDefault="00BF7E9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Un representante de la Consejería Jurídica o del área jurídica respectiva o quien lleve a cabo las funciones de esta naturaleza, con función de vocal; V. Un representante del Órgano de Control, con función de vocal; y </w:t>
      </w:r>
    </w:p>
    <w:p w14:paraId="6595ED73" w14:textId="77777777" w:rsidR="00AC237C" w:rsidRDefault="00BF7E9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Un secretario ejecutivo, que será designado por el presidente”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(Énfasis añadido) </w:t>
      </w:r>
    </w:p>
    <w:p w14:paraId="43C33CA1"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manera que en el presente asunto, se vislumbra que el requerimiento de información se le turnó al área administrativa competente que es la encargada de llevar las cuestiones relativas a las adquisiciones, sin embargo, de la revisión exhaustiva practicada a la documental proporcionada en respuesta, se tiene que en este no fue posible visualizar información alguna, toda vez que únicamente se aprecia un archivo en el que obran recuadros de color negro, tal como se desprende de la siguiente impresión de pantalla:</w:t>
      </w:r>
    </w:p>
    <w:p w14:paraId="33F9BCE3" w14:textId="77777777" w:rsidR="00AC237C" w:rsidRDefault="00BF7E93">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83044D5" wp14:editId="1ECD8A9B">
            <wp:extent cx="3377857" cy="4478201"/>
            <wp:effectExtent l="0" t="0" r="0" b="0"/>
            <wp:docPr id="563968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77857" cy="4478201"/>
                    </a:xfrm>
                    <a:prstGeom prst="rect">
                      <a:avLst/>
                    </a:prstGeom>
                    <a:ln/>
                  </pic:spPr>
                </pic:pic>
              </a:graphicData>
            </a:graphic>
          </wp:inline>
        </w:drawing>
      </w:r>
    </w:p>
    <w:p w14:paraId="0ED0267C" w14:textId="77777777" w:rsidR="00AC237C" w:rsidRDefault="00BF7E9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de un análisis al documento remitido en respuesta, no se tiene certeza respecto de la información que pudiera obrar en él, toda vez que no hay referencia alguna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respecto de si dicha documental fue remitida en versión pública, aunado al hecho de que en las constancias que conforman el expediente electrónico, no se advierte el acuerdo de comité de transparencia en el que se funde y motive el actuar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tanto, para los casos en los que se clasifique información, es necesario que se acompañe el acuerdo del Comité de Transparencia en donde se apruebe la versión </w:t>
      </w:r>
      <w:r>
        <w:rPr>
          <w:rFonts w:ascii="Palatino Linotype" w:eastAsia="Palatino Linotype" w:hAnsi="Palatino Linotype" w:cs="Palatino Linotype"/>
        </w:rPr>
        <w:lastRenderedPageBreak/>
        <w:t xml:space="preserve">pública de las documentales requeridas, ya que en caso contrario se considera que es un documento ilegible o incompleto. </w:t>
      </w:r>
    </w:p>
    <w:p w14:paraId="62612A9A" w14:textId="77777777" w:rsidR="00AC237C" w:rsidRDefault="00AC237C">
      <w:pPr>
        <w:spacing w:line="360" w:lineRule="auto"/>
        <w:ind w:right="49"/>
        <w:jc w:val="both"/>
        <w:rPr>
          <w:rFonts w:ascii="Palatino Linotype" w:eastAsia="Palatino Linotype" w:hAnsi="Palatino Linotype" w:cs="Palatino Linotype"/>
        </w:rPr>
      </w:pPr>
    </w:p>
    <w:p w14:paraId="44AC41B1" w14:textId="77777777" w:rsidR="00AC237C" w:rsidRDefault="00BF7E9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Aunado a lo anterior, no se cuentan con razones por las cuales, se pueda acceder a la información de manera clara, legible y accesible, lo anterior en términos del principio de máxima publicidad, señalado en el artículo 9 fracción VII  y artículo 11, ambos de la Ley de Transparencia y Acceso a la Información Pública del Estado de México y Municipios, que señalan:</w:t>
      </w:r>
    </w:p>
    <w:p w14:paraId="1F6104C9" w14:textId="77777777" w:rsidR="00AC237C" w:rsidRDefault="00AC237C">
      <w:pPr>
        <w:spacing w:line="360" w:lineRule="auto"/>
        <w:ind w:right="49"/>
        <w:jc w:val="both"/>
        <w:rPr>
          <w:rFonts w:ascii="Palatino Linotype" w:eastAsia="Palatino Linotype" w:hAnsi="Palatino Linotype" w:cs="Palatino Linotype"/>
        </w:rPr>
      </w:pPr>
    </w:p>
    <w:p w14:paraId="6801528E" w14:textId="77777777" w:rsidR="00AC237C" w:rsidRDefault="00BF7E93">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“Artículo 9. El Instituto deberá regir su funcionamiento de acuerdo a los siguientes principios:</w:t>
      </w:r>
    </w:p>
    <w:p w14:paraId="15C912FD" w14:textId="77777777" w:rsidR="00AC237C" w:rsidRDefault="00BF7E93">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14:paraId="5DEA41FC" w14:textId="77777777" w:rsidR="00AC237C" w:rsidRDefault="00BF7E93">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u w:val="single"/>
        </w:rPr>
        <w:t>VII. 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14:paraId="7EF244B9" w14:textId="77777777" w:rsidR="00AC237C" w:rsidRDefault="00BF7E93">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14:paraId="2F4367CB" w14:textId="77777777" w:rsidR="00AC237C" w:rsidRDefault="00BF7E93">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En la generación, publicación y entrega de información se deberá garantizar que ésta sea accesible</w:t>
      </w:r>
      <w:r>
        <w:rPr>
          <w:rFonts w:ascii="Palatino Linotype" w:eastAsia="Palatino Linotype" w:hAnsi="Palatino Linotype" w:cs="Palatino Linotype"/>
          <w:i/>
          <w:sz w:val="22"/>
          <w:szCs w:val="22"/>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47F19084" w14:textId="77777777" w:rsidR="00AC237C" w:rsidRDefault="00BF7E93">
      <w:pPr>
        <w:spacing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(Énfasis añadido)</w:t>
      </w:r>
    </w:p>
    <w:p w14:paraId="1941F385" w14:textId="77777777" w:rsidR="00AC237C" w:rsidRDefault="00AC237C">
      <w:pPr>
        <w:spacing w:line="360" w:lineRule="auto"/>
        <w:ind w:right="49"/>
        <w:jc w:val="both"/>
        <w:rPr>
          <w:rFonts w:ascii="Palatino Linotype" w:eastAsia="Palatino Linotype" w:hAnsi="Palatino Linotype" w:cs="Palatino Linotype"/>
        </w:rPr>
      </w:pPr>
    </w:p>
    <w:p w14:paraId="1227E772" w14:textId="694660C7" w:rsidR="00AC237C" w:rsidRDefault="00BF7E9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w:t>
      </w:r>
      <w:r w:rsidR="001C6DD3">
        <w:rPr>
          <w:rFonts w:ascii="Palatino Linotype" w:eastAsia="Palatino Linotype" w:hAnsi="Palatino Linotype" w:cs="Palatino Linotype"/>
        </w:rPr>
        <w:t>obsta</w:t>
      </w:r>
      <w:r>
        <w:rPr>
          <w:rFonts w:ascii="Palatino Linotype" w:eastAsia="Palatino Linotype" w:hAnsi="Palatino Linotype" w:cs="Palatino Linotype"/>
        </w:rPr>
        <w:t xml:space="preserve"> mencionar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desahogo de los procedimientos de acceso a la información pública, debe observar los criterios de publicidad, </w:t>
      </w:r>
      <w:r>
        <w:rPr>
          <w:rFonts w:ascii="Palatino Linotype" w:eastAsia="Palatino Linotype" w:hAnsi="Palatino Linotype" w:cs="Palatino Linotype"/>
        </w:rPr>
        <w:lastRenderedPageBreak/>
        <w:t>suficiencia, precisión, veracidad y oportunidad en beneficio del solicitante en términos del artículo 3 de la Ley de la materia. </w:t>
      </w:r>
    </w:p>
    <w:p w14:paraId="1FE6C7C0" w14:textId="77777777" w:rsidR="00AC237C" w:rsidRDefault="00AC237C">
      <w:pPr>
        <w:spacing w:line="360" w:lineRule="auto"/>
        <w:ind w:right="49"/>
        <w:jc w:val="both"/>
        <w:rPr>
          <w:rFonts w:ascii="Palatino Linotype" w:eastAsia="Palatino Linotype" w:hAnsi="Palatino Linotype" w:cs="Palatino Linotype"/>
        </w:rPr>
      </w:pPr>
    </w:p>
    <w:p w14:paraId="7389C13A" w14:textId="19FF50B9" w:rsidR="00AC237C" w:rsidRDefault="001C6DD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w:t>
      </w:r>
      <w:r w:rsidR="00BF7E93">
        <w:rPr>
          <w:rFonts w:ascii="Palatino Linotype" w:eastAsia="Palatino Linotype" w:hAnsi="Palatino Linotype" w:cs="Palatino Linotype"/>
        </w:rPr>
        <w:t xml:space="preserve">n esta tesitura cabe mencionar que </w:t>
      </w:r>
      <w:r w:rsidR="00BF7E93" w:rsidRPr="001C6DD3">
        <w:rPr>
          <w:rFonts w:ascii="Palatino Linotype" w:eastAsia="Palatino Linotype" w:hAnsi="Palatino Linotype" w:cs="Palatino Linotype"/>
          <w:b/>
          <w:bCs/>
        </w:rPr>
        <w:t xml:space="preserve">el documento enviado resulta ilegible en su totalidad </w:t>
      </w:r>
      <w:r w:rsidR="00BF7E93">
        <w:rPr>
          <w:rFonts w:ascii="Palatino Linotype" w:eastAsia="Palatino Linotype" w:hAnsi="Palatino Linotype" w:cs="Palatino Linotype"/>
        </w:rPr>
        <w:t xml:space="preserve">y, por ende, </w:t>
      </w:r>
      <w:r w:rsidR="000C0A73">
        <w:rPr>
          <w:rFonts w:ascii="Palatino Linotype" w:eastAsia="Palatino Linotype" w:hAnsi="Palatino Linotype" w:cs="Palatino Linotype"/>
        </w:rPr>
        <w:t xml:space="preserve">al no </w:t>
      </w:r>
      <w:r w:rsidR="00BF7E93">
        <w:rPr>
          <w:rFonts w:ascii="Palatino Linotype" w:eastAsia="Palatino Linotype" w:hAnsi="Palatino Linotype" w:cs="Palatino Linotype"/>
        </w:rPr>
        <w:t>comprende</w:t>
      </w:r>
      <w:r w:rsidR="000C0A73">
        <w:rPr>
          <w:rFonts w:ascii="Palatino Linotype" w:eastAsia="Palatino Linotype" w:hAnsi="Palatino Linotype" w:cs="Palatino Linotype"/>
        </w:rPr>
        <w:t>rse</w:t>
      </w:r>
      <w:r w:rsidR="00BF7E93">
        <w:rPr>
          <w:rFonts w:ascii="Palatino Linotype" w:eastAsia="Palatino Linotype" w:hAnsi="Palatino Linotype" w:cs="Palatino Linotype"/>
        </w:rPr>
        <w:t xml:space="preserve"> adecuadamente la lectura de su contenido, por lo que no puede constatar si se trata de la información solicitada y completa  por </w:t>
      </w:r>
      <w:r w:rsidR="00BF7E93">
        <w:rPr>
          <w:rFonts w:ascii="Palatino Linotype" w:eastAsia="Palatino Linotype" w:hAnsi="Palatino Linotype" w:cs="Palatino Linotype"/>
          <w:b/>
        </w:rPr>
        <w:t>la parte</w:t>
      </w:r>
      <w:r w:rsidR="00BF7E93">
        <w:rPr>
          <w:rFonts w:ascii="Palatino Linotype" w:eastAsia="Palatino Linotype" w:hAnsi="Palatino Linotype" w:cs="Palatino Linotype"/>
        </w:rPr>
        <w:t xml:space="preserve"> </w:t>
      </w:r>
      <w:r w:rsidR="00BF7E93">
        <w:rPr>
          <w:rFonts w:ascii="Palatino Linotype" w:eastAsia="Palatino Linotype" w:hAnsi="Palatino Linotype" w:cs="Palatino Linotype"/>
          <w:b/>
        </w:rPr>
        <w:t>Recurrente</w:t>
      </w:r>
      <w:r w:rsidR="00BF7E93">
        <w:rPr>
          <w:rFonts w:ascii="Palatino Linotype" w:eastAsia="Palatino Linotype" w:hAnsi="Palatino Linotype" w:cs="Palatino Linotype"/>
        </w:rPr>
        <w:t xml:space="preserve">, ya que no se permite su lectura de manera clara y oportuna de los datos ahí consignados dada su ilegibilidad, por lo que compete a la persona responsable de la Unidad de Transparencia verificar que los archivos electrónicos que contengan la información se encuentre agregada, motivo por el cual debió verificarse dicha  situación; es por ello que se insta al </w:t>
      </w:r>
      <w:r w:rsidR="00BF7E93">
        <w:rPr>
          <w:rFonts w:ascii="Palatino Linotype" w:eastAsia="Palatino Linotype" w:hAnsi="Palatino Linotype" w:cs="Palatino Linotype"/>
          <w:b/>
        </w:rPr>
        <w:t>Sujeto Obligado</w:t>
      </w:r>
      <w:r w:rsidR="00BF7E93">
        <w:rPr>
          <w:rFonts w:ascii="Palatino Linotype" w:eastAsia="Palatino Linotype" w:hAnsi="Palatino Linotype" w:cs="Palatino Linotype"/>
        </w:rPr>
        <w:t xml:space="preserve"> a actuar con mayor diligencia a efecto de no dilatar el derecho de acceso a la información pública de los solicitantes.</w:t>
      </w:r>
    </w:p>
    <w:p w14:paraId="06C6BBEB" w14:textId="77777777" w:rsidR="00AC237C" w:rsidRDefault="00BF7E9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no pasa desapercibido para este Instituto que efectivamente como refiere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llevó a cabo diversos procesos que condujeron a la adquisición de patrullas, durante la temporalidad solicitada, sirven de ilustración para tal efecto, los indicios que se insertan a continuación:</w:t>
      </w:r>
    </w:p>
    <w:p w14:paraId="1123E4F0" w14:textId="77777777" w:rsidR="00AC237C" w:rsidRDefault="00BF7E9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2018: En la cuenta pública 2018, en el reporte de altas y bajas de bienes muebles, se reportaron los siguientes vehículos con equipamiento para patrulla dentro de las altas:</w:t>
      </w:r>
    </w:p>
    <w:p w14:paraId="2912985E" w14:textId="77777777" w:rsidR="00AC237C" w:rsidRDefault="00BF7E9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14:anchorId="4E4B0D03" wp14:editId="303F087A">
            <wp:extent cx="5422945" cy="1251732"/>
            <wp:effectExtent l="0" t="0" r="0" b="0"/>
            <wp:docPr id="5639681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22945" cy="1251732"/>
                    </a:xfrm>
                    <a:prstGeom prst="rect">
                      <a:avLst/>
                    </a:prstGeom>
                    <a:ln/>
                  </pic:spPr>
                </pic:pic>
              </a:graphicData>
            </a:graphic>
          </wp:inline>
        </w:drawing>
      </w:r>
    </w:p>
    <w:p w14:paraId="496C0512" w14:textId="77777777" w:rsidR="00AC237C" w:rsidRDefault="00BF7E9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2019: Nota periodística: Entregan estímulos y patrullas a policías en Texcoco: </w:t>
      </w:r>
    </w:p>
    <w:p w14:paraId="500B62D9" w14:textId="77777777" w:rsidR="00AC237C" w:rsidRDefault="00BF7E93">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Publicada el 21 de agosto de 2019 en la siguiente liga electrónica: </w:t>
      </w:r>
      <w:hyperlink r:id="rId13">
        <w:r>
          <w:rPr>
            <w:rFonts w:ascii="Palatino Linotype" w:eastAsia="Palatino Linotype" w:hAnsi="Palatino Linotype" w:cs="Palatino Linotype"/>
            <w:color w:val="0000FF"/>
            <w:sz w:val="22"/>
            <w:szCs w:val="22"/>
            <w:u w:val="single"/>
          </w:rPr>
          <w:t>https://edomex.quadratin.com.mx/entregan-estimulos-y-patrullas-a-policias-en-texcoco/</w:t>
        </w:r>
      </w:hyperlink>
      <w:r>
        <w:rPr>
          <w:rFonts w:ascii="Palatino Linotype" w:eastAsia="Palatino Linotype" w:hAnsi="Palatino Linotype" w:cs="Palatino Linotype"/>
          <w:sz w:val="22"/>
          <w:szCs w:val="22"/>
        </w:rPr>
        <w:t xml:space="preserve"> </w:t>
      </w:r>
    </w:p>
    <w:p w14:paraId="5FDBFA78" w14:textId="77777777" w:rsidR="00AC237C" w:rsidRDefault="00BF7E93">
      <w:pPr>
        <w:spacing w:before="240" w:after="240"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El gobierno de Texcoco hizo entrega de estímulos a elementos de la Dirección de Seguridad Pública y Movilidad, cubrió el pago para los exámenes de Control de Confianza y </w:t>
      </w:r>
      <w:r>
        <w:rPr>
          <w:rFonts w:ascii="Palatino Linotype" w:eastAsia="Palatino Linotype" w:hAnsi="Palatino Linotype" w:cs="Palatino Linotype"/>
          <w:b/>
          <w:u w:val="single"/>
        </w:rPr>
        <w:t>reforzó el parque vehicular con la entrega de nuevas patrullas para la corporación.</w:t>
      </w:r>
    </w:p>
    <w:p w14:paraId="1524AD0E" w14:textId="77777777" w:rsidR="00AC237C" w:rsidRDefault="00BF7E9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2020: Nota periodística: Texcoco da banderazo a 78 nuevas patrullas:</w:t>
      </w:r>
    </w:p>
    <w:p w14:paraId="3B0FB54C" w14:textId="77777777" w:rsidR="00AC237C" w:rsidRDefault="00BF7E93">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Publicada el 28 de julio de 2020 en la siguiente liga electrónica: </w:t>
      </w:r>
      <w:hyperlink r:id="rId14">
        <w:r>
          <w:rPr>
            <w:rFonts w:ascii="Palatino Linotype" w:eastAsia="Palatino Linotype" w:hAnsi="Palatino Linotype" w:cs="Palatino Linotype"/>
            <w:color w:val="0000FF"/>
            <w:sz w:val="22"/>
            <w:szCs w:val="22"/>
            <w:u w:val="single"/>
          </w:rPr>
          <w:t>https://heraldodemexico.com.mx/nacional/2020/7/28/texcoco-da-banderazo-78-nuevas-patrullas-195935.html</w:t>
        </w:r>
      </w:hyperlink>
      <w:r>
        <w:rPr>
          <w:rFonts w:ascii="Palatino Linotype" w:eastAsia="Palatino Linotype" w:hAnsi="Palatino Linotype" w:cs="Palatino Linotype"/>
          <w:b/>
          <w:sz w:val="22"/>
          <w:szCs w:val="22"/>
        </w:rPr>
        <w:t xml:space="preserve"> </w:t>
      </w:r>
    </w:p>
    <w:p w14:paraId="64AAFBD3" w14:textId="77777777" w:rsidR="00AC237C" w:rsidRDefault="00BF7E9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u w:val="single"/>
        </w:rPr>
        <w:t>El ayuntamiento de Texcoco adquirió una cuadrilla de 78 patrullas para reforzar la seguridad pública</w:t>
      </w:r>
      <w:r>
        <w:rPr>
          <w:rFonts w:ascii="Palatino Linotype" w:eastAsia="Palatino Linotype" w:hAnsi="Palatino Linotype" w:cs="Palatino Linotype"/>
        </w:rPr>
        <w:t xml:space="preserve"> en las 56 comunidades y la cabecera de este municipio mexiquense, a fin de que la corporación cuente con las mejores herramientas para resguardar a la sociedad.</w:t>
      </w:r>
    </w:p>
    <w:p w14:paraId="0E8BB7FB" w14:textId="77777777" w:rsidR="00AC237C" w:rsidRDefault="00BF7E9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La presidenta municipal, Sandra Luz Falcón, explicó que se trata de 70 patrullas marca Hyundai modelo Creta, así como ocho camionetas RAM doble cabina con </w:t>
      </w:r>
      <w:r>
        <w:rPr>
          <w:rFonts w:ascii="Palatino Linotype" w:eastAsia="Palatino Linotype" w:hAnsi="Palatino Linotype" w:cs="Palatino Linotype"/>
        </w:rPr>
        <w:lastRenderedPageBreak/>
        <w:t>equipamiento especial en su batea, las cuales serán utilizadas en la región montañosa de Texcoco, donde los caminos son de difícil tránsito.</w:t>
      </w:r>
    </w:p>
    <w:p w14:paraId="211DC1FF" w14:textId="77777777" w:rsidR="00AC237C" w:rsidRDefault="00BF7E93">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 xml:space="preserve">2022: Comunicado de prensa del Ayuntamiento de Texcoco: </w:t>
      </w:r>
      <w:r>
        <w:rPr>
          <w:rFonts w:ascii="Palatino Linotype" w:eastAsia="Palatino Linotype" w:hAnsi="Palatino Linotype" w:cs="Palatino Linotype"/>
          <w:b/>
          <w:sz w:val="22"/>
          <w:szCs w:val="22"/>
        </w:rPr>
        <w:t>SUMAN 55 UNIDADES ENTREGADAS PARA REFORZAR LA SEGURIDAD DE LAS TEXCOCANAS Y TEXCOCANOS:</w:t>
      </w:r>
    </w:p>
    <w:p w14:paraId="0DA814C1" w14:textId="77777777" w:rsidR="00AC237C" w:rsidRDefault="00BF7E93">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Publicado el 10 de agosto de 2022 en la siguiente liga electrónica:</w:t>
      </w:r>
      <w:r>
        <w:rPr>
          <w:rFonts w:ascii="Palatino Linotype" w:eastAsia="Palatino Linotype" w:hAnsi="Palatino Linotype" w:cs="Palatino Linotype"/>
          <w:sz w:val="22"/>
          <w:szCs w:val="22"/>
        </w:rPr>
        <w:t xml:space="preserve"> </w:t>
      </w:r>
      <w:hyperlink r:id="rId15">
        <w:r>
          <w:rPr>
            <w:rFonts w:ascii="Palatino Linotype" w:eastAsia="Palatino Linotype" w:hAnsi="Palatino Linotype" w:cs="Palatino Linotype"/>
            <w:color w:val="0000FF"/>
            <w:sz w:val="22"/>
            <w:szCs w:val="22"/>
            <w:u w:val="single"/>
          </w:rPr>
          <w:t>https://www.texcocoedomex.gob.mx/122.html</w:t>
        </w:r>
      </w:hyperlink>
      <w:r>
        <w:rPr>
          <w:rFonts w:ascii="Palatino Linotype" w:eastAsia="Palatino Linotype" w:hAnsi="Palatino Linotype" w:cs="Palatino Linotype"/>
          <w:sz w:val="22"/>
          <w:szCs w:val="22"/>
        </w:rPr>
        <w:t xml:space="preserve"> </w:t>
      </w:r>
    </w:p>
    <w:p w14:paraId="0430DDAC" w14:textId="77777777" w:rsidR="00AC237C" w:rsidRDefault="00BF7E9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 la entrega del segundo equipamiento a la policía municipal de Texcoco y la promesa de que en los próximos días se haga lo mismo a la unidad de Protección Civil; la presidenta municipal de Texcoco, Sandra Luz Falcón Venegas, regidores y directores de área dotaron de un total de 55 unidades nuevas a la Dirección de Seguridad Pública, en donde la alcaldesa recalcó “Nosotros hacemos lo que nos toca desde el gobierno municipal y ustedes en las comunidades nos cuidan”.</w:t>
      </w:r>
    </w:p>
    <w:p w14:paraId="61B4D3BE" w14:textId="77777777" w:rsidR="00AC237C" w:rsidRDefault="00AC237C">
      <w:pPr>
        <w:spacing w:line="360" w:lineRule="auto"/>
        <w:ind w:right="49"/>
        <w:jc w:val="both"/>
        <w:rPr>
          <w:rFonts w:ascii="Palatino Linotype" w:eastAsia="Palatino Linotype" w:hAnsi="Palatino Linotype" w:cs="Palatino Linotype"/>
        </w:rPr>
      </w:pPr>
    </w:p>
    <w:p w14:paraId="712C0C11" w14:textId="77777777" w:rsidR="00AC237C" w:rsidRDefault="00BF7E93">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 Informe de Gobierno del Ayuntamiento de Texcoco, 2022-2024: </w:t>
      </w:r>
    </w:p>
    <w:p w14:paraId="41D7E588" w14:textId="77777777" w:rsidR="00AC237C" w:rsidRDefault="00BF7E93">
      <w:pPr>
        <w:spacing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Publicado en la liga electrónica: </w:t>
      </w:r>
      <w:hyperlink r:id="rId16">
        <w:r>
          <w:rPr>
            <w:rFonts w:ascii="Palatino Linotype" w:eastAsia="Palatino Linotype" w:hAnsi="Palatino Linotype" w:cs="Palatino Linotype"/>
            <w:color w:val="0000FF"/>
            <w:sz w:val="22"/>
            <w:szCs w:val="22"/>
            <w:u w:val="single"/>
          </w:rPr>
          <w:t>https://www.texcocoedomex.gob.mx/Documentos/Informe2022.pdf</w:t>
        </w:r>
      </w:hyperlink>
      <w:r>
        <w:rPr>
          <w:rFonts w:ascii="Palatino Linotype" w:eastAsia="Palatino Linotype" w:hAnsi="Palatino Linotype" w:cs="Palatino Linotype"/>
          <w:b/>
          <w:sz w:val="22"/>
          <w:szCs w:val="22"/>
        </w:rPr>
        <w:t xml:space="preserve"> </w:t>
      </w:r>
    </w:p>
    <w:p w14:paraId="128D67E7" w14:textId="77777777" w:rsidR="00AC237C" w:rsidRDefault="00BF7E93">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“PILAR 5. MUNICIPIO CON SEGURIDAD Y JUSTICIA</w:t>
      </w:r>
    </w:p>
    <w:p w14:paraId="55D7C60F" w14:textId="77777777" w:rsidR="00AC237C" w:rsidRDefault="00BF7E93">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5.1.2 Administración</w:t>
      </w:r>
    </w:p>
    <w:p w14:paraId="51D60FAE" w14:textId="77777777" w:rsidR="00AC237C" w:rsidRDefault="00BF7E93">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5.1.2.2 Parque Vehicular</w:t>
      </w:r>
    </w:p>
    <w:p w14:paraId="1C246513" w14:textId="77777777" w:rsidR="00AC237C" w:rsidRDefault="00BF7E93">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Ante la necesidad de contar con equipamiento adecuado para el desarrollo de las funciones del personal operativo, </w:t>
      </w:r>
      <w:r>
        <w:rPr>
          <w:rFonts w:ascii="Palatino Linotype" w:eastAsia="Palatino Linotype" w:hAnsi="Palatino Linotype" w:cs="Palatino Linotype"/>
          <w:b/>
          <w:i/>
          <w:u w:val="single"/>
        </w:rPr>
        <w:t>invertimos en la renovación del parque vehicular</w:t>
      </w:r>
      <w:r>
        <w:rPr>
          <w:rFonts w:ascii="Palatino Linotype" w:eastAsia="Palatino Linotype" w:hAnsi="Palatino Linotype" w:cs="Palatino Linotype"/>
          <w:i/>
        </w:rPr>
        <w:t xml:space="preserve"> cambiando de sedan a vehículos tipo pick up, estas unidades nos permitieron llegar con mayor rapidez a los auxilios ciudadanos.” (Énfasis añadido)</w:t>
      </w:r>
    </w:p>
    <w:p w14:paraId="3B463BBB" w14:textId="77777777" w:rsidR="00AC237C" w:rsidRDefault="00BF7E9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orden de ideas, sobre el valor probatorio de las notas periodísticas citadas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i/>
        </w:rPr>
        <w:t>NOTAS PERIODISTICAS, EL CONOCIMIENTO QUE DE ELLAS SE OBTIENE NO CONSTITUYE ‘UN HECHO PUBLICO Y NOTORIO”</w:t>
      </w:r>
      <w:r>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Pr>
          <w:rFonts w:ascii="Palatino Linotype" w:eastAsia="Palatino Linotype" w:hAnsi="Palatino Linotype" w:cs="Palatino Linotype"/>
          <w:b/>
        </w:rPr>
        <w:t>indicios</w:t>
      </w:r>
      <w:r>
        <w:rPr>
          <w:rFonts w:ascii="Palatino Linotype" w:eastAsia="Palatino Linotype" w:hAnsi="Palatino Linotype" w:cs="Palatino Linotype"/>
        </w:rPr>
        <w:t>, sin embargo, no puede perderse de vista que también se localizaron documentos oficiales generados por el propio Ayuntamiento obra información relativa a la compra de patrullas.</w:t>
      </w:r>
    </w:p>
    <w:p w14:paraId="106E46C2" w14:textId="77777777" w:rsidR="00AC237C" w:rsidRDefault="00BF7E9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Acotado lo anterior, conviene señalar que la Ley de Contratación Pública del Estado de México y Municipios, tiene por objeto regular los actos relativos a la planeación, programación, </w:t>
      </w:r>
      <w:proofErr w:type="spellStart"/>
      <w:r>
        <w:rPr>
          <w:rFonts w:ascii="Palatino Linotype" w:eastAsia="Palatino Linotype" w:hAnsi="Palatino Linotype" w:cs="Palatino Linotype"/>
          <w:color w:val="000000"/>
        </w:rPr>
        <w:t>presupuestación</w:t>
      </w:r>
      <w:proofErr w:type="spellEnd"/>
      <w:r>
        <w:rPr>
          <w:rFonts w:ascii="Palatino Linotype" w:eastAsia="Palatino Linotype" w:hAnsi="Palatino Linotype" w:cs="Palatino Linotype"/>
          <w:color w:val="000000"/>
        </w:rPr>
        <w:t xml:space="preserve">, ejecución y control de la </w:t>
      </w:r>
      <w:r>
        <w:rPr>
          <w:rFonts w:ascii="Palatino Linotype" w:eastAsia="Palatino Linotype" w:hAnsi="Palatino Linotype" w:cs="Palatino Linotype"/>
          <w:b/>
          <w:color w:val="000000"/>
          <w:u w:val="single"/>
        </w:rPr>
        <w:t>adquisición</w:t>
      </w:r>
      <w:r>
        <w:rPr>
          <w:rFonts w:ascii="Palatino Linotype" w:eastAsia="Palatino Linotype" w:hAnsi="Palatino Linotype" w:cs="Palatino Linotype"/>
          <w:color w:val="000000"/>
        </w:rPr>
        <w:t xml:space="preserve">, enajenación y arrendamiento </w:t>
      </w:r>
      <w:r>
        <w:rPr>
          <w:rFonts w:ascii="Palatino Linotype" w:eastAsia="Palatino Linotype" w:hAnsi="Palatino Linotype" w:cs="Palatino Linotype"/>
          <w:b/>
          <w:color w:val="000000"/>
          <w:u w:val="single"/>
        </w:rPr>
        <w:t>de bienes</w:t>
      </w:r>
      <w:r>
        <w:rPr>
          <w:rFonts w:ascii="Palatino Linotype" w:eastAsia="Palatino Linotype" w:hAnsi="Palatino Linotype" w:cs="Palatino Linotype"/>
          <w:color w:val="000000"/>
        </w:rPr>
        <w:t xml:space="preserve">, y la </w:t>
      </w:r>
      <w:r>
        <w:rPr>
          <w:rFonts w:ascii="Palatino Linotype" w:eastAsia="Palatino Linotype" w:hAnsi="Palatino Linotype" w:cs="Palatino Linotype"/>
          <w:b/>
          <w:color w:val="000000"/>
          <w:u w:val="single"/>
        </w:rPr>
        <w:t>contratación de servicios de cualquier naturaleza, que realicen los Ayuntamientos del Estado</w:t>
      </w:r>
      <w:r>
        <w:rPr>
          <w:rFonts w:ascii="Palatino Linotype" w:eastAsia="Palatino Linotype" w:hAnsi="Palatino Linotype" w:cs="Palatino Linotype"/>
          <w:color w:val="000000"/>
        </w:rPr>
        <w:t xml:space="preserve">; los cuales se adjudicarán a través de </w:t>
      </w:r>
      <w:r>
        <w:rPr>
          <w:rFonts w:ascii="Palatino Linotype" w:eastAsia="Palatino Linotype" w:hAnsi="Palatino Linotype" w:cs="Palatino Linotype"/>
          <w:b/>
          <w:color w:val="000000"/>
          <w:u w:val="single"/>
        </w:rPr>
        <w:t>licitaciones públicas</w:t>
      </w:r>
      <w:r>
        <w:rPr>
          <w:rFonts w:ascii="Palatino Linotype" w:eastAsia="Palatino Linotype" w:hAnsi="Palatino Linotype" w:cs="Palatino Linotype"/>
          <w:color w:val="000000"/>
        </w:rPr>
        <w:t xml:space="preserve">, invitación restringida o adjudicación directa, mediante </w:t>
      </w:r>
      <w:r>
        <w:rPr>
          <w:rFonts w:ascii="Palatino Linotype" w:eastAsia="Palatino Linotype" w:hAnsi="Palatino Linotype" w:cs="Palatino Linotype"/>
          <w:color w:val="000000"/>
        </w:rPr>
        <w:lastRenderedPageBreak/>
        <w:t>convocatoria pública, tal y como lo establecen los artículos 4, 26 y 27 de dicha Ley, los cuales son del tenor siguiente:</w:t>
      </w:r>
    </w:p>
    <w:p w14:paraId="719D4170" w14:textId="77777777" w:rsidR="00AC237C" w:rsidRDefault="00AC237C">
      <w:pPr>
        <w:jc w:val="both"/>
        <w:rPr>
          <w:rFonts w:ascii="Palatino Linotype" w:eastAsia="Palatino Linotype" w:hAnsi="Palatino Linotype" w:cs="Palatino Linotype"/>
        </w:rPr>
      </w:pPr>
    </w:p>
    <w:p w14:paraId="38E45209" w14:textId="77777777" w:rsidR="00AC237C" w:rsidRDefault="00BF7E9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2A2BEFEC" w14:textId="77777777" w:rsidR="00AC237C" w:rsidRDefault="00BF7E93">
      <w:pPr>
        <w:spacing w:line="276" w:lineRule="auto"/>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 La adquisición de bienes muebles. </w:t>
      </w:r>
    </w:p>
    <w:p w14:paraId="72A0039A" w14:textId="77777777" w:rsidR="00AC237C" w:rsidRDefault="00BF7E9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adquisición de bienes inmuebles, a través de compraventa. </w:t>
      </w:r>
    </w:p>
    <w:p w14:paraId="7FB72719" w14:textId="77777777" w:rsidR="00AC237C" w:rsidRDefault="00BF7E9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enajenación de bienes muebles e inmuebles. </w:t>
      </w:r>
    </w:p>
    <w:p w14:paraId="3063E989" w14:textId="77777777" w:rsidR="00AC237C" w:rsidRDefault="00BF7E9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IV. El arrendamiento de bienes muebles</w:t>
      </w:r>
      <w:r>
        <w:rPr>
          <w:rFonts w:ascii="Palatino Linotype" w:eastAsia="Palatino Linotype" w:hAnsi="Palatino Linotype" w:cs="Palatino Linotype"/>
          <w:i/>
          <w:sz w:val="22"/>
          <w:szCs w:val="22"/>
        </w:rPr>
        <w:t xml:space="preserve"> e inmuebles. </w:t>
      </w:r>
    </w:p>
    <w:p w14:paraId="04030590" w14:textId="77777777" w:rsidR="00AC237C" w:rsidRDefault="00BF7E93">
      <w:pPr>
        <w:spacing w:line="276" w:lineRule="auto"/>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V. La contratación de los servicios, relacionados con bienes muebles que se encuentran incorporados o adheridos a bienes inmuebles, cuya instalación o mantenimiento no implique modificación al bien inmueble. </w:t>
      </w:r>
    </w:p>
    <w:p w14:paraId="02F92229" w14:textId="77777777" w:rsidR="00AC237C" w:rsidRDefault="00BF7E9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 contratación de los servicios de reconstrucción y mantenimiento de bienes muebles. </w:t>
      </w:r>
    </w:p>
    <w:p w14:paraId="2AA01EE4" w14:textId="77777777" w:rsidR="00AC237C" w:rsidRDefault="00BF7E9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VII. La contratación de los servicios </w:t>
      </w:r>
      <w:r>
        <w:rPr>
          <w:rFonts w:ascii="Palatino Linotype" w:eastAsia="Palatino Linotype" w:hAnsi="Palatino Linotype" w:cs="Palatino Linotype"/>
          <w:i/>
          <w:sz w:val="22"/>
          <w:szCs w:val="22"/>
        </w:rPr>
        <w:t>de maquila, seguros y transportación, así como de los de limpieza y vigilancia de bienes inmuebles</w:t>
      </w:r>
    </w:p>
    <w:p w14:paraId="5BCDD9CF" w14:textId="77777777" w:rsidR="00AC237C" w:rsidRDefault="00BF7E9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0329C7E6" w14:textId="77777777" w:rsidR="00AC237C" w:rsidRDefault="00BF7E93">
      <w:pPr>
        <w:spacing w:line="276" w:lineRule="auto"/>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En general, otros actos que impliquen la contratación de servicios de cualquier naturaleza.</w:t>
      </w:r>
    </w:p>
    <w:p w14:paraId="74E67308" w14:textId="77777777" w:rsidR="00AC237C" w:rsidRDefault="00BF7E93">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47D7E7C1" w14:textId="77777777" w:rsidR="00AC237C" w:rsidRDefault="00AC237C">
      <w:pPr>
        <w:spacing w:line="276" w:lineRule="auto"/>
        <w:ind w:left="567" w:right="567"/>
        <w:jc w:val="both"/>
        <w:rPr>
          <w:rFonts w:ascii="Palatino Linotype" w:eastAsia="Palatino Linotype" w:hAnsi="Palatino Linotype" w:cs="Palatino Linotype"/>
          <w:b/>
          <w:i/>
          <w:sz w:val="22"/>
          <w:szCs w:val="22"/>
        </w:rPr>
      </w:pPr>
    </w:p>
    <w:p w14:paraId="40E2AC9B" w14:textId="77777777" w:rsidR="00AC237C" w:rsidRDefault="00BF7E9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27.- </w:t>
      </w:r>
      <w:r>
        <w:rPr>
          <w:rFonts w:ascii="Palatino Linotype" w:eastAsia="Palatino Linotype" w:hAnsi="Palatino Linotype" w:cs="Palatino Linotype"/>
          <w:i/>
          <w:sz w:val="22"/>
          <w:szCs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530499D0" w14:textId="77777777" w:rsidR="00AC237C" w:rsidRDefault="00BF7E93">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Invitación restringida. </w:t>
      </w:r>
    </w:p>
    <w:p w14:paraId="728DA2CA" w14:textId="77777777" w:rsidR="00AC237C" w:rsidRDefault="00BF7E93">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Adjudicación directa.” </w:t>
      </w:r>
      <w:r>
        <w:rPr>
          <w:rFonts w:ascii="Palatino Linotype" w:eastAsia="Palatino Linotype" w:hAnsi="Palatino Linotype" w:cs="Palatino Linotype"/>
          <w:i/>
          <w:sz w:val="22"/>
          <w:szCs w:val="22"/>
        </w:rPr>
        <w:t xml:space="preserve">(Énfasis añadido) </w:t>
      </w:r>
    </w:p>
    <w:p w14:paraId="3EAB249B" w14:textId="77777777" w:rsidR="00AC237C" w:rsidRDefault="00AC237C">
      <w:pPr>
        <w:ind w:left="567" w:right="567"/>
        <w:jc w:val="both"/>
        <w:rPr>
          <w:rFonts w:ascii="Palatino Linotype" w:eastAsia="Palatino Linotype" w:hAnsi="Palatino Linotype" w:cs="Palatino Linotype"/>
          <w:sz w:val="22"/>
          <w:szCs w:val="22"/>
        </w:rPr>
      </w:pPr>
    </w:p>
    <w:p w14:paraId="46A826A6"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lo que respecta sobre la licitación pública, el artículo 29 de la Ley de la Contratación Pública en mención, indica que en este procedimiento deberán establecerse los mismos requisitos y condiciones para todos los licitantes. Todo </w:t>
      </w:r>
      <w:r>
        <w:rPr>
          <w:rFonts w:ascii="Palatino Linotype" w:eastAsia="Palatino Linotype" w:hAnsi="Palatino Linotype" w:cs="Palatino Linotype"/>
        </w:rPr>
        <w:lastRenderedPageBreak/>
        <w:t xml:space="preserve">licitante que satisfaga los requisitos de la convocatoria y de las bases de la licitación tendrá derecho a presentar su propuesta. </w:t>
      </w:r>
    </w:p>
    <w:p w14:paraId="3BDF8E10" w14:textId="77777777" w:rsidR="00AC237C" w:rsidRDefault="00AC237C">
      <w:pPr>
        <w:spacing w:line="360" w:lineRule="auto"/>
        <w:jc w:val="both"/>
        <w:rPr>
          <w:rFonts w:ascii="Palatino Linotype" w:eastAsia="Palatino Linotype" w:hAnsi="Palatino Linotype" w:cs="Palatino Linotype"/>
        </w:rPr>
      </w:pPr>
    </w:p>
    <w:p w14:paraId="0A59DAE6"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342F704A" w14:textId="77777777" w:rsidR="00AC237C" w:rsidRDefault="00AC237C">
      <w:pPr>
        <w:spacing w:line="360" w:lineRule="auto"/>
        <w:jc w:val="both"/>
        <w:rPr>
          <w:rFonts w:ascii="Palatino Linotype" w:eastAsia="Palatino Linotype" w:hAnsi="Palatino Linotype" w:cs="Palatino Linotype"/>
        </w:rPr>
      </w:pPr>
    </w:p>
    <w:p w14:paraId="1AF38C58"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en </w:t>
      </w:r>
      <w:r>
        <w:rPr>
          <w:rFonts w:ascii="Palatino Linotype" w:eastAsia="Palatino Linotype" w:hAnsi="Palatino Linotype" w:cs="Palatino Linotype"/>
          <w:b/>
          <w:color w:val="000000"/>
          <w:u w:val="single"/>
        </w:rPr>
        <w:t>las licitaciones</w:t>
      </w:r>
      <w:r>
        <w:rPr>
          <w:rFonts w:ascii="Palatino Linotype" w:eastAsia="Palatino Linotype" w:hAnsi="Palatino Linotype" w:cs="Palatino Linotype"/>
          <w:color w:val="000000"/>
        </w:rPr>
        <w:t xml:space="preserve"> se debe seguir el procedimiento marcado en el artículo 35 del precitado ordenamiento, que literalmente establece:</w:t>
      </w:r>
    </w:p>
    <w:p w14:paraId="0C5BCE0F" w14:textId="77777777" w:rsidR="00AC237C" w:rsidRDefault="00BF7E93">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35</w:t>
      </w:r>
      <w:r>
        <w:rPr>
          <w:rFonts w:ascii="Palatino Linotype" w:eastAsia="Palatino Linotype" w:hAnsi="Palatino Linotype" w:cs="Palatino Linotype"/>
          <w:i/>
          <w:color w:val="000000"/>
          <w:sz w:val="22"/>
          <w:szCs w:val="22"/>
        </w:rPr>
        <w:t>.- En los procedimientos de licitación pública se observará lo siguiente:</w:t>
      </w:r>
    </w:p>
    <w:p w14:paraId="38FCD0DE" w14:textId="77777777" w:rsidR="00AC237C" w:rsidRDefault="00BF7E93">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I. El acto de presentación y apertura de propuestas se llevará a cabo por el servidor público que designe la convocante, conforme al procedimiento que se establezca en el reglamento de esta Ley.</w:t>
      </w:r>
    </w:p>
    <w:p w14:paraId="55E5B00F" w14:textId="77777777" w:rsidR="00AC237C" w:rsidRDefault="00BF7E93">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14:paraId="67A0205D" w14:textId="77777777" w:rsidR="00AC237C" w:rsidRDefault="00BF7E93">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050685BA" w14:textId="77777777" w:rsidR="00AC237C" w:rsidRDefault="00BF7E93">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IV. Las convocantes podrán modificar los plazos y términos establecidos en la convocatoria o en las bases de licitación, hasta cinco días hábiles anteriores a la fecha de la celebración del acto de presentación y apertura de propuestas.</w:t>
      </w:r>
    </w:p>
    <w:p w14:paraId="6644E04C" w14:textId="77777777" w:rsidR="00AC237C" w:rsidRDefault="00BF7E93">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lastRenderedPageBreak/>
        <w:t>V. Las modificaciones no podrán limitar el número de licitantes, sustituir o variar sustancialmente los bienes o servicios convocados originalmente, ni adicionar otros distintos.</w:t>
      </w:r>
    </w:p>
    <w:p w14:paraId="7B5DB87F" w14:textId="77777777" w:rsidR="00AC237C" w:rsidRDefault="00BF7E93">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VI. Las modificaciones a la convocatoria o a las bases se harán del conocimiento de los interesados hasta tres días hábiles antes de la fecha señalada para el acto de presentación y apertura de propuestas.</w:t>
      </w:r>
    </w:p>
    <w:p w14:paraId="557BC7C3" w14:textId="77777777" w:rsidR="00AC237C" w:rsidRDefault="00BF7E93">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VII. Se emitirá el fallo dentro de los 15 días hábiles siguientes a la publicación de la convocatoria.</w:t>
      </w:r>
    </w:p>
    <w:p w14:paraId="08AB65C6" w14:textId="77777777" w:rsidR="00AC237C" w:rsidRDefault="00BF7E93">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VIII. Los licitantes se podrán registrar hasta el día y la hora fijados para el acto de presentación y apertura de propuestas.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w:t>
      </w:r>
    </w:p>
    <w:p w14:paraId="326C1FEB"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precepto legal, se desprende que al </w:t>
      </w:r>
      <w:r>
        <w:rPr>
          <w:rFonts w:ascii="Palatino Linotype" w:eastAsia="Palatino Linotype" w:hAnsi="Palatino Linotype" w:cs="Palatino Linotype"/>
          <w:b/>
          <w:color w:val="000000"/>
        </w:rPr>
        <w:t>Comité de Adquisiciones y Servicios</w:t>
      </w:r>
      <w:r>
        <w:rPr>
          <w:rFonts w:ascii="Palatino Linotype" w:eastAsia="Palatino Linotype" w:hAnsi="Palatino Linotype" w:cs="Palatino Linotype"/>
          <w:color w:val="000000"/>
        </w:rPr>
        <w:t>,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79113CAE"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respecto al </w:t>
      </w:r>
      <w:r>
        <w:rPr>
          <w:rFonts w:ascii="Palatino Linotype" w:eastAsia="Palatino Linotype" w:hAnsi="Palatino Linotype" w:cs="Palatino Linotype"/>
          <w:b/>
          <w:color w:val="000000"/>
          <w:u w:val="single"/>
        </w:rPr>
        <w:t>dictamen y el fallo de la adjudicación</w:t>
      </w:r>
      <w:r>
        <w:rPr>
          <w:rFonts w:ascii="Palatino Linotype" w:eastAsia="Palatino Linotype" w:hAnsi="Palatino Linotype" w:cs="Palatino Linotype"/>
          <w:color w:val="000000"/>
        </w:rPr>
        <w:t>, es de señalar que la Ley en mención indica lo siguiente:</w:t>
      </w:r>
    </w:p>
    <w:p w14:paraId="2551D5E6"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37.-</w:t>
      </w:r>
      <w:r>
        <w:rPr>
          <w:rFonts w:ascii="Palatino Linotype" w:eastAsia="Palatino Linotype" w:hAnsi="Palatino Linotype" w:cs="Palatino Linotype"/>
          <w:i/>
          <w:color w:val="000000"/>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4F87A79A"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Artículo 38.-</w:t>
      </w:r>
      <w:r>
        <w:rPr>
          <w:rFonts w:ascii="Palatino Linotype" w:eastAsia="Palatino Linotype" w:hAnsi="Palatino Linotype" w:cs="Palatino Linotype"/>
          <w:i/>
          <w:color w:val="000000"/>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2235B0FD" w14:textId="77777777" w:rsidR="00AC237C" w:rsidRDefault="00BF7E93">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w:t>
      </w:r>
    </w:p>
    <w:p w14:paraId="00D39EEC"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artículo 67, 68, 73, 74, 75, 76, 77, 78, 79, 80, 81 y 94, del referido Reglamento, detalla el procedimiento que se llevará a cabo en la adjudicación directa, así como lo relacionado a la junta de aclaraciones, de la siguiente manera: </w:t>
      </w:r>
    </w:p>
    <w:p w14:paraId="51848260" w14:textId="77777777" w:rsidR="00AC237C" w:rsidRDefault="00AC237C">
      <w:pPr>
        <w:jc w:val="both"/>
        <w:rPr>
          <w:rFonts w:ascii="Palatino Linotype" w:eastAsia="Palatino Linotype" w:hAnsi="Palatino Linotype" w:cs="Palatino Linotype"/>
        </w:rPr>
      </w:pPr>
    </w:p>
    <w:p w14:paraId="638A7105"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67.-</w:t>
      </w:r>
      <w:r>
        <w:rPr>
          <w:rFonts w:ascii="Palatino Linotype" w:eastAsia="Palatino Linotype" w:hAnsi="Palatino Linotype" w:cs="Palatino Linotype"/>
          <w:i/>
          <w:sz w:val="22"/>
          <w:szCs w:val="22"/>
        </w:rPr>
        <w:t xml:space="preserve"> El procedimiento de licitación pública comprende las siguientes fases: </w:t>
      </w:r>
    </w:p>
    <w:p w14:paraId="511EB172"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Publicación de la convocatoria; </w:t>
      </w:r>
    </w:p>
    <w:p w14:paraId="218A3A15"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Venta de las bases de licitación; </w:t>
      </w:r>
    </w:p>
    <w:p w14:paraId="4EE2FF09"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Visita, en su caso, al sitio donde se vayan a suministrar los bienes o a prestar los servicios; </w:t>
      </w:r>
    </w:p>
    <w:p w14:paraId="755EDA14" w14:textId="77777777" w:rsidR="00AC237C" w:rsidRDefault="00BF7E93">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IV. Junta de aclaraciones, en su caso; </w:t>
      </w:r>
    </w:p>
    <w:p w14:paraId="52E11AFD"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Acto de presentación y apertura de propuestas; </w:t>
      </w:r>
    </w:p>
    <w:p w14:paraId="20D54124"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Análisis y evaluación de propuestas; </w:t>
      </w:r>
    </w:p>
    <w:p w14:paraId="3030C4C4"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Dictamen de adjudicación; </w:t>
      </w:r>
    </w:p>
    <w:p w14:paraId="59F96001"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Fallo; </w:t>
      </w:r>
    </w:p>
    <w:p w14:paraId="4EE4E72C"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Suscripción del contrato; y </w:t>
      </w:r>
    </w:p>
    <w:p w14:paraId="3E855089"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Suministro de los bienes o inicio de la prestación del servicio.</w:t>
      </w:r>
    </w:p>
    <w:p w14:paraId="1B6F7189" w14:textId="77777777" w:rsidR="00AC237C" w:rsidRDefault="00AC237C">
      <w:pPr>
        <w:ind w:left="567" w:right="567"/>
        <w:jc w:val="both"/>
        <w:rPr>
          <w:rFonts w:ascii="Palatino Linotype" w:eastAsia="Palatino Linotype" w:hAnsi="Palatino Linotype" w:cs="Palatino Linotype"/>
          <w:i/>
          <w:sz w:val="22"/>
          <w:szCs w:val="22"/>
        </w:rPr>
      </w:pPr>
    </w:p>
    <w:p w14:paraId="1D635F7A"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68.- </w:t>
      </w:r>
      <w:r>
        <w:rPr>
          <w:rFonts w:ascii="Palatino Linotype" w:eastAsia="Palatino Linotype" w:hAnsi="Palatino Linotype" w:cs="Palatino Linotype"/>
          <w:i/>
          <w:sz w:val="22"/>
          <w:szCs w:val="22"/>
        </w:rPr>
        <w:t>En el procedimiento de licitación pública se observará lo siguiente:</w:t>
      </w:r>
    </w:p>
    <w:p w14:paraId="08528279"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convocante con base en las necesidades de las unidades administrativas solicitantes de la adquisición de bienes o la contratación de servicios, y atendiendo a las características de los mismos, </w:t>
      </w:r>
      <w:r>
        <w:rPr>
          <w:rFonts w:ascii="Palatino Linotype" w:eastAsia="Palatino Linotype" w:hAnsi="Palatino Linotype" w:cs="Palatino Linotype"/>
          <w:b/>
          <w:i/>
          <w:sz w:val="22"/>
          <w:szCs w:val="22"/>
        </w:rPr>
        <w:t>programará las fechas en que tendrá verificativo la junta de aclaraciones</w:t>
      </w:r>
      <w:r>
        <w:rPr>
          <w:rFonts w:ascii="Palatino Linotype" w:eastAsia="Palatino Linotype" w:hAnsi="Palatino Linotype" w:cs="Palatino Linotype"/>
          <w:i/>
          <w:sz w:val="22"/>
          <w:szCs w:val="22"/>
        </w:rPr>
        <w:t>, en su caso, y el acto de presentación y apertura de propuestas, y fallo, dentro del plazo de quince días hábiles siguientes a la publicación de la convocatoria;</w:t>
      </w:r>
    </w:p>
    <w:p w14:paraId="60640371"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venta de bases iniciará a partir del día de publicación de la convocatoria y concluirá el día hábil anterior al día de celebración de la junta de aclaraciones. </w:t>
      </w:r>
    </w:p>
    <w:p w14:paraId="77E4FBAF"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u w:val="single"/>
        </w:rPr>
        <w:lastRenderedPageBreak/>
        <w:t>Cuando no se celebre junta de aclarac</w:t>
      </w:r>
      <w:r>
        <w:rPr>
          <w:rFonts w:ascii="Palatino Linotype" w:eastAsia="Palatino Linotype" w:hAnsi="Palatino Linotype" w:cs="Palatino Linotype"/>
          <w:i/>
          <w:sz w:val="22"/>
          <w:szCs w:val="22"/>
        </w:rPr>
        <w:t xml:space="preserve">iones, la venta de bases concluirá el día hábil anterior a la celebración del acto de presentación y apertura de propuestas. </w:t>
      </w:r>
    </w:p>
    <w:p w14:paraId="26986F86"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todo caso, el plazo de venta de bases no será menor a tres días hábiles contados a partir del día de la publicación de la convocatoria; </w:t>
      </w:r>
    </w:p>
    <w:p w14:paraId="40FB2067"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convocante podrá modificar la convocatoria o las bases dentro de los cinco días hábiles anteriores a la fecha de la celebración del acto de presentación y apertura de propuestas. </w:t>
      </w:r>
    </w:p>
    <w:p w14:paraId="7D16D626"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u w:val="single"/>
        </w:rPr>
        <w:t>En caso de que no se celebre junta de aclaraciones</w:t>
      </w:r>
      <w:r>
        <w:rPr>
          <w:rFonts w:ascii="Palatino Linotype" w:eastAsia="Palatino Linotype" w:hAnsi="Palatino Linotype" w:cs="Palatino Linotype"/>
          <w:i/>
          <w:sz w:val="22"/>
          <w:szCs w:val="22"/>
        </w:rPr>
        <w:t xml:space="preserve"> y se hagan modificaciones a la convocatoria o a las bases, se ajustará el plazo programado para la celebración del acto de presentación y apertura de propuestas; </w:t>
      </w:r>
    </w:p>
    <w:p w14:paraId="70225BA0"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14:paraId="7121F1A6"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u w:val="single"/>
        </w:rPr>
        <w:t>V</w:t>
      </w:r>
      <w:r>
        <w:rPr>
          <w:rFonts w:ascii="Palatino Linotype" w:eastAsia="Palatino Linotype" w:hAnsi="Palatino Linotype" w:cs="Palatino Linotype"/>
          <w:b/>
          <w:i/>
          <w:sz w:val="22"/>
          <w:szCs w:val="22"/>
          <w:u w:val="single"/>
        </w:rPr>
        <w:t>. La junta de aclaraciones</w:t>
      </w:r>
      <w:r>
        <w:rPr>
          <w:rFonts w:ascii="Palatino Linotype" w:eastAsia="Palatino Linotype" w:hAnsi="Palatino Linotype" w:cs="Palatino Linotype"/>
          <w:i/>
          <w:sz w:val="22"/>
          <w:szCs w:val="22"/>
          <w:u w:val="single"/>
        </w:rPr>
        <w:t xml:space="preserve"> deberá realizarse tres días hábiles antes de la celebración del acto de presentación y apertura de propuestas</w:t>
      </w:r>
      <w:r>
        <w:rPr>
          <w:rFonts w:ascii="Palatino Linotype" w:eastAsia="Palatino Linotype" w:hAnsi="Palatino Linotype" w:cs="Palatino Linotype"/>
          <w:i/>
          <w:sz w:val="22"/>
          <w:szCs w:val="22"/>
        </w:rPr>
        <w:t>. Las modificaciones que se deriven de la junta de aclaraciones formarán parte integral de las bases y se entregará copia simple del acta correspondiente a las personas que acrediten haberlas adquirido.</w:t>
      </w:r>
    </w:p>
    <w:p w14:paraId="3E405621" w14:textId="77777777" w:rsidR="00AC237C" w:rsidRDefault="00AC237C">
      <w:pPr>
        <w:ind w:left="567" w:right="567"/>
        <w:jc w:val="both"/>
        <w:rPr>
          <w:rFonts w:ascii="Palatino Linotype" w:eastAsia="Palatino Linotype" w:hAnsi="Palatino Linotype" w:cs="Palatino Linotype"/>
          <w:b/>
          <w:i/>
          <w:sz w:val="22"/>
          <w:szCs w:val="22"/>
        </w:rPr>
      </w:pPr>
    </w:p>
    <w:p w14:paraId="45350E53"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73.-</w:t>
      </w:r>
      <w:r>
        <w:rPr>
          <w:rFonts w:ascii="Palatino Linotype" w:eastAsia="Palatino Linotype" w:hAnsi="Palatino Linotype" w:cs="Palatino Linotype"/>
          <w:i/>
          <w:sz w:val="22"/>
          <w:szCs w:val="22"/>
        </w:rPr>
        <w:t xml:space="preserve"> La junta tiene por objeto aclarar a los interesados, los aspectos y lineamientos establecidos en la convocatoria y bases. </w:t>
      </w:r>
    </w:p>
    <w:p w14:paraId="1F7353EE" w14:textId="77777777" w:rsidR="00AC237C" w:rsidRDefault="00AC237C">
      <w:pPr>
        <w:ind w:left="567" w:right="567"/>
        <w:jc w:val="both"/>
        <w:rPr>
          <w:rFonts w:ascii="Palatino Linotype" w:eastAsia="Palatino Linotype" w:hAnsi="Palatino Linotype" w:cs="Palatino Linotype"/>
          <w:i/>
          <w:sz w:val="22"/>
          <w:szCs w:val="22"/>
        </w:rPr>
      </w:pPr>
    </w:p>
    <w:p w14:paraId="266799C5"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74.-</w:t>
      </w:r>
      <w:r>
        <w:rPr>
          <w:rFonts w:ascii="Palatino Linotype" w:eastAsia="Palatino Linotype" w:hAnsi="Palatino Linotype" w:cs="Palatino Linotype"/>
          <w:i/>
          <w:sz w:val="22"/>
          <w:szCs w:val="22"/>
        </w:rPr>
        <w:t xml:space="preserve"> La asistencia a la junta de aclaraciones es optativa. Las personas que deseen asistir y acrediten haber adquirido las bases, se deberán registrar dentro de los treinta minutos anteriores a la hora programada para la celebración de la junta de aclaraciones. </w:t>
      </w:r>
    </w:p>
    <w:p w14:paraId="6F82D8E7" w14:textId="77777777" w:rsidR="00AC237C" w:rsidRDefault="00AC237C">
      <w:pPr>
        <w:ind w:left="567" w:right="567"/>
        <w:jc w:val="both"/>
        <w:rPr>
          <w:rFonts w:ascii="Palatino Linotype" w:eastAsia="Palatino Linotype" w:hAnsi="Palatino Linotype" w:cs="Palatino Linotype"/>
          <w:i/>
          <w:sz w:val="22"/>
          <w:szCs w:val="22"/>
        </w:rPr>
      </w:pPr>
    </w:p>
    <w:p w14:paraId="09C81AEB"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75.-</w:t>
      </w:r>
      <w:r>
        <w:rPr>
          <w:rFonts w:ascii="Palatino Linotype" w:eastAsia="Palatino Linotype" w:hAnsi="Palatino Linotype" w:cs="Palatino Linotype"/>
          <w:i/>
          <w:sz w:val="22"/>
          <w:szCs w:val="22"/>
        </w:rPr>
        <w:t xml:space="preserve"> Las solicitudes de aclaraciones deberán enviarse a través de COMPRAMEX o entregarlas personalmente a la convocante, a más tardar veinticuatro horas antes de la fecha y hora en que se vaya a realizar la junta de aclaraciones; en todo caso deberá acompañarse a dichas solicitudes una versión electrónica. Las solicitudes que se envíen con posterioridad al plazo señalado no serán contestadas por la convocante. </w:t>
      </w:r>
    </w:p>
    <w:p w14:paraId="5CBD6CBB" w14:textId="77777777" w:rsidR="00AC237C" w:rsidRDefault="00AC237C">
      <w:pPr>
        <w:ind w:left="567" w:right="567"/>
        <w:jc w:val="both"/>
        <w:rPr>
          <w:rFonts w:ascii="Palatino Linotype" w:eastAsia="Palatino Linotype" w:hAnsi="Palatino Linotype" w:cs="Palatino Linotype"/>
          <w:i/>
          <w:sz w:val="22"/>
          <w:szCs w:val="22"/>
        </w:rPr>
      </w:pPr>
    </w:p>
    <w:p w14:paraId="6A012716"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76.-</w:t>
      </w:r>
      <w:r>
        <w:rPr>
          <w:rFonts w:ascii="Palatino Linotype" w:eastAsia="Palatino Linotype" w:hAnsi="Palatino Linotype" w:cs="Palatino Linotype"/>
          <w:i/>
          <w:sz w:val="22"/>
          <w:szCs w:val="22"/>
        </w:rPr>
        <w:t xml:space="preserve"> Las solicitudes de aclaración deberán plantearse de manera concisa y estar directamente vinculadas con los puntos contenidos en las bases, indicando el numeral o punto específico con el cual se relaciona. Las solicitudes de aclaración que no cumplan con estos requisitos, podrán ser desechadas por la convocante. </w:t>
      </w:r>
    </w:p>
    <w:p w14:paraId="49455913" w14:textId="77777777" w:rsidR="00AC237C" w:rsidRDefault="00AC237C">
      <w:pPr>
        <w:ind w:left="567" w:right="567"/>
        <w:jc w:val="both"/>
        <w:rPr>
          <w:rFonts w:ascii="Palatino Linotype" w:eastAsia="Palatino Linotype" w:hAnsi="Palatino Linotype" w:cs="Palatino Linotype"/>
          <w:i/>
          <w:sz w:val="22"/>
          <w:szCs w:val="22"/>
        </w:rPr>
      </w:pPr>
    </w:p>
    <w:p w14:paraId="0476FED4"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77.-</w:t>
      </w:r>
      <w:r>
        <w:rPr>
          <w:rFonts w:ascii="Palatino Linotype" w:eastAsia="Palatino Linotype" w:hAnsi="Palatino Linotype" w:cs="Palatino Linotype"/>
          <w:i/>
          <w:sz w:val="22"/>
          <w:szCs w:val="22"/>
        </w:rPr>
        <w:t xml:space="preserve"> El servidor público que presida la junta de aclaraciones podrá suspender la sesión, en razón del número de solicitudes de aclaraciones recibidas o del tiempo que</w:t>
      </w:r>
      <w:r>
        <w:rPr>
          <w:rFonts w:ascii="Calibri" w:eastAsia="Calibri" w:hAnsi="Calibri" w:cs="Calibri"/>
          <w:sz w:val="22"/>
          <w:szCs w:val="22"/>
        </w:rPr>
        <w:t xml:space="preserve"> </w:t>
      </w:r>
      <w:r>
        <w:rPr>
          <w:rFonts w:ascii="Palatino Linotype" w:eastAsia="Palatino Linotype" w:hAnsi="Palatino Linotype" w:cs="Palatino Linotype"/>
          <w:i/>
          <w:sz w:val="22"/>
          <w:szCs w:val="22"/>
        </w:rPr>
        <w:t xml:space="preserve">emplearía en darles contestación, informando a los licitantes la hora y, en su caso, fecha </w:t>
      </w:r>
      <w:r>
        <w:rPr>
          <w:rFonts w:ascii="Palatino Linotype" w:eastAsia="Palatino Linotype" w:hAnsi="Palatino Linotype" w:cs="Palatino Linotype"/>
          <w:i/>
          <w:sz w:val="22"/>
          <w:szCs w:val="22"/>
        </w:rPr>
        <w:lastRenderedPageBreak/>
        <w:t xml:space="preserve">o lugar, en que se continuará con la junta de aclaraciones. Cuando por virtud de la suspensión de la junta de aclaraciones, se tenga que modificar la fecha del acto de presentación y apertura de propuestas, tal circunstancia se asentará en el acta correspondiente. En todo caso, será responsabilidad de los interesados obtener una copia del acta de la junta de aclaraciones que estará a su disposición en el domicilio que haya señalado la convocante, o en COMPRAMEX. </w:t>
      </w:r>
    </w:p>
    <w:p w14:paraId="641AC515" w14:textId="77777777" w:rsidR="00AC237C" w:rsidRDefault="00AC237C">
      <w:pPr>
        <w:ind w:left="567" w:right="567"/>
        <w:jc w:val="both"/>
        <w:rPr>
          <w:rFonts w:ascii="Palatino Linotype" w:eastAsia="Palatino Linotype" w:hAnsi="Palatino Linotype" w:cs="Palatino Linotype"/>
          <w:i/>
          <w:sz w:val="22"/>
          <w:szCs w:val="22"/>
        </w:rPr>
      </w:pPr>
    </w:p>
    <w:p w14:paraId="7207AE10"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78.- </w:t>
      </w:r>
      <w:r>
        <w:rPr>
          <w:rFonts w:ascii="Palatino Linotype" w:eastAsia="Palatino Linotype" w:hAnsi="Palatino Linotype" w:cs="Palatino Linotype"/>
          <w:i/>
          <w:sz w:val="22"/>
          <w:szCs w:val="22"/>
        </w:rPr>
        <w:t xml:space="preserve">La junta de aclaraciones se sujetará al orden siguiente: </w:t>
      </w:r>
    </w:p>
    <w:p w14:paraId="2BAD8A2F"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Lectura del registro de asistencia; </w:t>
      </w:r>
    </w:p>
    <w:p w14:paraId="3B9AF5FB"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Objeto de la junta; </w:t>
      </w:r>
    </w:p>
    <w:p w14:paraId="42DB6DE8"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Aclaraciones de orden técnico;</w:t>
      </w:r>
    </w:p>
    <w:p w14:paraId="7714414F"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Aclaraciones de orden administrativo; </w:t>
      </w:r>
    </w:p>
    <w:p w14:paraId="5F1A6058"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En su caso, modificaciones a los plazos y términos de la convocatoria o las bases, que no cambien de manera sustancial las mismas; </w:t>
      </w:r>
    </w:p>
    <w:p w14:paraId="11EEF87F"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Declaración de que se dio respuesta a los cuestionamientos formulados; </w:t>
      </w:r>
    </w:p>
    <w:p w14:paraId="17BFE287"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Declaración de la terminación de la junta de aclaraciones y cierre del acta; y </w:t>
      </w:r>
    </w:p>
    <w:p w14:paraId="376205F9"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Firma de los servidores públicos y, en su caso, de los interesados que hayan participado en el acto. </w:t>
      </w:r>
    </w:p>
    <w:p w14:paraId="468BEC63" w14:textId="77777777" w:rsidR="00AC237C" w:rsidRDefault="00AC237C">
      <w:pPr>
        <w:ind w:left="567" w:right="567"/>
        <w:jc w:val="both"/>
        <w:rPr>
          <w:rFonts w:ascii="Palatino Linotype" w:eastAsia="Palatino Linotype" w:hAnsi="Palatino Linotype" w:cs="Palatino Linotype"/>
          <w:i/>
          <w:sz w:val="22"/>
          <w:szCs w:val="22"/>
        </w:rPr>
      </w:pPr>
    </w:p>
    <w:p w14:paraId="00F85E05"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79.-</w:t>
      </w:r>
      <w:r>
        <w:rPr>
          <w:rFonts w:ascii="Palatino Linotype" w:eastAsia="Palatino Linotype" w:hAnsi="Palatino Linotype" w:cs="Palatino Linotype"/>
          <w:i/>
          <w:sz w:val="22"/>
          <w:szCs w:val="22"/>
        </w:rPr>
        <w:t xml:space="preserve"> El acta de la junta de aclaraciones deberá referir como mínimo, lo siguiente: </w:t>
      </w:r>
    </w:p>
    <w:p w14:paraId="533BA74E"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Nombre de los servidores públicos que intervienen en el acto; </w:t>
      </w:r>
    </w:p>
    <w:p w14:paraId="328E2BBC"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Nombre o clave de los interesados que participen; </w:t>
      </w:r>
    </w:p>
    <w:p w14:paraId="1330ACC8"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Las preguntas y las aclaraciones respectivas; </w:t>
      </w:r>
    </w:p>
    <w:p w14:paraId="4D613432"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En su caso, las modificaciones a la convocatoria o bases; </w:t>
      </w:r>
    </w:p>
    <w:p w14:paraId="251C3D34"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Las demás consideraciones que se estimen necesarias; y </w:t>
      </w:r>
    </w:p>
    <w:p w14:paraId="4764C1F7"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Firma de los servidores públicos y, en su caso, de los interesados que hayan participado en el acto. </w:t>
      </w:r>
    </w:p>
    <w:p w14:paraId="7F7204E8" w14:textId="77777777" w:rsidR="00AC237C" w:rsidRDefault="00AC237C">
      <w:pPr>
        <w:ind w:left="567" w:right="567"/>
        <w:jc w:val="both"/>
        <w:rPr>
          <w:rFonts w:ascii="Palatino Linotype" w:eastAsia="Palatino Linotype" w:hAnsi="Palatino Linotype" w:cs="Palatino Linotype"/>
          <w:i/>
          <w:sz w:val="22"/>
          <w:szCs w:val="22"/>
        </w:rPr>
      </w:pPr>
    </w:p>
    <w:p w14:paraId="543332DD"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80.-</w:t>
      </w:r>
      <w:r>
        <w:rPr>
          <w:rFonts w:ascii="Palatino Linotype" w:eastAsia="Palatino Linotype" w:hAnsi="Palatino Linotype" w:cs="Palatino Linotype"/>
          <w:i/>
          <w:sz w:val="22"/>
          <w:szCs w:val="22"/>
        </w:rPr>
        <w:t xml:space="preserve"> El servidor público que designe la convocante, será responsable del desarrollo de la junta de aclaraciones, a la que podrá asistir cualquier persona en calidad de observador sin tener derecho a voz y sólo podrán presentar preguntas o solicitudes de aclaración las personas que hayan adquirido bases. El servidor público responsable del desarrollo del acto, estará facultado para imponer los medios de apremio y medidas disciplinarias que se establecen en el artículo 19 del Código de Procedimientos Administrativos del Estado de México. </w:t>
      </w:r>
    </w:p>
    <w:p w14:paraId="4B33286B" w14:textId="77777777" w:rsidR="00AC237C" w:rsidRDefault="00AC237C">
      <w:pPr>
        <w:ind w:left="567" w:right="567"/>
        <w:jc w:val="both"/>
        <w:rPr>
          <w:rFonts w:ascii="Palatino Linotype" w:eastAsia="Palatino Linotype" w:hAnsi="Palatino Linotype" w:cs="Palatino Linotype"/>
          <w:i/>
          <w:sz w:val="22"/>
          <w:szCs w:val="22"/>
        </w:rPr>
      </w:pPr>
    </w:p>
    <w:p w14:paraId="04A26C70" w14:textId="77777777" w:rsidR="00AC237C" w:rsidRDefault="00AC237C">
      <w:pPr>
        <w:ind w:left="567" w:right="567"/>
        <w:jc w:val="both"/>
        <w:rPr>
          <w:rFonts w:ascii="Palatino Linotype" w:eastAsia="Palatino Linotype" w:hAnsi="Palatino Linotype" w:cs="Palatino Linotype"/>
          <w:b/>
          <w:i/>
          <w:sz w:val="22"/>
          <w:szCs w:val="22"/>
        </w:rPr>
      </w:pPr>
    </w:p>
    <w:p w14:paraId="6626B6D0" w14:textId="77777777" w:rsidR="00AC237C" w:rsidRDefault="00BF7E93">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81.-</w:t>
      </w:r>
      <w:r>
        <w:rPr>
          <w:rFonts w:ascii="Palatino Linotype" w:eastAsia="Palatino Linotype" w:hAnsi="Palatino Linotype" w:cs="Palatino Linotype"/>
          <w:i/>
          <w:sz w:val="22"/>
          <w:szCs w:val="22"/>
        </w:rPr>
        <w:t xml:space="preserve"> El acta de la junta de aclaraciones será firmada por todos los participantes que acudan de manera presencial y servidores públicos asistentes, a quienes se les entregará copia de la misma.</w:t>
      </w:r>
    </w:p>
    <w:p w14:paraId="76403741"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w:t>
      </w:r>
      <w:r>
        <w:rPr>
          <w:rFonts w:ascii="Palatino Linotype" w:eastAsia="Palatino Linotype" w:hAnsi="Palatino Linotype" w:cs="Palatino Linotype"/>
          <w:b/>
          <w:color w:val="000000"/>
          <w:u w:val="single"/>
        </w:rPr>
        <w:t>invitación restringida</w:t>
      </w:r>
      <w:r>
        <w:rPr>
          <w:rFonts w:ascii="Palatino Linotype" w:eastAsia="Palatino Linotype" w:hAnsi="Palatino Linotype" w:cs="Palatino Linotype"/>
          <w:color w:val="000000"/>
        </w:rPr>
        <w:t xml:space="preserve">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1894B5D2"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1C1000D9"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46.-</w:t>
      </w:r>
      <w:r>
        <w:rPr>
          <w:rFonts w:ascii="Palatino Linotype" w:eastAsia="Palatino Linotype" w:hAnsi="Palatino Linotype" w:cs="Palatino Linotype"/>
          <w:i/>
          <w:color w:val="000000"/>
          <w:sz w:val="22"/>
          <w:szCs w:val="22"/>
        </w:rPr>
        <w:t xml:space="preserve"> El procedimiento de invitación restringida se desarrollará en los términos de la licitación pública, a excepción de la publicación de la convocatoria.</w:t>
      </w:r>
    </w:p>
    <w:p w14:paraId="2CFD4A38"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w:t>
      </w:r>
    </w:p>
    <w:p w14:paraId="0C150177"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Por ello, el Reglamento de la Ley en comento, en su artículo 90, indica cuales lo son los supuestos que deberán observarse para llevar a cabo dicho procedimiento:</w:t>
      </w:r>
    </w:p>
    <w:p w14:paraId="1CE5F1C6"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90.-</w:t>
      </w:r>
      <w:r>
        <w:rPr>
          <w:rFonts w:ascii="Palatino Linotype" w:eastAsia="Palatino Linotype" w:hAnsi="Palatino Linotype" w:cs="Palatino Linotype"/>
          <w:i/>
          <w:color w:val="000000"/>
          <w:sz w:val="22"/>
          <w:szCs w:val="22"/>
        </w:rPr>
        <w:t xml:space="preserve"> En el procedimiento de invitación restringida se deberá observar lo siguiente:</w:t>
      </w:r>
    </w:p>
    <w:p w14:paraId="3C78ED9B"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I. Se invitará a un mínimo de tres personas seleccionadas de entre las que se encuentren inscritas en el catálogo de proveedores y de prestadores de servicios.</w:t>
      </w:r>
    </w:p>
    <w:p w14:paraId="06402163"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Se podrá invitar a personas que no se encuentren inscritas, cuando en el giro correspondiente del catálogo de proveedores y prestadores de servicios no exista el registro mínimo de personas requeridas para tal modalidad;</w:t>
      </w:r>
    </w:p>
    <w:p w14:paraId="654D90C7"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lastRenderedPageBreak/>
        <w:t>II. Las bases de la invitación restringida indicarán los aspectos de la adquisición o contratación; y</w:t>
      </w:r>
    </w:p>
    <w:p w14:paraId="6BB81CE0"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III. Serán aplicables, en lo conducente, las disposiciones de la licitación pública.</w:t>
      </w:r>
      <w:r>
        <w:rPr>
          <w:rFonts w:ascii="Palatino Linotype" w:eastAsia="Palatino Linotype" w:hAnsi="Palatino Linotype" w:cs="Palatino Linotype"/>
          <w:b/>
          <w:i/>
          <w:color w:val="000000"/>
          <w:sz w:val="22"/>
          <w:szCs w:val="22"/>
        </w:rPr>
        <w:t>”</w:t>
      </w:r>
    </w:p>
    <w:p w14:paraId="11389D83"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370D80BF"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último, y en cuanto hace a la </w:t>
      </w:r>
      <w:r>
        <w:rPr>
          <w:rFonts w:ascii="Palatino Linotype" w:eastAsia="Palatino Linotype" w:hAnsi="Palatino Linotype" w:cs="Palatino Linotype"/>
          <w:b/>
          <w:color w:val="000000"/>
          <w:u w:val="single"/>
        </w:rPr>
        <w:t>adjudicación directa</w:t>
      </w:r>
      <w:r>
        <w:rPr>
          <w:rFonts w:ascii="Palatino Linotype" w:eastAsia="Palatino Linotype" w:hAnsi="Palatino Linotype" w:cs="Palatino Linotype"/>
          <w:color w:val="000000"/>
        </w:rPr>
        <w:t>, el artículo 48 de la Ley de la Contratación Pública del Estado de México y Municipios y 91 del Reglamento de la Ley de Contratación Pública del Estado de México y Municipios, indica que las entidades públicas, entre ellas los municipios podrán adquirir, arrendar o enajenar bienes, y contratar servicios, mediante el procedimiento de adjudicación directa en los términos establecidos por dicha normatividad.</w:t>
      </w:r>
    </w:p>
    <w:p w14:paraId="1C10E29A"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645D226E"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el artículo 94 del referido Reglamento, detalla el procedimiento que se llevará a cabo en la adjudicación directa, de la siguiente manera: </w:t>
      </w:r>
    </w:p>
    <w:p w14:paraId="63FECC7F"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“Artículo 94.- </w:t>
      </w:r>
      <w:r>
        <w:rPr>
          <w:rFonts w:ascii="Palatino Linotype" w:eastAsia="Palatino Linotype" w:hAnsi="Palatino Linotype" w:cs="Palatino Linotype"/>
          <w:i/>
          <w:color w:val="000000"/>
          <w:sz w:val="22"/>
          <w:szCs w:val="22"/>
        </w:rPr>
        <w:t>En el procedimiento de adjudicación directa se observará lo siguiente:</w:t>
      </w:r>
      <w:r>
        <w:rPr>
          <w:rFonts w:ascii="Palatino Linotype" w:eastAsia="Palatino Linotype" w:hAnsi="Palatino Linotype" w:cs="Palatino Linotype"/>
          <w:b/>
          <w:i/>
          <w:color w:val="000000"/>
          <w:sz w:val="22"/>
          <w:szCs w:val="22"/>
        </w:rPr>
        <w:t> </w:t>
      </w:r>
    </w:p>
    <w:p w14:paraId="40F80B9D"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Las adquisiciones de bienes y la contratación de servicios, se efectuaran previa </w:t>
      </w:r>
      <w:proofErr w:type="spellStart"/>
      <w:r>
        <w:rPr>
          <w:rFonts w:ascii="Palatino Linotype" w:eastAsia="Palatino Linotype" w:hAnsi="Palatino Linotype" w:cs="Palatino Linotype"/>
          <w:i/>
          <w:color w:val="000000"/>
          <w:sz w:val="22"/>
          <w:szCs w:val="22"/>
        </w:rPr>
        <w:t>dictaminación</w:t>
      </w:r>
      <w:proofErr w:type="spellEnd"/>
      <w:r>
        <w:rPr>
          <w:rFonts w:ascii="Palatino Linotype" w:eastAsia="Palatino Linotype" w:hAnsi="Palatino Linotype" w:cs="Palatino Linotype"/>
          <w:i/>
          <w:color w:val="000000"/>
          <w:sz w:val="22"/>
          <w:szCs w:val="22"/>
        </w:rPr>
        <w:t xml:space="preserve"> del comité, a excepción de los casos previstos en las fracciones IV, VII, </w:t>
      </w:r>
      <w:r>
        <w:rPr>
          <w:rFonts w:ascii="Palatino Linotype" w:eastAsia="Palatino Linotype" w:hAnsi="Palatino Linotype" w:cs="Palatino Linotype"/>
          <w:i/>
          <w:color w:val="000000"/>
          <w:sz w:val="22"/>
          <w:szCs w:val="22"/>
        </w:rPr>
        <w:lastRenderedPageBreak/>
        <w:t>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06E259F5"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34A1D044"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La solicitud de participación contendrá, como mínimo, la descripción y cantidad de los bienes o servicios requeridos, lugar, plazo de entrega o duración del servicio y forma de pago;</w:t>
      </w:r>
    </w:p>
    <w:p w14:paraId="3EBF8663"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IV.</w:t>
      </w:r>
      <w:r>
        <w:rPr>
          <w:rFonts w:ascii="Palatino Linotype" w:eastAsia="Palatino Linotype" w:hAnsi="Palatino Linotype" w:cs="Palatino Linotype"/>
          <w:i/>
          <w:color w:val="000000"/>
          <w:sz w:val="22"/>
          <w:szCs w:val="22"/>
        </w:rPr>
        <w:t xml:space="preserve"> La solicitud de participación deberá señalar el día, hora y lugar en que tendrá verificativo el acto de presentación y apertura de ofertas;</w:t>
      </w:r>
    </w:p>
    <w:p w14:paraId="54935AF5"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V.</w:t>
      </w:r>
      <w:r>
        <w:rPr>
          <w:rFonts w:ascii="Palatino Linotype" w:eastAsia="Palatino Linotype" w:hAnsi="Palatino Linotype" w:cs="Palatino Linotype"/>
          <w:i/>
          <w:color w:val="000000"/>
          <w:sz w:val="22"/>
          <w:szCs w:val="22"/>
        </w:rPr>
        <w:t xml:space="preserve"> Atendiendo a la naturaleza de los bienes o servicios, la convocante podrá optar entre celebrar o no junta de aclaraciones, en términos de lo dispuesto por este Reglamento;</w:t>
      </w:r>
    </w:p>
    <w:p w14:paraId="34153E6C"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VI.</w:t>
      </w:r>
      <w:r>
        <w:rPr>
          <w:rFonts w:ascii="Palatino Linotype" w:eastAsia="Palatino Linotype" w:hAnsi="Palatino Linotype" w:cs="Palatino Linotype"/>
          <w:i/>
          <w:color w:val="000000"/>
          <w:sz w:val="22"/>
          <w:szCs w:val="22"/>
        </w:rPr>
        <w:t xml:space="preserve"> El servidor público designado por la convocante será el responsable de llevar a cabo el acto de presentación y apertura de propuestas;</w:t>
      </w:r>
    </w:p>
    <w:p w14:paraId="2E0891C6"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VII.</w:t>
      </w:r>
      <w:r>
        <w:rPr>
          <w:rFonts w:ascii="Palatino Linotype" w:eastAsia="Palatino Linotype" w:hAnsi="Palatino Linotype" w:cs="Palatino Linotype"/>
          <w:i/>
          <w:color w:val="000000"/>
          <w:sz w:val="22"/>
          <w:szCs w:val="22"/>
        </w:rPr>
        <w:t xml:space="preserve"> Se observarán, en lo conducente, las disposiciones relativas a la contraoferta; y</w:t>
      </w:r>
    </w:p>
    <w:p w14:paraId="19CD18EC"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VIII.</w:t>
      </w:r>
      <w:r>
        <w:rPr>
          <w:rFonts w:ascii="Palatino Linotype" w:eastAsia="Palatino Linotype" w:hAnsi="Palatino Linotype" w:cs="Palatino Linotype"/>
          <w:i/>
          <w:color w:val="000000"/>
          <w:sz w:val="22"/>
          <w:szCs w:val="22"/>
        </w:rPr>
        <w:t xml:space="preserve"> El comité será responsable de emitir el dictamen de adjudicación que servirá de base para el fallo de adjudicación; correspondiendo a la convocante emitir dicho fallo, quien lo hará del conocimiento de los licitantes.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(Énfasis añadido)</w:t>
      </w:r>
    </w:p>
    <w:p w14:paraId="6C41CDDA"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Teniendo en cuenta lo anteriormente expuesto, resulta pertinente analizar la procedencia de la entrega de la información solicitada:</w:t>
      </w:r>
    </w:p>
    <w:p w14:paraId="33832646"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Bajo este orden de ideas, debe decirse que los </w:t>
      </w:r>
      <w:r>
        <w:rPr>
          <w:rFonts w:ascii="Palatino Linotype" w:eastAsia="Palatino Linotype" w:hAnsi="Palatino Linotype" w:cs="Palatino Linotype"/>
          <w:b/>
          <w:color w:val="000000"/>
          <w:u w:val="single"/>
        </w:rPr>
        <w:t>expedientes de las adquisiciones, arrendamientos, enajenaciones y servicios</w:t>
      </w:r>
      <w:r>
        <w:rPr>
          <w:rFonts w:ascii="Palatino Linotype" w:eastAsia="Palatino Linotype" w:hAnsi="Palatino Linotype" w:cs="Palatino Linotype"/>
          <w:color w:val="000000"/>
        </w:rPr>
        <w:t xml:space="preserve">, se encuentran considerados como una de las obligaciones de transparencias comunes que los Sujetos Obligados tienen el </w:t>
      </w:r>
      <w:r>
        <w:rPr>
          <w:rFonts w:ascii="Palatino Linotype" w:eastAsia="Palatino Linotype" w:hAnsi="Palatino Linotype" w:cs="Palatino Linotype"/>
          <w:color w:val="000000"/>
        </w:rPr>
        <w:lastRenderedPageBreak/>
        <w:t>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49600B7E"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92. </w:t>
      </w:r>
      <w:r>
        <w:rPr>
          <w:rFonts w:ascii="Palatino Linotype" w:eastAsia="Palatino Linotype" w:hAnsi="Palatino Linotype" w:cs="Palatino Linotype"/>
          <w:i/>
          <w:color w:val="000000"/>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4A5C63B"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66B276A9"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XXIX. </w:t>
      </w:r>
      <w:r>
        <w:rPr>
          <w:rFonts w:ascii="Palatino Linotype" w:eastAsia="Palatino Linotype" w:hAnsi="Palatino Linotype" w:cs="Palatino Linotype"/>
          <w:b/>
          <w:i/>
          <w:color w:val="000000"/>
          <w:sz w:val="22"/>
          <w:szCs w:val="22"/>
          <w:u w:val="single"/>
        </w:rPr>
        <w:t>La información sobre los procesos y resultados sobre procedimientos de adjudicación directa, invitación restringida y licitación de cualquier naturaleza,</w:t>
      </w: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u w:val="single"/>
        </w:rPr>
        <w:t>incluyendo la versión pública del expediente respectivo y de los contratos</w:t>
      </w:r>
      <w:r>
        <w:rPr>
          <w:rFonts w:ascii="Palatino Linotype" w:eastAsia="Palatino Linotype" w:hAnsi="Palatino Linotype" w:cs="Palatino Linotype"/>
          <w:i/>
          <w:color w:val="000000"/>
          <w:sz w:val="22"/>
          <w:szCs w:val="22"/>
        </w:rPr>
        <w:t> celebrados, que deberán contener, por los menos, lo siguiente:</w:t>
      </w:r>
    </w:p>
    <w:p w14:paraId="677F1832"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i/>
          <w:color w:val="000000"/>
          <w:sz w:val="22"/>
          <w:szCs w:val="22"/>
        </w:rPr>
        <w:t>a) De licitaciones públicas o procedimientos de invitación restringida:</w:t>
      </w:r>
    </w:p>
    <w:p w14:paraId="11D01819"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w:t>
      </w:r>
      <w:r>
        <w:rPr>
          <w:rFonts w:ascii="Palatino Linotype" w:eastAsia="Palatino Linotype" w:hAnsi="Palatino Linotype" w:cs="Palatino Linotype"/>
          <w:i/>
          <w:color w:val="000000"/>
          <w:sz w:val="22"/>
          <w:szCs w:val="22"/>
        </w:rPr>
        <w:t> La convocatoria o invitación emitida, así como los fundamentos legales aplicados para llevarla a cabo;</w:t>
      </w:r>
    </w:p>
    <w:p w14:paraId="77393A11"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2) </w:t>
      </w:r>
      <w:r>
        <w:rPr>
          <w:rFonts w:ascii="Palatino Linotype" w:eastAsia="Palatino Linotype" w:hAnsi="Palatino Linotype" w:cs="Palatino Linotype"/>
          <w:i/>
          <w:color w:val="000000"/>
          <w:sz w:val="22"/>
          <w:szCs w:val="22"/>
        </w:rPr>
        <w:t>Los nombres de los participantes o invitados;</w:t>
      </w:r>
    </w:p>
    <w:p w14:paraId="697586D9"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3)</w:t>
      </w:r>
      <w:r>
        <w:rPr>
          <w:rFonts w:ascii="Palatino Linotype" w:eastAsia="Palatino Linotype" w:hAnsi="Palatino Linotype" w:cs="Palatino Linotype"/>
          <w:i/>
          <w:color w:val="000000"/>
          <w:sz w:val="22"/>
          <w:szCs w:val="22"/>
        </w:rPr>
        <w:t> El nombre del ganador y las razones que lo justifican;</w:t>
      </w:r>
    </w:p>
    <w:p w14:paraId="5CC32998"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4) </w:t>
      </w:r>
      <w:r>
        <w:rPr>
          <w:rFonts w:ascii="Palatino Linotype" w:eastAsia="Palatino Linotype" w:hAnsi="Palatino Linotype" w:cs="Palatino Linotype"/>
          <w:i/>
          <w:color w:val="000000"/>
          <w:sz w:val="22"/>
          <w:szCs w:val="22"/>
        </w:rPr>
        <w:t>El área solicitante y la responsable de su ejecución;</w:t>
      </w:r>
    </w:p>
    <w:p w14:paraId="461F823D"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5) </w:t>
      </w:r>
      <w:r>
        <w:rPr>
          <w:rFonts w:ascii="Palatino Linotype" w:eastAsia="Palatino Linotype" w:hAnsi="Palatino Linotype" w:cs="Palatino Linotype"/>
          <w:i/>
          <w:color w:val="000000"/>
          <w:sz w:val="22"/>
          <w:szCs w:val="22"/>
        </w:rPr>
        <w:t>Las convocatorias e invitaciones emitidas;</w:t>
      </w:r>
    </w:p>
    <w:p w14:paraId="41D425B8" w14:textId="77777777" w:rsidR="00AC237C" w:rsidRDefault="00BF7E93">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6)</w:t>
      </w:r>
      <w:r>
        <w:rPr>
          <w:rFonts w:ascii="Palatino Linotype" w:eastAsia="Palatino Linotype" w:hAnsi="Palatino Linotype" w:cs="Palatino Linotype"/>
          <w:i/>
          <w:color w:val="000000"/>
          <w:sz w:val="22"/>
          <w:szCs w:val="22"/>
        </w:rPr>
        <w:t> Los dictámenes y fallo de adjudicación;</w:t>
      </w:r>
    </w:p>
    <w:p w14:paraId="02B7C93B" w14:textId="77777777" w:rsidR="00AC237C" w:rsidRDefault="00BF7E93">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u w:val="single"/>
        </w:rPr>
        <w:lastRenderedPageBreak/>
        <w:t>7) El contrato y, en su caso, sus anexos</w:t>
      </w:r>
      <w:r>
        <w:rPr>
          <w:rFonts w:ascii="Palatino Linotype" w:eastAsia="Palatino Linotype" w:hAnsi="Palatino Linotype" w:cs="Palatino Linotype"/>
          <w:i/>
          <w:color w:val="000000"/>
          <w:sz w:val="22"/>
          <w:szCs w:val="22"/>
        </w:rPr>
        <w:t>;</w:t>
      </w:r>
    </w:p>
    <w:p w14:paraId="5FAF978D"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8) </w:t>
      </w:r>
      <w:r>
        <w:rPr>
          <w:rFonts w:ascii="Palatino Linotype" w:eastAsia="Palatino Linotype" w:hAnsi="Palatino Linotype" w:cs="Palatino Linotype"/>
          <w:i/>
          <w:color w:val="000000"/>
          <w:sz w:val="22"/>
          <w:szCs w:val="22"/>
        </w:rPr>
        <w:t>Los mecanismos de vigilancia y supervisión, incluyendo en su caso, los estudios de impacto urbano y ambiental, según corresponda;</w:t>
      </w:r>
    </w:p>
    <w:p w14:paraId="6E55E220"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9) </w:t>
      </w:r>
      <w:r>
        <w:rPr>
          <w:rFonts w:ascii="Palatino Linotype" w:eastAsia="Palatino Linotype" w:hAnsi="Palatino Linotype" w:cs="Palatino Linotype"/>
          <w:i/>
          <w:color w:val="000000"/>
          <w:sz w:val="22"/>
          <w:szCs w:val="22"/>
        </w:rPr>
        <w:t>La partida presupuestal, de conformidad con el clasificador por objeto del gasto, en el caso de ser aplicable;</w:t>
      </w:r>
    </w:p>
    <w:p w14:paraId="6FD0D7AA"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10) </w:t>
      </w:r>
      <w:r>
        <w:rPr>
          <w:rFonts w:ascii="Palatino Linotype" w:eastAsia="Palatino Linotype" w:hAnsi="Palatino Linotype" w:cs="Palatino Linotype"/>
          <w:i/>
          <w:color w:val="000000"/>
          <w:sz w:val="22"/>
          <w:szCs w:val="22"/>
        </w:rPr>
        <w:t>Origen de los recursos especificando si son federales, estatales o municipales, así como el tipo de fondo de participación o aportación respectiva;</w:t>
      </w:r>
    </w:p>
    <w:p w14:paraId="39EE8048"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11) </w:t>
      </w:r>
      <w:r>
        <w:rPr>
          <w:rFonts w:ascii="Palatino Linotype" w:eastAsia="Palatino Linotype" w:hAnsi="Palatino Linotype" w:cs="Palatino Linotype"/>
          <w:i/>
          <w:color w:val="000000"/>
          <w:sz w:val="22"/>
          <w:szCs w:val="22"/>
        </w:rPr>
        <w:t>Los convenios modificatorios que, en su caso, sean firmados, precisando el objeto y la fecha de celebración;</w:t>
      </w:r>
    </w:p>
    <w:p w14:paraId="0DBC16D0"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12) </w:t>
      </w:r>
      <w:r>
        <w:rPr>
          <w:rFonts w:ascii="Palatino Linotype" w:eastAsia="Palatino Linotype" w:hAnsi="Palatino Linotype" w:cs="Palatino Linotype"/>
          <w:i/>
          <w:color w:val="000000"/>
          <w:sz w:val="22"/>
          <w:szCs w:val="22"/>
        </w:rPr>
        <w:t>Los informes de avance físico y financiero sobre las obras o servicios contratados;</w:t>
      </w:r>
    </w:p>
    <w:p w14:paraId="03C3D613"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13) </w:t>
      </w:r>
      <w:r>
        <w:rPr>
          <w:rFonts w:ascii="Palatino Linotype" w:eastAsia="Palatino Linotype" w:hAnsi="Palatino Linotype" w:cs="Palatino Linotype"/>
          <w:i/>
          <w:color w:val="000000"/>
          <w:sz w:val="22"/>
          <w:szCs w:val="22"/>
        </w:rPr>
        <w:t>El convenio de terminación; y</w:t>
      </w:r>
    </w:p>
    <w:p w14:paraId="0AF84656"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14) </w:t>
      </w:r>
      <w:r>
        <w:rPr>
          <w:rFonts w:ascii="Palatino Linotype" w:eastAsia="Palatino Linotype" w:hAnsi="Palatino Linotype" w:cs="Palatino Linotype"/>
          <w:i/>
          <w:color w:val="000000"/>
          <w:sz w:val="22"/>
          <w:szCs w:val="22"/>
        </w:rPr>
        <w:t>El finiquito.</w:t>
      </w:r>
    </w:p>
    <w:p w14:paraId="71AF03E4"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b) De las adjudicaciones directas:</w:t>
      </w:r>
    </w:p>
    <w:p w14:paraId="623539F0"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 </w:t>
      </w:r>
      <w:r>
        <w:rPr>
          <w:rFonts w:ascii="Palatino Linotype" w:eastAsia="Palatino Linotype" w:hAnsi="Palatino Linotype" w:cs="Palatino Linotype"/>
          <w:i/>
          <w:color w:val="000000"/>
          <w:sz w:val="22"/>
          <w:szCs w:val="22"/>
        </w:rPr>
        <w:t>La propuesta enviada por el participante;</w:t>
      </w:r>
    </w:p>
    <w:p w14:paraId="2EFC8C9F"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2) </w:t>
      </w:r>
      <w:r>
        <w:rPr>
          <w:rFonts w:ascii="Palatino Linotype" w:eastAsia="Palatino Linotype" w:hAnsi="Palatino Linotype" w:cs="Palatino Linotype"/>
          <w:i/>
          <w:color w:val="000000"/>
          <w:sz w:val="22"/>
          <w:szCs w:val="22"/>
        </w:rPr>
        <w:t>Los motivos y fundamentos legales aplicados para llevarla a cabo;</w:t>
      </w:r>
    </w:p>
    <w:p w14:paraId="29AB80D6"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3) </w:t>
      </w:r>
      <w:r>
        <w:rPr>
          <w:rFonts w:ascii="Palatino Linotype" w:eastAsia="Palatino Linotype" w:hAnsi="Palatino Linotype" w:cs="Palatino Linotype"/>
          <w:i/>
          <w:color w:val="000000"/>
          <w:sz w:val="22"/>
          <w:szCs w:val="22"/>
        </w:rPr>
        <w:t>La autorización del ejercicio de la opción;</w:t>
      </w:r>
    </w:p>
    <w:p w14:paraId="337A59C0"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4)</w:t>
      </w: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En su caso, las cotizaciones consideradas, especificando los nombres de los proveedores y sus montos;</w:t>
      </w:r>
    </w:p>
    <w:p w14:paraId="77D1E394"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5) </w:t>
      </w:r>
      <w:r>
        <w:rPr>
          <w:rFonts w:ascii="Palatino Linotype" w:eastAsia="Palatino Linotype" w:hAnsi="Palatino Linotype" w:cs="Palatino Linotype"/>
          <w:i/>
          <w:color w:val="000000"/>
          <w:sz w:val="22"/>
          <w:szCs w:val="22"/>
        </w:rPr>
        <w:t>El nombre de la persona física o jurídica colectiva adjudicada;</w:t>
      </w:r>
    </w:p>
    <w:p w14:paraId="4A1493E2"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6) </w:t>
      </w:r>
      <w:r>
        <w:rPr>
          <w:rFonts w:ascii="Palatino Linotype" w:eastAsia="Palatino Linotype" w:hAnsi="Palatino Linotype" w:cs="Palatino Linotype"/>
          <w:i/>
          <w:color w:val="000000"/>
          <w:sz w:val="22"/>
          <w:szCs w:val="22"/>
        </w:rPr>
        <w:t>La unidad administrativa solicitante y la responsable de su ejecución;</w:t>
      </w:r>
    </w:p>
    <w:p w14:paraId="127A2D54"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7)</w:t>
      </w: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El número, fecha, </w:t>
      </w:r>
      <w:r>
        <w:rPr>
          <w:rFonts w:ascii="Palatino Linotype" w:eastAsia="Palatino Linotype" w:hAnsi="Palatino Linotype" w:cs="Palatino Linotype"/>
          <w:b/>
          <w:i/>
          <w:color w:val="000000"/>
          <w:sz w:val="22"/>
          <w:szCs w:val="22"/>
          <w:u w:val="single"/>
        </w:rPr>
        <w:t>el monto del contrato</w:t>
      </w:r>
      <w:r>
        <w:rPr>
          <w:rFonts w:ascii="Palatino Linotype" w:eastAsia="Palatino Linotype" w:hAnsi="Palatino Linotype" w:cs="Palatino Linotype"/>
          <w:b/>
          <w:i/>
          <w:color w:val="000000"/>
          <w:sz w:val="22"/>
          <w:szCs w:val="22"/>
        </w:rPr>
        <w:t xml:space="preserve"> y el plazo de entrega o de ejecución de los servicios u obra;</w:t>
      </w:r>
    </w:p>
    <w:p w14:paraId="7429BC64"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0"/>
          <w:szCs w:val="20"/>
        </w:rPr>
      </w:pPr>
      <w:r>
        <w:rPr>
          <w:b/>
          <w:i/>
          <w:color w:val="000000"/>
        </w:rPr>
        <w:lastRenderedPageBreak/>
        <w:t>8</w:t>
      </w:r>
      <w:r>
        <w:rPr>
          <w:rFonts w:ascii="Palatino Linotype" w:eastAsia="Palatino Linotype" w:hAnsi="Palatino Linotype" w:cs="Palatino Linotype"/>
          <w:b/>
          <w:i/>
          <w:color w:val="000000"/>
          <w:sz w:val="22"/>
          <w:szCs w:val="22"/>
        </w:rPr>
        <w:t>) </w:t>
      </w:r>
      <w:r>
        <w:rPr>
          <w:rFonts w:ascii="Palatino Linotype" w:eastAsia="Palatino Linotype" w:hAnsi="Palatino Linotype" w:cs="Palatino Linotype"/>
          <w:i/>
          <w:color w:val="000000"/>
          <w:sz w:val="22"/>
          <w:szCs w:val="22"/>
        </w:rPr>
        <w:t>Los mecanismos de vigilancia y supervisión, incluyendo, en su caso, los estudios de impacto urbano y ambiental, según corresponda;</w:t>
      </w:r>
    </w:p>
    <w:p w14:paraId="002D301C" w14:textId="77777777" w:rsidR="00AC237C" w:rsidRDefault="00BF7E93">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9) </w:t>
      </w:r>
      <w:r>
        <w:rPr>
          <w:rFonts w:ascii="Palatino Linotype" w:eastAsia="Palatino Linotype" w:hAnsi="Palatino Linotype" w:cs="Palatino Linotype"/>
          <w:i/>
          <w:color w:val="000000"/>
          <w:sz w:val="22"/>
          <w:szCs w:val="22"/>
        </w:rPr>
        <w:t>Los informes de avance sobre las obras o servicios contratados;</w:t>
      </w:r>
    </w:p>
    <w:p w14:paraId="609B4550" w14:textId="77777777" w:rsidR="00AC237C" w:rsidRDefault="00BF7E93">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10) </w:t>
      </w:r>
      <w:r>
        <w:rPr>
          <w:rFonts w:ascii="Palatino Linotype" w:eastAsia="Palatino Linotype" w:hAnsi="Palatino Linotype" w:cs="Palatino Linotype"/>
          <w:i/>
          <w:color w:val="000000"/>
          <w:sz w:val="22"/>
          <w:szCs w:val="22"/>
        </w:rPr>
        <w:t>El convenio de terminación; y</w:t>
      </w:r>
    </w:p>
    <w:p w14:paraId="3FBEEF2C" w14:textId="77777777" w:rsidR="00AC237C" w:rsidRDefault="00BF7E93">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11) </w:t>
      </w:r>
      <w:r>
        <w:rPr>
          <w:rFonts w:ascii="Palatino Linotype" w:eastAsia="Palatino Linotype" w:hAnsi="Palatino Linotype" w:cs="Palatino Linotype"/>
          <w:i/>
          <w:color w:val="000000"/>
          <w:sz w:val="22"/>
          <w:szCs w:val="22"/>
        </w:rPr>
        <w:t>El finiquito.</w:t>
      </w:r>
      <w:r>
        <w:rPr>
          <w:rFonts w:ascii="Palatino Linotype" w:eastAsia="Palatino Linotype" w:hAnsi="Palatino Linotype" w:cs="Palatino Linotype"/>
          <w:b/>
          <w:i/>
          <w:color w:val="000000"/>
          <w:sz w:val="22"/>
          <w:szCs w:val="22"/>
        </w:rPr>
        <w:t>”</w:t>
      </w:r>
    </w:p>
    <w:p w14:paraId="1AEA3C6F"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w:t>
      </w:r>
      <w:r>
        <w:rPr>
          <w:rFonts w:ascii="Palatino Linotype" w:eastAsia="Palatino Linotype" w:hAnsi="Palatino Linotype" w:cs="Palatino Linotype"/>
          <w:b/>
          <w:color w:val="000000"/>
          <w:u w:val="single"/>
        </w:rPr>
        <w:t>la copia del contrato, junta de aclaraciones, acta del cabildo para su compra o su comité de adquisiciones arrendamiento y prestación de servicios.</w:t>
      </w:r>
    </w:p>
    <w:p w14:paraId="271D32CF"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otra parte, respecto del </w:t>
      </w:r>
      <w:r>
        <w:rPr>
          <w:rFonts w:ascii="Palatino Linotype" w:eastAsia="Palatino Linotype" w:hAnsi="Palatino Linotype" w:cs="Palatino Linotype"/>
          <w:b/>
          <w:color w:val="000000"/>
          <w:u w:val="single"/>
        </w:rPr>
        <w:t xml:space="preserve">costo del vehículo, equipo policial y radio, </w:t>
      </w:r>
      <w:r>
        <w:rPr>
          <w:rFonts w:ascii="Palatino Linotype" w:eastAsia="Palatino Linotype" w:hAnsi="Palatino Linotype" w:cs="Palatino Linotype"/>
        </w:rPr>
        <w:t xml:space="preserve">es importante traer a contexto que, este Organismo Garante no omite mencionar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clasificar como información </w:t>
      </w:r>
      <w:r>
        <w:rPr>
          <w:rFonts w:ascii="Palatino Linotype" w:eastAsia="Palatino Linotype" w:hAnsi="Palatino Linotype" w:cs="Palatino Linotype"/>
          <w:b/>
          <w:u w:val="single"/>
        </w:rPr>
        <w:t>reservada</w:t>
      </w:r>
      <w:r>
        <w:rPr>
          <w:rFonts w:ascii="Palatino Linotype" w:eastAsia="Palatino Linotype" w:hAnsi="Palatino Linotype" w:cs="Palatino Linotype"/>
        </w:rPr>
        <w:t xml:space="preserve"> la que por su propia y especial naturaleza, encuadre en alguno de los supuestos que enmarca la Ley de Transparencia y Acceso a la Información Pública del Estado de México y Municipios, misma que puede ser de manera enunciativa más no limitativa la relacionada con el </w:t>
      </w:r>
      <w:r>
        <w:rPr>
          <w:rFonts w:ascii="Palatino Linotype" w:eastAsia="Palatino Linotype" w:hAnsi="Palatino Linotype" w:cs="Palatino Linotype"/>
          <w:b/>
          <w:u w:val="single"/>
        </w:rPr>
        <w:t>equipamiento y características de las patrullas</w:t>
      </w:r>
      <w:r>
        <w:rPr>
          <w:rFonts w:ascii="Palatino Linotype" w:eastAsia="Palatino Linotype" w:hAnsi="Palatino Linotype" w:cs="Palatino Linotype"/>
        </w:rPr>
        <w:t xml:space="preserve">; </w:t>
      </w:r>
    </w:p>
    <w:p w14:paraId="263309CA" w14:textId="77777777" w:rsidR="00AC237C" w:rsidRDefault="00AC237C">
      <w:pPr>
        <w:spacing w:line="360" w:lineRule="auto"/>
        <w:jc w:val="both"/>
        <w:rPr>
          <w:rFonts w:ascii="Palatino Linotype" w:eastAsia="Palatino Linotype" w:hAnsi="Palatino Linotype" w:cs="Palatino Linotype"/>
        </w:rPr>
      </w:pPr>
    </w:p>
    <w:p w14:paraId="0F0B5504" w14:textId="77777777" w:rsidR="00AC237C" w:rsidRDefault="00BF7E9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Conforme a lo anterior, se puede colegir que proporcionar la información en análisis podría comprometer la seguridad pública, al poner en peligro las funciones a cargo del Municipio, tendientes a preservar y resguardar la vida, la salud, la integridad y </w:t>
      </w:r>
      <w:r>
        <w:rPr>
          <w:rFonts w:ascii="Palatino Linotype" w:eastAsia="Palatino Linotype" w:hAnsi="Palatino Linotype" w:cs="Palatino Linotype"/>
        </w:rPr>
        <w:lastRenderedPageBreak/>
        <w:t xml:space="preserve">el ejercicio de los derechos de las personas, así como para el mantenimiento del orden público, toda vez </w:t>
      </w:r>
      <w:r>
        <w:rPr>
          <w:rFonts w:ascii="Palatino Linotype" w:eastAsia="Palatino Linotype" w:hAnsi="Palatino Linotype" w:cs="Palatino Linotype"/>
          <w:b/>
        </w:rPr>
        <w:t xml:space="preserve">que podría dar cuenta de las tecnologías, equipos y sistemas con los que cuenta la Dirección General de Seguridad Pública y Movilidad </w:t>
      </w:r>
      <w:r>
        <w:rPr>
          <w:rFonts w:ascii="Palatino Linotype" w:eastAsia="Palatino Linotype" w:hAnsi="Palatino Linotype" w:cs="Palatino Linotype"/>
        </w:rPr>
        <w:t>y por lo tanto, acredita la causal de clasificación prevista en el artículo 140, fracción I de la Ley de Transparencia y Acceso a la Información Pública del Estado de México</w:t>
      </w:r>
      <w:r>
        <w:rPr>
          <w:rFonts w:ascii="Palatino Linotype" w:eastAsia="Palatino Linotype" w:hAnsi="Palatino Linotype" w:cs="Palatino Linotype"/>
          <w:b/>
        </w:rPr>
        <w:t>.</w:t>
      </w:r>
    </w:p>
    <w:p w14:paraId="12697FF8" w14:textId="77777777" w:rsidR="000C0A73" w:rsidRDefault="000C0A73">
      <w:pPr>
        <w:spacing w:line="360" w:lineRule="auto"/>
        <w:jc w:val="both"/>
        <w:rPr>
          <w:rFonts w:ascii="Palatino Linotype" w:eastAsia="Palatino Linotype" w:hAnsi="Palatino Linotype" w:cs="Palatino Linotype"/>
        </w:rPr>
      </w:pPr>
    </w:p>
    <w:p w14:paraId="3E7DB633" w14:textId="72C88A2B"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tales consideraciones, resulta procedente la reserva, en términos del artículo 140, fracción I, de </w:t>
      </w:r>
      <w:proofErr w:type="spellStart"/>
      <w:r>
        <w:rPr>
          <w:rFonts w:ascii="Palatino Linotype" w:eastAsia="Palatino Linotype" w:hAnsi="Palatino Linotype" w:cs="Palatino Linotype"/>
        </w:rPr>
        <w:t>de</w:t>
      </w:r>
      <w:proofErr w:type="spellEnd"/>
      <w:r>
        <w:rPr>
          <w:rFonts w:ascii="Palatino Linotype" w:eastAsia="Palatino Linotype" w:hAnsi="Palatino Linotype" w:cs="Palatino Linotype"/>
        </w:rPr>
        <w:t xml:space="preserve"> la Ley de Transparencia y Acceso a la Información Pública del Estado de México y Municipios, respecto a las especificaciones técnicas de los radios de comunicación con los que cuentan las patrullas municipales.</w:t>
      </w:r>
    </w:p>
    <w:p w14:paraId="77C394DF" w14:textId="77777777" w:rsidR="00AC237C" w:rsidRDefault="00AC237C">
      <w:pPr>
        <w:spacing w:line="360" w:lineRule="auto"/>
        <w:jc w:val="both"/>
        <w:rPr>
          <w:rFonts w:ascii="Palatino Linotype" w:eastAsia="Palatino Linotype" w:hAnsi="Palatino Linotype" w:cs="Palatino Linotype"/>
        </w:rPr>
      </w:pPr>
    </w:p>
    <w:p w14:paraId="253320C1"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anterior,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especificaciones de radio comunicación de las patrullas municipales, a través de la versión pública que entregue.</w:t>
      </w:r>
    </w:p>
    <w:p w14:paraId="357C5BC3" w14:textId="77777777" w:rsidR="00AC237C" w:rsidRDefault="00AC237C">
      <w:pPr>
        <w:spacing w:line="360" w:lineRule="auto"/>
        <w:jc w:val="both"/>
        <w:rPr>
          <w:rFonts w:ascii="Palatino Linotype" w:eastAsia="Palatino Linotype" w:hAnsi="Palatino Linotype" w:cs="Palatino Linotype"/>
        </w:rPr>
      </w:pPr>
    </w:p>
    <w:p w14:paraId="7ED924E6"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sin perder de vista que la Constitución Política de los Estados Unidos Mexicanos le otorga a </w:t>
      </w:r>
      <w:r>
        <w:rPr>
          <w:rFonts w:ascii="Palatino Linotype" w:eastAsia="Palatino Linotype" w:hAnsi="Palatino Linotype" w:cs="Palatino Linotype"/>
          <w:b/>
        </w:rPr>
        <w:t>todos los documentos</w:t>
      </w:r>
      <w:r>
        <w:rPr>
          <w:rFonts w:ascii="Palatino Linotype" w:eastAsia="Palatino Linotype" w:hAnsi="Palatino Linotype" w:cs="Palatino Linotype"/>
        </w:rPr>
        <w:t xml:space="preserve"> en posesión de las autoridades </w:t>
      </w:r>
      <w:r>
        <w:rPr>
          <w:rFonts w:ascii="Palatino Linotype" w:eastAsia="Palatino Linotype" w:hAnsi="Palatino Linotype" w:cs="Palatino Linotype"/>
          <w:b/>
        </w:rPr>
        <w:t>la calidad de públicos</w:t>
      </w:r>
      <w:r>
        <w:rPr>
          <w:rFonts w:ascii="Palatino Linotype" w:eastAsia="Palatino Linotype" w:hAnsi="Palatino Linotype" w:cs="Palatino Linotype"/>
        </w:rPr>
        <w:t xml:space="preserve"> y únicamente pueden ser reservados temporalmente por razones de interés público y en los términos expresamente señalados en la Ley, es </w:t>
      </w:r>
      <w:r>
        <w:rPr>
          <w:rFonts w:ascii="Palatino Linotype" w:eastAsia="Palatino Linotype" w:hAnsi="Palatino Linotype" w:cs="Palatino Linotype"/>
        </w:rPr>
        <w:lastRenderedPageBreak/>
        <w:t>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6B697C52" w14:textId="77777777" w:rsidR="00AC237C" w:rsidRDefault="00AC237C">
      <w:pPr>
        <w:spacing w:line="360" w:lineRule="auto"/>
        <w:jc w:val="both"/>
        <w:rPr>
          <w:rFonts w:ascii="Palatino Linotype" w:eastAsia="Palatino Linotype" w:hAnsi="Palatino Linotype" w:cs="Palatino Linotype"/>
        </w:rPr>
      </w:pPr>
    </w:p>
    <w:p w14:paraId="48D33DDD"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pertinente aclarar que, la información que se clasifica bajo la premisa de reservada, </w:t>
      </w:r>
      <w:r>
        <w:rPr>
          <w:rFonts w:ascii="Palatino Linotype" w:eastAsia="Palatino Linotype" w:hAnsi="Palatino Linotype" w:cs="Palatino Linotype"/>
          <w:b/>
        </w:rPr>
        <w:t>no pierde el carácter de pública</w:t>
      </w:r>
      <w:r>
        <w:rPr>
          <w:rFonts w:ascii="Palatino Linotype" w:eastAsia="Palatino Linotype" w:hAnsi="Palatino Linotype" w:cs="Palatino Linotype"/>
        </w:rPr>
        <w:t xml:space="preserve">, sino que </w:t>
      </w:r>
      <w:r>
        <w:rPr>
          <w:rFonts w:ascii="Palatino Linotype" w:eastAsia="Palatino Linotype" w:hAnsi="Palatino Linotype" w:cs="Palatino Linotype"/>
          <w:b/>
        </w:rPr>
        <w:t>se reserva temporalmente</w:t>
      </w:r>
      <w:r>
        <w:rPr>
          <w:rFonts w:ascii="Palatino Linotype" w:eastAsia="Palatino Linotype" w:hAnsi="Palatino Linotype" w:cs="Palatino Linotype"/>
        </w:rPr>
        <w:t xml:space="preserve"> </w:t>
      </w:r>
      <w:r>
        <w:rPr>
          <w:rFonts w:ascii="Palatino Linotype" w:eastAsia="Palatino Linotype" w:hAnsi="Palatino Linotype" w:cs="Palatino Linotype"/>
          <w:b/>
        </w:rPr>
        <w:t>del conocimiento público</w:t>
      </w:r>
      <w:r>
        <w:rPr>
          <w:rFonts w:ascii="Palatino Linotype" w:eastAsia="Palatino Linotype" w:hAnsi="Palatino Linotype" w:cs="Palatino Linotype"/>
        </w:rPr>
        <w:t xml:space="preserve">, es decir, que, </w:t>
      </w:r>
      <w:r>
        <w:rPr>
          <w:rFonts w:ascii="Palatino Linotype" w:eastAsia="Palatino Linotype" w:hAnsi="Palatino Linotype" w:cs="Palatino Linotype"/>
          <w:b/>
        </w:rPr>
        <w:t>por un tiempo determinado</w:t>
      </w:r>
      <w:r>
        <w:rPr>
          <w:rFonts w:ascii="Palatino Linotype" w:eastAsia="Palatino Linotype" w:hAnsi="Palatino Linotype" w:cs="Palatino Linotype"/>
        </w:rPr>
        <w:t>, se conservará y custodiará la información de manera especial, y una vez transcurrido el plazo de reserva, el documento podrá divulgarse.</w:t>
      </w:r>
    </w:p>
    <w:p w14:paraId="6AF92CA9" w14:textId="77777777" w:rsidR="00AC237C" w:rsidRDefault="00AC237C">
      <w:pPr>
        <w:spacing w:line="360" w:lineRule="auto"/>
        <w:jc w:val="both"/>
        <w:rPr>
          <w:rFonts w:ascii="Palatino Linotype" w:eastAsia="Palatino Linotype" w:hAnsi="Palatino Linotype" w:cs="Palatino Linotype"/>
        </w:rPr>
      </w:pPr>
    </w:p>
    <w:p w14:paraId="74334661" w14:textId="77777777" w:rsidR="00AC237C" w:rsidRDefault="00BF7E9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Pr>
          <w:rFonts w:ascii="Palatino Linotype" w:eastAsia="Palatino Linotype" w:hAnsi="Palatino Linotype" w:cs="Palatino Linotype"/>
          <w:color w:val="000000"/>
        </w:rPr>
        <w:t>, que literalmente señala:</w:t>
      </w:r>
    </w:p>
    <w:p w14:paraId="6E1FE229" w14:textId="77777777" w:rsidR="00AC237C" w:rsidRDefault="00AC237C">
      <w:pPr>
        <w:spacing w:line="259" w:lineRule="auto"/>
        <w:jc w:val="both"/>
        <w:rPr>
          <w:rFonts w:ascii="Palatino Linotype" w:eastAsia="Palatino Linotype" w:hAnsi="Palatino Linotype" w:cs="Palatino Linotype"/>
          <w:color w:val="000000"/>
          <w:sz w:val="22"/>
          <w:szCs w:val="22"/>
        </w:rPr>
      </w:pPr>
    </w:p>
    <w:p w14:paraId="58342086" w14:textId="77777777" w:rsidR="00AC237C" w:rsidRDefault="00BF7E93">
      <w:pPr>
        <w:spacing w:line="259"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w:t>
      </w:r>
      <w:r>
        <w:rPr>
          <w:rFonts w:ascii="Palatino Linotype" w:eastAsia="Palatino Linotype" w:hAnsi="Palatino Linotype" w:cs="Palatino Linotype"/>
          <w:i/>
          <w:sz w:val="22"/>
          <w:szCs w:val="22"/>
        </w:rPr>
        <w:lastRenderedPageBreak/>
        <w:t xml:space="preserve">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Pr>
          <w:rFonts w:ascii="Palatino Linotype" w:eastAsia="Palatino Linotype" w:hAnsi="Palatino Linotype" w:cs="Palatino Linotype"/>
          <w:i/>
          <w:sz w:val="22"/>
          <w:szCs w:val="22"/>
        </w:rPr>
        <w:t>officio</w:t>
      </w:r>
      <w:proofErr w:type="spellEnd"/>
      <w:r>
        <w:rPr>
          <w:rFonts w:ascii="Palatino Linotype" w:eastAsia="Palatino Linotype" w:hAnsi="Palatino Linotype" w:cs="Palatino Linotype"/>
          <w:i/>
          <w:sz w:val="22"/>
          <w:szCs w:val="22"/>
        </w:rPr>
        <w:t xml:space="preserve">, con el propósito de obtener una versión que sea pública para la parte interesada.” </w:t>
      </w:r>
    </w:p>
    <w:p w14:paraId="62D0A898" w14:textId="77777777" w:rsidR="00AC237C" w:rsidRDefault="00AC237C">
      <w:pPr>
        <w:spacing w:line="259" w:lineRule="auto"/>
        <w:ind w:left="851" w:right="902"/>
        <w:jc w:val="both"/>
        <w:rPr>
          <w:rFonts w:ascii="Palatino Linotype" w:eastAsia="Palatino Linotype" w:hAnsi="Palatino Linotype" w:cs="Palatino Linotype"/>
          <w:i/>
          <w:sz w:val="22"/>
          <w:szCs w:val="22"/>
        </w:rPr>
      </w:pPr>
    </w:p>
    <w:p w14:paraId="79E0A8FB"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todo lo anterior, la reserva de la información implica una clasificación, la cual debe entenderse como el proceso mediante el cual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determina que la información en su poder </w:t>
      </w:r>
      <w:proofErr w:type="spellStart"/>
      <w:r>
        <w:rPr>
          <w:rFonts w:ascii="Palatino Linotype" w:eastAsia="Palatino Linotype" w:hAnsi="Palatino Linotype" w:cs="Palatino Linotype"/>
        </w:rPr>
        <w:t>actualiza</w:t>
      </w:r>
      <w:proofErr w:type="spellEnd"/>
      <w:r>
        <w:rPr>
          <w:rFonts w:ascii="Palatino Linotype" w:eastAsia="Palatino Linotype" w:hAnsi="Palatino Linotype" w:cs="Palatino Linotype"/>
        </w:rPr>
        <w:t xml:space="preserve"> alguno de los supuestos conforme a las normas aplicables.</w:t>
      </w:r>
    </w:p>
    <w:p w14:paraId="3ABF9640" w14:textId="77777777" w:rsidR="00AC237C" w:rsidRDefault="00AC237C">
      <w:pPr>
        <w:spacing w:line="360" w:lineRule="auto"/>
        <w:jc w:val="both"/>
        <w:rPr>
          <w:rFonts w:ascii="Palatino Linotype" w:eastAsia="Palatino Linotype" w:hAnsi="Palatino Linotype" w:cs="Palatino Linotype"/>
        </w:rPr>
      </w:pPr>
    </w:p>
    <w:p w14:paraId="62F3F2D5"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concluir que el caso particular se ajusta al supuesto previsto por la norma legal invocada como fundamento; siendo que, además,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en todo momento, aplicar una prueba de daño.</w:t>
      </w:r>
    </w:p>
    <w:p w14:paraId="43B7D090" w14:textId="77777777" w:rsidR="00AC237C" w:rsidRDefault="00AC237C">
      <w:pPr>
        <w:spacing w:line="360" w:lineRule="auto"/>
        <w:jc w:val="both"/>
        <w:rPr>
          <w:rFonts w:ascii="Palatino Linotype" w:eastAsia="Palatino Linotype" w:hAnsi="Palatino Linotype" w:cs="Palatino Linotype"/>
        </w:rPr>
      </w:pPr>
    </w:p>
    <w:p w14:paraId="7DC8EF76"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20978931" w14:textId="77777777" w:rsidR="00AC237C" w:rsidRDefault="00AC237C">
      <w:pPr>
        <w:spacing w:line="360" w:lineRule="auto"/>
        <w:jc w:val="both"/>
        <w:rPr>
          <w:rFonts w:ascii="Palatino Linotype" w:eastAsia="Palatino Linotype" w:hAnsi="Palatino Linotype" w:cs="Palatino Linotype"/>
        </w:rPr>
      </w:pPr>
    </w:p>
    <w:p w14:paraId="7076D212"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966025D" w14:textId="77777777" w:rsidR="00AC237C" w:rsidRDefault="00AC237C">
      <w:pPr>
        <w:spacing w:line="360" w:lineRule="auto"/>
        <w:jc w:val="both"/>
        <w:rPr>
          <w:rFonts w:ascii="Palatino Linotype" w:eastAsia="Palatino Linotype" w:hAnsi="Palatino Linotype" w:cs="Palatino Linotype"/>
          <w:sz w:val="22"/>
          <w:szCs w:val="22"/>
        </w:rPr>
      </w:pPr>
    </w:p>
    <w:p w14:paraId="79756D24" w14:textId="77777777" w:rsidR="00AC237C" w:rsidRDefault="00BF7E93">
      <w:pPr>
        <w:numPr>
          <w:ilvl w:val="0"/>
          <w:numId w:val="6"/>
        </w:numPr>
        <w:spacing w:after="160"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Se reciba una solicitud de acceso a la información;</w:t>
      </w:r>
    </w:p>
    <w:p w14:paraId="28E90999" w14:textId="77777777" w:rsidR="00AC237C" w:rsidRDefault="00BF7E93">
      <w:pPr>
        <w:numPr>
          <w:ilvl w:val="0"/>
          <w:numId w:val="6"/>
        </w:numPr>
        <w:spacing w:after="160"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Se determine mediante resolución de autoridad competente; y/o</w:t>
      </w:r>
    </w:p>
    <w:p w14:paraId="0F21EE74" w14:textId="77777777" w:rsidR="00AC237C" w:rsidRDefault="00BF7E93">
      <w:pPr>
        <w:numPr>
          <w:ilvl w:val="0"/>
          <w:numId w:val="6"/>
        </w:numPr>
        <w:spacing w:after="160"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Se generen versiones públicas para dar cumplimiento a las obligaciones de transparencia previstas en la Ley.</w:t>
      </w:r>
    </w:p>
    <w:p w14:paraId="23C590A3" w14:textId="77777777" w:rsidR="00AC237C" w:rsidRDefault="00AC237C">
      <w:pPr>
        <w:spacing w:line="360" w:lineRule="auto"/>
        <w:ind w:left="1276"/>
        <w:jc w:val="both"/>
        <w:rPr>
          <w:rFonts w:ascii="Palatino Linotype" w:eastAsia="Palatino Linotype" w:hAnsi="Palatino Linotype" w:cs="Palatino Linotype"/>
        </w:rPr>
      </w:pPr>
    </w:p>
    <w:p w14:paraId="6D4A9567"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14:paraId="6152889A" w14:textId="77777777" w:rsidR="00AC237C" w:rsidRDefault="00AC237C">
      <w:pPr>
        <w:spacing w:line="360" w:lineRule="auto"/>
        <w:jc w:val="both"/>
        <w:rPr>
          <w:rFonts w:ascii="Palatino Linotype" w:eastAsia="Palatino Linotype" w:hAnsi="Palatino Linotype" w:cs="Palatino Linotype"/>
        </w:rPr>
      </w:pPr>
    </w:p>
    <w:p w14:paraId="364F6346"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la clasificación de la información debe estar sustentada en el Acuerdo de Clasificación correspondiente, en el que, de manera fundada y motivada, se </w:t>
      </w:r>
      <w:r>
        <w:rPr>
          <w:rFonts w:ascii="Palatino Linotype" w:eastAsia="Palatino Linotype" w:hAnsi="Palatino Linotype" w:cs="Palatino Linotype"/>
        </w:rPr>
        <w:lastRenderedPageBreak/>
        <w:t xml:space="preserve">establezcan las hipótesis normativas aplicables al caso concreto y se analice la prueba de daño que prevé el artículo 129 de la Ley de Transparencia de mérito, para lo cual, los Sujetos Obligados deberán considerar que: </w:t>
      </w:r>
    </w:p>
    <w:p w14:paraId="1EA03A6A" w14:textId="77777777" w:rsidR="00AC237C" w:rsidRDefault="00AC237C">
      <w:pPr>
        <w:spacing w:line="360" w:lineRule="auto"/>
        <w:jc w:val="both"/>
        <w:rPr>
          <w:rFonts w:ascii="Palatino Linotype" w:eastAsia="Palatino Linotype" w:hAnsi="Palatino Linotype" w:cs="Palatino Linotype"/>
        </w:rPr>
      </w:pPr>
    </w:p>
    <w:p w14:paraId="03EDC103" w14:textId="77777777" w:rsidR="00AC237C" w:rsidRDefault="00BF7E93">
      <w:pPr>
        <w:numPr>
          <w:ilvl w:val="0"/>
          <w:numId w:val="7"/>
        </w:numPr>
        <w:spacing w:after="160"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rPr>
        <w:t xml:space="preserve">La divulgación de la información representa un </w:t>
      </w:r>
      <w:r>
        <w:rPr>
          <w:rFonts w:ascii="Palatino Linotype" w:eastAsia="Palatino Linotype" w:hAnsi="Palatino Linotype" w:cs="Palatino Linotype"/>
          <w:b/>
        </w:rPr>
        <w:t>riesgo real, demostrable e identificable del perjuicio significativo al interés público o a la seguridad pública</w:t>
      </w:r>
      <w:r>
        <w:rPr>
          <w:rFonts w:ascii="Palatino Linotype" w:eastAsia="Palatino Linotype" w:hAnsi="Palatino Linotype" w:cs="Palatino Linotype"/>
        </w:rPr>
        <w:t>;</w:t>
      </w:r>
    </w:p>
    <w:p w14:paraId="53125506" w14:textId="77777777" w:rsidR="00AC237C" w:rsidRDefault="00BF7E93">
      <w:pPr>
        <w:numPr>
          <w:ilvl w:val="0"/>
          <w:numId w:val="7"/>
        </w:numPr>
        <w:spacing w:after="160"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rPr>
        <w:t>El riesgo de perjuicio que supondría la divulgación supera el interés público general de que se difunda; y,</w:t>
      </w:r>
    </w:p>
    <w:p w14:paraId="0154A538" w14:textId="77777777" w:rsidR="00AC237C" w:rsidRDefault="00BF7E93">
      <w:pPr>
        <w:numPr>
          <w:ilvl w:val="0"/>
          <w:numId w:val="7"/>
        </w:numPr>
        <w:spacing w:after="160"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rPr>
        <w:t xml:space="preserve">La limitación se adecua al principio de proporcionalidad y representa el medio menos restrictivo disponible para evitar el perjuicio. </w:t>
      </w:r>
    </w:p>
    <w:p w14:paraId="2753073F" w14:textId="77777777" w:rsidR="00AC237C" w:rsidRDefault="00BF7E93">
      <w:pPr>
        <w:widowControl w:val="0"/>
        <w:tabs>
          <w:tab w:val="left" w:pos="1276"/>
          <w:tab w:val="left" w:pos="1701"/>
          <w:tab w:val="left" w:pos="184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3749D4AE" w14:textId="77777777" w:rsidR="00AC237C" w:rsidRDefault="00AC237C">
      <w:pPr>
        <w:widowControl w:val="0"/>
        <w:tabs>
          <w:tab w:val="left" w:pos="1276"/>
          <w:tab w:val="left" w:pos="1701"/>
          <w:tab w:val="left" w:pos="1843"/>
        </w:tabs>
        <w:spacing w:line="360" w:lineRule="auto"/>
        <w:ind w:right="49"/>
        <w:jc w:val="both"/>
        <w:rPr>
          <w:rFonts w:ascii="Palatino Linotype" w:eastAsia="Palatino Linotype" w:hAnsi="Palatino Linotype" w:cs="Palatino Linotype"/>
        </w:rPr>
      </w:pPr>
    </w:p>
    <w:p w14:paraId="2670DF8E"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533D1F8E" w14:textId="77777777" w:rsidR="00AC237C" w:rsidRDefault="00AC237C">
      <w:pPr>
        <w:spacing w:line="360" w:lineRule="auto"/>
        <w:jc w:val="both"/>
        <w:rPr>
          <w:rFonts w:ascii="Palatino Linotype" w:eastAsia="Palatino Linotype" w:hAnsi="Palatino Linotype" w:cs="Palatino Linotype"/>
          <w:sz w:val="14"/>
          <w:szCs w:val="14"/>
        </w:rPr>
      </w:pPr>
    </w:p>
    <w:p w14:paraId="6AF063AC" w14:textId="77777777" w:rsidR="00AC237C" w:rsidRDefault="00BF7E93">
      <w:pPr>
        <w:spacing w:line="259"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“…XXIV. Información reservada:</w:t>
      </w:r>
      <w:r>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w:t>
      </w:r>
    </w:p>
    <w:p w14:paraId="232CBC91" w14:textId="77777777" w:rsidR="00AC237C" w:rsidRDefault="00AC237C">
      <w:pPr>
        <w:spacing w:line="360" w:lineRule="auto"/>
        <w:jc w:val="both"/>
        <w:rPr>
          <w:rFonts w:ascii="Palatino Linotype" w:eastAsia="Palatino Linotype" w:hAnsi="Palatino Linotype" w:cs="Palatino Linotype"/>
          <w:sz w:val="22"/>
          <w:szCs w:val="22"/>
        </w:rPr>
      </w:pPr>
    </w:p>
    <w:p w14:paraId="064ABC8E"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w:t>
      </w:r>
      <w:r>
        <w:rPr>
          <w:rFonts w:ascii="Palatino Linotype" w:eastAsia="Palatino Linotype" w:hAnsi="Palatino Linotype" w:cs="Palatino Linotype"/>
          <w:b/>
        </w:rPr>
        <w:t>la obligación de proteger los datos personales contenidos en la información en su poder</w:t>
      </w:r>
      <w:r>
        <w:rPr>
          <w:rFonts w:ascii="Palatino Linotype" w:eastAsia="Palatino Linotype" w:hAnsi="Palatino Linotype" w:cs="Palatino Linotype"/>
        </w:rPr>
        <w:t>, así como aquella que recaiga en alguna causal de reserva que señale la Ley. De tal manera, que para el presente asunto, es dable señalar que la información respecto al costo de los radios, marca y modelo que utilizan las patrullas municipales pueda obrar en los Contratos celebrados para la adquisición y/o renta de patrullas municipales, o en su caso en los contratos que hayan sido celebrados con esa finalidad, sin embargo no debe escapar de la óptica lo referido en líneas previas, pues deberá reservarse las características técnicas que contengan los aparatos de radio telecomunicación con las que cuentan las patrullas municipales.</w:t>
      </w:r>
    </w:p>
    <w:p w14:paraId="7C3037B3"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w:t>
      </w:r>
      <w:r>
        <w:rPr>
          <w:rFonts w:ascii="Palatino Linotype" w:eastAsia="Palatino Linotype" w:hAnsi="Palatino Linotype" w:cs="Palatino Linotype"/>
          <w:b/>
          <w:color w:val="000000"/>
          <w:u w:val="single"/>
        </w:rPr>
        <w:t>tenencia</w:t>
      </w:r>
      <w:r>
        <w:rPr>
          <w:rFonts w:ascii="Palatino Linotype" w:eastAsia="Palatino Linotype" w:hAnsi="Palatino Linotype" w:cs="Palatino Linotype"/>
          <w:color w:val="000000"/>
        </w:rPr>
        <w:t xml:space="preserve">, no pasa a la óptica de este Órgano Garante, lo establecido en la fracción V del artículo 60-D del Código Financiero del Estado de México, el cual señala que los vehículos utilizados en la prestación de servicios públicos de patrullas, se encuentran exentos de pago de </w:t>
      </w:r>
      <w:r>
        <w:rPr>
          <w:rFonts w:ascii="Palatino Linotype" w:eastAsia="Palatino Linotype" w:hAnsi="Palatino Linotype" w:cs="Palatino Linotype"/>
          <w:b/>
          <w:color w:val="000000"/>
        </w:rPr>
        <w:t>tenencia.</w:t>
      </w:r>
      <w:r>
        <w:rPr>
          <w:rFonts w:ascii="Palatino Linotype" w:eastAsia="Palatino Linotype" w:hAnsi="Palatino Linotype" w:cs="Palatino Linotype"/>
          <w:color w:val="000000"/>
        </w:rPr>
        <w:t xml:space="preserve"> Precepto legal que se cita a continuación para pronta referencia:</w:t>
      </w:r>
    </w:p>
    <w:p w14:paraId="60D5BCFF"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60 D.-</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No se causará el impuesto a que se refiere esta Sección, por la tenencia</w:t>
      </w:r>
      <w:r>
        <w:rPr>
          <w:rFonts w:ascii="Palatino Linotype" w:eastAsia="Palatino Linotype" w:hAnsi="Palatino Linotype" w:cs="Palatino Linotype"/>
          <w:i/>
          <w:color w:val="000000"/>
          <w:sz w:val="22"/>
          <w:szCs w:val="22"/>
        </w:rPr>
        <w:t xml:space="preserve"> o uso de los siguientes vehículos:</w:t>
      </w:r>
    </w:p>
    <w:p w14:paraId="02C05CEE"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p>
    <w:p w14:paraId="28B9C538"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Los vehículos de la Federación, del Estado, </w:t>
      </w:r>
      <w:r>
        <w:rPr>
          <w:rFonts w:ascii="Palatino Linotype" w:eastAsia="Palatino Linotype" w:hAnsi="Palatino Linotype" w:cs="Palatino Linotype"/>
          <w:b/>
          <w:i/>
          <w:color w:val="000000"/>
          <w:sz w:val="22"/>
          <w:szCs w:val="22"/>
          <w:u w:val="single"/>
        </w:rPr>
        <w:t>municipios</w:t>
      </w:r>
      <w:r>
        <w:rPr>
          <w:rFonts w:ascii="Palatino Linotype" w:eastAsia="Palatino Linotype" w:hAnsi="Palatino Linotype" w:cs="Palatino Linotype"/>
          <w:i/>
          <w:color w:val="000000"/>
          <w:sz w:val="22"/>
          <w:szCs w:val="22"/>
        </w:rPr>
        <w:t xml:space="preserve">, sus organismos descentralizados y organismos autónomos, </w:t>
      </w:r>
      <w:r>
        <w:rPr>
          <w:rFonts w:ascii="Palatino Linotype" w:eastAsia="Palatino Linotype" w:hAnsi="Palatino Linotype" w:cs="Palatino Linotype"/>
          <w:b/>
          <w:i/>
          <w:color w:val="000000"/>
          <w:sz w:val="22"/>
          <w:szCs w:val="22"/>
          <w:u w:val="single"/>
        </w:rPr>
        <w:t>que sean utilizados para la prestación de los servicios públicos de</w:t>
      </w:r>
      <w:r>
        <w:rPr>
          <w:rFonts w:ascii="Palatino Linotype" w:eastAsia="Palatino Linotype" w:hAnsi="Palatino Linotype" w:cs="Palatino Linotype"/>
          <w:i/>
          <w:color w:val="000000"/>
          <w:sz w:val="22"/>
          <w:szCs w:val="22"/>
        </w:rPr>
        <w:t xml:space="preserve"> rescate, </w:t>
      </w:r>
      <w:r>
        <w:rPr>
          <w:rFonts w:ascii="Palatino Linotype" w:eastAsia="Palatino Linotype" w:hAnsi="Palatino Linotype" w:cs="Palatino Linotype"/>
          <w:b/>
          <w:i/>
          <w:color w:val="000000"/>
          <w:sz w:val="22"/>
          <w:szCs w:val="22"/>
          <w:u w:val="single"/>
        </w:rPr>
        <w:t>patrullas,</w:t>
      </w:r>
      <w:r>
        <w:rPr>
          <w:rFonts w:ascii="Palatino Linotype" w:eastAsia="Palatino Linotype" w:hAnsi="Palatino Linotype" w:cs="Palatino Linotype"/>
          <w:i/>
          <w:color w:val="000000"/>
          <w:sz w:val="22"/>
          <w:szCs w:val="22"/>
        </w:rPr>
        <w:t xml:space="preserve"> transportes de limpia, pipas de agua o servicios funerarios; las ambulancias dependientes de esas entidades o de instituciones de beneficencia autorizadas por las leyes de la materia, y los vehículos destinados a los cuerpos de bomberos;</w:t>
      </w:r>
    </w:p>
    <w:p w14:paraId="79CFB602"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(Énfasis añadido)</w:t>
      </w:r>
    </w:p>
    <w:p w14:paraId="30865234"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al no encontrarse obligado al pago de dicho impuesto, es preciso mencionar que dicha información no puede obrar en sus archivos, por lo que, en términos de cumplimiento de dicho numeral, se vería imposibilitado en su cumplimiento, por lo tanto, no procede su entrega.</w:t>
      </w:r>
    </w:p>
    <w:p w14:paraId="2C0C68E3"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otro orden de ideas, sobre  la</w:t>
      </w:r>
      <w:r>
        <w:rPr>
          <w:rFonts w:ascii="Palatino Linotype" w:eastAsia="Palatino Linotype" w:hAnsi="Palatino Linotype" w:cs="Palatino Linotype"/>
          <w:u w:val="single"/>
        </w:rPr>
        <w:t xml:space="preserve"> </w:t>
      </w:r>
      <w:r>
        <w:rPr>
          <w:rFonts w:ascii="Palatino Linotype" w:eastAsia="Palatino Linotype" w:hAnsi="Palatino Linotype" w:cs="Palatino Linotype"/>
          <w:b/>
          <w:u w:val="single"/>
        </w:rPr>
        <w:t>tarjeta de circulación</w:t>
      </w:r>
      <w:r>
        <w:rPr>
          <w:rFonts w:ascii="Palatino Linotype" w:eastAsia="Palatino Linotype" w:hAnsi="Palatino Linotype" w:cs="Palatino Linotype"/>
        </w:rPr>
        <w:t xml:space="preserve"> de las patrullas municipales, se menciona que el tránsito de vehículos, de conformidad con el artículo 8.11 del Código Administrativo del Estado de México, se condiciona al cumplimiento de los siguientes requisitos:</w:t>
      </w:r>
    </w:p>
    <w:p w14:paraId="732097B1" w14:textId="77777777" w:rsidR="00AC237C" w:rsidRDefault="00BF7E93">
      <w:pPr>
        <w:spacing w:before="240" w:after="240" w:line="360" w:lineRule="auto"/>
        <w:ind w:left="280"/>
        <w:jc w:val="both"/>
        <w:rPr>
          <w:rFonts w:ascii="Palatino Linotype" w:eastAsia="Palatino Linotype" w:hAnsi="Palatino Linotype" w:cs="Palatino Linotype"/>
        </w:rPr>
      </w:pPr>
      <w:r>
        <w:rPr>
          <w:rFonts w:ascii="Palatino Linotype" w:eastAsia="Palatino Linotype" w:hAnsi="Palatino Linotype" w:cs="Palatino Linotype"/>
          <w:b/>
        </w:rPr>
        <w:t>I</w:t>
      </w:r>
      <w:r>
        <w:rPr>
          <w:rFonts w:ascii="Palatino Linotype" w:eastAsia="Palatino Linotype" w:hAnsi="Palatino Linotype" w:cs="Palatino Linotype"/>
        </w:rPr>
        <w:t xml:space="preserve">. </w:t>
      </w:r>
      <w:r>
        <w:rPr>
          <w:rFonts w:ascii="Palatino Linotype" w:eastAsia="Palatino Linotype" w:hAnsi="Palatino Linotype" w:cs="Palatino Linotype"/>
          <w:b/>
        </w:rPr>
        <w:t>Que estén matriculados o registrados en la República Mexicana o el extranjero</w:t>
      </w:r>
      <w:r>
        <w:rPr>
          <w:rFonts w:ascii="Palatino Linotype" w:eastAsia="Palatino Linotype" w:hAnsi="Palatino Linotype" w:cs="Palatino Linotype"/>
        </w:rPr>
        <w:t>;</w:t>
      </w:r>
    </w:p>
    <w:p w14:paraId="4468493A" w14:textId="77777777" w:rsidR="00AC237C" w:rsidRDefault="00BF7E93">
      <w:pPr>
        <w:spacing w:before="240" w:after="240" w:line="360" w:lineRule="auto"/>
        <w:ind w:left="280"/>
        <w:jc w:val="both"/>
        <w:rPr>
          <w:rFonts w:ascii="Palatino Linotype" w:eastAsia="Palatino Linotype" w:hAnsi="Palatino Linotype" w:cs="Palatino Linotype"/>
        </w:rPr>
      </w:pPr>
      <w:r>
        <w:rPr>
          <w:rFonts w:ascii="Palatino Linotype" w:eastAsia="Palatino Linotype" w:hAnsi="Palatino Linotype" w:cs="Palatino Linotype"/>
          <w:b/>
        </w:rPr>
        <w:t>II</w:t>
      </w:r>
      <w:r>
        <w:rPr>
          <w:rFonts w:ascii="Palatino Linotype" w:eastAsia="Palatino Linotype" w:hAnsi="Palatino Linotype" w:cs="Palatino Linotype"/>
        </w:rPr>
        <w:t>. Que reúnan las especificaciones de seguridad y salubridad exigidas por las leyes y reglamentos;</w:t>
      </w:r>
    </w:p>
    <w:p w14:paraId="6FCE0D82" w14:textId="77777777" w:rsidR="00AC237C" w:rsidRDefault="00BF7E93">
      <w:pPr>
        <w:spacing w:before="240" w:after="240" w:line="360" w:lineRule="auto"/>
        <w:ind w:left="280"/>
        <w:jc w:val="both"/>
        <w:rPr>
          <w:rFonts w:ascii="Palatino Linotype" w:eastAsia="Palatino Linotype" w:hAnsi="Palatino Linotype" w:cs="Palatino Linotype"/>
        </w:rPr>
      </w:pPr>
      <w:r>
        <w:rPr>
          <w:rFonts w:ascii="Palatino Linotype" w:eastAsia="Palatino Linotype" w:hAnsi="Palatino Linotype" w:cs="Palatino Linotype"/>
          <w:b/>
        </w:rPr>
        <w:t>III</w:t>
      </w:r>
      <w:r>
        <w:rPr>
          <w:rFonts w:ascii="Palatino Linotype" w:eastAsia="Palatino Linotype" w:hAnsi="Palatino Linotype" w:cs="Palatino Linotype"/>
        </w:rPr>
        <w:t>. Que tengan el equipo y accesorios necesarios que señalen las normas correspondientes, de acuerdo con el tipo de vehículo de que se trate y el destino de su operación o fin;</w:t>
      </w:r>
    </w:p>
    <w:p w14:paraId="4EE93374" w14:textId="77777777" w:rsidR="00AC237C" w:rsidRDefault="00BF7E93">
      <w:pPr>
        <w:spacing w:before="240" w:after="240" w:line="360" w:lineRule="auto"/>
        <w:ind w:left="280"/>
        <w:jc w:val="both"/>
        <w:rPr>
          <w:rFonts w:ascii="Palatino Linotype" w:eastAsia="Palatino Linotype" w:hAnsi="Palatino Linotype" w:cs="Palatino Linotype"/>
        </w:rPr>
      </w:pPr>
      <w:r>
        <w:rPr>
          <w:rFonts w:ascii="Palatino Linotype" w:eastAsia="Palatino Linotype" w:hAnsi="Palatino Linotype" w:cs="Palatino Linotype"/>
          <w:b/>
        </w:rPr>
        <w:lastRenderedPageBreak/>
        <w:t>IV</w:t>
      </w:r>
      <w:r>
        <w:rPr>
          <w:rFonts w:ascii="Palatino Linotype" w:eastAsia="Palatino Linotype" w:hAnsi="Palatino Linotype" w:cs="Palatino Linotype"/>
        </w:rPr>
        <w:t xml:space="preserve">. </w:t>
      </w:r>
      <w:r>
        <w:rPr>
          <w:rFonts w:ascii="Palatino Linotype" w:eastAsia="Palatino Linotype" w:hAnsi="Palatino Linotype" w:cs="Palatino Linotype"/>
          <w:b/>
        </w:rPr>
        <w:t>Que estén provistos de placas de matriculación o permisos vigentes</w:t>
      </w:r>
      <w:r>
        <w:rPr>
          <w:rFonts w:ascii="Palatino Linotype" w:eastAsia="Palatino Linotype" w:hAnsi="Palatino Linotype" w:cs="Palatino Linotype"/>
        </w:rPr>
        <w:t>.</w:t>
      </w:r>
    </w:p>
    <w:p w14:paraId="6367D376"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la matriculación de vehículos en el Registro Estatal de Vehículos se realiza a través del trámite </w:t>
      </w:r>
      <w:r>
        <w:rPr>
          <w:rFonts w:ascii="Palatino Linotype" w:eastAsia="Palatino Linotype" w:hAnsi="Palatino Linotype" w:cs="Palatino Linotype"/>
          <w:i/>
        </w:rPr>
        <w:t>Alta de vehículos nuevos</w:t>
      </w:r>
      <w:r>
        <w:rPr>
          <w:rFonts w:ascii="Palatino Linotype" w:eastAsia="Palatino Linotype" w:hAnsi="Palatino Linotype" w:cs="Palatino Linotype"/>
        </w:rPr>
        <w:t>, a cargo de la  Secretaría de Finanzas a través de los Centros de Servicios Fiscales de la Dirección General de Recaudación, mismo que permite a los  propietarios de vehículos nuevos nacionales e importados definitivamente de servicio particular, obtener:</w:t>
      </w:r>
    </w:p>
    <w:p w14:paraId="21284C68" w14:textId="77777777" w:rsidR="00AC237C" w:rsidRDefault="00BF7E93">
      <w:pPr>
        <w:spacing w:before="240" w:after="240" w:line="360" w:lineRule="auto"/>
        <w:ind w:left="280"/>
        <w:jc w:val="both"/>
        <w:rPr>
          <w:rFonts w:ascii="Palatino Linotype" w:eastAsia="Palatino Linotype" w:hAnsi="Palatino Linotype" w:cs="Palatino Linotype"/>
        </w:rPr>
      </w:pPr>
      <w:r>
        <w:rPr>
          <w:rFonts w:ascii="Palatino Linotype" w:eastAsia="Palatino Linotype" w:hAnsi="Palatino Linotype" w:cs="Palatino Linotype"/>
        </w:rPr>
        <w:t>1) Placa(s)</w:t>
      </w:r>
    </w:p>
    <w:p w14:paraId="2207F2E5" w14:textId="77777777" w:rsidR="00AC237C" w:rsidRDefault="00BF7E93">
      <w:pPr>
        <w:spacing w:before="240" w:after="240" w:line="360" w:lineRule="auto"/>
        <w:ind w:left="280"/>
        <w:jc w:val="both"/>
        <w:rPr>
          <w:rFonts w:ascii="Palatino Linotype" w:eastAsia="Palatino Linotype" w:hAnsi="Palatino Linotype" w:cs="Palatino Linotype"/>
          <w:b/>
        </w:rPr>
      </w:pPr>
      <w:r>
        <w:rPr>
          <w:rFonts w:ascii="Palatino Linotype" w:eastAsia="Palatino Linotype" w:hAnsi="Palatino Linotype" w:cs="Palatino Linotype"/>
          <w:b/>
        </w:rPr>
        <w:t>2) Tarjeta Circulación</w:t>
      </w:r>
    </w:p>
    <w:p w14:paraId="25FE0F1D" w14:textId="77777777" w:rsidR="00AC237C" w:rsidRDefault="00BF7E93">
      <w:pPr>
        <w:spacing w:before="240" w:after="240" w:line="360" w:lineRule="auto"/>
        <w:ind w:left="280"/>
        <w:jc w:val="both"/>
        <w:rPr>
          <w:rFonts w:ascii="Palatino Linotype" w:eastAsia="Palatino Linotype" w:hAnsi="Palatino Linotype" w:cs="Palatino Linotype"/>
        </w:rPr>
      </w:pPr>
      <w:r>
        <w:rPr>
          <w:rFonts w:ascii="Palatino Linotype" w:eastAsia="Palatino Linotype" w:hAnsi="Palatino Linotype" w:cs="Palatino Linotype"/>
        </w:rPr>
        <w:t>3) En su caso, calcomanía</w:t>
      </w:r>
    </w:p>
    <w:p w14:paraId="1E968FCC" w14:textId="77777777" w:rsidR="00AC237C" w:rsidRDefault="00BF7E93">
      <w:pPr>
        <w:spacing w:before="240" w:after="240" w:line="360" w:lineRule="auto"/>
        <w:jc w:val="both"/>
        <w:rPr>
          <w:rFonts w:ascii="Palatino Linotype" w:eastAsia="Palatino Linotype" w:hAnsi="Palatino Linotype" w:cs="Palatino Linotype"/>
          <w:color w:val="212529"/>
        </w:rPr>
      </w:pPr>
      <w:r>
        <w:rPr>
          <w:rFonts w:ascii="Palatino Linotype" w:eastAsia="Palatino Linotype" w:hAnsi="Palatino Linotype" w:cs="Palatino Linotype"/>
        </w:rPr>
        <w:t xml:space="preserve">Los requisitos para </w:t>
      </w:r>
      <w:r>
        <w:rPr>
          <w:rFonts w:ascii="Palatino Linotype" w:eastAsia="Palatino Linotype" w:hAnsi="Palatino Linotype" w:cs="Palatino Linotype"/>
          <w:color w:val="212529"/>
        </w:rPr>
        <w:t>Personas físicas, Personas jurídico colectivas o Instituciones públicas, se encuentran establecidos en el Registro Estatal de Trámites y Servicios del Gobierno del Estado de México, a saber:</w:t>
      </w:r>
    </w:p>
    <w:p w14:paraId="11174ACC" w14:textId="77777777" w:rsidR="00AC237C" w:rsidRDefault="00BF7E93">
      <w:pPr>
        <w:spacing w:before="240" w:after="240" w:line="360" w:lineRule="auto"/>
        <w:jc w:val="both"/>
        <w:rPr>
          <w:rFonts w:ascii="Palatino Linotype" w:eastAsia="Palatino Linotype" w:hAnsi="Palatino Linotype" w:cs="Palatino Linotype"/>
          <w:color w:val="212529"/>
        </w:rPr>
      </w:pPr>
      <w:r>
        <w:rPr>
          <w:rFonts w:ascii="Palatino Linotype" w:eastAsia="Palatino Linotype" w:hAnsi="Palatino Linotype" w:cs="Palatino Linotype"/>
          <w:noProof/>
          <w:color w:val="212529"/>
          <w:lang w:val="es-MX"/>
        </w:rPr>
        <w:lastRenderedPageBreak/>
        <w:drawing>
          <wp:inline distT="114300" distB="114300" distL="114300" distR="114300" wp14:anchorId="7D3508BB" wp14:editId="563A3D39">
            <wp:extent cx="5612130" cy="3644900"/>
            <wp:effectExtent l="19050" t="19050" r="26670" b="12700"/>
            <wp:docPr id="5639680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130" cy="3644900"/>
                    </a:xfrm>
                    <a:prstGeom prst="rect">
                      <a:avLst/>
                    </a:prstGeom>
                    <a:ln>
                      <a:solidFill>
                        <a:schemeClr val="tx1"/>
                      </a:solidFill>
                    </a:ln>
                  </pic:spPr>
                </pic:pic>
              </a:graphicData>
            </a:graphic>
          </wp:inline>
        </w:drawing>
      </w:r>
    </w:p>
    <w:p w14:paraId="459D24BD" w14:textId="77777777" w:rsidR="00AC237C" w:rsidRDefault="00BF7E93">
      <w:pPr>
        <w:spacing w:before="240" w:after="240" w:line="360" w:lineRule="auto"/>
        <w:jc w:val="both"/>
        <w:rPr>
          <w:rFonts w:ascii="Palatino Linotype" w:eastAsia="Palatino Linotype" w:hAnsi="Palatino Linotype" w:cs="Palatino Linotype"/>
          <w:color w:val="212529"/>
        </w:rPr>
      </w:pPr>
      <w:r>
        <w:rPr>
          <w:rFonts w:ascii="Palatino Linotype" w:eastAsia="Palatino Linotype" w:hAnsi="Palatino Linotype" w:cs="Palatino Linotype"/>
          <w:noProof/>
          <w:color w:val="212529"/>
          <w:lang w:val="es-MX"/>
        </w:rPr>
        <w:lastRenderedPageBreak/>
        <w:drawing>
          <wp:inline distT="114300" distB="114300" distL="114300" distR="114300" wp14:anchorId="7F56F037" wp14:editId="454A627E">
            <wp:extent cx="5612130" cy="4800600"/>
            <wp:effectExtent l="25400" t="25400" r="25400" b="25400"/>
            <wp:docPr id="5639681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612130" cy="4800600"/>
                    </a:xfrm>
                    <a:prstGeom prst="rect">
                      <a:avLst/>
                    </a:prstGeom>
                    <a:ln w="25400">
                      <a:solidFill>
                        <a:srgbClr val="000000"/>
                      </a:solidFill>
                      <a:prstDash val="solid"/>
                    </a:ln>
                  </pic:spPr>
                </pic:pic>
              </a:graphicData>
            </a:graphic>
          </wp:inline>
        </w:drawing>
      </w:r>
    </w:p>
    <w:p w14:paraId="38973C14"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12529"/>
        </w:rPr>
        <w:t>Por otro lado, se menciona que el</w:t>
      </w:r>
      <w:r>
        <w:rPr>
          <w:rFonts w:ascii="Palatino Linotype" w:eastAsia="Palatino Linotype" w:hAnsi="Palatino Linotype" w:cs="Palatino Linotype"/>
        </w:rPr>
        <w:t xml:space="preserve"> Programa de </w:t>
      </w:r>
      <w:r>
        <w:rPr>
          <w:rFonts w:ascii="Palatino Linotype" w:eastAsia="Palatino Linotype" w:hAnsi="Palatino Linotype" w:cs="Palatino Linotype"/>
          <w:b/>
        </w:rPr>
        <w:t>Verificación</w:t>
      </w:r>
      <w:r>
        <w:rPr>
          <w:rFonts w:ascii="Palatino Linotype" w:eastAsia="Palatino Linotype" w:hAnsi="Palatino Linotype" w:cs="Palatino Linotype"/>
        </w:rPr>
        <w:t xml:space="preserve"> Vehicular, tiene como objetivo evaluar los niveles de emisiones contaminantes provenientes del escape de los vehículos automotores en circulación que usan gasolina, gas, diésel o cualquier otro combustible alterno que cuenten con placas del Estado de México o que circulen en la entidad, conforme a lo establecido en las Normas Oficiales Mexicanas, Normas Técnicas Estatales Ambientales y la normatividad ambiental aplicable en materia de verificación vehicular. Así como establecer los mecanismos que coadyuven en la prevención, control y disminución de emisiones contaminantes a la atmósfera.</w:t>
      </w:r>
    </w:p>
    <w:p w14:paraId="1CE8A7CE"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manera que los usuarios con automóviles matriculados en el Estado de México están obligados a cumplir con lo dispuesto en el Programa de Verificación Vehicular Obligatorio, mismo que se emite cada semestre por la Secretaría de Medio Ambiente, conforme al siguiente calendario:</w:t>
      </w:r>
    </w:p>
    <w:p w14:paraId="247A49D4"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114300" distB="114300" distL="114300" distR="114300" wp14:anchorId="51B166FF" wp14:editId="1DC91BB5">
            <wp:extent cx="5612130" cy="1473200"/>
            <wp:effectExtent l="25400" t="25400" r="25400" b="25400"/>
            <wp:docPr id="5639680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612130" cy="1473200"/>
                    </a:xfrm>
                    <a:prstGeom prst="rect">
                      <a:avLst/>
                    </a:prstGeom>
                    <a:ln w="25400">
                      <a:solidFill>
                        <a:srgbClr val="000000"/>
                      </a:solidFill>
                      <a:prstDash val="solid"/>
                    </a:ln>
                  </pic:spPr>
                </pic:pic>
              </a:graphicData>
            </a:graphic>
          </wp:inline>
        </w:drawing>
      </w:r>
    </w:p>
    <w:p w14:paraId="026F0224" w14:textId="7608E386" w:rsidR="00AC237C" w:rsidRDefault="00BF7E93">
      <w:pPr>
        <w:spacing w:before="240" w:after="240" w:line="360" w:lineRule="auto"/>
        <w:jc w:val="both"/>
        <w:rPr>
          <w:rFonts w:ascii="Palatino Linotype" w:eastAsia="Palatino Linotype" w:hAnsi="Palatino Linotype" w:cs="Palatino Linotype"/>
          <w:color w:val="212529"/>
        </w:rPr>
      </w:pPr>
      <w:r>
        <w:rPr>
          <w:rFonts w:ascii="Palatino Linotype" w:eastAsia="Palatino Linotype" w:hAnsi="Palatino Linotype" w:cs="Palatino Linotype"/>
          <w:color w:val="212529"/>
        </w:rPr>
        <w:t>Siendo importante mencionar que</w:t>
      </w:r>
      <w:r w:rsidR="000C0A73">
        <w:rPr>
          <w:rFonts w:ascii="Palatino Linotype" w:eastAsia="Palatino Linotype" w:hAnsi="Palatino Linotype" w:cs="Palatino Linotype"/>
          <w:color w:val="212529"/>
        </w:rPr>
        <w:t>,</w:t>
      </w:r>
      <w:r>
        <w:rPr>
          <w:rFonts w:ascii="Palatino Linotype" w:eastAsia="Palatino Linotype" w:hAnsi="Palatino Linotype" w:cs="Palatino Linotype"/>
          <w:color w:val="212529"/>
        </w:rPr>
        <w:t xml:space="preserve"> para realizar la verificación vehicular, los usuarios deben presentar, entre otros requisitos, tarjeta de circulación vigente, en consecuencia</w:t>
      </w:r>
      <w:r w:rsidR="000C0A73">
        <w:rPr>
          <w:rFonts w:ascii="Palatino Linotype" w:eastAsia="Palatino Linotype" w:hAnsi="Palatino Linotype" w:cs="Palatino Linotype"/>
          <w:color w:val="212529"/>
        </w:rPr>
        <w:t>,</w:t>
      </w:r>
      <w:r>
        <w:rPr>
          <w:rFonts w:ascii="Palatino Linotype" w:eastAsia="Palatino Linotype" w:hAnsi="Palatino Linotype" w:cs="Palatino Linotype"/>
          <w:color w:val="212529"/>
        </w:rPr>
        <w:t xml:space="preserve"> se estima dable ordenar la entrega de la tarta de circulación </w:t>
      </w:r>
      <w:r w:rsidR="000C0A73">
        <w:rPr>
          <w:rFonts w:ascii="Palatino Linotype" w:eastAsia="Palatino Linotype" w:hAnsi="Palatino Linotype" w:cs="Palatino Linotype"/>
          <w:color w:val="212529"/>
        </w:rPr>
        <w:t>vigente,</w:t>
      </w:r>
      <w:r>
        <w:rPr>
          <w:rFonts w:ascii="Palatino Linotype" w:eastAsia="Palatino Linotype" w:hAnsi="Palatino Linotype" w:cs="Palatino Linotype"/>
          <w:color w:val="212529"/>
        </w:rPr>
        <w:t xml:space="preserve"> así como la última verificación vehicular de las patrullas adquiridas del uno de enero de dos mil dieciocho al trece de abril de dos mil veintitrés, conforme al considerando siguiente. </w:t>
      </w:r>
    </w:p>
    <w:p w14:paraId="5659D1A3" w14:textId="2DB7FC8A" w:rsidR="004B537E" w:rsidRDefault="004B537E">
      <w:pPr>
        <w:spacing w:before="240" w:after="240" w:line="360" w:lineRule="auto"/>
        <w:jc w:val="both"/>
        <w:rPr>
          <w:rFonts w:ascii="Palatino Linotype" w:eastAsia="Palatino Linotype" w:hAnsi="Palatino Linotype" w:cs="Palatino Linotype"/>
          <w:color w:val="212529"/>
        </w:rPr>
      </w:pPr>
      <w:r>
        <w:rPr>
          <w:rFonts w:ascii="Palatino Linotype" w:eastAsia="Palatino Linotype" w:hAnsi="Palatino Linotype" w:cs="Palatino Linotype"/>
          <w:color w:val="212529"/>
        </w:rPr>
        <w:t xml:space="preserve">En lo tocante a </w:t>
      </w:r>
      <w:r w:rsidRPr="004B537E">
        <w:rPr>
          <w:rFonts w:ascii="Palatino Linotype" w:eastAsia="Palatino Linotype" w:hAnsi="Palatino Linotype" w:cs="Palatino Linotype"/>
          <w:b/>
          <w:color w:val="212529"/>
          <w:u w:val="single"/>
        </w:rPr>
        <w:t>las actas de cabildo</w:t>
      </w:r>
      <w:r>
        <w:rPr>
          <w:rFonts w:ascii="Palatino Linotype" w:eastAsia="Palatino Linotype" w:hAnsi="Palatino Linotype" w:cs="Palatino Linotype"/>
          <w:color w:val="212529"/>
        </w:rPr>
        <w:t>, se debe señalar que de conformidad con el artículo 91 de la Ley Orgánica Municipal, le corresponde al Secretario del Ayuntamiento, conservar las actas de cabildo, sirve de referencia la siguiente cita:</w:t>
      </w:r>
    </w:p>
    <w:p w14:paraId="38BE7DCB" w14:textId="21A965E8" w:rsidR="004B537E" w:rsidRDefault="004B537E" w:rsidP="004B537E">
      <w:pPr>
        <w:spacing w:before="240" w:after="240" w:line="276" w:lineRule="auto"/>
        <w:ind w:left="567" w:right="900"/>
        <w:jc w:val="both"/>
        <w:rPr>
          <w:rFonts w:ascii="Palatino Linotype" w:eastAsia="Palatino Linotype" w:hAnsi="Palatino Linotype" w:cs="Palatino Linotype"/>
          <w:i/>
          <w:color w:val="212529"/>
          <w:sz w:val="22"/>
        </w:rPr>
      </w:pPr>
      <w:r>
        <w:rPr>
          <w:rFonts w:ascii="Palatino Linotype" w:eastAsia="Palatino Linotype" w:hAnsi="Palatino Linotype" w:cs="Palatino Linotype"/>
          <w:i/>
          <w:color w:val="212529"/>
          <w:sz w:val="22"/>
        </w:rPr>
        <w:t>“</w:t>
      </w:r>
      <w:r w:rsidRPr="004B537E">
        <w:rPr>
          <w:rFonts w:ascii="Palatino Linotype" w:eastAsia="Palatino Linotype" w:hAnsi="Palatino Linotype" w:cs="Palatino Linotype"/>
          <w:i/>
          <w:color w:val="212529"/>
          <w:sz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AB73305" w14:textId="24DC4E87" w:rsidR="004B537E" w:rsidRDefault="004B537E" w:rsidP="004B537E">
      <w:pPr>
        <w:spacing w:before="240" w:after="240" w:line="276" w:lineRule="auto"/>
        <w:ind w:left="567" w:right="900"/>
        <w:jc w:val="both"/>
        <w:rPr>
          <w:rFonts w:ascii="Palatino Linotype" w:eastAsia="Palatino Linotype" w:hAnsi="Palatino Linotype" w:cs="Palatino Linotype"/>
          <w:i/>
          <w:color w:val="212529"/>
          <w:sz w:val="22"/>
        </w:rPr>
      </w:pPr>
      <w:r>
        <w:rPr>
          <w:rFonts w:ascii="Palatino Linotype" w:eastAsia="Palatino Linotype" w:hAnsi="Palatino Linotype" w:cs="Palatino Linotype"/>
          <w:i/>
          <w:color w:val="212529"/>
          <w:sz w:val="22"/>
        </w:rPr>
        <w:lastRenderedPageBreak/>
        <w:t>…</w:t>
      </w:r>
    </w:p>
    <w:p w14:paraId="629A1B65" w14:textId="77777777" w:rsidR="004B537E" w:rsidRDefault="004B537E" w:rsidP="004B537E">
      <w:pPr>
        <w:spacing w:before="240" w:after="240" w:line="276" w:lineRule="auto"/>
        <w:ind w:left="567" w:right="900"/>
        <w:jc w:val="both"/>
        <w:rPr>
          <w:rFonts w:ascii="Palatino Linotype" w:eastAsia="Palatino Linotype" w:hAnsi="Palatino Linotype" w:cs="Palatino Linotype"/>
          <w:i/>
          <w:color w:val="212529"/>
          <w:sz w:val="22"/>
        </w:rPr>
      </w:pPr>
      <w:r w:rsidRPr="004B537E">
        <w:rPr>
          <w:rFonts w:ascii="Palatino Linotype" w:eastAsia="Palatino Linotype" w:hAnsi="Palatino Linotype" w:cs="Palatino Linotype"/>
          <w:b/>
          <w:i/>
          <w:color w:val="212529"/>
          <w:sz w:val="22"/>
          <w:u w:val="single"/>
        </w:rPr>
        <w:t>IV. Llevar y conservar los libros de actas de cabildo, obteniendo las firmas de los asistentes a las sesiones;</w:t>
      </w:r>
      <w:r>
        <w:rPr>
          <w:rFonts w:ascii="Palatino Linotype" w:eastAsia="Palatino Linotype" w:hAnsi="Palatino Linotype" w:cs="Palatino Linotype"/>
          <w:b/>
          <w:i/>
          <w:color w:val="212529"/>
          <w:sz w:val="22"/>
          <w:u w:val="single"/>
        </w:rPr>
        <w:t xml:space="preserve">” </w:t>
      </w:r>
      <w:r>
        <w:rPr>
          <w:rFonts w:ascii="Palatino Linotype" w:eastAsia="Palatino Linotype" w:hAnsi="Palatino Linotype" w:cs="Palatino Linotype"/>
          <w:i/>
          <w:color w:val="212529"/>
          <w:sz w:val="22"/>
        </w:rPr>
        <w:t>(Énfasis añadido)</w:t>
      </w:r>
    </w:p>
    <w:p w14:paraId="32BD46FE" w14:textId="505C1646" w:rsidR="004B537E" w:rsidRPr="000F4881" w:rsidRDefault="004B537E" w:rsidP="000F4881">
      <w:pPr>
        <w:spacing w:before="240" w:after="240" w:line="360" w:lineRule="auto"/>
        <w:ind w:right="49"/>
        <w:jc w:val="both"/>
        <w:rPr>
          <w:rFonts w:ascii="Palatino Linotype" w:eastAsia="Palatino Linotype" w:hAnsi="Palatino Linotype" w:cs="Palatino Linotype"/>
          <w:color w:val="212529"/>
        </w:rPr>
      </w:pPr>
      <w:r w:rsidRPr="004B537E">
        <w:rPr>
          <w:rFonts w:ascii="Palatino Linotype" w:eastAsia="Palatino Linotype" w:hAnsi="Palatino Linotype" w:cs="Palatino Linotype"/>
          <w:b/>
          <w:i/>
          <w:color w:val="212529"/>
          <w:sz w:val="22"/>
          <w:u w:val="single"/>
        </w:rPr>
        <w:cr/>
      </w:r>
      <w:r w:rsidR="000F4881">
        <w:rPr>
          <w:rFonts w:ascii="Palatino Linotype" w:eastAsia="Palatino Linotype" w:hAnsi="Palatino Linotype" w:cs="Palatino Linotype"/>
          <w:color w:val="212529"/>
        </w:rPr>
        <w:t>Por lo anterior, queda acreditada la facultad del Secretario del Ayuntamiento para efecto de conservar las actas de cabildo en las que pudiera obrar la compra de las patrullas materia de la solicitud de información.</w:t>
      </w:r>
    </w:p>
    <w:p w14:paraId="77B1D46D"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bookmarkStart w:id="5" w:name="_Hlk146146699"/>
      <w:r>
        <w:rPr>
          <w:rFonts w:ascii="Palatino Linotype" w:eastAsia="Palatino Linotype" w:hAnsi="Palatino Linotype" w:cs="Palatino Linotype"/>
          <w:b/>
          <w:color w:val="000000"/>
        </w:rPr>
        <w:t xml:space="preserve">En lo referente a </w:t>
      </w:r>
      <w:r w:rsidRPr="004B537E">
        <w:rPr>
          <w:rFonts w:ascii="Palatino Linotype" w:eastAsia="Palatino Linotype" w:hAnsi="Palatino Linotype" w:cs="Palatino Linotype"/>
          <w:b/>
          <w:color w:val="000000"/>
          <w:u w:val="single"/>
        </w:rPr>
        <w:t>la revisión de anexos por el OIC y los anexos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Derivado de lo expuesto en el párrafo anterior, es importante referir que, en cuanto hace a los Contratos celebrados para la adquisición y/o renta de bienes muebles, cabe traer a contexto lo referido en la Ley de Contratación Pública del Estado de México y Municipios, precepto legal que dispone: </w:t>
      </w:r>
    </w:p>
    <w:p w14:paraId="7C2F4006"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15.- En los contratos de adquisiciones, arrendamientos y servicios, cuya ejecución rebase un ejercicio presupuestal, las dependencias, entidades, tribunales administrativos y ayuntamientos deberán determinar tanto el presupuesto total, como el relativo a los ejercicios subsecuentes, en los que además de considerar los costos que en su momento se encuentren vigentes, se deberán tomar en cuenta las previsiones necesarias para los ajustes de costos que aseguren el cumplimiento de las obligaciones contraídas. </w:t>
      </w:r>
    </w:p>
    <w:p w14:paraId="3BB822A3"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Artículo 18.- Los procedimientos de adquisiciones, arrendamientos y servicios, que se realicen con cargo a recursos estatales, total o parcialmente, deberán desahogarse preferentemente por conducto del COMPRAMEX, salvo en los casos en que así lo determine el comité de adquisiciones y servicios. Lo mismo aplicará a los ayuntamientos cuando se trate de actos, contratos o convenios que se celebren con cargo a recursos municipales. </w:t>
      </w:r>
    </w:p>
    <w:p w14:paraId="221595D1"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CAPÍTULO OCTAVO </w:t>
      </w:r>
    </w:p>
    <w:p w14:paraId="31213B28"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LOS CONTRATOS </w:t>
      </w:r>
    </w:p>
    <w:p w14:paraId="62E74B44"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65.-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Gobierno Digital y de su Reglamento. </w:t>
      </w:r>
    </w:p>
    <w:p w14:paraId="5E3F5275"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68.- En los contratos se estipularán las diversas consecuencias de la cancelación, de la terminación anticipada o de la rescisión por causas imputables al proveedor o prestador de servicios. Los contratos contendrán los elementos que establezca el reglamento de esta Ley y se elaborarán conforme con los modelos que establezca la Secretaría o los ayuntamientos, en su caso.” </w:t>
      </w:r>
    </w:p>
    <w:p w14:paraId="3E4B3BC7"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conformidad con lo preceptos legales en cita, podemos advertir que existen acciones que deberán ser llevadas a cabo posteriores a la celebración de Contratos Públicos, acciones que en su caso deberá realizar el ente gubernamental y/o el proveedor para la debida aplicación de la ley en la materia. </w:t>
      </w:r>
    </w:p>
    <w:p w14:paraId="674122FF"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Dicho lo anterior, respecto a las acciones que habrán de llevarse a cabo por ambas partes en la celebración de contratos públicos, tenemos como Órgano de vigilancia el área de Contraloría Interna Municipal del Ayuntamiento de Texcoco, la cual de conformidad con la Ley Orgánica Municipal, cuenta con la siguiente atribución:</w:t>
      </w:r>
    </w:p>
    <w:p w14:paraId="48E88B72"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“Artículo 112. El órgano interno de control municipal tendrá a su cargo las funciones siguientes:</w:t>
      </w:r>
    </w:p>
    <w:p w14:paraId="1C3A6317"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6F8388F" w14:textId="77777777" w:rsidR="00AC237C" w:rsidRDefault="00BF7E93">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VII. Vigilar el cumplimiento de las obligaciones de proveedores y contratistas de la administración pública municipal;” </w:t>
      </w:r>
      <w:r>
        <w:rPr>
          <w:rFonts w:ascii="Palatino Linotype" w:eastAsia="Palatino Linotype" w:hAnsi="Palatino Linotype" w:cs="Palatino Linotype"/>
          <w:i/>
          <w:color w:val="000000"/>
          <w:sz w:val="22"/>
          <w:szCs w:val="22"/>
        </w:rPr>
        <w:t>(Énfasis añadido)</w:t>
      </w:r>
    </w:p>
    <w:bookmarkEnd w:id="5"/>
    <w:p w14:paraId="7B9E7932"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interpretación armónica de lo anteriormente analizado, se advierte que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cuenta con la competencia para regular los actos relativos a la planeación, programación, </w:t>
      </w:r>
      <w:proofErr w:type="spellStart"/>
      <w:r>
        <w:rPr>
          <w:rFonts w:ascii="Palatino Linotype" w:eastAsia="Palatino Linotype" w:hAnsi="Palatino Linotype" w:cs="Palatino Linotype"/>
          <w:color w:val="000000"/>
        </w:rPr>
        <w:t>presupuestación</w:t>
      </w:r>
      <w:proofErr w:type="spellEnd"/>
      <w:r>
        <w:rPr>
          <w:rFonts w:ascii="Palatino Linotype" w:eastAsia="Palatino Linotype" w:hAnsi="Palatino Linotype" w:cs="Palatino Linotype"/>
          <w:color w:val="000000"/>
        </w:rPr>
        <w:t xml:space="preserve">, ejecución y </w:t>
      </w:r>
      <w:r>
        <w:rPr>
          <w:rFonts w:ascii="Palatino Linotype" w:eastAsia="Palatino Linotype" w:hAnsi="Palatino Linotype" w:cs="Palatino Linotype"/>
          <w:b/>
          <w:color w:val="000000"/>
          <w:u w:val="single"/>
        </w:rPr>
        <w:t>control de la adquisición y arrendamiento de bienes, así como la contratación de servicios de cualquier naturaleza</w:t>
      </w:r>
      <w:r>
        <w:rPr>
          <w:rFonts w:ascii="Palatino Linotype" w:eastAsia="Palatino Linotype" w:hAnsi="Palatino Linotype" w:cs="Palatino Linotype"/>
          <w:color w:val="000000"/>
        </w:rPr>
        <w:t>;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14:paraId="099C7CA9" w14:textId="77777777" w:rsidR="00AC237C" w:rsidRDefault="00BF7E9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anteriormente citado, se advierte que derivado de los procedimientos de adquisiciones de bienes y servicios, se generan diversos soportes documentales, entre ellos, los que revisten nuestro interés, mismos que son susceptibles de publicación, por lo tanto, es procedente su entrega.</w:t>
      </w:r>
    </w:p>
    <w:p w14:paraId="53671EDC" w14:textId="77777777" w:rsidR="00AC237C" w:rsidRDefault="00BF7E93">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Es por todo lo anterior que esta autoridad estima que las razones o motivos de inconformidad hechos valer por </w:t>
      </w:r>
      <w:r>
        <w:rPr>
          <w:rFonts w:ascii="Palatino Linotype" w:eastAsia="Palatino Linotype" w:hAnsi="Palatino Linotype" w:cs="Palatino Linotype"/>
          <w:b/>
        </w:rPr>
        <w:t>la</w:t>
      </w:r>
      <w:r>
        <w:rPr>
          <w:rFonts w:ascii="Palatino Linotype" w:eastAsia="Palatino Linotype" w:hAnsi="Palatino Linotype" w:cs="Palatino Linotype"/>
        </w:rPr>
        <w:t xml:space="preserve">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estiman fundados; por lo que, lo procedente es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y previa búsqueda exhaustiva y razonable, ordenar la entrega </w:t>
      </w:r>
      <w:r>
        <w:rPr>
          <w:rFonts w:ascii="Palatino Linotype" w:eastAsia="Palatino Linotype" w:hAnsi="Palatino Linotype" w:cs="Palatino Linotype"/>
        </w:rPr>
        <w:t xml:space="preserve">de lo siguiente, en versión pública, atendiendo a lo dispuesto por el considerando quinto, el documento o </w:t>
      </w:r>
      <w:r>
        <w:rPr>
          <w:rFonts w:ascii="Palatino Linotype" w:eastAsia="Palatino Linotype" w:hAnsi="Palatino Linotype" w:cs="Palatino Linotype"/>
          <w:sz w:val="22"/>
          <w:szCs w:val="22"/>
        </w:rPr>
        <w:t>documentos donde conste lo siguiente:</w:t>
      </w:r>
    </w:p>
    <w:p w14:paraId="3617B1FE" w14:textId="77777777" w:rsidR="00AC237C" w:rsidRDefault="00BF7E93">
      <w:pPr>
        <w:spacing w:before="240" w:after="240" w:line="276" w:lineRule="auto"/>
        <w:ind w:left="567" w:right="900"/>
        <w:jc w:val="both"/>
        <w:rPr>
          <w:rFonts w:ascii="Palatino Linotype" w:eastAsia="Palatino Linotype" w:hAnsi="Palatino Linotype" w:cs="Palatino Linotype"/>
          <w:b/>
          <w:i/>
          <w:color w:val="000000"/>
          <w:sz w:val="22"/>
          <w:szCs w:val="22"/>
        </w:rPr>
      </w:pPr>
      <w:bookmarkStart w:id="6" w:name="_Hlk146147645"/>
      <w:r>
        <w:rPr>
          <w:rFonts w:ascii="Palatino Linotype" w:eastAsia="Palatino Linotype" w:hAnsi="Palatino Linotype" w:cs="Palatino Linotype"/>
          <w:b/>
          <w:i/>
          <w:color w:val="000000"/>
          <w:sz w:val="22"/>
          <w:szCs w:val="22"/>
        </w:rPr>
        <w:lastRenderedPageBreak/>
        <w:t>1. De las Patrullas Municipales, del periodo comprendido del primero de enero de dos mil dieciocho al trece de abril de dos mil veintitrés, lo siguiente:</w:t>
      </w:r>
    </w:p>
    <w:p w14:paraId="0F6DF267" w14:textId="79DDEA3E" w:rsidR="00AC237C" w:rsidRDefault="00BF7E93">
      <w:pPr>
        <w:spacing w:before="240" w:after="240"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w:t>
      </w:r>
      <w:r>
        <w:rPr>
          <w:rFonts w:ascii="Palatino Linotype" w:eastAsia="Palatino Linotype" w:hAnsi="Palatino Linotype" w:cs="Palatino Linotype"/>
          <w:i/>
          <w:color w:val="000000"/>
          <w:sz w:val="22"/>
          <w:szCs w:val="22"/>
        </w:rPr>
        <w:tab/>
        <w:t>Copia del Contrato</w:t>
      </w:r>
      <w:r w:rsidR="0046384D">
        <w:rPr>
          <w:rFonts w:ascii="Palatino Linotype" w:eastAsia="Palatino Linotype" w:hAnsi="Palatino Linotype" w:cs="Palatino Linotype"/>
          <w:i/>
          <w:color w:val="000000"/>
          <w:sz w:val="22"/>
          <w:szCs w:val="22"/>
        </w:rPr>
        <w:t xml:space="preserve">, </w:t>
      </w:r>
      <w:r w:rsidR="0046384D" w:rsidRPr="0046384D">
        <w:rPr>
          <w:rFonts w:ascii="Palatino Linotype" w:eastAsia="Palatino Linotype" w:hAnsi="Palatino Linotype" w:cs="Palatino Linotype"/>
          <w:i/>
          <w:color w:val="000000"/>
          <w:sz w:val="22"/>
          <w:szCs w:val="22"/>
        </w:rPr>
        <w:t>que incluya en su caso, costo de los radios, marca y modelo que utilizan;</w:t>
      </w:r>
    </w:p>
    <w:p w14:paraId="07F90ACD" w14:textId="77777777" w:rsidR="00AC237C" w:rsidRDefault="00BF7E93">
      <w:pPr>
        <w:spacing w:before="240" w:after="240"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w:t>
      </w:r>
      <w:r>
        <w:rPr>
          <w:rFonts w:ascii="Palatino Linotype" w:eastAsia="Palatino Linotype" w:hAnsi="Palatino Linotype" w:cs="Palatino Linotype"/>
          <w:i/>
          <w:color w:val="000000"/>
          <w:sz w:val="22"/>
          <w:szCs w:val="22"/>
        </w:rPr>
        <w:tab/>
        <w:t>Estudios de mercado;</w:t>
      </w:r>
    </w:p>
    <w:p w14:paraId="7E2D7741" w14:textId="77777777" w:rsidR="0046384D" w:rsidRDefault="00BF7E93">
      <w:pPr>
        <w:spacing w:before="240" w:after="240"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w:t>
      </w:r>
      <w:r>
        <w:rPr>
          <w:rFonts w:ascii="Palatino Linotype" w:eastAsia="Palatino Linotype" w:hAnsi="Palatino Linotype" w:cs="Palatino Linotype"/>
          <w:i/>
          <w:color w:val="000000"/>
          <w:sz w:val="22"/>
          <w:szCs w:val="22"/>
        </w:rPr>
        <w:tab/>
        <w:t xml:space="preserve">Acta de </w:t>
      </w:r>
      <w:r w:rsidR="0046384D">
        <w:rPr>
          <w:rFonts w:ascii="Palatino Linotype" w:eastAsia="Palatino Linotype" w:hAnsi="Palatino Linotype" w:cs="Palatino Linotype"/>
          <w:i/>
          <w:color w:val="000000"/>
          <w:sz w:val="22"/>
          <w:szCs w:val="22"/>
        </w:rPr>
        <w:t>C</w:t>
      </w:r>
      <w:r>
        <w:rPr>
          <w:rFonts w:ascii="Palatino Linotype" w:eastAsia="Palatino Linotype" w:hAnsi="Palatino Linotype" w:cs="Palatino Linotype"/>
          <w:i/>
          <w:color w:val="000000"/>
          <w:sz w:val="22"/>
          <w:szCs w:val="22"/>
        </w:rPr>
        <w:t xml:space="preserve">abildo para su compra, o </w:t>
      </w:r>
      <w:r w:rsidR="0046384D">
        <w:rPr>
          <w:rFonts w:ascii="Palatino Linotype" w:eastAsia="Palatino Linotype" w:hAnsi="Palatino Linotype" w:cs="Palatino Linotype"/>
          <w:i/>
          <w:color w:val="000000"/>
          <w:sz w:val="22"/>
          <w:szCs w:val="22"/>
        </w:rPr>
        <w:t>del Comité o S</w:t>
      </w:r>
      <w:r>
        <w:rPr>
          <w:rFonts w:ascii="Palatino Linotype" w:eastAsia="Palatino Linotype" w:hAnsi="Palatino Linotype" w:cs="Palatino Linotype"/>
          <w:i/>
          <w:color w:val="000000"/>
          <w:sz w:val="22"/>
          <w:szCs w:val="22"/>
        </w:rPr>
        <w:t xml:space="preserve">ubcomité </w:t>
      </w:r>
      <w:r w:rsidR="0046384D" w:rsidRPr="0046384D">
        <w:rPr>
          <w:rFonts w:ascii="Palatino Linotype" w:eastAsia="Palatino Linotype" w:hAnsi="Palatino Linotype" w:cs="Palatino Linotype"/>
          <w:i/>
          <w:color w:val="000000"/>
          <w:sz w:val="22"/>
          <w:szCs w:val="22"/>
        </w:rPr>
        <w:t xml:space="preserve">de Adquisiciones y Servicios; </w:t>
      </w:r>
    </w:p>
    <w:p w14:paraId="7F0C28BC" w14:textId="49DAFA75" w:rsidR="00AC237C" w:rsidRDefault="00BF7E93">
      <w:pPr>
        <w:spacing w:before="240" w:after="240"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w:t>
      </w:r>
      <w:r>
        <w:rPr>
          <w:rFonts w:ascii="Palatino Linotype" w:eastAsia="Palatino Linotype" w:hAnsi="Palatino Linotype" w:cs="Palatino Linotype"/>
          <w:i/>
          <w:color w:val="000000"/>
          <w:sz w:val="22"/>
          <w:szCs w:val="22"/>
        </w:rPr>
        <w:tab/>
        <w:t>Revisión de anexos de</w:t>
      </w:r>
      <w:r w:rsidR="0046384D">
        <w:rPr>
          <w:rFonts w:ascii="Palatino Linotype" w:eastAsia="Palatino Linotype" w:hAnsi="Palatino Linotype" w:cs="Palatino Linotype"/>
          <w:i/>
          <w:color w:val="000000"/>
          <w:sz w:val="22"/>
          <w:szCs w:val="22"/>
        </w:rPr>
        <w:t xml:space="preserve"> los</w:t>
      </w:r>
      <w:r>
        <w:rPr>
          <w:rFonts w:ascii="Palatino Linotype" w:eastAsia="Palatino Linotype" w:hAnsi="Palatino Linotype" w:cs="Palatino Linotype"/>
          <w:i/>
          <w:color w:val="000000"/>
          <w:sz w:val="22"/>
          <w:szCs w:val="22"/>
        </w:rPr>
        <w:t xml:space="preserve"> contratos por</w:t>
      </w:r>
      <w:r w:rsidR="0046384D">
        <w:rPr>
          <w:rFonts w:ascii="Palatino Linotype" w:eastAsia="Palatino Linotype" w:hAnsi="Palatino Linotype" w:cs="Palatino Linotype"/>
          <w:i/>
          <w:color w:val="000000"/>
          <w:sz w:val="22"/>
          <w:szCs w:val="22"/>
        </w:rPr>
        <w:t xml:space="preserve"> parte del</w:t>
      </w:r>
      <w:r>
        <w:rPr>
          <w:rFonts w:ascii="Palatino Linotype" w:eastAsia="Palatino Linotype" w:hAnsi="Palatino Linotype" w:cs="Palatino Linotype"/>
          <w:i/>
          <w:color w:val="000000"/>
          <w:sz w:val="22"/>
          <w:szCs w:val="22"/>
        </w:rPr>
        <w:t xml:space="preserve"> Órgano Interno de Control; </w:t>
      </w:r>
    </w:p>
    <w:p w14:paraId="10839E79" w14:textId="39A28EC8" w:rsidR="00AC237C" w:rsidRDefault="00BF7E93">
      <w:pPr>
        <w:spacing w:before="240" w:after="240"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w:t>
      </w:r>
      <w:r>
        <w:rPr>
          <w:rFonts w:ascii="Palatino Linotype" w:eastAsia="Palatino Linotype" w:hAnsi="Palatino Linotype" w:cs="Palatino Linotype"/>
          <w:i/>
          <w:color w:val="000000"/>
          <w:sz w:val="22"/>
          <w:szCs w:val="22"/>
        </w:rPr>
        <w:tab/>
        <w:t>Tarjeta de circulación</w:t>
      </w:r>
      <w:r w:rsidR="0046384D">
        <w:rPr>
          <w:rFonts w:ascii="Palatino Linotype" w:eastAsia="Palatino Linotype" w:hAnsi="Palatino Linotype" w:cs="Palatino Linotype"/>
          <w:i/>
          <w:color w:val="000000"/>
          <w:sz w:val="22"/>
          <w:szCs w:val="22"/>
        </w:rPr>
        <w:t xml:space="preserve"> </w:t>
      </w:r>
      <w:r w:rsidR="0046384D" w:rsidRPr="0046384D">
        <w:rPr>
          <w:rFonts w:ascii="Palatino Linotype" w:eastAsia="Palatino Linotype" w:hAnsi="Palatino Linotype" w:cs="Palatino Linotype"/>
          <w:i/>
          <w:color w:val="000000"/>
          <w:sz w:val="22"/>
          <w:szCs w:val="22"/>
        </w:rPr>
        <w:t>vigente al trece de abril de dos mil veintitrés</w:t>
      </w:r>
      <w:r>
        <w:rPr>
          <w:rFonts w:ascii="Palatino Linotype" w:eastAsia="Palatino Linotype" w:hAnsi="Palatino Linotype" w:cs="Palatino Linotype"/>
          <w:i/>
          <w:color w:val="000000"/>
          <w:sz w:val="22"/>
          <w:szCs w:val="22"/>
        </w:rPr>
        <w:t>;</w:t>
      </w:r>
      <w:r w:rsidR="0046384D">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 xml:space="preserve"> </w:t>
      </w:r>
    </w:p>
    <w:p w14:paraId="24634A45" w14:textId="02C33FA7" w:rsidR="00AC237C" w:rsidRDefault="00BF7E93">
      <w:pPr>
        <w:spacing w:before="240" w:after="240"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w:t>
      </w:r>
      <w:r>
        <w:rPr>
          <w:rFonts w:ascii="Palatino Linotype" w:eastAsia="Palatino Linotype" w:hAnsi="Palatino Linotype" w:cs="Palatino Linotype"/>
          <w:i/>
          <w:color w:val="000000"/>
          <w:sz w:val="22"/>
          <w:szCs w:val="22"/>
        </w:rPr>
        <w:tab/>
      </w:r>
      <w:r w:rsidR="0046384D" w:rsidRPr="0046384D">
        <w:rPr>
          <w:rFonts w:ascii="Palatino Linotype" w:eastAsia="Palatino Linotype" w:hAnsi="Palatino Linotype" w:cs="Palatino Linotype"/>
          <w:i/>
          <w:color w:val="000000"/>
          <w:sz w:val="22"/>
          <w:szCs w:val="22"/>
        </w:rPr>
        <w:t>Última verificación vehicular realizada al trece de abril de dos mil veintitrés.</w:t>
      </w:r>
    </w:p>
    <w:p w14:paraId="10250965" w14:textId="442A618F" w:rsidR="00AC237C" w:rsidRDefault="00BF7E93">
      <w:pPr>
        <w:spacing w:before="240" w:after="240" w:line="276" w:lineRule="auto"/>
        <w:ind w:left="42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g)</w:t>
      </w:r>
      <w:r>
        <w:rPr>
          <w:rFonts w:ascii="Palatino Linotype" w:eastAsia="Palatino Linotype" w:hAnsi="Palatino Linotype" w:cs="Palatino Linotype"/>
          <w:i/>
          <w:color w:val="000000"/>
          <w:sz w:val="22"/>
          <w:szCs w:val="22"/>
        </w:rPr>
        <w:tab/>
      </w:r>
      <w:r w:rsidR="0046384D">
        <w:rPr>
          <w:rFonts w:ascii="Palatino Linotype" w:eastAsia="Palatino Linotype" w:hAnsi="Palatino Linotype" w:cs="Palatino Linotype"/>
          <w:i/>
          <w:color w:val="000000"/>
          <w:sz w:val="22"/>
          <w:szCs w:val="22"/>
        </w:rPr>
        <w:t xml:space="preserve">Acta de la </w:t>
      </w:r>
      <w:r>
        <w:rPr>
          <w:rFonts w:ascii="Palatino Linotype" w:eastAsia="Palatino Linotype" w:hAnsi="Palatino Linotype" w:cs="Palatino Linotype"/>
          <w:i/>
          <w:color w:val="000000"/>
          <w:sz w:val="22"/>
          <w:szCs w:val="22"/>
        </w:rPr>
        <w:t>Junta de aclaraciones;</w:t>
      </w:r>
    </w:p>
    <w:bookmarkEnd w:id="6"/>
    <w:p w14:paraId="34BBF9D0" w14:textId="7784C48A" w:rsidR="000F4881" w:rsidRPr="005627FC" w:rsidRDefault="000F4881" w:rsidP="000F4881">
      <w:pPr>
        <w:pStyle w:val="NormalWeb"/>
        <w:spacing w:before="0" w:beforeAutospacing="0" w:after="0" w:afterAutospacing="0" w:line="360" w:lineRule="auto"/>
        <w:ind w:right="-91"/>
        <w:jc w:val="both"/>
      </w:pPr>
      <w:r w:rsidRPr="005627FC">
        <w:rPr>
          <w:rFonts w:ascii="Palatino Linotype" w:hAnsi="Palatino Linotype"/>
          <w:color w:val="000000"/>
        </w:rPr>
        <w:t>Es de precisar que para el caso de que no se llegara a localizar la información que se orde</w:t>
      </w:r>
      <w:r w:rsidR="005627FC">
        <w:rPr>
          <w:rFonts w:ascii="Palatino Linotype" w:hAnsi="Palatino Linotype"/>
          <w:color w:val="000000"/>
        </w:rPr>
        <w:t xml:space="preserve">na en los </w:t>
      </w:r>
      <w:r w:rsidR="005627FC" w:rsidRPr="005627FC">
        <w:rPr>
          <w:rFonts w:ascii="Palatino Linotype" w:hAnsi="Palatino Linotype"/>
          <w:b/>
          <w:color w:val="000000"/>
        </w:rPr>
        <w:t>incisos</w:t>
      </w:r>
      <w:r w:rsidRPr="005627FC">
        <w:rPr>
          <w:rFonts w:ascii="Palatino Linotype" w:hAnsi="Palatino Linotype"/>
          <w:b/>
          <w:color w:val="000000"/>
        </w:rPr>
        <w:t xml:space="preserve"> </w:t>
      </w:r>
      <w:r w:rsidR="005627FC" w:rsidRPr="005627FC">
        <w:rPr>
          <w:rFonts w:ascii="Palatino Linotype" w:hAnsi="Palatino Linotype"/>
          <w:b/>
          <w:color w:val="000000"/>
        </w:rPr>
        <w:t>b), c) d) y g)</w:t>
      </w:r>
      <w:r w:rsidR="005627FC">
        <w:rPr>
          <w:rFonts w:ascii="Palatino Linotype" w:hAnsi="Palatino Linotype"/>
          <w:color w:val="000000"/>
        </w:rPr>
        <w:t xml:space="preserve"> </w:t>
      </w:r>
      <w:r w:rsidRPr="005627FC">
        <w:rPr>
          <w:rFonts w:ascii="Palatino Linotype" w:hAnsi="Palatino Linotype"/>
          <w:color w:val="000000"/>
        </w:rPr>
        <w:t>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2A6B6353" w14:textId="77777777" w:rsidR="000F4881" w:rsidRPr="005627FC" w:rsidRDefault="000F4881" w:rsidP="000F4881"/>
    <w:p w14:paraId="74CE3AEB" w14:textId="77777777" w:rsidR="000F4881" w:rsidRPr="005627FC" w:rsidRDefault="000F4881" w:rsidP="000F4881">
      <w:pPr>
        <w:pStyle w:val="NormalWeb"/>
        <w:spacing w:before="0" w:beforeAutospacing="0" w:after="0" w:afterAutospacing="0"/>
        <w:ind w:left="851" w:right="616"/>
        <w:jc w:val="both"/>
      </w:pPr>
      <w:r w:rsidRPr="005627FC">
        <w:rPr>
          <w:rFonts w:ascii="Palatino Linotype" w:hAnsi="Palatino Linotype"/>
          <w:i/>
          <w:iCs/>
          <w:color w:val="000000"/>
          <w:sz w:val="22"/>
          <w:szCs w:val="22"/>
        </w:rPr>
        <w:t>“Artículo 19…</w:t>
      </w:r>
    </w:p>
    <w:p w14:paraId="26B74C6C" w14:textId="77777777" w:rsidR="000F4881" w:rsidRDefault="000F4881" w:rsidP="000F4881">
      <w:pPr>
        <w:pStyle w:val="NormalWeb"/>
        <w:spacing w:before="0" w:beforeAutospacing="0" w:after="0" w:afterAutospacing="0"/>
        <w:ind w:left="851" w:right="616"/>
        <w:jc w:val="both"/>
      </w:pPr>
      <w:r w:rsidRPr="005627FC">
        <w:rPr>
          <w:rFonts w:ascii="Palatino Linotype" w:hAnsi="Palatino Linotype"/>
          <w:i/>
          <w:iCs/>
          <w:color w:val="000000"/>
          <w:sz w:val="22"/>
          <w:szCs w:val="22"/>
        </w:rPr>
        <w:t>En los casos en que ciertas facultades, competencias o funciones no se hayan ejercido, se debe motivar la respuesta en función de las causas que motiven tal circunstancia.”</w:t>
      </w:r>
    </w:p>
    <w:p w14:paraId="42724488" w14:textId="77777777" w:rsidR="000F4881" w:rsidRDefault="000F4881">
      <w:pPr>
        <w:spacing w:line="360" w:lineRule="auto"/>
        <w:jc w:val="both"/>
        <w:rPr>
          <w:rFonts w:ascii="Palatino Linotype" w:eastAsia="Palatino Linotype" w:hAnsi="Palatino Linotype" w:cs="Palatino Linotype"/>
          <w:b/>
        </w:rPr>
      </w:pPr>
    </w:p>
    <w:p w14:paraId="77E61060"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dar satisfacción de la derecho humano de acceso a la información del particular, deberá considerar que ello no es </w:t>
      </w:r>
      <w:r>
        <w:rPr>
          <w:rFonts w:ascii="Palatino Linotype" w:eastAsia="Palatino Linotype" w:hAnsi="Palatino Linotype" w:cs="Palatino Linotype"/>
        </w:rPr>
        <w:lastRenderedPageBreak/>
        <w:t xml:space="preserve">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500F24EA" w14:textId="77777777" w:rsidR="00AC237C" w:rsidRDefault="00BF7E93">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14:paraId="70081087"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006EFDFD"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127899"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8A96D70"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66D8172F"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FE5A71"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AE057E6"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B98EAE5"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47832F3"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72477382"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Se reciba una solicitud de acceso a la información;</w:t>
      </w:r>
    </w:p>
    <w:p w14:paraId="3A273D42"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0E65F0B6"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77D02086"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7CAD8B"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81A6085"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14:paraId="26F5C2E8"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D430A09"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FE4C73F"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6BC9CC6" w14:textId="77777777" w:rsidR="00AC237C" w:rsidRDefault="00BF7E93">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CD70616"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0114FA3"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7328EB4A"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clave de elector</w:t>
      </w:r>
      <w:r>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que distingue a su titular de cualquier otro homónimo, por lo tanto, se trata de un dato personal que debe ser protegido.</w:t>
      </w:r>
    </w:p>
    <w:p w14:paraId="03D7763D"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número de OCR,</w:t>
      </w:r>
      <w:r>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Pr>
          <w:rFonts w:ascii="Palatino Linotype" w:eastAsia="Palatino Linotype" w:hAnsi="Palatino Linotype" w:cs="Palatino Linotype"/>
        </w:rPr>
        <w:t>geoelectoral</w:t>
      </w:r>
      <w:proofErr w:type="spellEnd"/>
      <w:r>
        <w:rPr>
          <w:rFonts w:ascii="Palatino Linotype" w:eastAsia="Palatino Linotype" w:hAnsi="Palatino Linotype" w:cs="Palatino Linotype"/>
        </w:rPr>
        <w:t xml:space="preserve"> ahí contenida, por lo que es susceptible de resguardarse.</w:t>
      </w:r>
    </w:p>
    <w:p w14:paraId="7BDFBB7A"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clave única del registro de población,</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se integra por datos personales que sólo conciernen al particular titular de la misma, como lo son su nombre, apellidos, fecha de nacimiento, lugar de nacimiento y sexo. Dichos datos, constituyen información </w:t>
      </w:r>
      <w:r>
        <w:rPr>
          <w:rFonts w:ascii="Palatino Linotype" w:eastAsia="Palatino Linotype" w:hAnsi="Palatino Linotype" w:cs="Palatino Linotype"/>
        </w:rPr>
        <w:lastRenderedPageBreak/>
        <w:t>que distingue plenamente a una persona física del resto de los habitantes del país, por lo está considerada como información confidencial.</w:t>
      </w:r>
    </w:p>
    <w:p w14:paraId="512835CC"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resulta importante destacar que el </w:t>
      </w:r>
      <w:r>
        <w:rPr>
          <w:rFonts w:ascii="Palatino Linotype" w:eastAsia="Palatino Linotype" w:hAnsi="Palatino Linotype" w:cs="Palatino Linotype"/>
          <w:i/>
        </w:rPr>
        <w:t>número de cuenta bancaria</w:t>
      </w:r>
      <w:r>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EA4C454"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620C8F99"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6EDCC8E"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virtud, este Pleno determina que dicha información no puede ser del dominio público, toda vez que se podría dar un uso inadecuado a la misma o cometer algún ilícito o fraude como ya ha sido expuesto. </w:t>
      </w:r>
    </w:p>
    <w:p w14:paraId="3BCD339C"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 por esta razón que se debe omitir el o los números de cuentas bancarias de particulares en las versiones públicas que de las facturas se hagan, para ser entregadas.</w:t>
      </w:r>
    </w:p>
    <w:p w14:paraId="4A41C136"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79E10C7"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65F68C2A" w14:textId="77777777" w:rsidR="00AC237C" w:rsidRDefault="00BF7E93">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E6C1A59" w14:textId="77777777" w:rsidR="00AC237C" w:rsidRDefault="00BF7E93">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Cuentas bancarias y/o CLABE interbancaria de sujetos obligados que reciben y/o transfieren recursos públicos, son información pública</w:t>
      </w:r>
      <w:r>
        <w:rPr>
          <w:rFonts w:ascii="Palatino Linotype" w:eastAsia="Palatino Linotype" w:hAnsi="Palatino Linotype" w:cs="Palatino Linotype"/>
          <w:i/>
        </w:rPr>
        <w:t xml:space="preserve">. La difusión de las cuentas bancarias y claves interbancarias pertenecientes a un sujeto obligado favorece </w:t>
      </w:r>
      <w:r>
        <w:rPr>
          <w:rFonts w:ascii="Palatino Linotype" w:eastAsia="Palatino Linotype" w:hAnsi="Palatino Linotype" w:cs="Palatino Linotype"/>
          <w:i/>
          <w:sz w:val="22"/>
          <w:szCs w:val="22"/>
        </w:rPr>
        <w:t>la rendición de cuentas al transparentar la forma en que se administran los recursos públicos, razón por la cual no pueden considerarse como información clasificada.”</w:t>
      </w:r>
    </w:p>
    <w:p w14:paraId="543BA22C"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 xml:space="preserve">Registro Federal de Contribuyentes (RFC) </w:t>
      </w:r>
      <w:r>
        <w:rPr>
          <w:rFonts w:ascii="Palatino Linotype" w:eastAsia="Palatino Linotype" w:hAnsi="Palatino Linotype" w:cs="Palatino Linotype"/>
        </w:rPr>
        <w:t>y</w:t>
      </w:r>
      <w:r>
        <w:rPr>
          <w:rFonts w:ascii="Palatino Linotype" w:eastAsia="Palatino Linotype" w:hAnsi="Palatino Linotype" w:cs="Palatino Linotype"/>
          <w:b/>
        </w:rPr>
        <w:t xml:space="preserve"> el domicilio fiscal </w:t>
      </w:r>
      <w:r>
        <w:rPr>
          <w:rFonts w:ascii="Palatino Linotype" w:eastAsia="Palatino Linotype" w:hAnsi="Palatino Linotype" w:cs="Palatino Linotype"/>
        </w:rPr>
        <w:t xml:space="preserve">si bien este Instituto ha sostenido que el RFC y domicilio de las personas físicas debe </w:t>
      </w:r>
      <w:r>
        <w:rPr>
          <w:rFonts w:ascii="Palatino Linotype" w:eastAsia="Palatino Linotype" w:hAnsi="Palatino Linotype" w:cs="Palatino Linotype"/>
        </w:rPr>
        <w:lastRenderedPageBreak/>
        <w:t>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EC943A9"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A355D6B"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Pr>
          <w:rFonts w:ascii="Palatino Linotype" w:eastAsia="Palatino Linotype" w:hAnsi="Palatino Linotype" w:cs="Palatino Linotype"/>
          <w:b/>
        </w:rPr>
        <w:t>no puede considerarse como información clasificada lo relativo a su nombre, registro federal de contribuyentes y domicilio fiscal</w:t>
      </w:r>
      <w:r>
        <w:rPr>
          <w:rFonts w:ascii="Palatino Linotype" w:eastAsia="Palatino Linotype" w:hAnsi="Palatino Linotype" w:cs="Palatino Linotype"/>
        </w:rPr>
        <w:t>, atento a que dicha información es la que puede generar certeza en los gobernados en que se está ejerciendo debidamente el presupuesto.</w:t>
      </w:r>
    </w:p>
    <w:p w14:paraId="4C4DC676"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5EC3689E" w14:textId="77777777" w:rsidR="00AC237C" w:rsidRDefault="00BF7E93">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“Registro Federal de Contribuyentes (RFC) de personas físicas proveedoras o contratistas. </w:t>
      </w:r>
      <w:r>
        <w:rPr>
          <w:rFonts w:ascii="Palatino Linotype" w:eastAsia="Palatino Linotype" w:hAnsi="Palatino Linotype" w:cs="Palatino Linotype"/>
          <w:i/>
          <w:sz w:val="22"/>
          <w:szCs w:val="22"/>
        </w:rPr>
        <w:t xml:space="preserve">El RFC de contratistas o proveedores de los sujetos obligados debe </w:t>
      </w:r>
      <w:r>
        <w:rPr>
          <w:rFonts w:ascii="Palatino Linotype" w:eastAsia="Palatino Linotype" w:hAnsi="Palatino Linotype" w:cs="Palatino Linotype"/>
          <w:i/>
          <w:sz w:val="22"/>
          <w:szCs w:val="22"/>
        </w:rPr>
        <w:lastRenderedPageBreak/>
        <w:t>ser público, ya que al tratarse de personas con contrataciones públicas, su difusión favorece la transparencia con la que deben administrarse los recursos públicos, en términos del artículo 134 de la Constitución Política de los Estados Unidos Mexicanos.”</w:t>
      </w:r>
    </w:p>
    <w:p w14:paraId="099167BE"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Relacionado con lo anterior, el </w:t>
      </w:r>
      <w:r>
        <w:rPr>
          <w:rFonts w:ascii="Palatino Linotype" w:eastAsia="Palatino Linotype" w:hAnsi="Palatino Linotype" w:cs="Palatino Linotype"/>
          <w:b/>
        </w:rPr>
        <w:t>nombre de las personas físicas</w:t>
      </w:r>
      <w:r>
        <w:rPr>
          <w:rFonts w:ascii="Palatino Linotype" w:eastAsia="Palatino Linotype" w:hAnsi="Palatino Linotype" w:cs="Palatino Linotype"/>
        </w:rPr>
        <w:t xml:space="preserve"> o los </w:t>
      </w:r>
      <w:r>
        <w:rPr>
          <w:rFonts w:ascii="Palatino Linotype" w:eastAsia="Palatino Linotype" w:hAnsi="Palatino Linotype" w:cs="Palatino Linotype"/>
          <w:b/>
        </w:rPr>
        <w:t>representantes legales de las personas morales</w:t>
      </w:r>
      <w:r>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2A459E8B"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4BE00F04" w14:textId="77777777" w:rsidR="00AC237C" w:rsidRDefault="00BF7E93">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w:t>
      </w:r>
    </w:p>
    <w:p w14:paraId="6DACE218" w14:textId="77777777" w:rsidR="00AC237C" w:rsidRDefault="00BF7E93">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6AA42A"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resulta aplicable el contenido del criterio de interpretación 01/19 emitido por el Instituto Nacional de Transparencia, Acceso a la Información, y Protección de Datos Personales, INAI, que lleva por rubro y texto los siguientes</w:t>
      </w:r>
    </w:p>
    <w:p w14:paraId="42289309" w14:textId="77777777" w:rsidR="00AC237C" w:rsidRDefault="00BF7E93">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“Datos de identificación del representante o apoderado legal.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Naturaleza jurídica. </w:t>
      </w:r>
      <w:r>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Pr>
          <w:rFonts w:ascii="Palatino Linotype" w:eastAsia="Palatino Linotype" w:hAnsi="Palatino Linotype" w:cs="Palatino Linotype"/>
          <w:i/>
          <w:sz w:val="22"/>
          <w:szCs w:val="22"/>
        </w:rPr>
        <w:t>.”</w:t>
      </w:r>
    </w:p>
    <w:p w14:paraId="299D8774"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Mientras que en el caso del </w:t>
      </w:r>
      <w:r>
        <w:rPr>
          <w:rFonts w:ascii="Palatino Linotype" w:eastAsia="Palatino Linotype" w:hAnsi="Palatino Linotype" w:cs="Palatino Linotype"/>
          <w:b/>
        </w:rPr>
        <w:t>folio fiscal</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cadena original, </w:t>
      </w:r>
      <w:r>
        <w:rPr>
          <w:rFonts w:ascii="Palatino Linotype" w:eastAsia="Palatino Linotype" w:hAnsi="Palatino Linotype" w:cs="Palatino Linotype"/>
        </w:rPr>
        <w:t>los</w:t>
      </w:r>
      <w:r>
        <w:rPr>
          <w:rFonts w:ascii="Palatino Linotype" w:eastAsia="Palatino Linotype" w:hAnsi="Palatino Linotype" w:cs="Palatino Linotype"/>
          <w:b/>
        </w:rPr>
        <w:t xml:space="preserve"> códigos bidimensionales o códigos QR,</w:t>
      </w:r>
      <w:r>
        <w:rPr>
          <w:rFonts w:ascii="Palatino Linotype" w:eastAsia="Palatino Linotype" w:hAnsi="Palatino Linotype" w:cs="Palatino Linotype"/>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1B62360C"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21C03A16" w14:textId="77777777" w:rsidR="00AC237C" w:rsidRDefault="00BF7E9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Entorno a lo que aquí nos interesa,</w:t>
      </w:r>
      <w:r>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Pr>
          <w:rFonts w:ascii="Palatino Linotype" w:eastAsia="Palatino Linotype" w:hAnsi="Palatino Linotype" w:cs="Palatino Linotype"/>
        </w:rPr>
        <w:t xml:space="preserve"> señalan las formalidades que 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siendo estas las siguientes:</w:t>
      </w:r>
    </w:p>
    <w:p w14:paraId="66811BA8" w14:textId="77777777" w:rsidR="00AC237C" w:rsidRDefault="00BF7E93">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VIII </w:t>
      </w:r>
    </w:p>
    <w:p w14:paraId="020EE8AE" w14:textId="77777777" w:rsidR="00AC237C" w:rsidRDefault="00BF7E93">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LOS ELEMENTOS PARA LA CLASIFICACIÓN </w:t>
      </w:r>
    </w:p>
    <w:p w14:paraId="11011D3A" w14:textId="77777777" w:rsidR="00AC237C" w:rsidRDefault="00BF7E9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2CAEE85"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14:paraId="6E2D5ADA"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número de sesión y fecha; </w:t>
      </w:r>
    </w:p>
    <w:p w14:paraId="5D0344D2"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nombre del área que solicitó la clasificación de información; </w:t>
      </w:r>
    </w:p>
    <w:p w14:paraId="61740E38"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fundamentación legal y motivación correspondiente; </w:t>
      </w:r>
    </w:p>
    <w:p w14:paraId="3C5263B2"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 resolución o resoluciones aprobadas; y </w:t>
      </w:r>
    </w:p>
    <w:p w14:paraId="3FC765FA"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 rúbrica o firma digital de cada integrante del Comité de Transparencia. Las resoluciones del Comité en las que se haya determinado confirmar o modificar la clasificación de información pública como reservada, deberán incluir, cuando menos: </w:t>
      </w:r>
    </w:p>
    <w:p w14:paraId="5F9FF824"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Los motivos y razonamientos que sustenten la confirmación o modificación de la prueba de daño;</w:t>
      </w:r>
    </w:p>
    <w:p w14:paraId="16FF727E"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Descripción de las partes o secciones reservadas, en caso de clasificación parcial; III. El periodo por el que mantendrá su clasificación y fecha de expiración; y </w:t>
      </w:r>
    </w:p>
    <w:p w14:paraId="60D81773"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D088226"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w:t>
      </w:r>
    </w:p>
    <w:p w14:paraId="2A75D0CF"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Quincuagésimo segundo. </w:t>
      </w:r>
      <w:r>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w:t>
      </w:r>
      <w:r>
        <w:rPr>
          <w:rFonts w:ascii="Palatino Linotype" w:eastAsia="Palatino Linotype" w:hAnsi="Palatino Linotype" w:cs="Palatino Linotype"/>
          <w:i/>
          <w:color w:val="000000"/>
          <w:sz w:val="22"/>
          <w:szCs w:val="22"/>
        </w:rPr>
        <w:lastRenderedPageBreak/>
        <w:t xml:space="preserve">asegurar que el espacio utilizado para testar la información no podrá ser empleado para la </w:t>
      </w:r>
      <w:proofErr w:type="spellStart"/>
      <w:r>
        <w:rPr>
          <w:rFonts w:ascii="Palatino Linotype" w:eastAsia="Palatino Linotype" w:hAnsi="Palatino Linotype" w:cs="Palatino Linotype"/>
          <w:i/>
          <w:color w:val="000000"/>
          <w:sz w:val="22"/>
          <w:szCs w:val="22"/>
        </w:rPr>
        <w:t>sobreposición</w:t>
      </w:r>
      <w:proofErr w:type="spellEnd"/>
      <w:r>
        <w:rPr>
          <w:rFonts w:ascii="Palatino Linotype" w:eastAsia="Palatino Linotype" w:hAnsi="Palatino Linotype" w:cs="Palatino Linotype"/>
          <w:i/>
          <w:color w:val="000000"/>
          <w:sz w:val="22"/>
          <w:szCs w:val="22"/>
        </w:rPr>
        <w:t xml:space="preserve"> de contenido distinto al autorizado por el Comité.</w:t>
      </w:r>
    </w:p>
    <w:p w14:paraId="04D86959"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el caso específico de la clasificación y elaboración de versiones públicas de documentos que contengan información confidencial, las áreas de los sujetos obligados deberán: </w:t>
      </w:r>
    </w:p>
    <w:p w14:paraId="7D4E2E21"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Fijar la fecha en que se elaboró la versión pública y la fecha en la cual el Comité de Transparencia confirmó dicha versión; </w:t>
      </w:r>
    </w:p>
    <w:p w14:paraId="3B4CAE09"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Señalar dentro del documento el tipo de información confidencial que fue testada en cada caso específico, de conformidad con el lineamiento trigésimo octavo; y </w:t>
      </w:r>
    </w:p>
    <w:p w14:paraId="07BD6777"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Señalar las personas o instancias autorizadas a acceder a la información clasificada. </w:t>
      </w:r>
    </w:p>
    <w:p w14:paraId="0836EBB1"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los documentos de difusión electrónica, señalar en la primera hoja y en el nombre del archivo, que la versión pública corresponde a un documento que contiene información confidencial. </w:t>
      </w:r>
    </w:p>
    <w:p w14:paraId="3DFCA644"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highlight w:val="yellow"/>
        </w:rPr>
      </w:pPr>
      <w:r>
        <w:rPr>
          <w:rFonts w:ascii="Palatino Linotype" w:eastAsia="Palatino Linotype" w:hAnsi="Palatino Linotype" w:cs="Palatino Linotype"/>
          <w:b/>
          <w:i/>
          <w:color w:val="000000"/>
          <w:sz w:val="22"/>
          <w:szCs w:val="22"/>
        </w:rPr>
        <w:t>Quincuagésimo tercero.</w:t>
      </w:r>
      <w:r>
        <w:rPr>
          <w:rFonts w:ascii="Palatino Linotype" w:eastAsia="Palatino Linotype" w:hAnsi="Palatino Linotype" w:cs="Palatino Linotype"/>
          <w:i/>
          <w:color w:val="000000"/>
          <w:sz w:val="22"/>
          <w:szCs w:val="22"/>
        </w:rPr>
        <w:t xml:space="preserve"> El formato para señalar la clasificación de un documento o expediente que contenga información reservada, es el siguiente:</w:t>
      </w:r>
      <w:r>
        <w:rPr>
          <w:noProof/>
          <w:lang w:val="es-MX"/>
        </w:rPr>
        <w:drawing>
          <wp:anchor distT="0" distB="0" distL="114300" distR="114300" simplePos="0" relativeHeight="251658240" behindDoc="0" locked="0" layoutInCell="1" hidden="0" allowOverlap="1" wp14:anchorId="4738A4C7" wp14:editId="63163EB5">
            <wp:simplePos x="0" y="0"/>
            <wp:positionH relativeFrom="column">
              <wp:posOffset>377190</wp:posOffset>
            </wp:positionH>
            <wp:positionV relativeFrom="paragraph">
              <wp:posOffset>798830</wp:posOffset>
            </wp:positionV>
            <wp:extent cx="4568190" cy="330200"/>
            <wp:effectExtent l="0" t="0" r="0" b="0"/>
            <wp:wrapTopAndBottom distT="0" distB="0"/>
            <wp:docPr id="563968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568190" cy="330200"/>
                    </a:xfrm>
                    <a:prstGeom prst="rect">
                      <a:avLst/>
                    </a:prstGeom>
                    <a:ln/>
                  </pic:spPr>
                </pic:pic>
              </a:graphicData>
            </a:graphic>
          </wp:anchor>
        </w:drawing>
      </w:r>
    </w:p>
    <w:p w14:paraId="208344B0"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highlight w:val="yellow"/>
        </w:rPr>
      </w:pPr>
      <w:r>
        <w:rPr>
          <w:rFonts w:ascii="Palatino Linotype" w:eastAsia="Palatino Linotype" w:hAnsi="Palatino Linotype" w:cs="Palatino Linotype"/>
          <w:b/>
          <w:i/>
          <w:noProof/>
          <w:color w:val="000000"/>
          <w:sz w:val="22"/>
          <w:szCs w:val="22"/>
          <w:highlight w:val="yellow"/>
          <w:lang w:val="es-MX"/>
        </w:rPr>
        <w:lastRenderedPageBreak/>
        <w:drawing>
          <wp:inline distT="0" distB="0" distL="0" distR="0" wp14:anchorId="67708C7A" wp14:editId="63CA25A5">
            <wp:extent cx="4576404" cy="5139653"/>
            <wp:effectExtent l="0" t="0" r="0" b="0"/>
            <wp:docPr id="5639681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4576404" cy="5139653"/>
                    </a:xfrm>
                    <a:prstGeom prst="rect">
                      <a:avLst/>
                    </a:prstGeom>
                    <a:ln/>
                  </pic:spPr>
                </pic:pic>
              </a:graphicData>
            </a:graphic>
          </wp:inline>
        </w:drawing>
      </w:r>
    </w:p>
    <w:p w14:paraId="66EEE070" w14:textId="77777777" w:rsidR="00AC237C" w:rsidRDefault="00AC237C">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highlight w:val="yellow"/>
        </w:rPr>
      </w:pPr>
    </w:p>
    <w:p w14:paraId="752513FB"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Quincuagésimo cuarto. </w:t>
      </w:r>
      <w:r>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color w:val="000000"/>
          <w:sz w:val="22"/>
          <w:szCs w:val="22"/>
        </w:rPr>
        <w:t xml:space="preserve"> </w:t>
      </w:r>
    </w:p>
    <w:p w14:paraId="2A7C8895" w14:textId="77777777" w:rsidR="00AC237C" w:rsidRDefault="00BF7E9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Quincuagésimo quinto. </w:t>
      </w:r>
      <w:r>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color w:val="000000"/>
          <w:sz w:val="22"/>
          <w:szCs w:val="22"/>
        </w:rPr>
        <w:t>testado</w:t>
      </w:r>
      <w:proofErr w:type="spellEnd"/>
      <w:r>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w:t>
      </w:r>
      <w:r>
        <w:rPr>
          <w:rFonts w:ascii="Palatino Linotype" w:eastAsia="Palatino Linotype" w:hAnsi="Palatino Linotype" w:cs="Palatino Linotype"/>
          <w:i/>
          <w:color w:val="000000"/>
          <w:sz w:val="22"/>
          <w:szCs w:val="22"/>
        </w:rPr>
        <w:lastRenderedPageBreak/>
        <w:t xml:space="preserve">Generales, los presentes Lineamientos y demás normativa aplicable antes de su confirmación por el Comité de Transparencia.” (Énfasis añadido) </w:t>
      </w:r>
    </w:p>
    <w:p w14:paraId="06909479"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39C9F59"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659BA576" w14:textId="77777777" w:rsidR="00AC237C" w:rsidRDefault="00BF7E93">
      <w:pPr>
        <w:numPr>
          <w:ilvl w:val="0"/>
          <w:numId w:val="8"/>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1F2792A9" w14:textId="77777777" w:rsidR="00AC237C" w:rsidRDefault="00BF7E93">
      <w:pPr>
        <w:spacing w:before="240" w:after="240" w:line="360" w:lineRule="auto"/>
        <w:jc w:val="both"/>
        <w:rPr>
          <w:rFonts w:ascii="Palatino Linotype" w:eastAsia="Palatino Linotype" w:hAnsi="Palatino Linotype" w:cs="Palatino Linotype"/>
        </w:rPr>
      </w:pPr>
      <w:bookmarkStart w:id="7" w:name="_heading=h.3znysh7" w:colFirst="0" w:colLast="0"/>
      <w:bookmarkEnd w:id="7"/>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02719/INFOEM/IP/RR/2023</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14:paraId="4C321B5C" w14:textId="7334BB6A" w:rsidR="00AC237C" w:rsidRDefault="00BF7E9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entregue, a</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vía SAIMEX, previa búsqueda exhaustiva y razonable, </w:t>
      </w:r>
      <w:r>
        <w:rPr>
          <w:rFonts w:ascii="Palatino Linotype" w:eastAsia="Palatino Linotype" w:hAnsi="Palatino Linotype" w:cs="Palatino Linotype"/>
        </w:rPr>
        <w:t xml:space="preserve">en términos de </w:t>
      </w:r>
      <w:r>
        <w:rPr>
          <w:rFonts w:ascii="Palatino Linotype" w:eastAsia="Palatino Linotype" w:hAnsi="Palatino Linotype" w:cs="Palatino Linotype"/>
          <w:b/>
        </w:rPr>
        <w:t>los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ser el caso</w:t>
      </w:r>
      <w:r>
        <w:rPr>
          <w:rFonts w:ascii="Palatino Linotype" w:eastAsia="Palatino Linotype" w:hAnsi="Palatino Linotype" w:cs="Palatino Linotype"/>
          <w:b/>
        </w:rPr>
        <w:t xml:space="preserve"> </w:t>
      </w:r>
      <w:r>
        <w:rPr>
          <w:rFonts w:ascii="Palatino Linotype" w:eastAsia="Palatino Linotype" w:hAnsi="Palatino Linotype" w:cs="Palatino Linotype"/>
        </w:rPr>
        <w:t>en versión pública</w:t>
      </w:r>
      <w:r>
        <w:rPr>
          <w:rFonts w:ascii="Palatino Linotype" w:eastAsia="Palatino Linotype" w:hAnsi="Palatino Linotype" w:cs="Palatino Linotype"/>
          <w:b/>
        </w:rPr>
        <w:t xml:space="preserve"> lo siguiente:</w:t>
      </w:r>
    </w:p>
    <w:p w14:paraId="39507A94" w14:textId="77777777" w:rsidR="00AC237C" w:rsidRDefault="00BF7E93">
      <w:pPr>
        <w:spacing w:before="240" w:after="240" w:line="276" w:lineRule="auto"/>
        <w:ind w:left="567" w:right="900"/>
        <w:jc w:val="both"/>
        <w:rPr>
          <w:rFonts w:ascii="Palatino Linotype" w:eastAsia="Palatino Linotype" w:hAnsi="Palatino Linotype" w:cs="Palatino Linotype"/>
          <w:i/>
          <w:sz w:val="22"/>
          <w:szCs w:val="22"/>
        </w:rPr>
      </w:pPr>
      <w:bookmarkStart w:id="8" w:name="_heading=h.1fob9te" w:colFirst="0" w:colLast="0"/>
      <w:bookmarkEnd w:id="8"/>
      <w:r>
        <w:rPr>
          <w:rFonts w:ascii="Palatino Linotype" w:eastAsia="Palatino Linotype" w:hAnsi="Palatino Linotype" w:cs="Palatino Linotype"/>
          <w:i/>
          <w:sz w:val="22"/>
          <w:szCs w:val="22"/>
        </w:rPr>
        <w:t xml:space="preserve">1. De las Patrullas Municipales adquiridas del periodo comprendido del </w:t>
      </w:r>
      <w:r>
        <w:rPr>
          <w:rFonts w:ascii="Palatino Linotype" w:eastAsia="Palatino Linotype" w:hAnsi="Palatino Linotype" w:cs="Palatino Linotype"/>
          <w:b/>
          <w:i/>
          <w:sz w:val="22"/>
          <w:szCs w:val="22"/>
          <w:u w:val="single"/>
        </w:rPr>
        <w:t>primero de enero de dos mil dieciocho al trece de abril de dos mil veintitrés</w:t>
      </w:r>
      <w:r>
        <w:rPr>
          <w:rFonts w:ascii="Palatino Linotype" w:eastAsia="Palatino Linotype" w:hAnsi="Palatino Linotype" w:cs="Palatino Linotype"/>
          <w:i/>
          <w:sz w:val="22"/>
          <w:szCs w:val="22"/>
        </w:rPr>
        <w:t>, lo siguiente:</w:t>
      </w:r>
    </w:p>
    <w:p w14:paraId="520E3F5D" w14:textId="77777777" w:rsidR="0046384D" w:rsidRPr="0046384D" w:rsidRDefault="0046384D" w:rsidP="0046384D">
      <w:pPr>
        <w:tabs>
          <w:tab w:val="left" w:pos="851"/>
        </w:tabs>
        <w:spacing w:before="240" w:after="240" w:line="276" w:lineRule="auto"/>
        <w:ind w:left="567" w:right="900"/>
        <w:jc w:val="both"/>
        <w:rPr>
          <w:rFonts w:ascii="Palatino Linotype" w:eastAsia="Palatino Linotype" w:hAnsi="Palatino Linotype" w:cs="Palatino Linotype"/>
          <w:b/>
          <w:i/>
          <w:sz w:val="22"/>
          <w:szCs w:val="22"/>
        </w:rPr>
      </w:pPr>
      <w:bookmarkStart w:id="9" w:name="_heading=h.3dy6vkm" w:colFirst="0" w:colLast="0"/>
      <w:bookmarkEnd w:id="9"/>
      <w:r w:rsidRPr="0046384D">
        <w:rPr>
          <w:rFonts w:ascii="Palatino Linotype" w:eastAsia="Palatino Linotype" w:hAnsi="Palatino Linotype" w:cs="Palatino Linotype"/>
          <w:b/>
          <w:i/>
          <w:sz w:val="22"/>
          <w:szCs w:val="22"/>
        </w:rPr>
        <w:t>a)</w:t>
      </w:r>
      <w:r w:rsidRPr="0046384D">
        <w:rPr>
          <w:rFonts w:ascii="Palatino Linotype" w:eastAsia="Palatino Linotype" w:hAnsi="Palatino Linotype" w:cs="Palatino Linotype"/>
          <w:b/>
          <w:i/>
          <w:sz w:val="22"/>
          <w:szCs w:val="22"/>
        </w:rPr>
        <w:tab/>
        <w:t>Copia del Contrato, que incluya en su caso, costo de los radios, marca y modelo que utilizan;</w:t>
      </w:r>
    </w:p>
    <w:p w14:paraId="07A1A98E" w14:textId="77777777" w:rsidR="0046384D" w:rsidRPr="0046384D" w:rsidRDefault="0046384D" w:rsidP="0046384D">
      <w:pPr>
        <w:tabs>
          <w:tab w:val="left" w:pos="851"/>
        </w:tabs>
        <w:spacing w:before="240" w:after="240" w:line="276" w:lineRule="auto"/>
        <w:ind w:left="567" w:right="900"/>
        <w:jc w:val="both"/>
        <w:rPr>
          <w:rFonts w:ascii="Palatino Linotype" w:eastAsia="Palatino Linotype" w:hAnsi="Palatino Linotype" w:cs="Palatino Linotype"/>
          <w:b/>
          <w:i/>
          <w:sz w:val="22"/>
          <w:szCs w:val="22"/>
        </w:rPr>
      </w:pPr>
      <w:r w:rsidRPr="0046384D">
        <w:rPr>
          <w:rFonts w:ascii="Palatino Linotype" w:eastAsia="Palatino Linotype" w:hAnsi="Palatino Linotype" w:cs="Palatino Linotype"/>
          <w:b/>
          <w:i/>
          <w:sz w:val="22"/>
          <w:szCs w:val="22"/>
        </w:rPr>
        <w:t>b)</w:t>
      </w:r>
      <w:r w:rsidRPr="0046384D">
        <w:rPr>
          <w:rFonts w:ascii="Palatino Linotype" w:eastAsia="Palatino Linotype" w:hAnsi="Palatino Linotype" w:cs="Palatino Linotype"/>
          <w:b/>
          <w:i/>
          <w:sz w:val="22"/>
          <w:szCs w:val="22"/>
        </w:rPr>
        <w:tab/>
        <w:t>Estudios de mercado;</w:t>
      </w:r>
    </w:p>
    <w:p w14:paraId="5FF26D19" w14:textId="77777777" w:rsidR="0046384D" w:rsidRPr="0046384D" w:rsidRDefault="0046384D" w:rsidP="0046384D">
      <w:pPr>
        <w:tabs>
          <w:tab w:val="left" w:pos="851"/>
        </w:tabs>
        <w:spacing w:before="240" w:after="240" w:line="276" w:lineRule="auto"/>
        <w:ind w:left="567" w:right="900"/>
        <w:jc w:val="both"/>
        <w:rPr>
          <w:rFonts w:ascii="Palatino Linotype" w:eastAsia="Palatino Linotype" w:hAnsi="Palatino Linotype" w:cs="Palatino Linotype"/>
          <w:b/>
          <w:i/>
          <w:sz w:val="22"/>
          <w:szCs w:val="22"/>
        </w:rPr>
      </w:pPr>
      <w:r w:rsidRPr="0046384D">
        <w:rPr>
          <w:rFonts w:ascii="Palatino Linotype" w:eastAsia="Palatino Linotype" w:hAnsi="Palatino Linotype" w:cs="Palatino Linotype"/>
          <w:b/>
          <w:i/>
          <w:sz w:val="22"/>
          <w:szCs w:val="22"/>
        </w:rPr>
        <w:t>c)</w:t>
      </w:r>
      <w:r w:rsidRPr="0046384D">
        <w:rPr>
          <w:rFonts w:ascii="Palatino Linotype" w:eastAsia="Palatino Linotype" w:hAnsi="Palatino Linotype" w:cs="Palatino Linotype"/>
          <w:b/>
          <w:i/>
          <w:sz w:val="22"/>
          <w:szCs w:val="22"/>
        </w:rPr>
        <w:tab/>
        <w:t xml:space="preserve">Acta de Cabildo para su compra, o del Comité o Subcomité de Adquisiciones y Servicios; </w:t>
      </w:r>
    </w:p>
    <w:p w14:paraId="725040FB" w14:textId="77777777" w:rsidR="0046384D" w:rsidRPr="0046384D" w:rsidRDefault="0046384D" w:rsidP="0046384D">
      <w:pPr>
        <w:tabs>
          <w:tab w:val="left" w:pos="851"/>
        </w:tabs>
        <w:spacing w:before="240" w:after="240" w:line="276" w:lineRule="auto"/>
        <w:ind w:left="567" w:right="900"/>
        <w:jc w:val="both"/>
        <w:rPr>
          <w:rFonts w:ascii="Palatino Linotype" w:eastAsia="Palatino Linotype" w:hAnsi="Palatino Linotype" w:cs="Palatino Linotype"/>
          <w:b/>
          <w:i/>
          <w:sz w:val="22"/>
          <w:szCs w:val="22"/>
        </w:rPr>
      </w:pPr>
      <w:r w:rsidRPr="0046384D">
        <w:rPr>
          <w:rFonts w:ascii="Palatino Linotype" w:eastAsia="Palatino Linotype" w:hAnsi="Palatino Linotype" w:cs="Palatino Linotype"/>
          <w:b/>
          <w:i/>
          <w:sz w:val="22"/>
          <w:szCs w:val="22"/>
        </w:rPr>
        <w:t>d)</w:t>
      </w:r>
      <w:r w:rsidRPr="0046384D">
        <w:rPr>
          <w:rFonts w:ascii="Palatino Linotype" w:eastAsia="Palatino Linotype" w:hAnsi="Palatino Linotype" w:cs="Palatino Linotype"/>
          <w:b/>
          <w:i/>
          <w:sz w:val="22"/>
          <w:szCs w:val="22"/>
        </w:rPr>
        <w:tab/>
        <w:t xml:space="preserve">Revisión de anexos de los contratos por parte del Órgano Interno de Control; </w:t>
      </w:r>
    </w:p>
    <w:p w14:paraId="0BD9C26A" w14:textId="77777777" w:rsidR="0046384D" w:rsidRPr="0046384D" w:rsidRDefault="0046384D" w:rsidP="0046384D">
      <w:pPr>
        <w:tabs>
          <w:tab w:val="left" w:pos="851"/>
        </w:tabs>
        <w:spacing w:before="240" w:after="240" w:line="276" w:lineRule="auto"/>
        <w:ind w:left="567" w:right="900"/>
        <w:jc w:val="both"/>
        <w:rPr>
          <w:rFonts w:ascii="Palatino Linotype" w:eastAsia="Palatino Linotype" w:hAnsi="Palatino Linotype" w:cs="Palatino Linotype"/>
          <w:b/>
          <w:i/>
          <w:sz w:val="22"/>
          <w:szCs w:val="22"/>
        </w:rPr>
      </w:pPr>
      <w:r w:rsidRPr="0046384D">
        <w:rPr>
          <w:rFonts w:ascii="Palatino Linotype" w:eastAsia="Palatino Linotype" w:hAnsi="Palatino Linotype" w:cs="Palatino Linotype"/>
          <w:b/>
          <w:i/>
          <w:sz w:val="22"/>
          <w:szCs w:val="22"/>
        </w:rPr>
        <w:t>e)</w:t>
      </w:r>
      <w:r w:rsidRPr="0046384D">
        <w:rPr>
          <w:rFonts w:ascii="Palatino Linotype" w:eastAsia="Palatino Linotype" w:hAnsi="Palatino Linotype" w:cs="Palatino Linotype"/>
          <w:b/>
          <w:i/>
          <w:sz w:val="22"/>
          <w:szCs w:val="22"/>
        </w:rPr>
        <w:tab/>
        <w:t xml:space="preserve">Tarjeta de circulación vigente al trece de abril de dos mil veintitrés;  </w:t>
      </w:r>
    </w:p>
    <w:p w14:paraId="3C041F45" w14:textId="77777777" w:rsidR="0046384D" w:rsidRPr="0046384D" w:rsidRDefault="0046384D" w:rsidP="0046384D">
      <w:pPr>
        <w:tabs>
          <w:tab w:val="left" w:pos="851"/>
        </w:tabs>
        <w:spacing w:before="240" w:after="240" w:line="276" w:lineRule="auto"/>
        <w:ind w:left="567" w:right="900"/>
        <w:jc w:val="both"/>
        <w:rPr>
          <w:rFonts w:ascii="Palatino Linotype" w:eastAsia="Palatino Linotype" w:hAnsi="Palatino Linotype" w:cs="Palatino Linotype"/>
          <w:b/>
          <w:i/>
          <w:sz w:val="22"/>
          <w:szCs w:val="22"/>
        </w:rPr>
      </w:pPr>
      <w:r w:rsidRPr="0046384D">
        <w:rPr>
          <w:rFonts w:ascii="Palatino Linotype" w:eastAsia="Palatino Linotype" w:hAnsi="Palatino Linotype" w:cs="Palatino Linotype"/>
          <w:b/>
          <w:i/>
          <w:sz w:val="22"/>
          <w:szCs w:val="22"/>
        </w:rPr>
        <w:t>f)</w:t>
      </w:r>
      <w:r w:rsidRPr="0046384D">
        <w:rPr>
          <w:rFonts w:ascii="Palatino Linotype" w:eastAsia="Palatino Linotype" w:hAnsi="Palatino Linotype" w:cs="Palatino Linotype"/>
          <w:b/>
          <w:i/>
          <w:sz w:val="22"/>
          <w:szCs w:val="22"/>
        </w:rPr>
        <w:tab/>
        <w:t>Última verificación vehicular realizada al trece de abril de dos mil veintitrés.</w:t>
      </w:r>
    </w:p>
    <w:p w14:paraId="4C4254E3" w14:textId="77777777" w:rsidR="0046384D" w:rsidRDefault="0046384D" w:rsidP="0046384D">
      <w:pPr>
        <w:tabs>
          <w:tab w:val="left" w:pos="851"/>
        </w:tabs>
        <w:spacing w:before="240" w:after="240" w:line="276" w:lineRule="auto"/>
        <w:ind w:left="567" w:right="900"/>
        <w:jc w:val="both"/>
        <w:rPr>
          <w:rFonts w:ascii="Palatino Linotype" w:eastAsia="Palatino Linotype" w:hAnsi="Palatino Linotype" w:cs="Palatino Linotype"/>
          <w:b/>
          <w:i/>
          <w:sz w:val="22"/>
          <w:szCs w:val="22"/>
        </w:rPr>
      </w:pPr>
      <w:r w:rsidRPr="0046384D">
        <w:rPr>
          <w:rFonts w:ascii="Palatino Linotype" w:eastAsia="Palatino Linotype" w:hAnsi="Palatino Linotype" w:cs="Palatino Linotype"/>
          <w:b/>
          <w:i/>
          <w:sz w:val="22"/>
          <w:szCs w:val="22"/>
        </w:rPr>
        <w:t>g)</w:t>
      </w:r>
      <w:r w:rsidRPr="0046384D">
        <w:rPr>
          <w:rFonts w:ascii="Palatino Linotype" w:eastAsia="Palatino Linotype" w:hAnsi="Palatino Linotype" w:cs="Palatino Linotype"/>
          <w:b/>
          <w:i/>
          <w:sz w:val="22"/>
          <w:szCs w:val="22"/>
        </w:rPr>
        <w:tab/>
        <w:t>Acta de la Junta de aclaraciones;</w:t>
      </w:r>
    </w:p>
    <w:p w14:paraId="409DCC1F" w14:textId="2DF2876E" w:rsidR="00AC237C" w:rsidRDefault="00BF7E93" w:rsidP="0046384D">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Pr>
          <w:rFonts w:ascii="Palatino Linotype" w:eastAsia="Palatino Linotype" w:hAnsi="Palatino Linotype" w:cs="Palatino Linotype"/>
          <w:b/>
          <w:i/>
          <w:sz w:val="22"/>
          <w:szCs w:val="22"/>
        </w:rPr>
        <w:t>la parte Recurrente</w:t>
      </w:r>
      <w:r>
        <w:rPr>
          <w:rFonts w:ascii="Palatino Linotype" w:eastAsia="Palatino Linotype" w:hAnsi="Palatino Linotype" w:cs="Palatino Linotype"/>
          <w:i/>
          <w:sz w:val="22"/>
          <w:szCs w:val="22"/>
        </w:rPr>
        <w:t>.</w:t>
      </w:r>
    </w:p>
    <w:p w14:paraId="221A2241" w14:textId="7916A931" w:rsidR="00AC237C" w:rsidRDefault="00BF7E93" w:rsidP="0046384D">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el caso de que los documentos referidos en el </w:t>
      </w:r>
      <w:r>
        <w:rPr>
          <w:rFonts w:ascii="Palatino Linotype" w:eastAsia="Palatino Linotype" w:hAnsi="Palatino Linotype" w:cs="Palatino Linotype"/>
          <w:b/>
          <w:i/>
          <w:sz w:val="22"/>
          <w:szCs w:val="22"/>
        </w:rPr>
        <w:t>inciso a)</w:t>
      </w:r>
      <w:r>
        <w:rPr>
          <w:rFonts w:ascii="Palatino Linotype" w:eastAsia="Palatino Linotype" w:hAnsi="Palatino Linotype" w:cs="Palatino Linotype"/>
          <w:i/>
          <w:sz w:val="22"/>
          <w:szCs w:val="22"/>
        </w:rPr>
        <w:t xml:space="preserve"> del presente Resolutivo se adviertan las características que tienen los equipos de radio comunicación instalados en las patrullas municipales asignados a la </w:t>
      </w:r>
      <w:r>
        <w:rPr>
          <w:rFonts w:ascii="Palatino Linotype" w:eastAsia="Palatino Linotype" w:hAnsi="Palatino Linotype" w:cs="Palatino Linotype"/>
          <w:b/>
          <w:i/>
          <w:sz w:val="22"/>
          <w:szCs w:val="22"/>
        </w:rPr>
        <w:t>Dirección General de Seguridad Pública y Movilidad</w:t>
      </w:r>
      <w:r>
        <w:rPr>
          <w:rFonts w:ascii="Palatino Linotype" w:eastAsia="Palatino Linotype" w:hAnsi="Palatino Linotype" w:cs="Palatino Linotype"/>
          <w:i/>
          <w:sz w:val="22"/>
          <w:szCs w:val="22"/>
        </w:rPr>
        <w:t xml:space="preserve">, es información reservada, y se deberá notificar el Acuerdo de Clasificación de la información que emita el Comité de Transparencia </w:t>
      </w:r>
      <w:r>
        <w:rPr>
          <w:rFonts w:ascii="Palatino Linotype" w:eastAsia="Palatino Linotype" w:hAnsi="Palatino Linotype" w:cs="Palatino Linotype"/>
          <w:i/>
          <w:sz w:val="22"/>
          <w:szCs w:val="22"/>
        </w:rPr>
        <w:lastRenderedPageBreak/>
        <w:t xml:space="preserve">con motivo de la </w:t>
      </w:r>
      <w:r>
        <w:rPr>
          <w:rFonts w:ascii="Palatino Linotype" w:eastAsia="Palatino Linotype" w:hAnsi="Palatino Linotype" w:cs="Palatino Linotype"/>
          <w:b/>
          <w:i/>
          <w:sz w:val="22"/>
          <w:szCs w:val="22"/>
        </w:rPr>
        <w:t>RESERVA</w:t>
      </w:r>
      <w:r>
        <w:rPr>
          <w:rFonts w:ascii="Palatino Linotype" w:eastAsia="Palatino Linotype" w:hAnsi="Palatino Linotype" w:cs="Palatino Linotype"/>
          <w:i/>
          <w:sz w:val="22"/>
          <w:szCs w:val="22"/>
        </w:rPr>
        <w:t xml:space="preserve"> de información, conforme a los artículos 49 fracción VIII, 129, 140 y 141 de la Ley de Transparencia y Acceso a la Información Pública del Estado de México y Municipios.</w:t>
      </w:r>
    </w:p>
    <w:p w14:paraId="2027C523" w14:textId="09DE2FEE" w:rsidR="0046384D" w:rsidRDefault="0046384D" w:rsidP="0046384D">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el que en caso de que después de haber realizado una búsqueda exhaustiva y razonable, no se haya generado la información requerida en los incisos </w:t>
      </w:r>
      <w:r>
        <w:rPr>
          <w:rFonts w:ascii="Palatino Linotype" w:eastAsia="Palatino Linotype" w:hAnsi="Palatino Linotype" w:cs="Palatino Linotype"/>
          <w:b/>
          <w:i/>
          <w:sz w:val="22"/>
          <w:szCs w:val="22"/>
        </w:rPr>
        <w:t xml:space="preserve">b), </w:t>
      </w:r>
      <w:r w:rsidR="005627FC">
        <w:rPr>
          <w:rFonts w:ascii="Palatino Linotype" w:eastAsia="Palatino Linotype" w:hAnsi="Palatino Linotype" w:cs="Palatino Linotype"/>
          <w:b/>
          <w:i/>
          <w:sz w:val="22"/>
          <w:szCs w:val="22"/>
        </w:rPr>
        <w:t xml:space="preserve">c), </w:t>
      </w:r>
      <w:r>
        <w:rPr>
          <w:rFonts w:ascii="Palatino Linotype" w:eastAsia="Palatino Linotype" w:hAnsi="Palatino Linotype" w:cs="Palatino Linotype"/>
          <w:b/>
          <w:i/>
          <w:sz w:val="22"/>
          <w:szCs w:val="22"/>
        </w:rPr>
        <w:t>d) y g)</w:t>
      </w:r>
      <w:r>
        <w:rPr>
          <w:rFonts w:ascii="Palatino Linotype" w:eastAsia="Palatino Linotype" w:hAnsi="Palatino Linotype" w:cs="Palatino Linotype"/>
          <w:i/>
          <w:sz w:val="22"/>
          <w:szCs w:val="22"/>
        </w:rPr>
        <w:t xml:space="preserve">, se deberá hacer del conocimiento a </w:t>
      </w:r>
      <w:r>
        <w:rPr>
          <w:rFonts w:ascii="Palatino Linotype" w:eastAsia="Palatino Linotype" w:hAnsi="Palatino Linotype" w:cs="Palatino Linotype"/>
          <w:b/>
          <w:i/>
          <w:sz w:val="22"/>
          <w:szCs w:val="22"/>
        </w:rPr>
        <w:t>la parte Recurrente</w:t>
      </w:r>
      <w:r>
        <w:rPr>
          <w:rFonts w:ascii="Palatino Linotype" w:eastAsia="Palatino Linotype" w:hAnsi="Palatino Linotype" w:cs="Palatino Linotype"/>
          <w:i/>
          <w:sz w:val="22"/>
          <w:szCs w:val="22"/>
        </w:rPr>
        <w:t xml:space="preserve"> de manera motivada, en concordancia con el artículo 19 de la Ley de Transparencia y Acceso a la Información Pública del Estado de México y Municipios.</w:t>
      </w:r>
    </w:p>
    <w:p w14:paraId="5FA0E11E"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9E91D02" w14:textId="77777777"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3F0A98CA" w14:textId="77777777" w:rsidR="00AC237C" w:rsidRDefault="00BF7E93">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color w:val="000000"/>
        </w:rPr>
        <w:t xml:space="preserve">Notifíquese, </w:t>
      </w:r>
      <w:r>
        <w:rPr>
          <w:rFonts w:ascii="Palatino Linotype" w:eastAsia="Palatino Linotype" w:hAnsi="Palatino Linotype" w:cs="Palatino Linotype"/>
          <w:color w:val="000000"/>
        </w:rPr>
        <w:t xml:space="preserve">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la presente resolución, así como, que de conformidad con lo establecido en el artículo 196 de la Ley de </w:t>
      </w:r>
      <w:r>
        <w:rPr>
          <w:rFonts w:ascii="Palatino Linotype" w:eastAsia="Palatino Linotype" w:hAnsi="Palatino Linotype" w:cs="Palatino Linotype"/>
          <w:color w:val="000000"/>
        </w:rPr>
        <w:lastRenderedPageBreak/>
        <w:t>Transparencia y Acceso a la Información Pública del Estado de México y Municipios, en caso de que considere que le causa algún perjuicio podrá impugnarla vía Juicio de Amparo en los términos de las leyes aplicables.</w:t>
      </w:r>
    </w:p>
    <w:p w14:paraId="149446AA" w14:textId="59E6ADF0" w:rsidR="00AC237C" w:rsidRDefault="00BF7E9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w:t>
      </w:r>
      <w:r w:rsidR="00BE08EF">
        <w:rPr>
          <w:rFonts w:ascii="Palatino Linotype" w:eastAsia="Palatino Linotype" w:hAnsi="Palatino Linotype" w:cs="Palatino Linotype"/>
        </w:rPr>
        <w:t>; EMITIENDO VOTO PARTICULAR;</w:t>
      </w:r>
      <w:r>
        <w:rPr>
          <w:rFonts w:ascii="Palatino Linotype" w:eastAsia="Palatino Linotype" w:hAnsi="Palatino Linotype" w:cs="Palatino Linotype"/>
        </w:rPr>
        <w:t xml:space="preserve"> Y GUADALUPE RAMÍREZ PEÑA; EN LA T</w:t>
      </w:r>
      <w:r w:rsidR="00BE08EF">
        <w:rPr>
          <w:rFonts w:ascii="Palatino Linotype" w:eastAsia="Palatino Linotype" w:hAnsi="Palatino Linotype" w:cs="Palatino Linotype"/>
        </w:rPr>
        <w:t>RIGÉSIMA SEX</w:t>
      </w:r>
      <w:r>
        <w:rPr>
          <w:rFonts w:ascii="Palatino Linotype" w:eastAsia="Palatino Linotype" w:hAnsi="Palatino Linotype" w:cs="Palatino Linotype"/>
        </w:rPr>
        <w:t>TA SESIÓN OR</w:t>
      </w:r>
      <w:r w:rsidR="00BE08EF">
        <w:rPr>
          <w:rFonts w:ascii="Palatino Linotype" w:eastAsia="Palatino Linotype" w:hAnsi="Palatino Linotype" w:cs="Palatino Linotype"/>
        </w:rPr>
        <w:t>DINARIA CELEBRADA EL TRES DE OCTU</w:t>
      </w:r>
      <w:r>
        <w:rPr>
          <w:rFonts w:ascii="Palatino Linotype" w:eastAsia="Palatino Linotype" w:hAnsi="Palatino Linotype" w:cs="Palatino Linotype"/>
        </w:rPr>
        <w:t>BRE DE DOS MIL VEINTITRÉS, ANTE EL SECRETARIO TÉCNICO DEL PLENO ALEXIS TAPIA RAMÍREZ.</w:t>
      </w:r>
    </w:p>
    <w:p w14:paraId="1767B3F6" w14:textId="77777777" w:rsidR="00AC237C" w:rsidRDefault="00AC237C">
      <w:pPr>
        <w:spacing w:before="240" w:after="240" w:line="360" w:lineRule="auto"/>
        <w:jc w:val="both"/>
        <w:rPr>
          <w:rFonts w:ascii="Palatino Linotype" w:eastAsia="Palatino Linotype" w:hAnsi="Palatino Linotype" w:cs="Palatino Linotype"/>
        </w:rPr>
      </w:pPr>
    </w:p>
    <w:p w14:paraId="006FB3CC" w14:textId="77777777" w:rsidR="00AC237C" w:rsidRDefault="00AC237C">
      <w:pPr>
        <w:spacing w:before="240" w:after="240" w:line="360" w:lineRule="auto"/>
        <w:jc w:val="both"/>
        <w:rPr>
          <w:rFonts w:ascii="Palatino Linotype" w:eastAsia="Palatino Linotype" w:hAnsi="Palatino Linotype" w:cs="Palatino Linotype"/>
        </w:rPr>
      </w:pPr>
    </w:p>
    <w:p w14:paraId="58513AE7" w14:textId="77777777" w:rsidR="00AC237C" w:rsidRDefault="00AC237C">
      <w:pPr>
        <w:spacing w:before="240" w:after="240" w:line="360" w:lineRule="auto"/>
        <w:jc w:val="both"/>
        <w:rPr>
          <w:rFonts w:ascii="Palatino Linotype" w:eastAsia="Palatino Linotype" w:hAnsi="Palatino Linotype" w:cs="Palatino Linotype"/>
        </w:rPr>
      </w:pPr>
    </w:p>
    <w:p w14:paraId="3F4D86B0" w14:textId="77777777" w:rsidR="00AC237C" w:rsidRDefault="00AC237C">
      <w:pPr>
        <w:spacing w:before="240" w:after="240" w:line="360" w:lineRule="auto"/>
        <w:jc w:val="both"/>
        <w:rPr>
          <w:rFonts w:ascii="Palatino Linotype" w:eastAsia="Palatino Linotype" w:hAnsi="Palatino Linotype" w:cs="Palatino Linotype"/>
        </w:rPr>
      </w:pPr>
    </w:p>
    <w:p w14:paraId="1C34D9EB" w14:textId="77777777" w:rsidR="00AC237C" w:rsidRDefault="00AC237C">
      <w:pPr>
        <w:spacing w:before="240" w:after="240" w:line="360" w:lineRule="auto"/>
        <w:jc w:val="both"/>
        <w:rPr>
          <w:rFonts w:ascii="Palatino Linotype" w:eastAsia="Palatino Linotype" w:hAnsi="Palatino Linotype" w:cs="Palatino Linotype"/>
        </w:rPr>
      </w:pPr>
    </w:p>
    <w:p w14:paraId="3298C6E4" w14:textId="77777777" w:rsidR="00AC237C" w:rsidRDefault="00AC237C">
      <w:pPr>
        <w:spacing w:before="240" w:after="240" w:line="360" w:lineRule="auto"/>
        <w:jc w:val="both"/>
        <w:rPr>
          <w:rFonts w:ascii="Palatino Linotype" w:eastAsia="Palatino Linotype" w:hAnsi="Palatino Linotype" w:cs="Palatino Linotype"/>
        </w:rPr>
      </w:pPr>
    </w:p>
    <w:p w14:paraId="2A12ED59" w14:textId="77777777" w:rsidR="00AC237C" w:rsidRDefault="00AC237C">
      <w:pPr>
        <w:spacing w:before="240" w:after="240" w:line="360" w:lineRule="auto"/>
        <w:jc w:val="both"/>
        <w:rPr>
          <w:rFonts w:ascii="Palatino Linotype" w:eastAsia="Palatino Linotype" w:hAnsi="Palatino Linotype" w:cs="Palatino Linotype"/>
        </w:rPr>
      </w:pPr>
    </w:p>
    <w:p w14:paraId="332844FA" w14:textId="77777777" w:rsidR="00AC237C" w:rsidRDefault="00AC237C">
      <w:pPr>
        <w:spacing w:before="240" w:after="240" w:line="360" w:lineRule="auto"/>
        <w:jc w:val="both"/>
        <w:rPr>
          <w:rFonts w:ascii="Palatino Linotype" w:eastAsia="Palatino Linotype" w:hAnsi="Palatino Linotype" w:cs="Palatino Linotype"/>
        </w:rPr>
      </w:pPr>
    </w:p>
    <w:p w14:paraId="2AEAF5E6" w14:textId="77777777" w:rsidR="00AC237C" w:rsidRDefault="00AC237C">
      <w:pPr>
        <w:spacing w:before="240" w:after="240" w:line="360" w:lineRule="auto"/>
        <w:jc w:val="both"/>
        <w:rPr>
          <w:rFonts w:ascii="Palatino Linotype" w:eastAsia="Palatino Linotype" w:hAnsi="Palatino Linotype" w:cs="Palatino Linotype"/>
        </w:rPr>
      </w:pPr>
    </w:p>
    <w:p w14:paraId="12E8528C" w14:textId="77777777" w:rsidR="00AC237C" w:rsidRDefault="00AC237C">
      <w:pPr>
        <w:spacing w:before="240" w:after="240" w:line="360" w:lineRule="auto"/>
        <w:jc w:val="both"/>
        <w:rPr>
          <w:rFonts w:ascii="Palatino Linotype" w:eastAsia="Palatino Linotype" w:hAnsi="Palatino Linotype" w:cs="Palatino Linotype"/>
        </w:rPr>
      </w:pPr>
    </w:p>
    <w:p w14:paraId="75B37E1A" w14:textId="77777777" w:rsidR="00AC237C" w:rsidRDefault="00AC237C">
      <w:pPr>
        <w:spacing w:before="240" w:after="240" w:line="360" w:lineRule="auto"/>
        <w:jc w:val="both"/>
        <w:rPr>
          <w:rFonts w:ascii="Palatino Linotype" w:eastAsia="Palatino Linotype" w:hAnsi="Palatino Linotype" w:cs="Palatino Linotype"/>
        </w:rPr>
      </w:pPr>
    </w:p>
    <w:p w14:paraId="01F9A2F6" w14:textId="77777777" w:rsidR="00AC237C" w:rsidRDefault="00AC237C">
      <w:pPr>
        <w:spacing w:before="240" w:after="240" w:line="360" w:lineRule="auto"/>
        <w:jc w:val="both"/>
        <w:rPr>
          <w:rFonts w:ascii="Palatino Linotype" w:eastAsia="Palatino Linotype" w:hAnsi="Palatino Linotype" w:cs="Palatino Linotype"/>
        </w:rPr>
      </w:pPr>
    </w:p>
    <w:p w14:paraId="60ED600D" w14:textId="77777777" w:rsidR="00AC237C" w:rsidRDefault="00AC237C">
      <w:pPr>
        <w:spacing w:before="240" w:after="240" w:line="360" w:lineRule="auto"/>
        <w:jc w:val="both"/>
        <w:rPr>
          <w:rFonts w:ascii="Palatino Linotype" w:eastAsia="Palatino Linotype" w:hAnsi="Palatino Linotype" w:cs="Palatino Linotype"/>
        </w:rPr>
      </w:pPr>
    </w:p>
    <w:p w14:paraId="0D8AC4C5" w14:textId="77777777" w:rsidR="00AC237C" w:rsidRDefault="00AC237C">
      <w:pPr>
        <w:spacing w:before="240" w:after="240" w:line="360" w:lineRule="auto"/>
        <w:jc w:val="both"/>
        <w:rPr>
          <w:rFonts w:ascii="Palatino Linotype" w:eastAsia="Palatino Linotype" w:hAnsi="Palatino Linotype" w:cs="Palatino Linotype"/>
        </w:rPr>
      </w:pPr>
    </w:p>
    <w:p w14:paraId="1FAB6F38" w14:textId="77777777" w:rsidR="00AC237C" w:rsidRDefault="00AC237C">
      <w:pPr>
        <w:spacing w:before="240" w:after="240" w:line="360" w:lineRule="auto"/>
        <w:jc w:val="both"/>
        <w:rPr>
          <w:rFonts w:ascii="Palatino Linotype" w:eastAsia="Palatino Linotype" w:hAnsi="Palatino Linotype" w:cs="Palatino Linotype"/>
        </w:rPr>
      </w:pPr>
    </w:p>
    <w:sectPr w:rsidR="00AC237C">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31C93" w14:textId="77777777" w:rsidR="007D14E3" w:rsidRDefault="007D14E3">
      <w:r>
        <w:separator/>
      </w:r>
    </w:p>
  </w:endnote>
  <w:endnote w:type="continuationSeparator" w:id="0">
    <w:p w14:paraId="0BDC05D3" w14:textId="77777777" w:rsidR="007D14E3" w:rsidRDefault="007D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46E31" w14:textId="77777777" w:rsidR="00FE71E0" w:rsidRDefault="00FE71E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218E">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218E">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14:paraId="04540780" w14:textId="77777777" w:rsidR="00FE71E0" w:rsidRDefault="00FE71E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BEF50" w14:textId="77777777" w:rsidR="00FE71E0" w:rsidRDefault="00FE71E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218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218E">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14:paraId="4D288350" w14:textId="77777777" w:rsidR="00FE71E0" w:rsidRDefault="00FE71E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3FA50" w14:textId="77777777" w:rsidR="007D14E3" w:rsidRDefault="007D14E3">
      <w:r>
        <w:separator/>
      </w:r>
    </w:p>
  </w:footnote>
  <w:footnote w:type="continuationSeparator" w:id="0">
    <w:p w14:paraId="3BC0B59C" w14:textId="77777777" w:rsidR="007D14E3" w:rsidRDefault="007D14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4B53C" w14:textId="77777777" w:rsidR="00FE71E0" w:rsidRDefault="00FE71E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794ACB0" wp14:editId="7DB1B240">
          <wp:simplePos x="0" y="0"/>
          <wp:positionH relativeFrom="column">
            <wp:posOffset>-1050289</wp:posOffset>
          </wp:positionH>
          <wp:positionV relativeFrom="paragraph">
            <wp:posOffset>-401319</wp:posOffset>
          </wp:positionV>
          <wp:extent cx="7809865" cy="10165715"/>
          <wp:effectExtent l="0" t="0" r="0" b="0"/>
          <wp:wrapNone/>
          <wp:docPr id="5639680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FE71E0" w14:paraId="3A1B9575" w14:textId="77777777">
      <w:tc>
        <w:tcPr>
          <w:tcW w:w="2489" w:type="dxa"/>
          <w:shd w:val="clear" w:color="auto" w:fill="auto"/>
        </w:tcPr>
        <w:p w14:paraId="70C9AEE3" w14:textId="77777777" w:rsidR="00FE71E0" w:rsidRDefault="00FE71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0447307B" w14:textId="77777777" w:rsidR="00FE71E0" w:rsidRDefault="00FE71E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02719/INFOEM/IP/RR/2023</w:t>
          </w:r>
        </w:p>
      </w:tc>
    </w:tr>
    <w:tr w:rsidR="00FE71E0" w14:paraId="77CFE752" w14:textId="77777777">
      <w:trPr>
        <w:trHeight w:val="228"/>
      </w:trPr>
      <w:tc>
        <w:tcPr>
          <w:tcW w:w="2489" w:type="dxa"/>
          <w:shd w:val="clear" w:color="auto" w:fill="auto"/>
          <w:vAlign w:val="center"/>
        </w:tcPr>
        <w:p w14:paraId="4F417AE0" w14:textId="77777777" w:rsidR="00FE71E0" w:rsidRDefault="00FE71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1E13C742" w14:textId="77777777" w:rsidR="00FE71E0" w:rsidRDefault="00FE71E0">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Texcoco</w:t>
          </w:r>
        </w:p>
      </w:tc>
    </w:tr>
    <w:tr w:rsidR="00FE71E0" w14:paraId="022684FF" w14:textId="77777777">
      <w:tc>
        <w:tcPr>
          <w:tcW w:w="2489" w:type="dxa"/>
          <w:shd w:val="clear" w:color="auto" w:fill="auto"/>
          <w:vAlign w:val="center"/>
        </w:tcPr>
        <w:p w14:paraId="7DEA2567" w14:textId="77777777" w:rsidR="00FE71E0" w:rsidRDefault="00FE71E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1AA9E0EC" w14:textId="77777777" w:rsidR="00FE71E0" w:rsidRDefault="00FE71E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C8D426" w14:textId="77777777" w:rsidR="00FE71E0" w:rsidRDefault="00FE71E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84D8B" w14:textId="77777777" w:rsidR="00FE71E0" w:rsidRDefault="00FE71E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5104B0C" wp14:editId="7D1BC055">
          <wp:simplePos x="0" y="0"/>
          <wp:positionH relativeFrom="column">
            <wp:posOffset>-1045209</wp:posOffset>
          </wp:positionH>
          <wp:positionV relativeFrom="paragraph">
            <wp:posOffset>-402589</wp:posOffset>
          </wp:positionV>
          <wp:extent cx="7809865" cy="10165715"/>
          <wp:effectExtent l="0" t="0" r="0" b="0"/>
          <wp:wrapNone/>
          <wp:docPr id="5639681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FE71E0" w14:paraId="6E7AF8F8" w14:textId="77777777">
      <w:tc>
        <w:tcPr>
          <w:tcW w:w="2551" w:type="dxa"/>
          <w:shd w:val="clear" w:color="auto" w:fill="auto"/>
          <w:vAlign w:val="center"/>
        </w:tcPr>
        <w:p w14:paraId="0013BAD2" w14:textId="77777777" w:rsidR="00FE71E0" w:rsidRDefault="00FE71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0FF2BE4B" w14:textId="77777777" w:rsidR="00FE71E0" w:rsidRDefault="00FE71E0">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02719/INFOEM/IP/RR/2023</w:t>
          </w:r>
        </w:p>
      </w:tc>
    </w:tr>
    <w:tr w:rsidR="00FE71E0" w14:paraId="7A6405D8" w14:textId="77777777">
      <w:trPr>
        <w:trHeight w:val="130"/>
      </w:trPr>
      <w:tc>
        <w:tcPr>
          <w:tcW w:w="2551" w:type="dxa"/>
          <w:shd w:val="clear" w:color="auto" w:fill="auto"/>
          <w:vAlign w:val="center"/>
        </w:tcPr>
        <w:p w14:paraId="7EAE32A7" w14:textId="77777777" w:rsidR="00FE71E0" w:rsidRDefault="00FE71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7BDA2255" w14:textId="263C12A1" w:rsidR="00FE71E0" w:rsidRDefault="00F930DE" w:rsidP="00F930DE">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 XXXXX</w:t>
          </w:r>
        </w:p>
      </w:tc>
    </w:tr>
    <w:tr w:rsidR="00FE71E0" w14:paraId="66325222" w14:textId="77777777">
      <w:trPr>
        <w:trHeight w:val="228"/>
      </w:trPr>
      <w:tc>
        <w:tcPr>
          <w:tcW w:w="2551" w:type="dxa"/>
          <w:shd w:val="clear" w:color="auto" w:fill="auto"/>
          <w:vAlign w:val="center"/>
        </w:tcPr>
        <w:p w14:paraId="6A41301E" w14:textId="77777777" w:rsidR="00FE71E0" w:rsidRDefault="00FE71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61DFEA74" w14:textId="77777777" w:rsidR="00FE71E0" w:rsidRDefault="00FE71E0">
          <w:pPr>
            <w:ind w:left="-115"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Texcoco</w:t>
          </w:r>
        </w:p>
      </w:tc>
    </w:tr>
    <w:tr w:rsidR="00FE71E0" w14:paraId="66A5D00B" w14:textId="77777777">
      <w:tc>
        <w:tcPr>
          <w:tcW w:w="2551" w:type="dxa"/>
          <w:shd w:val="clear" w:color="auto" w:fill="auto"/>
          <w:vAlign w:val="center"/>
        </w:tcPr>
        <w:p w14:paraId="3385D511" w14:textId="77777777" w:rsidR="00FE71E0" w:rsidRDefault="00FE71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304BCA8A" w14:textId="77777777" w:rsidR="00FE71E0" w:rsidRDefault="00FE71E0">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2B33E1" w14:textId="77777777" w:rsidR="00FE71E0" w:rsidRDefault="00FE71E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12089"/>
    <w:multiLevelType w:val="multilevel"/>
    <w:tmpl w:val="DACEBDA4"/>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15500DD"/>
    <w:multiLevelType w:val="multilevel"/>
    <w:tmpl w:val="7A50CBD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7C852C0"/>
    <w:multiLevelType w:val="multilevel"/>
    <w:tmpl w:val="8E364D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B883B57"/>
    <w:multiLevelType w:val="multilevel"/>
    <w:tmpl w:val="5FF4A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0B3021C"/>
    <w:multiLevelType w:val="multilevel"/>
    <w:tmpl w:val="4E94F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C44367F"/>
    <w:multiLevelType w:val="multilevel"/>
    <w:tmpl w:val="B2782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0CB737E"/>
    <w:multiLevelType w:val="multilevel"/>
    <w:tmpl w:val="FAB8FF8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4612055"/>
    <w:multiLevelType w:val="multilevel"/>
    <w:tmpl w:val="23E0B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6"/>
  </w:num>
  <w:num w:numId="4">
    <w:abstractNumId w:val="3"/>
  </w:num>
  <w:num w:numId="5">
    <w:abstractNumId w:val="4"/>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7C"/>
    <w:rsid w:val="000C0A73"/>
    <w:rsid w:val="000F4881"/>
    <w:rsid w:val="001C6DD3"/>
    <w:rsid w:val="003D10E7"/>
    <w:rsid w:val="0046384D"/>
    <w:rsid w:val="004B537E"/>
    <w:rsid w:val="005627FC"/>
    <w:rsid w:val="007436A1"/>
    <w:rsid w:val="007D14E3"/>
    <w:rsid w:val="009C218E"/>
    <w:rsid w:val="009E27C7"/>
    <w:rsid w:val="00AC0BD2"/>
    <w:rsid w:val="00AC237C"/>
    <w:rsid w:val="00BB5FE7"/>
    <w:rsid w:val="00BE08EF"/>
    <w:rsid w:val="00BF7E93"/>
    <w:rsid w:val="00D56C0F"/>
    <w:rsid w:val="00F930DE"/>
    <w:rsid w:val="00FE7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BA6DC"/>
  <w15:docId w15:val="{C56CB639-2754-46C4-8001-A05BCB6B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516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omex.quadratin.com.mx/entregan-estimulos-y-patrullas-a-policias-en-texcoco/"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excocoedomex.gob.mx/Documentos/Informe2022.pdf"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texcocoedomex.gob.mx/122.htm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raldodemexico.com.mx/nacional/2020/7/28/texcoco-da-banderazo-78-nuevas-patrullas-195935.html"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bTZWurenI8cNcQmJbACwCTArjQ==">CgMxLjAyCGguZ2pkZ3hzMgloLjMwajB6bGwyCWguMnM4ZXlvMTIIaC50eWpjd3QyCWguM3pueXNoNzIJaC4xZm9iOXRlMgloLjNkeTZ2a204AHIhMUJXa0FjWElPWnFxQm1kN3JIdC1oZ0lzV3M4YTJpZTdV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16933</Words>
  <Characters>93132</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cp:lastPrinted>2023-10-04T18:34:00Z</cp:lastPrinted>
  <dcterms:created xsi:type="dcterms:W3CDTF">2023-10-17T20:45:00Z</dcterms:created>
  <dcterms:modified xsi:type="dcterms:W3CDTF">2023-10-17T20:45:00Z</dcterms:modified>
</cp:coreProperties>
</file>