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D1E" w:rsidRPr="009230BD" w:rsidRDefault="00E02D1E" w:rsidP="00E02D1E">
      <w:pPr>
        <w:spacing w:before="240" w:after="240" w:line="360" w:lineRule="auto"/>
        <w:jc w:val="both"/>
      </w:pPr>
      <w:r w:rsidRPr="009230B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EB1285" w:rsidRPr="009230BD">
        <w:rPr>
          <w:rFonts w:ascii="Palatino Linotype" w:hAnsi="Palatino Linotype"/>
        </w:rPr>
        <w:t>dieciséis</w:t>
      </w:r>
      <w:r w:rsidRPr="009230BD">
        <w:rPr>
          <w:rFonts w:ascii="Palatino Linotype" w:hAnsi="Palatino Linotype"/>
        </w:rPr>
        <w:t xml:space="preserve"> (</w:t>
      </w:r>
      <w:r w:rsidR="00146A3B" w:rsidRPr="009230BD">
        <w:rPr>
          <w:rFonts w:ascii="Palatino Linotype" w:hAnsi="Palatino Linotype"/>
        </w:rPr>
        <w:t>16</w:t>
      </w:r>
      <w:r w:rsidRPr="009230BD">
        <w:rPr>
          <w:rFonts w:ascii="Palatino Linotype" w:hAnsi="Palatino Linotype"/>
        </w:rPr>
        <w:t>) de agosto de dos mil veintitrés.</w:t>
      </w:r>
    </w:p>
    <w:p w:rsidR="00E02D1E" w:rsidRPr="009230BD" w:rsidRDefault="00E02D1E" w:rsidP="00E02D1E">
      <w:pPr>
        <w:spacing w:before="240" w:after="360" w:line="360" w:lineRule="auto"/>
        <w:jc w:val="both"/>
        <w:rPr>
          <w:rFonts w:ascii="Palatino Linotype" w:hAnsi="Palatino Linotype"/>
          <w:b/>
        </w:rPr>
      </w:pPr>
      <w:r w:rsidRPr="009230BD">
        <w:rPr>
          <w:rFonts w:ascii="Palatino Linotype" w:hAnsi="Palatino Linotype"/>
          <w:b/>
        </w:rPr>
        <w:t>VISTO</w:t>
      </w:r>
      <w:r w:rsidRPr="009230BD">
        <w:rPr>
          <w:rFonts w:ascii="Palatino Linotype" w:hAnsi="Palatino Linotype"/>
        </w:rPr>
        <w:t xml:space="preserve"> el expediente electrónico formado con motivo del recurso de revisión </w:t>
      </w:r>
      <w:r w:rsidRPr="009230BD">
        <w:rPr>
          <w:rFonts w:ascii="Palatino Linotype" w:hAnsi="Palatino Linotype"/>
          <w:b/>
        </w:rPr>
        <w:t>01308/INFOEM/IP/RR/2023</w:t>
      </w:r>
      <w:r w:rsidR="00146A3B" w:rsidRPr="009230BD">
        <w:rPr>
          <w:rFonts w:ascii="Palatino Linotype" w:hAnsi="Palatino Linotype" w:cs="Arial"/>
          <w:b/>
          <w:bCs/>
        </w:rPr>
        <w:t>,</w:t>
      </w:r>
      <w:r w:rsidRPr="009230BD">
        <w:rPr>
          <w:rFonts w:ascii="Palatino Linotype" w:hAnsi="Palatino Linotype" w:cs="Arial"/>
          <w:b/>
          <w:bCs/>
        </w:rPr>
        <w:t xml:space="preserve"> </w:t>
      </w:r>
      <w:r w:rsidR="00146A3B" w:rsidRPr="009230BD">
        <w:rPr>
          <w:rFonts w:ascii="Palatino Linotype" w:hAnsi="Palatino Linotype"/>
        </w:rPr>
        <w:t>promovido</w:t>
      </w:r>
      <w:r w:rsidRPr="009230BD">
        <w:rPr>
          <w:rFonts w:ascii="Palatino Linotype" w:hAnsi="Palatino Linotype"/>
        </w:rPr>
        <w:t xml:space="preserve"> por</w:t>
      </w:r>
      <w:r w:rsidRPr="009230BD">
        <w:rPr>
          <w:rFonts w:ascii="Palatino Linotype" w:hAnsi="Palatino Linotype"/>
          <w:b/>
        </w:rPr>
        <w:t xml:space="preserve"> </w:t>
      </w:r>
      <w:r w:rsidR="00106307" w:rsidRPr="009230BD">
        <w:rPr>
          <w:rFonts w:ascii="Palatino Linotype" w:hAnsi="Palatino Linotype"/>
          <w:b/>
        </w:rPr>
        <w:t xml:space="preserve">XXX </w:t>
      </w:r>
      <w:proofErr w:type="spellStart"/>
      <w:r w:rsidR="00106307" w:rsidRPr="009230BD">
        <w:rPr>
          <w:rFonts w:ascii="Palatino Linotype" w:hAnsi="Palatino Linotype"/>
          <w:b/>
        </w:rPr>
        <w:t>XXX</w:t>
      </w:r>
      <w:proofErr w:type="spellEnd"/>
      <w:r w:rsidR="00106307" w:rsidRPr="009230BD">
        <w:rPr>
          <w:rFonts w:ascii="Palatino Linotype" w:hAnsi="Palatino Linotype"/>
          <w:b/>
        </w:rPr>
        <w:t xml:space="preserve"> </w:t>
      </w:r>
      <w:proofErr w:type="spellStart"/>
      <w:r w:rsidR="00106307" w:rsidRPr="009230BD">
        <w:rPr>
          <w:rFonts w:ascii="Palatino Linotype" w:hAnsi="Palatino Linotype"/>
          <w:b/>
        </w:rPr>
        <w:t>XXX</w:t>
      </w:r>
      <w:proofErr w:type="spellEnd"/>
      <w:r w:rsidRPr="009230BD">
        <w:rPr>
          <w:rFonts w:ascii="Palatino Linotype" w:hAnsi="Palatino Linotype"/>
          <w:b/>
        </w:rPr>
        <w:t xml:space="preserve">, </w:t>
      </w:r>
      <w:r w:rsidRPr="009230BD">
        <w:rPr>
          <w:rFonts w:ascii="Palatino Linotype" w:hAnsi="Palatino Linotype" w:cs="Arial"/>
        </w:rPr>
        <w:t xml:space="preserve">en su calidad de </w:t>
      </w:r>
      <w:r w:rsidRPr="009230BD">
        <w:rPr>
          <w:rFonts w:ascii="Palatino Linotype" w:hAnsi="Palatino Linotype" w:cs="Arial"/>
          <w:b/>
        </w:rPr>
        <w:t>RECURRENTE</w:t>
      </w:r>
      <w:r w:rsidRPr="009230BD">
        <w:rPr>
          <w:rFonts w:ascii="Palatino Linotype" w:hAnsi="Palatino Linotype" w:cs="Arial"/>
        </w:rPr>
        <w:t>, en contra de la respuesta del</w:t>
      </w:r>
      <w:r w:rsidRPr="009230BD">
        <w:rPr>
          <w:rFonts w:ascii="Palatino Linotype" w:hAnsi="Palatino Linotype"/>
        </w:rPr>
        <w:t xml:space="preserve"> </w:t>
      </w:r>
      <w:r w:rsidRPr="009230BD">
        <w:rPr>
          <w:rFonts w:ascii="Palatino Linotype" w:hAnsi="Palatino Linotype"/>
          <w:b/>
        </w:rPr>
        <w:t xml:space="preserve">Ayuntamiento de Villa de Allende, </w:t>
      </w:r>
      <w:r w:rsidRPr="009230BD">
        <w:rPr>
          <w:rFonts w:ascii="Palatino Linotype" w:hAnsi="Palatino Linotype"/>
        </w:rPr>
        <w:t>en lo sucesivo el</w:t>
      </w:r>
      <w:r w:rsidRPr="009230BD">
        <w:rPr>
          <w:rFonts w:ascii="Palatino Linotype" w:hAnsi="Palatino Linotype"/>
          <w:b/>
        </w:rPr>
        <w:t xml:space="preserve"> SUJETO OBLIGADO, </w:t>
      </w:r>
      <w:r w:rsidRPr="009230BD">
        <w:rPr>
          <w:rFonts w:ascii="Palatino Linotype" w:hAnsi="Palatino Linotype"/>
        </w:rPr>
        <w:t>se procede a dictar la presente resolución, con base en los siguientes:</w:t>
      </w:r>
    </w:p>
    <w:p w:rsidR="00E02D1E" w:rsidRPr="009230BD" w:rsidRDefault="00E02D1E" w:rsidP="00E02D1E">
      <w:pPr>
        <w:pStyle w:val="Ttulo1"/>
        <w:spacing w:line="360" w:lineRule="auto"/>
        <w:jc w:val="center"/>
        <w:rPr>
          <w:b/>
          <w:color w:val="auto"/>
        </w:rPr>
      </w:pPr>
      <w:bookmarkStart w:id="0" w:name="_Toc461555884"/>
      <w:bookmarkStart w:id="1" w:name="_Toc466371847"/>
      <w:bookmarkStart w:id="2" w:name="_Toc61470696"/>
      <w:r w:rsidRPr="009230BD">
        <w:rPr>
          <w:b/>
          <w:color w:val="auto"/>
        </w:rPr>
        <w:t>ANTECEDENTES</w:t>
      </w:r>
      <w:bookmarkEnd w:id="0"/>
      <w:bookmarkEnd w:id="1"/>
      <w:bookmarkEnd w:id="2"/>
    </w:p>
    <w:p w:rsidR="00E02D1E" w:rsidRPr="009230BD" w:rsidRDefault="00E02D1E" w:rsidP="00E02D1E">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9230BD">
        <w:rPr>
          <w:rFonts w:ascii="Palatino Linotype" w:eastAsia="Calibri" w:hAnsi="Palatino Linotype" w:cs="Arial"/>
          <w:sz w:val="24"/>
          <w:lang w:val="es-ES"/>
        </w:rPr>
        <w:t>El diez (10) de febrero de dos mil veintitrés</w:t>
      </w:r>
      <w:r w:rsidRPr="009230BD">
        <w:rPr>
          <w:rFonts w:ascii="Palatino Linotype" w:hAnsi="Palatino Linotype"/>
          <w:b/>
          <w:sz w:val="24"/>
        </w:rPr>
        <w:t xml:space="preserve">, </w:t>
      </w:r>
      <w:r w:rsidRPr="009230BD">
        <w:rPr>
          <w:rFonts w:ascii="Palatino Linotype" w:eastAsia="Calibri" w:hAnsi="Palatino Linotype" w:cs="Arial"/>
          <w:sz w:val="24"/>
          <w:lang w:val="es-ES"/>
        </w:rPr>
        <w:t xml:space="preserve">se presentó ante el </w:t>
      </w:r>
      <w:r w:rsidRPr="009230BD">
        <w:rPr>
          <w:rFonts w:ascii="Palatino Linotype" w:eastAsia="Calibri" w:hAnsi="Palatino Linotype" w:cs="Arial"/>
          <w:b/>
          <w:sz w:val="24"/>
          <w:lang w:val="es-ES"/>
        </w:rPr>
        <w:t>SUJETO OBLIGADO</w:t>
      </w:r>
      <w:r w:rsidR="00146A3B" w:rsidRPr="009230BD">
        <w:rPr>
          <w:rFonts w:ascii="Palatino Linotype" w:eastAsia="Calibri" w:hAnsi="Palatino Linotype" w:cs="Arial"/>
          <w:b/>
          <w:sz w:val="24"/>
          <w:lang w:val="es-ES"/>
        </w:rPr>
        <w:t>,</w:t>
      </w:r>
      <w:r w:rsidRPr="009230BD">
        <w:rPr>
          <w:rFonts w:ascii="Palatino Linotype" w:eastAsia="Calibri" w:hAnsi="Palatino Linotype" w:cs="Arial"/>
          <w:sz w:val="24"/>
        </w:rPr>
        <w:t xml:space="preserve"> vía </w:t>
      </w:r>
      <w:r w:rsidRPr="009230BD">
        <w:rPr>
          <w:rFonts w:ascii="Palatino Linotype" w:eastAsia="Calibri" w:hAnsi="Palatino Linotype" w:cs="Arial"/>
          <w:sz w:val="24"/>
          <w:lang w:val="es-ES"/>
        </w:rPr>
        <w:t xml:space="preserve">Sistema de Acceso a la Información Mexiquense </w:t>
      </w:r>
      <w:r w:rsidRPr="009230BD">
        <w:rPr>
          <w:rFonts w:ascii="Palatino Linotype" w:eastAsia="Calibri" w:hAnsi="Palatino Linotype" w:cs="Arial"/>
          <w:b/>
          <w:i/>
          <w:sz w:val="24"/>
          <w:lang w:val="es-ES"/>
        </w:rPr>
        <w:t>SAIMEX</w:t>
      </w:r>
      <w:r w:rsidRPr="009230BD">
        <w:rPr>
          <w:rFonts w:ascii="Palatino Linotype" w:eastAsia="Calibri" w:hAnsi="Palatino Linotype" w:cs="Arial"/>
          <w:sz w:val="24"/>
          <w:lang w:val="es-ES"/>
        </w:rPr>
        <w:t xml:space="preserve">, la solicitud de información pública registrada con el número </w:t>
      </w:r>
      <w:r w:rsidR="00B25DD6" w:rsidRPr="009230BD">
        <w:rPr>
          <w:rFonts w:ascii="Palatino Linotype" w:hAnsi="Palatino Linotype"/>
          <w:b/>
          <w:bCs/>
          <w:sz w:val="24"/>
        </w:rPr>
        <w:t>00036/VIALLEN/IP/2023</w:t>
      </w:r>
      <w:r w:rsidRPr="009230BD">
        <w:rPr>
          <w:rFonts w:ascii="Palatino Linotype" w:hAnsi="Palatino Linotype"/>
          <w:b/>
          <w:bCs/>
          <w:sz w:val="24"/>
        </w:rPr>
        <w:t xml:space="preserve">, </w:t>
      </w:r>
      <w:r w:rsidR="00146A3B" w:rsidRPr="009230BD">
        <w:rPr>
          <w:rFonts w:ascii="Palatino Linotype" w:eastAsia="Calibri" w:hAnsi="Palatino Linotype" w:cs="Arial"/>
          <w:sz w:val="24"/>
          <w:lang w:val="es-ES"/>
        </w:rPr>
        <w:t>en la que</w:t>
      </w:r>
      <w:r w:rsidRPr="009230BD">
        <w:rPr>
          <w:rFonts w:ascii="Palatino Linotype" w:eastAsia="Calibri" w:hAnsi="Palatino Linotype" w:cs="Arial"/>
          <w:sz w:val="24"/>
          <w:lang w:val="es-ES"/>
        </w:rPr>
        <w:t xml:space="preserve"> solicitó:</w:t>
      </w:r>
    </w:p>
    <w:p w:rsidR="00E02D1E" w:rsidRPr="009230BD" w:rsidRDefault="00E02D1E" w:rsidP="00E02D1E">
      <w:pPr>
        <w:spacing w:line="360" w:lineRule="auto"/>
        <w:jc w:val="both"/>
        <w:rPr>
          <w:rFonts w:ascii="Palatino Linotype" w:hAnsi="Palatino Linotype"/>
          <w:i/>
          <w:sz w:val="22"/>
          <w:szCs w:val="22"/>
        </w:rPr>
      </w:pPr>
    </w:p>
    <w:p w:rsidR="00E02D1E" w:rsidRPr="009230BD" w:rsidRDefault="00E02D1E" w:rsidP="00E02D1E">
      <w:pPr>
        <w:pStyle w:val="Prrafodelista"/>
        <w:spacing w:line="276" w:lineRule="auto"/>
        <w:ind w:left="567" w:right="567"/>
        <w:jc w:val="both"/>
        <w:rPr>
          <w:rFonts w:ascii="Palatino Linotype" w:hAnsi="Palatino Linotype"/>
        </w:rPr>
      </w:pPr>
      <w:r w:rsidRPr="009230BD">
        <w:rPr>
          <w:rFonts w:ascii="Palatino Linotype" w:hAnsi="Palatino Linotype"/>
          <w:i/>
          <w:szCs w:val="22"/>
        </w:rPr>
        <w:t>“</w:t>
      </w:r>
      <w:r w:rsidR="00B25DD6" w:rsidRPr="009230BD">
        <w:rPr>
          <w:rFonts w:ascii="Palatino Linotype" w:hAnsi="Palatino Linotype"/>
          <w:i/>
          <w:szCs w:val="22"/>
        </w:rPr>
        <w:t>El Presupuesto de Egresos para el Ejercicio Fiscal 2022, con toda la documentación y/o información señalada en el artículo 304 del Código Financiero del Estado de México y Municipios. Las pólizas contables con toda la documentación soporte, incluye facturas y pagos realizados por cualquier medio al Instituto Hacendario del Estado de México, por conceptos relacionados con la certificación y/o capacitación de servidores públicos municipales, así como, por el pago de la Maestría en Hacienda Pública que hayan cursado servidores públicos municipales. Toda la documentación en que consten las erogaciones por concepto de pago de los informes mensuales que le han sido elaborados a esta administración, incluye pólizas contables y su documentación soporte. gracias.</w:t>
      </w:r>
      <w:r w:rsidRPr="009230BD">
        <w:rPr>
          <w:rFonts w:ascii="Palatino Linotype" w:hAnsi="Palatino Linotype"/>
          <w:i/>
        </w:rPr>
        <w:t>”</w:t>
      </w:r>
      <w:r w:rsidRPr="009230BD">
        <w:rPr>
          <w:rFonts w:ascii="Palatino Linotype" w:hAnsi="Palatino Linotype"/>
        </w:rPr>
        <w:t xml:space="preserve"> (Sic)</w:t>
      </w:r>
    </w:p>
    <w:p w:rsidR="00E02D1E" w:rsidRPr="009230BD" w:rsidRDefault="00E02D1E" w:rsidP="00E02D1E">
      <w:pPr>
        <w:pStyle w:val="Prrafodelista"/>
        <w:spacing w:line="276" w:lineRule="auto"/>
        <w:ind w:left="567" w:right="567"/>
        <w:jc w:val="both"/>
        <w:rPr>
          <w:rFonts w:ascii="Palatino Linotype" w:hAnsi="Palatino Linotype"/>
        </w:rPr>
      </w:pPr>
    </w:p>
    <w:p w:rsidR="00E02D1E" w:rsidRPr="009230BD" w:rsidRDefault="00E02D1E" w:rsidP="00E02D1E">
      <w:pPr>
        <w:pStyle w:val="Prrafodelista"/>
        <w:tabs>
          <w:tab w:val="left" w:pos="284"/>
        </w:tabs>
        <w:spacing w:before="240" w:after="240" w:line="360" w:lineRule="auto"/>
        <w:ind w:left="0"/>
        <w:jc w:val="both"/>
        <w:rPr>
          <w:rFonts w:ascii="Palatino Linotype" w:eastAsia="MS Mincho" w:hAnsi="Palatino Linotype"/>
        </w:rPr>
      </w:pPr>
    </w:p>
    <w:p w:rsidR="00E02D1E" w:rsidRPr="009230BD" w:rsidRDefault="0096488B" w:rsidP="00E02D1E">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9230BD">
        <w:rPr>
          <w:rFonts w:ascii="Palatino Linotype" w:eastAsia="Calibri" w:hAnsi="Palatino Linotype" w:cs="Arial"/>
          <w:sz w:val="24"/>
          <w:lang w:val="es-AR"/>
        </w:rPr>
        <w:lastRenderedPageBreak/>
        <w:t>Se señaló como modalidad de entrega a través de SAIMEX.</w:t>
      </w:r>
    </w:p>
    <w:p w:rsidR="00E02D1E" w:rsidRPr="009230BD" w:rsidRDefault="00E02D1E" w:rsidP="00E02D1E">
      <w:pPr>
        <w:pStyle w:val="Prrafodelista"/>
        <w:tabs>
          <w:tab w:val="left" w:pos="284"/>
        </w:tabs>
        <w:spacing w:before="240" w:after="240" w:line="360" w:lineRule="auto"/>
        <w:ind w:left="0"/>
        <w:jc w:val="both"/>
        <w:rPr>
          <w:rFonts w:ascii="Palatino Linotype" w:eastAsia="MS Mincho" w:hAnsi="Palatino Linotype"/>
          <w:sz w:val="24"/>
        </w:rPr>
      </w:pPr>
    </w:p>
    <w:p w:rsidR="00E02D1E" w:rsidRPr="009230BD" w:rsidRDefault="0096488B" w:rsidP="0096488B">
      <w:pPr>
        <w:pStyle w:val="Prrafodelista"/>
        <w:numPr>
          <w:ilvl w:val="0"/>
          <w:numId w:val="2"/>
        </w:numPr>
        <w:tabs>
          <w:tab w:val="left" w:pos="284"/>
        </w:tabs>
        <w:spacing w:line="360" w:lineRule="auto"/>
        <w:ind w:left="0" w:right="34" w:firstLine="0"/>
        <w:jc w:val="both"/>
        <w:rPr>
          <w:rFonts w:ascii="Palatino Linotype" w:hAnsi="Palatino Linotype"/>
          <w:bCs/>
          <w:sz w:val="24"/>
        </w:rPr>
      </w:pPr>
      <w:r w:rsidRPr="009230BD">
        <w:rPr>
          <w:rFonts w:ascii="Palatino Linotype" w:eastAsia="Calibri" w:hAnsi="Palatino Linotype" w:cs="Arial"/>
          <w:sz w:val="24"/>
          <w:lang w:val="es-AR"/>
        </w:rPr>
        <w:t>De las constancias que obran en el expediente electrónico SAIMEX, se advierte que el Sujeto Obligado no emitió respuesta.</w:t>
      </w:r>
    </w:p>
    <w:p w:rsidR="0096488B" w:rsidRPr="009230BD" w:rsidRDefault="0096488B" w:rsidP="0096488B">
      <w:pPr>
        <w:pStyle w:val="Prrafodelista"/>
        <w:tabs>
          <w:tab w:val="left" w:pos="284"/>
        </w:tabs>
        <w:spacing w:line="360" w:lineRule="auto"/>
        <w:ind w:left="0" w:right="34"/>
        <w:jc w:val="both"/>
        <w:rPr>
          <w:rFonts w:ascii="Palatino Linotype" w:hAnsi="Palatino Linotype"/>
          <w:bCs/>
          <w:sz w:val="24"/>
        </w:rPr>
      </w:pPr>
    </w:p>
    <w:p w:rsidR="00E02D1E" w:rsidRPr="009230BD" w:rsidRDefault="00E02D1E" w:rsidP="00E02D1E">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9230BD">
        <w:rPr>
          <w:rFonts w:ascii="Palatino Linotype" w:hAnsi="Palatino Linotype" w:cs="Arial"/>
          <w:sz w:val="24"/>
        </w:rPr>
        <w:t xml:space="preserve">Derivado de la </w:t>
      </w:r>
      <w:r w:rsidR="0096488B" w:rsidRPr="009230BD">
        <w:rPr>
          <w:rFonts w:ascii="Palatino Linotype" w:hAnsi="Palatino Linotype" w:cs="Arial"/>
          <w:sz w:val="24"/>
        </w:rPr>
        <w:t xml:space="preserve">falta </w:t>
      </w:r>
      <w:r w:rsidRPr="009230BD">
        <w:rPr>
          <w:rFonts w:ascii="Palatino Linotype" w:hAnsi="Palatino Linotype" w:cs="Arial"/>
          <w:sz w:val="24"/>
        </w:rPr>
        <w:t xml:space="preserve">respuesta, </w:t>
      </w:r>
      <w:r w:rsidR="0096488B" w:rsidRPr="009230BD">
        <w:rPr>
          <w:rFonts w:ascii="Palatino Linotype" w:hAnsi="Palatino Linotype" w:cs="Arial"/>
          <w:sz w:val="24"/>
        </w:rPr>
        <w:t>el siete (07) marzo</w:t>
      </w:r>
      <w:r w:rsidRPr="009230BD">
        <w:rPr>
          <w:rFonts w:ascii="Palatino Linotype" w:hAnsi="Palatino Linotype" w:cs="Arial"/>
          <w:sz w:val="24"/>
        </w:rPr>
        <w:t xml:space="preserve"> de dos mil veintitrés</w:t>
      </w:r>
      <w:r w:rsidRPr="009230BD">
        <w:rPr>
          <w:rFonts w:ascii="Palatino Linotype" w:hAnsi="Palatino Linotype" w:cs="Arial"/>
          <w:sz w:val="24"/>
          <w:lang w:val="es-ES"/>
        </w:rPr>
        <w:t>, el particular interpuso  recurso de revisión señalando:</w:t>
      </w:r>
    </w:p>
    <w:p w:rsidR="00E02D1E" w:rsidRPr="009230BD" w:rsidRDefault="00E02D1E" w:rsidP="00E02D1E">
      <w:pPr>
        <w:pStyle w:val="Prrafodelista"/>
        <w:tabs>
          <w:tab w:val="left" w:pos="284"/>
        </w:tabs>
        <w:spacing w:line="360" w:lineRule="auto"/>
        <w:ind w:left="0"/>
        <w:jc w:val="both"/>
        <w:rPr>
          <w:rFonts w:ascii="Palatino Linotype" w:hAnsi="Palatino Linotype" w:cs="Arial"/>
          <w:lang w:val="es-ES"/>
        </w:rPr>
      </w:pPr>
    </w:p>
    <w:p w:rsidR="00E02D1E" w:rsidRPr="009230BD" w:rsidRDefault="00E02D1E" w:rsidP="00E02D1E">
      <w:pPr>
        <w:pStyle w:val="Prrafodelista"/>
        <w:tabs>
          <w:tab w:val="left" w:pos="284"/>
        </w:tabs>
        <w:spacing w:line="360" w:lineRule="auto"/>
        <w:ind w:left="0"/>
        <w:jc w:val="both"/>
        <w:rPr>
          <w:rFonts w:ascii="Palatino Linotype" w:hAnsi="Palatino Linotype"/>
          <w:b/>
          <w:i/>
          <w:sz w:val="10"/>
          <w:szCs w:val="22"/>
        </w:rPr>
      </w:pPr>
    </w:p>
    <w:p w:rsidR="00E02D1E" w:rsidRPr="009230BD" w:rsidRDefault="00E02D1E" w:rsidP="00E02D1E">
      <w:pPr>
        <w:pStyle w:val="Prrafodelista"/>
        <w:tabs>
          <w:tab w:val="left" w:pos="426"/>
          <w:tab w:val="left" w:pos="993"/>
        </w:tabs>
        <w:spacing w:line="360" w:lineRule="auto"/>
        <w:ind w:left="1004"/>
        <w:jc w:val="both"/>
        <w:rPr>
          <w:rFonts w:ascii="Palatino Linotype" w:hAnsi="Palatino Linotype" w:cs="Arial"/>
          <w:lang w:val="es-ES"/>
        </w:rPr>
      </w:pPr>
      <w:r w:rsidRPr="009230BD">
        <w:rPr>
          <w:rFonts w:ascii="Palatino Linotype" w:hAnsi="Palatino Linotype" w:cs="Arial"/>
          <w:b/>
          <w:lang w:val="es-ES"/>
        </w:rPr>
        <w:t>Acto impugnado:</w:t>
      </w:r>
      <w:r w:rsidRPr="009230BD">
        <w:rPr>
          <w:rFonts w:ascii="Palatino Linotype" w:hAnsi="Palatino Linotype" w:cs="Arial"/>
          <w:lang w:val="es-ES"/>
        </w:rPr>
        <w:t xml:space="preserve"> “</w:t>
      </w:r>
      <w:r w:rsidR="0096488B" w:rsidRPr="009230BD">
        <w:rPr>
          <w:rFonts w:ascii="Palatino Linotype" w:hAnsi="Palatino Linotype" w:cs="Arial"/>
          <w:i/>
        </w:rPr>
        <w:t>no entregaron nada</w:t>
      </w:r>
      <w:r w:rsidRPr="009230BD">
        <w:rPr>
          <w:rFonts w:ascii="Palatino Linotype" w:hAnsi="Palatino Linotype" w:cs="Arial"/>
          <w:i/>
          <w:lang w:val="es-ES"/>
        </w:rPr>
        <w:t>”</w:t>
      </w:r>
      <w:r w:rsidRPr="009230BD">
        <w:rPr>
          <w:rFonts w:ascii="Palatino Linotype" w:hAnsi="Palatino Linotype" w:cs="Arial"/>
          <w:lang w:val="es-ES"/>
        </w:rPr>
        <w:t xml:space="preserve"> (Sic).</w:t>
      </w:r>
    </w:p>
    <w:p w:rsidR="00E02D1E" w:rsidRPr="009230BD" w:rsidRDefault="00E02D1E" w:rsidP="00E02D1E">
      <w:pPr>
        <w:pStyle w:val="Prrafodelista"/>
        <w:tabs>
          <w:tab w:val="left" w:pos="426"/>
          <w:tab w:val="left" w:pos="993"/>
        </w:tabs>
        <w:spacing w:line="360" w:lineRule="auto"/>
        <w:ind w:left="567"/>
        <w:jc w:val="both"/>
        <w:rPr>
          <w:rFonts w:ascii="Palatino Linotype" w:hAnsi="Palatino Linotype" w:cs="Arial"/>
          <w:lang w:val="es-ES"/>
        </w:rPr>
      </w:pPr>
    </w:p>
    <w:p w:rsidR="00E02D1E" w:rsidRPr="009230BD" w:rsidRDefault="00E02D1E" w:rsidP="00E02D1E">
      <w:pPr>
        <w:pStyle w:val="Prrafodelista"/>
        <w:tabs>
          <w:tab w:val="left" w:pos="426"/>
          <w:tab w:val="left" w:pos="993"/>
        </w:tabs>
        <w:spacing w:line="360" w:lineRule="auto"/>
        <w:ind w:left="1004"/>
        <w:jc w:val="both"/>
        <w:rPr>
          <w:rStyle w:val="Ttulo2Car"/>
          <w:rFonts w:ascii="Palatino Linotype" w:hAnsi="Palatino Linotype" w:cs="Arial"/>
          <w:color w:val="auto"/>
          <w:sz w:val="24"/>
          <w:lang w:val="es-ES" w:eastAsia="es-ES"/>
        </w:rPr>
      </w:pPr>
      <w:r w:rsidRPr="009230BD">
        <w:rPr>
          <w:rFonts w:ascii="Palatino Linotype" w:hAnsi="Palatino Linotype" w:cs="Arial"/>
          <w:b/>
          <w:lang w:val="es-ES"/>
        </w:rPr>
        <w:t>Razones o motivos de inconformidad:</w:t>
      </w:r>
      <w:r w:rsidRPr="009230BD">
        <w:rPr>
          <w:rFonts w:ascii="Palatino Linotype" w:hAnsi="Palatino Linotype" w:cs="Arial"/>
          <w:lang w:val="es-ES"/>
        </w:rPr>
        <w:t xml:space="preserve"> “</w:t>
      </w:r>
      <w:r w:rsidR="0096488B" w:rsidRPr="009230BD">
        <w:rPr>
          <w:rFonts w:ascii="Palatino Linotype" w:hAnsi="Palatino Linotype" w:cs="Arial"/>
          <w:i/>
        </w:rPr>
        <w:t>no entregaron nada</w:t>
      </w:r>
      <w:r w:rsidRPr="009230BD">
        <w:rPr>
          <w:rFonts w:ascii="Palatino Linotype" w:hAnsi="Palatino Linotype" w:cs="Arial"/>
          <w:i/>
          <w:lang w:val="es-ES"/>
        </w:rPr>
        <w:t>”</w:t>
      </w:r>
      <w:r w:rsidRPr="009230BD">
        <w:rPr>
          <w:rFonts w:ascii="Palatino Linotype" w:hAnsi="Palatino Linotype" w:cs="Arial"/>
          <w:lang w:val="es-ES"/>
        </w:rPr>
        <w:t xml:space="preserve"> (Sic).</w:t>
      </w:r>
    </w:p>
    <w:p w:rsidR="00E02D1E" w:rsidRPr="009230BD" w:rsidRDefault="00E02D1E" w:rsidP="00E02D1E">
      <w:pPr>
        <w:spacing w:line="276" w:lineRule="auto"/>
        <w:ind w:right="34"/>
        <w:jc w:val="both"/>
        <w:rPr>
          <w:rStyle w:val="Ttulo2Car"/>
          <w:rFonts w:ascii="Palatino Linotype" w:hAnsi="Palatino Linotype"/>
          <w:b/>
          <w:color w:val="auto"/>
          <w:lang w:val="es-ES"/>
        </w:rPr>
      </w:pPr>
    </w:p>
    <w:p w:rsidR="00E02D1E" w:rsidRPr="009230BD" w:rsidRDefault="00E02D1E" w:rsidP="00E02D1E">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9230BD">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9230BD">
        <w:rPr>
          <w:rFonts w:ascii="Palatino Linotype" w:eastAsia="Calibri" w:hAnsi="Palatino Linotype" w:cs="Arial"/>
          <w:b/>
          <w:sz w:val="24"/>
          <w:lang w:val="es-ES"/>
        </w:rPr>
        <w:t>Ley de Transparencia y Acceso a la Información Pública del Estado de México y Municipios</w:t>
      </w:r>
      <w:r w:rsidRPr="009230BD">
        <w:rPr>
          <w:rFonts w:ascii="Palatino Linotype" w:eastAsia="Calibri" w:hAnsi="Palatino Linotype" w:cs="Arial"/>
          <w:sz w:val="24"/>
          <w:lang w:val="es-ES"/>
        </w:rPr>
        <w:t xml:space="preserve">, se turnó a la </w:t>
      </w:r>
      <w:r w:rsidRPr="009230BD">
        <w:rPr>
          <w:rFonts w:ascii="Palatino Linotype" w:eastAsia="Calibri" w:hAnsi="Palatino Linotype" w:cs="Arial"/>
          <w:b/>
          <w:sz w:val="24"/>
          <w:lang w:val="es-ES"/>
        </w:rPr>
        <w:t>Comisionada María del Rosario Mejía Ayala</w:t>
      </w:r>
      <w:r w:rsidRPr="009230BD">
        <w:rPr>
          <w:rFonts w:ascii="Palatino Linotype" w:eastAsia="Calibri" w:hAnsi="Palatino Linotype" w:cs="Arial"/>
          <w:sz w:val="24"/>
          <w:lang w:val="es-ES"/>
        </w:rPr>
        <w:t>, con el objeto de su análisis.</w:t>
      </w:r>
    </w:p>
    <w:p w:rsidR="00E02D1E" w:rsidRPr="009230BD" w:rsidRDefault="00E02D1E" w:rsidP="00E02D1E">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E02D1E" w:rsidRPr="009230BD" w:rsidRDefault="00E02D1E" w:rsidP="00E02D1E">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9230BD">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96488B" w:rsidRPr="009230BD">
        <w:rPr>
          <w:rFonts w:ascii="Palatino Linotype" w:eastAsia="Calibri" w:hAnsi="Palatino Linotype" w:cs="Arial"/>
          <w:sz w:val="24"/>
          <w:lang w:val="es-ES"/>
        </w:rPr>
        <w:t>catorce (14) de marzo</w:t>
      </w:r>
      <w:r w:rsidRPr="009230BD">
        <w:rPr>
          <w:rFonts w:ascii="Palatino Linotype" w:eastAsia="Calibri" w:hAnsi="Palatino Linotype" w:cs="Arial"/>
          <w:sz w:val="24"/>
          <w:lang w:val="es-ES"/>
        </w:rPr>
        <w:t xml:space="preserve"> de dos mil veintitrés, puso a disposición de las partes el expediente electrónico </w:t>
      </w:r>
      <w:r w:rsidRPr="009230BD">
        <w:rPr>
          <w:rFonts w:ascii="Palatino Linotype" w:eastAsia="Calibri" w:hAnsi="Palatino Linotype" w:cs="Arial"/>
          <w:sz w:val="24"/>
        </w:rPr>
        <w:t xml:space="preserve">vía </w:t>
      </w:r>
      <w:r w:rsidRPr="009230BD">
        <w:rPr>
          <w:rFonts w:ascii="Palatino Linotype" w:eastAsia="Calibri" w:hAnsi="Palatino Linotype" w:cs="Arial"/>
          <w:sz w:val="24"/>
          <w:lang w:val="es-ES"/>
        </w:rPr>
        <w:t xml:space="preserve">Sistema de Acceso a la Información Mexiquense </w:t>
      </w:r>
      <w:r w:rsidRPr="009230BD">
        <w:rPr>
          <w:rFonts w:ascii="Palatino Linotype" w:eastAsia="Calibri" w:hAnsi="Palatino Linotype" w:cs="Arial"/>
          <w:b/>
          <w:sz w:val="24"/>
          <w:lang w:val="es-ES"/>
        </w:rPr>
        <w:t xml:space="preserve">SAIMEX </w:t>
      </w:r>
      <w:r w:rsidRPr="009230BD">
        <w:rPr>
          <w:rFonts w:ascii="Palatino Linotype" w:eastAsia="Calibri" w:hAnsi="Palatino Linotype" w:cs="Arial"/>
          <w:sz w:val="24"/>
          <w:lang w:val="es-ES"/>
        </w:rPr>
        <w:t xml:space="preserve">a efecto de que en un plazo máximo de siete días manifestaran lo que a su derecho conviniera, ofrecieran </w:t>
      </w:r>
      <w:r w:rsidRPr="009230BD">
        <w:rPr>
          <w:rFonts w:ascii="Palatino Linotype" w:eastAsia="Calibri" w:hAnsi="Palatino Linotype" w:cs="Arial"/>
          <w:sz w:val="24"/>
          <w:lang w:val="es-ES"/>
        </w:rPr>
        <w:lastRenderedPageBreak/>
        <w:t xml:space="preserve">pruebas y alegatos según correspondiera a los casos concretos, de esta forma para que el </w:t>
      </w:r>
      <w:r w:rsidRPr="009230BD">
        <w:rPr>
          <w:rFonts w:ascii="Palatino Linotype" w:eastAsia="Calibri" w:hAnsi="Palatino Linotype" w:cs="Arial"/>
          <w:b/>
          <w:sz w:val="24"/>
          <w:lang w:val="es-ES"/>
        </w:rPr>
        <w:t>SUJETO OBLIGADO</w:t>
      </w:r>
      <w:r w:rsidRPr="009230BD">
        <w:rPr>
          <w:rFonts w:ascii="Palatino Linotype" w:eastAsia="Calibri" w:hAnsi="Palatino Linotype" w:cs="Arial"/>
          <w:sz w:val="24"/>
          <w:lang w:val="es-ES"/>
        </w:rPr>
        <w:t xml:space="preserve"> presentara el Informe Justificado procedente. </w:t>
      </w:r>
    </w:p>
    <w:p w:rsidR="00E02D1E" w:rsidRPr="009230BD" w:rsidRDefault="00E02D1E" w:rsidP="00E02D1E">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E02D1E" w:rsidRPr="009230BD" w:rsidRDefault="00E02D1E" w:rsidP="009414BB">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rPr>
      </w:pPr>
      <w:r w:rsidRPr="009230BD">
        <w:rPr>
          <w:rFonts w:ascii="Palatino Linotype" w:eastAsia="Calibri" w:hAnsi="Palatino Linotype" w:cs="Arial"/>
          <w:sz w:val="24"/>
          <w:lang w:val="es-ES"/>
        </w:rPr>
        <w:t xml:space="preserve">De las constancias del archivo electrónico SAIMEX, se advierte que el Recurrente no realizó manifestaciones; por su parte el Sujeto Obligado remitió informe justificado el </w:t>
      </w:r>
      <w:r w:rsidR="0096488B" w:rsidRPr="009230BD">
        <w:rPr>
          <w:rFonts w:ascii="Palatino Linotype" w:eastAsia="Calibri" w:hAnsi="Palatino Linotype" w:cs="Arial"/>
          <w:sz w:val="24"/>
          <w:lang w:val="es-ES"/>
        </w:rPr>
        <w:t>quince (15) de marzo</w:t>
      </w:r>
      <w:r w:rsidRPr="009230BD">
        <w:rPr>
          <w:rFonts w:ascii="Palatino Linotype" w:eastAsia="Calibri" w:hAnsi="Palatino Linotype" w:cs="Arial"/>
          <w:sz w:val="24"/>
          <w:lang w:val="es-ES"/>
        </w:rPr>
        <w:t xml:space="preserve"> de dos mil veintitrés, </w:t>
      </w:r>
      <w:r w:rsidR="0096488B" w:rsidRPr="009230BD">
        <w:rPr>
          <w:rFonts w:ascii="Palatino Linotype" w:eastAsia="Calibri" w:hAnsi="Palatino Linotype" w:cs="Arial"/>
          <w:sz w:val="24"/>
          <w:lang w:val="es-ES"/>
        </w:rPr>
        <w:t xml:space="preserve">a través de los archivos </w:t>
      </w:r>
      <w:r w:rsidR="009414BB" w:rsidRPr="009230BD">
        <w:rPr>
          <w:rFonts w:ascii="Palatino Linotype" w:eastAsia="Calibri" w:hAnsi="Palatino Linotype" w:cs="Arial"/>
          <w:sz w:val="24"/>
        </w:rPr>
        <w:t xml:space="preserve">PRESUPUESTO_DE_EGRESOS_GLOBALIZADO_CALENDARIZADO.pdf, PROGRAMA_ANUAL_DE_OBRAS.pdf, TABULADOR_DE_SUELDOS.pdf, PROGRAMA_ANUAL_DE_REPARACIONES_Y_MANTENIMIENTOS.pdf, DOC-20230309-WA0000.pdf, PROYECCIONES_DE_EGRESOS.pdf, OFICIO_DE_ENTREGA_DE_PRESUPUESTO.pdf, PROGRAMA_ANUAL_DE_ADQUISICIONES.pdf, RESULTADOS_DE_EGRESOS.pdf, PAGOS_DE_CERTIFICACIONES.pdf, PRESUPUESTO_DE_INGRESOS_DETALLADO.pdf, CARATULA_DEL_PRESUPUESTO_DE_INGRESOS_22.pdf, PROYECCIONES_DE_INGRESOS.pdf, RESULTADOS_DE_INGRESOS.pdf, CARATULA_DE_PRESUPUESTO_DE_EGRESOS_22.pdf, DESCRIPCION_DE_LOS_REGISTROS_RELEVANTES.pdf, </w:t>
      </w:r>
      <w:r w:rsidR="00146A3B" w:rsidRPr="009230BD">
        <w:rPr>
          <w:rFonts w:ascii="Palatino Linotype" w:eastAsia="Calibri" w:hAnsi="Palatino Linotype" w:cs="Arial"/>
          <w:sz w:val="24"/>
          <w:lang w:val="es-ES"/>
        </w:rPr>
        <w:t>que</w:t>
      </w:r>
      <w:r w:rsidR="009414BB" w:rsidRPr="009230BD">
        <w:rPr>
          <w:rFonts w:ascii="Palatino Linotype" w:eastAsia="Calibri" w:hAnsi="Palatino Linotype" w:cs="Arial"/>
          <w:sz w:val="24"/>
          <w:lang w:val="es-ES"/>
        </w:rPr>
        <w:t xml:space="preserve"> no se pusieron</w:t>
      </w:r>
      <w:r w:rsidRPr="009230BD">
        <w:rPr>
          <w:rFonts w:ascii="Palatino Linotype" w:eastAsia="Calibri" w:hAnsi="Palatino Linotype" w:cs="Arial"/>
          <w:sz w:val="24"/>
          <w:lang w:val="es-ES"/>
        </w:rPr>
        <w:t xml:space="preserve"> a la vista del pa</w:t>
      </w:r>
      <w:r w:rsidR="0096488B" w:rsidRPr="009230BD">
        <w:rPr>
          <w:rFonts w:ascii="Palatino Linotype" w:eastAsia="Calibri" w:hAnsi="Palatino Linotype" w:cs="Arial"/>
          <w:sz w:val="24"/>
          <w:lang w:val="es-ES"/>
        </w:rPr>
        <w:t>rticular por haberse desistido.</w:t>
      </w:r>
    </w:p>
    <w:p w:rsidR="00E02D1E" w:rsidRPr="009230BD" w:rsidRDefault="00E02D1E" w:rsidP="00E02D1E">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E02D1E" w:rsidRPr="009230BD" w:rsidRDefault="00E02D1E" w:rsidP="00E02D1E">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9230BD">
        <w:rPr>
          <w:rFonts w:ascii="Palatino Linotype" w:eastAsia="Calibri" w:hAnsi="Palatino Linotype" w:cs="Arial"/>
          <w:sz w:val="24"/>
          <w:lang w:val="es-ES"/>
        </w:rPr>
        <w:t xml:space="preserve">El veintisiete (27) de julio de dos mil veintitrés, el Recurrente se desistió del recurso de revisión. </w:t>
      </w:r>
    </w:p>
    <w:p w:rsidR="00E02D1E" w:rsidRPr="009230BD" w:rsidRDefault="00E02D1E" w:rsidP="00E02D1E">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rsidR="00E02D1E" w:rsidRPr="009230BD" w:rsidRDefault="00146A3B" w:rsidP="00E02D1E">
      <w:pPr>
        <w:pStyle w:val="Prrafodelista"/>
        <w:numPr>
          <w:ilvl w:val="0"/>
          <w:numId w:val="2"/>
        </w:numPr>
        <w:tabs>
          <w:tab w:val="left" w:pos="426"/>
        </w:tabs>
        <w:spacing w:line="360" w:lineRule="auto"/>
        <w:ind w:left="0" w:firstLine="0"/>
        <w:jc w:val="both"/>
        <w:rPr>
          <w:rFonts w:ascii="Palatino Linotype" w:hAnsi="Palatino Linotype"/>
          <w:sz w:val="24"/>
        </w:rPr>
      </w:pPr>
      <w:r w:rsidRPr="009230BD">
        <w:rPr>
          <w:rFonts w:ascii="Palatino Linotype" w:eastAsia="Calibri" w:hAnsi="Palatino Linotype" w:cs="Arial"/>
          <w:sz w:val="24"/>
        </w:rPr>
        <w:t>La</w:t>
      </w:r>
      <w:r w:rsidRPr="009230BD">
        <w:rPr>
          <w:rFonts w:ascii="Palatino Linotype" w:hAnsi="Palatino Linotype"/>
          <w:sz w:val="24"/>
        </w:rPr>
        <w:t xml:space="preserve"> Comisionada</w:t>
      </w:r>
      <w:r w:rsidR="00E02D1E" w:rsidRPr="009230BD">
        <w:rPr>
          <w:rFonts w:ascii="Palatino Linotype" w:hAnsi="Palatino Linotype"/>
          <w:sz w:val="24"/>
        </w:rPr>
        <w:t xml:space="preserve"> Ponente</w:t>
      </w:r>
      <w:r w:rsidRPr="009230BD">
        <w:rPr>
          <w:rFonts w:ascii="Palatino Linotype" w:hAnsi="Palatino Linotype"/>
          <w:sz w:val="24"/>
        </w:rPr>
        <w:t xml:space="preserve">, </w:t>
      </w:r>
      <w:r w:rsidR="00E02D1E" w:rsidRPr="009230BD">
        <w:rPr>
          <w:rFonts w:ascii="Palatino Linotype" w:hAnsi="Palatino Linotype"/>
          <w:sz w:val="24"/>
        </w:rPr>
        <w:t xml:space="preserve">notificó el acuerdo de cierre de instrucción en fecha </w:t>
      </w:r>
      <w:r w:rsidR="00673B3C" w:rsidRPr="009230BD">
        <w:rPr>
          <w:rFonts w:ascii="Palatino Linotype" w:hAnsi="Palatino Linotype"/>
          <w:sz w:val="24"/>
        </w:rPr>
        <w:t>siete (07</w:t>
      </w:r>
      <w:r w:rsidR="00E02D1E" w:rsidRPr="009230BD">
        <w:rPr>
          <w:rFonts w:ascii="Palatino Linotype" w:hAnsi="Palatino Linotype"/>
          <w:sz w:val="24"/>
        </w:rPr>
        <w:t xml:space="preserve">) de agosto de dos mil veintitrés. </w:t>
      </w:r>
    </w:p>
    <w:p w:rsidR="00E02D1E" w:rsidRPr="009230BD" w:rsidRDefault="00E02D1E" w:rsidP="00E02D1E">
      <w:pPr>
        <w:pStyle w:val="Ttulo2"/>
        <w:jc w:val="center"/>
        <w:rPr>
          <w:rFonts w:ascii="Palatino Linotype" w:hAnsi="Palatino Linotype"/>
          <w:b/>
          <w:color w:val="auto"/>
          <w:sz w:val="24"/>
        </w:rPr>
      </w:pPr>
      <w:bookmarkStart w:id="5" w:name="_Toc61470697"/>
      <w:r w:rsidRPr="009230BD">
        <w:rPr>
          <w:rFonts w:ascii="Palatino Linotype" w:hAnsi="Palatino Linotype"/>
          <w:b/>
          <w:color w:val="auto"/>
          <w:sz w:val="24"/>
        </w:rPr>
        <w:lastRenderedPageBreak/>
        <w:t>CONSIDERANDO</w:t>
      </w:r>
      <w:bookmarkEnd w:id="3"/>
      <w:bookmarkEnd w:id="4"/>
      <w:bookmarkEnd w:id="5"/>
    </w:p>
    <w:p w:rsidR="00E02D1E" w:rsidRPr="009230BD" w:rsidRDefault="00E02D1E" w:rsidP="00E02D1E">
      <w:pPr>
        <w:rPr>
          <w:lang w:eastAsia="en-US"/>
        </w:rPr>
      </w:pPr>
    </w:p>
    <w:p w:rsidR="00E02D1E" w:rsidRPr="009230BD" w:rsidRDefault="00E02D1E" w:rsidP="00E02D1E">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9230BD">
        <w:rPr>
          <w:rFonts w:ascii="Palatino Linotype" w:hAnsi="Palatino Linotype"/>
          <w:b/>
          <w:color w:val="auto"/>
          <w:sz w:val="24"/>
        </w:rPr>
        <w:t>PRIMERO. De la competencia</w:t>
      </w:r>
      <w:bookmarkEnd w:id="6"/>
      <w:bookmarkEnd w:id="7"/>
      <w:bookmarkEnd w:id="8"/>
    </w:p>
    <w:p w:rsidR="00E02D1E" w:rsidRPr="009230BD" w:rsidRDefault="00E02D1E" w:rsidP="00E02D1E"/>
    <w:p w:rsidR="00E02D1E" w:rsidRPr="009230BD" w:rsidRDefault="00E02D1E" w:rsidP="00E02D1E">
      <w:pPr>
        <w:pStyle w:val="Prrafodelista"/>
        <w:numPr>
          <w:ilvl w:val="0"/>
          <w:numId w:val="2"/>
        </w:numPr>
        <w:spacing w:line="360" w:lineRule="auto"/>
        <w:ind w:left="0" w:firstLine="0"/>
        <w:jc w:val="both"/>
        <w:rPr>
          <w:rFonts w:ascii="Palatino Linotype" w:hAnsi="Palatino Linotype"/>
          <w:sz w:val="24"/>
        </w:rPr>
      </w:pPr>
      <w:r w:rsidRPr="009230BD">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D1E" w:rsidRPr="009230BD" w:rsidRDefault="00E02D1E" w:rsidP="00E02D1E">
      <w:pPr>
        <w:pStyle w:val="Prrafodelista"/>
        <w:tabs>
          <w:tab w:val="left" w:pos="284"/>
          <w:tab w:val="left" w:pos="426"/>
        </w:tabs>
        <w:spacing w:line="360" w:lineRule="auto"/>
        <w:ind w:left="0"/>
        <w:jc w:val="both"/>
        <w:rPr>
          <w:rFonts w:ascii="Palatino Linotype" w:eastAsia="Calibri" w:hAnsi="Palatino Linotype"/>
          <w:b/>
          <w:lang w:val="es-ES"/>
        </w:rPr>
      </w:pPr>
    </w:p>
    <w:p w:rsidR="00E02D1E" w:rsidRPr="009230BD" w:rsidRDefault="00E02D1E" w:rsidP="00E02D1E">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61470699"/>
      <w:r w:rsidRPr="009230BD">
        <w:rPr>
          <w:rFonts w:ascii="Palatino Linotype" w:hAnsi="Palatino Linotype"/>
          <w:b/>
          <w:color w:val="auto"/>
          <w:sz w:val="24"/>
          <w:szCs w:val="24"/>
        </w:rPr>
        <w:t>SEGUNDO. De la oportunidad y procedencia.</w:t>
      </w:r>
      <w:bookmarkEnd w:id="9"/>
      <w:bookmarkEnd w:id="10"/>
      <w:bookmarkEnd w:id="11"/>
    </w:p>
    <w:p w:rsidR="00E02D1E" w:rsidRPr="009230BD" w:rsidRDefault="00E02D1E" w:rsidP="00E02D1E">
      <w:pPr>
        <w:rPr>
          <w:lang w:eastAsia="en-US"/>
        </w:rPr>
      </w:pPr>
    </w:p>
    <w:p w:rsidR="00673B3C" w:rsidRPr="009230BD" w:rsidRDefault="00673B3C" w:rsidP="00673B3C">
      <w:pPr>
        <w:numPr>
          <w:ilvl w:val="0"/>
          <w:numId w:val="2"/>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9230B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9230BD">
        <w:rPr>
          <w:rFonts w:ascii="Palatino Linotype" w:eastAsia="Calibri" w:hAnsi="Palatino Linotype" w:cs="Arial"/>
          <w:b/>
          <w:lang w:val="es-ES"/>
        </w:rPr>
        <w:t>SUJETO OBLIGADO</w:t>
      </w:r>
      <w:r w:rsidRPr="009230BD">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3B3C" w:rsidRPr="009230BD" w:rsidRDefault="00673B3C" w:rsidP="00673B3C">
      <w:pPr>
        <w:numPr>
          <w:ilvl w:val="0"/>
          <w:numId w:val="2"/>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9230BD">
        <w:rPr>
          <w:rFonts w:ascii="Palatino Linotype" w:eastAsia="Calibri" w:hAnsi="Palatino Linotype" w:cs="Arial"/>
          <w:lang w:val="es-ES"/>
        </w:rPr>
        <w:lastRenderedPageBreak/>
        <w:t xml:space="preserve">Por ende, se constituye la figura jurídica de la </w:t>
      </w:r>
      <w:r w:rsidRPr="009230BD">
        <w:rPr>
          <w:rFonts w:ascii="Palatino Linotype" w:eastAsia="Calibri" w:hAnsi="Palatino Linotype" w:cs="Arial"/>
          <w:i/>
          <w:lang w:val="es-ES"/>
        </w:rPr>
        <w:t>negativa ficta</w:t>
      </w:r>
      <w:r w:rsidRPr="009230B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DF10D2" w:rsidRPr="009230BD">
        <w:rPr>
          <w:rFonts w:ascii="Palatino Linotype" w:eastAsia="Calibri" w:hAnsi="Palatino Linotype" w:cs="Arial"/>
          <w:lang w:val="es-ES"/>
        </w:rPr>
        <w:t>que</w:t>
      </w:r>
      <w:r w:rsidRPr="009230BD">
        <w:rPr>
          <w:rFonts w:ascii="Palatino Linotype" w:eastAsia="Calibri" w:hAnsi="Palatino Linotype" w:cs="Arial"/>
          <w:lang w:val="es-ES"/>
        </w:rPr>
        <w:t xml:space="preserve"> encuentra sustento en lo que establece el artículo </w:t>
      </w:r>
      <w:r w:rsidRPr="009230BD">
        <w:rPr>
          <w:rFonts w:ascii="Palatino Linotype" w:eastAsia="Calibri" w:hAnsi="Palatino Linotype" w:cs="Arial"/>
          <w:b/>
          <w:lang w:val="es-ES"/>
        </w:rPr>
        <w:t>178</w:t>
      </w:r>
      <w:r w:rsidRPr="009230BD">
        <w:rPr>
          <w:rFonts w:ascii="Palatino Linotype" w:eastAsia="Calibri" w:hAnsi="Palatino Linotype" w:cs="Arial"/>
          <w:lang w:val="es-ES"/>
        </w:rPr>
        <w:t xml:space="preserve"> segundo párrafo de </w:t>
      </w:r>
      <w:r w:rsidRPr="009230BD">
        <w:rPr>
          <w:rFonts w:ascii="Palatino Linotype" w:eastAsia="Calibri" w:hAnsi="Palatino Linotype" w:cs="Arial"/>
          <w:b/>
          <w:lang w:val="es-ES"/>
        </w:rPr>
        <w:t>Ley de Transparencia y Acceso a la Información Pública del Estado de México y Municipios</w:t>
      </w:r>
      <w:r w:rsidR="00146A3B" w:rsidRPr="009230BD">
        <w:rPr>
          <w:rFonts w:ascii="Palatino Linotype" w:eastAsia="Calibri" w:hAnsi="Palatino Linotype"/>
          <w:color w:val="000000"/>
          <w:shd w:val="clear" w:color="auto" w:fill="FFFFFF"/>
        </w:rPr>
        <w:t>, que dispone</w:t>
      </w:r>
      <w:r w:rsidRPr="009230BD">
        <w:rPr>
          <w:rFonts w:ascii="Palatino Linotype" w:eastAsia="Calibri" w:hAnsi="Palatino Linotype"/>
          <w:color w:val="000000"/>
          <w:shd w:val="clear" w:color="auto" w:fill="FFFFFF"/>
        </w:rPr>
        <w:t xml:space="preserve"> ante la falta de respuesta del </w:t>
      </w:r>
      <w:r w:rsidRPr="009230BD">
        <w:rPr>
          <w:rFonts w:ascii="Palatino Linotype" w:eastAsia="Calibri" w:hAnsi="Palatino Linotype"/>
          <w:b/>
          <w:color w:val="000000"/>
          <w:shd w:val="clear" w:color="auto" w:fill="FFFFFF"/>
        </w:rPr>
        <w:t>SUJETO OBLIGADO,</w:t>
      </w:r>
      <w:r w:rsidRPr="009230BD">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9230BD">
        <w:rPr>
          <w:rFonts w:ascii="Palatino Linotype" w:eastAsia="Calibri" w:hAnsi="Palatino Linotype"/>
          <w:b/>
          <w:color w:val="000000"/>
          <w:shd w:val="clear" w:color="auto" w:fill="FFFFFF"/>
        </w:rPr>
        <w:t xml:space="preserve">podrá ser interpuesto en cualquier momento. </w:t>
      </w:r>
    </w:p>
    <w:p w:rsidR="00673B3C" w:rsidRPr="009230BD" w:rsidRDefault="00673B3C" w:rsidP="00673B3C">
      <w:pPr>
        <w:tabs>
          <w:tab w:val="left" w:pos="284"/>
        </w:tabs>
        <w:contextualSpacing/>
        <w:rPr>
          <w:rFonts w:ascii="Palatino Linotype" w:hAnsi="Palatino Linotype" w:cs="Arial"/>
          <w:color w:val="000000"/>
          <w:lang w:val="es-ES_tradnl"/>
        </w:rPr>
      </w:pPr>
    </w:p>
    <w:p w:rsidR="00673B3C" w:rsidRPr="009230BD" w:rsidRDefault="00673B3C" w:rsidP="00673B3C">
      <w:pPr>
        <w:numPr>
          <w:ilvl w:val="0"/>
          <w:numId w:val="2"/>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9230BD">
        <w:rPr>
          <w:rFonts w:ascii="Palatino Linotype" w:eastAsia="Calibri" w:hAnsi="Palatino Linotype" w:cs="Arial"/>
          <w:lang w:val="es-ES"/>
        </w:rPr>
        <w:t xml:space="preserve">Por lo que, tratándose de la </w:t>
      </w:r>
      <w:r w:rsidRPr="009230BD">
        <w:rPr>
          <w:rFonts w:ascii="Palatino Linotype" w:eastAsia="Calibri" w:hAnsi="Palatino Linotype" w:cs="Arial"/>
          <w:i/>
          <w:lang w:val="es-ES"/>
        </w:rPr>
        <w:t>negativa ficta</w:t>
      </w:r>
      <w:r w:rsidRPr="009230BD">
        <w:rPr>
          <w:rFonts w:ascii="Palatino Linotype" w:eastAsia="Calibri" w:hAnsi="Palatino Linotype" w:cs="Arial"/>
          <w:lang w:val="es-ES"/>
        </w:rPr>
        <w:t xml:space="preserve"> no existe respuesta que se haga del conocimiento al particular, a partir de la </w:t>
      </w:r>
      <w:r w:rsidR="00DF10D2" w:rsidRPr="009230BD">
        <w:rPr>
          <w:rFonts w:ascii="Palatino Linotype" w:eastAsia="Calibri" w:hAnsi="Palatino Linotype" w:cs="Arial"/>
          <w:lang w:val="es-ES"/>
        </w:rPr>
        <w:t xml:space="preserve">que se </w:t>
      </w:r>
      <w:r w:rsidRPr="009230BD">
        <w:rPr>
          <w:rFonts w:ascii="Palatino Linotype" w:eastAsia="Calibri" w:hAnsi="Palatino Linotype" w:cs="Arial"/>
          <w:lang w:val="es-ES"/>
        </w:rPr>
        <w:t xml:space="preserve">computa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230BD">
        <w:rPr>
          <w:rFonts w:ascii="Palatino Linotype" w:eastAsia="Calibri" w:hAnsi="Palatino Linotype" w:cs="Arial"/>
          <w:i/>
          <w:lang w:val="es-ES"/>
        </w:rPr>
        <w:t>negativa ficta</w:t>
      </w:r>
      <w:r w:rsidRPr="009230BD">
        <w:rPr>
          <w:rFonts w:ascii="Palatino Linotype" w:eastAsia="Calibri" w:hAnsi="Palatino Linotype" w:cs="Arial"/>
          <w:lang w:val="es-ES"/>
        </w:rPr>
        <w:t>, que señala:</w:t>
      </w:r>
    </w:p>
    <w:p w:rsidR="00673B3C" w:rsidRPr="009230BD" w:rsidRDefault="00673B3C" w:rsidP="00673B3C">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9230BD">
        <w:rPr>
          <w:rFonts w:ascii="Palatino Linotype" w:eastAsia="Calibri" w:hAnsi="Palatino Linotype" w:cs="Arial"/>
          <w:b/>
          <w:lang w:val="es-ES"/>
        </w:rPr>
        <w:t>Criterio 0001-15</w:t>
      </w:r>
    </w:p>
    <w:p w:rsidR="00673B3C" w:rsidRPr="009230BD" w:rsidRDefault="00673B3C" w:rsidP="00673B3C">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9230BD">
        <w:rPr>
          <w:rFonts w:ascii="Palatino Linotype" w:eastAsia="Calibri" w:hAnsi="Palatino Linotype" w:cs="Arial"/>
          <w:b/>
          <w:i/>
          <w:lang w:val="es-ES"/>
        </w:rPr>
        <w:t>NEGATIVA FICTA. PLAZO PARA INTERPONER EL RECURSO DE REVISIÓN TRATÁNDOSE DE.</w:t>
      </w:r>
      <w:r w:rsidRPr="009230BD">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9230BD">
        <w:rPr>
          <w:rFonts w:ascii="Palatino Linotype" w:eastAsia="Calibri" w:hAnsi="Palatino Linotype" w:cs="Arial"/>
          <w:i/>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3B3C" w:rsidRPr="009230BD" w:rsidRDefault="00673B3C" w:rsidP="00673B3C">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rPr>
      </w:pPr>
      <w:r w:rsidRPr="009230BD">
        <w:rPr>
          <w:rFonts w:ascii="Palatino Linotype" w:hAnsi="Palatino Linotype" w:cs="Arial"/>
          <w:color w:val="000000" w:themeColor="text1"/>
          <w:lang w:val="es-ES"/>
        </w:rPr>
        <w:t xml:space="preserve">Lo anterior, se explica porque la </w:t>
      </w:r>
      <w:r w:rsidRPr="009230BD">
        <w:rPr>
          <w:rFonts w:ascii="Palatino Linotype" w:hAnsi="Palatino Linotype" w:cs="Arial"/>
          <w:b/>
          <w:color w:val="000000" w:themeColor="text1"/>
          <w:u w:val="single"/>
          <w:lang w:val="es-ES"/>
        </w:rPr>
        <w:t>posible ausencia</w:t>
      </w:r>
      <w:r w:rsidRPr="009230BD">
        <w:rPr>
          <w:rFonts w:ascii="Palatino Linotype" w:hAnsi="Palatino Linotype" w:cs="Arial"/>
          <w:color w:val="000000" w:themeColor="text1"/>
          <w:lang w:val="es-ES"/>
        </w:rPr>
        <w:t xml:space="preserve"> de una respuesta en la solicitud constituye un acto que vulnera el derecho de manera continua y actualizable cada día en tanto, no se emita la respuesta a la que esté impuesto el </w:t>
      </w:r>
      <w:r w:rsidRPr="009230BD">
        <w:rPr>
          <w:rFonts w:ascii="Palatino Linotype" w:hAnsi="Palatino Linotype" w:cs="Arial"/>
          <w:b/>
          <w:color w:val="000000" w:themeColor="text1"/>
          <w:lang w:val="es-ES"/>
        </w:rPr>
        <w:t>SUJETO OBLIGADO</w:t>
      </w:r>
      <w:r w:rsidRPr="009230BD">
        <w:rPr>
          <w:rFonts w:ascii="Palatino Linotype" w:hAnsi="Palatino Linotype" w:cs="Arial"/>
          <w:color w:val="000000" w:themeColor="text1"/>
          <w:lang w:val="es-ES"/>
        </w:rPr>
        <w:t>.</w:t>
      </w:r>
    </w:p>
    <w:p w:rsidR="00673B3C" w:rsidRPr="009230BD" w:rsidRDefault="00673B3C" w:rsidP="00673B3C">
      <w:pPr>
        <w:tabs>
          <w:tab w:val="left" w:pos="284"/>
        </w:tabs>
        <w:contextualSpacing/>
        <w:rPr>
          <w:rFonts w:ascii="Palatino Linotype" w:hAnsi="Palatino Linotype" w:cs="Arial"/>
          <w:color w:val="000000" w:themeColor="text1"/>
          <w:lang w:val="es-ES"/>
        </w:rPr>
      </w:pPr>
    </w:p>
    <w:p w:rsidR="00E02D1E" w:rsidRPr="009230BD" w:rsidRDefault="00673B3C" w:rsidP="00673B3C">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lang w:val="es-ES_tradnl"/>
        </w:rPr>
      </w:pPr>
      <w:r w:rsidRPr="009230B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02D1E" w:rsidRPr="009230BD" w:rsidRDefault="00E02D1E" w:rsidP="00E02D1E">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9230BD">
        <w:rPr>
          <w:rFonts w:ascii="Palatino Linotype" w:hAnsi="Palatino Linotype"/>
          <w:b/>
          <w:color w:val="auto"/>
          <w:sz w:val="24"/>
          <w:szCs w:val="24"/>
        </w:rPr>
        <w:lastRenderedPageBreak/>
        <w:t>TERCERO. De las causales del sobreseimiento.</w:t>
      </w:r>
      <w:bookmarkEnd w:id="12"/>
      <w:bookmarkEnd w:id="13"/>
    </w:p>
    <w:p w:rsidR="00E02D1E" w:rsidRPr="009230BD" w:rsidRDefault="00E02D1E" w:rsidP="00E02D1E">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9230BD">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230BD">
        <w:rPr>
          <w:rFonts w:ascii="Palatino Linotype" w:eastAsia="Calibri" w:hAnsi="Palatino Linotype" w:cs="Arial"/>
          <w:sz w:val="24"/>
        </w:rPr>
        <w:t>Transparencia, Acceso a la Información Pública del Estado de México y Municipios</w:t>
      </w:r>
      <w:r w:rsidRPr="009230BD">
        <w:rPr>
          <w:rFonts w:ascii="Palatino Linotype" w:hAnsi="Palatino Linotype" w:cs="Arial"/>
          <w:sz w:val="24"/>
          <w:szCs w:val="23"/>
        </w:rPr>
        <w:t xml:space="preserve">, y determinar la confirmación; revocación o modificación; desechamiento o </w:t>
      </w:r>
      <w:r w:rsidRPr="009230BD">
        <w:rPr>
          <w:rFonts w:ascii="Palatino Linotype" w:hAnsi="Palatino Linotype" w:cs="Arial"/>
          <w:b/>
          <w:sz w:val="24"/>
          <w:szCs w:val="23"/>
          <w:u w:val="single"/>
        </w:rPr>
        <w:t>sobreseimiento</w:t>
      </w:r>
      <w:r w:rsidRPr="009230BD">
        <w:rPr>
          <w:rFonts w:ascii="Palatino Linotype" w:hAnsi="Palatino Linotype" w:cs="Arial"/>
          <w:sz w:val="24"/>
          <w:szCs w:val="23"/>
        </w:rPr>
        <w:t xml:space="preserve">; y, en su caso, ordenar la entrega de la información respecto a la falta de respuesta por parte del </w:t>
      </w:r>
      <w:r w:rsidRPr="009230BD">
        <w:rPr>
          <w:rFonts w:ascii="Palatino Linotype" w:hAnsi="Palatino Linotype" w:cs="Arial"/>
          <w:b/>
          <w:sz w:val="24"/>
          <w:szCs w:val="23"/>
        </w:rPr>
        <w:t>SUJETO</w:t>
      </w:r>
      <w:r w:rsidRPr="009230BD">
        <w:rPr>
          <w:rFonts w:ascii="Palatino Linotype" w:hAnsi="Palatino Linotype" w:cs="Arial"/>
          <w:sz w:val="24"/>
          <w:szCs w:val="23"/>
        </w:rPr>
        <w:t xml:space="preserve"> </w:t>
      </w:r>
      <w:r w:rsidRPr="009230BD">
        <w:rPr>
          <w:rFonts w:ascii="Palatino Linotype" w:hAnsi="Palatino Linotype" w:cs="Arial"/>
          <w:b/>
          <w:sz w:val="24"/>
          <w:szCs w:val="23"/>
        </w:rPr>
        <w:t>OBLIGADO</w:t>
      </w:r>
      <w:r w:rsidRPr="009230BD">
        <w:rPr>
          <w:rFonts w:ascii="Palatino Linotype" w:hAnsi="Palatino Linotype" w:cs="Arial"/>
          <w:sz w:val="24"/>
          <w:szCs w:val="23"/>
        </w:rPr>
        <w:t>.</w:t>
      </w:r>
    </w:p>
    <w:p w:rsidR="00E02D1E" w:rsidRPr="009230BD" w:rsidRDefault="00E02D1E" w:rsidP="00E02D1E">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E02D1E" w:rsidRPr="009230BD" w:rsidRDefault="00E02D1E" w:rsidP="00E02D1E">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Calibri" w:hAnsi="Palatino Linotype" w:cs="Arial"/>
          <w:sz w:val="24"/>
          <w:szCs w:val="22"/>
          <w:lang w:eastAsia="en-US"/>
        </w:rPr>
        <w:t xml:space="preserve">Asimismo, es de señalar que </w:t>
      </w:r>
      <w:r w:rsidRPr="009230BD">
        <w:rPr>
          <w:rFonts w:ascii="Palatino Linotype" w:eastAsia="MS Mincho" w:hAnsi="Palatino Linotype"/>
          <w:sz w:val="24"/>
        </w:rPr>
        <w:t xml:space="preserve">para actualizar el sobreseimiento de un recurso de revisión, el </w:t>
      </w:r>
      <w:r w:rsidRPr="009230BD">
        <w:rPr>
          <w:rFonts w:ascii="Palatino Linotype" w:eastAsia="MS Mincho" w:hAnsi="Palatino Linotype"/>
          <w:b/>
          <w:sz w:val="24"/>
        </w:rPr>
        <w:t>SUJETO OBLIGADO</w:t>
      </w:r>
      <w:r w:rsidRPr="009230BD">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9230BD">
        <w:rPr>
          <w:rFonts w:ascii="Palatino Linotype" w:eastAsia="Calibri" w:hAnsi="Palatino Linotype" w:cs="Arial"/>
          <w:sz w:val="24"/>
          <w:lang w:val="es-ES"/>
        </w:rPr>
        <w:t>, ofrecer pruebas y alegatos; como se refiriera en párrafos anteriores.</w:t>
      </w:r>
    </w:p>
    <w:p w:rsidR="00E02D1E" w:rsidRPr="009230BD" w:rsidRDefault="00E02D1E" w:rsidP="00E02D1E">
      <w:pPr>
        <w:pStyle w:val="Prrafodelista"/>
        <w:tabs>
          <w:tab w:val="left" w:pos="284"/>
          <w:tab w:val="left" w:pos="426"/>
        </w:tabs>
        <w:ind w:left="0"/>
        <w:rPr>
          <w:rFonts w:ascii="Palatino Linotype" w:eastAsia="MS Mincho" w:hAnsi="Palatino Linotype"/>
          <w:sz w:val="24"/>
        </w:rPr>
      </w:pPr>
    </w:p>
    <w:p w:rsidR="00E02D1E" w:rsidRPr="009230BD" w:rsidRDefault="00E02D1E" w:rsidP="00146A3B">
      <w:pPr>
        <w:pStyle w:val="Prrafodelista"/>
        <w:numPr>
          <w:ilvl w:val="0"/>
          <w:numId w:val="2"/>
        </w:numPr>
        <w:tabs>
          <w:tab w:val="left" w:pos="0"/>
          <w:tab w:val="left" w:pos="284"/>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t xml:space="preserve">Cabe destacar que el motivo de inconformidad del RECURRENTE sobre la negativa de la entrega de la información, actualiza la causal e improcedencia contenida en la fracción I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230BD">
        <w:rPr>
          <w:rFonts w:ascii="Palatino Linotype" w:eastAsia="MS Mincho" w:hAnsi="Palatino Linotype"/>
          <w:sz w:val="24"/>
        </w:rPr>
        <w:t xml:space="preserve">sin embargo, será inminentemente excusado el ingreso al estudio y análisis de la controversia en consecuencia de que, como quedara establecido, el particular, por propio derecho, </w:t>
      </w:r>
      <w:r w:rsidRPr="009230BD">
        <w:rPr>
          <w:rFonts w:ascii="Palatino Linotype" w:eastAsia="MS Mincho" w:hAnsi="Palatino Linotype"/>
          <w:b/>
          <w:sz w:val="24"/>
        </w:rPr>
        <w:t xml:space="preserve">se </w:t>
      </w:r>
      <w:r w:rsidR="00673B3C" w:rsidRPr="009230BD">
        <w:rPr>
          <w:rFonts w:ascii="Palatino Linotype" w:eastAsia="MS Mincho" w:hAnsi="Palatino Linotype"/>
          <w:b/>
          <w:sz w:val="24"/>
        </w:rPr>
        <w:t>desistió del recurso</w:t>
      </w:r>
      <w:r w:rsidRPr="009230BD">
        <w:rPr>
          <w:rFonts w:ascii="Palatino Linotype" w:eastAsia="MS Mincho" w:hAnsi="Palatino Linotype"/>
          <w:b/>
          <w:sz w:val="24"/>
        </w:rPr>
        <w:t xml:space="preserve"> de revisión</w:t>
      </w:r>
      <w:r w:rsidRPr="009230BD">
        <w:rPr>
          <w:rFonts w:ascii="Palatino Linotype" w:eastAsia="MS Mincho" w:hAnsi="Palatino Linotype"/>
          <w:sz w:val="24"/>
        </w:rPr>
        <w:t xml:space="preserve"> que nos ocupa, vía SAIMEX, el veintisiete (27) de julio de dos mil veintitrés, como se ilustra a continuación:</w:t>
      </w:r>
    </w:p>
    <w:p w:rsidR="009230BD" w:rsidRPr="009230BD" w:rsidRDefault="009230BD" w:rsidP="00E02D1E">
      <w:pPr>
        <w:spacing w:before="240" w:after="240" w:line="360" w:lineRule="auto"/>
        <w:ind w:right="49"/>
        <w:jc w:val="center"/>
        <w:rPr>
          <w:noProof/>
        </w:rPr>
      </w:pPr>
    </w:p>
    <w:p w:rsidR="00E02D1E" w:rsidRPr="009230BD" w:rsidRDefault="009230BD" w:rsidP="00E02D1E">
      <w:pPr>
        <w:spacing w:before="240" w:after="240" w:line="360" w:lineRule="auto"/>
        <w:ind w:right="49"/>
        <w:jc w:val="center"/>
        <w:rPr>
          <w:rFonts w:ascii="Palatino Linotype" w:eastAsia="MS Mincho" w:hAnsi="Palatino Linotype"/>
        </w:rPr>
      </w:pPr>
      <w:r w:rsidRPr="009230BD">
        <w:rPr>
          <w:noProof/>
        </w:rPr>
        <w:lastRenderedPageBreak/>
        <w:drawing>
          <wp:inline distT="0" distB="0" distL="0" distR="0" wp14:anchorId="257EB6CB" wp14:editId="2A69BB64">
            <wp:extent cx="5382303" cy="23288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798" t="39247" r="33678" b="35735"/>
                    <a:stretch/>
                  </pic:blipFill>
                  <pic:spPr bwMode="auto">
                    <a:xfrm>
                      <a:off x="0" y="0"/>
                      <a:ext cx="5446418" cy="2356595"/>
                    </a:xfrm>
                    <a:prstGeom prst="rect">
                      <a:avLst/>
                    </a:prstGeom>
                    <a:ln>
                      <a:noFill/>
                    </a:ln>
                    <a:extLst>
                      <a:ext uri="{53640926-AAD7-44D8-BBD7-CCE9431645EC}">
                        <a14:shadowObscured xmlns:a14="http://schemas.microsoft.com/office/drawing/2010/main"/>
                      </a:ext>
                    </a:extLst>
                  </pic:spPr>
                </pic:pic>
              </a:graphicData>
            </a:graphic>
          </wp:inline>
        </w:drawing>
      </w:r>
      <w:r w:rsidR="00E02D1E" w:rsidRPr="009230BD">
        <w:rPr>
          <w:noProof/>
          <w:lang w:val="es-ES" w:eastAsia="es-ES"/>
        </w:rPr>
        <w:t xml:space="preserve"> </w:t>
      </w: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t xml:space="preserve">De las imágenes, se advierte que efectivamente el particular hizo uso de la opción </w:t>
      </w:r>
      <w:r w:rsidRPr="009230BD">
        <w:rPr>
          <w:rFonts w:ascii="Palatino Linotype" w:eastAsia="MS Mincho" w:hAnsi="Palatino Linotype"/>
          <w:b/>
          <w:i/>
          <w:sz w:val="24"/>
        </w:rPr>
        <w:t>“Desistir”</w:t>
      </w:r>
      <w:r w:rsidRPr="009230BD">
        <w:rPr>
          <w:rFonts w:ascii="Palatino Linotype" w:eastAsia="MS Mincho" w:hAnsi="Palatino Linotype"/>
          <w:sz w:val="24"/>
        </w:rPr>
        <w:t xml:space="preserve"> al recurso de revisión en el propio </w:t>
      </w:r>
      <w:r w:rsidRPr="009230BD">
        <w:rPr>
          <w:rFonts w:ascii="Palatino Linotype" w:eastAsia="MS Mincho" w:hAnsi="Palatino Linotype"/>
          <w:i/>
          <w:sz w:val="24"/>
        </w:rPr>
        <w:t>SAIMEX</w:t>
      </w:r>
      <w:r w:rsidRPr="009230BD">
        <w:rPr>
          <w:rFonts w:ascii="Palatino Linotype" w:eastAsia="MS Mincho" w:hAnsi="Palatino Linotype"/>
          <w:sz w:val="24"/>
        </w:rPr>
        <w:t xml:space="preserve">, opción que </w:t>
      </w:r>
      <w:r w:rsidRPr="009230BD">
        <w:rPr>
          <w:rFonts w:ascii="Palatino Linotype" w:eastAsia="MS Mincho" w:hAnsi="Palatino Linotype"/>
          <w:b/>
          <w:sz w:val="24"/>
          <w:u w:val="single"/>
        </w:rPr>
        <w:t>ÚNICAMENTE</w:t>
      </w:r>
      <w:r w:rsidRPr="009230BD">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9230BD">
        <w:rPr>
          <w:rFonts w:ascii="Palatino Linotype" w:eastAsia="MS Mincho" w:hAnsi="Palatino Linotype"/>
          <w:b/>
          <w:sz w:val="24"/>
        </w:rPr>
        <w:t>desistimiento</w:t>
      </w:r>
      <w:r w:rsidRPr="009230BD">
        <w:rPr>
          <w:rFonts w:ascii="Palatino Linotype" w:eastAsia="MS Mincho" w:hAnsi="Palatino Linotype"/>
          <w:sz w:val="24"/>
        </w:rPr>
        <w:t xml:space="preserve">, aparece al usuario una ventana de alerta con el objeto de que confirme que efectivamente es su deseo </w:t>
      </w:r>
      <w:r w:rsidRPr="009230BD">
        <w:rPr>
          <w:rFonts w:ascii="Palatino Linotype" w:eastAsia="MS Mincho" w:hAnsi="Palatino Linotype"/>
          <w:b/>
          <w:sz w:val="24"/>
        </w:rPr>
        <w:t>desistirse</w:t>
      </w:r>
      <w:r w:rsidRPr="009230BD">
        <w:rPr>
          <w:rFonts w:ascii="Palatino Linotype" w:eastAsia="MS Mincho" w:hAnsi="Palatino Linotype"/>
          <w:sz w:val="24"/>
        </w:rPr>
        <w:t xml:space="preserve"> del recurso; </w:t>
      </w:r>
      <w:r w:rsidRPr="009230BD">
        <w:rPr>
          <w:rFonts w:ascii="Palatino Linotype" w:eastAsia="MS Mincho" w:hAnsi="Palatino Linotype"/>
          <w:b/>
          <w:sz w:val="24"/>
        </w:rPr>
        <w:t>luego entonces no es hacedero suponer que fue por error involuntario, lo que se constituye como un desistimiento expreso</w:t>
      </w:r>
      <w:r w:rsidRPr="009230BD">
        <w:rPr>
          <w:rFonts w:ascii="Palatino Linotype" w:eastAsia="MS Mincho" w:hAnsi="Palatino Linotype"/>
          <w:sz w:val="24"/>
        </w:rPr>
        <w:t>.</w:t>
      </w:r>
    </w:p>
    <w:p w:rsidR="00E02D1E" w:rsidRPr="009230BD" w:rsidRDefault="00E02D1E" w:rsidP="00E02D1E">
      <w:pPr>
        <w:pStyle w:val="Prrafodelista"/>
        <w:tabs>
          <w:tab w:val="left" w:pos="426"/>
        </w:tabs>
        <w:spacing w:before="240" w:after="240" w:line="360" w:lineRule="auto"/>
        <w:ind w:left="0" w:right="49"/>
        <w:jc w:val="both"/>
        <w:rPr>
          <w:rFonts w:ascii="Palatino Linotype" w:eastAsia="MS Mincho" w:hAnsi="Palatino Linotype"/>
          <w:sz w:val="24"/>
        </w:rPr>
      </w:pP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t>En ese orden de ideas el articulo 192</w:t>
      </w:r>
      <w:r w:rsidRPr="009230BD">
        <w:rPr>
          <w:sz w:val="24"/>
        </w:rPr>
        <w:t xml:space="preserve"> </w:t>
      </w:r>
      <w:r w:rsidRPr="009230BD">
        <w:rPr>
          <w:rFonts w:ascii="Palatino Linotype" w:eastAsia="MS Mincho" w:hAnsi="Palatino Linotype"/>
          <w:sz w:val="24"/>
        </w:rPr>
        <w:t>Ley de Transparencia y Acceso a la Información Pública del Estado de México y Municipios, establece lo siguiente:</w:t>
      </w:r>
    </w:p>
    <w:p w:rsidR="00E02D1E" w:rsidRPr="009230BD" w:rsidRDefault="00E02D1E" w:rsidP="00E02D1E">
      <w:pPr>
        <w:pStyle w:val="Prrafodelista"/>
        <w:rPr>
          <w:rFonts w:ascii="Palatino Linotype" w:eastAsia="MS Mincho" w:hAnsi="Palatino Linotype"/>
        </w:rPr>
      </w:pPr>
    </w:p>
    <w:p w:rsidR="00E02D1E" w:rsidRPr="009230BD" w:rsidRDefault="00E02D1E" w:rsidP="00E02D1E">
      <w:pPr>
        <w:pStyle w:val="Prrafodelista"/>
        <w:spacing w:before="240" w:after="240" w:line="360" w:lineRule="auto"/>
        <w:ind w:left="851" w:right="822"/>
        <w:jc w:val="both"/>
        <w:rPr>
          <w:rFonts w:ascii="Palatino Linotype" w:eastAsia="MS Mincho" w:hAnsi="Palatino Linotype"/>
          <w:i/>
        </w:rPr>
      </w:pPr>
      <w:r w:rsidRPr="009230BD">
        <w:rPr>
          <w:rFonts w:ascii="Palatino Linotype" w:eastAsia="MS Mincho" w:hAnsi="Palatino Linotype"/>
          <w:i/>
        </w:rPr>
        <w:t>“</w:t>
      </w:r>
      <w:r w:rsidRPr="009230BD">
        <w:rPr>
          <w:rFonts w:ascii="Palatino Linotype" w:eastAsia="MS Mincho" w:hAnsi="Palatino Linotype"/>
          <w:b/>
          <w:i/>
        </w:rPr>
        <w:t>Artículo 192.</w:t>
      </w:r>
      <w:r w:rsidRPr="009230BD">
        <w:rPr>
          <w:rFonts w:ascii="Palatino Linotype" w:eastAsia="MS Mincho" w:hAnsi="Palatino Linotype"/>
          <w:i/>
        </w:rPr>
        <w:t xml:space="preserve"> El recurso será sobreseído, en todo o en parte, cuando una vez admitido, se actualicen alguno de los siguientes supuestos:</w:t>
      </w:r>
    </w:p>
    <w:p w:rsidR="00E02D1E" w:rsidRPr="009230BD" w:rsidRDefault="00E02D1E" w:rsidP="00E02D1E">
      <w:pPr>
        <w:pStyle w:val="Prrafodelista"/>
        <w:spacing w:before="240" w:after="240" w:line="360" w:lineRule="auto"/>
        <w:ind w:left="851" w:right="822"/>
        <w:jc w:val="both"/>
        <w:rPr>
          <w:rFonts w:ascii="Palatino Linotype" w:eastAsia="MS Mincho" w:hAnsi="Palatino Linotype"/>
          <w:i/>
        </w:rPr>
      </w:pPr>
      <w:r w:rsidRPr="009230BD">
        <w:rPr>
          <w:rFonts w:ascii="Palatino Linotype" w:eastAsia="MS Mincho" w:hAnsi="Palatino Linotype"/>
          <w:b/>
          <w:i/>
        </w:rPr>
        <w:t>I.</w:t>
      </w:r>
      <w:r w:rsidRPr="009230BD">
        <w:rPr>
          <w:rFonts w:ascii="Palatino Linotype" w:eastAsia="MS Mincho" w:hAnsi="Palatino Linotype"/>
          <w:i/>
        </w:rPr>
        <w:t xml:space="preserve"> El recurrente se desista expresamente del recurso;</w:t>
      </w:r>
    </w:p>
    <w:p w:rsidR="00E02D1E" w:rsidRPr="009230BD" w:rsidRDefault="00E02D1E" w:rsidP="00E02D1E">
      <w:pPr>
        <w:pStyle w:val="Prrafodelista"/>
        <w:spacing w:before="240" w:after="240" w:line="360" w:lineRule="auto"/>
        <w:ind w:left="851" w:right="822"/>
        <w:jc w:val="both"/>
        <w:rPr>
          <w:rFonts w:ascii="Palatino Linotype" w:eastAsia="MS Mincho" w:hAnsi="Palatino Linotype"/>
          <w:i/>
        </w:rPr>
      </w:pPr>
      <w:r w:rsidRPr="009230BD">
        <w:rPr>
          <w:rFonts w:ascii="Palatino Linotype" w:eastAsia="MS Mincho" w:hAnsi="Palatino Linotype"/>
          <w:i/>
        </w:rPr>
        <w:t>(…)”</w:t>
      </w:r>
    </w:p>
    <w:p w:rsidR="00E02D1E" w:rsidRPr="009230BD" w:rsidRDefault="00E02D1E" w:rsidP="00E02D1E">
      <w:pPr>
        <w:pStyle w:val="Prrafodelista"/>
        <w:spacing w:before="240" w:after="240" w:line="360" w:lineRule="auto"/>
        <w:ind w:left="426" w:right="49"/>
        <w:jc w:val="both"/>
        <w:rPr>
          <w:rFonts w:ascii="Palatino Linotype" w:eastAsia="MS Mincho" w:hAnsi="Palatino Linotype"/>
        </w:rPr>
      </w:pP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lastRenderedPageBreak/>
        <w:t>Robustece lo anterior la tesis aislada I.15o.T.2 K (10a.), del Décimo Quinto Tribunal Colegiado en Materia de Trabajo del Primer Circuito, misma que se anexa a continuación:</w:t>
      </w:r>
    </w:p>
    <w:p w:rsidR="00E02D1E" w:rsidRPr="009230BD" w:rsidRDefault="00E02D1E" w:rsidP="00E02D1E">
      <w:pPr>
        <w:pStyle w:val="Sinespaciado"/>
        <w:spacing w:line="360" w:lineRule="auto"/>
        <w:ind w:left="567" w:right="567"/>
        <w:jc w:val="both"/>
        <w:rPr>
          <w:rFonts w:ascii="Palatino Linotype" w:hAnsi="Palatino Linotype"/>
          <w:i/>
          <w:sz w:val="22"/>
        </w:rPr>
      </w:pPr>
      <w:r w:rsidRPr="009230BD">
        <w:rPr>
          <w:rFonts w:ascii="Palatino Linotype" w:hAnsi="Palatino Linotype"/>
          <w:b/>
          <w:i/>
          <w:sz w:val="22"/>
        </w:rPr>
        <w:t>DESISTIMIENTO DEL RECURSO DE REVISIÓN EN AMPARO INDIRECTO. ES INNECESARIO QUE SE RATIFIQUE EL ESCRITO CORRESPONDIENTE, CUANDO SU REQUERIMIENTO SE NOTIFICÓ PERSONALMENTE.</w:t>
      </w:r>
      <w:r w:rsidRPr="009230BD">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E02D1E" w:rsidRPr="009230BD" w:rsidRDefault="00E02D1E" w:rsidP="00E02D1E">
      <w:pPr>
        <w:pStyle w:val="Sinespaciado"/>
        <w:spacing w:line="360" w:lineRule="auto"/>
        <w:ind w:left="567" w:right="567"/>
        <w:jc w:val="both"/>
        <w:rPr>
          <w:rFonts w:ascii="Palatino Linotype" w:hAnsi="Palatino Linotype"/>
          <w:i/>
          <w:sz w:val="22"/>
        </w:rPr>
      </w:pP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t xml:space="preserve">Por consiguiente, al existir un desistimiento expreso por parte del </w:t>
      </w:r>
      <w:r w:rsidRPr="009230BD">
        <w:rPr>
          <w:rFonts w:ascii="Palatino Linotype" w:eastAsia="MS Mincho" w:hAnsi="Palatino Linotype"/>
          <w:b/>
          <w:sz w:val="24"/>
        </w:rPr>
        <w:t>RECURRENTE</w:t>
      </w:r>
      <w:r w:rsidRPr="009230BD">
        <w:rPr>
          <w:rFonts w:ascii="Palatino Linotype" w:eastAsia="MS Mincho" w:hAnsi="Palatino Linotype"/>
          <w:sz w:val="24"/>
        </w:rPr>
        <w:t xml:space="preserve">, este Pleno determina el </w:t>
      </w:r>
      <w:r w:rsidRPr="009230BD">
        <w:rPr>
          <w:rFonts w:ascii="Palatino Linotype" w:eastAsia="MS Mincho" w:hAnsi="Palatino Linotype"/>
          <w:b/>
          <w:sz w:val="24"/>
        </w:rPr>
        <w:t>SOBRESEIMIENTO</w:t>
      </w:r>
      <w:r w:rsidRPr="009230BD">
        <w:rPr>
          <w:rFonts w:ascii="Palatino Linotype" w:eastAsia="MS Mincho" w:hAnsi="Palatino Linotype"/>
          <w:sz w:val="24"/>
        </w:rPr>
        <w:t xml:space="preserve"> de los recursos de revisión.</w:t>
      </w:r>
    </w:p>
    <w:p w:rsidR="00E02D1E" w:rsidRPr="009230BD" w:rsidRDefault="00E02D1E" w:rsidP="00E02D1E">
      <w:pPr>
        <w:pStyle w:val="Prrafodelista"/>
        <w:tabs>
          <w:tab w:val="left" w:pos="426"/>
        </w:tabs>
        <w:spacing w:before="240" w:after="240" w:line="360" w:lineRule="auto"/>
        <w:ind w:left="0" w:right="51"/>
        <w:jc w:val="both"/>
        <w:rPr>
          <w:rFonts w:ascii="Palatino Linotype" w:hAnsi="Palatino Linotype"/>
          <w:sz w:val="24"/>
        </w:rPr>
      </w:pP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lastRenderedPageBreak/>
        <w:t xml:space="preserve">Bajo </w:t>
      </w:r>
      <w:r w:rsidRPr="009230BD">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9230BD">
        <w:rPr>
          <w:rFonts w:ascii="Palatino Linotype" w:hAnsi="Palatino Linotype" w:cs="Arial"/>
          <w:b/>
          <w:sz w:val="24"/>
          <w:lang w:val="es-CO"/>
        </w:rPr>
        <w:t xml:space="preserve">SOBRESEIMIENTO </w:t>
      </w:r>
      <w:r w:rsidRPr="009230BD">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rsidR="00E02D1E" w:rsidRPr="009230BD" w:rsidRDefault="00E02D1E" w:rsidP="00E02D1E">
      <w:pPr>
        <w:pStyle w:val="Prrafodelista"/>
        <w:tabs>
          <w:tab w:val="left" w:pos="426"/>
        </w:tabs>
        <w:spacing w:before="240" w:after="240" w:line="360" w:lineRule="auto"/>
        <w:ind w:left="0" w:right="49"/>
        <w:jc w:val="both"/>
        <w:rPr>
          <w:rFonts w:ascii="Palatino Linotype" w:eastAsia="MS Mincho" w:hAnsi="Palatino Linotype"/>
          <w:sz w:val="24"/>
        </w:rPr>
      </w:pPr>
    </w:p>
    <w:p w:rsidR="00E02D1E" w:rsidRPr="009230BD" w:rsidRDefault="00E02D1E" w:rsidP="00146A3B">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9230BD">
        <w:rPr>
          <w:rFonts w:ascii="Palatino Linotype" w:eastAsia="MS Mincho" w:hAnsi="Palatino Linotype"/>
          <w:sz w:val="24"/>
        </w:rPr>
        <w:t>Por lo anteriormente expuesto, este Órgano Garante emite los siguientes: --------------------------------------------------------------------------------------------------------------------------</w:t>
      </w:r>
    </w:p>
    <w:p w:rsidR="00E02D1E" w:rsidRPr="009230BD" w:rsidRDefault="00E02D1E" w:rsidP="00E02D1E">
      <w:pPr>
        <w:pStyle w:val="Ttulo1"/>
        <w:spacing w:line="360" w:lineRule="auto"/>
        <w:jc w:val="center"/>
        <w:rPr>
          <w:rFonts w:ascii="Palatino Linotype" w:hAnsi="Palatino Linotype"/>
          <w:b/>
          <w:color w:val="auto"/>
          <w:sz w:val="24"/>
          <w:szCs w:val="24"/>
        </w:rPr>
      </w:pPr>
      <w:bookmarkStart w:id="42" w:name="_Toc61470701"/>
      <w:r w:rsidRPr="009230BD">
        <w:rPr>
          <w:rFonts w:ascii="Palatino Linotype" w:hAnsi="Palatino Linotype"/>
          <w:b/>
          <w:color w:val="auto"/>
          <w:sz w:val="24"/>
          <w:szCs w:val="24"/>
        </w:rPr>
        <w:t>R E S O L U T I V O S</w:t>
      </w:r>
      <w:bookmarkEnd w:id="38"/>
      <w:bookmarkEnd w:id="39"/>
      <w:bookmarkEnd w:id="40"/>
      <w:bookmarkEnd w:id="41"/>
      <w:bookmarkEnd w:id="42"/>
    </w:p>
    <w:p w:rsidR="00E02D1E" w:rsidRPr="009230BD" w:rsidRDefault="00E02D1E" w:rsidP="00E02D1E">
      <w:pPr>
        <w:rPr>
          <w:lang w:eastAsia="en-US"/>
        </w:rPr>
      </w:pPr>
    </w:p>
    <w:p w:rsidR="00E02D1E" w:rsidRPr="009230BD" w:rsidRDefault="00E02D1E" w:rsidP="00E02D1E">
      <w:pPr>
        <w:spacing w:after="240" w:line="360" w:lineRule="auto"/>
        <w:jc w:val="both"/>
        <w:rPr>
          <w:rFonts w:ascii="Palatino Linotype" w:hAnsi="Palatino Linotype"/>
        </w:rPr>
      </w:pPr>
      <w:r w:rsidRPr="009230BD">
        <w:rPr>
          <w:rFonts w:ascii="Palatino Linotype" w:hAnsi="Palatino Linotype"/>
          <w:b/>
        </w:rPr>
        <w:t>PRIMERO.</w:t>
      </w:r>
      <w:r w:rsidRPr="009230BD">
        <w:rPr>
          <w:rFonts w:ascii="Palatino Linotype" w:hAnsi="Palatino Linotype"/>
        </w:rPr>
        <w:t xml:space="preserve"> Se </w:t>
      </w:r>
      <w:r w:rsidRPr="009230BD">
        <w:rPr>
          <w:rFonts w:ascii="Palatino Linotype" w:hAnsi="Palatino Linotype"/>
          <w:b/>
        </w:rPr>
        <w:t>SOBRESEE</w:t>
      </w:r>
      <w:r w:rsidRPr="009230BD">
        <w:rPr>
          <w:rFonts w:ascii="Palatino Linotype" w:hAnsi="Palatino Linotype"/>
        </w:rPr>
        <w:t xml:space="preserve"> el recurso de revisión número </w:t>
      </w:r>
      <w:r w:rsidR="00673B3C" w:rsidRPr="009230BD">
        <w:rPr>
          <w:rFonts w:ascii="Palatino Linotype" w:hAnsi="Palatino Linotype"/>
          <w:b/>
        </w:rPr>
        <w:t>01308</w:t>
      </w:r>
      <w:r w:rsidRPr="009230BD">
        <w:rPr>
          <w:rFonts w:ascii="Palatino Linotype" w:hAnsi="Palatino Linotype"/>
          <w:b/>
        </w:rPr>
        <w:t xml:space="preserve">/INFOEM/IP/RR/2023, </w:t>
      </w:r>
      <w:r w:rsidRPr="009230BD">
        <w:rPr>
          <w:rFonts w:ascii="Palatino Linotype" w:hAnsi="Palatino Linotype"/>
        </w:rPr>
        <w:t>en términos de lo establecido en el artículo 192 fracción I de la Ley de Transparencia y Acceso a la Información Pública del Estado de México y Municipios, por haberse desistido expresamente</w:t>
      </w:r>
      <w:r w:rsidRPr="009230BD">
        <w:rPr>
          <w:rFonts w:ascii="Palatino Linotype" w:hAnsi="Palatino Linotype"/>
          <w:b/>
        </w:rPr>
        <w:t xml:space="preserve"> el</w:t>
      </w:r>
      <w:r w:rsidRPr="009230BD">
        <w:rPr>
          <w:rFonts w:ascii="Palatino Linotype" w:hAnsi="Palatino Linotype"/>
        </w:rPr>
        <w:t xml:space="preserve"> </w:t>
      </w:r>
      <w:r w:rsidRPr="009230BD">
        <w:rPr>
          <w:rFonts w:ascii="Palatino Linotype" w:hAnsi="Palatino Linotype"/>
          <w:b/>
        </w:rPr>
        <w:t>RECURRENTE</w:t>
      </w:r>
      <w:r w:rsidRPr="009230BD">
        <w:rPr>
          <w:rFonts w:ascii="Palatino Linotype" w:hAnsi="Palatino Linotype"/>
        </w:rPr>
        <w:t xml:space="preserve">, en términos del </w:t>
      </w:r>
      <w:r w:rsidR="00146A3B" w:rsidRPr="009230BD">
        <w:rPr>
          <w:rFonts w:ascii="Palatino Linotype" w:hAnsi="Palatino Linotype"/>
          <w:b/>
        </w:rPr>
        <w:t>c</w:t>
      </w:r>
      <w:r w:rsidRPr="009230BD">
        <w:rPr>
          <w:rFonts w:ascii="Palatino Linotype" w:hAnsi="Palatino Linotype"/>
          <w:b/>
        </w:rPr>
        <w:t>onsiderando TERCERO</w:t>
      </w:r>
      <w:r w:rsidRPr="009230BD">
        <w:rPr>
          <w:rFonts w:ascii="Palatino Linotype" w:hAnsi="Palatino Linotype"/>
        </w:rPr>
        <w:t xml:space="preserve"> de la presente resolución.</w:t>
      </w:r>
    </w:p>
    <w:p w:rsidR="00E02D1E" w:rsidRPr="009230BD" w:rsidRDefault="00E02D1E" w:rsidP="00E02D1E">
      <w:pPr>
        <w:pStyle w:val="Sinespaciado"/>
        <w:spacing w:after="240" w:line="360" w:lineRule="auto"/>
        <w:jc w:val="both"/>
        <w:rPr>
          <w:rFonts w:ascii="Palatino Linotype" w:eastAsia="Calibri" w:hAnsi="Palatino Linotype" w:cs="Arial"/>
          <w:b/>
          <w:bCs/>
          <w:lang w:val="es-ES"/>
        </w:rPr>
      </w:pPr>
      <w:r w:rsidRPr="009230BD">
        <w:rPr>
          <w:rFonts w:ascii="Palatino Linotype" w:eastAsia="Calibri" w:hAnsi="Palatino Linotype" w:cs="Arial"/>
          <w:b/>
          <w:bCs/>
          <w:lang w:val="es-ES"/>
        </w:rPr>
        <w:t xml:space="preserve">SEGUNDO. REMÍTASE </w:t>
      </w:r>
      <w:r w:rsidRPr="009230BD">
        <w:rPr>
          <w:rFonts w:ascii="Palatino Linotype" w:eastAsia="Calibri" w:hAnsi="Palatino Linotype" w:cs="Arial"/>
          <w:bCs/>
          <w:lang w:val="es-ES"/>
        </w:rPr>
        <w:t xml:space="preserve">a través del Sistema de Acceso a la Información Mexiquense </w:t>
      </w:r>
      <w:r w:rsidRPr="009230BD">
        <w:rPr>
          <w:rFonts w:ascii="Palatino Linotype" w:eastAsia="Calibri" w:hAnsi="Palatino Linotype" w:cs="Arial"/>
          <w:b/>
          <w:bCs/>
          <w:lang w:val="es-ES"/>
        </w:rPr>
        <w:t>(SAIMEX)</w:t>
      </w:r>
      <w:r w:rsidR="00146A3B" w:rsidRPr="009230BD">
        <w:rPr>
          <w:rFonts w:ascii="Palatino Linotype" w:eastAsia="Calibri" w:hAnsi="Palatino Linotype" w:cs="Arial"/>
          <w:b/>
          <w:bCs/>
          <w:lang w:val="es-ES"/>
        </w:rPr>
        <w:t>,</w:t>
      </w:r>
      <w:r w:rsidRPr="009230BD">
        <w:rPr>
          <w:rFonts w:ascii="Palatino Linotype" w:eastAsia="Calibri" w:hAnsi="Palatino Linotype" w:cs="Arial"/>
          <w:b/>
          <w:bCs/>
          <w:lang w:val="es-ES"/>
        </w:rPr>
        <w:t xml:space="preserve"> </w:t>
      </w:r>
      <w:r w:rsidRPr="009230BD">
        <w:rPr>
          <w:rFonts w:ascii="Palatino Linotype" w:eastAsia="Calibri" w:hAnsi="Palatino Linotype" w:cs="Arial"/>
          <w:bCs/>
          <w:lang w:val="es-ES"/>
        </w:rPr>
        <w:t>la presente resolución al Titular de la Unidad de Transparencia del</w:t>
      </w:r>
      <w:r w:rsidRPr="009230BD">
        <w:rPr>
          <w:rFonts w:ascii="Palatino Linotype" w:eastAsia="Calibri" w:hAnsi="Palatino Linotype" w:cs="Arial"/>
          <w:b/>
          <w:bCs/>
          <w:lang w:val="es-ES"/>
        </w:rPr>
        <w:t xml:space="preserve"> SUJETO OBLIGADO. </w:t>
      </w:r>
    </w:p>
    <w:p w:rsidR="00E02D1E" w:rsidRPr="009230BD" w:rsidRDefault="00E02D1E" w:rsidP="00E02D1E">
      <w:pPr>
        <w:pStyle w:val="Sinespaciado"/>
        <w:spacing w:after="240" w:line="360" w:lineRule="auto"/>
        <w:jc w:val="both"/>
        <w:rPr>
          <w:rFonts w:ascii="Palatino Linotype" w:eastAsia="Times New Roman" w:hAnsi="Palatino Linotype" w:cs="Times New Roman"/>
          <w:lang w:val="es-ES" w:eastAsia="es-MX"/>
        </w:rPr>
      </w:pPr>
      <w:r w:rsidRPr="009230BD">
        <w:rPr>
          <w:rFonts w:ascii="Palatino Linotype" w:eastAsia="Times New Roman" w:hAnsi="Palatino Linotype" w:cs="Arial"/>
          <w:b/>
        </w:rPr>
        <w:t xml:space="preserve">TERCERO. </w:t>
      </w:r>
      <w:r w:rsidRPr="009230BD">
        <w:rPr>
          <w:rFonts w:ascii="Palatino Linotype" w:eastAsia="Times New Roman" w:hAnsi="Palatino Linotype" w:cs="Times New Roman"/>
          <w:b/>
          <w:bCs/>
          <w:lang w:val="es-ES"/>
        </w:rPr>
        <w:t>Notifíquese al RECURRENTE</w:t>
      </w:r>
      <w:r w:rsidRPr="009230BD">
        <w:rPr>
          <w:rFonts w:ascii="Palatino Linotype" w:hAnsi="Palatino Linotype"/>
          <w:b/>
        </w:rPr>
        <w:t xml:space="preserve"> </w:t>
      </w:r>
      <w:r w:rsidRPr="009230BD">
        <w:rPr>
          <w:rFonts w:ascii="Palatino Linotype" w:eastAsia="Times New Roman" w:hAnsi="Palatino Linotype" w:cs="Times New Roman"/>
          <w:lang w:val="es-ES" w:eastAsia="es-MX"/>
        </w:rPr>
        <w:t>la presente resolución.</w:t>
      </w:r>
    </w:p>
    <w:p w:rsidR="00E02D1E" w:rsidRPr="009230BD" w:rsidRDefault="00E02D1E" w:rsidP="00E02D1E">
      <w:pPr>
        <w:pStyle w:val="Prrafodelista"/>
        <w:spacing w:after="240" w:line="360" w:lineRule="auto"/>
        <w:ind w:left="0"/>
        <w:jc w:val="both"/>
        <w:rPr>
          <w:rFonts w:ascii="Palatino Linotype" w:eastAsia="MS Mincho" w:hAnsi="Palatino Linotype"/>
          <w:sz w:val="24"/>
          <w:lang w:val="es-ES"/>
        </w:rPr>
      </w:pPr>
      <w:r w:rsidRPr="009230BD">
        <w:rPr>
          <w:rFonts w:ascii="Palatino Linotype" w:eastAsia="MS Mincho" w:hAnsi="Palatino Linotype"/>
          <w:b/>
          <w:sz w:val="24"/>
        </w:rPr>
        <w:t>CUARTO.</w:t>
      </w:r>
      <w:r w:rsidRPr="009230BD">
        <w:rPr>
          <w:rFonts w:ascii="Palatino Linotype" w:eastAsia="MS Mincho" w:hAnsi="Palatino Linotype"/>
          <w:sz w:val="24"/>
        </w:rPr>
        <w:t xml:space="preserve"> </w:t>
      </w:r>
      <w:r w:rsidRPr="009230BD">
        <w:rPr>
          <w:rFonts w:ascii="Palatino Linotype" w:eastAsia="MS Mincho" w:hAnsi="Palatino Linotype"/>
          <w:sz w:val="24"/>
          <w:lang w:val="es-ES"/>
        </w:rPr>
        <w:t xml:space="preserve">Se hace del conocimiento del </w:t>
      </w:r>
      <w:r w:rsidRPr="009230BD">
        <w:rPr>
          <w:rFonts w:ascii="Palatino Linotype" w:hAnsi="Palatino Linotype"/>
          <w:b/>
          <w:sz w:val="24"/>
        </w:rPr>
        <w:t xml:space="preserve">RECURRENTE </w:t>
      </w:r>
      <w:r w:rsidRPr="009230BD">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w:t>
      </w:r>
      <w:r w:rsidRPr="009230BD">
        <w:rPr>
          <w:rFonts w:ascii="Palatino Linotype" w:eastAsia="MS Mincho" w:hAnsi="Palatino Linotype"/>
          <w:sz w:val="24"/>
          <w:lang w:val="es-ES"/>
        </w:rPr>
        <w:lastRenderedPageBreak/>
        <w:t xml:space="preserve">le cause algún perjuicio podrá impugnarla </w:t>
      </w:r>
      <w:r w:rsidRPr="009230BD">
        <w:rPr>
          <w:rFonts w:ascii="Palatino Linotype" w:eastAsia="MS Mincho" w:hAnsi="Palatino Linotype"/>
          <w:bCs/>
          <w:sz w:val="24"/>
          <w:lang w:val="es-ES"/>
        </w:rPr>
        <w:t xml:space="preserve">vía juicio de amparo </w:t>
      </w:r>
      <w:r w:rsidRPr="009230BD">
        <w:rPr>
          <w:rFonts w:ascii="Palatino Linotype" w:eastAsia="MS Mincho" w:hAnsi="Palatino Linotype"/>
          <w:sz w:val="24"/>
          <w:lang w:val="es-ES"/>
        </w:rPr>
        <w:t>en los términos de las leyes aplicables.</w:t>
      </w:r>
    </w:p>
    <w:p w:rsidR="00E02D1E" w:rsidRPr="009230BD" w:rsidRDefault="00E02D1E" w:rsidP="00E02D1E">
      <w:pPr>
        <w:pStyle w:val="Prrafodelista"/>
        <w:spacing w:line="360" w:lineRule="auto"/>
        <w:ind w:left="0"/>
        <w:jc w:val="both"/>
        <w:rPr>
          <w:rFonts w:ascii="Palatino Linotype" w:hAnsi="Palatino Linotype"/>
        </w:rPr>
      </w:pPr>
    </w:p>
    <w:p w:rsidR="00146A3B" w:rsidRPr="00146A3B" w:rsidRDefault="00146A3B" w:rsidP="00146A3B">
      <w:pPr>
        <w:spacing w:before="240" w:after="240" w:line="360" w:lineRule="auto"/>
        <w:ind w:firstLine="1"/>
        <w:jc w:val="both"/>
        <w:rPr>
          <w:rFonts w:ascii="Palatino Linotype" w:hAnsi="Palatino Linotype"/>
          <w:smallCaps/>
        </w:rPr>
      </w:pPr>
      <w:bookmarkStart w:id="43" w:name="_Hlk129792997"/>
      <w:r w:rsidRPr="009230BD">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w:t>
      </w:r>
      <w:bookmarkStart w:id="44" w:name="_GoBack"/>
      <w:bookmarkEnd w:id="44"/>
      <w:r w:rsidRPr="00146A3B">
        <w:rPr>
          <w:rStyle w:val="Referenciasutil"/>
          <w:rFonts w:ascii="Palatino Linotype" w:eastAsiaTheme="majorEastAsia" w:hAnsi="Palatino Linotype"/>
          <w:color w:val="auto"/>
        </w:rPr>
        <w:t xml:space="preserve"> </w:t>
      </w:r>
      <w:bookmarkEnd w:id="43"/>
    </w:p>
    <w:p w:rsidR="00E02D1E" w:rsidRPr="0050481C" w:rsidRDefault="00E02D1E" w:rsidP="00E02D1E">
      <w:pPr>
        <w:rPr>
          <w:rFonts w:ascii="Palatino Linotype" w:hAnsi="Palatino Linotype"/>
        </w:rPr>
      </w:pPr>
      <w:r w:rsidRPr="0050481C">
        <w:rPr>
          <w:rFonts w:ascii="Palatino Linotype" w:hAnsi="Palatino Linotype"/>
        </w:rPr>
        <w:br w:type="page"/>
      </w:r>
    </w:p>
    <w:p w:rsidR="00E02D1E" w:rsidRPr="0050481C" w:rsidRDefault="00E02D1E" w:rsidP="00E02D1E">
      <w:pPr>
        <w:spacing w:before="240" w:after="240" w:line="360" w:lineRule="auto"/>
        <w:ind w:right="49"/>
        <w:jc w:val="both"/>
        <w:rPr>
          <w:rFonts w:ascii="Palatino Linotype" w:hAnsi="Palatino Linotype"/>
        </w:rPr>
      </w:pPr>
    </w:p>
    <w:p w:rsidR="00E02D1E" w:rsidRPr="0050481C" w:rsidRDefault="00E02D1E" w:rsidP="00E02D1E">
      <w:pPr>
        <w:spacing w:before="240" w:after="240" w:line="360" w:lineRule="auto"/>
        <w:ind w:right="49"/>
        <w:jc w:val="both"/>
        <w:rPr>
          <w:rFonts w:ascii="Palatino Linotype" w:hAnsi="Palatino Linotype"/>
        </w:rPr>
      </w:pPr>
    </w:p>
    <w:p w:rsidR="00E02D1E" w:rsidRPr="0050481C" w:rsidRDefault="00E02D1E" w:rsidP="00E02D1E"/>
    <w:p w:rsidR="00E02D1E" w:rsidRDefault="00E02D1E" w:rsidP="00E02D1E"/>
    <w:p w:rsidR="00E02D1E" w:rsidRDefault="00E02D1E" w:rsidP="00E02D1E"/>
    <w:p w:rsidR="004E1710" w:rsidRDefault="006124D8"/>
    <w:sectPr w:rsidR="004E1710"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D8" w:rsidRDefault="006124D8" w:rsidP="00E02D1E">
      <w:r>
        <w:separator/>
      </w:r>
    </w:p>
  </w:endnote>
  <w:endnote w:type="continuationSeparator" w:id="0">
    <w:p w:rsidR="006124D8" w:rsidRDefault="006124D8" w:rsidP="00E0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9C5863">
    <w:pPr>
      <w:pStyle w:val="Piedepgina"/>
      <w:jc w:val="right"/>
    </w:pPr>
    <w:r>
      <w:rPr>
        <w:lang w:val="es-ES"/>
      </w:rPr>
      <w:t xml:space="preserve">Página </w:t>
    </w:r>
    <w:r>
      <w:rPr>
        <w:b/>
        <w:bCs/>
      </w:rPr>
      <w:fldChar w:fldCharType="begin"/>
    </w:r>
    <w:r>
      <w:rPr>
        <w:b/>
        <w:bCs/>
      </w:rPr>
      <w:instrText>PAGE</w:instrText>
    </w:r>
    <w:r>
      <w:rPr>
        <w:b/>
        <w:bCs/>
      </w:rPr>
      <w:fldChar w:fldCharType="separate"/>
    </w:r>
    <w:r w:rsidR="009230BD">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30BD">
      <w:rPr>
        <w:b/>
        <w:bCs/>
        <w:noProof/>
      </w:rPr>
      <w:t>12</w:t>
    </w:r>
    <w:r>
      <w:rPr>
        <w:b/>
        <w:bCs/>
      </w:rPr>
      <w:fldChar w:fldCharType="end"/>
    </w:r>
  </w:p>
  <w:p w:rsidR="0026086D" w:rsidRDefault="006124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9C5863">
    <w:pPr>
      <w:pStyle w:val="Piedepgina"/>
      <w:jc w:val="right"/>
    </w:pPr>
    <w:r>
      <w:rPr>
        <w:lang w:val="es-ES"/>
      </w:rPr>
      <w:t xml:space="preserve">Página </w:t>
    </w:r>
    <w:r>
      <w:rPr>
        <w:b/>
        <w:bCs/>
      </w:rPr>
      <w:fldChar w:fldCharType="begin"/>
    </w:r>
    <w:r>
      <w:rPr>
        <w:b/>
        <w:bCs/>
      </w:rPr>
      <w:instrText>PAGE</w:instrText>
    </w:r>
    <w:r>
      <w:rPr>
        <w:b/>
        <w:bCs/>
      </w:rPr>
      <w:fldChar w:fldCharType="separate"/>
    </w:r>
    <w:r w:rsidR="009230B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30BD">
      <w:rPr>
        <w:b/>
        <w:bCs/>
        <w:noProof/>
      </w:rPr>
      <w:t>12</w:t>
    </w:r>
    <w:r>
      <w:rPr>
        <w:b/>
        <w:bCs/>
      </w:rPr>
      <w:fldChar w:fldCharType="end"/>
    </w:r>
  </w:p>
  <w:p w:rsidR="0026086D" w:rsidRDefault="006124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D8" w:rsidRDefault="006124D8" w:rsidP="00E02D1E">
      <w:r>
        <w:separator/>
      </w:r>
    </w:p>
  </w:footnote>
  <w:footnote w:type="continuationSeparator" w:id="0">
    <w:p w:rsidR="006124D8" w:rsidRDefault="006124D8" w:rsidP="00E02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124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6124D8"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6124D8"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9C5863"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E02D1E" w:rsidP="000E3B9A">
                <w:pPr>
                  <w:tabs>
                    <w:tab w:val="right" w:pos="8838"/>
                  </w:tabs>
                  <w:ind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01308</w:t>
                </w:r>
                <w:r w:rsidR="009C5863">
                  <w:rPr>
                    <w:rFonts w:ascii="Palatino Linotype" w:eastAsia="Calibri" w:hAnsi="Palatino Linotype" w:cs="Tahoma"/>
                    <w:bCs/>
                    <w:sz w:val="22"/>
                    <w:szCs w:val="22"/>
                    <w:lang w:eastAsia="en-US"/>
                  </w:rPr>
                  <w:t>/INFOEM/IP/RR/2023</w:t>
                </w:r>
              </w:p>
            </w:tc>
          </w:tr>
          <w:tr w:rsidR="0026086D" w:rsidTr="0026086D">
            <w:trPr>
              <w:trHeight w:val="295"/>
            </w:trPr>
            <w:tc>
              <w:tcPr>
                <w:tcW w:w="2551" w:type="dxa"/>
                <w:shd w:val="clear" w:color="auto" w:fill="auto"/>
              </w:tcPr>
              <w:p w:rsidR="0026086D" w:rsidRPr="00020E73" w:rsidRDefault="009C5863"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9C5863"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Villa de Allende</w:t>
                </w:r>
              </w:p>
            </w:tc>
          </w:tr>
          <w:tr w:rsidR="0026086D" w:rsidTr="0026086D">
            <w:trPr>
              <w:trHeight w:val="295"/>
            </w:trPr>
            <w:tc>
              <w:tcPr>
                <w:tcW w:w="2551" w:type="dxa"/>
                <w:shd w:val="clear" w:color="auto" w:fill="auto"/>
              </w:tcPr>
              <w:p w:rsidR="0026086D" w:rsidRPr="00020E73" w:rsidRDefault="009C5863"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9C5863"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6124D8"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6124D8" w:rsidP="0026086D">
          <w:pPr>
            <w:tabs>
              <w:tab w:val="right" w:pos="8838"/>
            </w:tabs>
            <w:ind w:left="-28"/>
            <w:jc w:val="both"/>
            <w:rPr>
              <w:rFonts w:ascii="Arial" w:eastAsia="Calibri" w:hAnsi="Arial" w:cs="Arial"/>
              <w:b/>
              <w:sz w:val="22"/>
              <w:szCs w:val="22"/>
              <w:lang w:eastAsia="en-US"/>
            </w:rPr>
          </w:pPr>
        </w:p>
      </w:tc>
    </w:tr>
  </w:tbl>
  <w:p w:rsidR="0026086D" w:rsidRPr="00443C6B" w:rsidRDefault="006124D8"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6124D8"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9C5863"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E02D1E"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01308</w:t>
                </w:r>
                <w:r w:rsidR="009C5863">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9C5863"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E02D1E" w:rsidRDefault="00106307"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26086D" w:rsidRPr="00330DA7" w:rsidTr="0026086D">
            <w:trPr>
              <w:trHeight w:val="283"/>
            </w:trPr>
            <w:tc>
              <w:tcPr>
                <w:tcW w:w="2444" w:type="dxa"/>
                <w:shd w:val="clear" w:color="auto" w:fill="auto"/>
              </w:tcPr>
              <w:p w:rsidR="0026086D" w:rsidRPr="00020E73" w:rsidRDefault="009C5863"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9C5863" w:rsidP="000A5E4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Villa de Allende</w:t>
                </w:r>
              </w:p>
            </w:tc>
          </w:tr>
          <w:tr w:rsidR="0026086D" w:rsidRPr="00330DA7" w:rsidTr="0026086D">
            <w:trPr>
              <w:trHeight w:val="283"/>
            </w:trPr>
            <w:tc>
              <w:tcPr>
                <w:tcW w:w="2444" w:type="dxa"/>
                <w:shd w:val="clear" w:color="auto" w:fill="auto"/>
              </w:tcPr>
              <w:p w:rsidR="0026086D" w:rsidRPr="00020E73" w:rsidRDefault="009C5863"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9C5863"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6124D8"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6124D8" w:rsidP="0026086D">
          <w:pPr>
            <w:tabs>
              <w:tab w:val="right" w:pos="8838"/>
            </w:tabs>
            <w:ind w:left="-28"/>
            <w:jc w:val="both"/>
            <w:rPr>
              <w:rFonts w:ascii="Arial" w:eastAsia="Calibri" w:hAnsi="Arial" w:cs="Arial"/>
              <w:b/>
              <w:sz w:val="22"/>
              <w:szCs w:val="22"/>
              <w:lang w:eastAsia="en-US"/>
            </w:rPr>
          </w:pPr>
        </w:p>
      </w:tc>
    </w:tr>
  </w:tbl>
  <w:p w:rsidR="0026086D" w:rsidRPr="00827FA0" w:rsidRDefault="006124D8"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6D3"/>
    <w:multiLevelType w:val="hybridMultilevel"/>
    <w:tmpl w:val="31585DC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BE87284"/>
    <w:multiLevelType w:val="hybridMultilevel"/>
    <w:tmpl w:val="375E8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E"/>
    <w:rsid w:val="00007A3C"/>
    <w:rsid w:val="00072B2C"/>
    <w:rsid w:val="00106307"/>
    <w:rsid w:val="00146A3B"/>
    <w:rsid w:val="00214EBE"/>
    <w:rsid w:val="005C5A1D"/>
    <w:rsid w:val="006124D8"/>
    <w:rsid w:val="00673B3C"/>
    <w:rsid w:val="0076643E"/>
    <w:rsid w:val="009230BD"/>
    <w:rsid w:val="009414BB"/>
    <w:rsid w:val="0096488B"/>
    <w:rsid w:val="009C5863"/>
    <w:rsid w:val="00AB56A2"/>
    <w:rsid w:val="00B25DD6"/>
    <w:rsid w:val="00DE0ED2"/>
    <w:rsid w:val="00DF10D2"/>
    <w:rsid w:val="00E02D1E"/>
    <w:rsid w:val="00EB1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C8DD03-191A-42B3-809C-AE20D826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1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02D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2D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12</Pages>
  <Words>2311</Words>
  <Characters>12713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2023-08-07T19:23:00Z</dcterms:created>
  <dcterms:modified xsi:type="dcterms:W3CDTF">2023-08-23T18:02:00Z</dcterms:modified>
</cp:coreProperties>
</file>