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C3075" w14:textId="77777777" w:rsidR="0066753E" w:rsidRPr="00263752" w:rsidRDefault="00263752">
      <w:pPr>
        <w:tabs>
          <w:tab w:val="left" w:pos="3686"/>
        </w:tabs>
        <w:spacing w:line="360" w:lineRule="auto"/>
        <w:jc w:val="both"/>
        <w:rPr>
          <w:rFonts w:ascii="Palatino Linotype" w:eastAsia="Palatino Linotype" w:hAnsi="Palatino Linotype" w:cs="Palatino Linotype"/>
        </w:rPr>
      </w:pPr>
      <w:bookmarkStart w:id="0" w:name="_heading=h.tyjcwt" w:colFirst="0" w:colLast="0"/>
      <w:bookmarkEnd w:id="0"/>
      <w:r w:rsidRPr="0026375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doce de julio de dos mil veintitrés. </w:t>
      </w:r>
    </w:p>
    <w:p w14:paraId="441BEF91" w14:textId="77777777" w:rsidR="0066753E" w:rsidRPr="00263752" w:rsidRDefault="0066753E">
      <w:pPr>
        <w:spacing w:line="360" w:lineRule="auto"/>
        <w:jc w:val="both"/>
        <w:rPr>
          <w:rFonts w:ascii="Palatino Linotype" w:eastAsia="Palatino Linotype" w:hAnsi="Palatino Linotype" w:cs="Palatino Linotype"/>
        </w:rPr>
      </w:pPr>
    </w:p>
    <w:p w14:paraId="7EC25946" w14:textId="39678944"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b/>
        </w:rPr>
        <w:t>VISTO</w:t>
      </w:r>
      <w:r w:rsidRPr="00263752">
        <w:rPr>
          <w:rFonts w:ascii="Palatino Linotype" w:eastAsia="Palatino Linotype" w:hAnsi="Palatino Linotype" w:cs="Palatino Linotype"/>
        </w:rPr>
        <w:t xml:space="preserve"> el expediente formado con motivo del recurso de revisión </w:t>
      </w:r>
      <w:r w:rsidRPr="00263752">
        <w:rPr>
          <w:rFonts w:ascii="Palatino Linotype" w:eastAsia="Palatino Linotype" w:hAnsi="Palatino Linotype" w:cs="Palatino Linotype"/>
          <w:b/>
        </w:rPr>
        <w:t>00334/INFOEM/IP/RR/2023</w:t>
      </w:r>
      <w:r w:rsidRPr="00263752">
        <w:rPr>
          <w:rFonts w:ascii="Palatino Linotype" w:eastAsia="Palatino Linotype" w:hAnsi="Palatino Linotype" w:cs="Palatino Linotype"/>
        </w:rPr>
        <w:t>, interpuesto por quien dijo ser</w:t>
      </w:r>
      <w:r w:rsidRPr="00263752">
        <w:rPr>
          <w:rFonts w:ascii="Palatino Linotype" w:eastAsia="Palatino Linotype" w:hAnsi="Palatino Linotype" w:cs="Palatino Linotype"/>
          <w:b/>
        </w:rPr>
        <w:t xml:space="preserve"> </w:t>
      </w:r>
      <w:r w:rsidR="00C01390">
        <w:rPr>
          <w:rFonts w:ascii="Palatino Linotype" w:eastAsia="Palatino Linotype" w:hAnsi="Palatino Linotype" w:cs="Palatino Linotype"/>
          <w:b/>
        </w:rPr>
        <w:t>XXXXXX XXXXX</w:t>
      </w:r>
      <w:r w:rsidRPr="00263752">
        <w:rPr>
          <w:rFonts w:ascii="Palatino Linotype" w:eastAsia="Palatino Linotype" w:hAnsi="Palatino Linotype" w:cs="Palatino Linotype"/>
          <w:b/>
        </w:rPr>
        <w:t xml:space="preserve">, </w:t>
      </w:r>
      <w:r w:rsidRPr="00263752">
        <w:rPr>
          <w:rFonts w:ascii="Palatino Linotype" w:eastAsia="Palatino Linotype" w:hAnsi="Palatino Linotype" w:cs="Palatino Linotype"/>
        </w:rPr>
        <w:t>que en lo subsecuente se le denominará como</w:t>
      </w:r>
      <w:r w:rsidRPr="00263752">
        <w:rPr>
          <w:rFonts w:ascii="Palatino Linotype" w:eastAsia="Palatino Linotype" w:hAnsi="Palatino Linotype" w:cs="Palatino Linotype"/>
          <w:b/>
        </w:rPr>
        <w:t xml:space="preserve"> LA PARTE RECURRENTE,</w:t>
      </w:r>
      <w:r w:rsidRPr="00263752">
        <w:rPr>
          <w:rFonts w:ascii="Palatino Linotype" w:eastAsia="Palatino Linotype" w:hAnsi="Palatino Linotype" w:cs="Palatino Linotype"/>
        </w:rPr>
        <w:t xml:space="preserve"> en contra de la respuesta a la solicitud </w:t>
      </w:r>
      <w:r w:rsidRPr="00263752">
        <w:rPr>
          <w:rFonts w:ascii="Palatino Linotype" w:eastAsia="Palatino Linotype" w:hAnsi="Palatino Linotype" w:cs="Palatino Linotype"/>
          <w:b/>
        </w:rPr>
        <w:t>00293/TLALMANA/IP/2022</w:t>
      </w:r>
      <w:r w:rsidRPr="00263752">
        <w:rPr>
          <w:rFonts w:ascii="Palatino Linotype" w:eastAsia="Palatino Linotype" w:hAnsi="Palatino Linotype" w:cs="Palatino Linotype"/>
        </w:rPr>
        <w:t xml:space="preserve"> por parte del</w:t>
      </w:r>
      <w:r w:rsidRPr="00263752">
        <w:rPr>
          <w:rFonts w:ascii="Palatino Linotype" w:eastAsia="Palatino Linotype" w:hAnsi="Palatino Linotype" w:cs="Palatino Linotype"/>
          <w:b/>
        </w:rPr>
        <w:t xml:space="preserve"> Ayuntamiento de Tlalmanalco, </w:t>
      </w:r>
      <w:r w:rsidRPr="00263752">
        <w:rPr>
          <w:rFonts w:ascii="Palatino Linotype" w:eastAsia="Palatino Linotype" w:hAnsi="Palatino Linotype" w:cs="Palatino Linotype"/>
        </w:rPr>
        <w:t xml:space="preserve">a quien en lo sucesivo se le denominará como </w:t>
      </w:r>
      <w:r w:rsidRPr="00263752">
        <w:rPr>
          <w:rFonts w:ascii="Palatino Linotype" w:eastAsia="Palatino Linotype" w:hAnsi="Palatino Linotype" w:cs="Palatino Linotype"/>
          <w:b/>
        </w:rPr>
        <w:t xml:space="preserve">EL SUJETO OBLIGADO, </w:t>
      </w:r>
      <w:r w:rsidRPr="00263752">
        <w:rPr>
          <w:rFonts w:ascii="Palatino Linotype" w:eastAsia="Palatino Linotype" w:hAnsi="Palatino Linotype" w:cs="Palatino Linotype"/>
        </w:rPr>
        <w:t>se procede a dictar la presente resolución con base en los siguientes</w:t>
      </w:r>
    </w:p>
    <w:p w14:paraId="00E7DD33" w14:textId="77777777" w:rsidR="0066753E" w:rsidRPr="00263752" w:rsidRDefault="0066753E">
      <w:pPr>
        <w:spacing w:line="360" w:lineRule="auto"/>
        <w:jc w:val="both"/>
        <w:rPr>
          <w:rFonts w:ascii="Palatino Linotype" w:eastAsia="Palatino Linotype" w:hAnsi="Palatino Linotype" w:cs="Palatino Linotype"/>
        </w:rPr>
      </w:pPr>
    </w:p>
    <w:p w14:paraId="5A1DB04A" w14:textId="77777777" w:rsidR="0066753E" w:rsidRPr="00263752" w:rsidRDefault="00263752">
      <w:pPr>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rPr>
      </w:pPr>
      <w:r w:rsidRPr="00263752">
        <w:rPr>
          <w:rFonts w:ascii="Palatino Linotype" w:eastAsia="Palatino Linotype" w:hAnsi="Palatino Linotype" w:cs="Palatino Linotype"/>
          <w:b/>
        </w:rPr>
        <w:t>A N T E C E D E N T E S:</w:t>
      </w:r>
    </w:p>
    <w:p w14:paraId="4000DAA7" w14:textId="77777777" w:rsidR="0066753E" w:rsidRPr="00263752" w:rsidRDefault="0066753E">
      <w:pPr>
        <w:pBdr>
          <w:top w:val="nil"/>
          <w:left w:val="nil"/>
          <w:bottom w:val="nil"/>
          <w:right w:val="nil"/>
          <w:between w:val="nil"/>
        </w:pBdr>
        <w:spacing w:line="360" w:lineRule="auto"/>
        <w:ind w:left="1080"/>
        <w:rPr>
          <w:rFonts w:ascii="Palatino Linotype" w:eastAsia="Palatino Linotype" w:hAnsi="Palatino Linotype" w:cs="Palatino Linotype"/>
          <w:b/>
        </w:rPr>
      </w:pPr>
    </w:p>
    <w:p w14:paraId="7BD120D1" w14:textId="77777777" w:rsidR="0066753E" w:rsidRPr="00263752" w:rsidRDefault="00263752">
      <w:pPr>
        <w:spacing w:line="360" w:lineRule="auto"/>
        <w:jc w:val="both"/>
        <w:rPr>
          <w:rFonts w:ascii="Palatino Linotype" w:eastAsia="Palatino Linotype" w:hAnsi="Palatino Linotype" w:cs="Palatino Linotype"/>
        </w:rPr>
      </w:pPr>
      <w:bookmarkStart w:id="1" w:name="_heading=h.gjdgxs" w:colFirst="0" w:colLast="0"/>
      <w:bookmarkEnd w:id="1"/>
      <w:r w:rsidRPr="00263752">
        <w:rPr>
          <w:rFonts w:ascii="Palatino Linotype" w:eastAsia="Palatino Linotype" w:hAnsi="Palatino Linotype" w:cs="Palatino Linotype"/>
          <w:b/>
        </w:rPr>
        <w:t>1. Solicitud de acceso a la información.</w:t>
      </w:r>
      <w:r w:rsidRPr="00263752">
        <w:rPr>
          <w:rFonts w:ascii="Palatino Linotype" w:eastAsia="Palatino Linotype" w:hAnsi="Palatino Linotype" w:cs="Palatino Linotype"/>
        </w:rPr>
        <w:t xml:space="preserve"> El</w:t>
      </w:r>
      <w:r w:rsidRPr="00263752">
        <w:rPr>
          <w:rFonts w:ascii="Palatino Linotype" w:eastAsia="Palatino Linotype" w:hAnsi="Palatino Linotype" w:cs="Palatino Linotype"/>
          <w:b/>
        </w:rPr>
        <w:t xml:space="preserve"> veintiuno de diciembre de dos mil veintidós,</w:t>
      </w:r>
      <w:r w:rsidRPr="00263752">
        <w:rPr>
          <w:rFonts w:ascii="Palatino Linotype" w:eastAsia="Palatino Linotype" w:hAnsi="Palatino Linotype" w:cs="Palatino Linotype"/>
        </w:rPr>
        <w:t xml:space="preserve"> </w:t>
      </w:r>
      <w:r w:rsidRPr="00263752">
        <w:rPr>
          <w:rFonts w:ascii="Palatino Linotype" w:eastAsia="Palatino Linotype" w:hAnsi="Palatino Linotype" w:cs="Palatino Linotype"/>
          <w:b/>
        </w:rPr>
        <w:t>LA PARTE</w:t>
      </w:r>
      <w:r w:rsidRPr="00263752">
        <w:rPr>
          <w:rFonts w:ascii="Palatino Linotype" w:eastAsia="Palatino Linotype" w:hAnsi="Palatino Linotype" w:cs="Palatino Linotype"/>
        </w:rPr>
        <w:t xml:space="preserve"> </w:t>
      </w:r>
      <w:r w:rsidRPr="00263752">
        <w:rPr>
          <w:rFonts w:ascii="Palatino Linotype" w:eastAsia="Palatino Linotype" w:hAnsi="Palatino Linotype" w:cs="Palatino Linotype"/>
          <w:b/>
        </w:rPr>
        <w:t xml:space="preserve">RECURRENTE </w:t>
      </w:r>
      <w:r w:rsidRPr="00263752">
        <w:rPr>
          <w:rFonts w:ascii="Palatino Linotype" w:eastAsia="Palatino Linotype" w:hAnsi="Palatino Linotype" w:cs="Palatino Linotype"/>
        </w:rPr>
        <w:t>a través del Sistema de Acceso a la Información Mexiquense o SAIMEX</w:t>
      </w:r>
      <w:r w:rsidRPr="00263752">
        <w:rPr>
          <w:rFonts w:ascii="Palatino Linotype" w:eastAsia="Palatino Linotype" w:hAnsi="Palatino Linotype" w:cs="Palatino Linotype"/>
          <w:b/>
        </w:rPr>
        <w:t>,</w:t>
      </w:r>
      <w:r w:rsidRPr="00263752">
        <w:rPr>
          <w:rFonts w:ascii="Palatino Linotype" w:eastAsia="Palatino Linotype" w:hAnsi="Palatino Linotype" w:cs="Palatino Linotype"/>
        </w:rPr>
        <w:t xml:space="preserve"> realizó la solicitud de acceso a la información pública</w:t>
      </w:r>
      <w:r w:rsidRPr="00263752">
        <w:rPr>
          <w:rFonts w:ascii="Palatino Linotype" w:eastAsia="Palatino Linotype" w:hAnsi="Palatino Linotype" w:cs="Palatino Linotype"/>
          <w:b/>
        </w:rPr>
        <w:t xml:space="preserve"> 00293/TLALMANA/IP/2022</w:t>
      </w:r>
      <w:r w:rsidRPr="00263752">
        <w:rPr>
          <w:rFonts w:ascii="Palatino Linotype" w:eastAsia="Palatino Linotype" w:hAnsi="Palatino Linotype" w:cs="Palatino Linotype"/>
        </w:rPr>
        <w:t>, en la cual requirió de:</w:t>
      </w:r>
    </w:p>
    <w:p w14:paraId="20E4DE33" w14:textId="77777777" w:rsidR="0066753E" w:rsidRPr="00263752" w:rsidRDefault="0066753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72D1024"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 xml:space="preserve"> “Se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exhaustiva, desglosada, clara y detallada así como su entrega en versión publica y en formato PDF. así como los contratos correspondientes, de conformidad al dispuesto en la Ley de Contratación Pública </w:t>
      </w:r>
      <w:r w:rsidRPr="00263752">
        <w:rPr>
          <w:rFonts w:ascii="Palatino Linotype" w:eastAsia="Palatino Linotype" w:hAnsi="Palatino Linotype" w:cs="Palatino Linotype"/>
          <w:i/>
          <w:sz w:val="22"/>
          <w:szCs w:val="22"/>
        </w:rPr>
        <w:lastRenderedPageBreak/>
        <w:t xml:space="preserve">del Estado de México y Municipios, </w:t>
      </w:r>
      <w:r w:rsidRPr="00263752">
        <w:rPr>
          <w:rFonts w:ascii="Palatino Linotype" w:eastAsia="Palatino Linotype" w:hAnsi="Palatino Linotype" w:cs="Palatino Linotype"/>
          <w:b/>
          <w:i/>
          <w:sz w:val="22"/>
          <w:szCs w:val="22"/>
        </w:rPr>
        <w:t xml:space="preserve">Solicito los costos totales (IVA incluido) en moneda </w:t>
      </w:r>
      <w:proofErr w:type="gramStart"/>
      <w:r w:rsidRPr="00263752">
        <w:rPr>
          <w:rFonts w:ascii="Palatino Linotype" w:eastAsia="Palatino Linotype" w:hAnsi="Palatino Linotype" w:cs="Palatino Linotype"/>
          <w:b/>
          <w:i/>
          <w:sz w:val="22"/>
          <w:szCs w:val="22"/>
        </w:rPr>
        <w:t>nacional</w:t>
      </w:r>
      <w:proofErr w:type="gramEnd"/>
      <w:r w:rsidRPr="00263752">
        <w:rPr>
          <w:rFonts w:ascii="Palatino Linotype" w:eastAsia="Palatino Linotype" w:hAnsi="Palatino Linotype" w:cs="Palatino Linotype"/>
          <w:b/>
          <w:i/>
          <w:sz w:val="22"/>
          <w:szCs w:val="22"/>
        </w:rPr>
        <w:t xml:space="preserve"> así como su entrega en versión pública de los Convenios celebrados, facturas, contratos celebrados, Pólizas de cheques. Que gasto, efectuó, pago y/o realizo la oficina de Presidencia Municipal del periodo 01 de enero 2022 a la fecha de la entrega de la información.</w:t>
      </w:r>
      <w:r w:rsidRPr="00263752">
        <w:rPr>
          <w:rFonts w:ascii="Palatino Linotype" w:eastAsia="Palatino Linotype" w:hAnsi="Palatino Linotype" w:cs="Palatino Linotype"/>
          <w:i/>
          <w:sz w:val="22"/>
          <w:szCs w:val="22"/>
        </w:rPr>
        <w:t>” (Sic)</w:t>
      </w:r>
    </w:p>
    <w:p w14:paraId="66D0DEBC" w14:textId="77777777" w:rsidR="0066753E" w:rsidRPr="00263752" w:rsidRDefault="0066753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5FDD232"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b/>
        </w:rPr>
        <w:t>Modalidad de Entrega:</w:t>
      </w:r>
      <w:r w:rsidRPr="00263752">
        <w:rPr>
          <w:rFonts w:ascii="Palatino Linotype" w:eastAsia="Palatino Linotype" w:hAnsi="Palatino Linotype" w:cs="Palatino Linotype"/>
        </w:rPr>
        <w:t xml:space="preserve"> A través del SAIMEX.</w:t>
      </w:r>
    </w:p>
    <w:p w14:paraId="2575CAB1" w14:textId="77777777" w:rsidR="0066753E" w:rsidRPr="00263752" w:rsidRDefault="0066753E">
      <w:pPr>
        <w:spacing w:line="360" w:lineRule="auto"/>
        <w:jc w:val="both"/>
        <w:rPr>
          <w:rFonts w:ascii="Palatino Linotype" w:eastAsia="Palatino Linotype" w:hAnsi="Palatino Linotype" w:cs="Palatino Linotype"/>
        </w:rPr>
      </w:pPr>
    </w:p>
    <w:p w14:paraId="32EDABF6"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b/>
        </w:rPr>
        <w:t xml:space="preserve">2. Respuesta. </w:t>
      </w:r>
      <w:r w:rsidRPr="00263752">
        <w:rPr>
          <w:rFonts w:ascii="Palatino Linotype" w:eastAsia="Palatino Linotype" w:hAnsi="Palatino Linotype" w:cs="Palatino Linotype"/>
        </w:rPr>
        <w:t>El</w:t>
      </w:r>
      <w:r w:rsidRPr="00263752">
        <w:rPr>
          <w:rFonts w:ascii="Palatino Linotype" w:eastAsia="Palatino Linotype" w:hAnsi="Palatino Linotype" w:cs="Palatino Linotype"/>
          <w:b/>
        </w:rPr>
        <w:t xml:space="preserve"> trece de enero de dos mil veintitrés, EL SUJETO OBLIGADO </w:t>
      </w:r>
      <w:r w:rsidRPr="00263752">
        <w:rPr>
          <w:rFonts w:ascii="Palatino Linotype" w:eastAsia="Palatino Linotype" w:hAnsi="Palatino Linotype" w:cs="Palatino Linotype"/>
        </w:rPr>
        <w:t xml:space="preserve">remitió a la persona solicitante la respuesta a su solicitud de acceso a la información, al tenor siguiente: </w:t>
      </w:r>
    </w:p>
    <w:p w14:paraId="62EAD707" w14:textId="77777777" w:rsidR="0066753E" w:rsidRPr="00263752" w:rsidRDefault="0066753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6481F80"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 xml:space="preserve">“Tlalmanalco, México a 13 de </w:t>
      </w:r>
      <w:proofErr w:type="gramStart"/>
      <w:r w:rsidRPr="00263752">
        <w:rPr>
          <w:rFonts w:ascii="Palatino Linotype" w:eastAsia="Palatino Linotype" w:hAnsi="Palatino Linotype" w:cs="Palatino Linotype"/>
          <w:i/>
          <w:sz w:val="22"/>
          <w:szCs w:val="22"/>
        </w:rPr>
        <w:t>Enero</w:t>
      </w:r>
      <w:proofErr w:type="gramEnd"/>
      <w:r w:rsidRPr="00263752">
        <w:rPr>
          <w:rFonts w:ascii="Palatino Linotype" w:eastAsia="Palatino Linotype" w:hAnsi="Palatino Linotype" w:cs="Palatino Linotype"/>
          <w:i/>
          <w:sz w:val="22"/>
          <w:szCs w:val="22"/>
        </w:rPr>
        <w:t xml:space="preserve"> de 2023</w:t>
      </w:r>
    </w:p>
    <w:p w14:paraId="77ED6A48"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Nombre del solicitante: C. Solicitante</w:t>
      </w:r>
    </w:p>
    <w:p w14:paraId="6A1344DD"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Folio de la solicitud: 00293/TLALMANA/IP/2022</w:t>
      </w:r>
    </w:p>
    <w:p w14:paraId="0045C41B"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 xml:space="preserve">En atención a su solicitud de información con No. de Folio: 00293/TLALMANA/IP/2022, se le hace llegar la respuesta en PDF. Misma brindada por el L.C.P. RAFAEL CABRERA VALENCIA, TESORERO MUNICIPAL y el C. MARCO ANTONIO SALES RIVERO, SECRETARIO DEL AYUNTAMIENTO, sin </w:t>
      </w:r>
      <w:proofErr w:type="spellStart"/>
      <w:r w:rsidRPr="00263752">
        <w:rPr>
          <w:rFonts w:ascii="Palatino Linotype" w:eastAsia="Palatino Linotype" w:hAnsi="Palatino Linotype" w:cs="Palatino Linotype"/>
          <w:i/>
          <w:sz w:val="22"/>
          <w:szCs w:val="22"/>
        </w:rPr>
        <w:t>mas</w:t>
      </w:r>
      <w:proofErr w:type="spellEnd"/>
      <w:r w:rsidRPr="00263752">
        <w:rPr>
          <w:rFonts w:ascii="Palatino Linotype" w:eastAsia="Palatino Linotype" w:hAnsi="Palatino Linotype" w:cs="Palatino Linotype"/>
          <w:i/>
          <w:sz w:val="22"/>
          <w:szCs w:val="22"/>
        </w:rPr>
        <w:t xml:space="preserve"> por el momento que tenga un buen día.</w:t>
      </w:r>
    </w:p>
    <w:p w14:paraId="0F80EFEA"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ATENTAMENTE</w:t>
      </w:r>
    </w:p>
    <w:p w14:paraId="6080AF03"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Lic. en C.P y Admón. Pub. Janet Orozco Banda” (Sic)</w:t>
      </w:r>
    </w:p>
    <w:p w14:paraId="43C6E77A" w14:textId="77777777" w:rsidR="0066753E" w:rsidRPr="00263752" w:rsidRDefault="0066753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0AB1A1F"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Respuesta a la cual se adjuntaron los archivos que a continuación se describen: </w:t>
      </w:r>
    </w:p>
    <w:p w14:paraId="7F15F931" w14:textId="77777777" w:rsidR="0066753E" w:rsidRPr="00263752" w:rsidRDefault="0066753E">
      <w:pPr>
        <w:spacing w:line="360" w:lineRule="auto"/>
        <w:jc w:val="both"/>
        <w:rPr>
          <w:rFonts w:ascii="Palatino Linotype" w:eastAsia="Palatino Linotype" w:hAnsi="Palatino Linotype" w:cs="Palatino Linotype"/>
        </w:rPr>
      </w:pPr>
    </w:p>
    <w:p w14:paraId="0905B627" w14:textId="77777777" w:rsidR="0066753E" w:rsidRPr="00263752" w:rsidRDefault="00263752">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i/>
        </w:rPr>
      </w:pPr>
      <w:r w:rsidRPr="00263752">
        <w:rPr>
          <w:rFonts w:ascii="Palatino Linotype" w:eastAsia="Palatino Linotype" w:hAnsi="Palatino Linotype" w:cs="Palatino Linotype"/>
          <w:b/>
          <w:i/>
        </w:rPr>
        <w:t>293 tesoreria.pdf</w:t>
      </w:r>
    </w:p>
    <w:p w14:paraId="3B29B8A1"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Que contiene el oficio </w:t>
      </w:r>
      <w:r w:rsidRPr="00263752">
        <w:rPr>
          <w:rFonts w:ascii="Palatino Linotype" w:eastAsia="Palatino Linotype" w:hAnsi="Palatino Linotype" w:cs="Palatino Linotype"/>
          <w:i/>
        </w:rPr>
        <w:t>TES/TLAL/002/01/2023</w:t>
      </w:r>
      <w:r w:rsidRPr="00263752">
        <w:rPr>
          <w:rFonts w:ascii="Palatino Linotype" w:eastAsia="Palatino Linotype" w:hAnsi="Palatino Linotype" w:cs="Palatino Linotype"/>
        </w:rPr>
        <w:t xml:space="preserve"> de fecha doce de enero de dos mil veintitrés, signado por la Tesorería Municipal en donde se hizo del conocimiento de la persona solicitante que su información estaría en un archivo adjunto. </w:t>
      </w:r>
    </w:p>
    <w:p w14:paraId="4A9CD6BF" w14:textId="77777777" w:rsidR="0066753E" w:rsidRPr="00263752" w:rsidRDefault="0066753E">
      <w:pPr>
        <w:spacing w:line="360" w:lineRule="auto"/>
        <w:jc w:val="both"/>
        <w:rPr>
          <w:rFonts w:ascii="Palatino Linotype" w:eastAsia="Palatino Linotype" w:hAnsi="Palatino Linotype" w:cs="Palatino Linotype"/>
        </w:rPr>
      </w:pPr>
    </w:p>
    <w:p w14:paraId="7DE74A8E" w14:textId="77777777" w:rsidR="0066753E" w:rsidRPr="00263752" w:rsidRDefault="00263752">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i/>
        </w:rPr>
      </w:pPr>
      <w:r w:rsidRPr="00263752">
        <w:rPr>
          <w:rFonts w:ascii="Palatino Linotype" w:eastAsia="Palatino Linotype" w:hAnsi="Palatino Linotype" w:cs="Palatino Linotype"/>
          <w:b/>
          <w:i/>
        </w:rPr>
        <w:t>293 secretaria.pdf</w:t>
      </w:r>
    </w:p>
    <w:p w14:paraId="2D241C61"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lastRenderedPageBreak/>
        <w:t xml:space="preserve">Contiene el oficio </w:t>
      </w:r>
      <w:r w:rsidRPr="00263752">
        <w:rPr>
          <w:rFonts w:ascii="Palatino Linotype" w:eastAsia="Palatino Linotype" w:hAnsi="Palatino Linotype" w:cs="Palatino Linotype"/>
          <w:i/>
        </w:rPr>
        <w:t>TLAL/SA/005/2023</w:t>
      </w:r>
      <w:r w:rsidRPr="00263752">
        <w:rPr>
          <w:rFonts w:ascii="Palatino Linotype" w:eastAsia="Palatino Linotype" w:hAnsi="Palatino Linotype" w:cs="Palatino Linotype"/>
        </w:rPr>
        <w:t xml:space="preserve"> de fecha doce de enero de dos mil veintitrés, suscrito por la Secretaría del Ayuntamiento donde se informa a la parte requirente que </w:t>
      </w:r>
      <w:r w:rsidRPr="00263752">
        <w:rPr>
          <w:rFonts w:ascii="Palatino Linotype" w:eastAsia="Palatino Linotype" w:hAnsi="Palatino Linotype" w:cs="Palatino Linotype"/>
          <w:i/>
        </w:rPr>
        <w:t>“… a la fecha del presente el área que represento a mi digno cargo no lleva convenios relacionados con lo solicitado.” (Sic)</w:t>
      </w:r>
      <w:r w:rsidRPr="00263752">
        <w:rPr>
          <w:rFonts w:ascii="Palatino Linotype" w:eastAsia="Palatino Linotype" w:hAnsi="Palatino Linotype" w:cs="Palatino Linotype"/>
        </w:rPr>
        <w:t xml:space="preserve"> </w:t>
      </w:r>
    </w:p>
    <w:p w14:paraId="5D617334" w14:textId="77777777" w:rsidR="0066753E" w:rsidRPr="00263752" w:rsidRDefault="0066753E">
      <w:pPr>
        <w:spacing w:line="360" w:lineRule="auto"/>
        <w:jc w:val="both"/>
        <w:rPr>
          <w:rFonts w:ascii="Palatino Linotype" w:eastAsia="Palatino Linotype" w:hAnsi="Palatino Linotype" w:cs="Palatino Linotype"/>
        </w:rPr>
      </w:pPr>
    </w:p>
    <w:p w14:paraId="7E8D740B" w14:textId="77777777" w:rsidR="0066753E" w:rsidRPr="00263752" w:rsidRDefault="00263752">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i/>
        </w:rPr>
      </w:pPr>
      <w:r w:rsidRPr="00263752">
        <w:rPr>
          <w:rFonts w:ascii="Palatino Linotype" w:eastAsia="Palatino Linotype" w:hAnsi="Palatino Linotype" w:cs="Palatino Linotype"/>
          <w:b/>
          <w:i/>
        </w:rPr>
        <w:t>folio 00293.pdf</w:t>
      </w:r>
    </w:p>
    <w:p w14:paraId="13A9C841"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Archivo que se compone por trescientas sesenta y seis fojas donde se aprecia la información concerniente a: </w:t>
      </w:r>
    </w:p>
    <w:p w14:paraId="73741BA2" w14:textId="77777777" w:rsidR="0066753E" w:rsidRPr="00263752" w:rsidRDefault="0066753E">
      <w:pPr>
        <w:spacing w:line="360" w:lineRule="auto"/>
        <w:jc w:val="both"/>
        <w:rPr>
          <w:rFonts w:ascii="Palatino Linotype" w:eastAsia="Palatino Linotype" w:hAnsi="Palatino Linotype" w:cs="Palatino Linotype"/>
        </w:rPr>
      </w:pPr>
    </w:p>
    <w:p w14:paraId="485514A1" w14:textId="77777777" w:rsidR="0066753E" w:rsidRPr="00263752" w:rsidRDefault="00263752">
      <w:pPr>
        <w:numPr>
          <w:ilvl w:val="1"/>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Una póliza cheque; </w:t>
      </w:r>
    </w:p>
    <w:p w14:paraId="03054B38" w14:textId="77777777" w:rsidR="0066753E" w:rsidRPr="00263752" w:rsidRDefault="00263752">
      <w:pPr>
        <w:numPr>
          <w:ilvl w:val="1"/>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Cuarenta y siete pólizas de egresos; </w:t>
      </w:r>
    </w:p>
    <w:p w14:paraId="7D2357F1" w14:textId="77777777" w:rsidR="0066753E" w:rsidRPr="00263752" w:rsidRDefault="00263752">
      <w:pPr>
        <w:numPr>
          <w:ilvl w:val="1"/>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Cincuenta y nueve Comprobantes Fiscales Digitales por Internet;</w:t>
      </w:r>
    </w:p>
    <w:p w14:paraId="4FF1A606" w14:textId="77777777" w:rsidR="0066753E" w:rsidRPr="00263752" w:rsidRDefault="00263752">
      <w:pPr>
        <w:numPr>
          <w:ilvl w:val="1"/>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Cuarenta y un contratos, de los cuales treinta y cuatro son por prestación de servicios y siete por adquisición de bienes.</w:t>
      </w:r>
    </w:p>
    <w:p w14:paraId="047B0D20" w14:textId="77777777" w:rsidR="0066753E" w:rsidRPr="00263752" w:rsidRDefault="0066753E">
      <w:pPr>
        <w:spacing w:line="360" w:lineRule="auto"/>
        <w:jc w:val="both"/>
        <w:rPr>
          <w:rFonts w:ascii="Palatino Linotype" w:eastAsia="Palatino Linotype" w:hAnsi="Palatino Linotype" w:cs="Palatino Linotype"/>
        </w:rPr>
      </w:pPr>
    </w:p>
    <w:p w14:paraId="7FB32909"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Documentos de los cuales se abordará su contenido a detalle en el Considerando respectivo de esta resolución.  </w:t>
      </w:r>
    </w:p>
    <w:p w14:paraId="173A491D" w14:textId="77777777" w:rsidR="0066753E" w:rsidRPr="00263752" w:rsidRDefault="0066753E">
      <w:pPr>
        <w:spacing w:line="360" w:lineRule="auto"/>
        <w:jc w:val="both"/>
        <w:rPr>
          <w:rFonts w:ascii="Palatino Linotype" w:eastAsia="Palatino Linotype" w:hAnsi="Palatino Linotype" w:cs="Palatino Linotype"/>
        </w:rPr>
      </w:pPr>
    </w:p>
    <w:p w14:paraId="3213A757"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b/>
          <w:sz w:val="22"/>
          <w:szCs w:val="22"/>
        </w:rPr>
        <w:t>3.</w:t>
      </w:r>
      <w:r w:rsidRPr="00263752">
        <w:rPr>
          <w:rFonts w:ascii="Palatino Linotype" w:eastAsia="Palatino Linotype" w:hAnsi="Palatino Linotype" w:cs="Palatino Linotype"/>
          <w:b/>
        </w:rPr>
        <w:t xml:space="preserve"> Interposición del recurso de revisión. </w:t>
      </w:r>
      <w:r w:rsidRPr="00263752">
        <w:rPr>
          <w:rFonts w:ascii="Palatino Linotype" w:eastAsia="Palatino Linotype" w:hAnsi="Palatino Linotype" w:cs="Palatino Linotype"/>
        </w:rPr>
        <w:t xml:space="preserve">Inconforme la entonces persona solicitante con la respuesta del </w:t>
      </w:r>
      <w:r w:rsidRPr="00263752">
        <w:rPr>
          <w:rFonts w:ascii="Palatino Linotype" w:eastAsia="Palatino Linotype" w:hAnsi="Palatino Linotype" w:cs="Palatino Linotype"/>
          <w:b/>
        </w:rPr>
        <w:t>SUJETO OBLIGADO</w:t>
      </w:r>
      <w:r w:rsidRPr="00263752">
        <w:rPr>
          <w:rFonts w:ascii="Palatino Linotype" w:eastAsia="Palatino Linotype" w:hAnsi="Palatino Linotype" w:cs="Palatino Linotype"/>
        </w:rPr>
        <w:t>, el día</w:t>
      </w:r>
      <w:r w:rsidRPr="00263752">
        <w:rPr>
          <w:rFonts w:ascii="Palatino Linotype" w:eastAsia="Palatino Linotype" w:hAnsi="Palatino Linotype" w:cs="Palatino Linotype"/>
          <w:b/>
        </w:rPr>
        <w:t xml:space="preserve"> dieciocho de enero de dos mil veintitrés,</w:t>
      </w:r>
      <w:r w:rsidRPr="00263752">
        <w:rPr>
          <w:rFonts w:ascii="Palatino Linotype" w:eastAsia="Palatino Linotype" w:hAnsi="Palatino Linotype" w:cs="Palatino Linotype"/>
        </w:rPr>
        <w:t xml:space="preserve"> interpuso el recurso de revisión a través del SAIMEX y se manifestó de la siguiente manera:</w:t>
      </w:r>
    </w:p>
    <w:p w14:paraId="37078B39" w14:textId="77777777" w:rsidR="0066753E" w:rsidRPr="00263752" w:rsidRDefault="0066753E">
      <w:pPr>
        <w:spacing w:line="360" w:lineRule="auto"/>
        <w:jc w:val="both"/>
        <w:rPr>
          <w:rFonts w:ascii="Palatino Linotype" w:eastAsia="Palatino Linotype" w:hAnsi="Palatino Linotype" w:cs="Palatino Linotype"/>
        </w:rPr>
      </w:pPr>
    </w:p>
    <w:p w14:paraId="3774E2A6" w14:textId="77777777" w:rsidR="0066753E" w:rsidRPr="00263752" w:rsidRDefault="00263752">
      <w:pPr>
        <w:tabs>
          <w:tab w:val="left" w:pos="2745"/>
        </w:tabs>
        <w:spacing w:line="360" w:lineRule="auto"/>
        <w:jc w:val="both"/>
        <w:rPr>
          <w:rFonts w:ascii="Palatino Linotype" w:eastAsia="Palatino Linotype" w:hAnsi="Palatino Linotype" w:cs="Palatino Linotype"/>
          <w:b/>
        </w:rPr>
      </w:pPr>
      <w:r w:rsidRPr="00263752">
        <w:rPr>
          <w:rFonts w:ascii="Palatino Linotype" w:eastAsia="Palatino Linotype" w:hAnsi="Palatino Linotype" w:cs="Palatino Linotype"/>
          <w:b/>
        </w:rPr>
        <w:t xml:space="preserve">Acto impugnado: </w:t>
      </w:r>
    </w:p>
    <w:p w14:paraId="1A27C516" w14:textId="77777777" w:rsidR="0066753E" w:rsidRPr="00263752" w:rsidRDefault="0066753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2C09B1D"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 xml:space="preserve">“Con fundamento en </w:t>
      </w:r>
      <w:proofErr w:type="gramStart"/>
      <w:r w:rsidRPr="00263752">
        <w:rPr>
          <w:rFonts w:ascii="Palatino Linotype" w:eastAsia="Palatino Linotype" w:hAnsi="Palatino Linotype" w:cs="Palatino Linotype"/>
          <w:i/>
          <w:sz w:val="22"/>
          <w:szCs w:val="22"/>
        </w:rPr>
        <w:t>el artículos</w:t>
      </w:r>
      <w:proofErr w:type="gramEnd"/>
      <w:r w:rsidRPr="00263752">
        <w:rPr>
          <w:rFonts w:ascii="Palatino Linotype" w:eastAsia="Palatino Linotype" w:hAnsi="Palatino Linotype" w:cs="Palatino Linotype"/>
          <w:i/>
          <w:sz w:val="22"/>
          <w:szCs w:val="22"/>
        </w:rPr>
        <w:t xml:space="preserve"> 176, 178 y 179 Fracciones I, II, III, IV y V de la Ley de Transparencia y Acceso a la Información Pública del Estado de México y Municipios, hago referencia la respuesta a mi solicitud que no cumplen con lo solicitado. Entregan información hasta el mes de septiembre 2022 y no hasta el mes de diciembre como lo solicite” (Sic) </w:t>
      </w:r>
    </w:p>
    <w:p w14:paraId="320B4AE7" w14:textId="77777777" w:rsidR="0066753E" w:rsidRPr="00263752" w:rsidRDefault="0066753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6454F91"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b/>
        </w:rPr>
        <w:t>Razones o motivos de inconformidad</w:t>
      </w:r>
      <w:r w:rsidRPr="00263752">
        <w:rPr>
          <w:rFonts w:ascii="Palatino Linotype" w:eastAsia="Palatino Linotype" w:hAnsi="Palatino Linotype" w:cs="Palatino Linotype"/>
        </w:rPr>
        <w:t>:</w:t>
      </w:r>
    </w:p>
    <w:p w14:paraId="5C0A61BD" w14:textId="77777777" w:rsidR="0066753E" w:rsidRPr="00263752" w:rsidRDefault="0066753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5547770"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bookmarkStart w:id="2" w:name="_heading=h.30j0zll" w:colFirst="0" w:colLast="0"/>
      <w:bookmarkEnd w:id="2"/>
      <w:r w:rsidRPr="00263752">
        <w:rPr>
          <w:rFonts w:ascii="Palatino Linotype" w:eastAsia="Palatino Linotype" w:hAnsi="Palatino Linotype" w:cs="Palatino Linotype"/>
          <w:i/>
          <w:sz w:val="22"/>
          <w:szCs w:val="22"/>
        </w:rPr>
        <w:t xml:space="preserve">“Con fundamento en </w:t>
      </w:r>
      <w:proofErr w:type="gramStart"/>
      <w:r w:rsidRPr="00263752">
        <w:rPr>
          <w:rFonts w:ascii="Palatino Linotype" w:eastAsia="Palatino Linotype" w:hAnsi="Palatino Linotype" w:cs="Palatino Linotype"/>
          <w:i/>
          <w:sz w:val="22"/>
          <w:szCs w:val="22"/>
        </w:rPr>
        <w:t>el artículos</w:t>
      </w:r>
      <w:proofErr w:type="gramEnd"/>
      <w:r w:rsidRPr="00263752">
        <w:rPr>
          <w:rFonts w:ascii="Palatino Linotype" w:eastAsia="Palatino Linotype" w:hAnsi="Palatino Linotype" w:cs="Palatino Linotype"/>
          <w:i/>
          <w:sz w:val="22"/>
          <w:szCs w:val="22"/>
        </w:rPr>
        <w:t xml:space="preserve"> 176, 178 y 179 Fracciones I, II, III, IV y V de la Ley de Transparencia y Acceso a la Información Pública del Estado de México y Municipios, hago referencia la respuesta a mi solicitud que no cumplen con lo solicitado. Entregan información hasta el mes de septiembre 2022 y no hasta el mes de diciembre como lo solicite” (Sic) </w:t>
      </w:r>
    </w:p>
    <w:p w14:paraId="6476CD1E" w14:textId="77777777" w:rsidR="0066753E" w:rsidRPr="00263752" w:rsidRDefault="0066753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3CA7D20A" w14:textId="77777777" w:rsidR="0066753E" w:rsidRPr="00263752" w:rsidRDefault="00263752">
      <w:pPr>
        <w:spacing w:line="360" w:lineRule="auto"/>
        <w:ind w:right="51"/>
        <w:jc w:val="both"/>
        <w:rPr>
          <w:rFonts w:ascii="Palatino Linotype" w:eastAsia="Palatino Linotype" w:hAnsi="Palatino Linotype" w:cs="Palatino Linotype"/>
        </w:rPr>
      </w:pPr>
      <w:r w:rsidRPr="00263752">
        <w:rPr>
          <w:rFonts w:ascii="Palatino Linotype" w:eastAsia="Palatino Linotype" w:hAnsi="Palatino Linotype" w:cs="Palatino Linotype"/>
          <w:b/>
        </w:rPr>
        <w:t xml:space="preserve">4. Turno. </w:t>
      </w:r>
      <w:r w:rsidRPr="00263752">
        <w:rPr>
          <w:rFonts w:ascii="Palatino Linotype" w:eastAsia="Palatino Linotype" w:hAnsi="Palatino Linotype" w:cs="Palatino Linotype"/>
        </w:rPr>
        <w:t xml:space="preserve">De conformidad con el artículo 185 fracción I de la Ley de Transparencia, el presente recurso de revisión se turnó por el sistema electrónico de este Instituto, a la </w:t>
      </w:r>
      <w:r w:rsidRPr="00263752">
        <w:rPr>
          <w:rFonts w:ascii="Palatino Linotype" w:eastAsia="Palatino Linotype" w:hAnsi="Palatino Linotype" w:cs="Palatino Linotype"/>
          <w:b/>
        </w:rPr>
        <w:t xml:space="preserve">Comisionada Guadalupe Ramírez Peña, </w:t>
      </w:r>
      <w:r w:rsidRPr="00263752">
        <w:rPr>
          <w:rFonts w:ascii="Palatino Linotype" w:eastAsia="Palatino Linotype" w:hAnsi="Palatino Linotype" w:cs="Palatino Linotype"/>
        </w:rPr>
        <w:t xml:space="preserve">a efecto de que analizara sobre su admisión o su </w:t>
      </w:r>
      <w:proofErr w:type="spellStart"/>
      <w:r w:rsidRPr="00263752">
        <w:rPr>
          <w:rFonts w:ascii="Palatino Linotype" w:eastAsia="Palatino Linotype" w:hAnsi="Palatino Linotype" w:cs="Palatino Linotype"/>
        </w:rPr>
        <w:t>desechamiento</w:t>
      </w:r>
      <w:proofErr w:type="spellEnd"/>
      <w:r w:rsidRPr="00263752">
        <w:rPr>
          <w:rFonts w:ascii="Palatino Linotype" w:eastAsia="Palatino Linotype" w:hAnsi="Palatino Linotype" w:cs="Palatino Linotype"/>
        </w:rPr>
        <w:t>.</w:t>
      </w:r>
    </w:p>
    <w:p w14:paraId="0D3190D1" w14:textId="77777777" w:rsidR="0066753E" w:rsidRPr="00263752" w:rsidRDefault="0066753E">
      <w:pPr>
        <w:spacing w:line="360" w:lineRule="auto"/>
        <w:ind w:right="51"/>
        <w:jc w:val="both"/>
        <w:rPr>
          <w:rFonts w:ascii="Palatino Linotype" w:eastAsia="Palatino Linotype" w:hAnsi="Palatino Linotype" w:cs="Palatino Linotype"/>
        </w:rPr>
      </w:pPr>
    </w:p>
    <w:p w14:paraId="418D6AD5"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b/>
        </w:rPr>
        <w:t>5. Admisión del Recurso de revisión.</w:t>
      </w:r>
      <w:r w:rsidRPr="00263752">
        <w:rPr>
          <w:rFonts w:ascii="Palatino Linotype" w:eastAsia="Palatino Linotype" w:hAnsi="Palatino Linotype" w:cs="Palatino Linotype"/>
        </w:rPr>
        <w:t xml:space="preserve"> El</w:t>
      </w:r>
      <w:r w:rsidRPr="00263752">
        <w:rPr>
          <w:rFonts w:ascii="Palatino Linotype" w:eastAsia="Palatino Linotype" w:hAnsi="Palatino Linotype" w:cs="Palatino Linotype"/>
          <w:b/>
        </w:rPr>
        <w:t xml:space="preserve"> veintitrés de enero de dos mil veintitrés, </w:t>
      </w:r>
      <w:r w:rsidRPr="00263752">
        <w:rPr>
          <w:rFonts w:ascii="Palatino Linotype" w:eastAsia="Palatino Linotype" w:hAnsi="Palatino Linotype" w:cs="Palatino Linotype"/>
        </w:rPr>
        <w:t xml:space="preserve">este Instituto de Transparencia, admitió a trámite el recurso de revisión que ahora se resuelve, dando un plazo máximo de siete días hábiles para que las partes manifestaran lo que a su derecho resultara conveniente, ofrecieran pruebas, formularan alegatos y </w:t>
      </w:r>
      <w:r w:rsidRPr="00263752">
        <w:rPr>
          <w:rFonts w:ascii="Palatino Linotype" w:eastAsia="Palatino Linotype" w:hAnsi="Palatino Linotype" w:cs="Palatino Linotype"/>
          <w:b/>
        </w:rPr>
        <w:t xml:space="preserve">EL SUJETO OBLIGADO </w:t>
      </w:r>
      <w:r w:rsidRPr="00263752">
        <w:rPr>
          <w:rFonts w:ascii="Palatino Linotype" w:eastAsia="Palatino Linotype" w:hAnsi="Palatino Linotype" w:cs="Palatino Linotype"/>
        </w:rPr>
        <w:t>presentara su Informe Justificado.</w:t>
      </w:r>
    </w:p>
    <w:p w14:paraId="69483D1A" w14:textId="77777777" w:rsidR="0066753E" w:rsidRPr="00263752" w:rsidRDefault="0066753E">
      <w:pPr>
        <w:spacing w:line="360" w:lineRule="auto"/>
        <w:jc w:val="both"/>
        <w:rPr>
          <w:rFonts w:ascii="Palatino Linotype" w:eastAsia="Palatino Linotype" w:hAnsi="Palatino Linotype" w:cs="Palatino Linotype"/>
          <w:b/>
        </w:rPr>
      </w:pPr>
    </w:p>
    <w:p w14:paraId="135CF27A" w14:textId="77777777" w:rsidR="0066753E" w:rsidRPr="00263752" w:rsidRDefault="00263752">
      <w:pPr>
        <w:spacing w:line="360" w:lineRule="auto"/>
        <w:ind w:right="49"/>
        <w:jc w:val="both"/>
        <w:rPr>
          <w:rFonts w:ascii="Palatino Linotype" w:eastAsia="Palatino Linotype" w:hAnsi="Palatino Linotype" w:cs="Palatino Linotype"/>
        </w:rPr>
      </w:pPr>
      <w:bookmarkStart w:id="3" w:name="_heading=h.2s8eyo1" w:colFirst="0" w:colLast="0"/>
      <w:bookmarkEnd w:id="3"/>
      <w:r w:rsidRPr="00263752">
        <w:rPr>
          <w:rFonts w:ascii="Palatino Linotype" w:eastAsia="Palatino Linotype" w:hAnsi="Palatino Linotype" w:cs="Palatino Linotype"/>
          <w:b/>
        </w:rPr>
        <w:t>6. Manifestaciones</w:t>
      </w:r>
      <w:r w:rsidRPr="00263752">
        <w:rPr>
          <w:rFonts w:ascii="Palatino Linotype" w:eastAsia="Palatino Linotype" w:hAnsi="Palatino Linotype" w:cs="Palatino Linotype"/>
        </w:rPr>
        <w:t xml:space="preserve">. De las constancias que integran el expediente electrónico en que se actúa se advierte que </w:t>
      </w:r>
      <w:r w:rsidRPr="00263752">
        <w:rPr>
          <w:rFonts w:ascii="Palatino Linotype" w:eastAsia="Palatino Linotype" w:hAnsi="Palatino Linotype" w:cs="Palatino Linotype"/>
          <w:b/>
        </w:rPr>
        <w:t>LA PARTE RECURRENTE</w:t>
      </w:r>
      <w:r w:rsidRPr="00263752">
        <w:rPr>
          <w:rFonts w:ascii="Palatino Linotype" w:eastAsia="Palatino Linotype" w:hAnsi="Palatino Linotype" w:cs="Palatino Linotype"/>
        </w:rPr>
        <w:t xml:space="preserve"> dejó de manifestar lo que a su derecho resultara conveniente, al igual que </w:t>
      </w:r>
      <w:r w:rsidRPr="00263752">
        <w:rPr>
          <w:rFonts w:ascii="Palatino Linotype" w:eastAsia="Palatino Linotype" w:hAnsi="Palatino Linotype" w:cs="Palatino Linotype"/>
          <w:b/>
        </w:rPr>
        <w:t>EL SUJETO OBLIGADO</w:t>
      </w:r>
      <w:r w:rsidRPr="00263752">
        <w:rPr>
          <w:rFonts w:ascii="Palatino Linotype" w:eastAsia="Palatino Linotype" w:hAnsi="Palatino Linotype" w:cs="Palatino Linotype"/>
        </w:rPr>
        <w:t xml:space="preserve"> omitió remitir su Informe Justificado, tal y como se aprecia en la imagen que se adjunta: </w:t>
      </w:r>
    </w:p>
    <w:p w14:paraId="6FCEF89A" w14:textId="77777777" w:rsidR="0066753E" w:rsidRPr="00263752" w:rsidRDefault="0066753E">
      <w:pPr>
        <w:spacing w:line="360" w:lineRule="auto"/>
        <w:ind w:right="49"/>
        <w:jc w:val="center"/>
      </w:pPr>
    </w:p>
    <w:p w14:paraId="72241451" w14:textId="77777777" w:rsidR="0066753E" w:rsidRPr="00263752" w:rsidRDefault="00263752">
      <w:pPr>
        <w:spacing w:line="360" w:lineRule="auto"/>
        <w:ind w:right="49"/>
        <w:jc w:val="center"/>
        <w:rPr>
          <w:rFonts w:ascii="Palatino Linotype" w:eastAsia="Palatino Linotype" w:hAnsi="Palatino Linotype" w:cs="Palatino Linotype"/>
        </w:rPr>
      </w:pPr>
      <w:r w:rsidRPr="00263752">
        <w:rPr>
          <w:noProof/>
        </w:rPr>
        <w:drawing>
          <wp:inline distT="0" distB="0" distL="0" distR="0" wp14:anchorId="30087CB1" wp14:editId="50A46FD0">
            <wp:extent cx="4467225" cy="1066800"/>
            <wp:effectExtent l="0" t="0" r="0" b="0"/>
            <wp:docPr id="56396808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l="6789" t="20519" r="13610" b="45685"/>
                    <a:stretch>
                      <a:fillRect/>
                    </a:stretch>
                  </pic:blipFill>
                  <pic:spPr>
                    <a:xfrm>
                      <a:off x="0" y="0"/>
                      <a:ext cx="4467225" cy="1066800"/>
                    </a:xfrm>
                    <a:prstGeom prst="rect">
                      <a:avLst/>
                    </a:prstGeom>
                    <a:ln/>
                  </pic:spPr>
                </pic:pic>
              </a:graphicData>
            </a:graphic>
          </wp:inline>
        </w:drawing>
      </w:r>
    </w:p>
    <w:p w14:paraId="6D2C68AD" w14:textId="77777777" w:rsidR="0066753E" w:rsidRPr="00263752" w:rsidRDefault="0066753E">
      <w:pPr>
        <w:spacing w:line="360" w:lineRule="auto"/>
        <w:ind w:right="49"/>
        <w:jc w:val="center"/>
        <w:rPr>
          <w:rFonts w:ascii="Palatino Linotype" w:eastAsia="Palatino Linotype" w:hAnsi="Palatino Linotype" w:cs="Palatino Linotype"/>
        </w:rPr>
      </w:pPr>
    </w:p>
    <w:p w14:paraId="5BB89B6C" w14:textId="77777777" w:rsidR="0066753E" w:rsidRPr="00263752" w:rsidRDefault="00263752">
      <w:pPr>
        <w:widowControl w:val="0"/>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b/>
        </w:rPr>
        <w:t>7. Ampliación del plazo para emitir resolución.</w:t>
      </w:r>
      <w:r w:rsidRPr="00263752">
        <w:rPr>
          <w:rFonts w:ascii="Palatino Linotype" w:eastAsia="Palatino Linotype" w:hAnsi="Palatino Linotype" w:cs="Palatino Linotype"/>
        </w:rPr>
        <w:t xml:space="preserve"> El </w:t>
      </w:r>
      <w:r w:rsidRPr="00263752">
        <w:rPr>
          <w:rFonts w:ascii="Palatino Linotype" w:eastAsia="Palatino Linotype" w:hAnsi="Palatino Linotype" w:cs="Palatino Linotype"/>
          <w:b/>
        </w:rPr>
        <w:t>cuatro de julio de dos mil veintitrés,</w:t>
      </w:r>
      <w:r w:rsidRPr="00263752">
        <w:rPr>
          <w:rFonts w:ascii="Palatino Linotype" w:eastAsia="Palatino Linotype" w:hAnsi="Palatino Linotype" w:cs="Palatino Linotype"/>
        </w:rPr>
        <w:t xml:space="preserve"> el Instituto de Transparencia, Acceso a la Información Pública y Protección de Datos Personales del Estado de México y Municipios, con fundamento en el artículo 181, párrafo tercero, de la Ley de Transparencia y Acceso a la Información Pública del Estado de México y Municipios, determinó ampliar por quince días hábiles el plazo para emitir la presente resolución.</w:t>
      </w:r>
    </w:p>
    <w:p w14:paraId="542F71B3" w14:textId="77777777" w:rsidR="0066753E" w:rsidRPr="00263752" w:rsidRDefault="0066753E">
      <w:pPr>
        <w:spacing w:line="360" w:lineRule="auto"/>
        <w:jc w:val="both"/>
        <w:rPr>
          <w:rFonts w:ascii="Palatino Linotype" w:eastAsia="Palatino Linotype" w:hAnsi="Palatino Linotype" w:cs="Palatino Linotype"/>
        </w:rPr>
      </w:pPr>
    </w:p>
    <w:p w14:paraId="3B29B658"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b/>
        </w:rPr>
        <w:t xml:space="preserve">8. Cierre de instrucción. </w:t>
      </w:r>
      <w:r w:rsidRPr="00263752">
        <w:rPr>
          <w:rFonts w:ascii="Palatino Linotype" w:eastAsia="Palatino Linotype" w:hAnsi="Palatino Linotype" w:cs="Palatino Linotype"/>
        </w:rPr>
        <w:t>Una vez transcurrido el periodo otorgado a las partes para realizar sus manifestaciones y no habiendo documentos que integrar al expediente, con fecha</w:t>
      </w:r>
      <w:r w:rsidRPr="00263752">
        <w:rPr>
          <w:rFonts w:ascii="Palatino Linotype" w:eastAsia="Palatino Linotype" w:hAnsi="Palatino Linotype" w:cs="Palatino Linotype"/>
          <w:b/>
        </w:rPr>
        <w:t xml:space="preserve"> seis de julio de dos mil veintitrés</w:t>
      </w:r>
      <w:r w:rsidRPr="00263752">
        <w:rPr>
          <w:rFonts w:ascii="Palatino Linotype" w:eastAsia="Palatino Linotype" w:hAnsi="Palatino Linotype" w:cs="Palatino Linotype"/>
        </w:rPr>
        <w:t xml:space="preserve">, la </w:t>
      </w:r>
      <w:r w:rsidRPr="00263752">
        <w:rPr>
          <w:rFonts w:ascii="Palatino Linotype" w:eastAsia="Palatino Linotype" w:hAnsi="Palatino Linotype" w:cs="Palatino Linotype"/>
          <w:b/>
        </w:rPr>
        <w:t>Comisionada Ponente</w:t>
      </w:r>
      <w:r w:rsidRPr="00263752">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14:paraId="4A453166" w14:textId="77777777" w:rsidR="0066753E" w:rsidRPr="00263752" w:rsidRDefault="0066753E">
      <w:pPr>
        <w:spacing w:line="360" w:lineRule="auto"/>
        <w:jc w:val="both"/>
        <w:rPr>
          <w:rFonts w:ascii="Palatino Linotype" w:eastAsia="Palatino Linotype" w:hAnsi="Palatino Linotype" w:cs="Palatino Linotype"/>
          <w:b/>
        </w:rPr>
      </w:pPr>
    </w:p>
    <w:p w14:paraId="5B84F151"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y</w:t>
      </w:r>
    </w:p>
    <w:p w14:paraId="162A9369" w14:textId="77777777" w:rsidR="0066753E" w:rsidRPr="00263752" w:rsidRDefault="0066753E">
      <w:pPr>
        <w:spacing w:line="360" w:lineRule="auto"/>
        <w:jc w:val="both"/>
        <w:rPr>
          <w:rFonts w:ascii="Palatino Linotype" w:eastAsia="Palatino Linotype" w:hAnsi="Palatino Linotype" w:cs="Palatino Linotype"/>
          <w:sz w:val="22"/>
          <w:szCs w:val="22"/>
        </w:rPr>
      </w:pPr>
    </w:p>
    <w:p w14:paraId="7A65D498" w14:textId="77777777" w:rsidR="0066753E" w:rsidRPr="00263752" w:rsidRDefault="0066753E">
      <w:pPr>
        <w:spacing w:line="360" w:lineRule="auto"/>
        <w:jc w:val="both"/>
        <w:rPr>
          <w:rFonts w:ascii="Palatino Linotype" w:eastAsia="Palatino Linotype" w:hAnsi="Palatino Linotype" w:cs="Palatino Linotype"/>
          <w:sz w:val="22"/>
          <w:szCs w:val="22"/>
        </w:rPr>
      </w:pPr>
    </w:p>
    <w:p w14:paraId="2F99C6ED" w14:textId="77777777" w:rsidR="0066753E" w:rsidRPr="00263752" w:rsidRDefault="0066753E">
      <w:pPr>
        <w:spacing w:line="360" w:lineRule="auto"/>
        <w:jc w:val="both"/>
        <w:rPr>
          <w:rFonts w:ascii="Palatino Linotype" w:eastAsia="Palatino Linotype" w:hAnsi="Palatino Linotype" w:cs="Palatino Linotype"/>
          <w:sz w:val="22"/>
          <w:szCs w:val="22"/>
        </w:rPr>
      </w:pPr>
    </w:p>
    <w:p w14:paraId="397147BE" w14:textId="77777777" w:rsidR="0066753E" w:rsidRPr="00263752" w:rsidRDefault="0066753E">
      <w:pPr>
        <w:spacing w:line="360" w:lineRule="auto"/>
        <w:jc w:val="both"/>
        <w:rPr>
          <w:rFonts w:ascii="Palatino Linotype" w:eastAsia="Palatino Linotype" w:hAnsi="Palatino Linotype" w:cs="Palatino Linotype"/>
          <w:sz w:val="22"/>
          <w:szCs w:val="22"/>
        </w:rPr>
      </w:pPr>
    </w:p>
    <w:p w14:paraId="49DA0F1A" w14:textId="77777777" w:rsidR="0066753E" w:rsidRPr="00263752" w:rsidRDefault="00263752">
      <w:pPr>
        <w:widowControl w:val="0"/>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rPr>
      </w:pPr>
      <w:r w:rsidRPr="00263752">
        <w:rPr>
          <w:rFonts w:ascii="Palatino Linotype" w:eastAsia="Palatino Linotype" w:hAnsi="Palatino Linotype" w:cs="Palatino Linotype"/>
          <w:b/>
        </w:rPr>
        <w:t>C O N S I D E R A N D O:</w:t>
      </w:r>
    </w:p>
    <w:p w14:paraId="4D82326F" w14:textId="77777777" w:rsidR="0066753E" w:rsidRPr="00263752" w:rsidRDefault="0066753E">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14:paraId="16D5ABF0"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b/>
        </w:rPr>
        <w:t>PRIMERO. COMPETENCIA.</w:t>
      </w:r>
      <w:r w:rsidRPr="0026375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263752">
        <w:rPr>
          <w:rFonts w:ascii="Palatino Linotype" w:eastAsia="Palatino Linotype" w:hAnsi="Palatino Linotype" w:cs="Palatino Linotype"/>
          <w:b/>
        </w:rPr>
        <w:t>LA PARTE RECURRENTE</w:t>
      </w:r>
      <w:r w:rsidRPr="00263752">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E31C0F9" w14:textId="77777777" w:rsidR="0066753E" w:rsidRPr="00263752" w:rsidRDefault="0066753E">
      <w:pPr>
        <w:spacing w:line="360" w:lineRule="auto"/>
        <w:jc w:val="both"/>
        <w:rPr>
          <w:rFonts w:ascii="Palatino Linotype" w:eastAsia="Palatino Linotype" w:hAnsi="Palatino Linotype" w:cs="Palatino Linotype"/>
        </w:rPr>
      </w:pPr>
    </w:p>
    <w:p w14:paraId="75C4DF6E"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b/>
        </w:rPr>
        <w:t>SEGUNDO. OPORTUNIDAD Y PROCEDIBILIDAD DEL RECURSO DE REVISIÓN</w:t>
      </w:r>
      <w:r w:rsidRPr="00263752">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CBC6A09" w14:textId="77777777" w:rsidR="0066753E" w:rsidRPr="00263752" w:rsidRDefault="0066753E">
      <w:pPr>
        <w:spacing w:line="360" w:lineRule="auto"/>
        <w:jc w:val="both"/>
        <w:rPr>
          <w:rFonts w:ascii="Palatino Linotype" w:eastAsia="Palatino Linotype" w:hAnsi="Palatino Linotype" w:cs="Palatino Linotype"/>
        </w:rPr>
      </w:pPr>
    </w:p>
    <w:p w14:paraId="033CA47A"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sidRPr="00263752">
        <w:rPr>
          <w:rFonts w:ascii="Palatino Linotype" w:eastAsia="Palatino Linotype" w:hAnsi="Palatino Linotype" w:cs="Palatino Linotype"/>
          <w:b/>
        </w:rPr>
        <w:t xml:space="preserve">EL SUJETO </w:t>
      </w:r>
      <w:r w:rsidRPr="00263752">
        <w:rPr>
          <w:rFonts w:ascii="Palatino Linotype" w:eastAsia="Palatino Linotype" w:hAnsi="Palatino Linotype" w:cs="Palatino Linotype"/>
          <w:b/>
        </w:rPr>
        <w:lastRenderedPageBreak/>
        <w:t>OBLIGADO</w:t>
      </w:r>
      <w:r w:rsidRPr="00263752">
        <w:rPr>
          <w:rFonts w:ascii="Palatino Linotype" w:eastAsia="Palatino Linotype" w:hAnsi="Palatino Linotype" w:cs="Palatino Linotype"/>
        </w:rPr>
        <w:t xml:space="preserve"> respondió a la solicitud de información el </w:t>
      </w:r>
      <w:r w:rsidRPr="00263752">
        <w:rPr>
          <w:rFonts w:ascii="Palatino Linotype" w:eastAsia="Palatino Linotype" w:hAnsi="Palatino Linotype" w:cs="Palatino Linotype"/>
          <w:b/>
        </w:rPr>
        <w:t xml:space="preserve">trece de enero de dos mil veintitrés, </w:t>
      </w:r>
      <w:r w:rsidRPr="00263752">
        <w:rPr>
          <w:rFonts w:ascii="Palatino Linotype" w:eastAsia="Palatino Linotype" w:hAnsi="Palatino Linotype" w:cs="Palatino Linotype"/>
        </w:rPr>
        <w:t xml:space="preserve">mientras que el recurso de revisión se interpuso el </w:t>
      </w:r>
      <w:r w:rsidRPr="00263752">
        <w:rPr>
          <w:rFonts w:ascii="Palatino Linotype" w:eastAsia="Palatino Linotype" w:hAnsi="Palatino Linotype" w:cs="Palatino Linotype"/>
          <w:b/>
        </w:rPr>
        <w:t>dieciocho de enero de dos mil veintitrés</w:t>
      </w:r>
      <w:r w:rsidRPr="00263752">
        <w:rPr>
          <w:rFonts w:ascii="Palatino Linotype" w:eastAsia="Palatino Linotype" w:hAnsi="Palatino Linotype" w:cs="Palatino Linotype"/>
        </w:rPr>
        <w:t xml:space="preserve">, esto es, al </w:t>
      </w:r>
      <w:r w:rsidRPr="00263752">
        <w:rPr>
          <w:rFonts w:ascii="Palatino Linotype" w:eastAsia="Palatino Linotype" w:hAnsi="Palatino Linotype" w:cs="Palatino Linotype"/>
          <w:b/>
        </w:rPr>
        <w:t>tercer día hábil</w:t>
      </w:r>
      <w:r w:rsidRPr="00263752">
        <w:rPr>
          <w:rFonts w:ascii="Palatino Linotype" w:eastAsia="Palatino Linotype" w:hAnsi="Palatino Linotype" w:cs="Palatino Linotype"/>
        </w:rPr>
        <w:t xml:space="preserve"> posterior en que tuvo conocimiento de la respuesta impugnada.</w:t>
      </w:r>
    </w:p>
    <w:p w14:paraId="487EA18E" w14:textId="77777777" w:rsidR="0066753E" w:rsidRPr="00263752" w:rsidRDefault="0066753E">
      <w:pPr>
        <w:spacing w:line="360" w:lineRule="auto"/>
        <w:jc w:val="both"/>
        <w:rPr>
          <w:rFonts w:ascii="Palatino Linotype" w:eastAsia="Palatino Linotype" w:hAnsi="Palatino Linotype" w:cs="Palatino Linotype"/>
        </w:rPr>
      </w:pPr>
    </w:p>
    <w:p w14:paraId="3D089822"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Asimismo, por cuanto hace a la procedibilidad del recurso de revisión, es de suma importancia señalar </w:t>
      </w:r>
      <w:proofErr w:type="gramStart"/>
      <w:r w:rsidRPr="00263752">
        <w:rPr>
          <w:rFonts w:ascii="Palatino Linotype" w:eastAsia="Palatino Linotype" w:hAnsi="Palatino Linotype" w:cs="Palatino Linotype"/>
        </w:rPr>
        <w:t>que</w:t>
      </w:r>
      <w:proofErr w:type="gramEnd"/>
      <w:r w:rsidRPr="00263752">
        <w:rPr>
          <w:rFonts w:ascii="Palatino Linotype" w:eastAsia="Palatino Linotype" w:hAnsi="Palatino Linotype" w:cs="Palatino Linotype"/>
        </w:rPr>
        <w:t xml:space="preserve">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DC12F24" w14:textId="77777777" w:rsidR="0066753E" w:rsidRPr="00263752" w:rsidRDefault="0066753E">
      <w:pPr>
        <w:spacing w:line="360" w:lineRule="auto"/>
        <w:jc w:val="both"/>
        <w:rPr>
          <w:rFonts w:ascii="Palatino Linotype" w:eastAsia="Palatino Linotype" w:hAnsi="Palatino Linotype" w:cs="Palatino Linotype"/>
        </w:rPr>
      </w:pPr>
    </w:p>
    <w:p w14:paraId="473A22F0"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Finalmente, se advierte que resulta procedente la interposición del recurso, según lo manifestado por el recurrente en sus motivos de inconformidad, de acuerdo a la fracción V del artículo 179 del ordenamiento legal citado, que a la letra dice: </w:t>
      </w:r>
    </w:p>
    <w:p w14:paraId="1C5B2722" w14:textId="77777777" w:rsidR="0066753E" w:rsidRPr="00263752" w:rsidRDefault="0066753E">
      <w:pPr>
        <w:jc w:val="both"/>
        <w:rPr>
          <w:rFonts w:ascii="Palatino Linotype" w:eastAsia="Palatino Linotype" w:hAnsi="Palatino Linotype" w:cs="Palatino Linotype"/>
        </w:rPr>
      </w:pPr>
    </w:p>
    <w:p w14:paraId="6FF903F0"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Artículo 179.</w:t>
      </w:r>
      <w:r w:rsidRPr="00263752">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F18FE0E"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263752">
        <w:rPr>
          <w:rFonts w:ascii="Palatino Linotype" w:eastAsia="Palatino Linotype" w:hAnsi="Palatino Linotype" w:cs="Palatino Linotype"/>
          <w:b/>
          <w:i/>
          <w:sz w:val="22"/>
          <w:szCs w:val="22"/>
        </w:rPr>
        <w:t>(…)</w:t>
      </w:r>
    </w:p>
    <w:p w14:paraId="3CD74045"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263752">
        <w:rPr>
          <w:rFonts w:ascii="Palatino Linotype" w:eastAsia="Palatino Linotype" w:hAnsi="Palatino Linotype" w:cs="Palatino Linotype"/>
          <w:b/>
          <w:i/>
          <w:sz w:val="22"/>
          <w:szCs w:val="22"/>
        </w:rPr>
        <w:t>V. La entrega de información incompleta;</w:t>
      </w:r>
    </w:p>
    <w:p w14:paraId="28C96119"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263752">
        <w:rPr>
          <w:rFonts w:ascii="Palatino Linotype" w:eastAsia="Palatino Linotype" w:hAnsi="Palatino Linotype" w:cs="Palatino Linotype"/>
          <w:b/>
          <w:i/>
          <w:sz w:val="22"/>
          <w:szCs w:val="22"/>
        </w:rPr>
        <w:t>(…)</w:t>
      </w:r>
    </w:p>
    <w:p w14:paraId="509EC13D" w14:textId="77777777" w:rsidR="0066753E" w:rsidRPr="00263752" w:rsidRDefault="0066753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5683419"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b/>
        </w:rPr>
        <w:t xml:space="preserve">TERCERO. MATERIA DE LA REVISIÓN. </w:t>
      </w:r>
      <w:r w:rsidRPr="00263752">
        <w:rPr>
          <w:rFonts w:ascii="Palatino Linotype" w:eastAsia="Palatino Linotype" w:hAnsi="Palatino Linotype" w:cs="Palatino Linotype"/>
        </w:rPr>
        <w:t>De la revisión a las constancias y documentos que obran en el expediente electrónico se advierte, que el tema sobre el que este Órgano Garante de Transparencia y Acceso a la Información se pronunciará será: verificar si la respuesta otorgada por</w:t>
      </w:r>
      <w:r w:rsidRPr="00263752">
        <w:rPr>
          <w:rFonts w:ascii="Palatino Linotype" w:eastAsia="Palatino Linotype" w:hAnsi="Palatino Linotype" w:cs="Palatino Linotype"/>
          <w:b/>
        </w:rPr>
        <w:t xml:space="preserve"> EL SUJETO OBLIGADO </w:t>
      </w:r>
      <w:r w:rsidRPr="00263752">
        <w:rPr>
          <w:rFonts w:ascii="Palatino Linotype" w:eastAsia="Palatino Linotype" w:hAnsi="Palatino Linotype" w:cs="Palatino Linotype"/>
        </w:rPr>
        <w:t xml:space="preserve">es adecuada y </w:t>
      </w:r>
      <w:r w:rsidRPr="00263752">
        <w:rPr>
          <w:rFonts w:ascii="Palatino Linotype" w:eastAsia="Palatino Linotype" w:hAnsi="Palatino Linotype" w:cs="Palatino Linotype"/>
        </w:rPr>
        <w:lastRenderedPageBreak/>
        <w:t>suficiente para satisfacer el Derecho de Acceso a la Información Pública</w:t>
      </w:r>
      <w:r w:rsidRPr="00263752">
        <w:rPr>
          <w:rFonts w:ascii="Palatino Linotype" w:eastAsia="Palatino Linotype" w:hAnsi="Palatino Linotype" w:cs="Palatino Linotype"/>
          <w:b/>
        </w:rPr>
        <w:t xml:space="preserve"> </w:t>
      </w:r>
      <w:r w:rsidRPr="00263752">
        <w:rPr>
          <w:rFonts w:ascii="Palatino Linotype" w:eastAsia="Palatino Linotype" w:hAnsi="Palatino Linotype" w:cs="Palatino Linotype"/>
        </w:rPr>
        <w:t xml:space="preserve">de </w:t>
      </w:r>
      <w:r w:rsidRPr="00263752">
        <w:rPr>
          <w:rFonts w:ascii="Palatino Linotype" w:eastAsia="Palatino Linotype" w:hAnsi="Palatino Linotype" w:cs="Palatino Linotype"/>
          <w:b/>
        </w:rPr>
        <w:t>LA PARTE RECURRENTE,</w:t>
      </w:r>
      <w:r w:rsidRPr="00263752">
        <w:rPr>
          <w:rFonts w:ascii="Palatino Linotype" w:eastAsia="Palatino Linotype" w:hAnsi="Palatino Linotype" w:cs="Palatino Linotype"/>
        </w:rPr>
        <w:t xml:space="preserve"> o en su defecto, en caso de ser procedente, ordenar la entrega de información.</w:t>
      </w:r>
    </w:p>
    <w:p w14:paraId="39A39559" w14:textId="77777777" w:rsidR="0066753E" w:rsidRPr="00263752" w:rsidRDefault="0066753E">
      <w:pPr>
        <w:spacing w:line="360" w:lineRule="auto"/>
        <w:jc w:val="both"/>
        <w:rPr>
          <w:rFonts w:ascii="Palatino Linotype" w:eastAsia="Palatino Linotype" w:hAnsi="Palatino Linotype" w:cs="Palatino Linotype"/>
        </w:rPr>
      </w:pPr>
    </w:p>
    <w:p w14:paraId="53A55152" w14:textId="77777777" w:rsidR="0066753E" w:rsidRPr="00263752" w:rsidRDefault="00263752">
      <w:pPr>
        <w:pBdr>
          <w:top w:val="nil"/>
          <w:left w:val="nil"/>
          <w:bottom w:val="nil"/>
          <w:right w:val="nil"/>
          <w:between w:val="nil"/>
        </w:pBd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b/>
        </w:rPr>
        <w:t xml:space="preserve">CUARTO. ESTUDIO DEL ASUNTO. </w:t>
      </w:r>
      <w:r w:rsidRPr="00263752">
        <w:rPr>
          <w:rFonts w:ascii="Palatino Linotype" w:eastAsia="Palatino Linotype" w:hAnsi="Palatino Linotype" w:cs="Palatino Linotype"/>
        </w:rPr>
        <w:t xml:space="preserve">Antes de entrar al análisis de los pronunciamientos del </w:t>
      </w:r>
      <w:r w:rsidRPr="00263752">
        <w:rPr>
          <w:rFonts w:ascii="Palatino Linotype" w:eastAsia="Palatino Linotype" w:hAnsi="Palatino Linotype" w:cs="Palatino Linotype"/>
          <w:b/>
        </w:rPr>
        <w:t>SUJETO OBLIGADO</w:t>
      </w:r>
      <w:r w:rsidRPr="00263752">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82D9667" w14:textId="77777777" w:rsidR="0066753E" w:rsidRPr="00263752" w:rsidRDefault="0066753E">
      <w:pPr>
        <w:pBdr>
          <w:top w:val="nil"/>
          <w:left w:val="nil"/>
          <w:bottom w:val="nil"/>
          <w:right w:val="nil"/>
          <w:between w:val="nil"/>
        </w:pBdr>
        <w:ind w:left="864" w:right="864"/>
        <w:jc w:val="both"/>
        <w:rPr>
          <w:rFonts w:ascii="Palatino Linotype" w:eastAsia="Palatino Linotype" w:hAnsi="Palatino Linotype" w:cs="Palatino Linotype"/>
          <w:i/>
        </w:rPr>
      </w:pPr>
    </w:p>
    <w:p w14:paraId="57EF9833"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263752">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DAED1DE" w14:textId="77777777" w:rsidR="0066753E" w:rsidRPr="00263752" w:rsidRDefault="0066753E"/>
    <w:p w14:paraId="56B5F65B"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263752">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1DB8F08E" w14:textId="77777777" w:rsidR="0066753E" w:rsidRPr="00263752" w:rsidRDefault="0066753E"/>
    <w:p w14:paraId="5AF135DA"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rPr>
      </w:pPr>
      <w:r w:rsidRPr="00263752">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63752">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72ABC3DC"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w:t>
      </w:r>
    </w:p>
    <w:p w14:paraId="4285BCB1" w14:textId="77777777" w:rsidR="0066753E" w:rsidRPr="00263752" w:rsidRDefault="0066753E"/>
    <w:p w14:paraId="1FA4B030" w14:textId="77777777" w:rsidR="0066753E" w:rsidRPr="00263752" w:rsidRDefault="0066753E"/>
    <w:p w14:paraId="0C07EBC5"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rPr>
      </w:pPr>
      <w:r w:rsidRPr="00263752">
        <w:rPr>
          <w:rFonts w:ascii="Palatino Linotype" w:eastAsia="Palatino Linotype" w:hAnsi="Palatino Linotype" w:cs="Palatino Linotype"/>
          <w:b/>
          <w:i/>
          <w:sz w:val="22"/>
          <w:szCs w:val="22"/>
        </w:rPr>
        <w:t>Artículo 6o.</w:t>
      </w:r>
    </w:p>
    <w:p w14:paraId="26EC9F3D"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rPr>
      </w:pPr>
      <w:r w:rsidRPr="00263752">
        <w:rPr>
          <w:rFonts w:ascii="Palatino Linotype" w:eastAsia="Palatino Linotype" w:hAnsi="Palatino Linotype" w:cs="Palatino Linotype"/>
          <w:i/>
          <w:sz w:val="22"/>
          <w:szCs w:val="22"/>
        </w:rPr>
        <w:t>[...]</w:t>
      </w:r>
    </w:p>
    <w:p w14:paraId="5EA5A340"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 xml:space="preserve">A. Para el ejercicio del derecho de acceso a la información, la Federación y </w:t>
      </w:r>
      <w:r w:rsidRPr="00263752">
        <w:rPr>
          <w:rFonts w:ascii="Palatino Linotype" w:eastAsia="Palatino Linotype" w:hAnsi="Palatino Linotype" w:cs="Palatino Linotype"/>
          <w:b/>
          <w:i/>
          <w:sz w:val="22"/>
          <w:szCs w:val="22"/>
          <w:u w:val="single"/>
        </w:rPr>
        <w:t>las entidades federativas</w:t>
      </w:r>
      <w:r w:rsidRPr="00263752">
        <w:rPr>
          <w:rFonts w:ascii="Palatino Linotype" w:eastAsia="Palatino Linotype" w:hAnsi="Palatino Linotype" w:cs="Palatino Linotype"/>
          <w:b/>
          <w:i/>
          <w:sz w:val="22"/>
          <w:szCs w:val="22"/>
        </w:rPr>
        <w:t>,</w:t>
      </w:r>
      <w:r w:rsidRPr="00263752">
        <w:rPr>
          <w:rFonts w:ascii="Palatino Linotype" w:eastAsia="Palatino Linotype" w:hAnsi="Palatino Linotype" w:cs="Palatino Linotype"/>
          <w:i/>
          <w:sz w:val="22"/>
          <w:szCs w:val="22"/>
        </w:rPr>
        <w:t xml:space="preserve"> en el ámbito de sus respectivas competencias, se regirán por los siguientes principios y bases:</w:t>
      </w:r>
    </w:p>
    <w:p w14:paraId="1374C204" w14:textId="77777777" w:rsidR="0066753E" w:rsidRPr="00263752" w:rsidRDefault="0066753E"/>
    <w:p w14:paraId="0143DF49"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 </w:t>
      </w:r>
      <w:r w:rsidRPr="00263752">
        <w:rPr>
          <w:rFonts w:ascii="Palatino Linotype" w:eastAsia="Palatino Linotype" w:hAnsi="Palatino Linotype" w:cs="Palatino Linotype"/>
          <w:b/>
          <w:i/>
          <w:sz w:val="22"/>
          <w:szCs w:val="22"/>
        </w:rPr>
        <w:t xml:space="preserve">I. </w:t>
      </w:r>
      <w:r w:rsidRPr="00263752">
        <w:rPr>
          <w:rFonts w:ascii="Palatino Linotype" w:eastAsia="Palatino Linotype" w:hAnsi="Palatino Linotype" w:cs="Palatino Linotype"/>
          <w:b/>
          <w:i/>
          <w:sz w:val="22"/>
          <w:szCs w:val="22"/>
          <w:u w:val="single"/>
        </w:rPr>
        <w:t>Toda la información en posesión de cualquier autoridad, entidad, órgano y organismo de los Poderes</w:t>
      </w:r>
      <w:r w:rsidRPr="00263752">
        <w:rPr>
          <w:rFonts w:ascii="Palatino Linotype" w:eastAsia="Palatino Linotype" w:hAnsi="Palatino Linotype" w:cs="Palatino Linotype"/>
          <w:i/>
          <w:sz w:val="22"/>
          <w:szCs w:val="22"/>
        </w:rPr>
        <w:t xml:space="preserve"> Ejecutivo, Legislativo </w:t>
      </w:r>
      <w:r w:rsidRPr="00263752">
        <w:rPr>
          <w:rFonts w:ascii="Palatino Linotype" w:eastAsia="Palatino Linotype" w:hAnsi="Palatino Linotype" w:cs="Palatino Linotype"/>
          <w:b/>
          <w:i/>
          <w:sz w:val="22"/>
          <w:szCs w:val="22"/>
          <w:u w:val="single"/>
        </w:rPr>
        <w:t>y Judicial</w:t>
      </w:r>
      <w:r w:rsidRPr="00263752">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63752">
        <w:rPr>
          <w:rFonts w:ascii="Palatino Linotype" w:eastAsia="Palatino Linotype" w:hAnsi="Palatino Linotype" w:cs="Palatino Linotype"/>
          <w:b/>
          <w:i/>
          <w:sz w:val="22"/>
          <w:szCs w:val="22"/>
        </w:rPr>
        <w:t>es pública y sólo podrá ser reservada temporalmente por razones de interés público y seguridad nacional,</w:t>
      </w:r>
      <w:r w:rsidRPr="00263752">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3D9A01B" w14:textId="77777777" w:rsidR="0066753E" w:rsidRPr="00263752" w:rsidRDefault="0066753E"/>
    <w:p w14:paraId="6EDFE235"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263752">
        <w:rPr>
          <w:rFonts w:ascii="Palatino Linotype" w:eastAsia="Palatino Linotype" w:hAnsi="Palatino Linotype" w:cs="Palatino Linotype"/>
          <w:i/>
          <w:sz w:val="22"/>
          <w:szCs w:val="22"/>
        </w:rPr>
        <w:t> </w:t>
      </w:r>
      <w:r w:rsidRPr="00263752">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1DF5EBA7" w14:textId="77777777" w:rsidR="0066753E" w:rsidRPr="00263752" w:rsidRDefault="0066753E"/>
    <w:p w14:paraId="7E5E202F"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 </w:t>
      </w:r>
      <w:r w:rsidRPr="00263752">
        <w:rPr>
          <w:rFonts w:ascii="Palatino Linotype" w:eastAsia="Palatino Linotype" w:hAnsi="Palatino Linotype" w:cs="Palatino Linotype"/>
          <w:b/>
          <w:i/>
          <w:sz w:val="22"/>
          <w:szCs w:val="22"/>
        </w:rPr>
        <w:t xml:space="preserve">III. </w:t>
      </w:r>
      <w:r w:rsidRPr="00263752">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263752">
        <w:rPr>
          <w:rFonts w:ascii="Palatino Linotype" w:eastAsia="Palatino Linotype" w:hAnsi="Palatino Linotype" w:cs="Palatino Linotype"/>
          <w:i/>
          <w:sz w:val="22"/>
          <w:szCs w:val="22"/>
        </w:rPr>
        <w:t xml:space="preserve"> a sus datos personales o a la rectificación de éstos.</w:t>
      </w:r>
    </w:p>
    <w:p w14:paraId="7C05A5F4" w14:textId="77777777" w:rsidR="0066753E" w:rsidRPr="00263752" w:rsidRDefault="0066753E"/>
    <w:p w14:paraId="7FBC7DA5"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 </w:t>
      </w:r>
      <w:r w:rsidRPr="00263752">
        <w:rPr>
          <w:rFonts w:ascii="Palatino Linotype" w:eastAsia="Palatino Linotype" w:hAnsi="Palatino Linotype" w:cs="Palatino Linotype"/>
          <w:b/>
          <w:i/>
          <w:sz w:val="22"/>
          <w:szCs w:val="22"/>
        </w:rPr>
        <w:t xml:space="preserve">IV. </w:t>
      </w:r>
      <w:r w:rsidRPr="00263752">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7D2D1474" w14:textId="77777777" w:rsidR="0066753E" w:rsidRPr="00263752" w:rsidRDefault="0066753E"/>
    <w:p w14:paraId="4576AD89"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 xml:space="preserve">V. </w:t>
      </w:r>
      <w:r w:rsidRPr="00263752">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4EC434C" w14:textId="77777777" w:rsidR="0066753E" w:rsidRPr="00263752" w:rsidRDefault="0066753E"/>
    <w:p w14:paraId="26DEB558"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 </w:t>
      </w:r>
      <w:r w:rsidRPr="00263752">
        <w:rPr>
          <w:rFonts w:ascii="Palatino Linotype" w:eastAsia="Palatino Linotype" w:hAnsi="Palatino Linotype" w:cs="Palatino Linotype"/>
          <w:b/>
          <w:i/>
          <w:sz w:val="22"/>
          <w:szCs w:val="22"/>
        </w:rPr>
        <w:t xml:space="preserve">VI. </w:t>
      </w:r>
      <w:r w:rsidRPr="00263752">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48DFB8D3" w14:textId="77777777" w:rsidR="0066753E" w:rsidRPr="00263752" w:rsidRDefault="0066753E"/>
    <w:p w14:paraId="49C257E9"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 </w:t>
      </w:r>
      <w:r w:rsidRPr="00263752">
        <w:rPr>
          <w:rFonts w:ascii="Palatino Linotype" w:eastAsia="Palatino Linotype" w:hAnsi="Palatino Linotype" w:cs="Palatino Linotype"/>
          <w:b/>
          <w:i/>
          <w:sz w:val="22"/>
          <w:szCs w:val="22"/>
        </w:rPr>
        <w:t xml:space="preserve">VII. </w:t>
      </w:r>
      <w:r w:rsidRPr="00263752">
        <w:rPr>
          <w:rFonts w:ascii="Palatino Linotype" w:eastAsia="Palatino Linotype" w:hAnsi="Palatino Linotype" w:cs="Palatino Linotype"/>
          <w:i/>
          <w:sz w:val="22"/>
          <w:szCs w:val="22"/>
        </w:rPr>
        <w:t xml:space="preserve">La inobservancia a las disposiciones en materia de acceso a la información pública será sancionada en los términos que dispongan las leyes. </w:t>
      </w:r>
    </w:p>
    <w:p w14:paraId="3FB356A4"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w:t>
      </w:r>
    </w:p>
    <w:p w14:paraId="5E0FB8FA" w14:textId="77777777" w:rsidR="0066753E" w:rsidRPr="00263752" w:rsidRDefault="0066753E"/>
    <w:p w14:paraId="1C384223" w14:textId="77777777" w:rsidR="0066753E" w:rsidRPr="00263752" w:rsidRDefault="00263752">
      <w:pPr>
        <w:pBdr>
          <w:top w:val="nil"/>
          <w:left w:val="nil"/>
          <w:bottom w:val="nil"/>
          <w:right w:val="nil"/>
          <w:between w:val="nil"/>
        </w:pBd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54E0119" w14:textId="77777777" w:rsidR="0066753E" w:rsidRPr="00263752" w:rsidRDefault="0066753E">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0C8CE165"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Artículo 4</w:t>
      </w:r>
      <w:r w:rsidRPr="00263752">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13AF93D8" w14:textId="77777777" w:rsidR="0066753E" w:rsidRPr="00263752" w:rsidRDefault="0066753E"/>
    <w:p w14:paraId="51C78921"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26375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EE491A6" w14:textId="77777777" w:rsidR="0066753E" w:rsidRPr="00263752" w:rsidRDefault="0066753E"/>
    <w:p w14:paraId="51B48544"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14:paraId="15695434" w14:textId="77777777" w:rsidR="0066753E" w:rsidRPr="00263752" w:rsidRDefault="0066753E">
      <w:pPr>
        <w:pBdr>
          <w:top w:val="nil"/>
          <w:left w:val="nil"/>
          <w:bottom w:val="nil"/>
          <w:right w:val="nil"/>
          <w:between w:val="nil"/>
        </w:pBdr>
        <w:spacing w:line="360" w:lineRule="auto"/>
        <w:jc w:val="both"/>
        <w:rPr>
          <w:rFonts w:ascii="Palatino Linotype" w:eastAsia="Palatino Linotype" w:hAnsi="Palatino Linotype" w:cs="Palatino Linotype"/>
        </w:rPr>
      </w:pPr>
    </w:p>
    <w:p w14:paraId="04D001D9" w14:textId="77777777" w:rsidR="0066753E" w:rsidRPr="00263752" w:rsidRDefault="00263752">
      <w:pPr>
        <w:pBdr>
          <w:top w:val="nil"/>
          <w:left w:val="nil"/>
          <w:bottom w:val="nil"/>
          <w:right w:val="nil"/>
          <w:between w:val="nil"/>
        </w:pBd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3AE382BA" w14:textId="77777777" w:rsidR="0066753E" w:rsidRPr="00263752" w:rsidRDefault="0066753E">
      <w:pPr>
        <w:pBdr>
          <w:top w:val="nil"/>
          <w:left w:val="nil"/>
          <w:bottom w:val="nil"/>
          <w:right w:val="nil"/>
          <w:between w:val="nil"/>
        </w:pBdr>
        <w:ind w:left="864" w:right="864"/>
        <w:jc w:val="both"/>
        <w:rPr>
          <w:i/>
        </w:rPr>
      </w:pPr>
    </w:p>
    <w:p w14:paraId="451AE972"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Artículo 12</w:t>
      </w:r>
      <w:r w:rsidRPr="00263752">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347A8605" w14:textId="77777777" w:rsidR="0066753E" w:rsidRPr="00263752" w:rsidRDefault="0066753E">
      <w:pPr>
        <w:pBdr>
          <w:top w:val="nil"/>
          <w:left w:val="nil"/>
          <w:bottom w:val="nil"/>
          <w:right w:val="nil"/>
          <w:between w:val="nil"/>
        </w:pBdr>
        <w:ind w:left="864" w:right="864"/>
        <w:jc w:val="both"/>
        <w:rPr>
          <w:i/>
        </w:rPr>
      </w:pPr>
    </w:p>
    <w:p w14:paraId="5B742BDB"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2C359B0" w14:textId="77777777" w:rsidR="0066753E" w:rsidRPr="00263752" w:rsidRDefault="0066753E">
      <w:pPr>
        <w:pBdr>
          <w:top w:val="nil"/>
          <w:left w:val="nil"/>
          <w:bottom w:val="nil"/>
          <w:right w:val="nil"/>
          <w:between w:val="nil"/>
        </w:pBdr>
        <w:ind w:left="864" w:right="864"/>
        <w:jc w:val="both"/>
        <w:rPr>
          <w:i/>
        </w:rPr>
      </w:pPr>
    </w:p>
    <w:p w14:paraId="6B546257" w14:textId="77777777" w:rsidR="0066753E" w:rsidRPr="00263752" w:rsidRDefault="00263752">
      <w:pPr>
        <w:pBdr>
          <w:top w:val="nil"/>
          <w:left w:val="nil"/>
          <w:bottom w:val="nil"/>
          <w:right w:val="nil"/>
          <w:between w:val="nil"/>
        </w:pBd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263752">
        <w:rPr>
          <w:rFonts w:ascii="Palatino Linotype" w:eastAsia="Palatino Linotype" w:hAnsi="Palatino Linotype" w:cs="Palatino Linotype"/>
          <w:b/>
        </w:rPr>
        <w:t xml:space="preserve"> </w:t>
      </w:r>
      <w:r w:rsidRPr="00263752">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263752">
        <w:rPr>
          <w:rFonts w:ascii="Palatino Linotype" w:eastAsia="Palatino Linotype" w:hAnsi="Palatino Linotype" w:cs="Palatino Linotype"/>
          <w:i/>
        </w:rPr>
        <w:t>ad hoc</w:t>
      </w:r>
      <w:r w:rsidRPr="00263752">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1F4DA6A8" w14:textId="77777777" w:rsidR="0066753E" w:rsidRPr="00263752" w:rsidRDefault="0066753E">
      <w:pPr>
        <w:pBdr>
          <w:top w:val="nil"/>
          <w:left w:val="nil"/>
          <w:bottom w:val="nil"/>
          <w:right w:val="nil"/>
          <w:between w:val="nil"/>
        </w:pBdr>
        <w:spacing w:line="360" w:lineRule="auto"/>
        <w:jc w:val="both"/>
      </w:pPr>
    </w:p>
    <w:p w14:paraId="00FF4909"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03/17</w:t>
      </w:r>
    </w:p>
    <w:p w14:paraId="5CA1951E"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lastRenderedPageBreak/>
        <w:t>NO EXISTE OBLIGACIÓN DE ELABORAR DOCUMENTOS AD HOC PARA ATENDER LAS SOLICITUDES DE ACCESO A LA INFORMACIÓN.</w:t>
      </w:r>
    </w:p>
    <w:p w14:paraId="3DE2783E"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42BA762" w14:textId="77777777" w:rsidR="0066753E" w:rsidRPr="00263752" w:rsidRDefault="0066753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9C131AC" w14:textId="77777777" w:rsidR="0066753E" w:rsidRPr="00263752" w:rsidRDefault="00263752">
      <w:pPr>
        <w:pBdr>
          <w:top w:val="nil"/>
          <w:left w:val="nil"/>
          <w:bottom w:val="nil"/>
          <w:right w:val="nil"/>
          <w:between w:val="nil"/>
        </w:pBd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Por otra parte, y aunado a lo antepuesto, el último párrafo del artículo 24 de la Ley de la materia, dispone que los Sujetos Obligados solo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39B4982" w14:textId="77777777" w:rsidR="0066753E" w:rsidRPr="00263752" w:rsidRDefault="0066753E">
      <w:pPr>
        <w:pBdr>
          <w:top w:val="nil"/>
          <w:left w:val="nil"/>
          <w:bottom w:val="nil"/>
          <w:right w:val="nil"/>
          <w:between w:val="nil"/>
        </w:pBdr>
        <w:spacing w:line="360" w:lineRule="auto"/>
        <w:jc w:val="both"/>
      </w:pPr>
    </w:p>
    <w:p w14:paraId="075FD8A5" w14:textId="77777777" w:rsidR="0066753E" w:rsidRPr="00263752" w:rsidRDefault="00263752">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263752">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306F24F" w14:textId="77777777" w:rsidR="0066753E" w:rsidRPr="00263752" w:rsidRDefault="0066753E">
      <w:pPr>
        <w:pBdr>
          <w:top w:val="nil"/>
          <w:left w:val="nil"/>
          <w:bottom w:val="nil"/>
          <w:right w:val="nil"/>
          <w:between w:val="nil"/>
        </w:pBdr>
        <w:spacing w:line="360" w:lineRule="auto"/>
        <w:ind w:right="49"/>
        <w:jc w:val="both"/>
      </w:pPr>
    </w:p>
    <w:p w14:paraId="3C8A754D" w14:textId="77777777" w:rsidR="0066753E" w:rsidRPr="00263752" w:rsidRDefault="00263752">
      <w:pPr>
        <w:pBdr>
          <w:top w:val="nil"/>
          <w:left w:val="nil"/>
          <w:bottom w:val="nil"/>
          <w:right w:val="nil"/>
          <w:between w:val="nil"/>
        </w:pBd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lastRenderedPageBreak/>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6C2D215" w14:textId="77777777" w:rsidR="0066753E" w:rsidRPr="00263752" w:rsidRDefault="0066753E">
      <w:pPr>
        <w:pBdr>
          <w:top w:val="nil"/>
          <w:left w:val="nil"/>
          <w:bottom w:val="nil"/>
          <w:right w:val="nil"/>
          <w:between w:val="nil"/>
        </w:pBdr>
        <w:spacing w:line="360" w:lineRule="auto"/>
        <w:jc w:val="both"/>
        <w:rPr>
          <w:rFonts w:ascii="Palatino Linotype" w:eastAsia="Palatino Linotype" w:hAnsi="Palatino Linotype" w:cs="Palatino Linotype"/>
        </w:rPr>
      </w:pPr>
    </w:p>
    <w:p w14:paraId="1B024892"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 xml:space="preserve">Artículo 3. </w:t>
      </w:r>
      <w:r w:rsidRPr="00263752">
        <w:rPr>
          <w:rFonts w:ascii="Palatino Linotype" w:eastAsia="Palatino Linotype" w:hAnsi="Palatino Linotype" w:cs="Palatino Linotype"/>
          <w:i/>
          <w:sz w:val="22"/>
          <w:szCs w:val="22"/>
        </w:rPr>
        <w:t>Para los efectos de la presente Ley se entenderá por:</w:t>
      </w:r>
    </w:p>
    <w:p w14:paraId="41A6D3D1"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w:t>
      </w:r>
    </w:p>
    <w:p w14:paraId="3818DD68"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XI. Documento:</w:t>
      </w:r>
      <w:r w:rsidRPr="00263752">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CF2A883"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w:t>
      </w:r>
      <w:r w:rsidRPr="00263752">
        <w:rPr>
          <w:rFonts w:ascii="Palatino Linotype" w:eastAsia="Palatino Linotype" w:hAnsi="Palatino Linotype" w:cs="Palatino Linotype"/>
          <w:i/>
          <w:sz w:val="22"/>
          <w:szCs w:val="22"/>
        </w:rPr>
        <w:t>)</w:t>
      </w:r>
    </w:p>
    <w:p w14:paraId="7437793C" w14:textId="77777777" w:rsidR="0066753E" w:rsidRPr="00263752" w:rsidRDefault="0066753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F32F639" w14:textId="77777777" w:rsidR="0066753E" w:rsidRPr="00263752" w:rsidRDefault="00263752">
      <w:pPr>
        <w:pBdr>
          <w:top w:val="nil"/>
          <w:left w:val="nil"/>
          <w:bottom w:val="nil"/>
          <w:right w:val="nil"/>
          <w:between w:val="nil"/>
        </w:pBdr>
        <w:spacing w:line="360" w:lineRule="auto"/>
        <w:jc w:val="both"/>
      </w:pPr>
      <w:r w:rsidRPr="00263752">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11CB343" w14:textId="77777777" w:rsidR="0066753E" w:rsidRPr="00263752" w:rsidRDefault="0066753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3515E0EA"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CRITERIO 0002-11</w:t>
      </w:r>
    </w:p>
    <w:p w14:paraId="2362471A"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 xml:space="preserve">INFORMACIÓN PÚBLICA, CONCEPTO DE, EN MATERIA DE TRANSPARENCIA. INTERPRETACIÓN SISTEMÁTICA DE LOS </w:t>
      </w:r>
      <w:r w:rsidRPr="00263752">
        <w:rPr>
          <w:rFonts w:ascii="Palatino Linotype" w:eastAsia="Palatino Linotype" w:hAnsi="Palatino Linotype" w:cs="Palatino Linotype"/>
          <w:i/>
          <w:sz w:val="22"/>
          <w:szCs w:val="22"/>
        </w:rPr>
        <w:lastRenderedPageBreak/>
        <w:t>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C4E7EF9"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 xml:space="preserve">En </w:t>
      </w:r>
      <w:proofErr w:type="gramStart"/>
      <w:r w:rsidRPr="00263752">
        <w:rPr>
          <w:rFonts w:ascii="Palatino Linotype" w:eastAsia="Palatino Linotype" w:hAnsi="Palatino Linotype" w:cs="Palatino Linotype"/>
          <w:i/>
          <w:sz w:val="22"/>
          <w:szCs w:val="22"/>
        </w:rPr>
        <w:t>consecuencia</w:t>
      </w:r>
      <w:proofErr w:type="gramEnd"/>
      <w:r w:rsidRPr="00263752">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A69D7B8"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 xml:space="preserve">1. Que se trate de información registrada en cualquier soporte documental, </w:t>
      </w:r>
      <w:proofErr w:type="gramStart"/>
      <w:r w:rsidRPr="00263752">
        <w:rPr>
          <w:rFonts w:ascii="Palatino Linotype" w:eastAsia="Palatino Linotype" w:hAnsi="Palatino Linotype" w:cs="Palatino Linotype"/>
          <w:i/>
          <w:sz w:val="22"/>
          <w:szCs w:val="22"/>
        </w:rPr>
        <w:t>que</w:t>
      </w:r>
      <w:proofErr w:type="gramEnd"/>
      <w:r w:rsidRPr="00263752">
        <w:rPr>
          <w:rFonts w:ascii="Palatino Linotype" w:eastAsia="Palatino Linotype" w:hAnsi="Palatino Linotype" w:cs="Palatino Linotype"/>
          <w:i/>
          <w:sz w:val="22"/>
          <w:szCs w:val="22"/>
        </w:rPr>
        <w:t xml:space="preserve"> en ejercicio de las atribuciones conferidas, sea generada por los Sujetos Obligados;</w:t>
      </w:r>
    </w:p>
    <w:p w14:paraId="09858FB4"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 xml:space="preserve">2. Que se trate de información registrada en cualquier soporte documental, </w:t>
      </w:r>
      <w:proofErr w:type="gramStart"/>
      <w:r w:rsidRPr="00263752">
        <w:rPr>
          <w:rFonts w:ascii="Palatino Linotype" w:eastAsia="Palatino Linotype" w:hAnsi="Palatino Linotype" w:cs="Palatino Linotype"/>
          <w:i/>
          <w:sz w:val="22"/>
          <w:szCs w:val="22"/>
        </w:rPr>
        <w:t>que</w:t>
      </w:r>
      <w:proofErr w:type="gramEnd"/>
      <w:r w:rsidRPr="00263752">
        <w:rPr>
          <w:rFonts w:ascii="Palatino Linotype" w:eastAsia="Palatino Linotype" w:hAnsi="Palatino Linotype" w:cs="Palatino Linotype"/>
          <w:i/>
          <w:sz w:val="22"/>
          <w:szCs w:val="22"/>
        </w:rPr>
        <w:t xml:space="preserve"> en ejercicio de las atribuciones conferidas, sea administrada por los Sujetos Obligados, y</w:t>
      </w:r>
    </w:p>
    <w:p w14:paraId="63E6A868"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 xml:space="preserve">3. Que se trate de información registrada en cualquier soporte documental, </w:t>
      </w:r>
      <w:proofErr w:type="gramStart"/>
      <w:r w:rsidRPr="00263752">
        <w:rPr>
          <w:rFonts w:ascii="Palatino Linotype" w:eastAsia="Palatino Linotype" w:hAnsi="Palatino Linotype" w:cs="Palatino Linotype"/>
          <w:i/>
          <w:sz w:val="22"/>
          <w:szCs w:val="22"/>
        </w:rPr>
        <w:t>que</w:t>
      </w:r>
      <w:proofErr w:type="gramEnd"/>
      <w:r w:rsidRPr="00263752">
        <w:rPr>
          <w:rFonts w:ascii="Palatino Linotype" w:eastAsia="Palatino Linotype" w:hAnsi="Palatino Linotype" w:cs="Palatino Linotype"/>
          <w:i/>
          <w:sz w:val="22"/>
          <w:szCs w:val="22"/>
        </w:rPr>
        <w:t xml:space="preserve"> en ejercicio de las atribuciones conferidas, se encuentre en posesión de los Sujetos Obligados.</w:t>
      </w:r>
    </w:p>
    <w:p w14:paraId="22D78A94" w14:textId="77777777" w:rsidR="0066753E" w:rsidRPr="00263752" w:rsidRDefault="0066753E">
      <w:pPr>
        <w:pBdr>
          <w:top w:val="nil"/>
          <w:left w:val="nil"/>
          <w:bottom w:val="nil"/>
          <w:right w:val="nil"/>
          <w:between w:val="nil"/>
        </w:pBdr>
        <w:spacing w:line="360" w:lineRule="auto"/>
        <w:jc w:val="both"/>
        <w:rPr>
          <w:rFonts w:ascii="Palatino Linotype" w:eastAsia="Palatino Linotype" w:hAnsi="Palatino Linotype" w:cs="Palatino Linotype"/>
        </w:rPr>
      </w:pPr>
    </w:p>
    <w:p w14:paraId="41EC1FB7" w14:textId="77777777" w:rsidR="0066753E" w:rsidRPr="00263752" w:rsidRDefault="00263752">
      <w:pPr>
        <w:pBdr>
          <w:top w:val="nil"/>
          <w:left w:val="nil"/>
          <w:bottom w:val="nil"/>
          <w:right w:val="nil"/>
          <w:between w:val="nil"/>
        </w:pBd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De ahí que </w:t>
      </w:r>
      <w:r w:rsidRPr="00263752">
        <w:rPr>
          <w:rFonts w:ascii="Palatino Linotype" w:eastAsia="Palatino Linotype" w:hAnsi="Palatino Linotype" w:cs="Palatino Linotype"/>
          <w:b/>
        </w:rPr>
        <w:t>EL SUJETO OBLIGADO</w:t>
      </w:r>
      <w:r w:rsidRPr="00263752">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14:paraId="1A89820E" w14:textId="77777777" w:rsidR="0066753E" w:rsidRPr="00263752" w:rsidRDefault="0066753E">
      <w:pPr>
        <w:pBdr>
          <w:top w:val="nil"/>
          <w:left w:val="nil"/>
          <w:bottom w:val="nil"/>
          <w:right w:val="nil"/>
          <w:between w:val="nil"/>
        </w:pBdr>
        <w:spacing w:line="360" w:lineRule="auto"/>
        <w:jc w:val="both"/>
        <w:rPr>
          <w:rFonts w:ascii="Palatino Linotype" w:eastAsia="Palatino Linotype" w:hAnsi="Palatino Linotype" w:cs="Palatino Linotype"/>
        </w:rPr>
      </w:pPr>
    </w:p>
    <w:p w14:paraId="284F0D02" w14:textId="77777777" w:rsidR="0066753E" w:rsidRPr="00263752" w:rsidRDefault="00263752">
      <w:pPr>
        <w:pBdr>
          <w:top w:val="nil"/>
          <w:left w:val="nil"/>
          <w:bottom w:val="nil"/>
          <w:right w:val="nil"/>
          <w:between w:val="nil"/>
        </w:pBd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Apuntado lo anterior y del análisis de la solicitud de información</w:t>
      </w:r>
      <w:r w:rsidRPr="00263752">
        <w:t xml:space="preserve"> </w:t>
      </w:r>
      <w:r w:rsidRPr="00263752">
        <w:rPr>
          <w:rFonts w:ascii="Palatino Linotype" w:eastAsia="Palatino Linotype" w:hAnsi="Palatino Linotype" w:cs="Palatino Linotype"/>
          <w:b/>
        </w:rPr>
        <w:t>00293/TLALMANA/IP/2022,</w:t>
      </w:r>
      <w:r w:rsidRPr="00263752">
        <w:rPr>
          <w:rFonts w:ascii="Palatino Linotype" w:eastAsia="Palatino Linotype" w:hAnsi="Palatino Linotype" w:cs="Palatino Linotype"/>
        </w:rPr>
        <w:t xml:space="preserve"> motivo del recurso de revisión que ahora se resuelve, se advierte que </w:t>
      </w:r>
      <w:r w:rsidRPr="00263752">
        <w:rPr>
          <w:rFonts w:ascii="Palatino Linotype" w:eastAsia="Palatino Linotype" w:hAnsi="Palatino Linotype" w:cs="Palatino Linotype"/>
          <w:b/>
        </w:rPr>
        <w:t>LA PARTE RECURRENTE</w:t>
      </w:r>
      <w:r w:rsidRPr="00263752">
        <w:rPr>
          <w:rFonts w:ascii="Palatino Linotype" w:eastAsia="Palatino Linotype" w:hAnsi="Palatino Linotype" w:cs="Palatino Linotype"/>
        </w:rPr>
        <w:t xml:space="preserve"> requirió al </w:t>
      </w:r>
      <w:r w:rsidRPr="00263752">
        <w:rPr>
          <w:rFonts w:ascii="Palatino Linotype" w:eastAsia="Palatino Linotype" w:hAnsi="Palatino Linotype" w:cs="Palatino Linotype"/>
          <w:b/>
        </w:rPr>
        <w:t>SUJETO OBLIGADO</w:t>
      </w:r>
      <w:r w:rsidRPr="00263752">
        <w:rPr>
          <w:rFonts w:ascii="Palatino Linotype" w:eastAsia="Palatino Linotype" w:hAnsi="Palatino Linotype" w:cs="Palatino Linotype"/>
        </w:rPr>
        <w:t xml:space="preserve"> le proporcionara, del primero de enero al veintiuno de diciembre de dos mil veintidós, lo siguiente: </w:t>
      </w:r>
    </w:p>
    <w:p w14:paraId="7BB2C8DC" w14:textId="77777777" w:rsidR="0066753E" w:rsidRPr="00263752" w:rsidRDefault="0066753E">
      <w:pPr>
        <w:pBdr>
          <w:top w:val="nil"/>
          <w:left w:val="nil"/>
          <w:bottom w:val="nil"/>
          <w:right w:val="nil"/>
          <w:between w:val="nil"/>
        </w:pBdr>
        <w:spacing w:line="360" w:lineRule="auto"/>
        <w:jc w:val="both"/>
        <w:rPr>
          <w:rFonts w:ascii="Palatino Linotype" w:eastAsia="Palatino Linotype" w:hAnsi="Palatino Linotype" w:cs="Palatino Linotype"/>
        </w:rPr>
      </w:pPr>
    </w:p>
    <w:p w14:paraId="14D09689" w14:textId="77777777" w:rsidR="0066753E" w:rsidRPr="00263752" w:rsidRDefault="00263752">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Convenios, facturas, contratos, pólizas de cheques, gastos y pagos realizados por la oficina de la Presidencia Municipal de Tlalmanalco. </w:t>
      </w:r>
    </w:p>
    <w:p w14:paraId="212BCDED" w14:textId="77777777" w:rsidR="0066753E" w:rsidRPr="00263752" w:rsidRDefault="0066753E">
      <w:pPr>
        <w:pBdr>
          <w:top w:val="nil"/>
          <w:left w:val="nil"/>
          <w:bottom w:val="nil"/>
          <w:right w:val="nil"/>
          <w:between w:val="nil"/>
        </w:pBdr>
        <w:spacing w:line="360" w:lineRule="auto"/>
        <w:jc w:val="both"/>
        <w:rPr>
          <w:rFonts w:ascii="Palatino Linotype" w:eastAsia="Palatino Linotype" w:hAnsi="Palatino Linotype" w:cs="Palatino Linotype"/>
        </w:rPr>
      </w:pPr>
    </w:p>
    <w:p w14:paraId="2887D3DE" w14:textId="77777777" w:rsidR="0066753E" w:rsidRPr="00263752" w:rsidRDefault="00263752">
      <w:pPr>
        <w:pBdr>
          <w:top w:val="nil"/>
          <w:left w:val="nil"/>
          <w:bottom w:val="nil"/>
          <w:right w:val="nil"/>
          <w:between w:val="nil"/>
        </w:pBd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En respuesta, </w:t>
      </w:r>
      <w:r w:rsidRPr="00263752">
        <w:rPr>
          <w:rFonts w:ascii="Palatino Linotype" w:eastAsia="Palatino Linotype" w:hAnsi="Palatino Linotype" w:cs="Palatino Linotype"/>
          <w:b/>
        </w:rPr>
        <w:t>EL SUJETO OBLIGADO</w:t>
      </w:r>
      <w:r w:rsidRPr="00263752">
        <w:rPr>
          <w:rFonts w:ascii="Palatino Linotype" w:eastAsia="Palatino Linotype" w:hAnsi="Palatino Linotype" w:cs="Palatino Linotype"/>
        </w:rPr>
        <w:t xml:space="preserve"> mediante la Secretaría del Ayuntamiento y la Tesorería Municipal se brindó respuesta a la entonces persona solicitante, donde la primera Unidad Administrativa hizo de su conocimiento </w:t>
      </w:r>
      <w:proofErr w:type="gramStart"/>
      <w:r w:rsidRPr="00263752">
        <w:rPr>
          <w:rFonts w:ascii="Palatino Linotype" w:eastAsia="Palatino Linotype" w:hAnsi="Palatino Linotype" w:cs="Palatino Linotype"/>
        </w:rPr>
        <w:t>que</w:t>
      </w:r>
      <w:proofErr w:type="gramEnd"/>
      <w:r w:rsidRPr="00263752">
        <w:rPr>
          <w:rFonts w:ascii="Palatino Linotype" w:eastAsia="Palatino Linotype" w:hAnsi="Palatino Linotype" w:cs="Palatino Linotype"/>
        </w:rPr>
        <w:t xml:space="preserve"> a la fecha de interposición de la solicitud, </w:t>
      </w:r>
      <w:r w:rsidRPr="00263752">
        <w:rPr>
          <w:rFonts w:ascii="Palatino Linotype" w:eastAsia="Palatino Linotype" w:hAnsi="Palatino Linotype" w:cs="Palatino Linotype"/>
          <w:i/>
        </w:rPr>
        <w:t xml:space="preserve">“… no lleva…” (Sic) </w:t>
      </w:r>
      <w:r w:rsidRPr="00263752">
        <w:rPr>
          <w:rFonts w:ascii="Palatino Linotype" w:eastAsia="Palatino Linotype" w:hAnsi="Palatino Linotype" w:cs="Palatino Linotype"/>
        </w:rPr>
        <w:t xml:space="preserve">convenios relacionados con lo solicitado. </w:t>
      </w:r>
    </w:p>
    <w:p w14:paraId="7DD7AC29" w14:textId="77777777" w:rsidR="0066753E" w:rsidRPr="00263752" w:rsidRDefault="0066753E">
      <w:pPr>
        <w:pBdr>
          <w:top w:val="nil"/>
          <w:left w:val="nil"/>
          <w:bottom w:val="nil"/>
          <w:right w:val="nil"/>
          <w:between w:val="nil"/>
        </w:pBdr>
        <w:spacing w:line="360" w:lineRule="auto"/>
        <w:jc w:val="both"/>
        <w:rPr>
          <w:rFonts w:ascii="Palatino Linotype" w:eastAsia="Palatino Linotype" w:hAnsi="Palatino Linotype" w:cs="Palatino Linotype"/>
        </w:rPr>
      </w:pPr>
    </w:p>
    <w:p w14:paraId="55F489CB" w14:textId="77777777" w:rsidR="0066753E" w:rsidRPr="00263752" w:rsidRDefault="00263752">
      <w:pPr>
        <w:pBdr>
          <w:top w:val="nil"/>
          <w:left w:val="nil"/>
          <w:bottom w:val="nil"/>
          <w:right w:val="nil"/>
          <w:between w:val="nil"/>
        </w:pBd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Mientras que la Tesorería Municipal refirió que la información estaría contenida en un archivo adjunto, mismo que está integrado por trescientas sesenta y seis hojas donde consta una póliza cheque; cuarenta y siete pólizas de egresos; cincuenta y nueve Comprobantes Fiscales Digitales por Internet; y cuarenta y un contratos. </w:t>
      </w:r>
    </w:p>
    <w:p w14:paraId="215715FA" w14:textId="77777777" w:rsidR="0066753E" w:rsidRPr="00263752" w:rsidRDefault="0066753E">
      <w:pPr>
        <w:pBdr>
          <w:top w:val="nil"/>
          <w:left w:val="nil"/>
          <w:bottom w:val="nil"/>
          <w:right w:val="nil"/>
          <w:between w:val="nil"/>
        </w:pBdr>
        <w:spacing w:line="360" w:lineRule="auto"/>
        <w:jc w:val="both"/>
        <w:rPr>
          <w:rFonts w:ascii="Palatino Linotype" w:eastAsia="Palatino Linotype" w:hAnsi="Palatino Linotype" w:cs="Palatino Linotype"/>
        </w:rPr>
      </w:pPr>
    </w:p>
    <w:p w14:paraId="24F2DA82" w14:textId="77777777" w:rsidR="0066753E" w:rsidRPr="00263752" w:rsidRDefault="00263752">
      <w:pPr>
        <w:pBdr>
          <w:top w:val="nil"/>
          <w:left w:val="nil"/>
          <w:bottom w:val="nil"/>
          <w:right w:val="nil"/>
          <w:between w:val="nil"/>
        </w:pBd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Conocida la respuesta, </w:t>
      </w:r>
      <w:r w:rsidRPr="00263752">
        <w:rPr>
          <w:rFonts w:ascii="Palatino Linotype" w:eastAsia="Palatino Linotype" w:hAnsi="Palatino Linotype" w:cs="Palatino Linotype"/>
          <w:b/>
        </w:rPr>
        <w:t>LA PARTE RECURRENTE</w:t>
      </w:r>
      <w:r w:rsidRPr="00263752">
        <w:rPr>
          <w:rFonts w:ascii="Palatino Linotype" w:eastAsia="Palatino Linotype" w:hAnsi="Palatino Linotype" w:cs="Palatino Linotype"/>
        </w:rPr>
        <w:t xml:space="preserve"> interpuso este medio de impugnación al tenor de un único agravio, refiriéndose a que la información no satisface sus intereses pues </w:t>
      </w:r>
      <w:r w:rsidRPr="00263752">
        <w:rPr>
          <w:rFonts w:ascii="Palatino Linotype" w:eastAsia="Palatino Linotype" w:hAnsi="Palatino Linotype" w:cs="Palatino Linotype"/>
          <w:b/>
        </w:rPr>
        <w:t>EL SUJETO OBLIGADO</w:t>
      </w:r>
      <w:r w:rsidRPr="00263752">
        <w:rPr>
          <w:rFonts w:ascii="Palatino Linotype" w:eastAsia="Palatino Linotype" w:hAnsi="Palatino Linotype" w:cs="Palatino Linotype"/>
        </w:rPr>
        <w:t xml:space="preserve"> omitió remitir la información correspondiente a los meses de octubre, noviembre y diciembre de dos mil veintidós, temporalidad inserta en su solicitud. </w:t>
      </w:r>
    </w:p>
    <w:p w14:paraId="13B57A08" w14:textId="77777777" w:rsidR="0066753E" w:rsidRPr="00263752" w:rsidRDefault="0066753E">
      <w:pPr>
        <w:pBdr>
          <w:top w:val="nil"/>
          <w:left w:val="nil"/>
          <w:bottom w:val="nil"/>
          <w:right w:val="nil"/>
          <w:between w:val="nil"/>
        </w:pBdr>
        <w:spacing w:line="360" w:lineRule="auto"/>
        <w:jc w:val="both"/>
        <w:rPr>
          <w:rFonts w:ascii="Palatino Linotype" w:eastAsia="Palatino Linotype" w:hAnsi="Palatino Linotype" w:cs="Palatino Linotype"/>
        </w:rPr>
      </w:pPr>
    </w:p>
    <w:p w14:paraId="34173F5A" w14:textId="77777777" w:rsidR="0066753E" w:rsidRPr="00263752" w:rsidRDefault="00263752">
      <w:pPr>
        <w:pBdr>
          <w:top w:val="nil"/>
          <w:left w:val="nil"/>
          <w:bottom w:val="nil"/>
          <w:right w:val="nil"/>
          <w:between w:val="nil"/>
        </w:pBd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Ante esa situación, se colige que no existe manifestación por la documentación remitida en respuesta, en </w:t>
      </w:r>
      <w:proofErr w:type="gramStart"/>
      <w:r w:rsidRPr="00263752">
        <w:rPr>
          <w:rFonts w:ascii="Palatino Linotype" w:eastAsia="Palatino Linotype" w:hAnsi="Palatino Linotype" w:cs="Palatino Linotype"/>
        </w:rPr>
        <w:t>consecuencia</w:t>
      </w:r>
      <w:proofErr w:type="gramEnd"/>
      <w:r w:rsidRPr="00263752">
        <w:rPr>
          <w:rFonts w:ascii="Palatino Linotype" w:eastAsia="Palatino Linotype" w:hAnsi="Palatino Linotype" w:cs="Palatino Linotype"/>
        </w:rPr>
        <w:t xml:space="preserve"> debe tenerse por satisfecha en ese aspecto. </w:t>
      </w:r>
    </w:p>
    <w:p w14:paraId="7AE62D3E" w14:textId="77777777" w:rsidR="0066753E" w:rsidRPr="00263752" w:rsidRDefault="0066753E">
      <w:pPr>
        <w:pBdr>
          <w:top w:val="nil"/>
          <w:left w:val="nil"/>
          <w:bottom w:val="nil"/>
          <w:right w:val="nil"/>
          <w:between w:val="nil"/>
        </w:pBdr>
        <w:spacing w:line="360" w:lineRule="auto"/>
        <w:jc w:val="both"/>
        <w:rPr>
          <w:rFonts w:ascii="Palatino Linotype" w:eastAsia="Palatino Linotype" w:hAnsi="Palatino Linotype" w:cs="Palatino Linotype"/>
        </w:rPr>
      </w:pPr>
    </w:p>
    <w:p w14:paraId="6B62A3A6" w14:textId="77777777" w:rsidR="0066753E" w:rsidRPr="00263752" w:rsidRDefault="00263752">
      <w:pPr>
        <w:pBdr>
          <w:top w:val="nil"/>
          <w:left w:val="nil"/>
          <w:bottom w:val="nil"/>
          <w:right w:val="nil"/>
          <w:between w:val="nil"/>
        </w:pBdr>
        <w:spacing w:line="360" w:lineRule="auto"/>
        <w:jc w:val="both"/>
      </w:pPr>
      <w:r w:rsidRPr="00263752">
        <w:rPr>
          <w:rFonts w:ascii="Palatino Linotype" w:eastAsia="Palatino Linotype" w:hAnsi="Palatino Linotype" w:cs="Palatino Linotype"/>
        </w:rPr>
        <w:lastRenderedPageBreak/>
        <w:t>Lo anterior se sustenta con lo plasmado en el criterio 01/20 emitido por el Instituto Nacional de Transparencia, Acceso a la Información, y Protección de Datos Personales, INAI, que lleva por rubro y texto los siguientes: </w:t>
      </w:r>
    </w:p>
    <w:p w14:paraId="422D0886" w14:textId="77777777" w:rsidR="0066753E" w:rsidRPr="00263752" w:rsidRDefault="0066753E">
      <w:pPr>
        <w:pBdr>
          <w:top w:val="nil"/>
          <w:left w:val="nil"/>
          <w:bottom w:val="nil"/>
          <w:right w:val="nil"/>
          <w:between w:val="nil"/>
        </w:pBdr>
        <w:ind w:left="851" w:right="902"/>
        <w:jc w:val="both"/>
        <w:rPr>
          <w:rFonts w:ascii="Palatino Linotype" w:eastAsia="Palatino Linotype" w:hAnsi="Palatino Linotype" w:cs="Palatino Linotype"/>
          <w:i/>
          <w:sz w:val="22"/>
          <w:szCs w:val="22"/>
        </w:rPr>
      </w:pPr>
    </w:p>
    <w:p w14:paraId="54ACC1D6" w14:textId="77777777" w:rsidR="0066753E" w:rsidRPr="00263752" w:rsidRDefault="00263752">
      <w:pPr>
        <w:pBdr>
          <w:top w:val="nil"/>
          <w:left w:val="nil"/>
          <w:bottom w:val="nil"/>
          <w:right w:val="nil"/>
          <w:between w:val="nil"/>
        </w:pBdr>
        <w:ind w:left="851" w:right="902"/>
        <w:jc w:val="both"/>
        <w:rPr>
          <w:sz w:val="22"/>
          <w:szCs w:val="22"/>
        </w:rPr>
      </w:pPr>
      <w:r w:rsidRPr="00263752">
        <w:rPr>
          <w:rFonts w:ascii="Palatino Linotype" w:eastAsia="Palatino Linotype" w:hAnsi="Palatino Linotype" w:cs="Palatino Linotype"/>
          <w:b/>
          <w:i/>
          <w:sz w:val="22"/>
          <w:szCs w:val="22"/>
        </w:rPr>
        <w:t xml:space="preserve">Actos consentidos tácitamente. Improcedencia de su análisis. </w:t>
      </w:r>
      <w:r w:rsidRPr="00263752">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029521B0" w14:textId="77777777" w:rsidR="0066753E" w:rsidRPr="00263752" w:rsidRDefault="0066753E">
      <w:pPr>
        <w:rPr>
          <w:sz w:val="22"/>
          <w:szCs w:val="22"/>
        </w:rPr>
      </w:pPr>
    </w:p>
    <w:p w14:paraId="2E3A027A" w14:textId="77777777" w:rsidR="0066753E" w:rsidRPr="00263752" w:rsidRDefault="00263752">
      <w:pPr>
        <w:pBdr>
          <w:top w:val="nil"/>
          <w:left w:val="nil"/>
          <w:bottom w:val="nil"/>
          <w:right w:val="nil"/>
          <w:between w:val="nil"/>
        </w:pBd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027DDC3E" w14:textId="77777777" w:rsidR="0066753E" w:rsidRPr="00263752" w:rsidRDefault="0066753E">
      <w:pPr>
        <w:pBdr>
          <w:top w:val="nil"/>
          <w:left w:val="nil"/>
          <w:bottom w:val="nil"/>
          <w:right w:val="nil"/>
          <w:between w:val="nil"/>
        </w:pBdr>
        <w:ind w:left="851" w:right="900"/>
        <w:jc w:val="both"/>
        <w:rPr>
          <w:rFonts w:ascii="Palatino Linotype" w:eastAsia="Palatino Linotype" w:hAnsi="Palatino Linotype" w:cs="Palatino Linotype"/>
          <w:b/>
          <w:i/>
          <w:smallCaps/>
          <w:sz w:val="22"/>
          <w:szCs w:val="22"/>
        </w:rPr>
      </w:pPr>
    </w:p>
    <w:p w14:paraId="3176D971" w14:textId="77777777" w:rsidR="0066753E" w:rsidRPr="00263752" w:rsidRDefault="00263752">
      <w:pPr>
        <w:pBdr>
          <w:top w:val="nil"/>
          <w:left w:val="nil"/>
          <w:bottom w:val="nil"/>
          <w:right w:val="nil"/>
          <w:between w:val="nil"/>
        </w:pBdr>
        <w:ind w:left="851" w:right="900"/>
        <w:jc w:val="both"/>
        <w:rPr>
          <w:sz w:val="22"/>
          <w:szCs w:val="22"/>
        </w:rPr>
      </w:pPr>
      <w:r w:rsidRPr="00263752">
        <w:rPr>
          <w:rFonts w:ascii="Palatino Linotype" w:eastAsia="Palatino Linotype" w:hAnsi="Palatino Linotype" w:cs="Palatino Linotype"/>
          <w:b/>
          <w:i/>
          <w:smallCaps/>
          <w:sz w:val="22"/>
          <w:szCs w:val="22"/>
        </w:rPr>
        <w:t xml:space="preserve">ACTOS CONSENTIDOS. SON LOS QUE NO SE IMPUGNAN MEDIANTE EL RECURSO IDÓNEO. </w:t>
      </w:r>
      <w:r w:rsidRPr="00263752">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263752">
        <w:rPr>
          <w:rFonts w:ascii="Palatino Linotype" w:eastAsia="Palatino Linotype" w:hAnsi="Palatino Linotype" w:cs="Palatino Linotype"/>
          <w:i/>
          <w:sz w:val="22"/>
          <w:szCs w:val="22"/>
        </w:rPr>
        <w:t>ya que</w:t>
      </w:r>
      <w:proofErr w:type="gramEnd"/>
      <w:r w:rsidRPr="00263752">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7809042" w14:textId="77777777" w:rsidR="0066753E" w:rsidRPr="00263752" w:rsidRDefault="00263752">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rPr>
      </w:pPr>
      <w:r w:rsidRPr="00263752">
        <w:rPr>
          <w:sz w:val="22"/>
          <w:szCs w:val="22"/>
        </w:rPr>
        <w:br/>
      </w:r>
      <w:r w:rsidRPr="00263752">
        <w:rPr>
          <w:rFonts w:ascii="Palatino Linotype" w:eastAsia="Palatino Linotype" w:hAnsi="Palatino Linotype" w:cs="Palatino Linotype"/>
        </w:rPr>
        <w:t xml:space="preserve">Consecuentemente, la parte de la respuesta que no fue impugnada debe declararse consentida, toda vez que, </w:t>
      </w:r>
      <w:r w:rsidRPr="00263752">
        <w:rPr>
          <w:rFonts w:ascii="Palatino Linotype" w:eastAsia="Palatino Linotype" w:hAnsi="Palatino Linotype" w:cs="Palatino Linotype"/>
          <w:b/>
        </w:rPr>
        <w:t>LA PARTE RECURRENTE</w:t>
      </w:r>
      <w:r w:rsidRPr="00263752">
        <w:rPr>
          <w:rFonts w:ascii="Palatino Linotype" w:eastAsia="Palatino Linotype" w:hAnsi="Palatino Linotype" w:cs="Palatino Linotype"/>
        </w:rPr>
        <w:t xml:space="preserve"> no realizó manifestaciones de inconformidad; por lo que, no pueden producirse efectos jurídicos tendentes a revocar, confirmar o modificar el acto reclamado, ya que se infiere su consentimiento ante la falta de impugnación eficaz.</w:t>
      </w:r>
    </w:p>
    <w:p w14:paraId="5A2AF40A" w14:textId="77777777" w:rsidR="0066753E" w:rsidRPr="00263752" w:rsidRDefault="0066753E">
      <w:pPr>
        <w:pBdr>
          <w:top w:val="nil"/>
          <w:left w:val="nil"/>
          <w:bottom w:val="nil"/>
          <w:right w:val="nil"/>
          <w:between w:val="nil"/>
        </w:pBdr>
        <w:shd w:val="clear" w:color="auto" w:fill="FFFFFF"/>
        <w:spacing w:line="360" w:lineRule="auto"/>
        <w:ind w:right="49"/>
        <w:jc w:val="both"/>
      </w:pPr>
    </w:p>
    <w:p w14:paraId="3CE10916" w14:textId="77777777" w:rsidR="0066753E" w:rsidRPr="00263752" w:rsidRDefault="00263752">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b/>
        </w:rPr>
      </w:pPr>
      <w:r w:rsidRPr="00263752">
        <w:rPr>
          <w:rFonts w:ascii="Palatino Linotype" w:eastAsia="Palatino Linotype" w:hAnsi="Palatino Linotype" w:cs="Palatino Linotype"/>
        </w:rPr>
        <w:t xml:space="preserve">Es momento de analizar que </w:t>
      </w:r>
      <w:r w:rsidRPr="00263752">
        <w:rPr>
          <w:rFonts w:ascii="Palatino Linotype" w:eastAsia="Palatino Linotype" w:hAnsi="Palatino Linotype" w:cs="Palatino Linotype"/>
          <w:b/>
        </w:rPr>
        <w:t>LA PARTE RECURRENTE</w:t>
      </w:r>
      <w:r w:rsidRPr="00263752">
        <w:rPr>
          <w:rFonts w:ascii="Palatino Linotype" w:eastAsia="Palatino Linotype" w:hAnsi="Palatino Linotype" w:cs="Palatino Linotype"/>
        </w:rPr>
        <w:t xml:space="preserve"> se manifestó en este medio de impugnación únicamente en razón de que a su criterio, no le fue remitida información correspondiente a los meses de octubre, noviembre y diciembre de dos </w:t>
      </w:r>
      <w:r w:rsidRPr="00263752">
        <w:rPr>
          <w:rFonts w:ascii="Palatino Linotype" w:eastAsia="Palatino Linotype" w:hAnsi="Palatino Linotype" w:cs="Palatino Linotype"/>
        </w:rPr>
        <w:lastRenderedPageBreak/>
        <w:t xml:space="preserve">mil veintidós, cuando del Antecedente número uno de esta resolución quedó evidenciado su deseo de allegarse de información de los meses de enero hasta la fecha de interposición de su solicitud </w:t>
      </w:r>
      <w:r w:rsidRPr="00263752">
        <w:rPr>
          <w:rFonts w:ascii="Palatino Linotype" w:eastAsia="Palatino Linotype" w:hAnsi="Palatino Linotype" w:cs="Palatino Linotype"/>
          <w:b/>
        </w:rPr>
        <w:t xml:space="preserve">00293/TLALMANA/IP/2022, </w:t>
      </w:r>
      <w:r w:rsidRPr="00263752">
        <w:rPr>
          <w:rFonts w:ascii="Palatino Linotype" w:eastAsia="Palatino Linotype" w:hAnsi="Palatino Linotype" w:cs="Palatino Linotype"/>
        </w:rPr>
        <w:t>que fue el veintiuno de diciembre del año en cita.</w:t>
      </w:r>
      <w:r w:rsidRPr="00263752">
        <w:rPr>
          <w:rFonts w:ascii="Palatino Linotype" w:eastAsia="Palatino Linotype" w:hAnsi="Palatino Linotype" w:cs="Palatino Linotype"/>
          <w:b/>
        </w:rPr>
        <w:t xml:space="preserve"> </w:t>
      </w:r>
    </w:p>
    <w:p w14:paraId="20266896" w14:textId="77777777" w:rsidR="0066753E" w:rsidRPr="00263752" w:rsidRDefault="0066753E">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b/>
        </w:rPr>
      </w:pPr>
    </w:p>
    <w:p w14:paraId="7C8702ED" w14:textId="77777777" w:rsidR="0066753E" w:rsidRPr="00263752" w:rsidRDefault="00263752">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De la revisión realizada por el Infoem, es procedente advertir que efectivamente, los motivos de inconformidad de </w:t>
      </w:r>
      <w:r w:rsidRPr="00263752">
        <w:rPr>
          <w:rFonts w:ascii="Palatino Linotype" w:eastAsia="Palatino Linotype" w:hAnsi="Palatino Linotype" w:cs="Palatino Linotype"/>
          <w:b/>
        </w:rPr>
        <w:t>LA PARTE RECURRENTE</w:t>
      </w:r>
      <w:r w:rsidRPr="00263752">
        <w:rPr>
          <w:rFonts w:ascii="Palatino Linotype" w:eastAsia="Palatino Linotype" w:hAnsi="Palatino Linotype" w:cs="Palatino Linotype"/>
        </w:rPr>
        <w:t xml:space="preserve"> acontecen fundados, en razón de que la información hecha de su conocimiento únicamente abarcó del mes de enero hasta el mes de septiembre de dos mil veintidós. </w:t>
      </w:r>
    </w:p>
    <w:p w14:paraId="62884664" w14:textId="77777777" w:rsidR="0066753E" w:rsidRPr="00263752" w:rsidRDefault="0066753E">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rPr>
      </w:pPr>
    </w:p>
    <w:p w14:paraId="210153C1" w14:textId="77777777" w:rsidR="0066753E" w:rsidRPr="00263752" w:rsidRDefault="0066753E">
      <w:pPr>
        <w:spacing w:line="360" w:lineRule="auto"/>
        <w:ind w:right="51"/>
        <w:jc w:val="center"/>
        <w:rPr>
          <w:rFonts w:ascii="Palatino Linotype" w:eastAsia="Palatino Linotype" w:hAnsi="Palatino Linotype" w:cs="Palatino Linotype"/>
        </w:rPr>
      </w:pPr>
    </w:p>
    <w:p w14:paraId="4AF6DC65" w14:textId="77777777" w:rsidR="0066753E" w:rsidRPr="00263752" w:rsidRDefault="0066753E">
      <w:pPr>
        <w:spacing w:line="360" w:lineRule="auto"/>
        <w:ind w:right="51"/>
        <w:jc w:val="both"/>
        <w:rPr>
          <w:rFonts w:ascii="Palatino Linotype" w:eastAsia="Palatino Linotype" w:hAnsi="Palatino Linotype" w:cs="Palatino Linotype"/>
        </w:rPr>
      </w:pPr>
    </w:p>
    <w:p w14:paraId="7B71DAE4" w14:textId="77777777" w:rsidR="0066753E" w:rsidRPr="00263752" w:rsidRDefault="0066753E">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rPr>
      </w:pPr>
    </w:p>
    <w:p w14:paraId="59E7529D" w14:textId="77777777" w:rsidR="0066753E" w:rsidRPr="00263752" w:rsidRDefault="0066753E">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rPr>
      </w:pPr>
    </w:p>
    <w:p w14:paraId="1A593F8F"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Ahora, de la revisión realizada al Marco Normativo aplicable que faculta a la Tesorería Municipal para pronunciarse al respecto, como se advierte a continuación: </w:t>
      </w:r>
    </w:p>
    <w:p w14:paraId="6CE8015A" w14:textId="77777777" w:rsidR="0066753E" w:rsidRPr="00263752" w:rsidRDefault="0066753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B88C093"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263752">
        <w:rPr>
          <w:rFonts w:ascii="Palatino Linotype" w:eastAsia="Palatino Linotype" w:hAnsi="Palatino Linotype" w:cs="Palatino Linotype"/>
          <w:b/>
          <w:i/>
          <w:sz w:val="22"/>
          <w:szCs w:val="22"/>
        </w:rPr>
        <w:t xml:space="preserve">LEY ORGÁNICA MUNICIPAL DEL ESTADO DE MÉXICO </w:t>
      </w:r>
    </w:p>
    <w:p w14:paraId="68508A03"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 xml:space="preserve">TITULO IV Régimen Administrativo </w:t>
      </w:r>
    </w:p>
    <w:p w14:paraId="74CB8149"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CAPITULO PRIMERO De las Dependencias Administrativas</w:t>
      </w:r>
    </w:p>
    <w:p w14:paraId="3E2BB273"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 xml:space="preserve">Artículo 87.- Para el despacho, estudio y planeación de los diversos asuntos de la administración municipal, el ayuntamiento contará por lo menos con las siguientes Dependencias: </w:t>
      </w:r>
    </w:p>
    <w:p w14:paraId="2D69B308"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w:t>
      </w:r>
    </w:p>
    <w:p w14:paraId="4B05F7CC"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263752">
        <w:rPr>
          <w:rFonts w:ascii="Palatino Linotype" w:eastAsia="Palatino Linotype" w:hAnsi="Palatino Linotype" w:cs="Palatino Linotype"/>
          <w:b/>
          <w:i/>
          <w:sz w:val="22"/>
          <w:szCs w:val="22"/>
        </w:rPr>
        <w:t>II. La tesorería municipal.</w:t>
      </w:r>
    </w:p>
    <w:p w14:paraId="3F00284C"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w:t>
      </w:r>
    </w:p>
    <w:p w14:paraId="0416C7A0" w14:textId="77777777" w:rsidR="0066753E" w:rsidRPr="00263752" w:rsidRDefault="0066753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8F4FAB2"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CAPITULO SEGUNDO De la Tesorería Municipal</w:t>
      </w:r>
    </w:p>
    <w:p w14:paraId="694279FE"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 xml:space="preserve">Artículo 95.- Son atribuciones del tesorero municipal: </w:t>
      </w:r>
    </w:p>
    <w:p w14:paraId="364F04E1"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lastRenderedPageBreak/>
        <w:t>I. Administrar la hacienda pública municipal, de conformidad con las disposiciones legales aplicables;</w:t>
      </w:r>
    </w:p>
    <w:p w14:paraId="107AEC08"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w:t>
      </w:r>
    </w:p>
    <w:p w14:paraId="56BD9C89"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263752">
        <w:rPr>
          <w:rFonts w:ascii="Palatino Linotype" w:eastAsia="Palatino Linotype" w:hAnsi="Palatino Linotype" w:cs="Palatino Linotype"/>
          <w:b/>
          <w:i/>
          <w:sz w:val="22"/>
          <w:szCs w:val="22"/>
        </w:rPr>
        <w:t>IV. Llevar los registros contables, financieros y administrativos de los ingresos, egresos, e inventarios;</w:t>
      </w:r>
    </w:p>
    <w:p w14:paraId="432B255C"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w:t>
      </w:r>
    </w:p>
    <w:p w14:paraId="69452258" w14:textId="77777777" w:rsidR="0066753E" w:rsidRPr="00263752" w:rsidRDefault="0066753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C4387B3"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263752">
        <w:rPr>
          <w:rFonts w:ascii="Palatino Linotype" w:eastAsia="Palatino Linotype" w:hAnsi="Palatino Linotype" w:cs="Palatino Linotype"/>
          <w:b/>
          <w:i/>
          <w:sz w:val="22"/>
          <w:szCs w:val="22"/>
        </w:rPr>
        <w:t>BANDO MUNICIPAL DE TLALMANALCO 2022</w:t>
      </w:r>
    </w:p>
    <w:p w14:paraId="65B9AFEC" w14:textId="77777777" w:rsidR="0066753E" w:rsidRPr="00263752" w:rsidRDefault="0066753E">
      <w:pPr>
        <w:pBdr>
          <w:top w:val="nil"/>
          <w:left w:val="nil"/>
          <w:bottom w:val="nil"/>
          <w:right w:val="nil"/>
          <w:between w:val="nil"/>
        </w:pBdr>
        <w:spacing w:line="360" w:lineRule="auto"/>
      </w:pPr>
    </w:p>
    <w:p w14:paraId="1F9EDF08" w14:textId="77777777" w:rsidR="0066753E" w:rsidRPr="00263752" w:rsidRDefault="00263752">
      <w:pPr>
        <w:pBdr>
          <w:top w:val="nil"/>
          <w:left w:val="nil"/>
          <w:bottom w:val="nil"/>
          <w:right w:val="nil"/>
          <w:between w:val="nil"/>
        </w:pBdr>
        <w:spacing w:line="360" w:lineRule="auto"/>
        <w:jc w:val="center"/>
      </w:pPr>
      <w:r w:rsidRPr="00263752">
        <w:rPr>
          <w:noProof/>
        </w:rPr>
        <w:drawing>
          <wp:inline distT="0" distB="0" distL="0" distR="0" wp14:anchorId="4F624C6A" wp14:editId="091A4DC9">
            <wp:extent cx="2203707" cy="938988"/>
            <wp:effectExtent l="0" t="0" r="0" b="0"/>
            <wp:docPr id="5639680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l="15783" t="46168" r="51629" b="29146"/>
                    <a:stretch>
                      <a:fillRect/>
                    </a:stretch>
                  </pic:blipFill>
                  <pic:spPr>
                    <a:xfrm>
                      <a:off x="0" y="0"/>
                      <a:ext cx="2203707" cy="938988"/>
                    </a:xfrm>
                    <a:prstGeom prst="rect">
                      <a:avLst/>
                    </a:prstGeom>
                    <a:ln/>
                  </pic:spPr>
                </pic:pic>
              </a:graphicData>
            </a:graphic>
          </wp:inline>
        </w:drawing>
      </w:r>
    </w:p>
    <w:p w14:paraId="2CDEF7C5" w14:textId="77777777" w:rsidR="0066753E" w:rsidRPr="00263752" w:rsidRDefault="00263752">
      <w:pPr>
        <w:pBdr>
          <w:top w:val="nil"/>
          <w:left w:val="nil"/>
          <w:bottom w:val="nil"/>
          <w:right w:val="nil"/>
          <w:between w:val="nil"/>
        </w:pBdr>
        <w:spacing w:line="360" w:lineRule="auto"/>
        <w:jc w:val="center"/>
      </w:pPr>
      <w:r w:rsidRPr="00263752">
        <w:rPr>
          <w:noProof/>
        </w:rPr>
        <w:drawing>
          <wp:inline distT="0" distB="0" distL="0" distR="0" wp14:anchorId="5126D23D" wp14:editId="595C4D2B">
            <wp:extent cx="1745241" cy="1179218"/>
            <wp:effectExtent l="0" t="0" r="0" b="0"/>
            <wp:docPr id="56396809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l="49729" t="27457" r="18873" b="34822"/>
                    <a:stretch>
                      <a:fillRect/>
                    </a:stretch>
                  </pic:blipFill>
                  <pic:spPr>
                    <a:xfrm>
                      <a:off x="0" y="0"/>
                      <a:ext cx="1745241" cy="1179218"/>
                    </a:xfrm>
                    <a:prstGeom prst="rect">
                      <a:avLst/>
                    </a:prstGeom>
                    <a:ln/>
                  </pic:spPr>
                </pic:pic>
              </a:graphicData>
            </a:graphic>
          </wp:inline>
        </w:drawing>
      </w:r>
    </w:p>
    <w:p w14:paraId="00D40D72" w14:textId="77777777" w:rsidR="0066753E" w:rsidRPr="00263752" w:rsidRDefault="00263752">
      <w:pPr>
        <w:pBdr>
          <w:top w:val="nil"/>
          <w:left w:val="nil"/>
          <w:bottom w:val="nil"/>
          <w:right w:val="nil"/>
          <w:between w:val="nil"/>
        </w:pBdr>
        <w:spacing w:line="360" w:lineRule="auto"/>
        <w:jc w:val="center"/>
      </w:pPr>
      <w:r w:rsidRPr="00263752">
        <w:rPr>
          <w:noProof/>
        </w:rPr>
        <w:drawing>
          <wp:inline distT="0" distB="0" distL="0" distR="0" wp14:anchorId="450950C0" wp14:editId="116B9F55">
            <wp:extent cx="1762125" cy="1695450"/>
            <wp:effectExtent l="0" t="0" r="0" b="0"/>
            <wp:docPr id="56396809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l="17649" t="22329" r="50950" b="23959"/>
                    <a:stretch>
                      <a:fillRect/>
                    </a:stretch>
                  </pic:blipFill>
                  <pic:spPr>
                    <a:xfrm>
                      <a:off x="0" y="0"/>
                      <a:ext cx="1762125" cy="1695450"/>
                    </a:xfrm>
                    <a:prstGeom prst="rect">
                      <a:avLst/>
                    </a:prstGeom>
                    <a:ln/>
                  </pic:spPr>
                </pic:pic>
              </a:graphicData>
            </a:graphic>
          </wp:inline>
        </w:drawing>
      </w:r>
    </w:p>
    <w:p w14:paraId="62148FD3" w14:textId="77777777" w:rsidR="0066753E" w:rsidRPr="00263752" w:rsidRDefault="0066753E">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rPr>
      </w:pPr>
    </w:p>
    <w:p w14:paraId="49DE8172" w14:textId="77777777" w:rsidR="0066753E" w:rsidRPr="00263752" w:rsidRDefault="00263752">
      <w:pPr>
        <w:spacing w:line="360" w:lineRule="auto"/>
        <w:ind w:right="51"/>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En virtud de lo anterior, la Tesorería Municipal efectivamente cuenta con las facultades legales para dotar de la información relativa a los meses de octubre, noviembre y diciembre de dos mil veintidós, misma que resulta faltante en la respuesta inicial a la solicitud, relativa a las facturas, pólizas de cheques y gastos </w:t>
      </w:r>
      <w:r w:rsidRPr="00263752">
        <w:rPr>
          <w:rFonts w:ascii="Palatino Linotype" w:eastAsia="Palatino Linotype" w:hAnsi="Palatino Linotype" w:cs="Palatino Linotype"/>
        </w:rPr>
        <w:lastRenderedPageBreak/>
        <w:t>efectuados por la oficina de Presidencia Municipal del periodo 01 de enero 2022 a la fecha de la entrega de la información.</w:t>
      </w:r>
    </w:p>
    <w:p w14:paraId="7818D804" w14:textId="77777777" w:rsidR="0066753E" w:rsidRPr="00263752" w:rsidRDefault="0066753E">
      <w:pPr>
        <w:spacing w:line="360" w:lineRule="auto"/>
        <w:ind w:right="51"/>
        <w:jc w:val="both"/>
        <w:rPr>
          <w:rFonts w:ascii="Palatino Linotype" w:eastAsia="Palatino Linotype" w:hAnsi="Palatino Linotype" w:cs="Palatino Linotype"/>
        </w:rPr>
      </w:pPr>
    </w:p>
    <w:p w14:paraId="6C23F6FB" w14:textId="77777777" w:rsidR="0066753E" w:rsidRPr="00263752" w:rsidRDefault="00263752">
      <w:pPr>
        <w:spacing w:line="360" w:lineRule="auto"/>
        <w:ind w:right="51"/>
        <w:jc w:val="both"/>
        <w:rPr>
          <w:rFonts w:ascii="Palatino Linotype" w:eastAsia="Palatino Linotype" w:hAnsi="Palatino Linotype" w:cs="Palatino Linotype"/>
        </w:rPr>
      </w:pPr>
      <w:r w:rsidRPr="00263752">
        <w:rPr>
          <w:rFonts w:ascii="Palatino Linotype" w:eastAsia="Palatino Linotype" w:hAnsi="Palatino Linotype" w:cs="Palatino Linotype"/>
        </w:rPr>
        <w:t>Para tal efecto, no obsta mencionar que el Glosario de Términos Hacendarios que emite el Instituto Hacendario del Estado de México, define el término “factura” como el documento fiscal que emite la persona física o moral para comprobar la venta o adquisición de un bien y/o servicio.</w:t>
      </w:r>
    </w:p>
    <w:p w14:paraId="3AC6D9D2" w14:textId="77777777" w:rsidR="0066753E" w:rsidRPr="00263752" w:rsidRDefault="0066753E">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799F10A5"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263752">
        <w:rPr>
          <w:rFonts w:ascii="Palatino Linotype" w:eastAsia="Palatino Linotype" w:hAnsi="Palatino Linotype" w:cs="Palatino Linotype"/>
          <w:i/>
          <w:sz w:val="22"/>
          <w:szCs w:val="22"/>
        </w:rPr>
        <w:t>“</w:t>
      </w:r>
      <w:r w:rsidRPr="00263752">
        <w:rPr>
          <w:rFonts w:ascii="Palatino Linotype" w:eastAsia="Palatino Linotype" w:hAnsi="Palatino Linotype" w:cs="Palatino Linotype"/>
          <w:b/>
          <w:i/>
          <w:sz w:val="22"/>
          <w:szCs w:val="22"/>
        </w:rPr>
        <w:t>FACTURA</w:t>
      </w:r>
    </w:p>
    <w:p w14:paraId="664E9575"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 xml:space="preserve">Es el documento fiscal que emite la persona física o moral para </w:t>
      </w:r>
      <w:r w:rsidRPr="00263752">
        <w:rPr>
          <w:rFonts w:ascii="Palatino Linotype" w:eastAsia="Palatino Linotype" w:hAnsi="Palatino Linotype" w:cs="Palatino Linotype"/>
          <w:b/>
          <w:i/>
          <w:sz w:val="22"/>
          <w:szCs w:val="22"/>
          <w:u w:val="single"/>
        </w:rPr>
        <w:t>comprobar la venta o adquisición de un bien y/o servicio</w:t>
      </w:r>
      <w:r w:rsidRPr="00263752">
        <w:rPr>
          <w:rFonts w:ascii="Palatino Linotype" w:eastAsia="Palatino Linotype" w:hAnsi="Palatino Linotype" w:cs="Palatino Linotype"/>
          <w:i/>
          <w:sz w:val="22"/>
          <w:szCs w:val="22"/>
        </w:rPr>
        <w:t>.” (Sic)</w:t>
      </w:r>
    </w:p>
    <w:p w14:paraId="6FC88BBB" w14:textId="77777777" w:rsidR="0066753E" w:rsidRPr="00263752" w:rsidRDefault="0066753E">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7BA58A27" w14:textId="77777777" w:rsidR="0066753E" w:rsidRPr="00263752" w:rsidRDefault="00263752">
      <w:pPr>
        <w:spacing w:line="360" w:lineRule="auto"/>
        <w:ind w:right="51"/>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Así, 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18B1F8E0" w14:textId="77777777" w:rsidR="0066753E" w:rsidRPr="00263752" w:rsidRDefault="0066753E">
      <w:pPr>
        <w:spacing w:line="360" w:lineRule="auto"/>
        <w:ind w:right="51"/>
        <w:jc w:val="both"/>
        <w:rPr>
          <w:rFonts w:ascii="Palatino Linotype" w:eastAsia="Palatino Linotype" w:hAnsi="Palatino Linotype" w:cs="Palatino Linotype"/>
        </w:rPr>
      </w:pPr>
    </w:p>
    <w:p w14:paraId="7EA562D7" w14:textId="77777777" w:rsidR="0066753E" w:rsidRPr="00263752" w:rsidRDefault="00263752">
      <w:pPr>
        <w:spacing w:line="360" w:lineRule="auto"/>
        <w:ind w:right="49"/>
        <w:jc w:val="both"/>
        <w:rPr>
          <w:rFonts w:ascii="Palatino Linotype" w:eastAsia="Palatino Linotype" w:hAnsi="Palatino Linotype" w:cs="Palatino Linotype"/>
        </w:rPr>
      </w:pPr>
      <w:r w:rsidRPr="00263752">
        <w:rPr>
          <w:rFonts w:ascii="Palatino Linotype" w:eastAsia="Palatino Linotype" w:hAnsi="Palatino Linotype" w:cs="Palatino Linotype"/>
        </w:rPr>
        <w:t>Aunado a ello, los artículos 342, 343, 344 y 345 del Código Financiero del Estado de México y Municipios, disponen el sistema y las políticas que deben seguirse para llevar el registro contable y presupuestal de las operaciones financieras, en los siguientes términos:</w:t>
      </w:r>
    </w:p>
    <w:p w14:paraId="29CDDE86" w14:textId="77777777" w:rsidR="0066753E" w:rsidRPr="00263752" w:rsidRDefault="0066753E">
      <w:pPr>
        <w:pBdr>
          <w:top w:val="nil"/>
          <w:left w:val="nil"/>
          <w:bottom w:val="nil"/>
          <w:right w:val="nil"/>
          <w:between w:val="nil"/>
        </w:pBdr>
        <w:ind w:left="864" w:right="864"/>
        <w:jc w:val="both"/>
        <w:rPr>
          <w:i/>
          <w:sz w:val="22"/>
          <w:szCs w:val="22"/>
        </w:rPr>
      </w:pPr>
    </w:p>
    <w:p w14:paraId="59DE7D71" w14:textId="77777777" w:rsidR="0066753E" w:rsidRPr="00263752" w:rsidRDefault="00263752">
      <w:pPr>
        <w:pBdr>
          <w:top w:val="nil"/>
          <w:left w:val="nil"/>
          <w:bottom w:val="nil"/>
          <w:right w:val="nil"/>
          <w:between w:val="nil"/>
        </w:pBdr>
        <w:spacing w:line="276" w:lineRule="auto"/>
        <w:ind w:left="864" w:right="629"/>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Artículo 342.-</w:t>
      </w:r>
      <w:r w:rsidRPr="00263752">
        <w:rPr>
          <w:rFonts w:ascii="Palatino Linotype" w:eastAsia="Palatino Linotype" w:hAnsi="Palatino Linotype" w:cs="Palatino Linotype"/>
          <w:i/>
          <w:sz w:val="22"/>
          <w:szCs w:val="22"/>
        </w:rPr>
        <w:t xml:space="preserve"> El registro contable del efecto patrimonial y presupuestal de las operaciones financieras, se realizará conforme al sistema y a las disposiciones que se </w:t>
      </w:r>
      <w:r w:rsidRPr="00263752">
        <w:rPr>
          <w:rFonts w:ascii="Palatino Linotype" w:eastAsia="Palatino Linotype" w:hAnsi="Palatino Linotype" w:cs="Palatino Linotype"/>
          <w:i/>
          <w:sz w:val="22"/>
          <w:szCs w:val="22"/>
        </w:rPr>
        <w:lastRenderedPageBreak/>
        <w:t>aprueben en materia de planeación, programación, presupuestación, evaluación y contabilidad gubernamental.</w:t>
      </w:r>
    </w:p>
    <w:p w14:paraId="477F2BD2" w14:textId="77777777" w:rsidR="0066753E" w:rsidRPr="00263752" w:rsidRDefault="00263752">
      <w:pPr>
        <w:pBdr>
          <w:top w:val="nil"/>
          <w:left w:val="nil"/>
          <w:bottom w:val="nil"/>
          <w:right w:val="nil"/>
          <w:between w:val="nil"/>
        </w:pBdr>
        <w:spacing w:line="276" w:lineRule="auto"/>
        <w:ind w:left="864" w:right="629"/>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En el caso de los municipios,</w:t>
      </w:r>
      <w:r w:rsidRPr="00263752">
        <w:rPr>
          <w:rFonts w:ascii="Palatino Linotype" w:eastAsia="Palatino Linotype" w:hAnsi="Palatino Linotype" w:cs="Palatino Linotype"/>
          <w:i/>
          <w:sz w:val="22"/>
          <w:szCs w:val="22"/>
        </w:rPr>
        <w:t xml:space="preserve"> el registro a que se refiere el párrafo anterior, se realizará conforme al sistema y a las disposiciones en materia de </w:t>
      </w:r>
      <w:r w:rsidRPr="00263752">
        <w:rPr>
          <w:rFonts w:ascii="Palatino Linotype" w:eastAsia="Palatino Linotype" w:hAnsi="Palatino Linotype" w:cs="Palatino Linotype"/>
          <w:b/>
          <w:i/>
          <w:sz w:val="22"/>
          <w:szCs w:val="22"/>
        </w:rPr>
        <w:t>planeación, programación, presupuestación, evaluación y contabilidad gubernamental</w:t>
      </w:r>
      <w:r w:rsidRPr="00263752">
        <w:rPr>
          <w:rFonts w:ascii="Palatino Linotype" w:eastAsia="Palatino Linotype" w:hAnsi="Palatino Linotype" w:cs="Palatino Linotype"/>
          <w:i/>
          <w:sz w:val="22"/>
          <w:szCs w:val="22"/>
        </w:rPr>
        <w:t>, que se aprueben en el marco del Sistema de Coordinación Hacendaria del Estado de México.</w:t>
      </w:r>
    </w:p>
    <w:p w14:paraId="74C0F3F9" w14:textId="77777777" w:rsidR="0066753E" w:rsidRPr="00263752" w:rsidRDefault="0066753E">
      <w:pPr>
        <w:pBdr>
          <w:top w:val="nil"/>
          <w:left w:val="nil"/>
          <w:bottom w:val="nil"/>
          <w:right w:val="nil"/>
          <w:between w:val="nil"/>
        </w:pBdr>
        <w:spacing w:line="276" w:lineRule="auto"/>
        <w:ind w:left="864" w:right="629"/>
        <w:jc w:val="both"/>
        <w:rPr>
          <w:rFonts w:ascii="Palatino Linotype" w:eastAsia="Palatino Linotype" w:hAnsi="Palatino Linotype" w:cs="Palatino Linotype"/>
          <w:b/>
          <w:i/>
          <w:sz w:val="22"/>
          <w:szCs w:val="22"/>
        </w:rPr>
      </w:pPr>
    </w:p>
    <w:p w14:paraId="295C8BBF" w14:textId="77777777" w:rsidR="0066753E" w:rsidRPr="00263752" w:rsidRDefault="00263752">
      <w:pPr>
        <w:pBdr>
          <w:top w:val="nil"/>
          <w:left w:val="nil"/>
          <w:bottom w:val="nil"/>
          <w:right w:val="nil"/>
          <w:between w:val="nil"/>
        </w:pBdr>
        <w:spacing w:line="276" w:lineRule="auto"/>
        <w:ind w:left="864" w:right="629"/>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Artículo 343.-</w:t>
      </w:r>
      <w:r w:rsidRPr="00263752">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5E69F4A1" w14:textId="77777777" w:rsidR="0066753E" w:rsidRPr="00263752" w:rsidRDefault="00263752">
      <w:pPr>
        <w:pBdr>
          <w:top w:val="nil"/>
          <w:left w:val="nil"/>
          <w:bottom w:val="nil"/>
          <w:right w:val="nil"/>
          <w:between w:val="nil"/>
        </w:pBdr>
        <w:spacing w:line="276" w:lineRule="auto"/>
        <w:ind w:left="864" w:right="629"/>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El sistema de contabilidad sobre base acumulativa total, se sustentará en las normas emitidas por el Consejo Nacional de Armonización Contable.</w:t>
      </w:r>
    </w:p>
    <w:p w14:paraId="21DAA0F4" w14:textId="77777777" w:rsidR="0066753E" w:rsidRPr="00263752" w:rsidRDefault="0066753E">
      <w:pPr>
        <w:pBdr>
          <w:top w:val="nil"/>
          <w:left w:val="nil"/>
          <w:bottom w:val="nil"/>
          <w:right w:val="nil"/>
          <w:between w:val="nil"/>
        </w:pBdr>
        <w:spacing w:line="276" w:lineRule="auto"/>
        <w:ind w:left="864" w:right="629"/>
        <w:jc w:val="both"/>
        <w:rPr>
          <w:rFonts w:ascii="Palatino Linotype" w:eastAsia="Palatino Linotype" w:hAnsi="Palatino Linotype" w:cs="Palatino Linotype"/>
          <w:i/>
          <w:sz w:val="22"/>
          <w:szCs w:val="22"/>
        </w:rPr>
      </w:pPr>
    </w:p>
    <w:p w14:paraId="5B5D69A9" w14:textId="77777777" w:rsidR="0066753E" w:rsidRPr="00263752" w:rsidRDefault="00263752">
      <w:pPr>
        <w:pBdr>
          <w:top w:val="nil"/>
          <w:left w:val="nil"/>
          <w:bottom w:val="nil"/>
          <w:right w:val="nil"/>
          <w:between w:val="nil"/>
        </w:pBdr>
        <w:spacing w:line="276" w:lineRule="auto"/>
        <w:ind w:left="864" w:right="629"/>
        <w:jc w:val="both"/>
        <w:rPr>
          <w:rFonts w:ascii="Palatino Linotype" w:eastAsia="Palatino Linotype" w:hAnsi="Palatino Linotype" w:cs="Palatino Linotype"/>
          <w:b/>
          <w:i/>
          <w:sz w:val="22"/>
          <w:szCs w:val="22"/>
        </w:rPr>
      </w:pPr>
      <w:r w:rsidRPr="00263752">
        <w:rPr>
          <w:rFonts w:ascii="Palatino Linotype" w:eastAsia="Palatino Linotype" w:hAnsi="Palatino Linotype" w:cs="Palatino Linotype"/>
          <w:b/>
          <w:i/>
          <w:sz w:val="22"/>
          <w:szCs w:val="22"/>
        </w:rPr>
        <w:t xml:space="preserve">Artículo 344.- Los Entes Públicos, a través de cualquiera de sus unidades administrativas, de acuerdo con su naturaleza jurídica y según corresponda, </w:t>
      </w:r>
      <w:r w:rsidRPr="00263752">
        <w:rPr>
          <w:rFonts w:ascii="Palatino Linotype" w:eastAsia="Palatino Linotype" w:hAnsi="Palatino Linotype" w:cs="Palatino Linotype"/>
          <w:b/>
          <w:i/>
          <w:sz w:val="22"/>
          <w:szCs w:val="22"/>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263752">
        <w:rPr>
          <w:rFonts w:ascii="Palatino Linotype" w:eastAsia="Palatino Linotype" w:hAnsi="Palatino Linotype" w:cs="Palatino Linotype"/>
          <w:b/>
          <w:i/>
          <w:sz w:val="22"/>
          <w:szCs w:val="22"/>
        </w:rPr>
        <w:t>.</w:t>
      </w:r>
    </w:p>
    <w:p w14:paraId="29AB5B00" w14:textId="77777777" w:rsidR="0066753E" w:rsidRPr="00263752" w:rsidRDefault="00263752">
      <w:pPr>
        <w:pBdr>
          <w:top w:val="nil"/>
          <w:left w:val="nil"/>
          <w:bottom w:val="nil"/>
          <w:right w:val="nil"/>
          <w:between w:val="nil"/>
        </w:pBdr>
        <w:spacing w:line="276" w:lineRule="auto"/>
        <w:ind w:left="864" w:right="629"/>
        <w:jc w:val="both"/>
        <w:rPr>
          <w:rFonts w:ascii="Palatino Linotype" w:eastAsia="Palatino Linotype" w:hAnsi="Palatino Linotype" w:cs="Palatino Linotype"/>
          <w:b/>
          <w:i/>
          <w:sz w:val="22"/>
          <w:szCs w:val="22"/>
        </w:rPr>
      </w:pPr>
      <w:r w:rsidRPr="00263752">
        <w:rPr>
          <w:rFonts w:ascii="Palatino Linotype" w:eastAsia="Palatino Linotype" w:hAnsi="Palatino Linotype" w:cs="Palatino Linotype"/>
          <w:b/>
          <w:i/>
          <w:sz w:val="22"/>
          <w:szCs w:val="22"/>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263752">
        <w:rPr>
          <w:rFonts w:ascii="Palatino Linotype" w:eastAsia="Palatino Linotype" w:hAnsi="Palatino Linotype" w:cs="Palatino Linotype"/>
          <w:i/>
          <w:sz w:val="22"/>
          <w:szCs w:val="22"/>
        </w:rPr>
        <w:t xml:space="preserve">según corresponda, así como de los órganos internos de control, </w:t>
      </w:r>
      <w:r w:rsidRPr="00263752">
        <w:rPr>
          <w:rFonts w:ascii="Palatino Linotype" w:eastAsia="Palatino Linotype" w:hAnsi="Palatino Linotype" w:cs="Palatino Linotype"/>
          <w:b/>
          <w:i/>
          <w:sz w:val="22"/>
          <w:szCs w:val="22"/>
        </w:rPr>
        <w:t>por un término de cinco años,</w:t>
      </w:r>
      <w:r w:rsidRPr="00263752">
        <w:rPr>
          <w:rFonts w:ascii="Palatino Linotype" w:eastAsia="Palatino Linotype" w:hAnsi="Palatino Linotype" w:cs="Palatino Linotype"/>
          <w:i/>
          <w:sz w:val="22"/>
          <w:szCs w:val="22"/>
        </w:rPr>
        <w:t xml:space="preserve"> contados a partir del ejercicio presupuestal siguiente al que corresponda,</w:t>
      </w:r>
      <w:r w:rsidRPr="00263752">
        <w:rPr>
          <w:rFonts w:ascii="Palatino Linotype" w:eastAsia="Palatino Linotype" w:hAnsi="Palatino Linotype" w:cs="Palatino Linotype"/>
          <w:b/>
          <w:i/>
          <w:sz w:val="22"/>
          <w:szCs w:val="22"/>
        </w:rPr>
        <w:t xml:space="preserve"> en el caso de los Municipios, dicha obligación corresponderá a la Tesorería.</w:t>
      </w:r>
    </w:p>
    <w:p w14:paraId="2DCEEA57" w14:textId="77777777" w:rsidR="0066753E" w:rsidRPr="00263752" w:rsidRDefault="00263752">
      <w:pPr>
        <w:pBdr>
          <w:top w:val="nil"/>
          <w:left w:val="nil"/>
          <w:bottom w:val="nil"/>
          <w:right w:val="nil"/>
          <w:between w:val="nil"/>
        </w:pBdr>
        <w:spacing w:line="276" w:lineRule="auto"/>
        <w:ind w:left="864" w:right="629"/>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Tratándose de documentos de carácter histórico, se estará a lo dispuesto por la legislación de la materia.</w:t>
      </w:r>
    </w:p>
    <w:p w14:paraId="7600CF30" w14:textId="77777777" w:rsidR="0066753E" w:rsidRPr="00263752" w:rsidRDefault="00263752">
      <w:pPr>
        <w:pBdr>
          <w:top w:val="nil"/>
          <w:left w:val="nil"/>
          <w:bottom w:val="nil"/>
          <w:right w:val="nil"/>
          <w:between w:val="nil"/>
        </w:pBdr>
        <w:spacing w:line="276" w:lineRule="auto"/>
        <w:ind w:left="864" w:right="629"/>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w:t>
      </w:r>
    </w:p>
    <w:p w14:paraId="18195E80" w14:textId="77777777" w:rsidR="0066753E" w:rsidRPr="00263752" w:rsidRDefault="0066753E">
      <w:pPr>
        <w:pBdr>
          <w:top w:val="nil"/>
          <w:left w:val="nil"/>
          <w:bottom w:val="nil"/>
          <w:right w:val="nil"/>
          <w:between w:val="nil"/>
        </w:pBdr>
        <w:spacing w:line="276" w:lineRule="auto"/>
        <w:ind w:left="864" w:right="629"/>
        <w:jc w:val="both"/>
        <w:rPr>
          <w:rFonts w:ascii="Palatino Linotype" w:eastAsia="Palatino Linotype" w:hAnsi="Palatino Linotype" w:cs="Palatino Linotype"/>
          <w:b/>
          <w:i/>
          <w:sz w:val="22"/>
          <w:szCs w:val="22"/>
        </w:rPr>
      </w:pPr>
    </w:p>
    <w:p w14:paraId="204B03EF" w14:textId="77777777" w:rsidR="0066753E" w:rsidRPr="00263752" w:rsidRDefault="00263752">
      <w:pPr>
        <w:pBdr>
          <w:top w:val="nil"/>
          <w:left w:val="nil"/>
          <w:bottom w:val="nil"/>
          <w:right w:val="nil"/>
          <w:between w:val="nil"/>
        </w:pBdr>
        <w:spacing w:line="276" w:lineRule="auto"/>
        <w:ind w:left="864" w:right="629"/>
        <w:jc w:val="both"/>
        <w:rPr>
          <w:rFonts w:ascii="Palatino Linotype" w:eastAsia="Palatino Linotype" w:hAnsi="Palatino Linotype" w:cs="Palatino Linotype"/>
          <w:b/>
          <w:i/>
          <w:sz w:val="22"/>
          <w:szCs w:val="22"/>
        </w:rPr>
      </w:pPr>
      <w:r w:rsidRPr="00263752">
        <w:rPr>
          <w:rFonts w:ascii="Palatino Linotype" w:eastAsia="Palatino Linotype" w:hAnsi="Palatino Linotype" w:cs="Palatino Linotype"/>
          <w:b/>
          <w:i/>
          <w:sz w:val="22"/>
          <w:szCs w:val="22"/>
        </w:rPr>
        <w:lastRenderedPageBreak/>
        <w:t>Artículo 345.-</w:t>
      </w:r>
      <w:r w:rsidRPr="00263752">
        <w:rPr>
          <w:rFonts w:ascii="Palatino Linotype" w:eastAsia="Palatino Linotype" w:hAnsi="Palatino Linotype" w:cs="Palatino Linotype"/>
          <w:i/>
          <w:sz w:val="22"/>
          <w:szCs w:val="22"/>
        </w:rPr>
        <w:t xml:space="preserve"> </w:t>
      </w:r>
      <w:r w:rsidRPr="00263752">
        <w:rPr>
          <w:rFonts w:ascii="Palatino Linotype" w:eastAsia="Palatino Linotype" w:hAnsi="Palatino Linotype" w:cs="Palatino Linotype"/>
          <w:b/>
          <w:i/>
          <w:sz w:val="22"/>
          <w:szCs w:val="22"/>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RPr="00263752">
        <w:rPr>
          <w:rFonts w:ascii="Palatino Linotype" w:eastAsia="Palatino Linotype" w:hAnsi="Palatino Linotype" w:cs="Palatino Linotype"/>
          <w:b/>
          <w:i/>
          <w:sz w:val="22"/>
          <w:szCs w:val="22"/>
          <w:u w:val="single"/>
        </w:rPr>
        <w:t>Tratándose de los comprobantes fiscales digitales, estos deberán estar agregados en forma electrónica a cada póliza de registro contable</w:t>
      </w:r>
      <w:r w:rsidRPr="00263752">
        <w:rPr>
          <w:rFonts w:ascii="Palatino Linotype" w:eastAsia="Palatino Linotype" w:hAnsi="Palatino Linotype" w:cs="Palatino Linotype"/>
          <w:b/>
          <w:i/>
          <w:sz w:val="22"/>
          <w:szCs w:val="22"/>
        </w:rPr>
        <w:t>.</w:t>
      </w:r>
    </w:p>
    <w:p w14:paraId="78E29A79" w14:textId="77777777" w:rsidR="0066753E" w:rsidRPr="00263752" w:rsidRDefault="00263752">
      <w:pPr>
        <w:pBdr>
          <w:top w:val="nil"/>
          <w:left w:val="nil"/>
          <w:bottom w:val="nil"/>
          <w:right w:val="nil"/>
          <w:between w:val="nil"/>
        </w:pBdr>
        <w:spacing w:line="276" w:lineRule="auto"/>
        <w:ind w:left="864" w:right="629"/>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263752">
        <w:rPr>
          <w:rFonts w:ascii="Palatino Linotype" w:eastAsia="Palatino Linotype" w:hAnsi="Palatino Linotype" w:cs="Palatino Linotype"/>
          <w:b/>
          <w:i/>
          <w:sz w:val="22"/>
          <w:szCs w:val="22"/>
        </w:rPr>
        <w:t>deberán estar agregados en forma electrónica a cada póliza de registro contable</w:t>
      </w:r>
      <w:r w:rsidRPr="00263752">
        <w:rPr>
          <w:rFonts w:ascii="Palatino Linotype" w:eastAsia="Palatino Linotype" w:hAnsi="Palatino Linotype" w:cs="Palatino Linotype"/>
          <w:i/>
          <w:sz w:val="22"/>
          <w:szCs w:val="22"/>
        </w:rPr>
        <w:t>.</w:t>
      </w:r>
    </w:p>
    <w:p w14:paraId="284D0C12" w14:textId="77777777" w:rsidR="0066753E" w:rsidRPr="00263752" w:rsidRDefault="00263752">
      <w:pPr>
        <w:pBdr>
          <w:top w:val="nil"/>
          <w:left w:val="nil"/>
          <w:bottom w:val="nil"/>
          <w:right w:val="nil"/>
          <w:between w:val="nil"/>
        </w:pBdr>
        <w:spacing w:line="276" w:lineRule="auto"/>
        <w:ind w:left="864" w:right="629"/>
        <w:jc w:val="both"/>
        <w:rPr>
          <w:rFonts w:ascii="Palatino Linotype" w:eastAsia="Palatino Linotype" w:hAnsi="Palatino Linotype" w:cs="Palatino Linotype"/>
          <w:b/>
          <w:i/>
          <w:sz w:val="22"/>
          <w:szCs w:val="22"/>
        </w:rPr>
      </w:pPr>
      <w:r w:rsidRPr="00263752">
        <w:rPr>
          <w:rFonts w:ascii="Palatino Linotype" w:eastAsia="Palatino Linotype" w:hAnsi="Palatino Linotype" w:cs="Palatino Linotype"/>
          <w:i/>
          <w:sz w:val="22"/>
          <w:szCs w:val="22"/>
        </w:rPr>
        <w:t>El plazo señalado en este artículo empezará a contar a partir de la publicación en el Periódico Oficial, del decreto correspondiente.</w:t>
      </w:r>
    </w:p>
    <w:p w14:paraId="2ED4C89C" w14:textId="77777777" w:rsidR="0066753E" w:rsidRPr="00263752" w:rsidRDefault="0066753E">
      <w:pPr>
        <w:pBdr>
          <w:top w:val="nil"/>
          <w:left w:val="nil"/>
          <w:bottom w:val="nil"/>
          <w:right w:val="nil"/>
          <w:between w:val="nil"/>
        </w:pBdr>
        <w:ind w:left="864" w:right="864"/>
        <w:jc w:val="both"/>
        <w:rPr>
          <w:b/>
          <w:i/>
          <w:sz w:val="22"/>
          <w:szCs w:val="22"/>
        </w:rPr>
      </w:pPr>
    </w:p>
    <w:p w14:paraId="3420D9BF"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6B4E3C64" w14:textId="77777777" w:rsidR="0066753E" w:rsidRPr="00263752" w:rsidRDefault="0066753E">
      <w:pPr>
        <w:spacing w:line="360" w:lineRule="auto"/>
        <w:jc w:val="both"/>
        <w:rPr>
          <w:rFonts w:ascii="Palatino Linotype" w:eastAsia="Palatino Linotype" w:hAnsi="Palatino Linotype" w:cs="Palatino Linotype"/>
        </w:rPr>
      </w:pPr>
    </w:p>
    <w:p w14:paraId="336FB786"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Presupuestación y Evaluación en la Administración Pública”, elaborado por el Grupo de Trabajo de Sistemas de Información Financiera, Contable y Presupuestal </w:t>
      </w:r>
      <w:r w:rsidRPr="00263752">
        <w:rPr>
          <w:rFonts w:ascii="Palatino Linotype" w:eastAsia="Palatino Linotype" w:hAnsi="Palatino Linotype" w:cs="Palatino Linotype"/>
        </w:rPr>
        <w:lastRenderedPageBreak/>
        <w:t>de la Comisión Permanente de Funcionarios Fiscales del Instituto para el Desarrollo Técnico de las Haciendas Públicas, INDETEC, señalan las siguientes definiciones de las palabras registro contable y registro presupuestario:</w:t>
      </w:r>
    </w:p>
    <w:p w14:paraId="5FE0586F" w14:textId="77777777" w:rsidR="0066753E" w:rsidRPr="00263752" w:rsidRDefault="0066753E">
      <w:pPr>
        <w:pBdr>
          <w:top w:val="nil"/>
          <w:left w:val="nil"/>
          <w:bottom w:val="nil"/>
          <w:right w:val="nil"/>
          <w:between w:val="nil"/>
        </w:pBdr>
        <w:ind w:left="864" w:right="864"/>
        <w:jc w:val="both"/>
        <w:rPr>
          <w:rFonts w:ascii="Palatino Linotype" w:eastAsia="Palatino Linotype" w:hAnsi="Palatino Linotype" w:cs="Palatino Linotype"/>
          <w:i/>
        </w:rPr>
      </w:pPr>
    </w:p>
    <w:p w14:paraId="3CAD827A"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263752">
        <w:rPr>
          <w:rFonts w:ascii="Palatino Linotype" w:eastAsia="Palatino Linotype" w:hAnsi="Palatino Linotype" w:cs="Palatino Linotype"/>
          <w:b/>
          <w:i/>
          <w:sz w:val="22"/>
          <w:szCs w:val="22"/>
        </w:rPr>
        <w:t>REGISTRO CONTABLE</w:t>
      </w:r>
    </w:p>
    <w:p w14:paraId="6773483A"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Asiento que se realiza en los libros de contabilidad de las actividades relacionadas con el ingreso y egresos de un ente económico.</w:t>
      </w:r>
    </w:p>
    <w:p w14:paraId="4CA6C4F7" w14:textId="77777777" w:rsidR="0066753E" w:rsidRPr="00263752" w:rsidRDefault="0066753E">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34DF2726"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263752">
        <w:rPr>
          <w:rFonts w:ascii="Palatino Linotype" w:eastAsia="Palatino Linotype" w:hAnsi="Palatino Linotype" w:cs="Palatino Linotype"/>
          <w:b/>
          <w:i/>
          <w:sz w:val="22"/>
          <w:szCs w:val="22"/>
        </w:rPr>
        <w:t>REGISTRO PRESUPUESTARIO</w:t>
      </w:r>
    </w:p>
    <w:p w14:paraId="6FEDBA76"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w:t>
      </w:r>
    </w:p>
    <w:p w14:paraId="0E174305" w14:textId="77777777" w:rsidR="0066753E" w:rsidRPr="00263752" w:rsidRDefault="0066753E">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D72DDED" w14:textId="77777777" w:rsidR="0066753E" w:rsidRPr="00263752" w:rsidRDefault="00263752">
      <w:pPr>
        <w:spacing w:line="360" w:lineRule="auto"/>
        <w:ind w:right="51"/>
        <w:jc w:val="both"/>
        <w:rPr>
          <w:rFonts w:ascii="Palatino Linotype" w:eastAsia="Palatino Linotype" w:hAnsi="Palatino Linotype" w:cs="Palatino Linotype"/>
        </w:rPr>
      </w:pPr>
      <w:r w:rsidRPr="00263752">
        <w:rPr>
          <w:rFonts w:ascii="Palatino Linotype" w:eastAsia="Palatino Linotype" w:hAnsi="Palatino Linotype" w:cs="Palatino Linotype"/>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2AB88F09" w14:textId="77777777" w:rsidR="0066753E" w:rsidRPr="00263752" w:rsidRDefault="0066753E">
      <w:pPr>
        <w:spacing w:line="360" w:lineRule="auto"/>
        <w:ind w:right="51"/>
        <w:jc w:val="both"/>
        <w:rPr>
          <w:rFonts w:ascii="Palatino Linotype" w:eastAsia="Palatino Linotype" w:hAnsi="Palatino Linotype" w:cs="Palatino Linotype"/>
        </w:rPr>
      </w:pPr>
    </w:p>
    <w:p w14:paraId="0554201E"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Por otra parte, se establece que el sistema de contabilidad sobre base acumulativa total se sustentará en los principios de contabilidad gubernamental. 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0760DC32" w14:textId="77777777" w:rsidR="0066753E" w:rsidRPr="00263752" w:rsidRDefault="0066753E">
      <w:pPr>
        <w:spacing w:line="360" w:lineRule="auto"/>
        <w:jc w:val="both"/>
        <w:rPr>
          <w:rFonts w:ascii="Palatino Linotype" w:eastAsia="Palatino Linotype" w:hAnsi="Palatino Linotype" w:cs="Palatino Linotype"/>
        </w:rPr>
      </w:pPr>
    </w:p>
    <w:p w14:paraId="29EC0D9B"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Correlativo a lo anterior, es preciso referir una definición de </w:t>
      </w:r>
      <w:r w:rsidRPr="00263752">
        <w:rPr>
          <w:rFonts w:ascii="Palatino Linotype" w:eastAsia="Palatino Linotype" w:hAnsi="Palatino Linotype" w:cs="Palatino Linotype"/>
          <w:i/>
        </w:rPr>
        <w:t>póliza contable</w:t>
      </w:r>
      <w:r w:rsidRPr="00263752">
        <w:rPr>
          <w:rFonts w:ascii="Palatino Linotype" w:eastAsia="Palatino Linotype" w:hAnsi="Palatino Linotype" w:cs="Palatino Linotype"/>
        </w:rPr>
        <w:t>, la cual, primeramente, no está definida en el Código Financiero del Estado de México y Municipios; no obstante, el ya mencionado Glosario la define como:</w:t>
      </w:r>
    </w:p>
    <w:p w14:paraId="5FD2C9ED" w14:textId="77777777" w:rsidR="0066753E" w:rsidRPr="00263752" w:rsidRDefault="0066753E">
      <w:pPr>
        <w:pBdr>
          <w:top w:val="nil"/>
          <w:left w:val="nil"/>
          <w:bottom w:val="nil"/>
          <w:right w:val="nil"/>
          <w:between w:val="nil"/>
        </w:pBdr>
        <w:ind w:left="864" w:right="864"/>
        <w:jc w:val="both"/>
        <w:rPr>
          <w:i/>
          <w:sz w:val="22"/>
          <w:szCs w:val="22"/>
        </w:rPr>
      </w:pPr>
    </w:p>
    <w:p w14:paraId="3499620A" w14:textId="77777777" w:rsidR="0066753E" w:rsidRPr="00263752" w:rsidRDefault="00263752">
      <w:pPr>
        <w:pBdr>
          <w:top w:val="nil"/>
          <w:left w:val="nil"/>
          <w:bottom w:val="nil"/>
          <w:right w:val="nil"/>
          <w:between w:val="nil"/>
        </w:pBdr>
        <w:ind w:left="864" w:right="864"/>
        <w:jc w:val="both"/>
        <w:rPr>
          <w:i/>
          <w:sz w:val="22"/>
          <w:szCs w:val="22"/>
        </w:rPr>
      </w:pPr>
      <w:r w:rsidRPr="00263752">
        <w:rPr>
          <w:i/>
          <w:sz w:val="22"/>
          <w:szCs w:val="22"/>
        </w:rPr>
        <w:t>PÓLIZA CONTABLE</w:t>
      </w:r>
    </w:p>
    <w:p w14:paraId="7B52E468" w14:textId="77777777" w:rsidR="0066753E" w:rsidRPr="00263752" w:rsidRDefault="00263752">
      <w:pPr>
        <w:pBdr>
          <w:top w:val="nil"/>
          <w:left w:val="nil"/>
          <w:bottom w:val="nil"/>
          <w:right w:val="nil"/>
          <w:between w:val="nil"/>
        </w:pBdr>
        <w:ind w:left="864" w:right="864"/>
        <w:jc w:val="both"/>
        <w:rPr>
          <w:i/>
          <w:sz w:val="22"/>
          <w:szCs w:val="22"/>
        </w:rPr>
      </w:pPr>
      <w:r w:rsidRPr="00263752">
        <w:rPr>
          <w:i/>
          <w:sz w:val="22"/>
          <w:szCs w:val="22"/>
        </w:rPr>
        <w:t>Documento en el cual se asientan en forma individual todas y cada una de las operaciones desarrolladas por una institución, así como la información necesaria para la identificación de dichas operaciones.</w:t>
      </w:r>
    </w:p>
    <w:p w14:paraId="361174A0" w14:textId="77777777" w:rsidR="0066753E" w:rsidRPr="00263752" w:rsidRDefault="0066753E">
      <w:pPr>
        <w:pBdr>
          <w:top w:val="nil"/>
          <w:left w:val="nil"/>
          <w:bottom w:val="nil"/>
          <w:right w:val="nil"/>
          <w:between w:val="nil"/>
        </w:pBdr>
        <w:ind w:left="864" w:right="864"/>
        <w:jc w:val="both"/>
        <w:rPr>
          <w:i/>
          <w:sz w:val="22"/>
          <w:szCs w:val="22"/>
        </w:rPr>
      </w:pPr>
    </w:p>
    <w:p w14:paraId="56B3E7EE"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Así, se advierte que la </w:t>
      </w:r>
      <w:r w:rsidRPr="00263752">
        <w:rPr>
          <w:rFonts w:ascii="Palatino Linotype" w:eastAsia="Palatino Linotype" w:hAnsi="Palatino Linotype" w:cs="Palatino Linotype"/>
          <w:i/>
        </w:rPr>
        <w:t>póliza contable</w:t>
      </w:r>
      <w:r w:rsidRPr="00263752">
        <w:rPr>
          <w:rFonts w:ascii="Palatino Linotype" w:eastAsia="Palatino Linotype" w:hAnsi="Palatino Linotype" w:cs="Palatino Linotype"/>
        </w:rPr>
        <w:t xml:space="preserve"> constituye un registro contable y presupuestal con el que cuentan los Municipios para el registro de operaciones relacionadas con ingresos y egresos y </w:t>
      </w:r>
      <w:r w:rsidRPr="00263752">
        <w:rPr>
          <w:rFonts w:ascii="Palatino Linotype" w:eastAsia="Palatino Linotype" w:hAnsi="Palatino Linotype" w:cs="Palatino Linotype"/>
          <w:b/>
          <w:u w:val="single"/>
        </w:rPr>
        <w:t>se anexan los documentos o comprobantes que justifiquen las anotaciones y cantidades en ellas registradas</w:t>
      </w:r>
      <w:r w:rsidRPr="00263752">
        <w:rPr>
          <w:rFonts w:ascii="Palatino Linotype" w:eastAsia="Palatino Linotype" w:hAnsi="Palatino Linotype" w:cs="Palatino Linotype"/>
        </w:rPr>
        <w:t>, lo que permite la identificación plena de dichas operaciones.</w:t>
      </w:r>
    </w:p>
    <w:p w14:paraId="4ED56C14" w14:textId="77777777" w:rsidR="0066753E" w:rsidRPr="00263752" w:rsidRDefault="0066753E">
      <w:pPr>
        <w:spacing w:line="360" w:lineRule="auto"/>
        <w:jc w:val="both"/>
        <w:rPr>
          <w:rFonts w:ascii="Palatino Linotype" w:eastAsia="Palatino Linotype" w:hAnsi="Palatino Linotype" w:cs="Palatino Linotype"/>
          <w:i/>
          <w:sz w:val="22"/>
          <w:szCs w:val="22"/>
        </w:rPr>
      </w:pPr>
    </w:p>
    <w:p w14:paraId="6CA01434"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En este sentido, existen diversos tipos de pólizas contables de acuerdo a las operaciones realizadas, dentro de las cuales, encontramos las </w:t>
      </w:r>
      <w:r w:rsidRPr="00263752">
        <w:rPr>
          <w:rFonts w:ascii="Palatino Linotype" w:eastAsia="Palatino Linotype" w:hAnsi="Palatino Linotype" w:cs="Palatino Linotype"/>
          <w:i/>
        </w:rPr>
        <w:t>pólizas de egresos e ingresos</w:t>
      </w:r>
      <w:r w:rsidRPr="00263752">
        <w:rPr>
          <w:rFonts w:ascii="Palatino Linotype" w:eastAsia="Palatino Linotype" w:hAnsi="Palatino Linotype" w:cs="Palatino Linotype"/>
        </w:rPr>
        <w:t xml:space="preserve">, </w:t>
      </w:r>
      <w:r w:rsidRPr="00263752">
        <w:rPr>
          <w:rFonts w:ascii="Palatino Linotype" w:eastAsia="Palatino Linotype" w:hAnsi="Palatino Linotype" w:cs="Palatino Linotype"/>
          <w:b/>
        </w:rPr>
        <w:t xml:space="preserve">las primeras son aquellas en las cuales </w:t>
      </w:r>
      <w:r w:rsidRPr="00263752">
        <w:rPr>
          <w:rFonts w:ascii="Palatino Linotype" w:eastAsia="Palatino Linotype" w:hAnsi="Palatino Linotype" w:cs="Palatino Linotype"/>
          <w:b/>
          <w:u w:val="single"/>
        </w:rPr>
        <w:t>se anotan diariamente las operaciones que representan gastos, es decir, salidas de dinero</w:t>
      </w:r>
      <w:r w:rsidRPr="00263752">
        <w:rPr>
          <w:rFonts w:ascii="Palatino Linotype" w:eastAsia="Palatino Linotype" w:hAnsi="Palatino Linotype" w:cs="Palatino Linotype"/>
        </w:rPr>
        <w:t xml:space="preserve"> para el </w:t>
      </w:r>
      <w:r w:rsidRPr="00263752">
        <w:rPr>
          <w:rFonts w:ascii="Palatino Linotype" w:eastAsia="Palatino Linotype" w:hAnsi="Palatino Linotype" w:cs="Palatino Linotype"/>
          <w:b/>
        </w:rPr>
        <w:t>Sujeto Obligado,</w:t>
      </w:r>
      <w:r w:rsidRPr="00263752">
        <w:rPr>
          <w:rFonts w:ascii="Palatino Linotype" w:eastAsia="Palatino Linotype" w:hAnsi="Palatino Linotype" w:cs="Palatino Linotype"/>
        </w:rPr>
        <w:t xml:space="preserve"> las que además, </w:t>
      </w:r>
      <w:r w:rsidRPr="00263752">
        <w:rPr>
          <w:rFonts w:ascii="Palatino Linotype" w:eastAsia="Palatino Linotype" w:hAnsi="Palatino Linotype" w:cs="Palatino Linotype"/>
          <w:b/>
          <w:u w:val="single"/>
        </w:rPr>
        <w:t>deben encontrarse acompañadas de las documentales que sirven de soporte de dicho movimiento</w:t>
      </w:r>
      <w:r w:rsidRPr="00263752">
        <w:rPr>
          <w:rFonts w:ascii="Palatino Linotype" w:eastAsia="Palatino Linotype" w:hAnsi="Palatino Linotype" w:cs="Palatino Linotype"/>
        </w:rPr>
        <w:t>, en atención a las segundas, registran todas la entradas de dinero independientemente de la modalidad, ya sea en efectivo, transferencia, cheque o pagaré, mediante la expedición de facturas.</w:t>
      </w:r>
    </w:p>
    <w:p w14:paraId="54340008" w14:textId="77777777" w:rsidR="0066753E" w:rsidRPr="00263752" w:rsidRDefault="0066753E">
      <w:pPr>
        <w:spacing w:line="360" w:lineRule="auto"/>
        <w:jc w:val="both"/>
        <w:rPr>
          <w:rFonts w:ascii="Palatino Linotype" w:eastAsia="Palatino Linotype" w:hAnsi="Palatino Linotype" w:cs="Palatino Linotype"/>
        </w:rPr>
      </w:pPr>
    </w:p>
    <w:p w14:paraId="69F21788" w14:textId="77777777" w:rsidR="0066753E" w:rsidRPr="00263752" w:rsidRDefault="00263752">
      <w:pPr>
        <w:spacing w:line="360" w:lineRule="auto"/>
        <w:ind w:right="51"/>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Atento a lo anterior, como ya ha sido mencionado en la normatividad antes citada, todo registro contable y presupuestal deberá estar soportado con los documentos comprobatorios originales, como lo son las </w:t>
      </w:r>
      <w:r w:rsidRPr="00263752">
        <w:rPr>
          <w:rFonts w:ascii="Palatino Linotype" w:eastAsia="Palatino Linotype" w:hAnsi="Palatino Linotype" w:cs="Palatino Linotype"/>
          <w:i/>
        </w:rPr>
        <w:t>facturas o comprobantes fiscales digitales por internet,</w:t>
      </w:r>
      <w:r w:rsidRPr="00263752">
        <w:rPr>
          <w:rFonts w:ascii="Palatino Linotype" w:eastAsia="Palatino Linotype" w:hAnsi="Palatino Linotype" w:cs="Palatino Linotype"/>
        </w:rPr>
        <w:t xml:space="preserve"> mismos que deberán permanecer en custodia y conservación de la Unidad Administrativa correspondiente y a disposición del Órgano Superior de Fiscalización del Estado de México; por un término de cinco años contados a partir </w:t>
      </w:r>
      <w:r w:rsidRPr="00263752">
        <w:rPr>
          <w:rFonts w:ascii="Palatino Linotype" w:eastAsia="Palatino Linotype" w:hAnsi="Palatino Linotype" w:cs="Palatino Linotype"/>
        </w:rPr>
        <w:lastRenderedPageBreak/>
        <w:t xml:space="preserve">del ejercicio presupuestal siguiente al que corresponda, tal y como se establece en el Código Financiero del Estado de México. </w:t>
      </w:r>
    </w:p>
    <w:p w14:paraId="077DBA70" w14:textId="77777777" w:rsidR="0066753E" w:rsidRPr="00263752" w:rsidRDefault="0066753E">
      <w:pPr>
        <w:spacing w:line="360" w:lineRule="auto"/>
        <w:ind w:right="51"/>
        <w:jc w:val="both"/>
        <w:rPr>
          <w:rFonts w:ascii="Palatino Linotype" w:eastAsia="Palatino Linotype" w:hAnsi="Palatino Linotype" w:cs="Palatino Linotype"/>
        </w:rPr>
      </w:pPr>
    </w:p>
    <w:p w14:paraId="7D662217"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En este tenor, se puede advertir que los documentos que pueden satisfacer el requerimiento de la persona solicitante serían precisamente los documentos o comprobantes que justifiquen las anotaciones y cantidades en ellas, que acompañan los registros contables del ente fiscalizable.</w:t>
      </w:r>
    </w:p>
    <w:p w14:paraId="5236D087" w14:textId="77777777" w:rsidR="0066753E" w:rsidRPr="00263752" w:rsidRDefault="0066753E">
      <w:pPr>
        <w:spacing w:line="360" w:lineRule="auto"/>
        <w:jc w:val="both"/>
        <w:rPr>
          <w:rFonts w:ascii="Palatino Linotype" w:eastAsia="Palatino Linotype" w:hAnsi="Palatino Linotype" w:cs="Palatino Linotype"/>
        </w:rPr>
      </w:pPr>
    </w:p>
    <w:p w14:paraId="1BEAB4C5"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En este sentido, cabe referir que la Ley de Fiscalización Superior del Estado de México, señala en su artículo 8, fracción XI, lo siguiente: </w:t>
      </w:r>
    </w:p>
    <w:p w14:paraId="1625A85C" w14:textId="77777777" w:rsidR="0066753E" w:rsidRPr="00263752" w:rsidRDefault="0066753E">
      <w:pPr>
        <w:pBdr>
          <w:top w:val="nil"/>
          <w:left w:val="nil"/>
          <w:bottom w:val="nil"/>
          <w:right w:val="nil"/>
          <w:between w:val="nil"/>
        </w:pBdr>
        <w:ind w:left="864" w:right="864"/>
        <w:jc w:val="both"/>
        <w:rPr>
          <w:rFonts w:ascii="Palatino Linotype" w:eastAsia="Palatino Linotype" w:hAnsi="Palatino Linotype" w:cs="Palatino Linotype"/>
          <w:i/>
        </w:rPr>
      </w:pPr>
    </w:p>
    <w:p w14:paraId="3DB88D24"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Artículo 8</w:t>
      </w:r>
      <w:r w:rsidRPr="00263752">
        <w:rPr>
          <w:rFonts w:ascii="Palatino Linotype" w:eastAsia="Palatino Linotype" w:hAnsi="Palatino Linotype" w:cs="Palatino Linotype"/>
          <w:i/>
          <w:sz w:val="22"/>
          <w:szCs w:val="22"/>
        </w:rPr>
        <w:t>. El Órgano Superior tendrá las siguientes atribuciones:</w:t>
      </w:r>
    </w:p>
    <w:p w14:paraId="6C0B6F00"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w:t>
      </w:r>
      <w:r w:rsidRPr="00263752">
        <w:rPr>
          <w:rFonts w:ascii="Palatino Linotype" w:eastAsia="Palatino Linotype" w:hAnsi="Palatino Linotype" w:cs="Palatino Linotype"/>
          <w:i/>
          <w:sz w:val="22"/>
          <w:szCs w:val="22"/>
        </w:rPr>
        <w:t>…)</w:t>
      </w:r>
    </w:p>
    <w:p w14:paraId="0DAE3370" w14:textId="77777777" w:rsidR="0066753E" w:rsidRPr="00263752" w:rsidRDefault="0026375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XI.</w:t>
      </w:r>
      <w:r w:rsidRPr="00263752">
        <w:rPr>
          <w:rFonts w:ascii="Palatino Linotype" w:eastAsia="Palatino Linotype" w:hAnsi="Palatino Linotype" w:cs="Palatino Linotype"/>
          <w:i/>
          <w:sz w:val="22"/>
          <w:szCs w:val="22"/>
        </w:rPr>
        <w:t xml:space="preserve"> </w:t>
      </w:r>
      <w:r w:rsidRPr="00263752">
        <w:rPr>
          <w:rFonts w:ascii="Palatino Linotype" w:eastAsia="Palatino Linotype" w:hAnsi="Palatino Linotype" w:cs="Palatino Linotype"/>
          <w:b/>
          <w:i/>
          <w:sz w:val="22"/>
          <w:szCs w:val="22"/>
        </w:rPr>
        <w:t>Establecer los lineamientos, criterios, procedimientos, métodos y sistemas para las acciones de control y evaluación, necesarios para la fiscalización de las cuentas públicas y los informes trimestrales</w:t>
      </w:r>
      <w:r w:rsidRPr="00263752">
        <w:rPr>
          <w:rFonts w:ascii="Palatino Linotype" w:eastAsia="Palatino Linotype" w:hAnsi="Palatino Linotype" w:cs="Palatino Linotype"/>
          <w:i/>
          <w:sz w:val="22"/>
          <w:szCs w:val="22"/>
        </w:rPr>
        <w:t>…”</w:t>
      </w:r>
    </w:p>
    <w:p w14:paraId="6EF7FA78" w14:textId="77777777" w:rsidR="0066753E" w:rsidRPr="00263752" w:rsidRDefault="0066753E">
      <w:pPr>
        <w:pBdr>
          <w:top w:val="nil"/>
          <w:left w:val="nil"/>
          <w:bottom w:val="nil"/>
          <w:right w:val="nil"/>
          <w:between w:val="nil"/>
        </w:pBdr>
        <w:ind w:left="864" w:right="864"/>
        <w:jc w:val="both"/>
        <w:rPr>
          <w:rFonts w:ascii="Palatino Linotype" w:eastAsia="Palatino Linotype" w:hAnsi="Palatino Linotype" w:cs="Palatino Linotype"/>
          <w:i/>
        </w:rPr>
      </w:pPr>
    </w:p>
    <w:p w14:paraId="3A50C2EF"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Así, los “Lineamientos para la integración y entrega del Informe Trimestral Municipal 2022”, emitidos por el Órgano Superior de Fiscalización del Estado de México, OSFEM, mismos que establecen los criterios, formatos y documentación necesaria para presentar los informes trimestrales por parte de los entes fiscalizables, integrando la información en cuatro Módulos que contienen la información que se detalla a continuación:</w:t>
      </w:r>
    </w:p>
    <w:p w14:paraId="47530FAF" w14:textId="77777777" w:rsidR="0066753E" w:rsidRPr="00263752" w:rsidRDefault="0066753E">
      <w:pPr>
        <w:spacing w:line="360" w:lineRule="auto"/>
        <w:jc w:val="both"/>
        <w:rPr>
          <w:rFonts w:ascii="Palatino Linotype" w:eastAsia="Palatino Linotype" w:hAnsi="Palatino Linotype" w:cs="Palatino Linotype"/>
        </w:rPr>
      </w:pPr>
    </w:p>
    <w:p w14:paraId="588D83A4" w14:textId="77777777" w:rsidR="0066753E" w:rsidRPr="00263752" w:rsidRDefault="00263752">
      <w:pPr>
        <w:spacing w:line="360" w:lineRule="auto"/>
        <w:jc w:val="center"/>
        <w:rPr>
          <w:rFonts w:ascii="Palatino Linotype" w:eastAsia="Palatino Linotype" w:hAnsi="Palatino Linotype" w:cs="Palatino Linotype"/>
        </w:rPr>
      </w:pPr>
      <w:r w:rsidRPr="00263752">
        <w:rPr>
          <w:rFonts w:ascii="Palatino Linotype" w:eastAsia="Palatino Linotype" w:hAnsi="Palatino Linotype" w:cs="Palatino Linotype"/>
          <w:noProof/>
        </w:rPr>
        <w:lastRenderedPageBreak/>
        <w:drawing>
          <wp:inline distT="0" distB="0" distL="0" distR="0" wp14:anchorId="68CC4197" wp14:editId="7EFD2328">
            <wp:extent cx="3240000" cy="1722565"/>
            <wp:effectExtent l="0" t="0" r="0" b="0"/>
            <wp:docPr id="56396809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t="5011" b="4799"/>
                    <a:stretch>
                      <a:fillRect/>
                    </a:stretch>
                  </pic:blipFill>
                  <pic:spPr>
                    <a:xfrm>
                      <a:off x="0" y="0"/>
                      <a:ext cx="3240000" cy="1722565"/>
                    </a:xfrm>
                    <a:prstGeom prst="rect">
                      <a:avLst/>
                    </a:prstGeom>
                    <a:ln/>
                  </pic:spPr>
                </pic:pic>
              </a:graphicData>
            </a:graphic>
          </wp:inline>
        </w:drawing>
      </w:r>
    </w:p>
    <w:p w14:paraId="480006F7" w14:textId="77777777" w:rsidR="0066753E" w:rsidRPr="00263752" w:rsidRDefault="0066753E">
      <w:pPr>
        <w:spacing w:line="360" w:lineRule="auto"/>
        <w:jc w:val="both"/>
        <w:rPr>
          <w:rFonts w:ascii="Palatino Linotype" w:eastAsia="Palatino Linotype" w:hAnsi="Palatino Linotype" w:cs="Palatino Linotype"/>
        </w:rPr>
      </w:pPr>
    </w:p>
    <w:p w14:paraId="44180A25"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A su vez los Módulos se dividen en submódulos, de los que destaca, en relación con el análisis que nos ocupa, el submódulo relativo a “Pólizas”, del Módulo 1:</w:t>
      </w:r>
    </w:p>
    <w:p w14:paraId="694A142A" w14:textId="77777777" w:rsidR="0066753E" w:rsidRPr="00263752" w:rsidRDefault="0066753E">
      <w:pPr>
        <w:spacing w:line="360" w:lineRule="auto"/>
        <w:jc w:val="both"/>
        <w:rPr>
          <w:rFonts w:ascii="Palatino Linotype" w:eastAsia="Palatino Linotype" w:hAnsi="Palatino Linotype" w:cs="Palatino Linotype"/>
        </w:rPr>
      </w:pPr>
    </w:p>
    <w:p w14:paraId="59F49095" w14:textId="77777777" w:rsidR="0066753E" w:rsidRPr="00263752" w:rsidRDefault="00263752">
      <w:pPr>
        <w:spacing w:line="360" w:lineRule="auto"/>
        <w:jc w:val="center"/>
        <w:rPr>
          <w:rFonts w:ascii="Palatino Linotype" w:eastAsia="Palatino Linotype" w:hAnsi="Palatino Linotype" w:cs="Palatino Linotype"/>
        </w:rPr>
      </w:pPr>
      <w:r w:rsidRPr="00263752">
        <w:rPr>
          <w:rFonts w:ascii="Palatino Linotype" w:eastAsia="Palatino Linotype" w:hAnsi="Palatino Linotype" w:cs="Palatino Linotype"/>
          <w:noProof/>
        </w:rPr>
        <w:drawing>
          <wp:inline distT="0" distB="0" distL="0" distR="0" wp14:anchorId="503AA58C" wp14:editId="74EDDAFA">
            <wp:extent cx="4867820" cy="2841308"/>
            <wp:effectExtent l="0" t="0" r="0" b="0"/>
            <wp:docPr id="56396809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4867820" cy="2841308"/>
                    </a:xfrm>
                    <a:prstGeom prst="rect">
                      <a:avLst/>
                    </a:prstGeom>
                    <a:ln/>
                  </pic:spPr>
                </pic:pic>
              </a:graphicData>
            </a:graphic>
          </wp:inline>
        </w:drawing>
      </w:r>
      <w:r w:rsidRPr="00263752">
        <w:rPr>
          <w:noProof/>
        </w:rPr>
        <mc:AlternateContent>
          <mc:Choice Requires="wps">
            <w:drawing>
              <wp:anchor distT="0" distB="0" distL="114300" distR="114300" simplePos="0" relativeHeight="251658240" behindDoc="0" locked="0" layoutInCell="1" hidden="0" allowOverlap="1" wp14:anchorId="63F690F8" wp14:editId="05246685">
                <wp:simplePos x="0" y="0"/>
                <wp:positionH relativeFrom="column">
                  <wp:posOffset>419100</wp:posOffset>
                </wp:positionH>
                <wp:positionV relativeFrom="paragraph">
                  <wp:posOffset>2070100</wp:posOffset>
                </wp:positionV>
                <wp:extent cx="4829175" cy="774065"/>
                <wp:effectExtent l="0" t="0" r="0" b="0"/>
                <wp:wrapNone/>
                <wp:docPr id="563968085" name="Rectángulo 563968085"/>
                <wp:cNvGraphicFramePr/>
                <a:graphic xmlns:a="http://schemas.openxmlformats.org/drawingml/2006/main">
                  <a:graphicData uri="http://schemas.microsoft.com/office/word/2010/wordprocessingShape">
                    <wps:wsp>
                      <wps:cNvSpPr/>
                      <wps:spPr>
                        <a:xfrm>
                          <a:off x="2945700" y="3407255"/>
                          <a:ext cx="4800600" cy="745490"/>
                        </a:xfrm>
                        <a:prstGeom prst="rect">
                          <a:avLst/>
                        </a:prstGeom>
                        <a:noFill/>
                        <a:ln w="28575" cap="flat" cmpd="sng">
                          <a:solidFill>
                            <a:srgbClr val="C00000"/>
                          </a:solidFill>
                          <a:prstDash val="solid"/>
                          <a:round/>
                          <a:headEnd type="none" w="sm" len="sm"/>
                          <a:tailEnd type="none" w="sm" len="sm"/>
                        </a:ln>
                      </wps:spPr>
                      <wps:txbx>
                        <w:txbxContent>
                          <w:p w14:paraId="0AE50498" w14:textId="77777777" w:rsidR="0066753E" w:rsidRDefault="0066753E">
                            <w:pPr>
                              <w:textDirection w:val="btLr"/>
                            </w:pPr>
                          </w:p>
                        </w:txbxContent>
                      </wps:txbx>
                      <wps:bodyPr spcFirstLastPara="1" wrap="square" lIns="91425" tIns="91425" rIns="91425" bIns="91425" anchor="ctr" anchorCtr="0">
                        <a:noAutofit/>
                      </wps:bodyPr>
                    </wps:wsp>
                  </a:graphicData>
                </a:graphic>
              </wp:anchor>
            </w:drawing>
          </mc:Choice>
          <mc:Fallback>
            <w:pict>
              <v:rect w14:anchorId="63F690F8" id="Rectángulo 563968085" o:spid="_x0000_s1026" style="position:absolute;left:0;text-align:left;margin-left:33pt;margin-top:163pt;width:380.25pt;height:60.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" filled="f" strokecolor="#c00000" strokeweight="2.25pt">
                <v:stroke startarrowwidth="narrow" startarrowlength="short" endarrowwidth="narrow" endarrowlength="short" joinstyle="round"/>
                <v:textbox inset="2.53958mm,2.53958mm,2.53958mm,2.53958mm">
                  <w:txbxContent>
                    <w:p w14:paraId="0AE50498" w14:textId="77777777" w:rsidR="0066753E" w:rsidRDefault="0066753E">
                      <w:pPr>
                        <w:textDirection w:val="btLr"/>
                      </w:pPr>
                    </w:p>
                  </w:txbxContent>
                </v:textbox>
              </v:rect>
            </w:pict>
          </mc:Fallback>
        </mc:AlternateContent>
      </w:r>
    </w:p>
    <w:p w14:paraId="165B919A" w14:textId="77777777" w:rsidR="0066753E" w:rsidRPr="00263752" w:rsidRDefault="0066753E">
      <w:pPr>
        <w:spacing w:line="360" w:lineRule="auto"/>
        <w:jc w:val="both"/>
        <w:rPr>
          <w:rFonts w:ascii="Palatino Linotype" w:eastAsia="Palatino Linotype" w:hAnsi="Palatino Linotype" w:cs="Palatino Linotype"/>
        </w:rPr>
      </w:pPr>
      <w:bookmarkStart w:id="4" w:name="_heading=h.26in1rg" w:colFirst="0" w:colLast="0"/>
      <w:bookmarkEnd w:id="4"/>
    </w:p>
    <w:p w14:paraId="51ED82E2"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Como se advierte en la imagen anterior, el submódulo “Pólizas”, se integra por las pólizas de ingresos, las pólizas de diario, y las pólizas de egresos y las pólizas de cheque, </w:t>
      </w:r>
      <w:r w:rsidRPr="00263752">
        <w:rPr>
          <w:rFonts w:ascii="Palatino Linotype" w:eastAsia="Palatino Linotype" w:hAnsi="Palatino Linotype" w:cs="Palatino Linotype"/>
          <w:b/>
          <w:u w:val="single"/>
        </w:rPr>
        <w:t>cada tipo con los respectivos documentos comprobatorios</w:t>
      </w:r>
      <w:r w:rsidRPr="00263752">
        <w:rPr>
          <w:rFonts w:ascii="Palatino Linotype" w:eastAsia="Palatino Linotype" w:hAnsi="Palatino Linotype" w:cs="Palatino Linotype"/>
          <w:u w:val="single"/>
        </w:rPr>
        <w:t>,</w:t>
      </w:r>
      <w:r w:rsidRPr="00263752">
        <w:rPr>
          <w:rFonts w:ascii="Palatino Linotype" w:eastAsia="Palatino Linotype" w:hAnsi="Palatino Linotype" w:cs="Palatino Linotype"/>
        </w:rPr>
        <w:t xml:space="preserve"> información que se debe grabar en 3 discos compactos, cada uno con un mes del trimestre, de </w:t>
      </w:r>
      <w:r w:rsidRPr="00263752">
        <w:rPr>
          <w:rFonts w:ascii="Palatino Linotype" w:eastAsia="Palatino Linotype" w:hAnsi="Palatino Linotype" w:cs="Palatino Linotype"/>
        </w:rPr>
        <w:lastRenderedPageBreak/>
        <w:t>conformidad con los Lineamientos para la integración y entrega del Informe Trimestral, como se ilustra a continuación:</w:t>
      </w:r>
    </w:p>
    <w:p w14:paraId="1FC2EBF3" w14:textId="77777777" w:rsidR="0066753E" w:rsidRPr="00263752" w:rsidRDefault="0066753E">
      <w:pPr>
        <w:spacing w:line="360" w:lineRule="auto"/>
        <w:jc w:val="both"/>
        <w:rPr>
          <w:rFonts w:ascii="Palatino Linotype" w:eastAsia="Palatino Linotype" w:hAnsi="Palatino Linotype" w:cs="Palatino Linotype"/>
        </w:rPr>
      </w:pPr>
    </w:p>
    <w:p w14:paraId="13E28692" w14:textId="77777777" w:rsidR="0066753E" w:rsidRPr="00263752" w:rsidRDefault="00263752">
      <w:pPr>
        <w:spacing w:line="360" w:lineRule="auto"/>
        <w:jc w:val="center"/>
        <w:rPr>
          <w:rFonts w:ascii="Palatino Linotype" w:eastAsia="Palatino Linotype" w:hAnsi="Palatino Linotype" w:cs="Palatino Linotype"/>
        </w:rPr>
      </w:pPr>
      <w:r w:rsidRPr="00263752">
        <w:rPr>
          <w:rFonts w:ascii="Palatino Linotype" w:eastAsia="Palatino Linotype" w:hAnsi="Palatino Linotype" w:cs="Palatino Linotype"/>
          <w:noProof/>
        </w:rPr>
        <w:drawing>
          <wp:inline distT="0" distB="0" distL="0" distR="0" wp14:anchorId="607DA96C" wp14:editId="4FD97B69">
            <wp:extent cx="3600000" cy="2090320"/>
            <wp:effectExtent l="0" t="0" r="0" b="0"/>
            <wp:docPr id="56396809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600000" cy="2090320"/>
                    </a:xfrm>
                    <a:prstGeom prst="rect">
                      <a:avLst/>
                    </a:prstGeom>
                    <a:ln/>
                  </pic:spPr>
                </pic:pic>
              </a:graphicData>
            </a:graphic>
          </wp:inline>
        </w:drawing>
      </w:r>
      <w:r w:rsidRPr="00263752">
        <w:rPr>
          <w:noProof/>
        </w:rPr>
        <mc:AlternateContent>
          <mc:Choice Requires="wpg">
            <w:drawing>
              <wp:anchor distT="0" distB="0" distL="114300" distR="114300" simplePos="0" relativeHeight="251659264" behindDoc="0" locked="0" layoutInCell="1" hidden="0" allowOverlap="1" wp14:anchorId="6560498D" wp14:editId="39F2A155">
                <wp:simplePos x="0" y="0"/>
                <wp:positionH relativeFrom="column">
                  <wp:posOffset>4406900</wp:posOffset>
                </wp:positionH>
                <wp:positionV relativeFrom="paragraph">
                  <wp:posOffset>1282700</wp:posOffset>
                </wp:positionV>
                <wp:extent cx="352425" cy="247650"/>
                <wp:effectExtent l="0" t="0" r="0" b="0"/>
                <wp:wrapNone/>
                <wp:docPr id="563968086" name="Conector recto de flecha 563968086"/>
                <wp:cNvGraphicFramePr/>
                <a:graphic xmlns:a="http://schemas.openxmlformats.org/drawingml/2006/main">
                  <a:graphicData uri="http://schemas.microsoft.com/office/word/2010/wordprocessingShape">
                    <wps:wsp>
                      <wps:cNvCnPr/>
                      <wps:spPr>
                        <a:xfrm flipH="1">
                          <a:off x="5226938" y="3713325"/>
                          <a:ext cx="238125" cy="133350"/>
                        </a:xfrm>
                        <a:prstGeom prst="straightConnector1">
                          <a:avLst/>
                        </a:prstGeom>
                        <a:noFill/>
                        <a:ln w="38100" cap="flat" cmpd="sng">
                          <a:solidFill>
                            <a:srgbClr val="C0000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4406900</wp:posOffset>
                </wp:positionH>
                <wp:positionV relativeFrom="paragraph">
                  <wp:posOffset>1282700</wp:posOffset>
                </wp:positionV>
                <wp:extent cx="352425" cy="247650"/>
                <wp:effectExtent b="0" l="0" r="0" t="0"/>
                <wp:wrapNone/>
                <wp:docPr id="563968086" name="image13.png"/>
                <a:graphic>
                  <a:graphicData uri="http://schemas.openxmlformats.org/drawingml/2006/picture">
                    <pic:pic>
                      <pic:nvPicPr>
                        <pic:cNvPr id="0" name="image13.png"/>
                        <pic:cNvPicPr preferRelativeResize="0"/>
                      </pic:nvPicPr>
                      <pic:blipFill>
                        <a:blip r:embed="rId16"/>
                        <a:srcRect/>
                        <a:stretch>
                          <a:fillRect/>
                        </a:stretch>
                      </pic:blipFill>
                      <pic:spPr>
                        <a:xfrm>
                          <a:off x="0" y="0"/>
                          <a:ext cx="352425" cy="247650"/>
                        </a:xfrm>
                        <a:prstGeom prst="rect"/>
                        <a:ln/>
                      </pic:spPr>
                    </pic:pic>
                  </a:graphicData>
                </a:graphic>
              </wp:anchor>
            </w:drawing>
          </mc:Fallback>
        </mc:AlternateContent>
      </w:r>
    </w:p>
    <w:p w14:paraId="745158D7" w14:textId="77777777" w:rsidR="0066753E" w:rsidRPr="00263752" w:rsidRDefault="0066753E">
      <w:pPr>
        <w:spacing w:line="360" w:lineRule="auto"/>
        <w:jc w:val="both"/>
        <w:rPr>
          <w:rFonts w:ascii="Palatino Linotype" w:eastAsia="Palatino Linotype" w:hAnsi="Palatino Linotype" w:cs="Palatino Linotype"/>
        </w:rPr>
      </w:pPr>
      <w:bookmarkStart w:id="5" w:name="_heading=h.35nkun2" w:colFirst="0" w:colLast="0"/>
      <w:bookmarkEnd w:id="5"/>
    </w:p>
    <w:p w14:paraId="6FCA2D15"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En este orden de ideas,  se considera que los documentos que de manera enunciativa, más no limitativa pudieran satisfacer el requerimiento en estudio son las pólizas de egresos y/o pólizas de cheque, teniendo por finalidad las primeras la de registrar cualquier operación contable en la que se produzca una salida de efectivo o erogaciones, y las segundas en caso de tratarse de una erogación que se realiza a través de un cheque; documentos a través de los cuales la persona solicitante, previo análisis de los mismos, podrá inferir el número de pagos y la frecuencia con los que estos se realizaron; así como los documentos comprobatorios que amparan las mismas, es decir los comprobantes fiscales digitales por internet. Documentos </w:t>
      </w:r>
      <w:proofErr w:type="gramStart"/>
      <w:r w:rsidRPr="00263752">
        <w:rPr>
          <w:rFonts w:ascii="Palatino Linotype" w:eastAsia="Palatino Linotype" w:hAnsi="Palatino Linotype" w:cs="Palatino Linotype"/>
        </w:rPr>
        <w:t>que</w:t>
      </w:r>
      <w:proofErr w:type="gramEnd"/>
      <w:r w:rsidRPr="00263752">
        <w:rPr>
          <w:rFonts w:ascii="Palatino Linotype" w:eastAsia="Palatino Linotype" w:hAnsi="Palatino Linotype" w:cs="Palatino Linotype"/>
        </w:rPr>
        <w:t xml:space="preserve"> por su naturaleza, forman parte del informe trimestral que </w:t>
      </w:r>
      <w:r w:rsidRPr="00263752">
        <w:rPr>
          <w:rFonts w:ascii="Palatino Linotype" w:eastAsia="Palatino Linotype" w:hAnsi="Palatino Linotype" w:cs="Palatino Linotype"/>
          <w:b/>
        </w:rPr>
        <w:t xml:space="preserve">EL SUJETO OBLIGADO </w:t>
      </w:r>
      <w:r w:rsidRPr="00263752">
        <w:rPr>
          <w:rFonts w:ascii="Palatino Linotype" w:eastAsia="Palatino Linotype" w:hAnsi="Palatino Linotype" w:cs="Palatino Linotype"/>
        </w:rPr>
        <w:t xml:space="preserve">debe remitir al Órgano Superior de Fiscalización del Estado de México. </w:t>
      </w:r>
    </w:p>
    <w:p w14:paraId="3A307DEF" w14:textId="77777777" w:rsidR="0066753E" w:rsidRPr="00263752" w:rsidRDefault="0066753E">
      <w:pPr>
        <w:spacing w:line="360" w:lineRule="auto"/>
        <w:jc w:val="both"/>
        <w:rPr>
          <w:rFonts w:ascii="Palatino Linotype" w:eastAsia="Palatino Linotype" w:hAnsi="Palatino Linotype" w:cs="Palatino Linotype"/>
        </w:rPr>
      </w:pPr>
    </w:p>
    <w:p w14:paraId="715C04AD" w14:textId="77777777" w:rsidR="0066753E" w:rsidRPr="00263752" w:rsidRDefault="00263752">
      <w:pPr>
        <w:spacing w:line="360" w:lineRule="auto"/>
        <w:jc w:val="both"/>
        <w:rPr>
          <w:rFonts w:ascii="Palatino Linotype" w:eastAsia="Palatino Linotype" w:hAnsi="Palatino Linotype" w:cs="Palatino Linotype"/>
          <w:b/>
        </w:rPr>
      </w:pPr>
      <w:r w:rsidRPr="00263752">
        <w:rPr>
          <w:rFonts w:ascii="Palatino Linotype" w:eastAsia="Palatino Linotype" w:hAnsi="Palatino Linotype" w:cs="Palatino Linotype"/>
        </w:rPr>
        <w:lastRenderedPageBreak/>
        <w:t xml:space="preserve">Con base en lo anterior, es de suma importancia puntualizar que las pólizas de egresos, las pólizas de cheque y los documentos comprobatorios de las mismas deben encontrarse </w:t>
      </w:r>
      <w:r w:rsidRPr="00263752">
        <w:rPr>
          <w:rFonts w:ascii="Palatino Linotype" w:eastAsia="Palatino Linotype" w:hAnsi="Palatino Linotype" w:cs="Palatino Linotype"/>
          <w:b/>
          <w:u w:val="single"/>
        </w:rPr>
        <w:t>en formato digital</w:t>
      </w:r>
      <w:r w:rsidRPr="00263752">
        <w:rPr>
          <w:rFonts w:ascii="Palatino Linotype" w:eastAsia="Palatino Linotype" w:hAnsi="Palatino Linotype" w:cs="Palatino Linotype"/>
          <w:b/>
        </w:rPr>
        <w:t xml:space="preserve"> y además </w:t>
      </w:r>
      <w:r w:rsidRPr="00263752">
        <w:rPr>
          <w:rFonts w:ascii="Palatino Linotype" w:eastAsia="Palatino Linotype" w:hAnsi="Palatino Linotype" w:cs="Palatino Linotype"/>
          <w:b/>
          <w:u w:val="single"/>
        </w:rPr>
        <w:t>deben estar plenamente identificables</w:t>
      </w:r>
      <w:r w:rsidRPr="00263752">
        <w:rPr>
          <w:rFonts w:ascii="Palatino Linotype" w:eastAsia="Palatino Linotype" w:hAnsi="Palatino Linotype" w:cs="Palatino Linotype"/>
          <w:b/>
        </w:rPr>
        <w:t xml:space="preserve"> en los discos respectivos que integran el </w:t>
      </w:r>
      <w:proofErr w:type="spellStart"/>
      <w:r w:rsidRPr="00263752">
        <w:rPr>
          <w:rFonts w:ascii="Palatino Linotype" w:eastAsia="Palatino Linotype" w:hAnsi="Palatino Linotype" w:cs="Palatino Linotype"/>
          <w:b/>
        </w:rPr>
        <w:t>Modulo</w:t>
      </w:r>
      <w:proofErr w:type="spellEnd"/>
      <w:r w:rsidRPr="00263752">
        <w:rPr>
          <w:rFonts w:ascii="Palatino Linotype" w:eastAsia="Palatino Linotype" w:hAnsi="Palatino Linotype" w:cs="Palatino Linotype"/>
          <w:b/>
        </w:rPr>
        <w:t xml:space="preserve"> 1 del Informe Trimestral, </w:t>
      </w:r>
      <w:r w:rsidRPr="00263752">
        <w:rPr>
          <w:rFonts w:ascii="Palatino Linotype" w:eastAsia="Palatino Linotype" w:hAnsi="Palatino Linotype" w:cs="Palatino Linotype"/>
        </w:rPr>
        <w:t xml:space="preserve">para  dar cumplimiento a la obligación fiscal prevista en la normativa, circunstancia que cobra relevancia ante la propuesta del cambio de modalidad en la entrega de la información del </w:t>
      </w:r>
      <w:r w:rsidRPr="00263752">
        <w:rPr>
          <w:rFonts w:ascii="Palatino Linotype" w:eastAsia="Palatino Linotype" w:hAnsi="Palatino Linotype" w:cs="Palatino Linotype"/>
          <w:b/>
        </w:rPr>
        <w:t>SUJETO OBLIGADO.</w:t>
      </w:r>
    </w:p>
    <w:p w14:paraId="722C4C4B" w14:textId="77777777" w:rsidR="0066753E" w:rsidRPr="00263752" w:rsidRDefault="0066753E">
      <w:pPr>
        <w:spacing w:line="360" w:lineRule="auto"/>
        <w:jc w:val="both"/>
        <w:rPr>
          <w:rFonts w:ascii="Palatino Linotype" w:eastAsia="Palatino Linotype" w:hAnsi="Palatino Linotype" w:cs="Palatino Linotype"/>
        </w:rPr>
      </w:pPr>
    </w:p>
    <w:p w14:paraId="2877C55F" w14:textId="77777777" w:rsidR="0066753E" w:rsidRPr="00263752" w:rsidRDefault="00263752">
      <w:pPr>
        <w:spacing w:line="360" w:lineRule="auto"/>
        <w:jc w:val="both"/>
        <w:rPr>
          <w:rFonts w:ascii="Palatino Linotype" w:eastAsia="Palatino Linotype" w:hAnsi="Palatino Linotype" w:cs="Palatino Linotype"/>
        </w:rPr>
      </w:pPr>
      <w:bookmarkStart w:id="6" w:name="_heading=h.1ksv4uv" w:colFirst="0" w:colLast="0"/>
      <w:bookmarkEnd w:id="6"/>
      <w:r w:rsidRPr="00263752">
        <w:rPr>
          <w:rFonts w:ascii="Palatino Linotype" w:eastAsia="Palatino Linotype" w:hAnsi="Palatino Linotype" w:cs="Palatino Linotype"/>
        </w:rPr>
        <w:t xml:space="preserve">Para sustentar lo anterior es preciso mencionar que el Instructivo del Módulo 1, establece los </w:t>
      </w:r>
      <w:proofErr w:type="gramStart"/>
      <w:r w:rsidRPr="00263752">
        <w:rPr>
          <w:rFonts w:ascii="Palatino Linotype" w:eastAsia="Palatino Linotype" w:hAnsi="Palatino Linotype" w:cs="Palatino Linotype"/>
        </w:rPr>
        <w:t>formatos</w:t>
      </w:r>
      <w:proofErr w:type="gramEnd"/>
      <w:r w:rsidRPr="00263752">
        <w:rPr>
          <w:rFonts w:ascii="Palatino Linotype" w:eastAsia="Palatino Linotype" w:hAnsi="Palatino Linotype" w:cs="Palatino Linotype"/>
        </w:rPr>
        <w:t xml:space="preserve"> así como el instructivo de llenado para el adecuado cumplimiento de la presentación del Informe, del cual se desprende que el formato correspondiente a las Pólizas de egresos y las Pólizas de cheque, debe contener en el apartado de “Descripción”, de manera breve y especifica el hecho que generó el asiento, observando el siguiente orden:</w:t>
      </w:r>
    </w:p>
    <w:p w14:paraId="15DB8530"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noProof/>
        </w:rPr>
        <w:drawing>
          <wp:inline distT="0" distB="0" distL="0" distR="0" wp14:anchorId="2C23FE11" wp14:editId="7BD690E3">
            <wp:extent cx="5610225" cy="1400175"/>
            <wp:effectExtent l="0" t="0" r="0" b="0"/>
            <wp:docPr id="5639680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610225" cy="1400175"/>
                    </a:xfrm>
                    <a:prstGeom prst="rect">
                      <a:avLst/>
                    </a:prstGeom>
                    <a:ln/>
                  </pic:spPr>
                </pic:pic>
              </a:graphicData>
            </a:graphic>
          </wp:inline>
        </w:drawing>
      </w:r>
    </w:p>
    <w:p w14:paraId="21913458"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Como se advierte, en la descripción de la póliza de egresos y de cheque debe referir el número de Comprobantes Fiscales Digitales por Internet, </w:t>
      </w:r>
      <w:proofErr w:type="spellStart"/>
      <w:r w:rsidRPr="00263752">
        <w:rPr>
          <w:rFonts w:ascii="Palatino Linotype" w:eastAsia="Palatino Linotype" w:hAnsi="Palatino Linotype" w:cs="Palatino Linotype"/>
        </w:rPr>
        <w:t>CFDI´s</w:t>
      </w:r>
      <w:proofErr w:type="spellEnd"/>
      <w:r w:rsidRPr="00263752">
        <w:rPr>
          <w:rFonts w:ascii="Palatino Linotype" w:eastAsia="Palatino Linotype" w:hAnsi="Palatino Linotype" w:cs="Palatino Linotype"/>
        </w:rPr>
        <w:t>, que integran la póliza correspondiente.</w:t>
      </w:r>
    </w:p>
    <w:p w14:paraId="5A91C665" w14:textId="77777777" w:rsidR="0066753E" w:rsidRPr="00263752" w:rsidRDefault="0066753E">
      <w:pPr>
        <w:spacing w:line="360" w:lineRule="auto"/>
        <w:jc w:val="both"/>
        <w:rPr>
          <w:rFonts w:ascii="Palatino Linotype" w:eastAsia="Palatino Linotype" w:hAnsi="Palatino Linotype" w:cs="Palatino Linotype"/>
        </w:rPr>
      </w:pPr>
    </w:p>
    <w:p w14:paraId="2574F3E6"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lastRenderedPageBreak/>
        <w:t>Acotado lo anterior, resulta relevante traer a colación el Manual para la Planeación, Programación y Presupuesto de Egresos Municipal, el cual tiene como objetivo apoyar a los ayuntamientos y entidades públicas municipales a integrar el anteproyecto y proyecto de presupuesto de egresos municipal, esto en cumplimiento con lo establecido en los artículos 134 de la Constitución Política de los Estados Unidos Mexicanos, los artículos 128, fracción IX y 129 de la Constitución Política del Estado Libre y Soberano de México; el artículo 31 fracción IX, , 99, 100 y 101 de la Ley Orgánica Municipal del Estado de México y los artículos 285, 290, 293, 294 y 295 del Código Financiero del Estado de México y Municipios.</w:t>
      </w:r>
    </w:p>
    <w:p w14:paraId="12BD84EA" w14:textId="77777777" w:rsidR="0066753E" w:rsidRPr="00263752" w:rsidRDefault="0066753E">
      <w:pPr>
        <w:spacing w:line="360" w:lineRule="auto"/>
        <w:jc w:val="both"/>
        <w:rPr>
          <w:rFonts w:ascii="Palatino Linotype" w:eastAsia="Palatino Linotype" w:hAnsi="Palatino Linotype" w:cs="Palatino Linotype"/>
        </w:rPr>
      </w:pPr>
    </w:p>
    <w:p w14:paraId="0BA0CDFE"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El Manual de referencia contempla lo relativo a la estructura del </w:t>
      </w:r>
      <w:r w:rsidRPr="00263752">
        <w:rPr>
          <w:rFonts w:ascii="Palatino Linotype" w:eastAsia="Palatino Linotype" w:hAnsi="Palatino Linotype" w:cs="Palatino Linotype"/>
          <w:b/>
        </w:rPr>
        <w:t>Clasificador por Objeto del Gasto</w:t>
      </w:r>
      <w:r w:rsidRPr="00263752">
        <w:rPr>
          <w:rFonts w:ascii="Palatino Linotype" w:eastAsia="Palatino Linotype" w:hAnsi="Palatino Linotype" w:cs="Palatino Linotype"/>
        </w:rPr>
        <w:t>, el cual constituye un elemento fundamental del sistema general de cuentas, donde cada componente destaca aspectos concretos del presupuesto y suministra información que atiende a necesidades diferentes, ahora bien, el Clasificador por Objeto del Gasto está diseñado con un nivel de desagregación que permite que sus cuentas faciliten el registro único de todas las transacciones con incidencia económica-financiera, como se observa a continuación:</w:t>
      </w:r>
    </w:p>
    <w:p w14:paraId="330B399A" w14:textId="77777777" w:rsidR="0066753E" w:rsidRPr="00263752" w:rsidRDefault="0066753E">
      <w:pPr>
        <w:spacing w:line="360" w:lineRule="auto"/>
        <w:jc w:val="both"/>
        <w:rPr>
          <w:rFonts w:ascii="Palatino Linotype" w:eastAsia="Palatino Linotype" w:hAnsi="Palatino Linotype" w:cs="Palatino Linotype"/>
        </w:rPr>
      </w:pPr>
    </w:p>
    <w:p w14:paraId="50ADA8DA"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noProof/>
        </w:rPr>
        <w:drawing>
          <wp:inline distT="0" distB="0" distL="0" distR="0" wp14:anchorId="718155F0" wp14:editId="09CAD399">
            <wp:extent cx="5734853" cy="971686"/>
            <wp:effectExtent l="0" t="0" r="0" b="0"/>
            <wp:docPr id="56396809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734853" cy="971686"/>
                    </a:xfrm>
                    <a:prstGeom prst="rect">
                      <a:avLst/>
                    </a:prstGeom>
                    <a:ln/>
                  </pic:spPr>
                </pic:pic>
              </a:graphicData>
            </a:graphic>
          </wp:inline>
        </w:drawing>
      </w:r>
    </w:p>
    <w:p w14:paraId="3133A038" w14:textId="77777777" w:rsidR="0066753E" w:rsidRPr="00263752" w:rsidRDefault="0066753E">
      <w:pPr>
        <w:spacing w:line="360" w:lineRule="auto"/>
        <w:jc w:val="both"/>
        <w:rPr>
          <w:rFonts w:ascii="Palatino Linotype" w:eastAsia="Palatino Linotype" w:hAnsi="Palatino Linotype" w:cs="Palatino Linotype"/>
        </w:rPr>
      </w:pPr>
    </w:p>
    <w:p w14:paraId="249642D6"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lastRenderedPageBreak/>
        <w:t xml:space="preserve">De lo anterior, se tiene que el gasto consta de diversos niveles de desagregación y que relativo al asunto que ahora nos ocupa, de manera genérica los capítulos 2000 y 3000 tratan de lo siguiente: </w:t>
      </w:r>
    </w:p>
    <w:p w14:paraId="338ED1F3" w14:textId="77777777" w:rsidR="0066753E" w:rsidRPr="00263752" w:rsidRDefault="0066753E">
      <w:pPr>
        <w:spacing w:line="360" w:lineRule="auto"/>
        <w:jc w:val="both"/>
        <w:rPr>
          <w:rFonts w:ascii="Palatino Linotype" w:eastAsia="Palatino Linotype" w:hAnsi="Palatino Linotype" w:cs="Palatino Linotype"/>
        </w:rPr>
      </w:pPr>
    </w:p>
    <w:p w14:paraId="091938B0"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b/>
        </w:rPr>
        <w:t>2000 MATERIALES Y SUMINISTROS.</w:t>
      </w:r>
      <w:r w:rsidRPr="00263752">
        <w:rPr>
          <w:rFonts w:ascii="Palatino Linotype" w:eastAsia="Palatino Linotype" w:hAnsi="Palatino Linotype" w:cs="Palatino Linotype"/>
        </w:rPr>
        <w:t xml:space="preserve"> Agrupa las asignaciones destinadas a la adquisición de toda clase de insumos y suministros requeridos para la prestación de bienes y servicios públicos y para el desempeño de las actividades administrativas.</w:t>
      </w:r>
    </w:p>
    <w:p w14:paraId="27A07083" w14:textId="77777777" w:rsidR="0066753E" w:rsidRPr="00263752" w:rsidRDefault="0066753E">
      <w:pPr>
        <w:spacing w:line="360" w:lineRule="auto"/>
        <w:jc w:val="both"/>
        <w:rPr>
          <w:rFonts w:ascii="Palatino Linotype" w:eastAsia="Palatino Linotype" w:hAnsi="Palatino Linotype" w:cs="Palatino Linotype"/>
        </w:rPr>
      </w:pPr>
    </w:p>
    <w:p w14:paraId="51090A63"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b/>
        </w:rPr>
        <w:t>2200 ALIMENTOS Y UTENSILIOS</w:t>
      </w:r>
      <w:r w:rsidRPr="00263752">
        <w:rPr>
          <w:rFonts w:ascii="Palatino Linotype" w:eastAsia="Palatino Linotype" w:hAnsi="Palatino Linotype" w:cs="Palatino Linotype"/>
        </w:rPr>
        <w:t>. Asignaciones destinadas a la adquisición de productos alimenticios y utensilios necesarios para el servicio de alimentación en apoyo de las actividades de los servidores públicos y los requeridos en la prestación de servicios públicos en unidades de salud, educación y readaptación social, entre otras. Excluye los gastos por alimentación previstos en los conceptos 3700 Servicios de Traslado y Viáticos y 3800 Servicios Oficiales.</w:t>
      </w:r>
    </w:p>
    <w:p w14:paraId="62E045AA" w14:textId="77777777" w:rsidR="0066753E" w:rsidRPr="00263752" w:rsidRDefault="0066753E">
      <w:pPr>
        <w:spacing w:line="360" w:lineRule="auto"/>
        <w:jc w:val="both"/>
        <w:rPr>
          <w:rFonts w:ascii="Palatino Linotype" w:eastAsia="Palatino Linotype" w:hAnsi="Palatino Linotype" w:cs="Palatino Linotype"/>
        </w:rPr>
      </w:pPr>
    </w:p>
    <w:p w14:paraId="50DD7275"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b/>
        </w:rPr>
        <w:t>2600 COMBUSTIBLES, LUBRICANTES Y ADITIVOS.</w:t>
      </w:r>
      <w:r w:rsidRPr="00263752">
        <w:rPr>
          <w:rFonts w:ascii="Palatino Linotype" w:eastAsia="Palatino Linotype" w:hAnsi="Palatino Linotype" w:cs="Palatino Linotype"/>
        </w:rPr>
        <w:t xml:space="preserve"> Asignaciones destinadas a la adquisición de combustibles, lubricantes y aditivos de todo tipo, necesarios para el funcionamiento de vehículos de transporte terrestres, aéreos, marítimos, lacustres y fluviales; así como de maquinaria y equipo.</w:t>
      </w:r>
    </w:p>
    <w:p w14:paraId="5A7CDB54" w14:textId="77777777" w:rsidR="0066753E" w:rsidRPr="00263752" w:rsidRDefault="0066753E">
      <w:pPr>
        <w:spacing w:line="360" w:lineRule="auto"/>
        <w:jc w:val="both"/>
        <w:rPr>
          <w:rFonts w:ascii="Palatino Linotype" w:eastAsia="Palatino Linotype" w:hAnsi="Palatino Linotype" w:cs="Palatino Linotype"/>
        </w:rPr>
      </w:pPr>
    </w:p>
    <w:p w14:paraId="02F703C8"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b/>
        </w:rPr>
        <w:t>3000 SERVICIOS GENERALES.</w:t>
      </w:r>
      <w:r w:rsidRPr="00263752">
        <w:rPr>
          <w:rFonts w:ascii="Palatino Linotype" w:eastAsia="Palatino Linotype" w:hAnsi="Palatino Linotype" w:cs="Palatino Linotype"/>
        </w:rPr>
        <w:t xml:space="preserve"> Asignaciones destinadas a cubrir el costo de todo tipo de servicios que se contraten con particulares o instituciones del propio sector público; así como los servicios oficiales requeridos para el desempeño de actividades vinculadas con la función pública.</w:t>
      </w:r>
    </w:p>
    <w:p w14:paraId="5958B019" w14:textId="77777777" w:rsidR="0066753E" w:rsidRPr="00263752" w:rsidRDefault="0066753E">
      <w:pPr>
        <w:spacing w:line="360" w:lineRule="auto"/>
        <w:jc w:val="both"/>
        <w:rPr>
          <w:rFonts w:ascii="Palatino Linotype" w:eastAsia="Palatino Linotype" w:hAnsi="Palatino Linotype" w:cs="Palatino Linotype"/>
        </w:rPr>
      </w:pPr>
    </w:p>
    <w:p w14:paraId="3A68A1E0"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b/>
        </w:rPr>
        <w:t>3700 SERVICIOS DE TRASLADO Y VIÁTICOS.</w:t>
      </w:r>
      <w:r w:rsidRPr="00263752">
        <w:rPr>
          <w:rFonts w:ascii="Palatino Linotype" w:eastAsia="Palatino Linotype" w:hAnsi="Palatino Linotype" w:cs="Palatino Linotype"/>
        </w:rPr>
        <w:t xml:space="preserve"> Asignaciones destinadas a cubrir los servicios de traslado, instalación y viáticos del personal, cuando por el desempeño de sus labores propias o comisiones de trabajo, requieran trasladarse a lugares distintos al de su adscripción</w:t>
      </w:r>
    </w:p>
    <w:p w14:paraId="5B16E358" w14:textId="77777777" w:rsidR="0066753E" w:rsidRPr="00263752" w:rsidRDefault="0066753E">
      <w:pPr>
        <w:spacing w:line="360" w:lineRule="auto"/>
        <w:jc w:val="both"/>
        <w:rPr>
          <w:rFonts w:ascii="Palatino Linotype" w:eastAsia="Palatino Linotype" w:hAnsi="Palatino Linotype" w:cs="Palatino Linotype"/>
        </w:rPr>
      </w:pPr>
    </w:p>
    <w:p w14:paraId="181C8010"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b/>
        </w:rPr>
        <w:t xml:space="preserve">3750 </w:t>
      </w:r>
      <w:proofErr w:type="gramStart"/>
      <w:r w:rsidRPr="00263752">
        <w:rPr>
          <w:rFonts w:ascii="Palatino Linotype" w:eastAsia="Palatino Linotype" w:hAnsi="Palatino Linotype" w:cs="Palatino Linotype"/>
          <w:b/>
        </w:rPr>
        <w:t>Viáticos</w:t>
      </w:r>
      <w:proofErr w:type="gramEnd"/>
      <w:r w:rsidRPr="00263752">
        <w:rPr>
          <w:rFonts w:ascii="Palatino Linotype" w:eastAsia="Palatino Linotype" w:hAnsi="Palatino Linotype" w:cs="Palatino Linotype"/>
          <w:b/>
        </w:rPr>
        <w:t xml:space="preserve"> en el país.</w:t>
      </w:r>
      <w:r w:rsidRPr="00263752">
        <w:rPr>
          <w:rFonts w:ascii="Palatino Linotype" w:eastAsia="Palatino Linotype" w:hAnsi="Palatino Linotype" w:cs="Palatino Linotype"/>
        </w:rPr>
        <w:t xml:space="preserve"> Asignaciones destinadas a cubrir los gastos por concepto de alimentación, hospedaje y arrendamiento de vehículos en el desempeño de comisiones temporales dentro del país, derivado de la realización de labores en campo o de supervisión e inspección, en lugares distintos a los de su adscripción. Esta partida aplica las cuotas diferenciales que señalen los tabuladores respectivos. Excluye los gastos de pasajes.</w:t>
      </w:r>
    </w:p>
    <w:p w14:paraId="1869982B" w14:textId="77777777" w:rsidR="0066753E" w:rsidRPr="00263752" w:rsidRDefault="0066753E">
      <w:pPr>
        <w:spacing w:line="360" w:lineRule="auto"/>
        <w:jc w:val="both"/>
        <w:rPr>
          <w:rFonts w:ascii="Palatino Linotype" w:eastAsia="Palatino Linotype" w:hAnsi="Palatino Linotype" w:cs="Palatino Linotype"/>
        </w:rPr>
      </w:pPr>
    </w:p>
    <w:p w14:paraId="25FF5F7F"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Aunado a lo anterior, es menester precisar que, de acuerdo con el Manual, dentro del sistema de evaluación de la gestión pública municipal, existen cuatro tipos de reportes que los ayuntamientos deben presentar: el Informe de Ejecución del Plan de Desarrollo Municipal, Informe de Gobierno, el Reporte de Avance Trimestral, y la Cuenta Pública, los cuales son instrumentos para el seguimiento, evaluación de avances y rendición de cuentas. </w:t>
      </w:r>
    </w:p>
    <w:p w14:paraId="50FF559D" w14:textId="77777777" w:rsidR="0066753E" w:rsidRPr="00263752" w:rsidRDefault="0066753E">
      <w:pPr>
        <w:spacing w:line="360" w:lineRule="auto"/>
        <w:jc w:val="both"/>
        <w:rPr>
          <w:rFonts w:ascii="Palatino Linotype" w:eastAsia="Palatino Linotype" w:hAnsi="Palatino Linotype" w:cs="Palatino Linotype"/>
        </w:rPr>
      </w:pPr>
    </w:p>
    <w:p w14:paraId="6E845700"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En ese sentido, cabe mencionar que para la integración del Informe de Gobierno, se servirá de soporte las fichas técnicas de los indicadores de evaluación del desempeño que integran la Matriz de Indicadores para Resultados (MIR) y los formatos de evaluación </w:t>
      </w:r>
      <w:proofErr w:type="spellStart"/>
      <w:r w:rsidRPr="00263752">
        <w:rPr>
          <w:rFonts w:ascii="Palatino Linotype" w:eastAsia="Palatino Linotype" w:hAnsi="Palatino Linotype" w:cs="Palatino Linotype"/>
        </w:rPr>
        <w:t>PbRM</w:t>
      </w:r>
      <w:proofErr w:type="spellEnd"/>
      <w:r w:rsidRPr="00263752">
        <w:rPr>
          <w:rFonts w:ascii="Palatino Linotype" w:eastAsia="Palatino Linotype" w:hAnsi="Palatino Linotype" w:cs="Palatino Linotype"/>
        </w:rPr>
        <w:t xml:space="preserve"> 08b; </w:t>
      </w:r>
      <w:proofErr w:type="spellStart"/>
      <w:r w:rsidRPr="00263752">
        <w:rPr>
          <w:rFonts w:ascii="Palatino Linotype" w:eastAsia="Palatino Linotype" w:hAnsi="Palatino Linotype" w:cs="Palatino Linotype"/>
        </w:rPr>
        <w:t>PbRM</w:t>
      </w:r>
      <w:proofErr w:type="spellEnd"/>
      <w:r w:rsidRPr="00263752">
        <w:rPr>
          <w:rFonts w:ascii="Palatino Linotype" w:eastAsia="Palatino Linotype" w:hAnsi="Palatino Linotype" w:cs="Palatino Linotype"/>
        </w:rPr>
        <w:t xml:space="preserve"> 08c; </w:t>
      </w:r>
      <w:proofErr w:type="spellStart"/>
      <w:r w:rsidRPr="00263752">
        <w:rPr>
          <w:rFonts w:ascii="Palatino Linotype" w:eastAsia="Palatino Linotype" w:hAnsi="Palatino Linotype" w:cs="Palatino Linotype"/>
        </w:rPr>
        <w:t>PbRM</w:t>
      </w:r>
      <w:proofErr w:type="spellEnd"/>
      <w:r w:rsidRPr="00263752">
        <w:rPr>
          <w:rFonts w:ascii="Palatino Linotype" w:eastAsia="Palatino Linotype" w:hAnsi="Palatino Linotype" w:cs="Palatino Linotype"/>
        </w:rPr>
        <w:t xml:space="preserve"> 09b; </w:t>
      </w:r>
      <w:proofErr w:type="spellStart"/>
      <w:r w:rsidRPr="00263752">
        <w:rPr>
          <w:rFonts w:ascii="Palatino Linotype" w:eastAsia="Palatino Linotype" w:hAnsi="Palatino Linotype" w:cs="Palatino Linotype"/>
        </w:rPr>
        <w:t>PbRM</w:t>
      </w:r>
      <w:proofErr w:type="spellEnd"/>
      <w:r w:rsidRPr="00263752">
        <w:rPr>
          <w:rFonts w:ascii="Palatino Linotype" w:eastAsia="Palatino Linotype" w:hAnsi="Palatino Linotype" w:cs="Palatino Linotype"/>
        </w:rPr>
        <w:t xml:space="preserve"> 10a; </w:t>
      </w:r>
      <w:proofErr w:type="spellStart"/>
      <w:r w:rsidRPr="00263752">
        <w:rPr>
          <w:rFonts w:ascii="Palatino Linotype" w:eastAsia="Palatino Linotype" w:hAnsi="Palatino Linotype" w:cs="Palatino Linotype"/>
        </w:rPr>
        <w:t>PbRM</w:t>
      </w:r>
      <w:proofErr w:type="spellEnd"/>
      <w:r w:rsidRPr="00263752">
        <w:rPr>
          <w:rFonts w:ascii="Palatino Linotype" w:eastAsia="Palatino Linotype" w:hAnsi="Palatino Linotype" w:cs="Palatino Linotype"/>
        </w:rPr>
        <w:t xml:space="preserve"> 10b; </w:t>
      </w:r>
      <w:proofErr w:type="spellStart"/>
      <w:r w:rsidRPr="00263752">
        <w:rPr>
          <w:rFonts w:ascii="Palatino Linotype" w:eastAsia="Palatino Linotype" w:hAnsi="Palatino Linotype" w:cs="Palatino Linotype"/>
        </w:rPr>
        <w:lastRenderedPageBreak/>
        <w:t>PbRM</w:t>
      </w:r>
      <w:proofErr w:type="spellEnd"/>
      <w:r w:rsidRPr="00263752">
        <w:rPr>
          <w:rFonts w:ascii="Palatino Linotype" w:eastAsia="Palatino Linotype" w:hAnsi="Palatino Linotype" w:cs="Palatino Linotype"/>
        </w:rPr>
        <w:t xml:space="preserve"> 10c; </w:t>
      </w:r>
      <w:proofErr w:type="spellStart"/>
      <w:r w:rsidRPr="00263752">
        <w:rPr>
          <w:rFonts w:ascii="Palatino Linotype" w:eastAsia="Palatino Linotype" w:hAnsi="Palatino Linotype" w:cs="Palatino Linotype"/>
        </w:rPr>
        <w:t>PbRM</w:t>
      </w:r>
      <w:proofErr w:type="spellEnd"/>
      <w:r w:rsidRPr="00263752">
        <w:rPr>
          <w:rFonts w:ascii="Palatino Linotype" w:eastAsia="Palatino Linotype" w:hAnsi="Palatino Linotype" w:cs="Palatino Linotype"/>
        </w:rPr>
        <w:t xml:space="preserve"> 11, de los cuales, </w:t>
      </w:r>
      <w:r w:rsidRPr="00263752">
        <w:rPr>
          <w:rFonts w:ascii="Palatino Linotype" w:eastAsia="Palatino Linotype" w:hAnsi="Palatino Linotype" w:cs="Palatino Linotype"/>
          <w:b/>
          <w:u w:val="single"/>
        </w:rPr>
        <w:t xml:space="preserve">podemos destacar el </w:t>
      </w:r>
      <w:proofErr w:type="spellStart"/>
      <w:r w:rsidRPr="00263752">
        <w:rPr>
          <w:rFonts w:ascii="Palatino Linotype" w:eastAsia="Palatino Linotype" w:hAnsi="Palatino Linotype" w:cs="Palatino Linotype"/>
          <w:b/>
          <w:u w:val="single"/>
        </w:rPr>
        <w:t>PbRM</w:t>
      </w:r>
      <w:proofErr w:type="spellEnd"/>
      <w:r w:rsidRPr="00263752">
        <w:rPr>
          <w:rFonts w:ascii="Palatino Linotype" w:eastAsia="Palatino Linotype" w:hAnsi="Palatino Linotype" w:cs="Palatino Linotype"/>
          <w:b/>
          <w:u w:val="single"/>
        </w:rPr>
        <w:t xml:space="preserve"> 10a</w:t>
      </w:r>
      <w:r w:rsidRPr="00263752">
        <w:rPr>
          <w:rFonts w:ascii="Palatino Linotype" w:eastAsia="Palatino Linotype" w:hAnsi="Palatino Linotype" w:cs="Palatino Linotype"/>
        </w:rPr>
        <w:t xml:space="preserve">, que de acuerdo con el Instructivo de llenado este permite conocer el avance presupuestal de los egresos de forma completa, además de permitir visualizar el avance del presupuesto anual, así </w:t>
      </w:r>
      <w:r w:rsidRPr="00263752">
        <w:rPr>
          <w:rFonts w:ascii="Palatino Linotype" w:eastAsia="Palatino Linotype" w:hAnsi="Palatino Linotype" w:cs="Palatino Linotype"/>
          <w:b/>
          <w:u w:val="single"/>
        </w:rPr>
        <w:t>como el presupuesto del mes (autorizado y ejercido)</w:t>
      </w:r>
      <w:r w:rsidRPr="00263752">
        <w:rPr>
          <w:rFonts w:ascii="Palatino Linotype" w:eastAsia="Palatino Linotype" w:hAnsi="Palatino Linotype" w:cs="Palatino Linotype"/>
          <w:b/>
        </w:rPr>
        <w:t xml:space="preserve">; </w:t>
      </w:r>
      <w:r w:rsidRPr="00263752">
        <w:rPr>
          <w:rFonts w:ascii="Palatino Linotype" w:eastAsia="Palatino Linotype" w:hAnsi="Palatino Linotype" w:cs="Palatino Linotype"/>
        </w:rPr>
        <w:t>y el presupuesto acumulado de dependencias generales (DG), dependencias auxiliares (DA).</w:t>
      </w:r>
    </w:p>
    <w:p w14:paraId="660A9B93" w14:textId="77777777" w:rsidR="0066753E" w:rsidRPr="00263752" w:rsidRDefault="0066753E">
      <w:pPr>
        <w:spacing w:line="360" w:lineRule="auto"/>
        <w:jc w:val="both"/>
        <w:rPr>
          <w:rFonts w:ascii="Palatino Linotype" w:eastAsia="Palatino Linotype" w:hAnsi="Palatino Linotype" w:cs="Palatino Linotype"/>
        </w:rPr>
      </w:pPr>
    </w:p>
    <w:p w14:paraId="3FFF4AEB"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Por otro lado, de conformidad con los ya referidos Lineamientos para la integración y entrega del Informe Trimestral Municipal 2022 del Órgano Superior de Fiscalización del Estado de México, señalan que estos se integran de un documento denominado </w:t>
      </w:r>
      <w:r w:rsidRPr="00263752">
        <w:rPr>
          <w:rFonts w:ascii="Palatino Linotype" w:eastAsia="Palatino Linotype" w:hAnsi="Palatino Linotype" w:cs="Palatino Linotype"/>
          <w:b/>
        </w:rPr>
        <w:t>“Estado Analítico del Ejercicio del Presupuesto de Egresos Detallado”</w:t>
      </w:r>
      <w:r w:rsidRPr="00263752">
        <w:rPr>
          <w:rFonts w:ascii="Palatino Linotype" w:eastAsia="Palatino Linotype" w:hAnsi="Palatino Linotype" w:cs="Palatino Linotype"/>
        </w:rPr>
        <w:t xml:space="preserve"> el </w:t>
      </w:r>
      <w:proofErr w:type="gramStart"/>
      <w:r w:rsidRPr="00263752">
        <w:rPr>
          <w:rFonts w:ascii="Palatino Linotype" w:eastAsia="Palatino Linotype" w:hAnsi="Palatino Linotype" w:cs="Palatino Linotype"/>
        </w:rPr>
        <w:t>cual</w:t>
      </w:r>
      <w:proofErr w:type="gramEnd"/>
      <w:r w:rsidRPr="00263752">
        <w:rPr>
          <w:rFonts w:ascii="Palatino Linotype" w:eastAsia="Palatino Linotype" w:hAnsi="Palatino Linotype" w:cs="Palatino Linotype"/>
        </w:rPr>
        <w:t xml:space="preserve"> si bien es entregado trimestralmente al OSFEM, es actualizado de manera mensual por parte del ente público y el cual también da cuenta del avance presupuestal de este. </w:t>
      </w:r>
    </w:p>
    <w:p w14:paraId="3FE9DE28" w14:textId="77777777" w:rsidR="0066753E" w:rsidRPr="00263752" w:rsidRDefault="0066753E">
      <w:pPr>
        <w:spacing w:line="360" w:lineRule="auto"/>
        <w:jc w:val="both"/>
        <w:rPr>
          <w:rFonts w:ascii="Palatino Linotype" w:eastAsia="Palatino Linotype" w:hAnsi="Palatino Linotype" w:cs="Palatino Linotype"/>
        </w:rPr>
      </w:pPr>
    </w:p>
    <w:p w14:paraId="09FC74A2"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Derivado de lo expuesto, es evidente que la entrega de la información no implica realizar la búsqueda exhaustiva de las documentales requeridas, o la inversión de tiempo por parte de determinado servidor público para digitalizar la información, entre otras acciones que pudieran comprometer las capacidades técnicas y administrativas del </w:t>
      </w:r>
      <w:r w:rsidRPr="00263752">
        <w:rPr>
          <w:rFonts w:ascii="Palatino Linotype" w:eastAsia="Palatino Linotype" w:hAnsi="Palatino Linotype" w:cs="Palatino Linotype"/>
          <w:b/>
        </w:rPr>
        <w:t>SUJETO OBLIGADO,</w:t>
      </w:r>
      <w:r w:rsidRPr="00263752">
        <w:rPr>
          <w:rFonts w:ascii="Palatino Linotype" w:eastAsia="Palatino Linotype" w:hAnsi="Palatino Linotype" w:cs="Palatino Linotype"/>
        </w:rPr>
        <w:t xml:space="preserve"> sino más bien, localizar los documentos que sirvieron de base para integrar el o los informes trimestrales, y que correspondan con las pólizas de cheques y/o pólizas de egresos y sus documentos comprobatorios, y gastos efectuados por la Oficina de la Presidencia Municipal del periodo que va del primero de octubre al veintiuno de diciembre de dos mil veintidós, se insiste, dichos documentos deben encontrarse plenamente </w:t>
      </w:r>
      <w:r w:rsidRPr="00263752">
        <w:rPr>
          <w:rFonts w:ascii="Palatino Linotype" w:eastAsia="Palatino Linotype" w:hAnsi="Palatino Linotype" w:cs="Palatino Linotype"/>
        </w:rPr>
        <w:lastRenderedPageBreak/>
        <w:t>identificados a efecto de cumplir con la obligación fiscal impuesta por la normativa aplicable.</w:t>
      </w:r>
    </w:p>
    <w:p w14:paraId="351324FF"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Ahora es menester aludir a los contratos y convenios celebrados por la Oficina de la Presidencia Municipal de Tlalmanalco requeridos por </w:t>
      </w:r>
      <w:r w:rsidRPr="00263752">
        <w:rPr>
          <w:rFonts w:ascii="Palatino Linotype" w:eastAsia="Palatino Linotype" w:hAnsi="Palatino Linotype" w:cs="Palatino Linotype"/>
          <w:b/>
        </w:rPr>
        <w:t xml:space="preserve">LA PARTE RECURRENTE </w:t>
      </w:r>
      <w:r w:rsidRPr="00263752">
        <w:rPr>
          <w:rFonts w:ascii="Palatino Linotype" w:eastAsia="Palatino Linotype" w:hAnsi="Palatino Linotype" w:cs="Palatino Linotype"/>
        </w:rPr>
        <w:t>en la solicitud inicial</w:t>
      </w:r>
      <w:r w:rsidRPr="00263752">
        <w:rPr>
          <w:rFonts w:ascii="Palatino Linotype" w:eastAsia="Palatino Linotype" w:hAnsi="Palatino Linotype" w:cs="Palatino Linotype"/>
          <w:b/>
        </w:rPr>
        <w:t>,</w:t>
      </w:r>
      <w:r w:rsidRPr="00263752">
        <w:rPr>
          <w:rFonts w:ascii="Palatino Linotype" w:eastAsia="Palatino Linotype" w:hAnsi="Palatino Linotype" w:cs="Palatino Linotype"/>
        </w:rPr>
        <w:t xml:space="preserve"> y como ya se refirió, </w:t>
      </w:r>
      <w:r w:rsidRPr="00263752">
        <w:rPr>
          <w:rFonts w:ascii="Palatino Linotype" w:eastAsia="Palatino Linotype" w:hAnsi="Palatino Linotype" w:cs="Palatino Linotype"/>
          <w:b/>
        </w:rPr>
        <w:t>EL SUJETO OBLIGADO</w:t>
      </w:r>
      <w:r w:rsidRPr="00263752">
        <w:rPr>
          <w:rFonts w:ascii="Palatino Linotype" w:eastAsia="Palatino Linotype" w:hAnsi="Palatino Linotype" w:cs="Palatino Linotype"/>
        </w:rPr>
        <w:t xml:space="preserve"> remitió en respuesta treinta y cuatro contratos concernientes a prestación de servicios y siete por adquisición de bienes, dando un total de cuarenta y un contratos correspondientes a la temporalidad de los meses de enero a septiembre de dos mil veintidós, donde de nueva cuenta, el motivo de inconformidad también resulta procedente pues </w:t>
      </w:r>
      <w:r w:rsidRPr="00263752">
        <w:rPr>
          <w:rFonts w:ascii="Palatino Linotype" w:eastAsia="Palatino Linotype" w:hAnsi="Palatino Linotype" w:cs="Palatino Linotype"/>
          <w:b/>
        </w:rPr>
        <w:t>EL SUJETO OBLIGADO</w:t>
      </w:r>
      <w:r w:rsidRPr="00263752">
        <w:rPr>
          <w:rFonts w:ascii="Palatino Linotype" w:eastAsia="Palatino Linotype" w:hAnsi="Palatino Linotype" w:cs="Palatino Linotype"/>
        </w:rPr>
        <w:t xml:space="preserve"> no se manifestó en cuanto a los meses de octubre, noviembre y diciembre de la citada anualidad. </w:t>
      </w:r>
    </w:p>
    <w:p w14:paraId="3A7F22AE" w14:textId="77777777" w:rsidR="0066753E" w:rsidRPr="00263752" w:rsidRDefault="0066753E">
      <w:pPr>
        <w:spacing w:line="360" w:lineRule="auto"/>
        <w:jc w:val="both"/>
        <w:rPr>
          <w:rFonts w:ascii="Palatino Linotype" w:eastAsia="Palatino Linotype" w:hAnsi="Palatino Linotype" w:cs="Palatino Linotype"/>
        </w:rPr>
      </w:pPr>
    </w:p>
    <w:p w14:paraId="3A623119"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Este Órgano Garante en aras de tutelar el Derecho de Acceso a la Información, tiene la obligación de apegarse en todo momento a lo que dispone la Ley de Transparencia y Acceso a la Información Pública del Estado de México y Municipios garantizando los principios de imparcialidad y legalidad en el procedimiento de impugnación y resolución </w:t>
      </w:r>
      <w:proofErr w:type="gramStart"/>
      <w:r w:rsidRPr="00263752">
        <w:rPr>
          <w:rFonts w:ascii="Palatino Linotype" w:eastAsia="Palatino Linotype" w:hAnsi="Palatino Linotype" w:cs="Palatino Linotype"/>
        </w:rPr>
        <w:t>de  recurso</w:t>
      </w:r>
      <w:proofErr w:type="gramEnd"/>
      <w:r w:rsidRPr="00263752">
        <w:rPr>
          <w:rFonts w:ascii="Palatino Linotype" w:eastAsia="Palatino Linotype" w:hAnsi="Palatino Linotype" w:cs="Palatino Linotype"/>
        </w:rPr>
        <w:t xml:space="preserve"> planteado.</w:t>
      </w:r>
    </w:p>
    <w:p w14:paraId="64025549" w14:textId="77777777" w:rsidR="0066753E" w:rsidRPr="00263752" w:rsidRDefault="0066753E">
      <w:pPr>
        <w:spacing w:line="360" w:lineRule="auto"/>
        <w:jc w:val="both"/>
        <w:rPr>
          <w:rFonts w:ascii="Palatino Linotype" w:eastAsia="Palatino Linotype" w:hAnsi="Palatino Linotype" w:cs="Palatino Linotype"/>
        </w:rPr>
      </w:pPr>
    </w:p>
    <w:p w14:paraId="488EBD1E"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No obstante, se considera pertinente referir que el Diccionario de la Real Academia Española establece:</w:t>
      </w:r>
    </w:p>
    <w:p w14:paraId="26F9FB72" w14:textId="77777777" w:rsidR="0066753E" w:rsidRPr="00263752" w:rsidRDefault="0066753E">
      <w:pPr>
        <w:jc w:val="both"/>
        <w:rPr>
          <w:rFonts w:ascii="Palatino Linotype" w:eastAsia="Palatino Linotype" w:hAnsi="Palatino Linotype" w:cs="Palatino Linotype"/>
        </w:rPr>
      </w:pPr>
    </w:p>
    <w:p w14:paraId="5F300C32" w14:textId="77777777" w:rsidR="0066753E" w:rsidRPr="00263752" w:rsidRDefault="00263752">
      <w:pPr>
        <w:numPr>
          <w:ilvl w:val="0"/>
          <w:numId w:val="4"/>
        </w:numPr>
        <w:rPr>
          <w:rFonts w:ascii="Palatino Linotype" w:eastAsia="Palatino Linotype" w:hAnsi="Palatino Linotype" w:cs="Palatino Linotype"/>
        </w:rPr>
      </w:pPr>
      <w:r w:rsidRPr="00263752">
        <w:rPr>
          <w:rFonts w:ascii="Palatino Linotype" w:eastAsia="Palatino Linotype" w:hAnsi="Palatino Linotype" w:cs="Palatino Linotype"/>
        </w:rPr>
        <w:t>Convenio De </w:t>
      </w:r>
      <w:r w:rsidRPr="00263752">
        <w:rPr>
          <w:rFonts w:ascii="Palatino Linotype" w:eastAsia="Palatino Linotype" w:hAnsi="Palatino Linotype" w:cs="Palatino Linotype"/>
          <w:i/>
        </w:rPr>
        <w:t>convenir.</w:t>
      </w:r>
    </w:p>
    <w:p w14:paraId="5150B474" w14:textId="77777777" w:rsidR="0066753E" w:rsidRPr="00263752" w:rsidRDefault="00263752">
      <w:pPr>
        <w:ind w:left="720"/>
        <w:rPr>
          <w:rFonts w:ascii="Palatino Linotype" w:eastAsia="Palatino Linotype" w:hAnsi="Palatino Linotype" w:cs="Palatino Linotype"/>
        </w:rPr>
      </w:pPr>
      <w:r w:rsidRPr="00263752">
        <w:rPr>
          <w:rFonts w:ascii="Palatino Linotype" w:eastAsia="Palatino Linotype" w:hAnsi="Palatino Linotype" w:cs="Palatino Linotype"/>
          <w:b/>
        </w:rPr>
        <w:t>1. </w:t>
      </w:r>
      <w:r w:rsidRPr="00263752">
        <w:rPr>
          <w:rFonts w:ascii="Palatino Linotype" w:eastAsia="Palatino Linotype" w:hAnsi="Palatino Linotype" w:cs="Palatino Linotype"/>
        </w:rPr>
        <w:t>m. Acuerdo o pacto.</w:t>
      </w:r>
    </w:p>
    <w:p w14:paraId="20279B43" w14:textId="77777777" w:rsidR="0066753E" w:rsidRPr="00263752" w:rsidRDefault="00263752">
      <w:pPr>
        <w:numPr>
          <w:ilvl w:val="0"/>
          <w:numId w:val="4"/>
        </w:numPr>
        <w:jc w:val="both"/>
        <w:rPr>
          <w:rFonts w:ascii="Palatino Linotype" w:eastAsia="Palatino Linotype" w:hAnsi="Palatino Linotype" w:cs="Palatino Linotype"/>
        </w:rPr>
      </w:pPr>
      <w:r w:rsidRPr="00263752">
        <w:rPr>
          <w:rFonts w:ascii="Palatino Linotype" w:eastAsia="Palatino Linotype" w:hAnsi="Palatino Linotype" w:cs="Palatino Linotype"/>
        </w:rPr>
        <w:t>Contrato del latín contractus.</w:t>
      </w:r>
    </w:p>
    <w:p w14:paraId="2A7C1A01" w14:textId="77777777" w:rsidR="0066753E" w:rsidRPr="00263752" w:rsidRDefault="00263752">
      <w:pPr>
        <w:ind w:left="720"/>
        <w:jc w:val="both"/>
        <w:rPr>
          <w:rFonts w:ascii="Palatino Linotype" w:eastAsia="Palatino Linotype" w:hAnsi="Palatino Linotype" w:cs="Palatino Linotype"/>
        </w:rPr>
      </w:pPr>
      <w:r w:rsidRPr="00263752">
        <w:rPr>
          <w:rFonts w:ascii="Palatino Linotype" w:eastAsia="Palatino Linotype" w:hAnsi="Palatino Linotype" w:cs="Palatino Linotype"/>
        </w:rPr>
        <w:t>1. m. Pacto o convenio, oral o escrito, entre partes que se obligan sobre materia o cosa determinada, y a cuyo cumplimiento pueden ser compelidas.</w:t>
      </w:r>
    </w:p>
    <w:p w14:paraId="75FE68D5" w14:textId="77777777" w:rsidR="0066753E" w:rsidRPr="00263752" w:rsidRDefault="0066753E">
      <w:pPr>
        <w:ind w:left="720"/>
        <w:jc w:val="both"/>
        <w:rPr>
          <w:rFonts w:ascii="Palatino Linotype" w:eastAsia="Palatino Linotype" w:hAnsi="Palatino Linotype" w:cs="Palatino Linotype"/>
        </w:rPr>
      </w:pPr>
    </w:p>
    <w:p w14:paraId="3C08B6BB" w14:textId="77777777" w:rsidR="0066753E" w:rsidRPr="00263752" w:rsidRDefault="00263752">
      <w:pPr>
        <w:tabs>
          <w:tab w:val="left" w:pos="709"/>
        </w:tabs>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En este mismo orden de ideas debe mencionarse que el Código Civil del Estado de México establece:</w:t>
      </w:r>
    </w:p>
    <w:p w14:paraId="3556E772" w14:textId="77777777" w:rsidR="0066753E" w:rsidRPr="00263752" w:rsidRDefault="0066753E">
      <w:pPr>
        <w:tabs>
          <w:tab w:val="left" w:pos="709"/>
        </w:tabs>
        <w:jc w:val="both"/>
        <w:rPr>
          <w:rFonts w:ascii="Palatino Linotype" w:eastAsia="Palatino Linotype" w:hAnsi="Palatino Linotype" w:cs="Palatino Linotype"/>
        </w:rPr>
      </w:pPr>
    </w:p>
    <w:p w14:paraId="61F9CD24" w14:textId="77777777" w:rsidR="0066753E" w:rsidRPr="00263752" w:rsidRDefault="00263752">
      <w:pPr>
        <w:tabs>
          <w:tab w:val="left" w:pos="709"/>
        </w:tabs>
        <w:ind w:left="851" w:right="851"/>
        <w:jc w:val="both"/>
        <w:rPr>
          <w:rFonts w:ascii="Palatino Linotype" w:eastAsia="Palatino Linotype" w:hAnsi="Palatino Linotype" w:cs="Palatino Linotype"/>
          <w:b/>
          <w:i/>
        </w:rPr>
      </w:pPr>
      <w:r w:rsidRPr="00263752">
        <w:rPr>
          <w:rFonts w:ascii="Palatino Linotype" w:eastAsia="Palatino Linotype" w:hAnsi="Palatino Linotype" w:cs="Palatino Linotype"/>
          <w:b/>
          <w:i/>
        </w:rPr>
        <w:t>Concepto de convenio</w:t>
      </w:r>
    </w:p>
    <w:p w14:paraId="473FB7EB" w14:textId="77777777" w:rsidR="0066753E" w:rsidRPr="00263752" w:rsidRDefault="00263752">
      <w:pPr>
        <w:tabs>
          <w:tab w:val="left" w:pos="709"/>
        </w:tabs>
        <w:ind w:left="851" w:right="851"/>
        <w:jc w:val="both"/>
        <w:rPr>
          <w:rFonts w:ascii="Palatino Linotype" w:eastAsia="Palatino Linotype" w:hAnsi="Palatino Linotype" w:cs="Palatino Linotype"/>
          <w:i/>
        </w:rPr>
      </w:pPr>
      <w:r w:rsidRPr="00263752">
        <w:rPr>
          <w:rFonts w:ascii="Palatino Linotype" w:eastAsia="Palatino Linotype" w:hAnsi="Palatino Linotype" w:cs="Palatino Linotype"/>
          <w:b/>
          <w:i/>
        </w:rPr>
        <w:t>Artículo 7.30.-</w:t>
      </w:r>
      <w:r w:rsidRPr="00263752">
        <w:rPr>
          <w:rFonts w:ascii="Palatino Linotype" w:eastAsia="Palatino Linotype" w:hAnsi="Palatino Linotype" w:cs="Palatino Linotype"/>
          <w:i/>
        </w:rPr>
        <w:t xml:space="preserve"> Convenio es el </w:t>
      </w:r>
      <w:r w:rsidRPr="00263752">
        <w:rPr>
          <w:rFonts w:ascii="Palatino Linotype" w:eastAsia="Palatino Linotype" w:hAnsi="Palatino Linotype" w:cs="Palatino Linotype"/>
          <w:b/>
          <w:i/>
          <w:u w:val="single"/>
        </w:rPr>
        <w:t>acuerdo de dos o más personas para crear, transferir, modificar o extinguir obligaciones</w:t>
      </w:r>
      <w:r w:rsidRPr="00263752">
        <w:rPr>
          <w:rFonts w:ascii="Palatino Linotype" w:eastAsia="Palatino Linotype" w:hAnsi="Palatino Linotype" w:cs="Palatino Linotype"/>
          <w:i/>
        </w:rPr>
        <w:t>.</w:t>
      </w:r>
    </w:p>
    <w:p w14:paraId="727F840A" w14:textId="77777777" w:rsidR="0066753E" w:rsidRPr="00263752" w:rsidRDefault="0066753E">
      <w:pPr>
        <w:tabs>
          <w:tab w:val="left" w:pos="709"/>
        </w:tabs>
        <w:ind w:left="851" w:right="851"/>
        <w:jc w:val="both"/>
        <w:rPr>
          <w:rFonts w:ascii="Palatino Linotype" w:eastAsia="Palatino Linotype" w:hAnsi="Palatino Linotype" w:cs="Palatino Linotype"/>
          <w:b/>
          <w:i/>
        </w:rPr>
      </w:pPr>
    </w:p>
    <w:p w14:paraId="20F97363" w14:textId="77777777" w:rsidR="0066753E" w:rsidRPr="00263752" w:rsidRDefault="00263752">
      <w:pPr>
        <w:tabs>
          <w:tab w:val="left" w:pos="709"/>
        </w:tabs>
        <w:ind w:left="851" w:right="851"/>
        <w:jc w:val="both"/>
        <w:rPr>
          <w:rFonts w:ascii="Palatino Linotype" w:eastAsia="Palatino Linotype" w:hAnsi="Palatino Linotype" w:cs="Palatino Linotype"/>
          <w:b/>
          <w:i/>
        </w:rPr>
      </w:pPr>
      <w:r w:rsidRPr="00263752">
        <w:rPr>
          <w:rFonts w:ascii="Palatino Linotype" w:eastAsia="Palatino Linotype" w:hAnsi="Palatino Linotype" w:cs="Palatino Linotype"/>
          <w:b/>
          <w:i/>
        </w:rPr>
        <w:t>Concepto de contrato</w:t>
      </w:r>
    </w:p>
    <w:p w14:paraId="1CCC6B44" w14:textId="77777777" w:rsidR="0066753E" w:rsidRPr="00263752" w:rsidRDefault="00263752">
      <w:pPr>
        <w:tabs>
          <w:tab w:val="left" w:pos="709"/>
        </w:tabs>
        <w:ind w:left="851" w:right="851"/>
        <w:jc w:val="both"/>
        <w:rPr>
          <w:rFonts w:ascii="Palatino Linotype" w:eastAsia="Palatino Linotype" w:hAnsi="Palatino Linotype" w:cs="Palatino Linotype"/>
          <w:i/>
        </w:rPr>
      </w:pPr>
      <w:r w:rsidRPr="00263752">
        <w:rPr>
          <w:rFonts w:ascii="Palatino Linotype" w:eastAsia="Palatino Linotype" w:hAnsi="Palatino Linotype" w:cs="Palatino Linotype"/>
          <w:b/>
          <w:i/>
        </w:rPr>
        <w:t>Artículo 7.31.-</w:t>
      </w:r>
      <w:r w:rsidRPr="00263752">
        <w:rPr>
          <w:rFonts w:ascii="Palatino Linotype" w:eastAsia="Palatino Linotype" w:hAnsi="Palatino Linotype" w:cs="Palatino Linotype"/>
          <w:i/>
        </w:rPr>
        <w:t xml:space="preserve"> Los </w:t>
      </w:r>
      <w:r w:rsidRPr="00263752">
        <w:rPr>
          <w:rFonts w:ascii="Palatino Linotype" w:eastAsia="Palatino Linotype" w:hAnsi="Palatino Linotype" w:cs="Palatino Linotype"/>
          <w:b/>
          <w:i/>
          <w:u w:val="single"/>
        </w:rPr>
        <w:t>convenios que crean o transfieren obligaciones y derechos</w:t>
      </w:r>
      <w:r w:rsidRPr="00263752">
        <w:rPr>
          <w:rFonts w:ascii="Palatino Linotype" w:eastAsia="Palatino Linotype" w:hAnsi="Palatino Linotype" w:cs="Palatino Linotype"/>
          <w:i/>
        </w:rPr>
        <w:t>, reciben el nombre de contratos.</w:t>
      </w:r>
    </w:p>
    <w:p w14:paraId="693BE26C" w14:textId="77777777" w:rsidR="0066753E" w:rsidRPr="00263752" w:rsidRDefault="00263752">
      <w:pPr>
        <w:tabs>
          <w:tab w:val="left" w:pos="709"/>
        </w:tabs>
        <w:ind w:left="851" w:right="851"/>
        <w:jc w:val="both"/>
        <w:rPr>
          <w:rFonts w:ascii="Palatino Linotype" w:eastAsia="Palatino Linotype" w:hAnsi="Palatino Linotype" w:cs="Palatino Linotype"/>
          <w:i/>
        </w:rPr>
      </w:pPr>
      <w:r w:rsidRPr="00263752">
        <w:rPr>
          <w:rFonts w:ascii="Palatino Linotype" w:eastAsia="Palatino Linotype" w:hAnsi="Palatino Linotype" w:cs="Palatino Linotype"/>
          <w:i/>
        </w:rPr>
        <w:t>Énfasis añadido.</w:t>
      </w:r>
    </w:p>
    <w:p w14:paraId="396A3774" w14:textId="77777777" w:rsidR="0066753E" w:rsidRPr="00263752" w:rsidRDefault="0066753E">
      <w:pPr>
        <w:tabs>
          <w:tab w:val="left" w:pos="709"/>
        </w:tabs>
        <w:ind w:left="851" w:right="851"/>
        <w:jc w:val="both"/>
        <w:rPr>
          <w:rFonts w:ascii="Palatino Linotype" w:eastAsia="Palatino Linotype" w:hAnsi="Palatino Linotype" w:cs="Palatino Linotype"/>
          <w:i/>
        </w:rPr>
      </w:pPr>
    </w:p>
    <w:p w14:paraId="3ADE3E66" w14:textId="77777777" w:rsidR="0066753E" w:rsidRPr="00263752" w:rsidRDefault="00263752">
      <w:pPr>
        <w:tabs>
          <w:tab w:val="left" w:pos="709"/>
        </w:tabs>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Por otra parte, debe mencionarse que el artículo 112 de la Constitución Política del Estado Libre y Soberano de México establece la base de la división territorial y de la organización política y administrativa del Estado en el municipio libre, el cual se ejerce por el Ayuntamiento, también llamado comúnmente Cabildo.</w:t>
      </w:r>
    </w:p>
    <w:p w14:paraId="7B0CA00D" w14:textId="77777777" w:rsidR="0066753E" w:rsidRPr="00263752" w:rsidRDefault="0066753E">
      <w:pPr>
        <w:tabs>
          <w:tab w:val="left" w:pos="709"/>
        </w:tabs>
        <w:spacing w:line="360" w:lineRule="auto"/>
        <w:jc w:val="both"/>
        <w:rPr>
          <w:rFonts w:ascii="Palatino Linotype" w:eastAsia="Palatino Linotype" w:hAnsi="Palatino Linotype" w:cs="Palatino Linotype"/>
        </w:rPr>
      </w:pPr>
    </w:p>
    <w:p w14:paraId="2E64FA20"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Debe mencionarse que las adquisiciones de bienes y servicios se tienen que hacer de conformidad con la Ley de Contratación Pública del Estado de México y Municipios, la cual tiene como objeto regular los actos relativos a la planeación, programación, presupuestación, ejecución y control de la adquisición, enajenación y arrendamiento de bienes y la contratación de cualquier naturaleza que realicen los ayuntamientos de los municipios y sus organismos auxiliares que componen el Estado de México</w:t>
      </w:r>
      <w:r w:rsidRPr="00263752">
        <w:rPr>
          <w:rFonts w:ascii="Palatino Linotype" w:eastAsia="Palatino Linotype" w:hAnsi="Palatino Linotype" w:cs="Palatino Linotype"/>
          <w:vertAlign w:val="superscript"/>
        </w:rPr>
        <w:footnoteReference w:id="1"/>
      </w:r>
      <w:r w:rsidRPr="00263752">
        <w:rPr>
          <w:rFonts w:ascii="Palatino Linotype" w:eastAsia="Palatino Linotype" w:hAnsi="Palatino Linotype" w:cs="Palatino Linotype"/>
        </w:rPr>
        <w:t xml:space="preserve">, </w:t>
      </w:r>
      <w:r w:rsidRPr="00263752">
        <w:rPr>
          <w:rFonts w:ascii="Palatino Linotype" w:eastAsia="Palatino Linotype" w:hAnsi="Palatino Linotype" w:cs="Palatino Linotype"/>
        </w:rPr>
        <w:lastRenderedPageBreak/>
        <w:t>dentro de dicha normatividad, se establecen los procedimientos de contratación y adquisición comprendidos, así como los medios por los que serán obtenidos:</w:t>
      </w:r>
    </w:p>
    <w:p w14:paraId="72DC6A93" w14:textId="77777777" w:rsidR="0066753E" w:rsidRPr="00263752" w:rsidRDefault="0066753E">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0CF17826"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Artículo 4.-</w:t>
      </w:r>
      <w:r w:rsidRPr="00263752">
        <w:rPr>
          <w:rFonts w:ascii="Palatino Linotype" w:eastAsia="Palatino Linotype" w:hAnsi="Palatino Linotype" w:cs="Palatino Linotype"/>
          <w:i/>
          <w:sz w:val="22"/>
          <w:szCs w:val="22"/>
        </w:rPr>
        <w:t xml:space="preserve"> Para los efectos de esta Ley, en las adquisiciones, enajenaciones, arrendamientos y servicios, quedan comprendidos: </w:t>
      </w:r>
    </w:p>
    <w:p w14:paraId="269B0F44"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La adquisición de bienes muebles.</w:t>
      </w:r>
    </w:p>
    <w:p w14:paraId="25A565CB"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 xml:space="preserve">La adquisición de bienes inmuebles, a través de compraventa. </w:t>
      </w:r>
    </w:p>
    <w:p w14:paraId="553ED82A"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 xml:space="preserve">La enajenación de bienes muebles e inmuebles. </w:t>
      </w:r>
    </w:p>
    <w:p w14:paraId="66F79EAB"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 xml:space="preserve">El arrendamiento de bienes muebles e inmuebles. </w:t>
      </w:r>
    </w:p>
    <w:p w14:paraId="448EF70A"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 xml:space="preserve">La contratación de los servicios, relacionados con bienes muebles que se encuentran incorporados o adheridos a bienes inmuebles, cuya instalación o mantenimiento no implique modificación al bien inmueble. </w:t>
      </w:r>
    </w:p>
    <w:p w14:paraId="3BA80A35"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 xml:space="preserve">La contratación de los servicios de reconstrucción y mantenimiento de bienes muebles. </w:t>
      </w:r>
    </w:p>
    <w:p w14:paraId="389C6959"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La contratación de los servicios de maquila, seguros y transportación, así como de los de limpieza y vigilancia de bienes inmuebles.</w:t>
      </w:r>
    </w:p>
    <w:p w14:paraId="638249DB"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 xml:space="preserve">La prestación de servicios profesionales, la contratación de consultorías, asesorías y estudios e investigaciones, excepto la contratación de servicios personales de personas físicas bajo el régimen de honorarios. </w:t>
      </w:r>
    </w:p>
    <w:p w14:paraId="18583E30"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 xml:space="preserve">En general, otros actos que impliquen la contratación de servicios de cualquier naturaleza. </w:t>
      </w:r>
    </w:p>
    <w:p w14:paraId="0C5672EF"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No aplicarán las disposiciones de la presente Ley a la operación, administración, uso, goce, disposición o cualquier otro acto jurídico sobre bienes muebles o inmuebles que pudieren regularse por esta Ley, si dichos actos derivan de la prestación de servicios bajo la modalidad de proyectos para prestación de servicios; en estos casos, aplicarán las disposiciones del Libro Décimo Sexto del Código Administrativo del Estado de México.</w:t>
      </w:r>
    </w:p>
    <w:p w14:paraId="6B83F6D7" w14:textId="77777777" w:rsidR="0066753E" w:rsidRPr="00263752" w:rsidRDefault="0066753E">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p>
    <w:p w14:paraId="40A182E7"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263752">
        <w:rPr>
          <w:rFonts w:ascii="Palatino Linotype" w:eastAsia="Palatino Linotype" w:hAnsi="Palatino Linotype" w:cs="Palatino Linotype"/>
          <w:b/>
          <w:i/>
          <w:sz w:val="22"/>
          <w:szCs w:val="22"/>
        </w:rPr>
        <w:t>Artículo 26</w:t>
      </w:r>
      <w:r w:rsidRPr="00263752">
        <w:rPr>
          <w:rFonts w:ascii="Palatino Linotype" w:eastAsia="Palatino Linotype" w:hAnsi="Palatino Linotype" w:cs="Palatino Linotype"/>
          <w:i/>
          <w:sz w:val="22"/>
          <w:szCs w:val="22"/>
        </w:rPr>
        <w:t xml:space="preserve">.- </w:t>
      </w:r>
      <w:r w:rsidRPr="00263752">
        <w:rPr>
          <w:rFonts w:ascii="Palatino Linotype" w:eastAsia="Palatino Linotype" w:hAnsi="Palatino Linotype" w:cs="Palatino Linotype"/>
          <w:b/>
          <w:i/>
          <w:sz w:val="22"/>
          <w:szCs w:val="22"/>
        </w:rPr>
        <w:t xml:space="preserve">Las adquisiciones, arrendamientos y servicios se adjudicarán a través de licitaciones públicas, mediante convocatoria pública. </w:t>
      </w:r>
    </w:p>
    <w:p w14:paraId="0F27A7DF" w14:textId="77777777" w:rsidR="0066753E" w:rsidRPr="00263752" w:rsidRDefault="0066753E">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p>
    <w:p w14:paraId="7F5FC237"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lastRenderedPageBreak/>
        <w:t>De los preceptos normativos citados, se advierte que todas las adquisiciones de bienes muebles e inmuebles serán adjudicadas por licitación pública, en donde por medio de una convocatoria abierta al público se establecerán las bases de la licitación, misma que podrá ser de carácter nacional o internacional de acuerdo a las condiciones establecidas por la ley en mención. Además, en el marco normativo se establecen los procedimientos que han de seguir las entidades públicas en caso de que establezcan modalidades distintas a la licitación pública para la adquisición de bienes o servicios, tal como se indica en los artículos 27 y 43 de la Ley de Contratación Pública aplicable para el Estado:</w:t>
      </w:r>
    </w:p>
    <w:p w14:paraId="17AABEA1" w14:textId="77777777" w:rsidR="0066753E" w:rsidRPr="00263752" w:rsidRDefault="0066753E">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0C5FE9B4"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 xml:space="preserve">Artículo 27.- </w:t>
      </w:r>
      <w:r w:rsidRPr="00263752">
        <w:rPr>
          <w:rFonts w:ascii="Palatino Linotype" w:eastAsia="Palatino Linotype" w:hAnsi="Palatino Linotype" w:cs="Palatino Linotype"/>
          <w:i/>
          <w:sz w:val="22"/>
          <w:szCs w:val="22"/>
        </w:rPr>
        <w:t xml:space="preserve">La Secretaría, las entidades, los tribunales administrativos y </w:t>
      </w:r>
      <w:r w:rsidRPr="00263752">
        <w:rPr>
          <w:rFonts w:ascii="Palatino Linotype" w:eastAsia="Palatino Linotype" w:hAnsi="Palatino Linotype" w:cs="Palatino Linotype"/>
          <w:b/>
          <w:i/>
          <w:sz w:val="22"/>
          <w:szCs w:val="22"/>
        </w:rPr>
        <w:t>los ayuntamientos podrán adjudicar adquisiciones, arrendamientos y servicios, mediante las excepciones al procedimiento de licitación</w:t>
      </w:r>
      <w:r w:rsidRPr="00263752">
        <w:rPr>
          <w:rFonts w:ascii="Palatino Linotype" w:eastAsia="Palatino Linotype" w:hAnsi="Palatino Linotype" w:cs="Palatino Linotype"/>
          <w:i/>
          <w:sz w:val="22"/>
          <w:szCs w:val="22"/>
        </w:rPr>
        <w:t xml:space="preserve"> que a continuación se señalan:</w:t>
      </w:r>
    </w:p>
    <w:p w14:paraId="56954F3E"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 xml:space="preserve">Invitación restringida. </w:t>
      </w:r>
    </w:p>
    <w:p w14:paraId="390DE7D9"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Adjudicación directa.</w:t>
      </w:r>
    </w:p>
    <w:p w14:paraId="65844001" w14:textId="77777777" w:rsidR="0066753E" w:rsidRPr="00263752" w:rsidRDefault="0066753E">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p>
    <w:p w14:paraId="1D984DD7"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263752">
        <w:rPr>
          <w:rFonts w:ascii="Palatino Linotype" w:eastAsia="Palatino Linotype" w:hAnsi="Palatino Linotype" w:cs="Palatino Linotype"/>
          <w:b/>
          <w:i/>
          <w:sz w:val="22"/>
          <w:szCs w:val="22"/>
        </w:rPr>
        <w:t xml:space="preserve">Artículo 43.- </w:t>
      </w:r>
      <w:r w:rsidRPr="00263752">
        <w:rPr>
          <w:rFonts w:ascii="Palatino Linotype" w:eastAsia="Palatino Linotype" w:hAnsi="Palatino Linotype" w:cs="Palatino Linotype"/>
          <w:i/>
          <w:sz w:val="22"/>
          <w:szCs w:val="22"/>
        </w:rPr>
        <w:t xml:space="preserve">La Secretaría, las entidades, tribunales administrativos y </w:t>
      </w:r>
      <w:r w:rsidRPr="00263752">
        <w:rPr>
          <w:rFonts w:ascii="Palatino Linotype" w:eastAsia="Palatino Linotype" w:hAnsi="Palatino Linotype" w:cs="Palatino Linotype"/>
          <w:b/>
          <w:i/>
          <w:sz w:val="22"/>
          <w:szCs w:val="22"/>
        </w:rPr>
        <w:t>los ayuntamientos, bajo su responsabilidad, podrán llevar a cabo procedimientos de adquisición de bienes o servicios a través de las modalidades de invitación restringida y adjudicación directa.</w:t>
      </w:r>
    </w:p>
    <w:p w14:paraId="76EF0506"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En todo caso, se invitará, o adjudicará de manera directa, a personas que cuenten con capacidad de respuesta inmediata, así como con los recursos técnicos, financieros y demás que sean necesarios, de acuerdo con las características y magnitud de las adquisiciones.</w:t>
      </w:r>
    </w:p>
    <w:p w14:paraId="4AA0A1CD" w14:textId="77777777" w:rsidR="0066753E" w:rsidRPr="00263752" w:rsidRDefault="0066753E">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0F6C2199"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De la interpretación de los preceptos legales anteriores se puede advertir que la información sobre las adquisiciones o compras que realicen los Ayuntamientos y sus organismos auxiliares, para el cumplimiento de sus funciones, se tienen que efectuar por medio de licitaciones públicas, de invitación restringida o adjudicación directa, mismas que de acuerdo con el marco normativo en materia de transparencia en el </w:t>
      </w:r>
      <w:r w:rsidRPr="00263752">
        <w:rPr>
          <w:rFonts w:ascii="Palatino Linotype" w:eastAsia="Palatino Linotype" w:hAnsi="Palatino Linotype" w:cs="Palatino Linotype"/>
        </w:rPr>
        <w:lastRenderedPageBreak/>
        <w:t>Estado de México son información pública de oficio al igual que los contratos o actos jurídicos en los que se haya visto involucrado el Sujeto Obligado, tal y como lo refiere la Ley de Transparencia vigente en el artículo 92 en sus fracciones XI, XI, XXIX y XXXII, que a continuación se insertan:</w:t>
      </w:r>
    </w:p>
    <w:p w14:paraId="4251A22E" w14:textId="77777777" w:rsidR="0066753E" w:rsidRPr="00263752" w:rsidRDefault="0066753E">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50C79002"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Artículo 92.</w:t>
      </w:r>
      <w:r w:rsidRPr="00263752">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2EC79A4"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w:t>
      </w:r>
    </w:p>
    <w:p w14:paraId="1503450C"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bookmarkStart w:id="7" w:name="_heading=h.1fob9te" w:colFirst="0" w:colLast="0"/>
      <w:bookmarkEnd w:id="7"/>
      <w:r w:rsidRPr="00263752">
        <w:rPr>
          <w:rFonts w:ascii="Palatino Linotype" w:eastAsia="Palatino Linotype" w:hAnsi="Palatino Linotype" w:cs="Palatino Linotype"/>
          <w:b/>
          <w:i/>
          <w:sz w:val="22"/>
          <w:szCs w:val="22"/>
        </w:rPr>
        <w:t>XI</w:t>
      </w:r>
      <w:r w:rsidRPr="00263752">
        <w:rPr>
          <w:rFonts w:ascii="Palatino Linotype" w:eastAsia="Palatino Linotype" w:hAnsi="Palatino Linotype" w:cs="Palatino Linotype"/>
          <w:i/>
          <w:sz w:val="22"/>
          <w:szCs w:val="22"/>
        </w:rPr>
        <w:t xml:space="preserve">. </w:t>
      </w:r>
      <w:r w:rsidRPr="00263752">
        <w:rPr>
          <w:rFonts w:ascii="Palatino Linotype" w:eastAsia="Palatino Linotype" w:hAnsi="Palatino Linotype" w:cs="Palatino Linotype"/>
          <w:b/>
          <w:i/>
          <w:sz w:val="22"/>
          <w:szCs w:val="22"/>
        </w:rPr>
        <w:t>Las contrataciones de servicios profesionales por honorarios</w:t>
      </w:r>
      <w:r w:rsidRPr="00263752">
        <w:rPr>
          <w:rFonts w:ascii="Palatino Linotype" w:eastAsia="Palatino Linotype" w:hAnsi="Palatino Linotype" w:cs="Palatino Linotype"/>
          <w:i/>
          <w:sz w:val="22"/>
          <w:szCs w:val="22"/>
        </w:rPr>
        <w:t>, señalando los nombres de los prestadores de servicios, los servicios contratados, el monto de los honorarios y el periodo de contratación;</w:t>
      </w:r>
    </w:p>
    <w:p w14:paraId="397CA73D"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w:t>
      </w:r>
    </w:p>
    <w:p w14:paraId="7E28ACBE"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XXIX.</w:t>
      </w:r>
      <w:r w:rsidRPr="00263752">
        <w:rPr>
          <w:rFonts w:ascii="Palatino Linotype" w:eastAsia="Palatino Linotype" w:hAnsi="Palatino Linotype" w:cs="Palatino Linotype"/>
          <w:i/>
          <w:sz w:val="22"/>
          <w:szCs w:val="22"/>
        </w:rPr>
        <w:t xml:space="preserve"> </w:t>
      </w:r>
      <w:r w:rsidRPr="00263752">
        <w:rPr>
          <w:rFonts w:ascii="Palatino Linotype" w:eastAsia="Palatino Linotype" w:hAnsi="Palatino Linotype" w:cs="Palatino Linotype"/>
          <w:b/>
          <w:i/>
          <w:sz w:val="22"/>
          <w:szCs w:val="22"/>
        </w:rPr>
        <w:t>La información sobre los procesos y resultados sobre procedimientos de adjudicación directa, invitación restringida y licitación de cualquier naturaleza,</w:t>
      </w:r>
      <w:r w:rsidRPr="00263752">
        <w:rPr>
          <w:rFonts w:ascii="Palatino Linotype" w:eastAsia="Palatino Linotype" w:hAnsi="Palatino Linotype" w:cs="Palatino Linotype"/>
          <w:i/>
          <w:sz w:val="22"/>
          <w:szCs w:val="22"/>
        </w:rPr>
        <w:t xml:space="preserve"> incluyendo la versión pública del expediente respectivo y de los contratos celebrados, que deberán contener, por los menos, lo siguiente:</w:t>
      </w:r>
    </w:p>
    <w:p w14:paraId="7977F034" w14:textId="77777777" w:rsidR="0066753E" w:rsidRPr="00263752" w:rsidRDefault="0066753E">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p>
    <w:p w14:paraId="0946EC69"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263752">
        <w:rPr>
          <w:rFonts w:ascii="Palatino Linotype" w:eastAsia="Palatino Linotype" w:hAnsi="Palatino Linotype" w:cs="Palatino Linotype"/>
          <w:b/>
          <w:i/>
          <w:sz w:val="22"/>
          <w:szCs w:val="22"/>
        </w:rPr>
        <w:t>a) De licitaciones públicas o procedimientos de invitación restringida:</w:t>
      </w:r>
    </w:p>
    <w:p w14:paraId="00E832D1"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1)</w:t>
      </w:r>
      <w:r w:rsidRPr="00263752">
        <w:rPr>
          <w:rFonts w:ascii="Palatino Linotype" w:eastAsia="Palatino Linotype" w:hAnsi="Palatino Linotype" w:cs="Palatino Linotype"/>
          <w:i/>
          <w:sz w:val="22"/>
          <w:szCs w:val="22"/>
        </w:rPr>
        <w:t xml:space="preserve"> La convocatoria o invitación emitida, así como los fundamentos legales aplicados para llevarla a cabo;</w:t>
      </w:r>
    </w:p>
    <w:p w14:paraId="66F23804"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2)</w:t>
      </w:r>
      <w:r w:rsidRPr="00263752">
        <w:rPr>
          <w:rFonts w:ascii="Palatino Linotype" w:eastAsia="Palatino Linotype" w:hAnsi="Palatino Linotype" w:cs="Palatino Linotype"/>
          <w:i/>
          <w:sz w:val="22"/>
          <w:szCs w:val="22"/>
        </w:rPr>
        <w:t xml:space="preserve"> Los nombres de los participantes o invitados;</w:t>
      </w:r>
    </w:p>
    <w:p w14:paraId="755BE537"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3)</w:t>
      </w:r>
      <w:r w:rsidRPr="00263752">
        <w:rPr>
          <w:rFonts w:ascii="Palatino Linotype" w:eastAsia="Palatino Linotype" w:hAnsi="Palatino Linotype" w:cs="Palatino Linotype"/>
          <w:i/>
          <w:sz w:val="22"/>
          <w:szCs w:val="22"/>
        </w:rPr>
        <w:t xml:space="preserve"> El nombre del ganador y las razones que lo justifican;</w:t>
      </w:r>
    </w:p>
    <w:p w14:paraId="61756CA2"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4)</w:t>
      </w:r>
      <w:r w:rsidRPr="00263752">
        <w:rPr>
          <w:rFonts w:ascii="Palatino Linotype" w:eastAsia="Palatino Linotype" w:hAnsi="Palatino Linotype" w:cs="Palatino Linotype"/>
          <w:i/>
          <w:sz w:val="22"/>
          <w:szCs w:val="22"/>
        </w:rPr>
        <w:t xml:space="preserve"> El área solicitante y la responsable de su ejecución;</w:t>
      </w:r>
    </w:p>
    <w:p w14:paraId="70D57437"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5)</w:t>
      </w:r>
      <w:r w:rsidRPr="00263752">
        <w:rPr>
          <w:rFonts w:ascii="Palatino Linotype" w:eastAsia="Palatino Linotype" w:hAnsi="Palatino Linotype" w:cs="Palatino Linotype"/>
          <w:i/>
          <w:sz w:val="22"/>
          <w:szCs w:val="22"/>
        </w:rPr>
        <w:t xml:space="preserve"> Las convocatorias e invitaciones emitidas;</w:t>
      </w:r>
    </w:p>
    <w:p w14:paraId="47D85B5D"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6)</w:t>
      </w:r>
      <w:r w:rsidRPr="00263752">
        <w:rPr>
          <w:rFonts w:ascii="Palatino Linotype" w:eastAsia="Palatino Linotype" w:hAnsi="Palatino Linotype" w:cs="Palatino Linotype"/>
          <w:i/>
          <w:sz w:val="22"/>
          <w:szCs w:val="22"/>
        </w:rPr>
        <w:t xml:space="preserve"> Los dictámenes y fallo de adjudicación;</w:t>
      </w:r>
    </w:p>
    <w:p w14:paraId="5235E284"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7)</w:t>
      </w:r>
      <w:r w:rsidRPr="00263752">
        <w:rPr>
          <w:rFonts w:ascii="Palatino Linotype" w:eastAsia="Palatino Linotype" w:hAnsi="Palatino Linotype" w:cs="Palatino Linotype"/>
          <w:i/>
          <w:sz w:val="22"/>
          <w:szCs w:val="22"/>
        </w:rPr>
        <w:t xml:space="preserve"> El contrato y, en su caso, sus anexos;</w:t>
      </w:r>
    </w:p>
    <w:p w14:paraId="783FB2B9"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8)</w:t>
      </w:r>
      <w:r w:rsidRPr="00263752">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w:t>
      </w:r>
    </w:p>
    <w:p w14:paraId="3EB85C11"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9)</w:t>
      </w:r>
      <w:r w:rsidRPr="00263752">
        <w:rPr>
          <w:rFonts w:ascii="Palatino Linotype" w:eastAsia="Palatino Linotype" w:hAnsi="Palatino Linotype" w:cs="Palatino Linotype"/>
          <w:i/>
          <w:sz w:val="22"/>
          <w:szCs w:val="22"/>
        </w:rPr>
        <w:t xml:space="preserve"> La partida presupuestal, de conformidad con el clasificador por objeto del gasto, en el caso de ser aplicable;</w:t>
      </w:r>
    </w:p>
    <w:p w14:paraId="41B0D191"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10)</w:t>
      </w:r>
      <w:r w:rsidRPr="00263752">
        <w:rPr>
          <w:rFonts w:ascii="Palatino Linotype" w:eastAsia="Palatino Linotype" w:hAnsi="Palatino Linotype" w:cs="Palatino Linotype"/>
          <w:i/>
          <w:sz w:val="22"/>
          <w:szCs w:val="22"/>
        </w:rPr>
        <w:t xml:space="preserve"> Origen de los recursos especificando si son federales, estatales o municipales, así como el tipo de fondo de participación o aportación respectiva;</w:t>
      </w:r>
    </w:p>
    <w:p w14:paraId="376475E7"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lastRenderedPageBreak/>
        <w:t>11)</w:t>
      </w:r>
      <w:r w:rsidRPr="00263752">
        <w:rPr>
          <w:rFonts w:ascii="Palatino Linotype" w:eastAsia="Palatino Linotype" w:hAnsi="Palatino Linotype" w:cs="Palatino Linotype"/>
          <w:i/>
          <w:sz w:val="22"/>
          <w:szCs w:val="22"/>
        </w:rPr>
        <w:t xml:space="preserve"> Los convenios modificatorios que, en su caso, sean firmados, precisando el objeto y la fecha de celebración;</w:t>
      </w:r>
    </w:p>
    <w:p w14:paraId="240BEAAC"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12)</w:t>
      </w:r>
      <w:r w:rsidRPr="00263752">
        <w:rPr>
          <w:rFonts w:ascii="Palatino Linotype" w:eastAsia="Palatino Linotype" w:hAnsi="Palatino Linotype" w:cs="Palatino Linotype"/>
          <w:i/>
          <w:sz w:val="22"/>
          <w:szCs w:val="22"/>
        </w:rPr>
        <w:t xml:space="preserve"> Los informes de avance físico y financiero sobre las obras o servicios contratados;</w:t>
      </w:r>
    </w:p>
    <w:p w14:paraId="78369475"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13)</w:t>
      </w:r>
      <w:r w:rsidRPr="00263752">
        <w:rPr>
          <w:rFonts w:ascii="Palatino Linotype" w:eastAsia="Palatino Linotype" w:hAnsi="Palatino Linotype" w:cs="Palatino Linotype"/>
          <w:i/>
          <w:sz w:val="22"/>
          <w:szCs w:val="22"/>
        </w:rPr>
        <w:t xml:space="preserve"> El convenio de terminación; y</w:t>
      </w:r>
    </w:p>
    <w:p w14:paraId="60EA53BF"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14)</w:t>
      </w:r>
      <w:r w:rsidRPr="00263752">
        <w:rPr>
          <w:rFonts w:ascii="Palatino Linotype" w:eastAsia="Palatino Linotype" w:hAnsi="Palatino Linotype" w:cs="Palatino Linotype"/>
          <w:i/>
          <w:sz w:val="22"/>
          <w:szCs w:val="22"/>
        </w:rPr>
        <w:t xml:space="preserve"> El finiquito.</w:t>
      </w:r>
    </w:p>
    <w:p w14:paraId="189BC159" w14:textId="77777777" w:rsidR="0066753E" w:rsidRPr="00263752" w:rsidRDefault="0066753E">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p>
    <w:p w14:paraId="2A552995"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263752">
        <w:rPr>
          <w:rFonts w:ascii="Palatino Linotype" w:eastAsia="Palatino Linotype" w:hAnsi="Palatino Linotype" w:cs="Palatino Linotype"/>
          <w:b/>
          <w:i/>
          <w:sz w:val="22"/>
          <w:szCs w:val="22"/>
        </w:rPr>
        <w:t>b) De las adjudicaciones directas:</w:t>
      </w:r>
    </w:p>
    <w:p w14:paraId="20290017"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1)</w:t>
      </w:r>
      <w:r w:rsidRPr="00263752">
        <w:rPr>
          <w:rFonts w:ascii="Palatino Linotype" w:eastAsia="Palatino Linotype" w:hAnsi="Palatino Linotype" w:cs="Palatino Linotype"/>
          <w:i/>
          <w:sz w:val="22"/>
          <w:szCs w:val="22"/>
        </w:rPr>
        <w:t xml:space="preserve"> La propuesta enviada por el participante;</w:t>
      </w:r>
    </w:p>
    <w:p w14:paraId="5FF5265B"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2)</w:t>
      </w:r>
      <w:r w:rsidRPr="00263752">
        <w:rPr>
          <w:rFonts w:ascii="Palatino Linotype" w:eastAsia="Palatino Linotype" w:hAnsi="Palatino Linotype" w:cs="Palatino Linotype"/>
          <w:i/>
          <w:sz w:val="22"/>
          <w:szCs w:val="22"/>
        </w:rPr>
        <w:t xml:space="preserve"> Los motivos y fundamentos legales aplicados para llevarla a cabo;</w:t>
      </w:r>
    </w:p>
    <w:p w14:paraId="5ACD4D25"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3)</w:t>
      </w:r>
      <w:r w:rsidRPr="00263752">
        <w:rPr>
          <w:rFonts w:ascii="Palatino Linotype" w:eastAsia="Palatino Linotype" w:hAnsi="Palatino Linotype" w:cs="Palatino Linotype"/>
          <w:i/>
          <w:sz w:val="22"/>
          <w:szCs w:val="22"/>
        </w:rPr>
        <w:t xml:space="preserve"> La autorización del ejercicio de la opción;</w:t>
      </w:r>
    </w:p>
    <w:p w14:paraId="1115675A"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4)</w:t>
      </w:r>
      <w:r w:rsidRPr="00263752">
        <w:rPr>
          <w:rFonts w:ascii="Palatino Linotype" w:eastAsia="Palatino Linotype" w:hAnsi="Palatino Linotype" w:cs="Palatino Linotype"/>
          <w:i/>
          <w:sz w:val="22"/>
          <w:szCs w:val="22"/>
        </w:rPr>
        <w:t xml:space="preserve"> En su caso, las cotizaciones consideradas, especificando los nombres de los proveedores y sus montos;</w:t>
      </w:r>
    </w:p>
    <w:p w14:paraId="7D2A922D"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5)</w:t>
      </w:r>
      <w:r w:rsidRPr="00263752">
        <w:rPr>
          <w:rFonts w:ascii="Palatino Linotype" w:eastAsia="Palatino Linotype" w:hAnsi="Palatino Linotype" w:cs="Palatino Linotype"/>
          <w:i/>
          <w:sz w:val="22"/>
          <w:szCs w:val="22"/>
        </w:rPr>
        <w:t xml:space="preserve"> El nombre de la persona física o jurídica colectiva adjudicada;</w:t>
      </w:r>
    </w:p>
    <w:p w14:paraId="6536C82C"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6)</w:t>
      </w:r>
      <w:r w:rsidRPr="00263752">
        <w:rPr>
          <w:rFonts w:ascii="Palatino Linotype" w:eastAsia="Palatino Linotype" w:hAnsi="Palatino Linotype" w:cs="Palatino Linotype"/>
          <w:i/>
          <w:sz w:val="22"/>
          <w:szCs w:val="22"/>
        </w:rPr>
        <w:t xml:space="preserve"> La unidad administrativa solicitante y la responsable de su ejecución;</w:t>
      </w:r>
    </w:p>
    <w:p w14:paraId="01AA3BB2"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7)</w:t>
      </w:r>
      <w:r w:rsidRPr="00263752">
        <w:rPr>
          <w:rFonts w:ascii="Palatino Linotype" w:eastAsia="Palatino Linotype" w:hAnsi="Palatino Linotype" w:cs="Palatino Linotype"/>
          <w:i/>
          <w:sz w:val="22"/>
          <w:szCs w:val="22"/>
        </w:rPr>
        <w:t xml:space="preserve"> El número, fecha, el monto del contrato y el plazo de entrega o de ejecución de los servicios u obra;</w:t>
      </w:r>
    </w:p>
    <w:p w14:paraId="7AC0CADE"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8)</w:t>
      </w:r>
      <w:r w:rsidRPr="00263752">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w:t>
      </w:r>
    </w:p>
    <w:p w14:paraId="5133911F"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9)</w:t>
      </w:r>
      <w:r w:rsidRPr="00263752">
        <w:rPr>
          <w:rFonts w:ascii="Palatino Linotype" w:eastAsia="Palatino Linotype" w:hAnsi="Palatino Linotype" w:cs="Palatino Linotype"/>
          <w:i/>
          <w:sz w:val="22"/>
          <w:szCs w:val="22"/>
        </w:rPr>
        <w:t xml:space="preserve"> Los informes de avance sobre las obras o servicios contratados;</w:t>
      </w:r>
    </w:p>
    <w:p w14:paraId="42533BFC"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10)</w:t>
      </w:r>
      <w:r w:rsidRPr="00263752">
        <w:rPr>
          <w:rFonts w:ascii="Palatino Linotype" w:eastAsia="Palatino Linotype" w:hAnsi="Palatino Linotype" w:cs="Palatino Linotype"/>
          <w:i/>
          <w:sz w:val="22"/>
          <w:szCs w:val="22"/>
        </w:rPr>
        <w:t xml:space="preserve"> El convenio de terminación; y</w:t>
      </w:r>
    </w:p>
    <w:p w14:paraId="0E3117B4"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11)</w:t>
      </w:r>
      <w:r w:rsidRPr="00263752">
        <w:rPr>
          <w:rFonts w:ascii="Palatino Linotype" w:eastAsia="Palatino Linotype" w:hAnsi="Palatino Linotype" w:cs="Palatino Linotype"/>
          <w:i/>
          <w:sz w:val="22"/>
          <w:szCs w:val="22"/>
        </w:rPr>
        <w:t xml:space="preserve"> El finiquito. </w:t>
      </w:r>
    </w:p>
    <w:p w14:paraId="0C67101D"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w:t>
      </w:r>
    </w:p>
    <w:p w14:paraId="68E1D318"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Énfasis añadido.</w:t>
      </w:r>
    </w:p>
    <w:p w14:paraId="3A6C2027" w14:textId="77777777" w:rsidR="0066753E" w:rsidRPr="00263752" w:rsidRDefault="0066753E">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611A493D"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Asimismo, en aras de garantizar el derecho de acceso a la información pública del particular y en términos del principio de máxima publicidad,  debe decirse que para el caso de que los contratos que se ordenan contengan anexos, es acertado puntualizar que estos son parte integra del documento principal por así instaurarlo los criterios 20/10 y 17/17 emitidos por el Instituto Nacional de Transparencia, Acceso a la Información y Protección de Datos Personales, se establece que los anexos del contrato en cuestión son considerandos parte integra de éste, los cuales señalan lo siguiente:</w:t>
      </w:r>
    </w:p>
    <w:p w14:paraId="48789788" w14:textId="77777777" w:rsidR="0066753E" w:rsidRPr="00263752" w:rsidRDefault="0066753E">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555A053C"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lastRenderedPageBreak/>
        <w:t>“</w:t>
      </w:r>
      <w:r w:rsidRPr="00263752">
        <w:rPr>
          <w:rFonts w:ascii="Palatino Linotype" w:eastAsia="Palatino Linotype" w:hAnsi="Palatino Linotype" w:cs="Palatino Linotype"/>
          <w:b/>
          <w:i/>
          <w:sz w:val="22"/>
          <w:szCs w:val="22"/>
        </w:rPr>
        <w:t>Criterio 20/10:</w:t>
      </w:r>
    </w:p>
    <w:p w14:paraId="7987BDEA"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 xml:space="preserve">Los anexos son parte integral del documento principal. Cuando un documento gubernamental contiene anexos éstos se consideran parte del documento, ya que a </w:t>
      </w:r>
      <w:proofErr w:type="gramStart"/>
      <w:r w:rsidRPr="00263752">
        <w:rPr>
          <w:rFonts w:ascii="Palatino Linotype" w:eastAsia="Palatino Linotype" w:hAnsi="Palatino Linotype" w:cs="Palatino Linotype"/>
          <w:i/>
          <w:sz w:val="22"/>
          <w:szCs w:val="22"/>
        </w:rPr>
        <w:t>partir  de</w:t>
      </w:r>
      <w:proofErr w:type="gramEnd"/>
      <w:r w:rsidRPr="00263752">
        <w:rPr>
          <w:rFonts w:ascii="Palatino Linotype" w:eastAsia="Palatino Linotype" w:hAnsi="Palatino Linotype" w:cs="Palatino Linotype"/>
          <w:i/>
          <w:sz w:val="22"/>
          <w:szCs w:val="22"/>
        </w:rPr>
        <w:t xml:space="preserve">  él  se  explican  o  detallan  diversas  cuestiones  relacionadas  con  la materia del mismo. En esta tesitura, ante solicitudes de información relacionadas con documentos que incluyen anexos, particularmente en aquellas que no aludan expresamente a estos últimos, las dependencias y entidades deberán considerar que las mismas refieren a los documentos requeridos, así como a los anexos correspondientes, salvo que el solicitante manifieste su deseo de acceder únicamente al documento principal.</w:t>
      </w:r>
    </w:p>
    <w:p w14:paraId="678DA228"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Expedientes:</w:t>
      </w:r>
    </w:p>
    <w:p w14:paraId="3F92C4F4"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2896/08       Centro de Investigaciones Biológicas del Noroeste, S.C. – Alonso</w:t>
      </w:r>
    </w:p>
    <w:p w14:paraId="7C9A981B"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Gómez-Robledo Verduzco</w:t>
      </w:r>
    </w:p>
    <w:p w14:paraId="51CA5159"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3176/08       Fondo Nacional de Fomento al Turismo – Alonso Gómez-Robledo</w:t>
      </w:r>
    </w:p>
    <w:p w14:paraId="599FA1D1"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Verduzco</w:t>
      </w:r>
    </w:p>
    <w:p w14:paraId="5C0FAAA3"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5957/08       Instituto Mexicano de Tecnología del Agua - Juan Pablo Guerrero</w:t>
      </w:r>
    </w:p>
    <w:p w14:paraId="601215A4"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Amparán</w:t>
      </w:r>
    </w:p>
    <w:p w14:paraId="30D51A08"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2494/09        Comisión Federal de Electricidad – Juan Pablo Guerrero Amparán</w:t>
      </w:r>
    </w:p>
    <w:p w14:paraId="7A547C7F"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0315/10        Secretaría de Agricultura, Ganadería, Desarrollo Rural, Pesca y</w:t>
      </w:r>
    </w:p>
    <w:p w14:paraId="1638FAF1"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Alimentación – Ángel Trinidad Zaldívar</w:t>
      </w:r>
    </w:p>
    <w:p w14:paraId="22FFAB1F" w14:textId="77777777" w:rsidR="0066753E" w:rsidRPr="00263752" w:rsidRDefault="0066753E">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4554873F"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b/>
          <w:i/>
          <w:sz w:val="22"/>
          <w:szCs w:val="22"/>
        </w:rPr>
      </w:pPr>
      <w:r w:rsidRPr="00263752">
        <w:rPr>
          <w:rFonts w:ascii="Palatino Linotype" w:eastAsia="Palatino Linotype" w:hAnsi="Palatino Linotype" w:cs="Palatino Linotype"/>
          <w:b/>
          <w:i/>
          <w:sz w:val="22"/>
          <w:szCs w:val="22"/>
        </w:rPr>
        <w:t>Criterio 17/17:</w:t>
      </w:r>
    </w:p>
    <w:p w14:paraId="56D5648F"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Anexos de los documentos solicitados. 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14:paraId="537FB8A3"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Resoluciones:</w:t>
      </w:r>
    </w:p>
    <w:p w14:paraId="65DB1443"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RRA 0483/17. Universidad Nacional Autónoma de México. 22 de febrero de 2017. Por unanimidad. Comisionado Ponente Joel Salas Suárez.</w:t>
      </w:r>
    </w:p>
    <w:p w14:paraId="20A54062"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 xml:space="preserve">RRA 4503/16. Secretaría de Hacienda y Crédito Público. 01 de marzo de 2017. Por unanimidad. Comisionada Ponente Areli Cano Guadiana. </w:t>
      </w:r>
    </w:p>
    <w:p w14:paraId="7EA3B49B"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RRA 1639/17. Instituto Mexicano del Seguro Social. 19 de abril de 2017. Por unanimidad. Comisionado Ponente Francisco Javier Acuña Llamas” (Sic)</w:t>
      </w:r>
    </w:p>
    <w:p w14:paraId="6954A9AC" w14:textId="77777777" w:rsidR="0066753E" w:rsidRPr="00263752" w:rsidRDefault="0066753E">
      <w:pPr>
        <w:pBdr>
          <w:top w:val="nil"/>
          <w:left w:val="nil"/>
          <w:bottom w:val="nil"/>
          <w:right w:val="nil"/>
          <w:between w:val="nil"/>
        </w:pBdr>
        <w:ind w:right="851"/>
        <w:jc w:val="both"/>
        <w:rPr>
          <w:rFonts w:ascii="Palatino Linotype" w:eastAsia="Palatino Linotype" w:hAnsi="Palatino Linotype" w:cs="Palatino Linotype"/>
          <w:i/>
          <w:sz w:val="22"/>
          <w:szCs w:val="22"/>
        </w:rPr>
      </w:pPr>
    </w:p>
    <w:p w14:paraId="6FFE25FD" w14:textId="77777777" w:rsidR="0066753E" w:rsidRPr="00263752" w:rsidRDefault="00263752">
      <w:pPr>
        <w:spacing w:line="360" w:lineRule="auto"/>
        <w:jc w:val="both"/>
        <w:rPr>
          <w:rFonts w:ascii="Palatino Linotype" w:eastAsia="Palatino Linotype" w:hAnsi="Palatino Linotype" w:cs="Palatino Linotype"/>
        </w:rPr>
      </w:pPr>
      <w:bookmarkStart w:id="8" w:name="_heading=h.3znysh7" w:colFirst="0" w:colLast="0"/>
      <w:bookmarkEnd w:id="8"/>
      <w:r w:rsidRPr="00263752">
        <w:rPr>
          <w:rFonts w:ascii="Palatino Linotype" w:eastAsia="Palatino Linotype" w:hAnsi="Palatino Linotype" w:cs="Palatino Linotype"/>
        </w:rPr>
        <w:t xml:space="preserve">En consecuencia, la información que este Instituto ordena se haga entrega por parte del </w:t>
      </w:r>
      <w:r w:rsidRPr="00263752">
        <w:rPr>
          <w:rFonts w:ascii="Palatino Linotype" w:eastAsia="Palatino Linotype" w:hAnsi="Palatino Linotype" w:cs="Palatino Linotype"/>
          <w:b/>
        </w:rPr>
        <w:t>SUJETO OBLIGADO</w:t>
      </w:r>
      <w:r w:rsidRPr="00263752">
        <w:rPr>
          <w:rFonts w:ascii="Palatino Linotype" w:eastAsia="Palatino Linotype" w:hAnsi="Palatino Linotype" w:cs="Palatino Linotype"/>
        </w:rPr>
        <w:t xml:space="preserve"> a </w:t>
      </w:r>
      <w:r w:rsidRPr="00263752">
        <w:rPr>
          <w:rFonts w:ascii="Palatino Linotype" w:eastAsia="Palatino Linotype" w:hAnsi="Palatino Linotype" w:cs="Palatino Linotype"/>
          <w:b/>
        </w:rPr>
        <w:t>LA PARTE RECURRENTE</w:t>
      </w:r>
      <w:r w:rsidRPr="00263752">
        <w:rPr>
          <w:rFonts w:ascii="Palatino Linotype" w:eastAsia="Palatino Linotype" w:hAnsi="Palatino Linotype" w:cs="Palatino Linotype"/>
        </w:rPr>
        <w:t xml:space="preserve"> de las pólizas de cheques y/o pólizas de egresos y sus documentos comprobatorios; gastos realizados; y </w:t>
      </w:r>
      <w:r w:rsidRPr="00263752">
        <w:rPr>
          <w:rFonts w:ascii="Palatino Linotype" w:eastAsia="Palatino Linotype" w:hAnsi="Palatino Linotype" w:cs="Palatino Linotype"/>
        </w:rPr>
        <w:lastRenderedPageBreak/>
        <w:t xml:space="preserve">contratos y/o convenios celebrados por la Oficina de la Presidencia Municipal que se generaron del primero de octubre al veintiuno de diciembre dos mil veintidós por parte de la Oficina de la Presidencia Municipal. </w:t>
      </w:r>
    </w:p>
    <w:p w14:paraId="04045A71" w14:textId="77777777" w:rsidR="0066753E" w:rsidRPr="00263752" w:rsidRDefault="0066753E">
      <w:pPr>
        <w:spacing w:line="360" w:lineRule="auto"/>
        <w:jc w:val="both"/>
        <w:rPr>
          <w:rFonts w:ascii="Palatino Linotype" w:eastAsia="Palatino Linotype" w:hAnsi="Palatino Linotype" w:cs="Palatino Linotype"/>
        </w:rPr>
      </w:pPr>
    </w:p>
    <w:p w14:paraId="360E5A86"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b/>
        </w:rPr>
        <w:t>QUINTO. VERSIÓN PÚBLICA.</w:t>
      </w:r>
      <w:r w:rsidRPr="00263752">
        <w:rPr>
          <w:rFonts w:ascii="Palatino Linotype" w:eastAsia="Palatino Linotype" w:hAnsi="Palatino Linotype" w:cs="Palatino Linotype"/>
          <w:b/>
          <w:sz w:val="28"/>
          <w:szCs w:val="28"/>
        </w:rPr>
        <w:t xml:space="preserve"> </w:t>
      </w:r>
      <w:r w:rsidRPr="00263752">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w:t>
      </w:r>
      <w:r w:rsidRPr="00263752">
        <w:rPr>
          <w:rFonts w:ascii="Palatino Linotype" w:eastAsia="Palatino Linotype" w:hAnsi="Palatino Linotype" w:cs="Palatino Linotype"/>
          <w:b/>
        </w:rPr>
        <w:t>EL SUJETO OBLIGADO</w:t>
      </w:r>
      <w:r w:rsidRPr="00263752">
        <w:rPr>
          <w:rFonts w:ascii="Palatino Linotype" w:eastAsia="Palatino Linotype" w:hAnsi="Palatino Linotype" w:cs="Palatino Linotype"/>
        </w:rPr>
        <w:t xml:space="preserve"> deberá hacer la elaboración de la versión pública de los mismos a fin de satisfacer el derecho de acceso a la información pública de </w:t>
      </w:r>
      <w:r w:rsidRPr="00263752">
        <w:rPr>
          <w:rFonts w:ascii="Palatino Linotype" w:eastAsia="Palatino Linotype" w:hAnsi="Palatino Linotype" w:cs="Palatino Linotype"/>
          <w:b/>
        </w:rPr>
        <w:t>LA PARTE RECURRENTE</w:t>
      </w:r>
      <w:r w:rsidRPr="00263752">
        <w:rPr>
          <w:rFonts w:ascii="Palatino Linotype" w:eastAsia="Palatino Linotype" w:hAnsi="Palatino Linotype" w:cs="Palatino Linotype"/>
        </w:rPr>
        <w:t xml:space="preserve"> sin menoscabo al derecho a la protección de los datos personales de terceros.</w:t>
      </w:r>
    </w:p>
    <w:p w14:paraId="5FB3865E" w14:textId="77777777" w:rsidR="0066753E" w:rsidRPr="00263752" w:rsidRDefault="0066753E">
      <w:pPr>
        <w:spacing w:line="360" w:lineRule="auto"/>
        <w:jc w:val="both"/>
        <w:rPr>
          <w:rFonts w:ascii="Palatino Linotype" w:eastAsia="Palatino Linotype" w:hAnsi="Palatino Linotype" w:cs="Palatino Linotype"/>
        </w:rPr>
      </w:pPr>
    </w:p>
    <w:p w14:paraId="0536AD20"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1D9C6A76" w14:textId="77777777" w:rsidR="0066753E" w:rsidRPr="00263752" w:rsidRDefault="0066753E">
      <w:pPr>
        <w:spacing w:line="360" w:lineRule="auto"/>
        <w:jc w:val="both"/>
        <w:rPr>
          <w:rFonts w:ascii="Palatino Linotype" w:eastAsia="Palatino Linotype" w:hAnsi="Palatino Linotype" w:cs="Palatino Linotype"/>
        </w:rPr>
      </w:pPr>
    </w:p>
    <w:p w14:paraId="14ACEF6F" w14:textId="77777777" w:rsidR="0066753E" w:rsidRPr="00263752" w:rsidRDefault="00263752">
      <w:pPr>
        <w:spacing w:after="120" w:line="259" w:lineRule="auto"/>
        <w:ind w:left="851"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w:t>
      </w:r>
      <w:r w:rsidRPr="00263752">
        <w:rPr>
          <w:rFonts w:ascii="Palatino Linotype" w:eastAsia="Palatino Linotype" w:hAnsi="Palatino Linotype" w:cs="Palatino Linotype"/>
          <w:b/>
          <w:i/>
          <w:sz w:val="22"/>
          <w:szCs w:val="22"/>
        </w:rPr>
        <w:t>Artículo 3</w:t>
      </w:r>
      <w:r w:rsidRPr="00263752">
        <w:rPr>
          <w:rFonts w:ascii="Palatino Linotype" w:eastAsia="Palatino Linotype" w:hAnsi="Palatino Linotype" w:cs="Palatino Linotype"/>
          <w:i/>
          <w:sz w:val="22"/>
          <w:szCs w:val="22"/>
        </w:rPr>
        <w:t>. Para los efectos de la presente Ley se entenderá por:</w:t>
      </w:r>
    </w:p>
    <w:p w14:paraId="496A4280" w14:textId="77777777" w:rsidR="0066753E" w:rsidRPr="00263752" w:rsidRDefault="00263752">
      <w:pPr>
        <w:spacing w:before="120" w:after="120" w:line="259" w:lineRule="auto"/>
        <w:ind w:left="1134"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w:t>
      </w:r>
    </w:p>
    <w:p w14:paraId="0C8605CA" w14:textId="77777777" w:rsidR="0066753E" w:rsidRPr="00263752" w:rsidRDefault="00263752">
      <w:pPr>
        <w:spacing w:before="120" w:after="120" w:line="259" w:lineRule="auto"/>
        <w:ind w:left="1134"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IX. Datos personales</w:t>
      </w:r>
      <w:r w:rsidRPr="00263752">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0C98CF55" w14:textId="77777777" w:rsidR="0066753E" w:rsidRPr="00263752" w:rsidRDefault="00263752">
      <w:pPr>
        <w:spacing w:before="120" w:after="120" w:line="259" w:lineRule="auto"/>
        <w:ind w:left="1134"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XX. Información clasificada</w:t>
      </w:r>
      <w:r w:rsidRPr="00263752">
        <w:rPr>
          <w:rFonts w:ascii="Palatino Linotype" w:eastAsia="Palatino Linotype" w:hAnsi="Palatino Linotype" w:cs="Palatino Linotype"/>
          <w:i/>
          <w:sz w:val="22"/>
          <w:szCs w:val="22"/>
        </w:rPr>
        <w:t>: Aquella considerada por la presente Ley como reservada o confidencial;</w:t>
      </w:r>
    </w:p>
    <w:p w14:paraId="5D56A527" w14:textId="77777777" w:rsidR="0066753E" w:rsidRPr="00263752" w:rsidRDefault="00263752">
      <w:pPr>
        <w:spacing w:before="120" w:after="120" w:line="259" w:lineRule="auto"/>
        <w:ind w:left="1134"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XXI. Información confidencial</w:t>
      </w:r>
      <w:r w:rsidRPr="00263752">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w:t>
      </w:r>
      <w:r w:rsidRPr="00263752">
        <w:rPr>
          <w:rFonts w:ascii="Palatino Linotype" w:eastAsia="Palatino Linotype" w:hAnsi="Palatino Linotype" w:cs="Palatino Linotype"/>
          <w:i/>
          <w:sz w:val="22"/>
          <w:szCs w:val="22"/>
        </w:rPr>
        <w:lastRenderedPageBreak/>
        <w:t>derecho internacional o a sujetos obligados cuando no involucren el ejercicio de recursos públicos;</w:t>
      </w:r>
    </w:p>
    <w:p w14:paraId="600AA8A0" w14:textId="77777777" w:rsidR="0066753E" w:rsidRPr="00263752" w:rsidRDefault="00263752">
      <w:pPr>
        <w:spacing w:before="120" w:after="120" w:line="259" w:lineRule="auto"/>
        <w:ind w:left="1134"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XLV. Versión pública</w:t>
      </w:r>
      <w:r w:rsidRPr="00263752">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13F3EBB4" w14:textId="77777777" w:rsidR="0066753E" w:rsidRPr="00263752" w:rsidRDefault="00263752">
      <w:pPr>
        <w:spacing w:before="120" w:after="120" w:line="259" w:lineRule="auto"/>
        <w:ind w:left="1134"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w:t>
      </w:r>
    </w:p>
    <w:p w14:paraId="0FA6093F" w14:textId="77777777" w:rsidR="0066753E" w:rsidRPr="00263752" w:rsidRDefault="00263752">
      <w:pPr>
        <w:spacing w:before="120" w:after="120" w:line="259" w:lineRule="auto"/>
        <w:ind w:left="1134"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Artículo 91.</w:t>
      </w:r>
      <w:r w:rsidRPr="00263752">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6FBD79D8" w14:textId="77777777" w:rsidR="0066753E" w:rsidRPr="00263752" w:rsidRDefault="00263752">
      <w:pPr>
        <w:spacing w:before="120" w:after="120" w:line="259" w:lineRule="auto"/>
        <w:ind w:left="1134"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Artículo 132</w:t>
      </w:r>
      <w:r w:rsidRPr="00263752">
        <w:rPr>
          <w:rFonts w:ascii="Palatino Linotype" w:eastAsia="Palatino Linotype" w:hAnsi="Palatino Linotype" w:cs="Palatino Linotype"/>
          <w:i/>
          <w:sz w:val="22"/>
          <w:szCs w:val="22"/>
        </w:rPr>
        <w:t>. La clasificación de la información se llevará a cabo en el momento en que:</w:t>
      </w:r>
    </w:p>
    <w:p w14:paraId="52F84A01" w14:textId="77777777" w:rsidR="0066753E" w:rsidRPr="00263752" w:rsidRDefault="00263752">
      <w:pPr>
        <w:spacing w:before="120" w:after="120" w:line="259" w:lineRule="auto"/>
        <w:ind w:left="1134"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I.</w:t>
      </w:r>
      <w:r w:rsidRPr="00263752">
        <w:rPr>
          <w:rFonts w:ascii="Palatino Linotype" w:eastAsia="Palatino Linotype" w:hAnsi="Palatino Linotype" w:cs="Palatino Linotype"/>
          <w:i/>
          <w:sz w:val="22"/>
          <w:szCs w:val="22"/>
        </w:rPr>
        <w:t xml:space="preserve"> Se reciba una solicitud de acceso a la información;</w:t>
      </w:r>
    </w:p>
    <w:p w14:paraId="1A3BEFFE" w14:textId="77777777" w:rsidR="0066753E" w:rsidRPr="00263752" w:rsidRDefault="00263752">
      <w:pPr>
        <w:spacing w:before="120" w:after="120" w:line="259" w:lineRule="auto"/>
        <w:ind w:left="1134"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II.</w:t>
      </w:r>
      <w:r w:rsidRPr="00263752">
        <w:rPr>
          <w:rFonts w:ascii="Palatino Linotype" w:eastAsia="Palatino Linotype" w:hAnsi="Palatino Linotype" w:cs="Palatino Linotype"/>
          <w:i/>
          <w:sz w:val="22"/>
          <w:szCs w:val="22"/>
        </w:rPr>
        <w:t xml:space="preserve"> Se determine mediante resolución de autoridad competente; o</w:t>
      </w:r>
    </w:p>
    <w:p w14:paraId="08729EC5" w14:textId="77777777" w:rsidR="0066753E" w:rsidRPr="00263752" w:rsidRDefault="00263752">
      <w:pPr>
        <w:spacing w:before="120" w:after="120" w:line="259" w:lineRule="auto"/>
        <w:ind w:left="1134"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III.</w:t>
      </w:r>
      <w:r w:rsidRPr="00263752">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3041A796" w14:textId="77777777" w:rsidR="0066753E" w:rsidRPr="00263752" w:rsidRDefault="00263752">
      <w:pPr>
        <w:spacing w:before="120" w:after="120" w:line="259" w:lineRule="auto"/>
        <w:ind w:left="1134"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w:t>
      </w:r>
    </w:p>
    <w:p w14:paraId="61C6EBEC" w14:textId="77777777" w:rsidR="0066753E" w:rsidRPr="00263752" w:rsidRDefault="00263752">
      <w:pPr>
        <w:spacing w:before="120" w:after="120" w:line="259" w:lineRule="auto"/>
        <w:ind w:left="1134"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Artículo 143.</w:t>
      </w:r>
      <w:r w:rsidRPr="00263752">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2755B30C" w14:textId="77777777" w:rsidR="0066753E" w:rsidRPr="00263752" w:rsidRDefault="00263752">
      <w:pPr>
        <w:spacing w:before="120" w:after="120" w:line="259" w:lineRule="auto"/>
        <w:ind w:left="1134"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I.</w:t>
      </w:r>
      <w:r w:rsidRPr="00263752">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1DC2A5EF" w14:textId="77777777" w:rsidR="0066753E" w:rsidRPr="00263752" w:rsidRDefault="00263752">
      <w:pPr>
        <w:spacing w:before="120" w:after="120" w:line="259" w:lineRule="auto"/>
        <w:ind w:left="1134"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II.</w:t>
      </w:r>
      <w:r w:rsidRPr="00263752">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F647BBE" w14:textId="77777777" w:rsidR="0066753E" w:rsidRPr="00263752" w:rsidRDefault="00263752">
      <w:pPr>
        <w:spacing w:before="120" w:after="120" w:line="259" w:lineRule="auto"/>
        <w:ind w:left="1134"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III.</w:t>
      </w:r>
      <w:r w:rsidRPr="00263752">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5CEC1185" w14:textId="77777777" w:rsidR="0066753E" w:rsidRPr="00263752" w:rsidRDefault="00263752">
      <w:pPr>
        <w:spacing w:before="120" w:after="120" w:line="259" w:lineRule="auto"/>
        <w:ind w:left="1134"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76911ED" w14:textId="77777777" w:rsidR="0066753E" w:rsidRPr="00263752" w:rsidRDefault="00263752">
      <w:pPr>
        <w:spacing w:before="120" w:line="360" w:lineRule="auto"/>
        <w:ind w:left="1134"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4E19F8B" w14:textId="77777777" w:rsidR="0066753E" w:rsidRPr="00263752" w:rsidRDefault="0066753E">
      <w:pPr>
        <w:spacing w:line="360" w:lineRule="auto"/>
        <w:ind w:left="1134" w:right="902"/>
        <w:jc w:val="both"/>
        <w:rPr>
          <w:rFonts w:ascii="Palatino Linotype" w:eastAsia="Palatino Linotype" w:hAnsi="Palatino Linotype" w:cs="Palatino Linotype"/>
          <w:i/>
        </w:rPr>
      </w:pPr>
    </w:p>
    <w:p w14:paraId="1EB2674C"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D31933F" w14:textId="77777777" w:rsidR="0066753E" w:rsidRPr="00263752" w:rsidRDefault="0066753E">
      <w:pPr>
        <w:spacing w:line="360" w:lineRule="auto"/>
        <w:jc w:val="both"/>
        <w:rPr>
          <w:rFonts w:ascii="Palatino Linotype" w:eastAsia="Palatino Linotype" w:hAnsi="Palatino Linotype" w:cs="Palatino Linotype"/>
        </w:rPr>
      </w:pPr>
    </w:p>
    <w:p w14:paraId="31EA9A0D"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1024A71D" w14:textId="77777777" w:rsidR="0066753E" w:rsidRPr="00263752" w:rsidRDefault="0066753E">
      <w:pPr>
        <w:spacing w:line="360" w:lineRule="auto"/>
        <w:jc w:val="both"/>
        <w:rPr>
          <w:rFonts w:ascii="Palatino Linotype" w:eastAsia="Palatino Linotype" w:hAnsi="Palatino Linotype" w:cs="Palatino Linotype"/>
        </w:rPr>
      </w:pPr>
    </w:p>
    <w:p w14:paraId="692BB476" w14:textId="77777777" w:rsidR="0066753E" w:rsidRPr="00263752" w:rsidRDefault="00263752">
      <w:pPr>
        <w:spacing w:after="120" w:line="259" w:lineRule="auto"/>
        <w:ind w:left="851"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w:t>
      </w:r>
      <w:r w:rsidRPr="00263752">
        <w:rPr>
          <w:rFonts w:ascii="Palatino Linotype" w:eastAsia="Palatino Linotype" w:hAnsi="Palatino Linotype" w:cs="Palatino Linotype"/>
          <w:b/>
          <w:i/>
          <w:sz w:val="22"/>
          <w:szCs w:val="22"/>
        </w:rPr>
        <w:t>Quincuagésimo sexto.</w:t>
      </w:r>
      <w:r w:rsidRPr="00263752">
        <w:rPr>
          <w:rFonts w:ascii="Palatino Linotype" w:eastAsia="Palatino Linotype" w:hAnsi="Palatino Linotype" w:cs="Palatino Linotype"/>
          <w:i/>
          <w:sz w:val="22"/>
          <w:szCs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4CB70429" w14:textId="77777777" w:rsidR="0066753E" w:rsidRPr="00263752" w:rsidRDefault="00263752">
      <w:pPr>
        <w:spacing w:before="120" w:after="120" w:line="259" w:lineRule="auto"/>
        <w:ind w:left="851"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Quincuagésimo séptimo.</w:t>
      </w:r>
      <w:r w:rsidRPr="00263752">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42764F3" w14:textId="77777777" w:rsidR="0066753E" w:rsidRPr="00263752" w:rsidRDefault="00263752">
      <w:pPr>
        <w:spacing w:before="120" w:after="120" w:line="259" w:lineRule="auto"/>
        <w:ind w:left="851"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I.</w:t>
      </w:r>
      <w:r w:rsidRPr="00263752">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16587FC4" w14:textId="77777777" w:rsidR="0066753E" w:rsidRPr="00263752" w:rsidRDefault="00263752">
      <w:pPr>
        <w:spacing w:before="120" w:after="120" w:line="259" w:lineRule="auto"/>
        <w:ind w:left="851"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II.</w:t>
      </w:r>
      <w:r w:rsidRPr="00263752">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5C2A529A" w14:textId="77777777" w:rsidR="0066753E" w:rsidRPr="00263752" w:rsidRDefault="00263752">
      <w:pPr>
        <w:spacing w:before="120" w:after="120" w:line="259" w:lineRule="auto"/>
        <w:ind w:left="851"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III.</w:t>
      </w:r>
      <w:r w:rsidRPr="00263752">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5EAFB3F6" w14:textId="77777777" w:rsidR="0066753E" w:rsidRPr="00263752" w:rsidRDefault="00263752">
      <w:pPr>
        <w:spacing w:before="120" w:after="120" w:line="276" w:lineRule="auto"/>
        <w:ind w:left="851"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lastRenderedPageBreak/>
        <w:t xml:space="preserve">Lo anterior, siempre y cuando no se acredite alguna causal de clasificación, prevista en las leyes o en los tratados </w:t>
      </w:r>
      <w:proofErr w:type="gramStart"/>
      <w:r w:rsidRPr="00263752">
        <w:rPr>
          <w:rFonts w:ascii="Palatino Linotype" w:eastAsia="Palatino Linotype" w:hAnsi="Palatino Linotype" w:cs="Palatino Linotype"/>
          <w:i/>
          <w:sz w:val="22"/>
          <w:szCs w:val="22"/>
        </w:rPr>
        <w:t>internaciones suscritos</w:t>
      </w:r>
      <w:proofErr w:type="gramEnd"/>
      <w:r w:rsidRPr="00263752">
        <w:rPr>
          <w:rFonts w:ascii="Palatino Linotype" w:eastAsia="Palatino Linotype" w:hAnsi="Palatino Linotype" w:cs="Palatino Linotype"/>
          <w:i/>
          <w:sz w:val="22"/>
          <w:szCs w:val="22"/>
        </w:rPr>
        <w:t xml:space="preserve"> por el Estado mexicano. </w:t>
      </w:r>
    </w:p>
    <w:p w14:paraId="1597D24A" w14:textId="77777777" w:rsidR="0066753E" w:rsidRPr="00263752" w:rsidRDefault="00263752">
      <w:pPr>
        <w:spacing w:before="120" w:line="276" w:lineRule="auto"/>
        <w:ind w:left="851"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Quincuagésimo octavo</w:t>
      </w:r>
      <w:r w:rsidRPr="00263752">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7C6B2643" w14:textId="77777777" w:rsidR="0066753E" w:rsidRPr="00263752" w:rsidRDefault="0066753E">
      <w:pPr>
        <w:spacing w:line="360" w:lineRule="auto"/>
        <w:ind w:left="851" w:right="902"/>
        <w:jc w:val="both"/>
        <w:rPr>
          <w:rFonts w:ascii="Palatino Linotype" w:eastAsia="Palatino Linotype" w:hAnsi="Palatino Linotype" w:cs="Palatino Linotype"/>
          <w:i/>
          <w:sz w:val="22"/>
          <w:szCs w:val="22"/>
        </w:rPr>
      </w:pPr>
    </w:p>
    <w:p w14:paraId="35A7E030"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0450510E" w14:textId="77777777" w:rsidR="0066753E" w:rsidRPr="00263752" w:rsidRDefault="0066753E">
      <w:pPr>
        <w:spacing w:line="360" w:lineRule="auto"/>
        <w:jc w:val="both"/>
        <w:rPr>
          <w:rFonts w:ascii="Palatino Linotype" w:eastAsia="Palatino Linotype" w:hAnsi="Palatino Linotype" w:cs="Palatino Linotype"/>
        </w:rPr>
      </w:pPr>
    </w:p>
    <w:p w14:paraId="184241BB"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La </w:t>
      </w:r>
      <w:r w:rsidRPr="00263752">
        <w:rPr>
          <w:rFonts w:ascii="Palatino Linotype" w:eastAsia="Palatino Linotype" w:hAnsi="Palatino Linotype" w:cs="Palatino Linotype"/>
          <w:b/>
        </w:rPr>
        <w:t>clave de elector</w:t>
      </w:r>
      <w:r w:rsidRPr="00263752">
        <w:rPr>
          <w:rFonts w:ascii="Palatino Linotype" w:eastAsia="Palatino Linotype" w:hAnsi="Palatino Linotype" w:cs="Palatino Linotype"/>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263752">
        <w:rPr>
          <w:rFonts w:ascii="Palatino Linotype" w:eastAsia="Palatino Linotype" w:hAnsi="Palatino Linotype" w:cs="Palatino Linotype"/>
        </w:rPr>
        <w:t>homoclave</w:t>
      </w:r>
      <w:proofErr w:type="spellEnd"/>
      <w:r w:rsidRPr="00263752">
        <w:rPr>
          <w:rFonts w:ascii="Palatino Linotype" w:eastAsia="Palatino Linotype" w:hAnsi="Palatino Linotype" w:cs="Palatino Linotype"/>
        </w:rPr>
        <w:t xml:space="preserve"> que distingue a su titular de cualquier otro homónimo, por lo tanto, se trata de un dato personal que debe ser protegido.</w:t>
      </w:r>
    </w:p>
    <w:p w14:paraId="40E06CE3" w14:textId="77777777" w:rsidR="0066753E" w:rsidRPr="00263752" w:rsidRDefault="0066753E">
      <w:pPr>
        <w:spacing w:line="360" w:lineRule="auto"/>
        <w:jc w:val="both"/>
        <w:rPr>
          <w:rFonts w:ascii="Palatino Linotype" w:eastAsia="Palatino Linotype" w:hAnsi="Palatino Linotype" w:cs="Palatino Linotype"/>
        </w:rPr>
      </w:pPr>
    </w:p>
    <w:p w14:paraId="7CBE2504"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El </w:t>
      </w:r>
      <w:r w:rsidRPr="00263752">
        <w:rPr>
          <w:rFonts w:ascii="Palatino Linotype" w:eastAsia="Palatino Linotype" w:hAnsi="Palatino Linotype" w:cs="Palatino Linotype"/>
          <w:b/>
        </w:rPr>
        <w:t>número de OCR,</w:t>
      </w:r>
      <w:r w:rsidRPr="00263752">
        <w:rPr>
          <w:rFonts w:ascii="Palatino Linotype" w:eastAsia="Palatino Linotype" w:hAnsi="Palatino Linotype" w:cs="Palatino Linotype"/>
        </w:rPr>
        <w:t xml:space="preserve"> denominado Reconocimiento Óptico de Caracteres (OCR), contiene el número de la sección electoral en donde vota el ciudadano titular de dicho documento, por lo que constituye un dato personal en razón de que revela </w:t>
      </w:r>
      <w:r w:rsidRPr="00263752">
        <w:rPr>
          <w:rFonts w:ascii="Palatino Linotype" w:eastAsia="Palatino Linotype" w:hAnsi="Palatino Linotype" w:cs="Palatino Linotype"/>
        </w:rPr>
        <w:lastRenderedPageBreak/>
        <w:t xml:space="preserve">información concerniente a una persona física identificada o identificable en función de la información </w:t>
      </w:r>
      <w:proofErr w:type="spellStart"/>
      <w:r w:rsidRPr="00263752">
        <w:rPr>
          <w:rFonts w:ascii="Palatino Linotype" w:eastAsia="Palatino Linotype" w:hAnsi="Palatino Linotype" w:cs="Palatino Linotype"/>
        </w:rPr>
        <w:t>geoelectoral</w:t>
      </w:r>
      <w:proofErr w:type="spellEnd"/>
      <w:r w:rsidRPr="00263752">
        <w:rPr>
          <w:rFonts w:ascii="Palatino Linotype" w:eastAsia="Palatino Linotype" w:hAnsi="Palatino Linotype" w:cs="Palatino Linotype"/>
        </w:rPr>
        <w:t xml:space="preserve"> ahí contenida, por lo que es susceptible de resguardarse.</w:t>
      </w:r>
    </w:p>
    <w:p w14:paraId="259F0184" w14:textId="77777777" w:rsidR="0066753E" w:rsidRPr="00263752" w:rsidRDefault="0066753E">
      <w:pPr>
        <w:spacing w:line="360" w:lineRule="auto"/>
        <w:jc w:val="both"/>
        <w:rPr>
          <w:rFonts w:ascii="Palatino Linotype" w:eastAsia="Palatino Linotype" w:hAnsi="Palatino Linotype" w:cs="Palatino Linotype"/>
        </w:rPr>
      </w:pPr>
    </w:p>
    <w:p w14:paraId="6009F08E"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La </w:t>
      </w:r>
      <w:r w:rsidRPr="00263752">
        <w:rPr>
          <w:rFonts w:ascii="Palatino Linotype" w:eastAsia="Palatino Linotype" w:hAnsi="Palatino Linotype" w:cs="Palatino Linotype"/>
          <w:b/>
        </w:rPr>
        <w:t>clave única del registro de población,</w:t>
      </w:r>
      <w:r w:rsidRPr="00263752">
        <w:rPr>
          <w:rFonts w:ascii="Palatino Linotype" w:eastAsia="Palatino Linotype" w:hAnsi="Palatino Linotype" w:cs="Palatino Linotype"/>
          <w:i/>
        </w:rPr>
        <w:t xml:space="preserve"> </w:t>
      </w:r>
      <w:r w:rsidRPr="00263752">
        <w:rPr>
          <w:rFonts w:ascii="Palatino Linotype" w:eastAsia="Palatino Linotype" w:hAnsi="Palatino Linotype" w:cs="Palatino Linotype"/>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785E5BFD" w14:textId="77777777" w:rsidR="0066753E" w:rsidRPr="00263752" w:rsidRDefault="0066753E">
      <w:pPr>
        <w:spacing w:line="360" w:lineRule="auto"/>
        <w:jc w:val="both"/>
        <w:rPr>
          <w:rFonts w:ascii="Palatino Linotype" w:eastAsia="Palatino Linotype" w:hAnsi="Palatino Linotype" w:cs="Palatino Linotype"/>
        </w:rPr>
      </w:pPr>
    </w:p>
    <w:p w14:paraId="56FBE209" w14:textId="77777777" w:rsidR="0066753E" w:rsidRPr="00263752" w:rsidRDefault="00263752">
      <w:pPr>
        <w:spacing w:line="360" w:lineRule="auto"/>
        <w:ind w:right="50"/>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Igualmente, resulta importante destacar que el </w:t>
      </w:r>
      <w:r w:rsidRPr="00263752">
        <w:rPr>
          <w:rFonts w:ascii="Palatino Linotype" w:eastAsia="Palatino Linotype" w:hAnsi="Palatino Linotype" w:cs="Palatino Linotype"/>
          <w:i/>
        </w:rPr>
        <w:t>número de cuenta bancaria</w:t>
      </w:r>
      <w:r w:rsidRPr="00263752">
        <w:rPr>
          <w:rFonts w:ascii="Palatino Linotype" w:eastAsia="Palatino Linotype" w:hAnsi="Palatino Linotype" w:cs="Palatino Linotype"/>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181B471E" w14:textId="77777777" w:rsidR="0066753E" w:rsidRPr="00263752" w:rsidRDefault="0066753E">
      <w:pPr>
        <w:spacing w:line="360" w:lineRule="auto"/>
        <w:ind w:right="50"/>
        <w:jc w:val="both"/>
        <w:rPr>
          <w:rFonts w:ascii="Palatino Linotype" w:eastAsia="Palatino Linotype" w:hAnsi="Palatino Linotype" w:cs="Palatino Linotype"/>
        </w:rPr>
      </w:pPr>
    </w:p>
    <w:p w14:paraId="69840730" w14:textId="77777777" w:rsidR="0066753E" w:rsidRPr="00263752" w:rsidRDefault="00263752">
      <w:pPr>
        <w:spacing w:line="360" w:lineRule="auto"/>
        <w:ind w:right="50"/>
        <w:jc w:val="both"/>
        <w:rPr>
          <w:rFonts w:ascii="Palatino Linotype" w:eastAsia="Palatino Linotype" w:hAnsi="Palatino Linotype" w:cs="Palatino Linotype"/>
        </w:rPr>
      </w:pPr>
      <w:r w:rsidRPr="00263752">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0914AC9C" w14:textId="77777777" w:rsidR="0066753E" w:rsidRPr="00263752" w:rsidRDefault="0066753E">
      <w:pPr>
        <w:spacing w:line="360" w:lineRule="auto"/>
        <w:ind w:right="50"/>
        <w:jc w:val="both"/>
        <w:rPr>
          <w:rFonts w:ascii="Palatino Linotype" w:eastAsia="Palatino Linotype" w:hAnsi="Palatino Linotype" w:cs="Palatino Linotype"/>
        </w:rPr>
      </w:pPr>
    </w:p>
    <w:p w14:paraId="792E8CEC" w14:textId="77777777" w:rsidR="0066753E" w:rsidRPr="00263752" w:rsidRDefault="00263752">
      <w:pPr>
        <w:spacing w:line="360" w:lineRule="auto"/>
        <w:ind w:right="50"/>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w:t>
      </w:r>
      <w:r w:rsidRPr="00263752">
        <w:rPr>
          <w:rFonts w:ascii="Palatino Linotype" w:eastAsia="Palatino Linotype" w:hAnsi="Palatino Linotype" w:cs="Palatino Linotype"/>
        </w:rPr>
        <w:lastRenderedPageBreak/>
        <w:t xml:space="preserve">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09E1390B" w14:textId="77777777" w:rsidR="0066753E" w:rsidRPr="00263752" w:rsidRDefault="0066753E">
      <w:pPr>
        <w:spacing w:line="360" w:lineRule="auto"/>
        <w:ind w:right="50"/>
        <w:jc w:val="both"/>
        <w:rPr>
          <w:rFonts w:ascii="Palatino Linotype" w:eastAsia="Palatino Linotype" w:hAnsi="Palatino Linotype" w:cs="Palatino Linotype"/>
        </w:rPr>
      </w:pPr>
    </w:p>
    <w:p w14:paraId="2055FF7D" w14:textId="77777777" w:rsidR="0066753E" w:rsidRPr="00263752" w:rsidRDefault="00263752">
      <w:pPr>
        <w:spacing w:line="360" w:lineRule="auto"/>
        <w:ind w:right="50"/>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1E37237F" w14:textId="77777777" w:rsidR="0066753E" w:rsidRPr="00263752" w:rsidRDefault="0066753E">
      <w:pPr>
        <w:spacing w:line="360" w:lineRule="auto"/>
        <w:ind w:right="50"/>
        <w:jc w:val="both"/>
        <w:rPr>
          <w:rFonts w:ascii="Palatino Linotype" w:eastAsia="Palatino Linotype" w:hAnsi="Palatino Linotype" w:cs="Palatino Linotype"/>
        </w:rPr>
      </w:pPr>
    </w:p>
    <w:p w14:paraId="445984BF" w14:textId="77777777" w:rsidR="0066753E" w:rsidRPr="00263752" w:rsidRDefault="00263752">
      <w:pPr>
        <w:spacing w:line="360" w:lineRule="auto"/>
        <w:ind w:right="50"/>
        <w:jc w:val="both"/>
        <w:rPr>
          <w:rFonts w:ascii="Palatino Linotype" w:eastAsia="Palatino Linotype" w:hAnsi="Palatino Linotype" w:cs="Palatino Linotype"/>
        </w:rPr>
      </w:pPr>
      <w:r w:rsidRPr="00263752">
        <w:rPr>
          <w:rFonts w:ascii="Palatino Linotype" w:eastAsia="Palatino Linotype" w:hAnsi="Palatino Linotype" w:cs="Palatino Linotype"/>
        </w:rPr>
        <w:t>Es por esta razón que se debe omitir el o los números de cuentas bancarias de particulares en las versiones públicas que de las facturas se hagan, para ser entregadas.</w:t>
      </w:r>
    </w:p>
    <w:p w14:paraId="39466369" w14:textId="77777777" w:rsidR="0066753E" w:rsidRPr="00263752" w:rsidRDefault="0066753E">
      <w:pPr>
        <w:spacing w:line="360" w:lineRule="auto"/>
        <w:ind w:right="50"/>
        <w:jc w:val="both"/>
        <w:rPr>
          <w:rFonts w:ascii="Palatino Linotype" w:eastAsia="Palatino Linotype" w:hAnsi="Palatino Linotype" w:cs="Palatino Linotype"/>
        </w:rPr>
      </w:pPr>
    </w:p>
    <w:p w14:paraId="5C608CAF" w14:textId="77777777" w:rsidR="0066753E" w:rsidRPr="00263752" w:rsidRDefault="00263752">
      <w:pPr>
        <w:spacing w:line="360" w:lineRule="auto"/>
        <w:ind w:right="50"/>
        <w:jc w:val="both"/>
        <w:rPr>
          <w:rFonts w:ascii="Palatino Linotype" w:eastAsia="Palatino Linotype" w:hAnsi="Palatino Linotype" w:cs="Palatino Linotype"/>
        </w:rPr>
      </w:pPr>
      <w:r w:rsidRPr="00263752">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7F01F1BC" w14:textId="77777777" w:rsidR="0066753E" w:rsidRPr="00263752" w:rsidRDefault="00263752">
      <w:pPr>
        <w:spacing w:line="360" w:lineRule="auto"/>
        <w:ind w:right="50"/>
        <w:jc w:val="both"/>
        <w:rPr>
          <w:rFonts w:ascii="Palatino Linotype" w:eastAsia="Palatino Linotype" w:hAnsi="Palatino Linotype" w:cs="Palatino Linotype"/>
        </w:rPr>
      </w:pPr>
      <w:r w:rsidRPr="00263752">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08A3A32D" w14:textId="77777777" w:rsidR="0066753E" w:rsidRPr="00263752" w:rsidRDefault="0066753E">
      <w:pPr>
        <w:spacing w:line="360" w:lineRule="auto"/>
        <w:ind w:right="50"/>
        <w:jc w:val="both"/>
        <w:rPr>
          <w:rFonts w:ascii="Palatino Linotype" w:eastAsia="Palatino Linotype" w:hAnsi="Palatino Linotype" w:cs="Palatino Linotype"/>
        </w:rPr>
      </w:pPr>
    </w:p>
    <w:p w14:paraId="08B79BCA" w14:textId="77777777" w:rsidR="0066753E" w:rsidRPr="00263752" w:rsidRDefault="00263752">
      <w:pPr>
        <w:spacing w:after="240" w:line="276" w:lineRule="auto"/>
        <w:ind w:left="851" w:right="900"/>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“Cuentas bancarias y/o CLABE interbancaria de personas físicas y morales privadas.</w:t>
      </w:r>
      <w:r w:rsidRPr="00263752">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w:t>
      </w:r>
      <w:r w:rsidRPr="00263752">
        <w:rPr>
          <w:rFonts w:ascii="Palatino Linotype" w:eastAsia="Palatino Linotype" w:hAnsi="Palatino Linotype" w:cs="Palatino Linotype"/>
          <w:i/>
          <w:sz w:val="22"/>
          <w:szCs w:val="22"/>
        </w:rPr>
        <w:lastRenderedPageBreak/>
        <w:t>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6E04ED5" w14:textId="77777777" w:rsidR="0066753E" w:rsidRPr="00263752" w:rsidRDefault="00263752">
      <w:pPr>
        <w:spacing w:before="240" w:line="276" w:lineRule="auto"/>
        <w:ind w:left="851" w:right="900"/>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263752">
        <w:rPr>
          <w:rFonts w:ascii="Palatino Linotype" w:eastAsia="Palatino Linotype" w:hAnsi="Palatino Linotype" w:cs="Palatino Linotype"/>
          <w:i/>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663CE890" w14:textId="77777777" w:rsidR="0066753E" w:rsidRPr="00263752" w:rsidRDefault="0066753E">
      <w:pPr>
        <w:spacing w:line="360" w:lineRule="auto"/>
        <w:ind w:left="851" w:right="900"/>
        <w:jc w:val="both"/>
        <w:rPr>
          <w:rFonts w:ascii="Palatino Linotype" w:eastAsia="Palatino Linotype" w:hAnsi="Palatino Linotype" w:cs="Palatino Linotype"/>
          <w:i/>
        </w:rPr>
      </w:pPr>
    </w:p>
    <w:p w14:paraId="49B2DC71" w14:textId="77777777" w:rsidR="0066753E" w:rsidRPr="00263752" w:rsidRDefault="00263752">
      <w:pPr>
        <w:spacing w:line="360" w:lineRule="auto"/>
        <w:ind w:right="50"/>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Por cuanto hace al </w:t>
      </w:r>
      <w:r w:rsidRPr="00263752">
        <w:rPr>
          <w:rFonts w:ascii="Palatino Linotype" w:eastAsia="Palatino Linotype" w:hAnsi="Palatino Linotype" w:cs="Palatino Linotype"/>
          <w:b/>
        </w:rPr>
        <w:t xml:space="preserve">Registro Federal de Contribuyentes (RFC) </w:t>
      </w:r>
      <w:r w:rsidRPr="00263752">
        <w:rPr>
          <w:rFonts w:ascii="Palatino Linotype" w:eastAsia="Palatino Linotype" w:hAnsi="Palatino Linotype" w:cs="Palatino Linotype"/>
        </w:rPr>
        <w:t>y</w:t>
      </w:r>
      <w:r w:rsidRPr="00263752">
        <w:rPr>
          <w:rFonts w:ascii="Palatino Linotype" w:eastAsia="Palatino Linotype" w:hAnsi="Palatino Linotype" w:cs="Palatino Linotype"/>
          <w:b/>
        </w:rPr>
        <w:t xml:space="preserve"> el domicilio fiscal </w:t>
      </w:r>
      <w:r w:rsidRPr="00263752">
        <w:rPr>
          <w:rFonts w:ascii="Palatino Linotype" w:eastAsia="Palatino Linotype" w:hAnsi="Palatino Linotype" w:cs="Palatino Linotype"/>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6DBFA5C0" w14:textId="77777777" w:rsidR="0066753E" w:rsidRPr="00263752" w:rsidRDefault="0066753E">
      <w:pPr>
        <w:spacing w:line="360" w:lineRule="auto"/>
        <w:ind w:right="50"/>
        <w:jc w:val="both"/>
        <w:rPr>
          <w:rFonts w:ascii="Palatino Linotype" w:eastAsia="Palatino Linotype" w:hAnsi="Palatino Linotype" w:cs="Palatino Linotype"/>
        </w:rPr>
      </w:pPr>
    </w:p>
    <w:p w14:paraId="6C46BA9F" w14:textId="77777777" w:rsidR="0066753E" w:rsidRPr="00263752" w:rsidRDefault="00263752">
      <w:pPr>
        <w:spacing w:line="360" w:lineRule="auto"/>
        <w:ind w:right="50"/>
        <w:jc w:val="both"/>
        <w:rPr>
          <w:rFonts w:ascii="Palatino Linotype" w:eastAsia="Palatino Linotype" w:hAnsi="Palatino Linotype" w:cs="Palatino Linotype"/>
        </w:rPr>
      </w:pPr>
      <w:r w:rsidRPr="00263752">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707259F9" w14:textId="77777777" w:rsidR="0066753E" w:rsidRPr="00263752" w:rsidRDefault="0066753E">
      <w:pPr>
        <w:spacing w:line="360" w:lineRule="auto"/>
        <w:ind w:right="50"/>
        <w:jc w:val="both"/>
        <w:rPr>
          <w:rFonts w:ascii="Palatino Linotype" w:eastAsia="Palatino Linotype" w:hAnsi="Palatino Linotype" w:cs="Palatino Linotype"/>
        </w:rPr>
      </w:pPr>
    </w:p>
    <w:p w14:paraId="6DF29B2B" w14:textId="77777777" w:rsidR="0066753E" w:rsidRPr="00263752" w:rsidRDefault="00263752">
      <w:pPr>
        <w:spacing w:line="360" w:lineRule="auto"/>
        <w:ind w:right="50"/>
        <w:jc w:val="both"/>
        <w:rPr>
          <w:rFonts w:ascii="Palatino Linotype" w:eastAsia="Palatino Linotype" w:hAnsi="Palatino Linotype" w:cs="Palatino Linotype"/>
        </w:rPr>
      </w:pPr>
      <w:r w:rsidRPr="00263752">
        <w:rPr>
          <w:rFonts w:ascii="Palatino Linotype" w:eastAsia="Palatino Linotype" w:hAnsi="Palatino Linotype" w:cs="Palatino Linotype"/>
        </w:rPr>
        <w:lastRenderedPageBreak/>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263752">
        <w:rPr>
          <w:rFonts w:ascii="Palatino Linotype" w:eastAsia="Palatino Linotype" w:hAnsi="Palatino Linotype" w:cs="Palatino Linotype"/>
          <w:b/>
        </w:rPr>
        <w:t>no puede considerarse como información clasificada lo relativo a su nombre, registro federal de contribuyentes y domicilio fiscal</w:t>
      </w:r>
      <w:r w:rsidRPr="00263752">
        <w:rPr>
          <w:rFonts w:ascii="Palatino Linotype" w:eastAsia="Palatino Linotype" w:hAnsi="Palatino Linotype" w:cs="Palatino Linotype"/>
        </w:rPr>
        <w:t>, atento a que dicha información es la que puede generar certeza en los gobernados en que se está ejerciendo debidamente el presupuesto.</w:t>
      </w:r>
    </w:p>
    <w:p w14:paraId="0F37A840" w14:textId="77777777" w:rsidR="0066753E" w:rsidRPr="00263752" w:rsidRDefault="0066753E">
      <w:pPr>
        <w:spacing w:line="360" w:lineRule="auto"/>
        <w:ind w:right="50"/>
        <w:jc w:val="both"/>
        <w:rPr>
          <w:rFonts w:ascii="Palatino Linotype" w:eastAsia="Palatino Linotype" w:hAnsi="Palatino Linotype" w:cs="Palatino Linotype"/>
        </w:rPr>
      </w:pPr>
    </w:p>
    <w:p w14:paraId="653E5AD1"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Robustece lo anterior el criterio orientador 04/21 emitido por el Instituto Nacional de Transparencia, Acceso a la Información y Protección de Datos Personales, INAI, el cual refiere:</w:t>
      </w:r>
    </w:p>
    <w:p w14:paraId="242EED47" w14:textId="77777777" w:rsidR="0066753E" w:rsidRPr="00263752" w:rsidRDefault="0066753E">
      <w:pPr>
        <w:jc w:val="both"/>
        <w:rPr>
          <w:rFonts w:ascii="Palatino Linotype" w:eastAsia="Palatino Linotype" w:hAnsi="Palatino Linotype" w:cs="Palatino Linotype"/>
        </w:rPr>
      </w:pPr>
    </w:p>
    <w:p w14:paraId="37517F1B" w14:textId="77777777" w:rsidR="0066753E" w:rsidRPr="00263752" w:rsidRDefault="00263752">
      <w:pPr>
        <w:ind w:left="851"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 xml:space="preserve">“Registro Federal de Contribuyentes (RFC) de personas físicas proveedoras o contratistas. </w:t>
      </w:r>
      <w:r w:rsidRPr="00263752">
        <w:rPr>
          <w:rFonts w:ascii="Palatino Linotype" w:eastAsia="Palatino Linotype" w:hAnsi="Palatino Linotype" w:cs="Palatino Linotype"/>
          <w:i/>
          <w:sz w:val="22"/>
          <w:szCs w:val="22"/>
        </w:rPr>
        <w:t xml:space="preserve">El RFC de contratistas o proveedores de los sujetos obligados debe ser público, </w:t>
      </w:r>
      <w:proofErr w:type="gramStart"/>
      <w:r w:rsidRPr="00263752">
        <w:rPr>
          <w:rFonts w:ascii="Palatino Linotype" w:eastAsia="Palatino Linotype" w:hAnsi="Palatino Linotype" w:cs="Palatino Linotype"/>
          <w:i/>
          <w:sz w:val="22"/>
          <w:szCs w:val="22"/>
        </w:rPr>
        <w:t>ya que</w:t>
      </w:r>
      <w:proofErr w:type="gramEnd"/>
      <w:r w:rsidRPr="00263752">
        <w:rPr>
          <w:rFonts w:ascii="Palatino Linotype" w:eastAsia="Palatino Linotype" w:hAnsi="Palatino Linotype" w:cs="Palatino Linotype"/>
          <w:i/>
          <w:sz w:val="22"/>
          <w:szCs w:val="22"/>
        </w:rPr>
        <w:t xml:space="preserve"> al tratarse de personas con contrataciones públicas, su difusión favorece la transparencia con la que deben administrarse los recursos públicos, en términos del artículo 134 de la Constitución Política de los Estados Unidos Mexicanos.”</w:t>
      </w:r>
    </w:p>
    <w:p w14:paraId="4C85FF22" w14:textId="77777777" w:rsidR="0066753E" w:rsidRPr="00263752" w:rsidRDefault="0066753E">
      <w:pPr>
        <w:ind w:left="851" w:right="902"/>
        <w:jc w:val="both"/>
        <w:rPr>
          <w:rFonts w:ascii="Palatino Linotype" w:eastAsia="Palatino Linotype" w:hAnsi="Palatino Linotype" w:cs="Palatino Linotype"/>
          <w:i/>
          <w:sz w:val="22"/>
          <w:szCs w:val="22"/>
        </w:rPr>
      </w:pPr>
    </w:p>
    <w:p w14:paraId="4B998A67" w14:textId="77777777" w:rsidR="0066753E" w:rsidRPr="00263752" w:rsidRDefault="00263752">
      <w:pPr>
        <w:spacing w:line="360" w:lineRule="auto"/>
        <w:ind w:right="51"/>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Relacionado con lo anterior, el </w:t>
      </w:r>
      <w:r w:rsidRPr="00263752">
        <w:rPr>
          <w:rFonts w:ascii="Palatino Linotype" w:eastAsia="Palatino Linotype" w:hAnsi="Palatino Linotype" w:cs="Palatino Linotype"/>
          <w:b/>
        </w:rPr>
        <w:t>nombre de las personas físicas</w:t>
      </w:r>
      <w:r w:rsidRPr="00263752">
        <w:rPr>
          <w:rFonts w:ascii="Palatino Linotype" w:eastAsia="Palatino Linotype" w:hAnsi="Palatino Linotype" w:cs="Palatino Linotype"/>
        </w:rPr>
        <w:t xml:space="preserve"> o los </w:t>
      </w:r>
      <w:r w:rsidRPr="00263752">
        <w:rPr>
          <w:rFonts w:ascii="Palatino Linotype" w:eastAsia="Palatino Linotype" w:hAnsi="Palatino Linotype" w:cs="Palatino Linotype"/>
          <w:b/>
        </w:rPr>
        <w:t>representantes legales de las personas morales</w:t>
      </w:r>
      <w:r w:rsidRPr="00263752">
        <w:rPr>
          <w:rFonts w:ascii="Palatino Linotype" w:eastAsia="Palatino Linotype" w:hAnsi="Palatino Linotype" w:cs="Palatino Linotype"/>
        </w:rPr>
        <w:t xml:space="preserve">,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w:t>
      </w:r>
      <w:r w:rsidRPr="00263752">
        <w:rPr>
          <w:rFonts w:ascii="Palatino Linotype" w:eastAsia="Palatino Linotype" w:hAnsi="Palatino Linotype" w:cs="Palatino Linotype"/>
        </w:rPr>
        <w:lastRenderedPageBreak/>
        <w:t>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5C5F5D18" w14:textId="77777777" w:rsidR="0066753E" w:rsidRPr="00263752" w:rsidRDefault="0066753E">
      <w:pPr>
        <w:spacing w:line="360" w:lineRule="auto"/>
        <w:ind w:right="51"/>
        <w:jc w:val="both"/>
        <w:rPr>
          <w:rFonts w:ascii="Palatino Linotype" w:eastAsia="Palatino Linotype" w:hAnsi="Palatino Linotype" w:cs="Palatino Linotype"/>
        </w:rPr>
      </w:pPr>
    </w:p>
    <w:p w14:paraId="51834D17" w14:textId="77777777" w:rsidR="0066753E" w:rsidRPr="00263752" w:rsidRDefault="00263752">
      <w:pPr>
        <w:spacing w:line="360" w:lineRule="auto"/>
        <w:ind w:right="51"/>
        <w:jc w:val="both"/>
        <w:rPr>
          <w:rFonts w:ascii="Palatino Linotype" w:eastAsia="Palatino Linotype" w:hAnsi="Palatino Linotype" w:cs="Palatino Linotype"/>
        </w:rPr>
      </w:pPr>
      <w:r w:rsidRPr="00263752">
        <w:rPr>
          <w:rFonts w:ascii="Palatino Linotype" w:eastAsia="Palatino Linotype" w:hAnsi="Palatino Linotype" w:cs="Palatino Linotype"/>
        </w:rPr>
        <w:t>Argumentación que guarda sustento en lo estipulado por el artículo 23 de la Ley de Transparencia y Acceso a la Información Pública del Estado de México y Municipios en su penúltimo párrafo, mismo que es del tenor literal siguiente:</w:t>
      </w:r>
    </w:p>
    <w:p w14:paraId="3531505C" w14:textId="77777777" w:rsidR="0066753E" w:rsidRPr="00263752" w:rsidRDefault="0066753E">
      <w:pPr>
        <w:ind w:right="51"/>
        <w:jc w:val="both"/>
        <w:rPr>
          <w:rFonts w:ascii="Palatino Linotype" w:eastAsia="Palatino Linotype" w:hAnsi="Palatino Linotype" w:cs="Palatino Linotype"/>
        </w:rPr>
      </w:pPr>
    </w:p>
    <w:p w14:paraId="3FE4AD91" w14:textId="77777777" w:rsidR="0066753E" w:rsidRPr="00263752" w:rsidRDefault="00263752">
      <w:pPr>
        <w:ind w:left="851"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w:t>
      </w:r>
      <w:r w:rsidRPr="00263752">
        <w:rPr>
          <w:rFonts w:ascii="Palatino Linotype" w:eastAsia="Palatino Linotype" w:hAnsi="Palatino Linotype" w:cs="Palatino Linotype"/>
          <w:b/>
          <w:i/>
          <w:sz w:val="22"/>
          <w:szCs w:val="22"/>
        </w:rPr>
        <w:t>Artículo 23.</w:t>
      </w:r>
      <w:r w:rsidRPr="00263752">
        <w:rPr>
          <w:rFonts w:ascii="Palatino Linotype" w:eastAsia="Palatino Linotype" w:hAnsi="Palatino Linotype" w:cs="Palatino Linotype"/>
          <w:i/>
          <w:sz w:val="22"/>
          <w:szCs w:val="22"/>
        </w:rPr>
        <w:t xml:space="preserve"> (…)</w:t>
      </w:r>
    </w:p>
    <w:p w14:paraId="42E36CD7" w14:textId="77777777" w:rsidR="0066753E" w:rsidRPr="00263752" w:rsidRDefault="00263752">
      <w:pPr>
        <w:ind w:left="851"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9D353CA" w14:textId="77777777" w:rsidR="0066753E" w:rsidRPr="00263752" w:rsidRDefault="0066753E">
      <w:pPr>
        <w:ind w:left="851" w:right="902"/>
        <w:jc w:val="both"/>
        <w:rPr>
          <w:rFonts w:ascii="Palatino Linotype" w:eastAsia="Palatino Linotype" w:hAnsi="Palatino Linotype" w:cs="Palatino Linotype"/>
          <w:i/>
          <w:sz w:val="22"/>
          <w:szCs w:val="22"/>
        </w:rPr>
      </w:pPr>
    </w:p>
    <w:p w14:paraId="2B424480"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Asimismo, resulta aplicable el contenido del criterio de interpretación 01/19 emitido por el Instituto Nacional de Transparencia, Acceso a la Información, y Protección de Datos Personales, INAI, que lleva por rubro y texto los siguientes</w:t>
      </w:r>
    </w:p>
    <w:p w14:paraId="284AAD5B" w14:textId="77777777" w:rsidR="0066753E" w:rsidRPr="00263752" w:rsidRDefault="0066753E">
      <w:pPr>
        <w:spacing w:line="360" w:lineRule="auto"/>
        <w:jc w:val="both"/>
        <w:rPr>
          <w:rFonts w:ascii="Palatino Linotype" w:eastAsia="Palatino Linotype" w:hAnsi="Palatino Linotype" w:cs="Palatino Linotype"/>
        </w:rPr>
      </w:pPr>
    </w:p>
    <w:p w14:paraId="53E94124" w14:textId="77777777" w:rsidR="0066753E" w:rsidRPr="00263752" w:rsidRDefault="00263752">
      <w:pPr>
        <w:spacing w:line="276" w:lineRule="auto"/>
        <w:ind w:left="851" w:right="900"/>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“Datos de identificación del representante o apoderado legal.</w:t>
      </w:r>
      <w:r w:rsidRPr="00263752">
        <w:rPr>
          <w:rFonts w:ascii="Palatino Linotype" w:eastAsia="Palatino Linotype" w:hAnsi="Palatino Linotype" w:cs="Palatino Linotype"/>
          <w:i/>
          <w:sz w:val="22"/>
          <w:szCs w:val="22"/>
        </w:rPr>
        <w:t xml:space="preserve"> </w:t>
      </w:r>
      <w:r w:rsidRPr="00263752">
        <w:rPr>
          <w:rFonts w:ascii="Palatino Linotype" w:eastAsia="Palatino Linotype" w:hAnsi="Palatino Linotype" w:cs="Palatino Linotype"/>
          <w:b/>
          <w:i/>
          <w:sz w:val="22"/>
          <w:szCs w:val="22"/>
        </w:rPr>
        <w:t xml:space="preserve">Naturaleza jurídica. </w:t>
      </w:r>
      <w:r w:rsidRPr="00263752">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263752">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263752">
        <w:rPr>
          <w:rFonts w:ascii="Palatino Linotype" w:eastAsia="Palatino Linotype" w:hAnsi="Palatino Linotype" w:cs="Palatino Linotype"/>
          <w:i/>
          <w:sz w:val="22"/>
          <w:szCs w:val="22"/>
        </w:rPr>
        <w:t>.”</w:t>
      </w:r>
    </w:p>
    <w:p w14:paraId="3674EE0D" w14:textId="77777777" w:rsidR="0066753E" w:rsidRPr="00263752" w:rsidRDefault="0066753E">
      <w:pPr>
        <w:spacing w:line="360" w:lineRule="auto"/>
        <w:ind w:left="851" w:right="900"/>
        <w:jc w:val="both"/>
        <w:rPr>
          <w:rFonts w:ascii="Palatino Linotype" w:eastAsia="Palatino Linotype" w:hAnsi="Palatino Linotype" w:cs="Palatino Linotype"/>
          <w:i/>
          <w:sz w:val="22"/>
          <w:szCs w:val="22"/>
        </w:rPr>
      </w:pPr>
    </w:p>
    <w:p w14:paraId="3EDD38BF"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En el caso del </w:t>
      </w:r>
      <w:r w:rsidRPr="00263752">
        <w:rPr>
          <w:rFonts w:ascii="Palatino Linotype" w:eastAsia="Palatino Linotype" w:hAnsi="Palatino Linotype" w:cs="Palatino Linotype"/>
          <w:b/>
        </w:rPr>
        <w:t>folio fiscal</w:t>
      </w:r>
      <w:r w:rsidRPr="00263752">
        <w:rPr>
          <w:rFonts w:ascii="Palatino Linotype" w:eastAsia="Palatino Linotype" w:hAnsi="Palatino Linotype" w:cs="Palatino Linotype"/>
        </w:rPr>
        <w:t xml:space="preserve">, la </w:t>
      </w:r>
      <w:r w:rsidRPr="00263752">
        <w:rPr>
          <w:rFonts w:ascii="Palatino Linotype" w:eastAsia="Palatino Linotype" w:hAnsi="Palatino Linotype" w:cs="Palatino Linotype"/>
          <w:b/>
        </w:rPr>
        <w:t xml:space="preserve">cadena original, </w:t>
      </w:r>
      <w:r w:rsidRPr="00263752">
        <w:rPr>
          <w:rFonts w:ascii="Palatino Linotype" w:eastAsia="Palatino Linotype" w:hAnsi="Palatino Linotype" w:cs="Palatino Linotype"/>
        </w:rPr>
        <w:t>los</w:t>
      </w:r>
      <w:r w:rsidRPr="00263752">
        <w:rPr>
          <w:rFonts w:ascii="Palatino Linotype" w:eastAsia="Palatino Linotype" w:hAnsi="Palatino Linotype" w:cs="Palatino Linotype"/>
          <w:b/>
        </w:rPr>
        <w:t xml:space="preserve"> códigos bidimensionales o códigos QR,</w:t>
      </w:r>
      <w:r w:rsidRPr="00263752">
        <w:rPr>
          <w:rFonts w:ascii="Palatino Linotype" w:eastAsia="Palatino Linotype" w:hAnsi="Palatino Linotype" w:cs="Palatino Linotype"/>
        </w:rPr>
        <w:t xml:space="preserve"> y, en general, cualquier información de carácter fiscal,  pudiera contener un </w:t>
      </w:r>
      <w:r w:rsidRPr="00263752">
        <w:rPr>
          <w:rFonts w:ascii="Palatino Linotype" w:eastAsia="Palatino Linotype" w:hAnsi="Palatino Linotype" w:cs="Palatino Linotype"/>
        </w:rPr>
        <w:lastRenderedPageBreak/>
        <w:t>Comprobante Fiscal Digital por Internet, CFDI,  se debe hacer un análisis caso por caso, con la finalidad de determinar si de dicha información se pueden obtener datos personales que no sean susceptibles de conocimiento público, como por ejemplo la Clave Única del Registro de Población, que, de difundirse, pudieran hacer identificable a una persona, debiendo, de ser el caso,  clasificarse como información confidencial, de manera fundada y motivada en términos del artículo 143, fracción I de la Ley de Transparencia y Acceso a la Información Pública del Estado de México y Municipios, de lo contrario, no es procedente su clasificación.</w:t>
      </w:r>
    </w:p>
    <w:p w14:paraId="47D6D0ED" w14:textId="77777777" w:rsidR="0066753E" w:rsidRPr="00263752" w:rsidRDefault="0066753E">
      <w:pPr>
        <w:spacing w:line="360" w:lineRule="auto"/>
        <w:jc w:val="both"/>
        <w:rPr>
          <w:rFonts w:ascii="Palatino Linotype" w:eastAsia="Palatino Linotype" w:hAnsi="Palatino Linotype" w:cs="Palatino Linotype"/>
        </w:rPr>
      </w:pPr>
    </w:p>
    <w:p w14:paraId="1719F043"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5922FDD9" w14:textId="77777777" w:rsidR="0066753E" w:rsidRPr="00263752" w:rsidRDefault="0066753E">
      <w:pPr>
        <w:spacing w:line="360" w:lineRule="auto"/>
        <w:jc w:val="both"/>
        <w:rPr>
          <w:rFonts w:ascii="Palatino Linotype" w:eastAsia="Palatino Linotype" w:hAnsi="Palatino Linotype" w:cs="Palatino Linotype"/>
        </w:rPr>
      </w:pPr>
    </w:p>
    <w:p w14:paraId="2E7160EC"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Asimismo, se destaca que la versión pública que elabore </w:t>
      </w:r>
      <w:r w:rsidRPr="00263752">
        <w:rPr>
          <w:rFonts w:ascii="Palatino Linotype" w:eastAsia="Palatino Linotype" w:hAnsi="Palatino Linotype" w:cs="Palatino Linotype"/>
          <w:b/>
        </w:rPr>
        <w:t>EL SUJETO OBLIGADO</w:t>
      </w:r>
      <w:r w:rsidRPr="00263752">
        <w:rPr>
          <w:rFonts w:ascii="Palatino Linotype" w:eastAsia="Palatino Linotype" w:hAnsi="Palatino Linotype" w:cs="Palatino Linotype"/>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w:t>
      </w:r>
      <w:r w:rsidRPr="00263752">
        <w:rPr>
          <w:rFonts w:ascii="Palatino Linotype" w:eastAsia="Palatino Linotype" w:hAnsi="Palatino Linotype" w:cs="Palatino Linotype"/>
        </w:rPr>
        <w:lastRenderedPageBreak/>
        <w:t xml:space="preserve">de ello se estaría violentando desde un inicio el derecho de acceso a la información del solicitante, por lo que el acuerdo respectivo, deberá hacerse del conocimiento de </w:t>
      </w:r>
      <w:r w:rsidRPr="00263752">
        <w:rPr>
          <w:rFonts w:ascii="Palatino Linotype" w:eastAsia="Palatino Linotype" w:hAnsi="Palatino Linotype" w:cs="Palatino Linotype"/>
          <w:b/>
        </w:rPr>
        <w:t>LA PARTE RECURRENTE</w:t>
      </w:r>
      <w:r w:rsidRPr="00263752">
        <w:rPr>
          <w:rFonts w:ascii="Palatino Linotype" w:eastAsia="Palatino Linotype" w:hAnsi="Palatino Linotype" w:cs="Palatino Linotype"/>
        </w:rPr>
        <w:t>.</w:t>
      </w:r>
    </w:p>
    <w:p w14:paraId="4EA01793" w14:textId="77777777" w:rsidR="0066753E" w:rsidRPr="00263752" w:rsidRDefault="0066753E">
      <w:pPr>
        <w:spacing w:line="360" w:lineRule="auto"/>
        <w:jc w:val="both"/>
        <w:rPr>
          <w:rFonts w:ascii="Palatino Linotype" w:eastAsia="Palatino Linotype" w:hAnsi="Palatino Linotype" w:cs="Palatino Linotype"/>
        </w:rPr>
      </w:pPr>
    </w:p>
    <w:p w14:paraId="6EB53412"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De este modo, la versión pública que elabore </w:t>
      </w:r>
      <w:r w:rsidRPr="00263752">
        <w:rPr>
          <w:rFonts w:ascii="Palatino Linotype" w:eastAsia="Palatino Linotype" w:hAnsi="Palatino Linotype" w:cs="Palatino Linotype"/>
          <w:b/>
        </w:rPr>
        <w:t xml:space="preserve">EL SUJETO OBLIGADO </w:t>
      </w:r>
      <w:r w:rsidRPr="00263752">
        <w:rPr>
          <w:rFonts w:ascii="Palatino Linotype" w:eastAsia="Palatino Linotype" w:hAnsi="Palatino Linotype" w:cs="Palatino Linotype"/>
        </w:rPr>
        <w:t>debe acompañarse del</w:t>
      </w:r>
      <w:r w:rsidRPr="00263752">
        <w:rPr>
          <w:rFonts w:ascii="Palatino Linotype" w:eastAsia="Palatino Linotype" w:hAnsi="Palatino Linotype" w:cs="Palatino Linotype"/>
          <w:b/>
        </w:rPr>
        <w:t xml:space="preserve"> </w:t>
      </w:r>
      <w:r w:rsidRPr="00263752">
        <w:rPr>
          <w:rFonts w:ascii="Palatino Linotype" w:eastAsia="Palatino Linotype" w:hAnsi="Palatino Linotype" w:cs="Palatino Linotype"/>
        </w:rPr>
        <w:t xml:space="preserve">Acuerdo de Clasificación que emita el Comité de Transparencia, para lo cual se deberá observar lo dispuesto en la Ley de Transparencia y Acceso a la Información Pública del Estado de México y Municipios, y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263752">
        <w:rPr>
          <w:rFonts w:ascii="Palatino Linotype" w:eastAsia="Palatino Linotype" w:hAnsi="Palatino Linotype" w:cs="Palatino Linotype"/>
          <w:b/>
          <w:u w:val="single"/>
        </w:rPr>
        <w:t>razones, motivos o circunstancias especiales</w:t>
      </w:r>
      <w:r w:rsidRPr="00263752">
        <w:rPr>
          <w:rFonts w:ascii="Palatino Linotype" w:eastAsia="Palatino Linotype" w:hAnsi="Palatino Linotype" w:cs="Palatino Linotype"/>
        </w:rPr>
        <w:t xml:space="preserve"> que lo llevaron a concluir que el caso concreto, se ajustó a los supuestos previstos en la normatividad legal invocada como fundamento.</w:t>
      </w:r>
    </w:p>
    <w:p w14:paraId="389B964B" w14:textId="77777777" w:rsidR="0066753E" w:rsidRPr="00263752" w:rsidRDefault="0066753E">
      <w:pPr>
        <w:spacing w:line="360" w:lineRule="auto"/>
        <w:jc w:val="both"/>
        <w:rPr>
          <w:rFonts w:ascii="Palatino Linotype" w:eastAsia="Palatino Linotype" w:hAnsi="Palatino Linotype" w:cs="Palatino Linotype"/>
        </w:rPr>
      </w:pPr>
    </w:p>
    <w:p w14:paraId="43E1898C"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Entorno a lo que aquí nos interesa, el Lineamiento Quincuagésimo segundo de los Lineamientos Generales en Materia de Clasificación y Desclasificación de la Información, así como para la Elaboración de Versiones Públicas, establece lo siguiente:</w:t>
      </w:r>
    </w:p>
    <w:p w14:paraId="3E669295" w14:textId="77777777" w:rsidR="0066753E" w:rsidRPr="00263752" w:rsidRDefault="0066753E">
      <w:pPr>
        <w:spacing w:line="360" w:lineRule="auto"/>
        <w:jc w:val="both"/>
        <w:rPr>
          <w:rFonts w:ascii="Palatino Linotype" w:eastAsia="Palatino Linotype" w:hAnsi="Palatino Linotype" w:cs="Palatino Linotype"/>
        </w:rPr>
      </w:pPr>
    </w:p>
    <w:p w14:paraId="001225FD" w14:textId="77777777" w:rsidR="0066753E" w:rsidRPr="00263752" w:rsidRDefault="00263752">
      <w:pPr>
        <w:spacing w:after="120" w:line="259" w:lineRule="auto"/>
        <w:ind w:left="851" w:right="900"/>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“Quincuagésimo segundo</w:t>
      </w:r>
      <w:r w:rsidRPr="00263752">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w:t>
      </w:r>
      <w:r w:rsidRPr="00263752">
        <w:rPr>
          <w:rFonts w:ascii="Palatino Linotype" w:eastAsia="Palatino Linotype" w:hAnsi="Palatino Linotype" w:cs="Palatino Linotype"/>
          <w:i/>
          <w:sz w:val="22"/>
          <w:szCs w:val="22"/>
        </w:rPr>
        <w:lastRenderedPageBreak/>
        <w:t>pertinentes tendientes a asegurar que el espacio utilizado para testar la información no podrá ser empleado para la sobreposición de contenido distinto al autorizado por el Comité.</w:t>
      </w:r>
    </w:p>
    <w:p w14:paraId="534815CE" w14:textId="77777777" w:rsidR="0066753E" w:rsidRPr="00263752" w:rsidRDefault="00263752">
      <w:pPr>
        <w:spacing w:before="120" w:after="120" w:line="259" w:lineRule="auto"/>
        <w:ind w:left="851" w:right="900"/>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 xml:space="preserve">En el caso </w:t>
      </w:r>
      <w:proofErr w:type="spellStart"/>
      <w:r w:rsidRPr="00263752">
        <w:rPr>
          <w:rFonts w:ascii="Palatino Linotype" w:eastAsia="Palatino Linotype" w:hAnsi="Palatino Linotype" w:cs="Palatino Linotype"/>
          <w:i/>
          <w:sz w:val="22"/>
          <w:szCs w:val="22"/>
        </w:rPr>
        <w:t>especifico</w:t>
      </w:r>
      <w:proofErr w:type="spellEnd"/>
      <w:r w:rsidRPr="00263752">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0F7950D7" w14:textId="77777777" w:rsidR="0066753E" w:rsidRPr="00263752" w:rsidRDefault="00263752">
      <w:pPr>
        <w:spacing w:before="120" w:after="120" w:line="259" w:lineRule="auto"/>
        <w:ind w:left="1134" w:right="900"/>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I.</w:t>
      </w:r>
      <w:r w:rsidRPr="00263752">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3C1EF06B" w14:textId="77777777" w:rsidR="0066753E" w:rsidRPr="00263752" w:rsidRDefault="00263752">
      <w:pPr>
        <w:spacing w:before="120" w:after="120" w:line="259" w:lineRule="auto"/>
        <w:ind w:left="1134" w:right="900"/>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II.</w:t>
      </w:r>
      <w:r w:rsidRPr="00263752">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09FA0813" w14:textId="77777777" w:rsidR="0066753E" w:rsidRPr="00263752" w:rsidRDefault="00263752">
      <w:pPr>
        <w:spacing w:before="120" w:after="120" w:line="276" w:lineRule="auto"/>
        <w:ind w:left="1134" w:right="900"/>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III.</w:t>
      </w:r>
      <w:r w:rsidRPr="00263752">
        <w:rPr>
          <w:rFonts w:ascii="Palatino Linotype" w:eastAsia="Palatino Linotype" w:hAnsi="Palatino Linotype" w:cs="Palatino Linotype"/>
          <w:i/>
          <w:sz w:val="22"/>
          <w:szCs w:val="22"/>
        </w:rPr>
        <w:t xml:space="preserve"> Señalar las personas o instancias autorizadas a acceder a la información clasificada.</w:t>
      </w:r>
    </w:p>
    <w:p w14:paraId="58147427" w14:textId="77777777" w:rsidR="0066753E" w:rsidRPr="00263752" w:rsidRDefault="00263752">
      <w:pPr>
        <w:spacing w:before="120" w:line="276" w:lineRule="auto"/>
        <w:ind w:left="851" w:right="900"/>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3B8DF4D" w14:textId="77777777" w:rsidR="0066753E" w:rsidRPr="00263752" w:rsidRDefault="0066753E">
      <w:pPr>
        <w:spacing w:line="360" w:lineRule="auto"/>
        <w:ind w:left="851" w:right="900"/>
        <w:jc w:val="both"/>
        <w:rPr>
          <w:rFonts w:ascii="Palatino Linotype" w:eastAsia="Palatino Linotype" w:hAnsi="Palatino Linotype" w:cs="Palatino Linotype"/>
          <w:i/>
          <w:sz w:val="22"/>
          <w:szCs w:val="22"/>
        </w:rPr>
      </w:pPr>
    </w:p>
    <w:p w14:paraId="065B4C5E" w14:textId="77777777" w:rsidR="0066753E" w:rsidRPr="00263752" w:rsidRDefault="00263752">
      <w:pPr>
        <w:spacing w:line="360" w:lineRule="auto"/>
        <w:ind w:right="50"/>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Deberá observar el Lineamiento Quincuagésimo tercero de los Lineamientos Generales en Materia de Clasificación y Desclasificación de la Información </w:t>
      </w:r>
      <w:proofErr w:type="spellStart"/>
      <w:r w:rsidRPr="00263752">
        <w:rPr>
          <w:rFonts w:ascii="Palatino Linotype" w:eastAsia="Palatino Linotype" w:hAnsi="Palatino Linotype" w:cs="Palatino Linotype"/>
        </w:rPr>
        <w:t>supraindicados</w:t>
      </w:r>
      <w:proofErr w:type="spellEnd"/>
      <w:r w:rsidRPr="00263752">
        <w:rPr>
          <w:rFonts w:ascii="Palatino Linotype" w:eastAsia="Palatino Linotype" w:hAnsi="Palatino Linotype" w:cs="Palatino Linotype"/>
        </w:rPr>
        <w:t xml:space="preserve">, que establece los formatos para la clasificación de los documentos, conforme a lo siguiente: </w:t>
      </w:r>
    </w:p>
    <w:p w14:paraId="778D58E2" w14:textId="77777777" w:rsidR="0066753E" w:rsidRPr="00263752" w:rsidRDefault="00263752">
      <w:pPr>
        <w:spacing w:after="160" w:line="259" w:lineRule="auto"/>
        <w:ind w:left="851" w:right="900"/>
        <w:jc w:val="center"/>
        <w:rPr>
          <w:rFonts w:ascii="Palatino Linotype" w:eastAsia="Palatino Linotype" w:hAnsi="Palatino Linotype" w:cs="Palatino Linotype"/>
          <w:b/>
          <w:i/>
          <w:sz w:val="22"/>
          <w:szCs w:val="22"/>
        </w:rPr>
      </w:pPr>
      <w:r w:rsidRPr="00263752">
        <w:rPr>
          <w:rFonts w:ascii="Palatino Linotype" w:eastAsia="Palatino Linotype" w:hAnsi="Palatino Linotype" w:cs="Palatino Linotype"/>
          <w:b/>
          <w:i/>
          <w:sz w:val="22"/>
          <w:szCs w:val="22"/>
        </w:rPr>
        <w:t>CAPÍTULO VIII</w:t>
      </w:r>
    </w:p>
    <w:p w14:paraId="0497D2C9" w14:textId="77777777" w:rsidR="0066753E" w:rsidRPr="00263752" w:rsidRDefault="00263752">
      <w:pPr>
        <w:spacing w:after="160" w:line="259" w:lineRule="auto"/>
        <w:ind w:left="851" w:right="900"/>
        <w:jc w:val="center"/>
        <w:rPr>
          <w:rFonts w:ascii="Palatino Linotype" w:eastAsia="Palatino Linotype" w:hAnsi="Palatino Linotype" w:cs="Palatino Linotype"/>
          <w:b/>
          <w:i/>
          <w:sz w:val="22"/>
          <w:szCs w:val="22"/>
        </w:rPr>
      </w:pPr>
      <w:r w:rsidRPr="00263752">
        <w:rPr>
          <w:rFonts w:ascii="Palatino Linotype" w:eastAsia="Palatino Linotype" w:hAnsi="Palatino Linotype" w:cs="Palatino Linotype"/>
          <w:b/>
          <w:i/>
          <w:sz w:val="22"/>
          <w:szCs w:val="22"/>
        </w:rPr>
        <w:t xml:space="preserve">DE LOS ELEMENTOS PARA LA CLASIFICACIÓN </w:t>
      </w:r>
    </w:p>
    <w:p w14:paraId="4F7E2616" w14:textId="77777777" w:rsidR="0066753E" w:rsidRPr="00263752" w:rsidRDefault="00263752">
      <w:pPr>
        <w:spacing w:after="160" w:line="259" w:lineRule="auto"/>
        <w:ind w:left="851" w:right="900"/>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w:t>
      </w:r>
    </w:p>
    <w:p w14:paraId="3587F541" w14:textId="77777777" w:rsidR="0066753E" w:rsidRPr="00263752" w:rsidRDefault="00263752">
      <w:pPr>
        <w:spacing w:before="120" w:after="120" w:line="259" w:lineRule="auto"/>
        <w:ind w:left="851"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 xml:space="preserve">Quincuagésimo tercero. </w:t>
      </w:r>
      <w:r w:rsidRPr="00263752">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263752">
        <w:rPr>
          <w:rFonts w:ascii="Palatino Linotype" w:eastAsia="Palatino Linotype" w:hAnsi="Palatino Linotype" w:cs="Palatino Linotype"/>
          <w:b/>
          <w:i/>
          <w:sz w:val="22"/>
          <w:szCs w:val="22"/>
        </w:rPr>
        <w:t xml:space="preserve">, </w:t>
      </w:r>
      <w:r w:rsidRPr="00263752">
        <w:rPr>
          <w:rFonts w:ascii="Palatino Linotype" w:eastAsia="Palatino Linotype" w:hAnsi="Palatino Linotype" w:cs="Palatino Linotype"/>
          <w:i/>
          <w:sz w:val="22"/>
          <w:szCs w:val="22"/>
        </w:rPr>
        <w:t xml:space="preserve">es el siguiente: </w:t>
      </w:r>
    </w:p>
    <w:p w14:paraId="3BD8A198" w14:textId="77777777" w:rsidR="0066753E" w:rsidRPr="00263752" w:rsidRDefault="00263752">
      <w:pPr>
        <w:spacing w:before="120" w:after="120" w:line="259" w:lineRule="auto"/>
        <w:ind w:left="851" w:right="902"/>
        <w:jc w:val="both"/>
        <w:rPr>
          <w:rFonts w:ascii="Palatino Linotype" w:eastAsia="Palatino Linotype" w:hAnsi="Palatino Linotype" w:cs="Palatino Linotype"/>
          <w:b/>
          <w:i/>
          <w:sz w:val="22"/>
          <w:szCs w:val="22"/>
        </w:rPr>
      </w:pPr>
      <w:r w:rsidRPr="00263752">
        <w:rPr>
          <w:rFonts w:ascii="Palatino Linotype" w:eastAsia="Palatino Linotype" w:hAnsi="Palatino Linotype" w:cs="Palatino Linotype"/>
          <w:b/>
          <w:i/>
          <w:noProof/>
          <w:sz w:val="22"/>
          <w:szCs w:val="22"/>
        </w:rPr>
        <w:drawing>
          <wp:inline distT="0" distB="0" distL="0" distR="0" wp14:anchorId="45244E5A" wp14:editId="1CDEAE43">
            <wp:extent cx="4295775" cy="295275"/>
            <wp:effectExtent l="0" t="0" r="0" b="0"/>
            <wp:docPr id="5639680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b="95731"/>
                    <a:stretch>
                      <a:fillRect/>
                    </a:stretch>
                  </pic:blipFill>
                  <pic:spPr>
                    <a:xfrm>
                      <a:off x="0" y="0"/>
                      <a:ext cx="4295775" cy="295275"/>
                    </a:xfrm>
                    <a:prstGeom prst="rect">
                      <a:avLst/>
                    </a:prstGeom>
                    <a:ln/>
                  </pic:spPr>
                </pic:pic>
              </a:graphicData>
            </a:graphic>
          </wp:inline>
        </w:drawing>
      </w:r>
    </w:p>
    <w:p w14:paraId="00BC1C0A" w14:textId="77777777" w:rsidR="0066753E" w:rsidRPr="00263752" w:rsidRDefault="00263752">
      <w:pPr>
        <w:spacing w:before="120" w:after="120" w:line="259" w:lineRule="auto"/>
        <w:ind w:left="851" w:right="902"/>
        <w:jc w:val="both"/>
        <w:rPr>
          <w:rFonts w:ascii="Palatino Linotype" w:eastAsia="Palatino Linotype" w:hAnsi="Palatino Linotype" w:cs="Palatino Linotype"/>
          <w:b/>
          <w:i/>
          <w:sz w:val="22"/>
          <w:szCs w:val="22"/>
        </w:rPr>
      </w:pPr>
      <w:r w:rsidRPr="00263752">
        <w:rPr>
          <w:rFonts w:ascii="Palatino Linotype" w:eastAsia="Palatino Linotype" w:hAnsi="Palatino Linotype" w:cs="Palatino Linotype"/>
          <w:b/>
          <w:i/>
          <w:noProof/>
          <w:sz w:val="22"/>
          <w:szCs w:val="22"/>
        </w:rPr>
        <w:lastRenderedPageBreak/>
        <w:drawing>
          <wp:inline distT="0" distB="0" distL="0" distR="0" wp14:anchorId="25CFF278" wp14:editId="3595ACED">
            <wp:extent cx="4333875" cy="775252"/>
            <wp:effectExtent l="0" t="0" r="0" b="0"/>
            <wp:docPr id="5639680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t="30906" b="57867"/>
                    <a:stretch>
                      <a:fillRect/>
                    </a:stretch>
                  </pic:blipFill>
                  <pic:spPr>
                    <a:xfrm>
                      <a:off x="0" y="0"/>
                      <a:ext cx="4333875" cy="775252"/>
                    </a:xfrm>
                    <a:prstGeom prst="rect">
                      <a:avLst/>
                    </a:prstGeom>
                    <a:ln/>
                  </pic:spPr>
                </pic:pic>
              </a:graphicData>
            </a:graphic>
          </wp:inline>
        </w:drawing>
      </w:r>
    </w:p>
    <w:p w14:paraId="4B8C5A9D" w14:textId="77777777" w:rsidR="0066753E" w:rsidRPr="00263752" w:rsidRDefault="00263752">
      <w:pPr>
        <w:spacing w:before="120" w:after="120" w:line="259" w:lineRule="auto"/>
        <w:ind w:left="851" w:right="902"/>
        <w:jc w:val="both"/>
        <w:rPr>
          <w:rFonts w:ascii="Palatino Linotype" w:eastAsia="Palatino Linotype" w:hAnsi="Palatino Linotype" w:cs="Palatino Linotype"/>
          <w:b/>
          <w:i/>
          <w:sz w:val="22"/>
          <w:szCs w:val="22"/>
        </w:rPr>
      </w:pPr>
      <w:r w:rsidRPr="00263752">
        <w:rPr>
          <w:rFonts w:ascii="Palatino Linotype" w:eastAsia="Palatino Linotype" w:hAnsi="Palatino Linotype" w:cs="Palatino Linotype"/>
          <w:b/>
          <w:i/>
          <w:noProof/>
          <w:sz w:val="22"/>
          <w:szCs w:val="22"/>
        </w:rPr>
        <w:drawing>
          <wp:inline distT="0" distB="0" distL="0" distR="0" wp14:anchorId="4A17D6F0" wp14:editId="0F9DA309">
            <wp:extent cx="4333875" cy="3968523"/>
            <wp:effectExtent l="0" t="0" r="0" b="0"/>
            <wp:docPr id="5639681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t="41711" b="833"/>
                    <a:stretch>
                      <a:fillRect/>
                    </a:stretch>
                  </pic:blipFill>
                  <pic:spPr>
                    <a:xfrm>
                      <a:off x="0" y="0"/>
                      <a:ext cx="4333875" cy="3968523"/>
                    </a:xfrm>
                    <a:prstGeom prst="rect">
                      <a:avLst/>
                    </a:prstGeom>
                    <a:ln/>
                  </pic:spPr>
                </pic:pic>
              </a:graphicData>
            </a:graphic>
          </wp:inline>
        </w:drawing>
      </w:r>
    </w:p>
    <w:p w14:paraId="627D0E9A" w14:textId="77777777" w:rsidR="0066753E" w:rsidRPr="00263752" w:rsidRDefault="00263752">
      <w:pPr>
        <w:spacing w:before="120" w:after="120" w:line="259" w:lineRule="auto"/>
        <w:ind w:left="851"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Los documentos que integren un expediente reservado en su totalidad no deberán marcarse en lo individual.</w:t>
      </w:r>
    </w:p>
    <w:p w14:paraId="72A61FE1" w14:textId="77777777" w:rsidR="0066753E" w:rsidRPr="00263752" w:rsidRDefault="00263752">
      <w:pPr>
        <w:spacing w:before="120" w:after="120" w:line="259" w:lineRule="auto"/>
        <w:ind w:left="851"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14:paraId="6A21F731" w14:textId="77777777" w:rsidR="0066753E" w:rsidRPr="00263752" w:rsidRDefault="00263752">
      <w:pPr>
        <w:spacing w:before="240" w:after="240"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Asimismo, deberá observar los Lineamientos Quincuagésimo sexto, Quincuagésimo séptimo y Quincuagésimo octavo, establecen lo siguiente:</w:t>
      </w:r>
    </w:p>
    <w:p w14:paraId="341507C4" w14:textId="77777777" w:rsidR="0066753E" w:rsidRPr="00263752" w:rsidRDefault="00263752">
      <w:pPr>
        <w:spacing w:before="120" w:after="120" w:line="259" w:lineRule="auto"/>
        <w:ind w:left="851"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w:t>
      </w:r>
      <w:r w:rsidRPr="00263752">
        <w:rPr>
          <w:rFonts w:ascii="Palatino Linotype" w:eastAsia="Palatino Linotype" w:hAnsi="Palatino Linotype" w:cs="Palatino Linotype"/>
          <w:b/>
          <w:i/>
          <w:sz w:val="22"/>
          <w:szCs w:val="22"/>
        </w:rPr>
        <w:t>Quincuagésimo sexto</w:t>
      </w:r>
      <w:r w:rsidRPr="00263752">
        <w:rPr>
          <w:rFonts w:ascii="Palatino Linotype" w:eastAsia="Palatino Linotype" w:hAnsi="Palatino Linotype" w:cs="Palatino Linotype"/>
          <w:i/>
          <w:sz w:val="22"/>
          <w:szCs w:val="22"/>
        </w:rPr>
        <w:t xml:space="preserve">. Cuando la elaboración de la versión pública del documento o expediente que contenga partes o secciones reservadas o confidenciales, genere costos por reproducción por derivar de una solicitud de </w:t>
      </w:r>
      <w:r w:rsidRPr="00263752">
        <w:rPr>
          <w:rFonts w:ascii="Palatino Linotype" w:eastAsia="Palatino Linotype" w:hAnsi="Palatino Linotype" w:cs="Palatino Linotype"/>
          <w:i/>
          <w:sz w:val="22"/>
          <w:szCs w:val="22"/>
        </w:rPr>
        <w:lastRenderedPageBreak/>
        <w:t>información o determinación de una autoridad competente, ésta será elaborada hasta que se haya acreditado el pago correspondiente.</w:t>
      </w:r>
    </w:p>
    <w:p w14:paraId="25D7B270" w14:textId="77777777" w:rsidR="0066753E" w:rsidRPr="00263752" w:rsidRDefault="00263752">
      <w:pPr>
        <w:spacing w:before="120" w:after="120" w:line="259" w:lineRule="auto"/>
        <w:ind w:left="851"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Quincuagésimo séptimo</w:t>
      </w:r>
      <w:r w:rsidRPr="00263752">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5EE52A0F" w14:textId="77777777" w:rsidR="0066753E" w:rsidRPr="00263752" w:rsidRDefault="00263752">
      <w:pPr>
        <w:spacing w:before="120" w:after="120" w:line="259" w:lineRule="auto"/>
        <w:ind w:left="1134"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I</w:t>
      </w:r>
      <w:r w:rsidRPr="00263752">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188B6435" w14:textId="77777777" w:rsidR="0066753E" w:rsidRPr="00263752" w:rsidRDefault="00263752">
      <w:pPr>
        <w:spacing w:before="120" w:after="120" w:line="259" w:lineRule="auto"/>
        <w:ind w:left="1134"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II.</w:t>
      </w:r>
      <w:r w:rsidRPr="00263752">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3690082A" w14:textId="77777777" w:rsidR="0066753E" w:rsidRPr="00263752" w:rsidRDefault="00263752">
      <w:pPr>
        <w:spacing w:before="120" w:after="120" w:line="259" w:lineRule="auto"/>
        <w:ind w:left="1134"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III</w:t>
      </w:r>
      <w:r w:rsidRPr="00263752">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4E9614F7" w14:textId="77777777" w:rsidR="0066753E" w:rsidRPr="00263752" w:rsidRDefault="00263752">
      <w:pPr>
        <w:spacing w:before="120" w:after="120" w:line="259" w:lineRule="auto"/>
        <w:ind w:left="851"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6EAF1C2C" w14:textId="77777777" w:rsidR="0066753E" w:rsidRPr="00263752" w:rsidRDefault="00263752">
      <w:pPr>
        <w:spacing w:before="120" w:after="120" w:line="259" w:lineRule="auto"/>
        <w:ind w:left="851" w:right="902"/>
        <w:jc w:val="both"/>
        <w:rPr>
          <w:rFonts w:ascii="Palatino Linotype" w:eastAsia="Palatino Linotype" w:hAnsi="Palatino Linotype" w:cs="Palatino Linotype"/>
          <w:i/>
          <w:sz w:val="22"/>
          <w:szCs w:val="22"/>
        </w:rPr>
      </w:pPr>
      <w:r w:rsidRPr="00263752">
        <w:rPr>
          <w:rFonts w:ascii="Palatino Linotype" w:eastAsia="Palatino Linotype" w:hAnsi="Palatino Linotype" w:cs="Palatino Linotype"/>
          <w:b/>
          <w:i/>
          <w:sz w:val="22"/>
          <w:szCs w:val="22"/>
        </w:rPr>
        <w:t>Quincuagésimo octavo</w:t>
      </w:r>
      <w:r w:rsidRPr="00263752">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4ED8B906" w14:textId="77777777" w:rsidR="0066753E" w:rsidRPr="00263752" w:rsidRDefault="0066753E">
      <w:pPr>
        <w:spacing w:before="120" w:after="120" w:line="259" w:lineRule="auto"/>
        <w:ind w:left="851" w:right="902"/>
        <w:jc w:val="both"/>
        <w:rPr>
          <w:rFonts w:ascii="Palatino Linotype" w:eastAsia="Palatino Linotype" w:hAnsi="Palatino Linotype" w:cs="Palatino Linotype"/>
          <w:i/>
          <w:sz w:val="22"/>
          <w:szCs w:val="22"/>
        </w:rPr>
      </w:pPr>
    </w:p>
    <w:p w14:paraId="6B3EEA87" w14:textId="77777777" w:rsidR="0066753E" w:rsidRPr="00263752" w:rsidRDefault="00263752">
      <w:pPr>
        <w:spacing w:before="120"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263752">
        <w:rPr>
          <w:rFonts w:ascii="Palatino Linotype" w:eastAsia="Palatino Linotype" w:hAnsi="Palatino Linotype" w:cs="Palatino Linotype"/>
          <w:b/>
        </w:rPr>
        <w:t>SUJETO OBLIGADO</w:t>
      </w:r>
      <w:r w:rsidRPr="00263752">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w:t>
      </w:r>
      <w:r w:rsidRPr="00263752">
        <w:rPr>
          <w:rFonts w:ascii="Palatino Linotype" w:eastAsia="Palatino Linotype" w:hAnsi="Palatino Linotype" w:cs="Palatino Linotype"/>
        </w:rPr>
        <w:lastRenderedPageBreak/>
        <w:t>sea porque se testan o suprimen- deja al solicitante en estado de incertidumbre, al no conocer o comprender porque no aparecen en la documentación respectiva.</w:t>
      </w:r>
    </w:p>
    <w:p w14:paraId="67B82497" w14:textId="77777777" w:rsidR="0066753E" w:rsidRPr="00263752" w:rsidRDefault="0066753E">
      <w:pPr>
        <w:spacing w:line="360" w:lineRule="auto"/>
        <w:jc w:val="both"/>
        <w:rPr>
          <w:rFonts w:ascii="Palatino Linotype" w:eastAsia="Palatino Linotype" w:hAnsi="Palatino Linotype" w:cs="Palatino Linotype"/>
          <w:b/>
        </w:rPr>
      </w:pPr>
    </w:p>
    <w:p w14:paraId="1E60B642"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b/>
        </w:rPr>
        <w:t>SEXTO. VISTA A LA DIRECCIÓN GENERAL DE PROTECCIÓN DE DATOS PERSONALES. </w:t>
      </w:r>
      <w:r w:rsidRPr="00263752">
        <w:rPr>
          <w:rFonts w:ascii="Palatino Linotype" w:eastAsia="Palatino Linotype" w:hAnsi="Palatino Linotype" w:cs="Palatino Linotype"/>
        </w:rPr>
        <w:t xml:space="preserve">Finalmente, en atención a que de la respuesta </w:t>
      </w:r>
      <w:r w:rsidRPr="00263752">
        <w:rPr>
          <w:rFonts w:ascii="Palatino Linotype" w:eastAsia="Palatino Linotype" w:hAnsi="Palatino Linotype" w:cs="Palatino Linotype"/>
          <w:b/>
        </w:rPr>
        <w:t>EL SUJETO OBLIGADO</w:t>
      </w:r>
      <w:r w:rsidRPr="00263752">
        <w:rPr>
          <w:rFonts w:ascii="Palatino Linotype" w:eastAsia="Palatino Linotype" w:hAnsi="Palatino Linotype" w:cs="Palatino Linotype"/>
        </w:rPr>
        <w:t xml:space="preserve"> no clasificó adecuadamente la información proporcionada y que actualizaba la fracción I del artículo 143 de la Ley de Transparencia y Acceso a la Información Pública del Estado de México y Municipios, dejando así expuestos Datos Personales, a saber; </w:t>
      </w:r>
    </w:p>
    <w:p w14:paraId="7F3CD00C" w14:textId="77777777" w:rsidR="0066753E" w:rsidRPr="00263752" w:rsidRDefault="0066753E">
      <w:pPr>
        <w:pBdr>
          <w:top w:val="nil"/>
          <w:left w:val="nil"/>
          <w:bottom w:val="nil"/>
          <w:right w:val="nil"/>
          <w:between w:val="nil"/>
        </w:pBdr>
        <w:spacing w:line="360" w:lineRule="auto"/>
        <w:jc w:val="both"/>
        <w:rPr>
          <w:rFonts w:ascii="Palatino Linotype" w:eastAsia="Palatino Linotype" w:hAnsi="Palatino Linotype" w:cs="Palatino Linotype"/>
        </w:rPr>
      </w:pPr>
    </w:p>
    <w:p w14:paraId="5B0666E7" w14:textId="77777777" w:rsidR="0066753E" w:rsidRPr="00263752" w:rsidRDefault="00263752">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Claves de elector de personas prestadoras de servicios en contratos de prestaciones de servicios y adquisición de bienes; y </w:t>
      </w:r>
    </w:p>
    <w:p w14:paraId="1FA68037" w14:textId="77777777" w:rsidR="0066753E" w:rsidRPr="00263752" w:rsidRDefault="00263752">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Nombres de personas y fechas de su fallecimiento, en Comprobantes Fiscales Digitales por Internet y en contratos de prestación de servicios.</w:t>
      </w:r>
    </w:p>
    <w:p w14:paraId="51917EB8" w14:textId="77777777" w:rsidR="0066753E" w:rsidRPr="00263752" w:rsidRDefault="0066753E">
      <w:pPr>
        <w:pBdr>
          <w:top w:val="nil"/>
          <w:left w:val="nil"/>
          <w:bottom w:val="nil"/>
          <w:right w:val="nil"/>
          <w:between w:val="nil"/>
        </w:pBdr>
        <w:spacing w:line="360" w:lineRule="auto"/>
        <w:jc w:val="both"/>
        <w:rPr>
          <w:rFonts w:ascii="Palatino Linotype" w:eastAsia="Palatino Linotype" w:hAnsi="Palatino Linotype" w:cs="Palatino Linotype"/>
        </w:rPr>
      </w:pPr>
    </w:p>
    <w:p w14:paraId="55B73049" w14:textId="77777777" w:rsidR="0066753E" w:rsidRPr="00263752" w:rsidRDefault="00263752">
      <w:pPr>
        <w:pBdr>
          <w:top w:val="nil"/>
          <w:left w:val="nil"/>
          <w:bottom w:val="nil"/>
          <w:right w:val="nil"/>
          <w:between w:val="nil"/>
        </w:pBd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Se ordena dar vista a la Dirección General de Protección de Datos Personales de Instituto, en observancia a lo señalado por el artículo 82 fracción XXVII de la Ley de Protección de Datos Personales del Estado de México, en ejercicio de sus atribuciones contenidas en el numeral 24 fracciones V, XI, XII Y XIII del Reglamento Interior del Instituto de Transparencia, Acceso a la Información Pública y Protección de Datos Personales del Estado de México y Municipios. </w:t>
      </w:r>
    </w:p>
    <w:p w14:paraId="6FC43962" w14:textId="77777777" w:rsidR="0066753E" w:rsidRPr="00263752" w:rsidRDefault="0066753E">
      <w:pPr>
        <w:spacing w:line="360" w:lineRule="auto"/>
      </w:pPr>
    </w:p>
    <w:p w14:paraId="55DA4EC6" w14:textId="77777777" w:rsidR="0066753E" w:rsidRPr="00263752" w:rsidRDefault="00263752">
      <w:pPr>
        <w:pBdr>
          <w:top w:val="nil"/>
          <w:left w:val="nil"/>
          <w:bottom w:val="nil"/>
          <w:right w:val="nil"/>
          <w:between w:val="nil"/>
        </w:pBdr>
        <w:spacing w:line="360" w:lineRule="auto"/>
        <w:jc w:val="both"/>
      </w:pPr>
      <w:r w:rsidRPr="00263752">
        <w:rPr>
          <w:rFonts w:ascii="Palatino Linotype" w:eastAsia="Palatino Linotype" w:hAnsi="Palatino Linotype" w:cs="Palatino Linotype"/>
        </w:rPr>
        <w:t xml:space="preserve">Lo anterior, a efecto de que investigue y sanciones las posibles omisiones en las que </w:t>
      </w:r>
      <w:r w:rsidRPr="00263752">
        <w:rPr>
          <w:rFonts w:ascii="Palatino Linotype" w:eastAsia="Palatino Linotype" w:hAnsi="Palatino Linotype" w:cs="Palatino Linotype"/>
          <w:b/>
        </w:rPr>
        <w:t>EL SUJETO OBLIGADO</w:t>
      </w:r>
      <w:r w:rsidRPr="00263752">
        <w:rPr>
          <w:rFonts w:ascii="Palatino Linotype" w:eastAsia="Palatino Linotype" w:hAnsi="Palatino Linotype" w:cs="Palatino Linotype"/>
        </w:rPr>
        <w:t xml:space="preserve"> pudo haber incurrido por el incumplimiento a las </w:t>
      </w:r>
      <w:r w:rsidRPr="00263752">
        <w:rPr>
          <w:rFonts w:ascii="Palatino Linotype" w:eastAsia="Palatino Linotype" w:hAnsi="Palatino Linotype" w:cs="Palatino Linotype"/>
        </w:rPr>
        <w:lastRenderedPageBreak/>
        <w:t>obligaciones previstas en la Ley de Protección de Datos Personales en Posesión de Sujetos Obligados del Estado de México y Municipios y, las demás disposiciones jurídicas aplicables en la materia; en caso de acreditarse las mismas, lo deberá hacer del conocimiento del Órgano de Control Interno del Sujeto Obligado, para que este determine lo que conforme derecho corresponda, cuyo resultado deberá ser informado a este Instituto.</w:t>
      </w:r>
    </w:p>
    <w:p w14:paraId="330CEA9B" w14:textId="77777777" w:rsidR="0066753E" w:rsidRPr="00263752" w:rsidRDefault="0066753E">
      <w:pPr>
        <w:spacing w:line="360" w:lineRule="auto"/>
        <w:jc w:val="both"/>
        <w:rPr>
          <w:rFonts w:ascii="Palatino Linotype" w:eastAsia="Palatino Linotype" w:hAnsi="Palatino Linotype" w:cs="Palatino Linotype"/>
        </w:rPr>
      </w:pPr>
    </w:p>
    <w:p w14:paraId="11910CA3"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III de la Ley de Transparencia y Acceso a la Información Pública del Estado de México y Municipios, este Pleno</w:t>
      </w:r>
    </w:p>
    <w:p w14:paraId="049E71E8" w14:textId="77777777" w:rsidR="0066753E" w:rsidRPr="00263752" w:rsidRDefault="0066753E">
      <w:pPr>
        <w:spacing w:line="360" w:lineRule="auto"/>
        <w:jc w:val="both"/>
        <w:rPr>
          <w:rFonts w:ascii="Palatino Linotype" w:eastAsia="Palatino Linotype" w:hAnsi="Palatino Linotype" w:cs="Palatino Linotype"/>
        </w:rPr>
      </w:pPr>
    </w:p>
    <w:p w14:paraId="4D847698" w14:textId="77777777" w:rsidR="0066753E" w:rsidRPr="00263752" w:rsidRDefault="00263752">
      <w:pPr>
        <w:numPr>
          <w:ilvl w:val="0"/>
          <w:numId w:val="1"/>
        </w:numPr>
        <w:pBdr>
          <w:top w:val="nil"/>
          <w:left w:val="nil"/>
          <w:bottom w:val="nil"/>
          <w:right w:val="nil"/>
          <w:between w:val="nil"/>
        </w:pBdr>
        <w:spacing w:line="360" w:lineRule="auto"/>
        <w:jc w:val="center"/>
        <w:rPr>
          <w:rFonts w:ascii="Palatino Linotype" w:eastAsia="Palatino Linotype" w:hAnsi="Palatino Linotype" w:cs="Palatino Linotype"/>
          <w:b/>
        </w:rPr>
      </w:pPr>
      <w:r w:rsidRPr="00263752">
        <w:rPr>
          <w:rFonts w:ascii="Palatino Linotype" w:eastAsia="Palatino Linotype" w:hAnsi="Palatino Linotype" w:cs="Palatino Linotype"/>
          <w:b/>
        </w:rPr>
        <w:t>R E S U E L V E:</w:t>
      </w:r>
    </w:p>
    <w:p w14:paraId="6DC69097" w14:textId="77777777" w:rsidR="0066753E" w:rsidRPr="00263752" w:rsidRDefault="0066753E">
      <w:pPr>
        <w:pBdr>
          <w:top w:val="nil"/>
          <w:left w:val="nil"/>
          <w:bottom w:val="nil"/>
          <w:right w:val="nil"/>
          <w:between w:val="nil"/>
        </w:pBdr>
        <w:spacing w:line="360" w:lineRule="auto"/>
        <w:rPr>
          <w:rFonts w:ascii="Palatino Linotype" w:eastAsia="Palatino Linotype" w:hAnsi="Palatino Linotype" w:cs="Palatino Linotype"/>
          <w:b/>
        </w:rPr>
      </w:pPr>
    </w:p>
    <w:p w14:paraId="75A5D5DB" w14:textId="77777777" w:rsidR="0066753E" w:rsidRPr="00263752" w:rsidRDefault="00263752">
      <w:pPr>
        <w:spacing w:line="360" w:lineRule="auto"/>
        <w:jc w:val="both"/>
        <w:rPr>
          <w:rFonts w:ascii="Palatino Linotype" w:eastAsia="Palatino Linotype" w:hAnsi="Palatino Linotype" w:cs="Palatino Linotype"/>
          <w:b/>
        </w:rPr>
      </w:pPr>
      <w:r w:rsidRPr="00263752">
        <w:rPr>
          <w:rFonts w:ascii="Palatino Linotype" w:eastAsia="Palatino Linotype" w:hAnsi="Palatino Linotype" w:cs="Palatino Linotype"/>
          <w:b/>
        </w:rPr>
        <w:t xml:space="preserve">PRIMERO. </w:t>
      </w:r>
      <w:r w:rsidRPr="00263752">
        <w:rPr>
          <w:rFonts w:ascii="Palatino Linotype" w:eastAsia="Palatino Linotype" w:hAnsi="Palatino Linotype" w:cs="Palatino Linotype"/>
        </w:rPr>
        <w:t>Resultan</w:t>
      </w:r>
      <w:r w:rsidRPr="00263752">
        <w:rPr>
          <w:rFonts w:ascii="Palatino Linotype" w:eastAsia="Palatino Linotype" w:hAnsi="Palatino Linotype" w:cs="Palatino Linotype"/>
          <w:b/>
        </w:rPr>
        <w:t xml:space="preserve"> FUNDADOS</w:t>
      </w:r>
      <w:r w:rsidRPr="00263752">
        <w:rPr>
          <w:rFonts w:ascii="Palatino Linotype" w:eastAsia="Palatino Linotype" w:hAnsi="Palatino Linotype" w:cs="Palatino Linotype"/>
        </w:rPr>
        <w:t xml:space="preserve"> los motivos de inconformidad hechos valer por </w:t>
      </w:r>
      <w:r w:rsidRPr="00263752">
        <w:rPr>
          <w:rFonts w:ascii="Palatino Linotype" w:eastAsia="Palatino Linotype" w:hAnsi="Palatino Linotype" w:cs="Palatino Linotype"/>
          <w:b/>
        </w:rPr>
        <w:t xml:space="preserve">LA PARTE RECURRENTE </w:t>
      </w:r>
      <w:r w:rsidRPr="00263752">
        <w:rPr>
          <w:rFonts w:ascii="Palatino Linotype" w:eastAsia="Palatino Linotype" w:hAnsi="Palatino Linotype" w:cs="Palatino Linotype"/>
        </w:rPr>
        <w:t xml:space="preserve">en el recurso de revisión </w:t>
      </w:r>
      <w:r w:rsidRPr="00263752">
        <w:rPr>
          <w:rFonts w:ascii="Palatino Linotype" w:eastAsia="Palatino Linotype" w:hAnsi="Palatino Linotype" w:cs="Palatino Linotype"/>
          <w:b/>
        </w:rPr>
        <w:t xml:space="preserve">00334/INFOEM/IP/RR/2023, </w:t>
      </w:r>
      <w:r w:rsidRPr="00263752">
        <w:rPr>
          <w:rFonts w:ascii="Palatino Linotype" w:eastAsia="Palatino Linotype" w:hAnsi="Palatino Linotype" w:cs="Palatino Linotype"/>
        </w:rPr>
        <w:t xml:space="preserve">por lo que, en términos del </w:t>
      </w:r>
      <w:r w:rsidRPr="00263752">
        <w:rPr>
          <w:rFonts w:ascii="Palatino Linotype" w:eastAsia="Palatino Linotype" w:hAnsi="Palatino Linotype" w:cs="Palatino Linotype"/>
          <w:b/>
        </w:rPr>
        <w:t xml:space="preserve">CONSIDERANDO CUARTO </w:t>
      </w:r>
      <w:r w:rsidRPr="00263752">
        <w:rPr>
          <w:rFonts w:ascii="Palatino Linotype" w:eastAsia="Palatino Linotype" w:hAnsi="Palatino Linotype" w:cs="Palatino Linotype"/>
        </w:rPr>
        <w:t>de la presente resolución, se</w:t>
      </w:r>
      <w:r w:rsidRPr="00263752">
        <w:rPr>
          <w:rFonts w:ascii="Palatino Linotype" w:eastAsia="Palatino Linotype" w:hAnsi="Palatino Linotype" w:cs="Palatino Linotype"/>
          <w:b/>
        </w:rPr>
        <w:t xml:space="preserve"> MODIFICA </w:t>
      </w:r>
      <w:r w:rsidRPr="00263752">
        <w:rPr>
          <w:rFonts w:ascii="Palatino Linotype" w:eastAsia="Palatino Linotype" w:hAnsi="Palatino Linotype" w:cs="Palatino Linotype"/>
        </w:rPr>
        <w:t>la respuesta</w:t>
      </w:r>
      <w:r w:rsidRPr="00263752">
        <w:rPr>
          <w:rFonts w:ascii="Palatino Linotype" w:eastAsia="Palatino Linotype" w:hAnsi="Palatino Linotype" w:cs="Palatino Linotype"/>
          <w:b/>
        </w:rPr>
        <w:t xml:space="preserve"> </w:t>
      </w:r>
      <w:r w:rsidRPr="00263752">
        <w:rPr>
          <w:rFonts w:ascii="Palatino Linotype" w:eastAsia="Palatino Linotype" w:hAnsi="Palatino Linotype" w:cs="Palatino Linotype"/>
        </w:rPr>
        <w:t xml:space="preserve">del </w:t>
      </w:r>
      <w:r w:rsidRPr="00263752">
        <w:rPr>
          <w:rFonts w:ascii="Palatino Linotype" w:eastAsia="Palatino Linotype" w:hAnsi="Palatino Linotype" w:cs="Palatino Linotype"/>
          <w:b/>
        </w:rPr>
        <w:t>SUJETO OBLIGADO.</w:t>
      </w:r>
    </w:p>
    <w:p w14:paraId="760A2D10" w14:textId="77777777" w:rsidR="0066753E" w:rsidRPr="00263752" w:rsidRDefault="0066753E">
      <w:pPr>
        <w:spacing w:line="360" w:lineRule="auto"/>
        <w:jc w:val="both"/>
        <w:rPr>
          <w:rFonts w:ascii="Palatino Linotype" w:eastAsia="Palatino Linotype" w:hAnsi="Palatino Linotype" w:cs="Palatino Linotype"/>
          <w:b/>
        </w:rPr>
      </w:pPr>
    </w:p>
    <w:p w14:paraId="7F6FBE69" w14:textId="77777777" w:rsidR="0066753E" w:rsidRPr="00263752" w:rsidRDefault="00263752">
      <w:pPr>
        <w:spacing w:line="360" w:lineRule="auto"/>
        <w:jc w:val="both"/>
        <w:rPr>
          <w:rFonts w:ascii="Palatino Linotype" w:eastAsia="Palatino Linotype" w:hAnsi="Palatino Linotype" w:cs="Palatino Linotype"/>
        </w:rPr>
      </w:pPr>
      <w:bookmarkStart w:id="9" w:name="_heading=h.4d34og8" w:colFirst="0" w:colLast="0"/>
      <w:bookmarkEnd w:id="9"/>
      <w:r w:rsidRPr="00263752">
        <w:rPr>
          <w:rFonts w:ascii="Palatino Linotype" w:eastAsia="Palatino Linotype" w:hAnsi="Palatino Linotype" w:cs="Palatino Linotype"/>
          <w:b/>
        </w:rPr>
        <w:t xml:space="preserve">SEGUNDO. </w:t>
      </w:r>
      <w:r w:rsidRPr="00263752">
        <w:rPr>
          <w:rFonts w:ascii="Palatino Linotype" w:eastAsia="Palatino Linotype" w:hAnsi="Palatino Linotype" w:cs="Palatino Linotype"/>
        </w:rPr>
        <w:t xml:space="preserve">Se </w:t>
      </w:r>
      <w:r w:rsidRPr="00263752">
        <w:rPr>
          <w:rFonts w:ascii="Palatino Linotype" w:eastAsia="Palatino Linotype" w:hAnsi="Palatino Linotype" w:cs="Palatino Linotype"/>
          <w:b/>
        </w:rPr>
        <w:t>ORDENA</w:t>
      </w:r>
      <w:r w:rsidRPr="00263752">
        <w:rPr>
          <w:rFonts w:ascii="Palatino Linotype" w:eastAsia="Palatino Linotype" w:hAnsi="Palatino Linotype" w:cs="Palatino Linotype"/>
        </w:rPr>
        <w:t xml:space="preserve"> al </w:t>
      </w:r>
      <w:r w:rsidRPr="00263752">
        <w:rPr>
          <w:rFonts w:ascii="Palatino Linotype" w:eastAsia="Palatino Linotype" w:hAnsi="Palatino Linotype" w:cs="Palatino Linotype"/>
          <w:b/>
        </w:rPr>
        <w:t>SUJETO OBLIGADO</w:t>
      </w:r>
      <w:r w:rsidRPr="00263752">
        <w:rPr>
          <w:rFonts w:ascii="Palatino Linotype" w:eastAsia="Palatino Linotype" w:hAnsi="Palatino Linotype" w:cs="Palatino Linotype"/>
        </w:rPr>
        <w:t xml:space="preserve">, en términos de los </w:t>
      </w:r>
      <w:r w:rsidRPr="00263752">
        <w:rPr>
          <w:rFonts w:ascii="Palatino Linotype" w:eastAsia="Palatino Linotype" w:hAnsi="Palatino Linotype" w:cs="Palatino Linotype"/>
          <w:b/>
        </w:rPr>
        <w:t xml:space="preserve">CONSIDERANDOS CUARTO </w:t>
      </w:r>
      <w:r w:rsidRPr="00263752">
        <w:rPr>
          <w:rFonts w:ascii="Palatino Linotype" w:eastAsia="Palatino Linotype" w:hAnsi="Palatino Linotype" w:cs="Palatino Linotype"/>
        </w:rPr>
        <w:t>y</w:t>
      </w:r>
      <w:r w:rsidRPr="00263752">
        <w:rPr>
          <w:rFonts w:ascii="Palatino Linotype" w:eastAsia="Palatino Linotype" w:hAnsi="Palatino Linotype" w:cs="Palatino Linotype"/>
          <w:b/>
        </w:rPr>
        <w:t xml:space="preserve"> QUINTO </w:t>
      </w:r>
      <w:r w:rsidRPr="00263752">
        <w:rPr>
          <w:rFonts w:ascii="Palatino Linotype" w:eastAsia="Palatino Linotype" w:hAnsi="Palatino Linotype" w:cs="Palatino Linotype"/>
        </w:rPr>
        <w:t xml:space="preserve">de esta resolución, haga entrega, vía SAIMEX, en versión pública de ser procedente, en formato PDF o en el que se haya </w:t>
      </w:r>
      <w:r w:rsidRPr="00263752">
        <w:rPr>
          <w:rFonts w:ascii="Palatino Linotype" w:eastAsia="Palatino Linotype" w:hAnsi="Palatino Linotype" w:cs="Palatino Linotype"/>
        </w:rPr>
        <w:lastRenderedPageBreak/>
        <w:t xml:space="preserve">generado, del primero de octubre al veintiuno de diciembre de dos mil veintidós, la siguiente información: </w:t>
      </w:r>
    </w:p>
    <w:p w14:paraId="7CE8CF3B" w14:textId="77777777" w:rsidR="0066753E" w:rsidRPr="00263752" w:rsidRDefault="00263752">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 xml:space="preserve">Pólizas de cheques y/o pólizas de egresos y sus documentos comprobatorios; así como, contratos y/o convenios celebrados de gastos </w:t>
      </w:r>
      <w:proofErr w:type="gramStart"/>
      <w:r w:rsidRPr="00263752">
        <w:rPr>
          <w:rFonts w:ascii="Palatino Linotype" w:eastAsia="Palatino Linotype" w:hAnsi="Palatino Linotype" w:cs="Palatino Linotype"/>
        </w:rPr>
        <w:t>realizados  por</w:t>
      </w:r>
      <w:proofErr w:type="gramEnd"/>
      <w:r w:rsidRPr="00263752">
        <w:rPr>
          <w:rFonts w:ascii="Palatino Linotype" w:eastAsia="Palatino Linotype" w:hAnsi="Palatino Linotype" w:cs="Palatino Linotype"/>
        </w:rPr>
        <w:t xml:space="preserve"> la Oficina de la Presidencia Municipal de Tlalmanalco. </w:t>
      </w:r>
    </w:p>
    <w:p w14:paraId="0A630BD7" w14:textId="77777777" w:rsidR="0066753E" w:rsidRPr="00263752" w:rsidRDefault="0066753E">
      <w:pPr>
        <w:pBdr>
          <w:top w:val="nil"/>
          <w:left w:val="nil"/>
          <w:bottom w:val="nil"/>
          <w:right w:val="nil"/>
          <w:between w:val="nil"/>
        </w:pBdr>
        <w:ind w:right="851"/>
        <w:jc w:val="both"/>
        <w:rPr>
          <w:rFonts w:ascii="Palatino Linotype" w:eastAsia="Palatino Linotype" w:hAnsi="Palatino Linotype" w:cs="Palatino Linotype"/>
          <w:sz w:val="22"/>
          <w:szCs w:val="22"/>
        </w:rPr>
      </w:pPr>
    </w:p>
    <w:p w14:paraId="14C9DEE5" w14:textId="77777777" w:rsidR="0066753E" w:rsidRPr="00263752" w:rsidRDefault="00263752">
      <w:pPr>
        <w:pBdr>
          <w:top w:val="nil"/>
          <w:left w:val="nil"/>
          <w:bottom w:val="nil"/>
          <w:right w:val="nil"/>
          <w:between w:val="nil"/>
        </w:pBdr>
        <w:ind w:left="851" w:right="851"/>
        <w:jc w:val="both"/>
        <w:rPr>
          <w:rFonts w:ascii="Palatino Linotype" w:eastAsia="Palatino Linotype" w:hAnsi="Palatino Linotype" w:cs="Palatino Linotype"/>
          <w:i/>
        </w:rPr>
      </w:pPr>
      <w:r w:rsidRPr="00263752">
        <w:rPr>
          <w:rFonts w:ascii="Palatino Linotype" w:eastAsia="Palatino Linotype" w:hAnsi="Palatino Linotype" w:cs="Palatino Linotype"/>
          <w:i/>
          <w:sz w:val="22"/>
          <w:szCs w:val="22"/>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263752">
        <w:rPr>
          <w:rFonts w:ascii="Palatino Linotype" w:eastAsia="Palatino Linotype" w:hAnsi="Palatino Linotype" w:cs="Palatino Linotype"/>
          <w:b/>
          <w:i/>
          <w:sz w:val="22"/>
          <w:szCs w:val="22"/>
        </w:rPr>
        <w:t>LA PARTE RECURRENTE,</w:t>
      </w:r>
      <w:r w:rsidRPr="00263752">
        <w:rPr>
          <w:rFonts w:ascii="Palatino Linotype" w:eastAsia="Palatino Linotype" w:hAnsi="Palatino Linotype" w:cs="Palatino Linotype"/>
          <w:i/>
          <w:sz w:val="22"/>
          <w:szCs w:val="22"/>
        </w:rPr>
        <w:t xml:space="preserve"> mismo que igualmente hará de su conocimiento.</w:t>
      </w:r>
    </w:p>
    <w:p w14:paraId="1F78BBFA" w14:textId="77777777" w:rsidR="0066753E" w:rsidRPr="00263752" w:rsidRDefault="0066753E">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75D035EA" w14:textId="77777777" w:rsidR="0066753E" w:rsidRPr="00263752" w:rsidRDefault="00263752">
      <w:pPr>
        <w:spacing w:line="360" w:lineRule="auto"/>
        <w:jc w:val="both"/>
        <w:rPr>
          <w:rFonts w:ascii="Palatino Linotype" w:eastAsia="Palatino Linotype" w:hAnsi="Palatino Linotype" w:cs="Palatino Linotype"/>
          <w:b/>
        </w:rPr>
      </w:pPr>
      <w:r w:rsidRPr="00263752">
        <w:rPr>
          <w:rFonts w:ascii="Palatino Linotype" w:eastAsia="Palatino Linotype" w:hAnsi="Palatino Linotype" w:cs="Palatino Linotype"/>
          <w:b/>
        </w:rPr>
        <w:t xml:space="preserve">TERCERO. NOTIFÍQUESE, </w:t>
      </w:r>
      <w:r w:rsidRPr="00263752">
        <w:rPr>
          <w:rFonts w:ascii="Palatino Linotype" w:eastAsia="Palatino Linotype" w:hAnsi="Palatino Linotype" w:cs="Palatino Linotype"/>
        </w:rPr>
        <w:t xml:space="preserve">vía SAIMEX, a la Persona Titular de la Unidad de Transparencia del </w:t>
      </w:r>
      <w:r w:rsidRPr="00263752">
        <w:rPr>
          <w:rFonts w:ascii="Palatino Linotype" w:eastAsia="Palatino Linotype" w:hAnsi="Palatino Linotype" w:cs="Palatino Linotype"/>
          <w:b/>
        </w:rPr>
        <w:t>SUJETO OBLIGADO,</w:t>
      </w:r>
      <w:r w:rsidRPr="00263752">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FB158E1" w14:textId="77777777" w:rsidR="0066753E" w:rsidRPr="00263752" w:rsidRDefault="0066753E">
      <w:pPr>
        <w:spacing w:line="360" w:lineRule="auto"/>
        <w:jc w:val="both"/>
        <w:rPr>
          <w:rFonts w:ascii="Palatino Linotype" w:eastAsia="Palatino Linotype" w:hAnsi="Palatino Linotype" w:cs="Palatino Linotype"/>
        </w:rPr>
      </w:pPr>
    </w:p>
    <w:p w14:paraId="61AB87C7" w14:textId="77777777" w:rsidR="0066753E" w:rsidRPr="00263752" w:rsidRDefault="00263752">
      <w:pPr>
        <w:pBdr>
          <w:top w:val="nil"/>
          <w:left w:val="nil"/>
          <w:bottom w:val="nil"/>
          <w:right w:val="nil"/>
          <w:between w:val="nil"/>
        </w:pBdr>
        <w:spacing w:line="360" w:lineRule="auto"/>
        <w:jc w:val="both"/>
        <w:rPr>
          <w:rFonts w:ascii="Palatino Linotype" w:eastAsia="Palatino Linotype" w:hAnsi="Palatino Linotype" w:cs="Palatino Linotype"/>
          <w:b/>
        </w:rPr>
      </w:pPr>
      <w:r w:rsidRPr="00263752">
        <w:rPr>
          <w:rFonts w:ascii="Palatino Linotype" w:eastAsia="Palatino Linotype" w:hAnsi="Palatino Linotype" w:cs="Palatino Linotype"/>
          <w:b/>
        </w:rPr>
        <w:t xml:space="preserve">CUARTO. </w:t>
      </w:r>
      <w:r w:rsidRPr="00263752">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sidRPr="00263752">
        <w:rPr>
          <w:rFonts w:ascii="Palatino Linotype" w:eastAsia="Palatino Linotype" w:hAnsi="Palatino Linotype" w:cs="Palatino Linotype"/>
        </w:rPr>
        <w:lastRenderedPageBreak/>
        <w:t xml:space="preserve">procedente, </w:t>
      </w:r>
      <w:r w:rsidRPr="00263752">
        <w:rPr>
          <w:rFonts w:ascii="Palatino Linotype" w:eastAsia="Palatino Linotype" w:hAnsi="Palatino Linotype" w:cs="Palatino Linotype"/>
          <w:b/>
        </w:rPr>
        <w:t>EL SUJETO OBLIGADO</w:t>
      </w:r>
      <w:r w:rsidRPr="00263752">
        <w:rPr>
          <w:rFonts w:ascii="Palatino Linotype" w:eastAsia="Palatino Linotype" w:hAnsi="Palatino Linotype" w:cs="Palatino Linotype"/>
        </w:rPr>
        <w:t xml:space="preserve"> de manera fundada y motivada, podrá solicitar una ampliación de plazo para el cumplimiento de la presente resolución.</w:t>
      </w:r>
    </w:p>
    <w:p w14:paraId="0C84C78B" w14:textId="77777777" w:rsidR="0066753E" w:rsidRPr="00263752" w:rsidRDefault="0066753E">
      <w:pPr>
        <w:pBdr>
          <w:top w:val="nil"/>
          <w:left w:val="nil"/>
          <w:bottom w:val="nil"/>
          <w:right w:val="nil"/>
          <w:between w:val="nil"/>
        </w:pBdr>
        <w:spacing w:line="360" w:lineRule="auto"/>
        <w:jc w:val="both"/>
        <w:rPr>
          <w:rFonts w:ascii="Palatino Linotype" w:eastAsia="Palatino Linotype" w:hAnsi="Palatino Linotype" w:cs="Palatino Linotype"/>
          <w:b/>
        </w:rPr>
      </w:pPr>
    </w:p>
    <w:p w14:paraId="5CE7E8B3" w14:textId="77777777" w:rsidR="0066753E" w:rsidRPr="00263752" w:rsidRDefault="00263752">
      <w:pPr>
        <w:pBdr>
          <w:top w:val="nil"/>
          <w:left w:val="nil"/>
          <w:bottom w:val="nil"/>
          <w:right w:val="nil"/>
          <w:between w:val="nil"/>
        </w:pBd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b/>
        </w:rPr>
        <w:t xml:space="preserve">QUINTO. </w:t>
      </w:r>
      <w:r w:rsidRPr="00263752">
        <w:rPr>
          <w:rFonts w:ascii="Palatino Linotype" w:eastAsia="Palatino Linotype" w:hAnsi="Palatino Linotype" w:cs="Palatino Linotype"/>
        </w:rPr>
        <w:t>Notifíquese vía SAIMEX,</w:t>
      </w:r>
      <w:r w:rsidRPr="00263752">
        <w:rPr>
          <w:rFonts w:ascii="Palatino Linotype" w:eastAsia="Palatino Linotype" w:hAnsi="Palatino Linotype" w:cs="Palatino Linotype"/>
          <w:b/>
        </w:rPr>
        <w:t xml:space="preserve"> </w:t>
      </w:r>
      <w:r w:rsidRPr="00263752">
        <w:rPr>
          <w:rFonts w:ascii="Palatino Linotype" w:eastAsia="Palatino Linotype" w:hAnsi="Palatino Linotype" w:cs="Palatino Linotype"/>
        </w:rPr>
        <w:t xml:space="preserve">a </w:t>
      </w:r>
      <w:r w:rsidRPr="00263752">
        <w:rPr>
          <w:rFonts w:ascii="Palatino Linotype" w:eastAsia="Palatino Linotype" w:hAnsi="Palatino Linotype" w:cs="Palatino Linotype"/>
          <w:b/>
        </w:rPr>
        <w:t>LA PARTE</w:t>
      </w:r>
      <w:r w:rsidRPr="00263752">
        <w:rPr>
          <w:rFonts w:ascii="Palatino Linotype" w:eastAsia="Palatino Linotype" w:hAnsi="Palatino Linotype" w:cs="Palatino Linotype"/>
        </w:rPr>
        <w:t xml:space="preserve"> </w:t>
      </w:r>
      <w:r w:rsidRPr="00263752">
        <w:rPr>
          <w:rFonts w:ascii="Palatino Linotype" w:eastAsia="Palatino Linotype" w:hAnsi="Palatino Linotype" w:cs="Palatino Linotype"/>
          <w:b/>
        </w:rPr>
        <w:t>RECURRENTE</w:t>
      </w:r>
      <w:r w:rsidRPr="00263752">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47D706A0" w14:textId="77777777" w:rsidR="0066753E" w:rsidRPr="00263752" w:rsidRDefault="0066753E">
      <w:pPr>
        <w:pBdr>
          <w:top w:val="nil"/>
          <w:left w:val="nil"/>
          <w:bottom w:val="nil"/>
          <w:right w:val="nil"/>
          <w:between w:val="nil"/>
        </w:pBdr>
        <w:spacing w:line="360" w:lineRule="auto"/>
        <w:jc w:val="both"/>
        <w:rPr>
          <w:rFonts w:ascii="Palatino Linotype" w:eastAsia="Palatino Linotype" w:hAnsi="Palatino Linotype" w:cs="Palatino Linotype"/>
        </w:rPr>
      </w:pPr>
    </w:p>
    <w:p w14:paraId="1F25FBAC" w14:textId="77777777" w:rsidR="0066753E" w:rsidRPr="00263752" w:rsidRDefault="00263752">
      <w:pPr>
        <w:pBdr>
          <w:top w:val="nil"/>
          <w:left w:val="nil"/>
          <w:bottom w:val="nil"/>
          <w:right w:val="nil"/>
          <w:between w:val="nil"/>
        </w:pBdr>
        <w:spacing w:line="360" w:lineRule="auto"/>
        <w:jc w:val="both"/>
      </w:pPr>
      <w:r w:rsidRPr="00263752">
        <w:rPr>
          <w:rFonts w:ascii="Palatino Linotype" w:eastAsia="Palatino Linotype" w:hAnsi="Palatino Linotype" w:cs="Palatino Linotype"/>
          <w:b/>
        </w:rPr>
        <w:t>SEXTO. GÍRESE</w:t>
      </w:r>
      <w:r w:rsidRPr="00263752">
        <w:rPr>
          <w:rFonts w:ascii="Palatino Linotype" w:eastAsia="Palatino Linotype" w:hAnsi="Palatino Linotype" w:cs="Palatino Linotype"/>
        </w:rPr>
        <w:t xml:space="preserve"> oficio a la Persona Titular de la Dirección General de Protección de Datos Personales de este Instituto con fundamento en el artículo 82 fracción XXVII de la Ley de Protección de Datos Personales en Posesión de Sujetos Obligados del Estado de México y Municipios, para que actúen en razón de su competencia, en términos de lo expuesto en el </w:t>
      </w:r>
      <w:r w:rsidRPr="00263752">
        <w:rPr>
          <w:rFonts w:ascii="Palatino Linotype" w:eastAsia="Palatino Linotype" w:hAnsi="Palatino Linotype" w:cs="Palatino Linotype"/>
          <w:b/>
        </w:rPr>
        <w:t>CONSIDERANDO SEXTO</w:t>
      </w:r>
      <w:r w:rsidRPr="00263752">
        <w:rPr>
          <w:rFonts w:ascii="Palatino Linotype" w:eastAsia="Palatino Linotype" w:hAnsi="Palatino Linotype" w:cs="Palatino Linotype"/>
        </w:rPr>
        <w:t xml:space="preserve"> de la presente resolución.</w:t>
      </w:r>
    </w:p>
    <w:p w14:paraId="0F34BD45" w14:textId="77777777" w:rsidR="0066753E" w:rsidRPr="00263752" w:rsidRDefault="0066753E">
      <w:pPr>
        <w:spacing w:line="360" w:lineRule="auto"/>
        <w:jc w:val="both"/>
        <w:rPr>
          <w:rFonts w:ascii="Palatino Linotype" w:eastAsia="Palatino Linotype" w:hAnsi="Palatino Linotype" w:cs="Palatino Linotype"/>
        </w:rPr>
      </w:pPr>
    </w:p>
    <w:p w14:paraId="754DB3FD" w14:textId="77777777" w:rsidR="0066753E" w:rsidRPr="00263752" w:rsidRDefault="00263752">
      <w:pPr>
        <w:spacing w:line="360" w:lineRule="auto"/>
        <w:jc w:val="both"/>
        <w:rPr>
          <w:rFonts w:ascii="Palatino Linotype" w:eastAsia="Palatino Linotype" w:hAnsi="Palatino Linotype" w:cs="Palatino Linotype"/>
        </w:rPr>
      </w:pPr>
      <w:r w:rsidRPr="00263752">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SEXTA SESIÓN ORDINARIA, CELEBRADA EL DOCE DE JULIO DE DOS MIL VEINTITRÉS, ANTE EL SECRETARIO TÉCNICO DEL PLENO ALEXIS TAPIA RAMÍREZ.</w:t>
      </w:r>
    </w:p>
    <w:p w14:paraId="40FEEC64" w14:textId="77777777" w:rsidR="0066753E" w:rsidRPr="00263752" w:rsidRDefault="0066753E">
      <w:pPr>
        <w:spacing w:line="360" w:lineRule="auto"/>
        <w:jc w:val="both"/>
        <w:rPr>
          <w:rFonts w:ascii="Palatino Linotype" w:eastAsia="Palatino Linotype" w:hAnsi="Palatino Linotype" w:cs="Palatino Linotype"/>
        </w:rPr>
      </w:pPr>
    </w:p>
    <w:p w14:paraId="0EBF9F5C" w14:textId="77777777" w:rsidR="0066753E" w:rsidRPr="00263752" w:rsidRDefault="0066753E">
      <w:pPr>
        <w:spacing w:line="360" w:lineRule="auto"/>
        <w:jc w:val="both"/>
        <w:rPr>
          <w:rFonts w:ascii="Palatino Linotype" w:eastAsia="Palatino Linotype" w:hAnsi="Palatino Linotype" w:cs="Palatino Linotype"/>
        </w:rPr>
      </w:pPr>
    </w:p>
    <w:p w14:paraId="68513688" w14:textId="77777777" w:rsidR="0066753E" w:rsidRPr="00263752" w:rsidRDefault="0066753E">
      <w:pPr>
        <w:spacing w:line="360" w:lineRule="auto"/>
        <w:jc w:val="both"/>
        <w:rPr>
          <w:rFonts w:ascii="Palatino Linotype" w:eastAsia="Palatino Linotype" w:hAnsi="Palatino Linotype" w:cs="Palatino Linotype"/>
        </w:rPr>
      </w:pPr>
    </w:p>
    <w:p w14:paraId="0EA5DC65" w14:textId="77777777" w:rsidR="0066753E" w:rsidRPr="00263752" w:rsidRDefault="0066753E">
      <w:pPr>
        <w:spacing w:line="360" w:lineRule="auto"/>
        <w:jc w:val="both"/>
        <w:rPr>
          <w:rFonts w:ascii="Palatino Linotype" w:eastAsia="Palatino Linotype" w:hAnsi="Palatino Linotype" w:cs="Palatino Linotype"/>
        </w:rPr>
      </w:pPr>
    </w:p>
    <w:p w14:paraId="0C04D221" w14:textId="77777777" w:rsidR="0066753E" w:rsidRPr="00263752" w:rsidRDefault="0066753E">
      <w:pPr>
        <w:spacing w:line="360" w:lineRule="auto"/>
        <w:jc w:val="both"/>
        <w:rPr>
          <w:rFonts w:ascii="Palatino Linotype" w:eastAsia="Palatino Linotype" w:hAnsi="Palatino Linotype" w:cs="Palatino Linotype"/>
        </w:rPr>
      </w:pPr>
    </w:p>
    <w:p w14:paraId="2FFE01BF" w14:textId="77777777" w:rsidR="0066753E" w:rsidRPr="00263752" w:rsidRDefault="0066753E">
      <w:pPr>
        <w:spacing w:line="360" w:lineRule="auto"/>
        <w:jc w:val="both"/>
        <w:rPr>
          <w:rFonts w:ascii="Palatino Linotype" w:eastAsia="Palatino Linotype" w:hAnsi="Palatino Linotype" w:cs="Palatino Linotype"/>
        </w:rPr>
      </w:pPr>
    </w:p>
    <w:p w14:paraId="3E95DA59" w14:textId="77777777" w:rsidR="0066753E" w:rsidRPr="00263752" w:rsidRDefault="0066753E">
      <w:pPr>
        <w:spacing w:line="360" w:lineRule="auto"/>
        <w:jc w:val="both"/>
        <w:rPr>
          <w:rFonts w:ascii="Palatino Linotype" w:eastAsia="Palatino Linotype" w:hAnsi="Palatino Linotype" w:cs="Palatino Linotype"/>
        </w:rPr>
      </w:pPr>
    </w:p>
    <w:p w14:paraId="15E659A2" w14:textId="77777777" w:rsidR="0066753E" w:rsidRPr="00263752" w:rsidRDefault="0066753E">
      <w:pPr>
        <w:spacing w:line="360" w:lineRule="auto"/>
        <w:jc w:val="both"/>
        <w:rPr>
          <w:rFonts w:ascii="Palatino Linotype" w:eastAsia="Palatino Linotype" w:hAnsi="Palatino Linotype" w:cs="Palatino Linotype"/>
        </w:rPr>
      </w:pPr>
    </w:p>
    <w:p w14:paraId="41095266" w14:textId="77777777" w:rsidR="0066753E" w:rsidRPr="00263752" w:rsidRDefault="0066753E">
      <w:pPr>
        <w:spacing w:line="360" w:lineRule="auto"/>
        <w:jc w:val="both"/>
        <w:rPr>
          <w:rFonts w:ascii="Palatino Linotype" w:eastAsia="Palatino Linotype" w:hAnsi="Palatino Linotype" w:cs="Palatino Linotype"/>
        </w:rPr>
      </w:pPr>
    </w:p>
    <w:p w14:paraId="1DAAF5E3" w14:textId="77777777" w:rsidR="0066753E" w:rsidRPr="00263752" w:rsidRDefault="0066753E">
      <w:pPr>
        <w:spacing w:line="360" w:lineRule="auto"/>
        <w:jc w:val="both"/>
        <w:rPr>
          <w:rFonts w:ascii="Palatino Linotype" w:eastAsia="Palatino Linotype" w:hAnsi="Palatino Linotype" w:cs="Palatino Linotype"/>
        </w:rPr>
      </w:pPr>
    </w:p>
    <w:p w14:paraId="42A7CF58" w14:textId="77777777" w:rsidR="0066753E" w:rsidRPr="00263752" w:rsidRDefault="0066753E">
      <w:pPr>
        <w:spacing w:line="360" w:lineRule="auto"/>
        <w:jc w:val="both"/>
        <w:rPr>
          <w:rFonts w:ascii="Palatino Linotype" w:eastAsia="Palatino Linotype" w:hAnsi="Palatino Linotype" w:cs="Palatino Linotype"/>
        </w:rPr>
      </w:pPr>
    </w:p>
    <w:p w14:paraId="3ACA408E" w14:textId="77777777" w:rsidR="0066753E" w:rsidRPr="00263752" w:rsidRDefault="0066753E">
      <w:pPr>
        <w:spacing w:line="360" w:lineRule="auto"/>
        <w:jc w:val="both"/>
        <w:rPr>
          <w:rFonts w:ascii="Palatino Linotype" w:eastAsia="Palatino Linotype" w:hAnsi="Palatino Linotype" w:cs="Palatino Linotype"/>
        </w:rPr>
      </w:pPr>
    </w:p>
    <w:p w14:paraId="7C1B5C67" w14:textId="77777777" w:rsidR="0066753E" w:rsidRPr="00263752" w:rsidRDefault="0066753E">
      <w:pPr>
        <w:spacing w:line="360" w:lineRule="auto"/>
        <w:jc w:val="both"/>
        <w:rPr>
          <w:rFonts w:ascii="Palatino Linotype" w:eastAsia="Palatino Linotype" w:hAnsi="Palatino Linotype" w:cs="Palatino Linotype"/>
          <w:b/>
        </w:rPr>
      </w:pPr>
    </w:p>
    <w:p w14:paraId="40B4CCEF" w14:textId="77777777" w:rsidR="0066753E" w:rsidRPr="00263752" w:rsidRDefault="0066753E">
      <w:pPr>
        <w:spacing w:line="360" w:lineRule="auto"/>
        <w:jc w:val="both"/>
        <w:rPr>
          <w:rFonts w:ascii="Palatino Linotype" w:eastAsia="Palatino Linotype" w:hAnsi="Palatino Linotype" w:cs="Palatino Linotype"/>
          <w:b/>
        </w:rPr>
      </w:pPr>
    </w:p>
    <w:p w14:paraId="7326CDDB" w14:textId="77777777" w:rsidR="0066753E" w:rsidRPr="00263752" w:rsidRDefault="0066753E">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b/>
        </w:rPr>
      </w:pPr>
    </w:p>
    <w:p w14:paraId="32B42D04" w14:textId="77777777" w:rsidR="0066753E" w:rsidRPr="00263752" w:rsidRDefault="0066753E">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rPr>
      </w:pPr>
    </w:p>
    <w:p w14:paraId="452FC001" w14:textId="77777777" w:rsidR="0066753E" w:rsidRPr="00263752" w:rsidRDefault="0066753E">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rPr>
      </w:pPr>
    </w:p>
    <w:p w14:paraId="53E5C020" w14:textId="77777777" w:rsidR="0066753E" w:rsidRPr="00263752" w:rsidRDefault="0066753E">
      <w:pPr>
        <w:spacing w:line="360" w:lineRule="auto"/>
        <w:jc w:val="both"/>
        <w:rPr>
          <w:rFonts w:ascii="Palatino Linotype" w:eastAsia="Palatino Linotype" w:hAnsi="Palatino Linotype" w:cs="Palatino Linotype"/>
        </w:rPr>
      </w:pPr>
      <w:bookmarkStart w:id="10" w:name="_heading=h.2et92p0" w:colFirst="0" w:colLast="0"/>
      <w:bookmarkEnd w:id="10"/>
    </w:p>
    <w:sectPr w:rsidR="0066753E" w:rsidRPr="00263752">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9988F" w14:textId="77777777" w:rsidR="00B54854" w:rsidRDefault="00B54854">
      <w:r>
        <w:separator/>
      </w:r>
    </w:p>
  </w:endnote>
  <w:endnote w:type="continuationSeparator" w:id="0">
    <w:p w14:paraId="3DFD8AD0" w14:textId="77777777" w:rsidR="00B54854" w:rsidRDefault="00B54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F521A" w14:textId="77777777" w:rsidR="0066753E" w:rsidRDefault="0026375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F6313">
      <w:rPr>
        <w:rFonts w:ascii="Palatino Linotype" w:eastAsia="Palatino Linotype" w:hAnsi="Palatino Linotype" w:cs="Palatino Linotype"/>
        <w:b/>
        <w:noProof/>
        <w:color w:val="000000"/>
        <w:sz w:val="20"/>
        <w:szCs w:val="20"/>
      </w:rPr>
      <w:t>56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F6313">
      <w:rPr>
        <w:rFonts w:ascii="Palatino Linotype" w:eastAsia="Palatino Linotype" w:hAnsi="Palatino Linotype" w:cs="Palatino Linotype"/>
        <w:b/>
        <w:noProof/>
        <w:color w:val="000000"/>
        <w:sz w:val="20"/>
        <w:szCs w:val="20"/>
      </w:rPr>
      <w:t>57</w:t>
    </w:r>
    <w:r>
      <w:rPr>
        <w:rFonts w:ascii="Palatino Linotype" w:eastAsia="Palatino Linotype" w:hAnsi="Palatino Linotype" w:cs="Palatino Linotype"/>
        <w:b/>
        <w:color w:val="000000"/>
        <w:sz w:val="20"/>
        <w:szCs w:val="20"/>
      </w:rPr>
      <w:fldChar w:fldCharType="end"/>
    </w:r>
  </w:p>
  <w:p w14:paraId="7BED81CA" w14:textId="77777777" w:rsidR="0066753E" w:rsidRDefault="0066753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95056" w14:textId="77777777" w:rsidR="0066753E" w:rsidRDefault="0026375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F631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F6313">
      <w:rPr>
        <w:rFonts w:ascii="Palatino Linotype" w:eastAsia="Palatino Linotype" w:hAnsi="Palatino Linotype" w:cs="Palatino Linotype"/>
        <w:b/>
        <w:noProof/>
        <w:color w:val="000000"/>
        <w:sz w:val="20"/>
        <w:szCs w:val="20"/>
      </w:rPr>
      <w:t>57</w:t>
    </w:r>
    <w:r>
      <w:rPr>
        <w:rFonts w:ascii="Palatino Linotype" w:eastAsia="Palatino Linotype" w:hAnsi="Palatino Linotype" w:cs="Palatino Linotype"/>
        <w:b/>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480AA" w14:textId="77777777" w:rsidR="00B54854" w:rsidRDefault="00B54854">
      <w:r>
        <w:separator/>
      </w:r>
    </w:p>
  </w:footnote>
  <w:footnote w:type="continuationSeparator" w:id="0">
    <w:p w14:paraId="7B992D2D" w14:textId="77777777" w:rsidR="00B54854" w:rsidRDefault="00B54854">
      <w:r>
        <w:continuationSeparator/>
      </w:r>
    </w:p>
  </w:footnote>
  <w:footnote w:id="1">
    <w:p w14:paraId="5668FC3B" w14:textId="77777777" w:rsidR="0066753E" w:rsidRDefault="00263752">
      <w:pPr>
        <w:pBdr>
          <w:top w:val="nil"/>
          <w:left w:val="nil"/>
          <w:bottom w:val="nil"/>
          <w:right w:val="nil"/>
          <w:between w:val="nil"/>
        </w:pBdr>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i/>
          <w:color w:val="000000"/>
          <w:sz w:val="16"/>
          <w:szCs w:val="16"/>
        </w:rPr>
        <w:t xml:space="preserve"> “</w:t>
      </w:r>
      <w:r>
        <w:rPr>
          <w:rFonts w:ascii="Palatino Linotype" w:eastAsia="Palatino Linotype" w:hAnsi="Palatino Linotype" w:cs="Palatino Linotype"/>
          <w:b/>
          <w:i/>
          <w:color w:val="000000"/>
          <w:sz w:val="16"/>
          <w:szCs w:val="16"/>
        </w:rPr>
        <w:t>Artículo 1.-</w:t>
      </w:r>
      <w:r>
        <w:rPr>
          <w:rFonts w:ascii="Palatino Linotype" w:eastAsia="Palatino Linotype" w:hAnsi="Palatino Linotype" w:cs="Palatino Linotype"/>
          <w:i/>
          <w:color w:val="000000"/>
          <w:sz w:val="16"/>
          <w:szCs w:val="16"/>
        </w:rPr>
        <w:t xml:space="preserve"> Esta Ley tiene por objeto regular los actos relativos a la planeación, programación, presupuestación, ejecución y control de la adquisición, enajenación y arrendamiento de bienes, y la contratación de servicios de cualquier naturaleza, que realicen: </w:t>
      </w:r>
    </w:p>
    <w:p w14:paraId="14A13868" w14:textId="77777777" w:rsidR="0066753E" w:rsidRDefault="00263752">
      <w:pPr>
        <w:numPr>
          <w:ilvl w:val="0"/>
          <w:numId w:val="5"/>
        </w:numPr>
        <w:pBdr>
          <w:top w:val="nil"/>
          <w:left w:val="nil"/>
          <w:bottom w:val="nil"/>
          <w:right w:val="nil"/>
          <w:between w:val="nil"/>
        </w:pBdr>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 xml:space="preserve">Las secretarías y las unidades administrativas del Poder Ejecutivo del Estado. </w:t>
      </w:r>
    </w:p>
    <w:p w14:paraId="07FDA083" w14:textId="77777777" w:rsidR="0066753E" w:rsidRDefault="00263752">
      <w:pPr>
        <w:numPr>
          <w:ilvl w:val="0"/>
          <w:numId w:val="5"/>
        </w:numPr>
        <w:pBdr>
          <w:top w:val="nil"/>
          <w:left w:val="nil"/>
          <w:bottom w:val="nil"/>
          <w:right w:val="nil"/>
          <w:between w:val="nil"/>
        </w:pBdr>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 xml:space="preserve">La Procuraduría General de Justicia. </w:t>
      </w:r>
    </w:p>
    <w:p w14:paraId="280373F2" w14:textId="77777777" w:rsidR="0066753E" w:rsidRDefault="00263752">
      <w:pPr>
        <w:numPr>
          <w:ilvl w:val="0"/>
          <w:numId w:val="5"/>
        </w:numPr>
        <w:pBdr>
          <w:top w:val="nil"/>
          <w:left w:val="nil"/>
          <w:bottom w:val="nil"/>
          <w:right w:val="nil"/>
          <w:between w:val="nil"/>
        </w:pBdr>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 xml:space="preserve">Los ayuntamientos de los municipios del Estado. </w:t>
      </w:r>
    </w:p>
    <w:p w14:paraId="2783C0CA" w14:textId="77777777" w:rsidR="0066753E" w:rsidRDefault="00263752">
      <w:pPr>
        <w:numPr>
          <w:ilvl w:val="0"/>
          <w:numId w:val="5"/>
        </w:numPr>
        <w:pBdr>
          <w:top w:val="nil"/>
          <w:left w:val="nil"/>
          <w:bottom w:val="nil"/>
          <w:right w:val="nil"/>
          <w:between w:val="nil"/>
        </w:pBdr>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 xml:space="preserve">Los organismos auxiliares y fideicomisos públicos, de carácter estatal o municipal. </w:t>
      </w:r>
    </w:p>
    <w:p w14:paraId="0487CFDE" w14:textId="77777777" w:rsidR="0066753E" w:rsidRDefault="00263752">
      <w:pPr>
        <w:numPr>
          <w:ilvl w:val="0"/>
          <w:numId w:val="5"/>
        </w:numPr>
        <w:pBdr>
          <w:top w:val="nil"/>
          <w:left w:val="nil"/>
          <w:bottom w:val="nil"/>
          <w:right w:val="nil"/>
          <w:between w:val="nil"/>
        </w:pBdr>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Los tribunales administrativos.</w:t>
      </w:r>
    </w:p>
    <w:p w14:paraId="693E19E3" w14:textId="77777777" w:rsidR="0066753E" w:rsidRDefault="00263752">
      <w:pPr>
        <w:pBdr>
          <w:top w:val="nil"/>
          <w:left w:val="nil"/>
          <w:bottom w:val="nil"/>
          <w:right w:val="nil"/>
          <w:between w:val="nil"/>
        </w:pBdr>
        <w:ind w:left="360"/>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Los actos a los que se refiere este artículo que se realicen con cargo total o parcial a fondos del Gobierno del Estado de México, se estarán a lo dispuesto por esta Ley. Los actos a que se refiere este artículo que se realicen con cargo total o parcial a fondos del Gobierno Federal, estarán a lo dispuesto por la legislación federal.</w:t>
      </w:r>
    </w:p>
    <w:p w14:paraId="0E741A0C" w14:textId="77777777" w:rsidR="0066753E" w:rsidRDefault="00263752">
      <w:pPr>
        <w:pBdr>
          <w:top w:val="nil"/>
          <w:left w:val="nil"/>
          <w:bottom w:val="nil"/>
          <w:right w:val="nil"/>
          <w:between w:val="nil"/>
        </w:pBdr>
        <w:ind w:left="360"/>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75E6" w14:textId="77777777" w:rsidR="0066753E" w:rsidRDefault="00263752">
    <w:pPr>
      <w:rPr>
        <w:rFonts w:ascii="Cambria" w:eastAsia="Cambria" w:hAnsi="Cambria" w:cs="Cambria"/>
      </w:rPr>
    </w:pPr>
    <w:r>
      <w:rPr>
        <w:noProof/>
      </w:rPr>
      <w:drawing>
        <wp:anchor distT="0" distB="0" distL="0" distR="0" simplePos="0" relativeHeight="251658240" behindDoc="1" locked="0" layoutInCell="1" hidden="0" allowOverlap="1" wp14:anchorId="55D5C44A" wp14:editId="04D836C9">
          <wp:simplePos x="0" y="0"/>
          <wp:positionH relativeFrom="column">
            <wp:posOffset>-1079498</wp:posOffset>
          </wp:positionH>
          <wp:positionV relativeFrom="paragraph">
            <wp:posOffset>-430528</wp:posOffset>
          </wp:positionV>
          <wp:extent cx="7809865" cy="10165715"/>
          <wp:effectExtent l="0" t="0" r="0" b="0"/>
          <wp:wrapNone/>
          <wp:docPr id="5639680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1"/>
      <w:tblW w:w="5953" w:type="dxa"/>
      <w:tblInd w:w="3261" w:type="dxa"/>
      <w:tblLayout w:type="fixed"/>
      <w:tblLook w:val="0400" w:firstRow="0" w:lastRow="0" w:firstColumn="0" w:lastColumn="0" w:noHBand="0" w:noVBand="1"/>
    </w:tblPr>
    <w:tblGrid>
      <w:gridCol w:w="2489"/>
      <w:gridCol w:w="3464"/>
    </w:tblGrid>
    <w:tr w:rsidR="0066753E" w14:paraId="522F92A5" w14:textId="77777777">
      <w:tc>
        <w:tcPr>
          <w:tcW w:w="2489" w:type="dxa"/>
          <w:shd w:val="clear" w:color="auto" w:fill="auto"/>
        </w:tcPr>
        <w:p w14:paraId="1102D83E" w14:textId="77777777" w:rsidR="0066753E" w:rsidRDefault="0026375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52E7447" w14:textId="77777777" w:rsidR="0066753E" w:rsidRDefault="0026375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00334/INFOEM/IP/RR/2023</w:t>
          </w:r>
        </w:p>
      </w:tc>
    </w:tr>
    <w:tr w:rsidR="0066753E" w14:paraId="64494B36" w14:textId="77777777">
      <w:trPr>
        <w:trHeight w:val="228"/>
      </w:trPr>
      <w:tc>
        <w:tcPr>
          <w:tcW w:w="2489" w:type="dxa"/>
          <w:shd w:val="clear" w:color="auto" w:fill="auto"/>
          <w:vAlign w:val="center"/>
        </w:tcPr>
        <w:p w14:paraId="0619AF64" w14:textId="77777777" w:rsidR="0066753E" w:rsidRDefault="0026375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26A54F0" w14:textId="77777777" w:rsidR="0066753E" w:rsidRDefault="00263752">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Tlalmanalco</w:t>
          </w:r>
        </w:p>
      </w:tc>
    </w:tr>
    <w:tr w:rsidR="0066753E" w14:paraId="4EC15253" w14:textId="77777777">
      <w:tc>
        <w:tcPr>
          <w:tcW w:w="2489" w:type="dxa"/>
          <w:shd w:val="clear" w:color="auto" w:fill="auto"/>
          <w:vAlign w:val="center"/>
        </w:tcPr>
        <w:p w14:paraId="6AD73027" w14:textId="77777777" w:rsidR="0066753E" w:rsidRDefault="0026375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5C5F4AB1" w14:textId="77777777" w:rsidR="0066753E" w:rsidRDefault="0026375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98014D0" w14:textId="77777777" w:rsidR="0066753E" w:rsidRDefault="00263752">
    <w:pPr>
      <w:rPr>
        <w:rFonts w:ascii="Cambria" w:eastAsia="Cambria" w:hAnsi="Cambria" w:cs="Cambria"/>
      </w:rPr>
    </w:pPr>
    <w:r>
      <w:rPr>
        <w:rFonts w:ascii="Cambria" w:eastAsia="Cambria" w:hAnsi="Cambria" w:cs="Cambri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5DF46" w14:textId="77777777" w:rsidR="0066753E" w:rsidRDefault="0026375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5BA5FB5" wp14:editId="09F6A6C8">
          <wp:simplePos x="0" y="0"/>
          <wp:positionH relativeFrom="column">
            <wp:posOffset>-1089023</wp:posOffset>
          </wp:positionH>
          <wp:positionV relativeFrom="paragraph">
            <wp:posOffset>-459738</wp:posOffset>
          </wp:positionV>
          <wp:extent cx="7809865" cy="10165715"/>
          <wp:effectExtent l="0" t="0" r="0" b="0"/>
          <wp:wrapNone/>
          <wp:docPr id="5639680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0"/>
      <w:tblW w:w="6483" w:type="dxa"/>
      <w:tblInd w:w="3174" w:type="dxa"/>
      <w:tblLayout w:type="fixed"/>
      <w:tblLook w:val="0400" w:firstRow="0" w:lastRow="0" w:firstColumn="0" w:lastColumn="0" w:noHBand="0" w:noVBand="1"/>
    </w:tblPr>
    <w:tblGrid>
      <w:gridCol w:w="2917"/>
      <w:gridCol w:w="3566"/>
    </w:tblGrid>
    <w:tr w:rsidR="0066753E" w14:paraId="205A275A" w14:textId="77777777">
      <w:trPr>
        <w:trHeight w:val="213"/>
      </w:trPr>
      <w:tc>
        <w:tcPr>
          <w:tcW w:w="2917" w:type="dxa"/>
          <w:shd w:val="clear" w:color="auto" w:fill="auto"/>
          <w:vAlign w:val="center"/>
        </w:tcPr>
        <w:p w14:paraId="1E735D7E" w14:textId="77777777" w:rsidR="0066753E" w:rsidRDefault="0026375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66" w:type="dxa"/>
          <w:tcBorders>
            <w:left w:val="nil"/>
          </w:tcBorders>
          <w:shd w:val="clear" w:color="auto" w:fill="auto"/>
          <w:vAlign w:val="center"/>
        </w:tcPr>
        <w:p w14:paraId="4AD6752D" w14:textId="77777777" w:rsidR="0066753E" w:rsidRDefault="00263752">
          <w:pPr>
            <w:tabs>
              <w:tab w:val="left" w:pos="3153"/>
            </w:tabs>
            <w:ind w:left="-45"/>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00334/INFOEM/IP/RR/2023</w:t>
          </w:r>
        </w:p>
      </w:tc>
    </w:tr>
    <w:tr w:rsidR="0066753E" w14:paraId="4D846FDC" w14:textId="77777777">
      <w:trPr>
        <w:trHeight w:val="91"/>
      </w:trPr>
      <w:tc>
        <w:tcPr>
          <w:tcW w:w="2917" w:type="dxa"/>
          <w:tcBorders>
            <w:right w:val="single" w:sz="4" w:space="0" w:color="FFFFFF"/>
          </w:tcBorders>
          <w:shd w:val="clear" w:color="auto" w:fill="auto"/>
          <w:vAlign w:val="center"/>
        </w:tcPr>
        <w:p w14:paraId="3DA45FAB" w14:textId="77777777" w:rsidR="0066753E" w:rsidRDefault="0026375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566" w:type="dxa"/>
          <w:tcBorders>
            <w:left w:val="single" w:sz="4" w:space="0" w:color="FFFFFF"/>
            <w:right w:val="single" w:sz="4" w:space="0" w:color="FFFFFF"/>
          </w:tcBorders>
          <w:shd w:val="clear" w:color="auto" w:fill="FFFFFF"/>
          <w:vAlign w:val="center"/>
        </w:tcPr>
        <w:p w14:paraId="65F6F0E5" w14:textId="48347595" w:rsidR="0066753E" w:rsidRDefault="00C0139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w:t>
          </w:r>
        </w:p>
      </w:tc>
    </w:tr>
    <w:tr w:rsidR="0066753E" w14:paraId="3D585B33" w14:textId="77777777">
      <w:trPr>
        <w:trHeight w:val="161"/>
      </w:trPr>
      <w:tc>
        <w:tcPr>
          <w:tcW w:w="2917" w:type="dxa"/>
          <w:tcBorders>
            <w:bottom w:val="single" w:sz="4" w:space="0" w:color="FFFFFF"/>
            <w:right w:val="single" w:sz="4" w:space="0" w:color="FFFFFF"/>
          </w:tcBorders>
          <w:shd w:val="clear" w:color="auto" w:fill="auto"/>
          <w:vAlign w:val="center"/>
        </w:tcPr>
        <w:p w14:paraId="6CC42FA0" w14:textId="77777777" w:rsidR="0066753E" w:rsidRDefault="0026375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66" w:type="dxa"/>
          <w:tcBorders>
            <w:left w:val="single" w:sz="4" w:space="0" w:color="FFFFFF"/>
            <w:bottom w:val="single" w:sz="4" w:space="0" w:color="FFFFFF"/>
            <w:right w:val="single" w:sz="4" w:space="0" w:color="FFFFFF"/>
          </w:tcBorders>
          <w:shd w:val="clear" w:color="auto" w:fill="auto"/>
          <w:vAlign w:val="center"/>
        </w:tcPr>
        <w:p w14:paraId="3D63EBC3" w14:textId="77777777" w:rsidR="0066753E" w:rsidRDefault="00263752">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Tlalmanalco</w:t>
          </w:r>
        </w:p>
      </w:tc>
    </w:tr>
    <w:tr w:rsidR="0066753E" w14:paraId="1EB3672C" w14:textId="77777777">
      <w:trPr>
        <w:trHeight w:val="102"/>
      </w:trPr>
      <w:tc>
        <w:tcPr>
          <w:tcW w:w="2917" w:type="dxa"/>
          <w:tcBorders>
            <w:top w:val="single" w:sz="4" w:space="0" w:color="FFFFFF"/>
            <w:right w:val="single" w:sz="4" w:space="0" w:color="FFFFFF"/>
          </w:tcBorders>
          <w:shd w:val="clear" w:color="auto" w:fill="auto"/>
          <w:vAlign w:val="center"/>
        </w:tcPr>
        <w:p w14:paraId="01AF98AF" w14:textId="77777777" w:rsidR="0066753E" w:rsidRDefault="0026375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66" w:type="dxa"/>
          <w:tcBorders>
            <w:top w:val="single" w:sz="4" w:space="0" w:color="FFFFFF"/>
            <w:left w:val="single" w:sz="4" w:space="0" w:color="FFFFFF"/>
            <w:right w:val="single" w:sz="4" w:space="0" w:color="FFFFFF"/>
          </w:tcBorders>
          <w:shd w:val="clear" w:color="auto" w:fill="auto"/>
          <w:vAlign w:val="center"/>
        </w:tcPr>
        <w:p w14:paraId="48812D4B" w14:textId="77777777" w:rsidR="0066753E" w:rsidRDefault="00263752">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389D40E" w14:textId="77777777" w:rsidR="0066753E" w:rsidRDefault="0066753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F3823"/>
    <w:multiLevelType w:val="multilevel"/>
    <w:tmpl w:val="B8CA99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9B0705C"/>
    <w:multiLevelType w:val="multilevel"/>
    <w:tmpl w:val="7F3C7F3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EC37211"/>
    <w:multiLevelType w:val="multilevel"/>
    <w:tmpl w:val="8B803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8D54FC1"/>
    <w:multiLevelType w:val="multilevel"/>
    <w:tmpl w:val="C24A3B7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B4A2921"/>
    <w:multiLevelType w:val="multilevel"/>
    <w:tmpl w:val="4886B0E4"/>
    <w:lvl w:ilvl="0">
      <w:start w:val="3"/>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B733776"/>
    <w:multiLevelType w:val="multilevel"/>
    <w:tmpl w:val="CFD2222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E265857"/>
    <w:multiLevelType w:val="multilevel"/>
    <w:tmpl w:val="AE92886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AF26328"/>
    <w:multiLevelType w:val="multilevel"/>
    <w:tmpl w:val="941C76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17556677">
    <w:abstractNumId w:val="4"/>
  </w:num>
  <w:num w:numId="2" w16cid:durableId="431164536">
    <w:abstractNumId w:val="3"/>
  </w:num>
  <w:num w:numId="3" w16cid:durableId="1136222518">
    <w:abstractNumId w:val="5"/>
  </w:num>
  <w:num w:numId="4" w16cid:durableId="1261640391">
    <w:abstractNumId w:val="2"/>
  </w:num>
  <w:num w:numId="5" w16cid:durableId="388572452">
    <w:abstractNumId w:val="1"/>
  </w:num>
  <w:num w:numId="6" w16cid:durableId="1609850300">
    <w:abstractNumId w:val="0"/>
  </w:num>
  <w:num w:numId="7" w16cid:durableId="2023968543">
    <w:abstractNumId w:val="7"/>
  </w:num>
  <w:num w:numId="8" w16cid:durableId="10536521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53E"/>
    <w:rsid w:val="00263752"/>
    <w:rsid w:val="0066753E"/>
    <w:rsid w:val="00681F06"/>
    <w:rsid w:val="00741611"/>
    <w:rsid w:val="009B14DF"/>
    <w:rsid w:val="00B54854"/>
    <w:rsid w:val="00C01390"/>
    <w:rsid w:val="00C465EA"/>
    <w:rsid w:val="00DF63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33AB7"/>
  <w15:docId w15:val="{55F441D4-E8BC-44FD-AC5F-3DAF1FEF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6F3"/>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1"/>
    <w:tblPr>
      <w:tblStyleRowBandSize w:val="1"/>
      <w:tblStyleColBandSize w:val="1"/>
      <w:tblCellMar>
        <w:left w:w="115" w:type="dxa"/>
        <w:right w:w="115" w:type="dxa"/>
      </w:tblCellMar>
    </w:tblPr>
  </w:style>
  <w:style w:type="table" w:customStyle="1" w:styleId="9">
    <w:name w:val="9"/>
    <w:basedOn w:val="TableNormal11"/>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1"/>
    <w:tblPr>
      <w:tblStyleRowBandSize w:val="1"/>
      <w:tblStyleColBandSize w:val="1"/>
      <w:tblCellMar>
        <w:left w:w="115" w:type="dxa"/>
        <w:right w:w="115" w:type="dxa"/>
      </w:tblCellMar>
    </w:tblPr>
  </w:style>
  <w:style w:type="table" w:customStyle="1" w:styleId="7">
    <w:name w:val="7"/>
    <w:basedOn w:val="TableNormal11"/>
    <w:tblPr>
      <w:tblStyleRowBandSize w:val="1"/>
      <w:tblStyleColBandSize w:val="1"/>
      <w:tblCellMar>
        <w:left w:w="115" w:type="dxa"/>
        <w:right w:w="115" w:type="dxa"/>
      </w:tblCellMar>
    </w:tblPr>
  </w:style>
  <w:style w:type="table" w:customStyle="1" w:styleId="6">
    <w:name w:val="6"/>
    <w:basedOn w:val="TableNormal20"/>
    <w:tblPr>
      <w:tblStyleRowBandSize w:val="1"/>
      <w:tblStyleColBandSize w:val="1"/>
      <w:tblCellMar>
        <w:left w:w="115" w:type="dxa"/>
        <w:right w:w="115" w:type="dxa"/>
      </w:tblCellMar>
    </w:tblPr>
  </w:style>
  <w:style w:type="table" w:customStyle="1" w:styleId="5">
    <w:name w:val="5"/>
    <w:basedOn w:val="TableNormal20"/>
    <w:tblPr>
      <w:tblStyleRowBandSize w:val="1"/>
      <w:tblStyleColBandSize w:val="1"/>
      <w:tblCellMar>
        <w:left w:w="115" w:type="dxa"/>
        <w:right w:w="115" w:type="dxa"/>
      </w:tblCellMar>
    </w:tblPr>
  </w:style>
  <w:style w:type="table" w:customStyle="1" w:styleId="4">
    <w:name w:val="4"/>
    <w:basedOn w:val="TableNormal30"/>
    <w:tblPr>
      <w:tblStyleRowBandSize w:val="1"/>
      <w:tblStyleColBandSize w:val="1"/>
      <w:tblCellMar>
        <w:left w:w="115" w:type="dxa"/>
        <w:right w:w="115" w:type="dxa"/>
      </w:tblCellMar>
    </w:tblPr>
  </w:style>
  <w:style w:type="table" w:customStyle="1" w:styleId="3">
    <w:name w:val="3"/>
    <w:basedOn w:val="TableNormal30"/>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tabs>
        <w:tab w:val="num" w:pos="720"/>
      </w:tabs>
      <w:ind w:left="720" w:hanging="720"/>
      <w:contextualSpacing/>
    </w:pPr>
  </w:style>
  <w:style w:type="table" w:customStyle="1" w:styleId="2">
    <w:name w:val="2"/>
    <w:basedOn w:val="TableNormal40"/>
    <w:tblPr>
      <w:tblStyleRowBandSize w:val="1"/>
      <w:tblStyleColBandSize w:val="1"/>
      <w:tblCellMar>
        <w:left w:w="115" w:type="dxa"/>
        <w:right w:w="115" w:type="dxa"/>
      </w:tblCellMar>
    </w:tblPr>
  </w:style>
  <w:style w:type="table" w:customStyle="1" w:styleId="1">
    <w:name w:val="1"/>
    <w:basedOn w:val="TableNormal40"/>
    <w:tblPr>
      <w:tblStyleRowBandSize w:val="1"/>
      <w:tblStyleColBandSize w:val="1"/>
      <w:tblCellMar>
        <w:left w:w="115" w:type="dxa"/>
        <w:right w:w="115" w:type="dxa"/>
      </w:tblCellMar>
    </w:tblPr>
  </w:style>
  <w:style w:type="table" w:customStyle="1" w:styleId="23">
    <w:name w:val="23"/>
    <w:basedOn w:val="TableNormal5"/>
    <w:tblPr>
      <w:tblStyleRowBandSize w:val="1"/>
      <w:tblStyleColBandSize w:val="1"/>
      <w:tblCellMar>
        <w:left w:w="115" w:type="dxa"/>
        <w:right w:w="115" w:type="dxa"/>
      </w:tblCellMar>
    </w:tblPr>
  </w:style>
  <w:style w:type="table" w:customStyle="1" w:styleId="22">
    <w:name w:val="22"/>
    <w:basedOn w:val="TableNormal5"/>
    <w:tblPr>
      <w:tblStyleRowBandSize w:val="1"/>
      <w:tblStyleColBandSize w:val="1"/>
      <w:tblCellMar>
        <w:left w:w="115" w:type="dxa"/>
        <w:right w:w="115" w:type="dxa"/>
      </w:tblCellMar>
    </w:tblPr>
  </w:style>
  <w:style w:type="table" w:customStyle="1" w:styleId="21">
    <w:name w:val="21"/>
    <w:basedOn w:val="TableNormal6"/>
    <w:tblPr>
      <w:tblStyleRowBandSize w:val="1"/>
      <w:tblStyleColBandSize w:val="1"/>
      <w:tblCellMar>
        <w:left w:w="115" w:type="dxa"/>
        <w:right w:w="115" w:type="dxa"/>
      </w:tblCellMar>
    </w:tblPr>
  </w:style>
  <w:style w:type="table" w:customStyle="1" w:styleId="20">
    <w:name w:val="20"/>
    <w:basedOn w:val="TableNormal6"/>
    <w:tblPr>
      <w:tblStyleRowBandSize w:val="1"/>
      <w:tblStyleColBandSize w:val="1"/>
      <w:tblCellMar>
        <w:left w:w="115" w:type="dxa"/>
        <w:right w:w="115" w:type="dxa"/>
      </w:tblCellMar>
    </w:tblPr>
  </w:style>
  <w:style w:type="table" w:customStyle="1" w:styleId="19">
    <w:name w:val="19"/>
    <w:basedOn w:val="TableNormal7"/>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8">
    <w:name w:val="18"/>
    <w:basedOn w:val="TableNormal7"/>
    <w:tblPr>
      <w:tblStyleRowBandSize w:val="1"/>
      <w:tblStyleColBandSize w:val="1"/>
      <w:tblCellMar>
        <w:left w:w="115" w:type="dxa"/>
        <w:right w:w="115" w:type="dxa"/>
      </w:tblCellMar>
    </w:tblPr>
  </w:style>
  <w:style w:type="table" w:customStyle="1" w:styleId="17">
    <w:name w:val="17"/>
    <w:basedOn w:val="TableNormal7"/>
    <w:tblPr>
      <w:tblStyleRowBandSize w:val="1"/>
      <w:tblStyleColBandSize w:val="1"/>
      <w:tblCellMar>
        <w:left w:w="115" w:type="dxa"/>
        <w:right w:w="115" w:type="dxa"/>
      </w:tblCellMar>
    </w:tblPr>
  </w:style>
  <w:style w:type="table" w:customStyle="1" w:styleId="16">
    <w:name w:val="16"/>
    <w:basedOn w:val="TableNormal8"/>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5">
    <w:name w:val="15"/>
    <w:basedOn w:val="TableNormal8"/>
    <w:tblPr>
      <w:tblStyleRowBandSize w:val="1"/>
      <w:tblStyleColBandSize w:val="1"/>
      <w:tblCellMar>
        <w:left w:w="115" w:type="dxa"/>
        <w:right w:w="115" w:type="dxa"/>
      </w:tblCellMar>
    </w:tblPr>
  </w:style>
  <w:style w:type="table" w:customStyle="1" w:styleId="14">
    <w:name w:val="14"/>
    <w:basedOn w:val="TableNormal8"/>
    <w:tblPr>
      <w:tblStyleRowBandSize w:val="1"/>
      <w:tblStyleColBandSize w:val="1"/>
      <w:tblCellMar>
        <w:left w:w="115" w:type="dxa"/>
        <w:right w:w="115" w:type="dxa"/>
      </w:tblCellMar>
    </w:tblPr>
  </w:style>
  <w:style w:type="table" w:customStyle="1" w:styleId="13">
    <w:name w:val="13"/>
    <w:basedOn w:val="TableNormal9"/>
    <w:tblPr>
      <w:tblStyleRowBandSize w:val="1"/>
      <w:tblStyleColBandSize w:val="1"/>
      <w:tblCellMar>
        <w:left w:w="115" w:type="dxa"/>
        <w:right w:w="115" w:type="dxa"/>
      </w:tblCellMar>
    </w:tblPr>
  </w:style>
  <w:style w:type="table" w:customStyle="1" w:styleId="12">
    <w:name w:val="12"/>
    <w:basedOn w:val="TableNormal9"/>
    <w:tblPr>
      <w:tblStyleRowBandSize w:val="1"/>
      <w:tblStyleColBandSize w:val="1"/>
      <w:tblCellMar>
        <w:left w:w="115" w:type="dxa"/>
        <w:right w:w="115" w:type="dxa"/>
      </w:tblCellMar>
    </w:tblPr>
  </w:style>
  <w:style w:type="table" w:customStyle="1" w:styleId="26">
    <w:name w:val="26"/>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5">
    <w:name w:val="25"/>
    <w:basedOn w:val="TableNormal10"/>
    <w:tblPr>
      <w:tblStyleRowBandSize w:val="1"/>
      <w:tblStyleColBandSize w:val="1"/>
      <w:tblCellMar>
        <w:left w:w="115" w:type="dxa"/>
        <w:right w:w="115" w:type="dxa"/>
      </w:tblCellMar>
    </w:tblPr>
  </w:style>
  <w:style w:type="table" w:customStyle="1" w:styleId="24">
    <w:name w:val="24"/>
    <w:basedOn w:val="TableNormal10"/>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96387C"/>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ita">
    <w:name w:val="Quote"/>
    <w:basedOn w:val="Normal"/>
    <w:next w:val="Normal"/>
    <w:link w:val="CitaCar"/>
    <w:uiPriority w:val="29"/>
    <w:qFormat/>
    <w:rsid w:val="008A3C56"/>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A3C56"/>
    <w:rPr>
      <w:i/>
      <w:iCs/>
      <w:color w:val="404040" w:themeColor="text1" w:themeTint="BF"/>
    </w:r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08" w:type="dxa"/>
        <w:right w:w="108" w:type="dxa"/>
      </w:tblCellMar>
    </w:tbl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paragraph" w:customStyle="1" w:styleId="Citas">
    <w:name w:val="Citas"/>
    <w:basedOn w:val="Normal"/>
    <w:qFormat/>
    <w:rsid w:val="00853FB5"/>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top w:w="15" w:type="dxa"/>
        <w:left w:w="15" w:type="dxa"/>
        <w:bottom w:w="15" w:type="dxa"/>
        <w:right w:w="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top w:w="15" w:type="dxa"/>
        <w:left w:w="115" w:type="dxa"/>
        <w:bottom w:w="15" w:type="dxa"/>
        <w:right w:w="115" w:type="dxa"/>
      </w:tblCellMar>
    </w:tblPr>
  </w:style>
  <w:style w:type="table" w:customStyle="1" w:styleId="af1">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a7fQ+arEJYb4fUqLC5NAZoGXLw==">CgMxLjAyCGgudHlqY3d0MghoLmdqZGd4czIJaC4zMGowemxsMgloLjJzOGV5bzEyCWguMjZpbjFyZzIJaC4zNW5rdW4yMgloLjFrc3Y0dXYyCWguMWZvYjl0ZTIJaC4zem55c2g3MgloLjRkMzRvZzgyCWguMmV0OTJwMDgAciExSkthSlV1Z2c1bVR4Z1ZNaHhVUnpobm5wVm5TRG1LOTM=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13468</Words>
  <Characters>74079</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Infoem Soporte</cp:lastModifiedBy>
  <cp:revision>2</cp:revision>
  <cp:lastPrinted>2023-07-13T16:30:00Z</cp:lastPrinted>
  <dcterms:created xsi:type="dcterms:W3CDTF">2025-05-23T14:17:00Z</dcterms:created>
  <dcterms:modified xsi:type="dcterms:W3CDTF">2025-05-23T14:17:00Z</dcterms:modified>
</cp:coreProperties>
</file>