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1F0434">
        <w:rPr>
          <w:rFonts w:ascii="Palatino Linotype" w:eastAsia="Palatino Linotype" w:hAnsi="Palatino Linotype" w:cs="Palatino Linotype"/>
          <w:b/>
        </w:rPr>
        <w:t>veinte de septiembre de dos mil veintitrés</w:t>
      </w:r>
      <w:r w:rsidRPr="001F0434">
        <w:rPr>
          <w:rFonts w:ascii="Palatino Linotype" w:eastAsia="Palatino Linotype" w:hAnsi="Palatino Linotype" w:cs="Palatino Linotype"/>
        </w:rPr>
        <w:t xml:space="preserve">. </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Vistos</w:t>
      </w:r>
      <w:r w:rsidRPr="001F0434">
        <w:rPr>
          <w:rFonts w:ascii="Palatino Linotype" w:eastAsia="Palatino Linotype" w:hAnsi="Palatino Linotype" w:cs="Palatino Linotype"/>
        </w:rPr>
        <w:t xml:space="preserve"> los expedientes formados con motivo de los recursos de revisión </w:t>
      </w:r>
      <w:r w:rsidRPr="001F0434">
        <w:rPr>
          <w:rFonts w:ascii="Palatino Linotype" w:eastAsia="Palatino Linotype" w:hAnsi="Palatino Linotype" w:cs="Palatino Linotype"/>
          <w:b/>
        </w:rPr>
        <w:t xml:space="preserve">00684/INFOEM/IP/RR/2023, 00686/INFOEM/IP/RR/2023 y 00687/INFOEM/IP/RR/2023  acumulados, </w:t>
      </w:r>
      <w:r w:rsidRPr="001F0434">
        <w:rPr>
          <w:rFonts w:ascii="Palatino Linotype" w:eastAsia="Palatino Linotype" w:hAnsi="Palatino Linotype" w:cs="Palatino Linotype"/>
        </w:rPr>
        <w:t>interpuestos por</w:t>
      </w:r>
      <w:r w:rsidR="007A6130">
        <w:rPr>
          <w:rFonts w:ascii="Palatino Linotype" w:eastAsia="Palatino Linotype" w:hAnsi="Palatino Linotype" w:cs="Palatino Linotype"/>
          <w:b/>
        </w:rPr>
        <w:t xml:space="preserve"> XXXXXX XXX XXXXXXXXXX</w:t>
      </w:r>
      <w:bookmarkStart w:id="0" w:name="_GoBack"/>
      <w:bookmarkEnd w:id="0"/>
      <w:r w:rsidRPr="001F0434">
        <w:rPr>
          <w:rFonts w:ascii="Palatino Linotype" w:eastAsia="Palatino Linotype" w:hAnsi="Palatino Linotype" w:cs="Palatino Linotype"/>
          <w:b/>
        </w:rPr>
        <w:t xml:space="preserve">, </w:t>
      </w:r>
      <w:r w:rsidRPr="001F0434">
        <w:rPr>
          <w:rFonts w:ascii="Palatino Linotype" w:eastAsia="Palatino Linotype" w:hAnsi="Palatino Linotype" w:cs="Palatino Linotype"/>
        </w:rPr>
        <w:t>quien en lo sucesivo</w:t>
      </w:r>
      <w:r w:rsidRPr="001F0434">
        <w:rPr>
          <w:rFonts w:ascii="Palatino Linotype" w:eastAsia="Palatino Linotype" w:hAnsi="Palatino Linotype" w:cs="Palatino Linotype"/>
          <w:b/>
        </w:rPr>
        <w:t xml:space="preserve"> </w:t>
      </w:r>
      <w:r w:rsidRPr="001F0434">
        <w:rPr>
          <w:rFonts w:ascii="Palatino Linotype" w:eastAsia="Palatino Linotype" w:hAnsi="Palatino Linotype" w:cs="Palatino Linotype"/>
        </w:rPr>
        <w:t xml:space="preserve">será identificado como </w:t>
      </w:r>
      <w:r w:rsidRPr="001F0434">
        <w:rPr>
          <w:rFonts w:ascii="Palatino Linotype" w:eastAsia="Palatino Linotype" w:hAnsi="Palatino Linotype" w:cs="Palatino Linotype"/>
          <w:b/>
        </w:rPr>
        <w:t>la parte Recurrente,</w:t>
      </w:r>
      <w:r w:rsidRPr="001F0434">
        <w:rPr>
          <w:rFonts w:ascii="Palatino Linotype" w:eastAsia="Palatino Linotype" w:hAnsi="Palatino Linotype" w:cs="Palatino Linotype"/>
        </w:rPr>
        <w:t xml:space="preserve"> en contra de las respuestas en las solicitudes de información con número de folio </w:t>
      </w:r>
      <w:r w:rsidRPr="001F0434">
        <w:rPr>
          <w:rFonts w:ascii="Palatino Linotype" w:eastAsia="Palatino Linotype" w:hAnsi="Palatino Linotype" w:cs="Palatino Linotype"/>
          <w:b/>
        </w:rPr>
        <w:t xml:space="preserve">00016/CUAUTIZC/IP/2023, 00015/CUAUTIZC/IP/2023 y 00014/CUAUTIZC/IP/2023, </w:t>
      </w:r>
      <w:r w:rsidRPr="001F0434">
        <w:rPr>
          <w:rFonts w:ascii="Palatino Linotype" w:eastAsia="Palatino Linotype" w:hAnsi="Palatino Linotype" w:cs="Palatino Linotype"/>
        </w:rPr>
        <w:t>por parte</w:t>
      </w:r>
      <w:r w:rsidRPr="001F0434">
        <w:rPr>
          <w:rFonts w:ascii="Palatino Linotype" w:eastAsia="Palatino Linotype" w:hAnsi="Palatino Linotype" w:cs="Palatino Linotype"/>
          <w:b/>
        </w:rPr>
        <w:t xml:space="preserve"> </w:t>
      </w:r>
      <w:r w:rsidRPr="001F0434">
        <w:rPr>
          <w:rFonts w:ascii="Palatino Linotype" w:eastAsia="Palatino Linotype" w:hAnsi="Palatino Linotype" w:cs="Palatino Linotype"/>
        </w:rPr>
        <w:t xml:space="preserve">del </w:t>
      </w:r>
      <w:r w:rsidRPr="001F0434">
        <w:rPr>
          <w:rFonts w:ascii="Palatino Linotype" w:eastAsia="Palatino Linotype" w:hAnsi="Palatino Linotype" w:cs="Palatino Linotype"/>
          <w:b/>
        </w:rPr>
        <w:t xml:space="preserve">Ayuntamiento de Cuautitlán Izcalli, </w:t>
      </w:r>
      <w:r w:rsidRPr="001F0434">
        <w:rPr>
          <w:rFonts w:ascii="Palatino Linotype" w:eastAsia="Palatino Linotype" w:hAnsi="Palatino Linotype" w:cs="Palatino Linotype"/>
        </w:rPr>
        <w:t xml:space="preserve">en lo sucesivo el </w:t>
      </w:r>
      <w:r w:rsidRPr="001F0434">
        <w:rPr>
          <w:rFonts w:ascii="Palatino Linotype" w:eastAsia="Palatino Linotype" w:hAnsi="Palatino Linotype" w:cs="Palatino Linotype"/>
          <w:b/>
        </w:rPr>
        <w:t xml:space="preserve">Sujeto Obligado, </w:t>
      </w:r>
      <w:r w:rsidRPr="001F0434">
        <w:rPr>
          <w:rFonts w:ascii="Palatino Linotype" w:eastAsia="Palatino Linotype" w:hAnsi="Palatino Linotype" w:cs="Palatino Linotype"/>
        </w:rPr>
        <w:t xml:space="preserve">se procede a dictar la presente resolución con base en los siguientes: </w:t>
      </w:r>
    </w:p>
    <w:p w:rsidR="00D64043" w:rsidRPr="001F0434" w:rsidRDefault="00BB68AC">
      <w:pPr>
        <w:spacing w:before="240" w:after="240" w:line="360" w:lineRule="auto"/>
        <w:jc w:val="center"/>
        <w:rPr>
          <w:rFonts w:ascii="Palatino Linotype" w:eastAsia="Palatino Linotype" w:hAnsi="Palatino Linotype" w:cs="Palatino Linotype"/>
          <w:b/>
        </w:rPr>
      </w:pPr>
      <w:r w:rsidRPr="001F0434">
        <w:rPr>
          <w:rFonts w:ascii="Palatino Linotype" w:eastAsia="Palatino Linotype" w:hAnsi="Palatino Linotype" w:cs="Palatino Linotype"/>
          <w:b/>
        </w:rPr>
        <w:t>I. A N T E C E D E N T E S</w:t>
      </w:r>
    </w:p>
    <w:p w:rsidR="00D64043" w:rsidRPr="001F0434" w:rsidRDefault="00BB68AC">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1F0434">
        <w:rPr>
          <w:rFonts w:ascii="Palatino Linotype" w:eastAsia="Palatino Linotype" w:hAnsi="Palatino Linotype" w:cs="Palatino Linotype"/>
          <w:b/>
        </w:rPr>
        <w:t>1. Solicitudes de acceso a la información.</w:t>
      </w:r>
      <w:r w:rsidRPr="001F0434">
        <w:rPr>
          <w:rFonts w:ascii="Palatino Linotype" w:eastAsia="Palatino Linotype" w:hAnsi="Palatino Linotype" w:cs="Palatino Linotype"/>
        </w:rPr>
        <w:t xml:space="preserve"> El </w:t>
      </w:r>
      <w:r w:rsidRPr="001F0434">
        <w:rPr>
          <w:rFonts w:ascii="Palatino Linotype" w:eastAsia="Palatino Linotype" w:hAnsi="Palatino Linotype" w:cs="Palatino Linotype"/>
          <w:b/>
        </w:rPr>
        <w:t>nueve de enero de dos mil veintitrés,</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 xml:space="preserve">la parte Recurrente </w:t>
      </w:r>
      <w:r w:rsidRPr="001F0434">
        <w:rPr>
          <w:rFonts w:ascii="Palatino Linotype" w:eastAsia="Palatino Linotype" w:hAnsi="Palatino Linotype" w:cs="Palatino Linotype"/>
        </w:rPr>
        <w:t>formuló solicitudes de acceso a información pública a través del Sistema de Acceso a la Información Mexiquense (</w:t>
      </w:r>
      <w:r w:rsidRPr="001F0434">
        <w:rPr>
          <w:rFonts w:ascii="Palatino Linotype" w:eastAsia="Palatino Linotype" w:hAnsi="Palatino Linotype" w:cs="Palatino Linotype"/>
          <w:b/>
        </w:rPr>
        <w:t>SAIMEX),</w:t>
      </w:r>
      <w:r w:rsidRPr="001F0434">
        <w:rPr>
          <w:rFonts w:ascii="Palatino Linotype" w:eastAsia="Palatino Linotype" w:hAnsi="Palatino Linotype" w:cs="Palatino Linotype"/>
        </w:rPr>
        <w:t xml:space="preserve"> en las que requirió lo siguiente:</w:t>
      </w:r>
    </w:p>
    <w:tbl>
      <w:tblPr>
        <w:tblStyle w:val="affc"/>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D64043" w:rsidRPr="001F0434">
        <w:tc>
          <w:tcPr>
            <w:tcW w:w="3823" w:type="dxa"/>
            <w:shd w:val="clear" w:color="auto" w:fill="DDD9C4"/>
          </w:tcPr>
          <w:p w:rsidR="00D64043" w:rsidRPr="001F0434" w:rsidRDefault="00BB68AC">
            <w:pPr>
              <w:spacing w:before="240" w:after="240"/>
              <w:jc w:val="center"/>
              <w:rPr>
                <w:rFonts w:ascii="Palatino Linotype" w:eastAsia="Palatino Linotype" w:hAnsi="Palatino Linotype" w:cs="Palatino Linotype"/>
                <w:b/>
              </w:rPr>
            </w:pPr>
            <w:r w:rsidRPr="001F0434">
              <w:rPr>
                <w:rFonts w:ascii="Palatino Linotype" w:eastAsia="Palatino Linotype" w:hAnsi="Palatino Linotype" w:cs="Palatino Linotype"/>
                <w:b/>
                <w:sz w:val="20"/>
                <w:szCs w:val="20"/>
              </w:rPr>
              <w:t>Número de solicitud y recurso de revisión</w:t>
            </w:r>
          </w:p>
        </w:tc>
        <w:tc>
          <w:tcPr>
            <w:tcW w:w="5098" w:type="dxa"/>
            <w:shd w:val="clear" w:color="auto" w:fill="DDD9C4"/>
          </w:tcPr>
          <w:p w:rsidR="00D64043" w:rsidRPr="001F0434" w:rsidRDefault="00BB68AC">
            <w:pPr>
              <w:spacing w:before="240" w:after="240" w:line="360" w:lineRule="auto"/>
              <w:jc w:val="center"/>
              <w:rPr>
                <w:rFonts w:ascii="Palatino Linotype" w:eastAsia="Palatino Linotype" w:hAnsi="Palatino Linotype" w:cs="Palatino Linotype"/>
                <w:b/>
              </w:rPr>
            </w:pPr>
            <w:r w:rsidRPr="001F0434">
              <w:rPr>
                <w:rFonts w:ascii="Palatino Linotype" w:eastAsia="Palatino Linotype" w:hAnsi="Palatino Linotype" w:cs="Palatino Linotype"/>
                <w:b/>
                <w:sz w:val="20"/>
                <w:szCs w:val="20"/>
              </w:rPr>
              <w:t>Información requerida</w:t>
            </w:r>
          </w:p>
        </w:tc>
      </w:tr>
      <w:tr w:rsidR="00D64043" w:rsidRPr="001F0434">
        <w:tc>
          <w:tcPr>
            <w:tcW w:w="3823" w:type="dxa"/>
          </w:tcPr>
          <w:p w:rsidR="00D64043" w:rsidRPr="001F0434" w:rsidRDefault="00BB68AC">
            <w:pPr>
              <w:spacing w:before="240" w:after="24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lastRenderedPageBreak/>
              <w:t xml:space="preserve">00016/CUAUTIZC/IP/2023, </w:t>
            </w:r>
            <w:r w:rsidRPr="001F0434">
              <w:rPr>
                <w:rFonts w:ascii="Palatino Linotype" w:eastAsia="Palatino Linotype" w:hAnsi="Palatino Linotype" w:cs="Palatino Linotype"/>
                <w:sz w:val="20"/>
                <w:szCs w:val="20"/>
              </w:rPr>
              <w:t>correspondiente al Recurso de Revisión</w:t>
            </w:r>
            <w:r w:rsidRPr="001F0434">
              <w:rPr>
                <w:rFonts w:ascii="Palatino Linotype" w:eastAsia="Palatino Linotype" w:hAnsi="Palatino Linotype" w:cs="Palatino Linotype"/>
                <w:b/>
                <w:sz w:val="20"/>
                <w:szCs w:val="20"/>
              </w:rPr>
              <w:t xml:space="preserve"> 00684/INFOEM/IP/RR/2023</w:t>
            </w:r>
          </w:p>
        </w:tc>
        <w:tc>
          <w:tcPr>
            <w:tcW w:w="5098" w:type="dxa"/>
          </w:tcPr>
          <w:p w:rsidR="00D64043" w:rsidRPr="001F0434" w:rsidRDefault="00BB68AC">
            <w:pPr>
              <w:spacing w:before="240" w:after="240"/>
              <w:jc w:val="both"/>
              <w:rPr>
                <w:rFonts w:ascii="Palatino Linotype" w:eastAsia="Palatino Linotype" w:hAnsi="Palatino Linotype" w:cs="Palatino Linotype"/>
                <w:i/>
                <w:sz w:val="20"/>
                <w:szCs w:val="20"/>
              </w:rPr>
            </w:pPr>
            <w:r w:rsidRPr="001F0434">
              <w:rPr>
                <w:rFonts w:ascii="Palatino Linotype" w:eastAsia="Palatino Linotype" w:hAnsi="Palatino Linotype" w:cs="Palatino Linotype"/>
                <w:i/>
              </w:rPr>
              <w:t xml:space="preserve">“Solicito </w:t>
            </w:r>
            <w:r w:rsidRPr="001F0434">
              <w:rPr>
                <w:rFonts w:ascii="Palatino Linotype" w:eastAsia="Palatino Linotype" w:hAnsi="Palatino Linotype" w:cs="Palatino Linotype"/>
                <w:b/>
                <w:i/>
                <w:u w:val="single"/>
              </w:rPr>
              <w:t>los oficios que recibió la unidad de transparencia para dar seguimiento y atención a las observaciones realizadas</w:t>
            </w:r>
            <w:r w:rsidRPr="001F0434">
              <w:rPr>
                <w:rFonts w:ascii="Palatino Linotype" w:eastAsia="Palatino Linotype" w:hAnsi="Palatino Linotype" w:cs="Palatino Linotype"/>
                <w:i/>
              </w:rPr>
              <w:t xml:space="preserve"> por el </w:t>
            </w:r>
            <w:proofErr w:type="spellStart"/>
            <w:r w:rsidRPr="001F0434">
              <w:rPr>
                <w:rFonts w:ascii="Palatino Linotype" w:eastAsia="Palatino Linotype" w:hAnsi="Palatino Linotype" w:cs="Palatino Linotype"/>
                <w:i/>
              </w:rPr>
              <w:t>infoem</w:t>
            </w:r>
            <w:proofErr w:type="spellEnd"/>
            <w:r w:rsidRPr="001F0434">
              <w:rPr>
                <w:rFonts w:ascii="Palatino Linotype" w:eastAsia="Palatino Linotype" w:hAnsi="Palatino Linotype" w:cs="Palatino Linotype"/>
                <w:i/>
              </w:rPr>
              <w:t xml:space="preserve"> </w:t>
            </w:r>
            <w:r w:rsidRPr="001F0434">
              <w:rPr>
                <w:rFonts w:ascii="Palatino Linotype" w:eastAsia="Palatino Linotype" w:hAnsi="Palatino Linotype" w:cs="Palatino Linotype"/>
                <w:b/>
                <w:i/>
                <w:u w:val="single"/>
              </w:rPr>
              <w:t>respecto a la verificación virtual oficiosa</w:t>
            </w:r>
            <w:r w:rsidRPr="001F0434">
              <w:rPr>
                <w:rFonts w:ascii="Palatino Linotype" w:eastAsia="Palatino Linotype" w:hAnsi="Palatino Linotype" w:cs="Palatino Linotype"/>
                <w:i/>
              </w:rPr>
              <w:t xml:space="preserve"> en dónde </w:t>
            </w:r>
            <w:proofErr w:type="spellStart"/>
            <w:r w:rsidRPr="001F0434">
              <w:rPr>
                <w:rFonts w:ascii="Palatino Linotype" w:eastAsia="Palatino Linotype" w:hAnsi="Palatino Linotype" w:cs="Palatino Linotype"/>
                <w:i/>
              </w:rPr>
              <w:t>obtieron</w:t>
            </w:r>
            <w:proofErr w:type="spellEnd"/>
            <w:r w:rsidRPr="001F0434">
              <w:rPr>
                <w:rFonts w:ascii="Palatino Linotype" w:eastAsia="Palatino Linotype" w:hAnsi="Palatino Linotype" w:cs="Palatino Linotype"/>
                <w:i/>
              </w:rPr>
              <w:t xml:space="preserve"> la calificación de 87.67” (Sic) (Énfasis añadido)</w:t>
            </w:r>
          </w:p>
        </w:tc>
      </w:tr>
      <w:tr w:rsidR="00D64043" w:rsidRPr="001F0434">
        <w:tc>
          <w:tcPr>
            <w:tcW w:w="3823" w:type="dxa"/>
          </w:tcPr>
          <w:p w:rsidR="00D64043" w:rsidRPr="001F0434" w:rsidRDefault="00BB68AC">
            <w:pPr>
              <w:spacing w:before="240" w:after="240"/>
              <w:jc w:val="center"/>
              <w:rPr>
                <w:rFonts w:ascii="Palatino Linotype" w:eastAsia="Palatino Linotype" w:hAnsi="Palatino Linotype" w:cs="Palatino Linotype"/>
                <w:b/>
              </w:rPr>
            </w:pPr>
            <w:r w:rsidRPr="001F0434">
              <w:rPr>
                <w:rFonts w:ascii="Palatino Linotype" w:eastAsia="Palatino Linotype" w:hAnsi="Palatino Linotype" w:cs="Palatino Linotype"/>
                <w:b/>
                <w:sz w:val="20"/>
                <w:szCs w:val="20"/>
              </w:rPr>
              <w:t xml:space="preserve">00015/CUAUTIZC/IP/2023, </w:t>
            </w:r>
            <w:r w:rsidRPr="001F0434">
              <w:rPr>
                <w:rFonts w:ascii="Palatino Linotype" w:eastAsia="Palatino Linotype" w:hAnsi="Palatino Linotype" w:cs="Palatino Linotype"/>
                <w:sz w:val="20"/>
                <w:szCs w:val="20"/>
              </w:rPr>
              <w:t>correspondiente al Recurso de Revisión</w:t>
            </w:r>
            <w:r w:rsidRPr="001F0434">
              <w:rPr>
                <w:rFonts w:ascii="Palatino Linotype" w:eastAsia="Palatino Linotype" w:hAnsi="Palatino Linotype" w:cs="Palatino Linotype"/>
                <w:b/>
                <w:sz w:val="20"/>
                <w:szCs w:val="20"/>
              </w:rPr>
              <w:t xml:space="preserve">  00686/INFOEM/IP/RR/2023</w:t>
            </w:r>
          </w:p>
        </w:tc>
        <w:tc>
          <w:tcPr>
            <w:tcW w:w="5098" w:type="dxa"/>
          </w:tcPr>
          <w:p w:rsidR="00D64043" w:rsidRPr="001F0434" w:rsidRDefault="00BB68AC">
            <w:pPr>
              <w:spacing w:before="240" w:after="240"/>
              <w:jc w:val="both"/>
              <w:rPr>
                <w:rFonts w:ascii="Palatino Linotype" w:eastAsia="Palatino Linotype" w:hAnsi="Palatino Linotype" w:cs="Palatino Linotype"/>
                <w:i/>
              </w:rPr>
            </w:pPr>
            <w:r w:rsidRPr="001F0434">
              <w:rPr>
                <w:rFonts w:ascii="Palatino Linotype" w:eastAsia="Palatino Linotype" w:hAnsi="Palatino Linotype" w:cs="Palatino Linotype"/>
                <w:i/>
              </w:rPr>
              <w:t xml:space="preserve">“Solicito </w:t>
            </w:r>
            <w:r w:rsidRPr="001F0434">
              <w:rPr>
                <w:rFonts w:ascii="Palatino Linotype" w:eastAsia="Palatino Linotype" w:hAnsi="Palatino Linotype" w:cs="Palatino Linotype"/>
                <w:b/>
                <w:i/>
                <w:u w:val="single"/>
              </w:rPr>
              <w:t xml:space="preserve">los oficios generados para dar seguimiento y atención a las observaciones realizadas por el </w:t>
            </w:r>
            <w:proofErr w:type="spellStart"/>
            <w:r w:rsidRPr="001F0434">
              <w:rPr>
                <w:rFonts w:ascii="Palatino Linotype" w:eastAsia="Palatino Linotype" w:hAnsi="Palatino Linotype" w:cs="Palatino Linotype"/>
                <w:b/>
                <w:i/>
                <w:u w:val="single"/>
              </w:rPr>
              <w:t>infoem</w:t>
            </w:r>
            <w:proofErr w:type="spellEnd"/>
            <w:r w:rsidRPr="001F0434">
              <w:rPr>
                <w:rFonts w:ascii="Palatino Linotype" w:eastAsia="Palatino Linotype" w:hAnsi="Palatino Linotype" w:cs="Palatino Linotype"/>
                <w:b/>
                <w:i/>
                <w:u w:val="single"/>
              </w:rPr>
              <w:t xml:space="preserve"> respecto a la verificación virtual oficiosa</w:t>
            </w:r>
            <w:r w:rsidRPr="001F0434">
              <w:rPr>
                <w:rFonts w:ascii="Palatino Linotype" w:eastAsia="Palatino Linotype" w:hAnsi="Palatino Linotype" w:cs="Palatino Linotype"/>
                <w:i/>
              </w:rPr>
              <w:t xml:space="preserve"> en dónde </w:t>
            </w:r>
            <w:proofErr w:type="spellStart"/>
            <w:r w:rsidRPr="001F0434">
              <w:rPr>
                <w:rFonts w:ascii="Palatino Linotype" w:eastAsia="Palatino Linotype" w:hAnsi="Palatino Linotype" w:cs="Palatino Linotype"/>
                <w:i/>
              </w:rPr>
              <w:t>obtieron</w:t>
            </w:r>
            <w:proofErr w:type="spellEnd"/>
            <w:r w:rsidRPr="001F0434">
              <w:rPr>
                <w:rFonts w:ascii="Palatino Linotype" w:eastAsia="Palatino Linotype" w:hAnsi="Palatino Linotype" w:cs="Palatino Linotype"/>
                <w:i/>
              </w:rPr>
              <w:t xml:space="preserve"> la calificación de 87.67” (Sic) (Énfasis añadido)</w:t>
            </w:r>
          </w:p>
        </w:tc>
      </w:tr>
      <w:tr w:rsidR="00D64043" w:rsidRPr="001F0434">
        <w:tc>
          <w:tcPr>
            <w:tcW w:w="3823" w:type="dxa"/>
          </w:tcPr>
          <w:p w:rsidR="00D64043" w:rsidRPr="001F0434" w:rsidRDefault="00BB68AC">
            <w:pPr>
              <w:spacing w:before="240" w:after="24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 xml:space="preserve">00014/CUAUTIZC/IP/2023, </w:t>
            </w:r>
            <w:r w:rsidRPr="001F0434">
              <w:rPr>
                <w:rFonts w:ascii="Palatino Linotype" w:eastAsia="Palatino Linotype" w:hAnsi="Palatino Linotype" w:cs="Palatino Linotype"/>
                <w:sz w:val="20"/>
                <w:szCs w:val="20"/>
              </w:rPr>
              <w:t>correspondiente al Recurso de Revisión</w:t>
            </w:r>
            <w:r w:rsidRPr="001F0434">
              <w:rPr>
                <w:rFonts w:ascii="Palatino Linotype" w:eastAsia="Palatino Linotype" w:hAnsi="Palatino Linotype" w:cs="Palatino Linotype"/>
                <w:b/>
                <w:sz w:val="20"/>
                <w:szCs w:val="20"/>
              </w:rPr>
              <w:t xml:space="preserve">  00687/INFOEM/IP/RR/2023</w:t>
            </w:r>
          </w:p>
        </w:tc>
        <w:tc>
          <w:tcPr>
            <w:tcW w:w="5098" w:type="dxa"/>
          </w:tcPr>
          <w:p w:rsidR="00D64043" w:rsidRPr="001F0434" w:rsidRDefault="00BB68AC">
            <w:pPr>
              <w:spacing w:before="240" w:after="240"/>
              <w:jc w:val="both"/>
              <w:rPr>
                <w:rFonts w:ascii="Palatino Linotype" w:eastAsia="Palatino Linotype" w:hAnsi="Palatino Linotype" w:cs="Palatino Linotype"/>
                <w:i/>
              </w:rPr>
            </w:pPr>
            <w:r w:rsidRPr="001F0434">
              <w:rPr>
                <w:rFonts w:ascii="Palatino Linotype" w:eastAsia="Palatino Linotype" w:hAnsi="Palatino Linotype" w:cs="Palatino Linotype"/>
                <w:i/>
              </w:rPr>
              <w:t xml:space="preserve">“Conforme el artículo 12 de la Ley de transparencia y acceso a la información pública del estado de México y municipios, </w:t>
            </w:r>
            <w:r w:rsidRPr="001F0434">
              <w:rPr>
                <w:rFonts w:ascii="Palatino Linotype" w:eastAsia="Palatino Linotype" w:hAnsi="Palatino Linotype" w:cs="Palatino Linotype"/>
                <w:b/>
                <w:i/>
                <w:u w:val="single"/>
              </w:rPr>
              <w:t xml:space="preserve">solicito los oficios y acuerdos recibidos por el </w:t>
            </w:r>
            <w:proofErr w:type="spellStart"/>
            <w:r w:rsidRPr="001F0434">
              <w:rPr>
                <w:rFonts w:ascii="Palatino Linotype" w:eastAsia="Palatino Linotype" w:hAnsi="Palatino Linotype" w:cs="Palatino Linotype"/>
                <w:b/>
                <w:i/>
                <w:u w:val="single"/>
              </w:rPr>
              <w:t>infoem</w:t>
            </w:r>
            <w:proofErr w:type="spellEnd"/>
            <w:r w:rsidRPr="001F0434">
              <w:rPr>
                <w:rFonts w:ascii="Palatino Linotype" w:eastAsia="Palatino Linotype" w:hAnsi="Palatino Linotype" w:cs="Palatino Linotype"/>
                <w:b/>
                <w:i/>
                <w:u w:val="single"/>
              </w:rPr>
              <w:t xml:space="preserve"> respecto de la verificación virtual oficiosa del año 2022 en dónde </w:t>
            </w:r>
            <w:proofErr w:type="spellStart"/>
            <w:r w:rsidRPr="001F0434">
              <w:rPr>
                <w:rFonts w:ascii="Palatino Linotype" w:eastAsia="Palatino Linotype" w:hAnsi="Palatino Linotype" w:cs="Palatino Linotype"/>
                <w:b/>
                <w:i/>
                <w:u w:val="single"/>
              </w:rPr>
              <w:t>obtieron</w:t>
            </w:r>
            <w:proofErr w:type="spellEnd"/>
            <w:r w:rsidRPr="001F0434">
              <w:rPr>
                <w:rFonts w:ascii="Palatino Linotype" w:eastAsia="Palatino Linotype" w:hAnsi="Palatino Linotype" w:cs="Palatino Linotype"/>
                <w:b/>
                <w:i/>
                <w:u w:val="single"/>
              </w:rPr>
              <w:t xml:space="preserve"> la calificación de 87.67</w:t>
            </w:r>
            <w:r w:rsidRPr="001F0434">
              <w:rPr>
                <w:rFonts w:ascii="Palatino Linotype" w:eastAsia="Palatino Linotype" w:hAnsi="Palatino Linotype" w:cs="Palatino Linotype"/>
                <w:b/>
                <w:i/>
              </w:rPr>
              <w:t xml:space="preserve">” </w:t>
            </w:r>
            <w:r w:rsidRPr="001F0434">
              <w:rPr>
                <w:rFonts w:ascii="Palatino Linotype" w:eastAsia="Palatino Linotype" w:hAnsi="Palatino Linotype" w:cs="Palatino Linotype"/>
                <w:i/>
              </w:rPr>
              <w:t>(Sic) (Énfasis añadido)</w:t>
            </w:r>
          </w:p>
        </w:tc>
      </w:tr>
    </w:tbl>
    <w:p w:rsidR="00D64043" w:rsidRPr="001F0434" w:rsidRDefault="00BB68AC">
      <w:pPr>
        <w:spacing w:before="240" w:after="240" w:line="360" w:lineRule="auto"/>
        <w:jc w:val="both"/>
        <w:rPr>
          <w:rFonts w:ascii="Palatino Linotype" w:eastAsia="Palatino Linotype" w:hAnsi="Palatino Linotype" w:cs="Palatino Linotype"/>
          <w:color w:val="FF0000"/>
        </w:rPr>
      </w:pPr>
      <w:r w:rsidRPr="001F0434">
        <w:rPr>
          <w:rFonts w:ascii="Palatino Linotype" w:eastAsia="Palatino Linotype" w:hAnsi="Palatino Linotype" w:cs="Palatino Linotype"/>
          <w:b/>
        </w:rPr>
        <w:t xml:space="preserve">Modalidad elegida para la entrega de la información: </w:t>
      </w:r>
      <w:r w:rsidRPr="001F0434">
        <w:rPr>
          <w:rFonts w:ascii="Palatino Linotype" w:eastAsia="Palatino Linotype" w:hAnsi="Palatino Linotype" w:cs="Palatino Linotype"/>
        </w:rPr>
        <w:t xml:space="preserve">a través del </w:t>
      </w:r>
      <w:r w:rsidRPr="001F0434">
        <w:rPr>
          <w:rFonts w:ascii="Palatino Linotype" w:eastAsia="Palatino Linotype" w:hAnsi="Palatino Linotype" w:cs="Palatino Linotype"/>
          <w:b/>
        </w:rPr>
        <w:t>SAIMEX</w:t>
      </w:r>
      <w:r w:rsidRPr="001F0434">
        <w:rPr>
          <w:rFonts w:ascii="Palatino Linotype" w:eastAsia="Palatino Linotype" w:hAnsi="Palatino Linotype" w:cs="Palatino Linotype"/>
        </w:rPr>
        <w:t xml:space="preserve"> </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2. Prórrogas. </w:t>
      </w:r>
      <w:r w:rsidRPr="001F0434">
        <w:rPr>
          <w:rFonts w:ascii="Palatino Linotype" w:eastAsia="Palatino Linotype" w:hAnsi="Palatino Linotype" w:cs="Palatino Linotype"/>
        </w:rPr>
        <w:t>El</w:t>
      </w:r>
      <w:r w:rsidRPr="001F0434">
        <w:rPr>
          <w:rFonts w:ascii="Palatino Linotype" w:eastAsia="Palatino Linotype" w:hAnsi="Palatino Linotype" w:cs="Palatino Linotype"/>
          <w:b/>
        </w:rPr>
        <w:t xml:space="preserve"> treinta de enero de dos mil veintitrés, </w:t>
      </w:r>
      <w:r w:rsidRPr="001F0434">
        <w:rPr>
          <w:rFonts w:ascii="Palatino Linotype" w:eastAsia="Palatino Linotype" w:hAnsi="Palatino Linotype" w:cs="Palatino Linotype"/>
        </w:rPr>
        <w:t xml:space="preserve">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notificó a la parte solicitante las prórrogas para atender sus solicitudes de información, medularmente en los siguientes términos: </w:t>
      </w:r>
    </w:p>
    <w:p w:rsidR="00D64043" w:rsidRPr="001F0434" w:rsidRDefault="00BB68AC">
      <w:pPr>
        <w:spacing w:before="240" w:after="240"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64043" w:rsidRPr="001F0434" w:rsidRDefault="00BB68AC">
      <w:pPr>
        <w:spacing w:before="240" w:after="240"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lastRenderedPageBreak/>
        <w:t>Con 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Coordinación de Transparencia, ha sido prorrogado por 7 días en virtud de la siguiente razón; “Toda vez que se está realizando la búsqueda de la información, para en su caso, y de ser procedente sea presentado acuerdo de clasificación de la información o en su caso realizar la declaratoria de inexistencia.” SIC Por lo anteriormente expuesto y con fundamento en el artículo 163 párrafo segundo de la Ley de Transparencia y Acceso a la Información Pública del Estado de México y Municipios, pido se sirva tenerse por notificado en tiempo y forma la ampliación el término de su solicitud de información número 00016/CUAUTIZC/IP/2023</w:t>
      </w:r>
    </w:p>
    <w:p w:rsidR="00D64043" w:rsidRPr="001F0434" w:rsidRDefault="00BB68AC">
      <w:pPr>
        <w:spacing w:before="240" w:after="240"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MTRA. MARÍA ISABEL CISNEROS MÁRQUEZ</w:t>
      </w:r>
    </w:p>
    <w:p w:rsidR="00D64043" w:rsidRPr="001F0434" w:rsidRDefault="00BB68AC">
      <w:pPr>
        <w:spacing w:before="240" w:after="240"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Responsable de la Unidad de Transparencia”</w:t>
      </w:r>
    </w:p>
    <w:p w:rsidR="00D64043" w:rsidRPr="001F0434" w:rsidRDefault="00BB68AC">
      <w:pPr>
        <w:spacing w:before="240" w:after="240" w:line="276" w:lineRule="auto"/>
        <w:ind w:left="567" w:right="900"/>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b/>
          <w:sz w:val="22"/>
          <w:szCs w:val="22"/>
        </w:rPr>
        <w:t>Archivos electrónicos:</w:t>
      </w:r>
    </w:p>
    <w:p w:rsidR="00D64043" w:rsidRPr="001F0434" w:rsidRDefault="00BB68AC">
      <w:pPr>
        <w:spacing w:before="240" w:after="240" w:line="360" w:lineRule="auto"/>
        <w:ind w:left="567" w:right="900"/>
        <w:jc w:val="both"/>
        <w:rPr>
          <w:rFonts w:ascii="Palatino Linotype" w:eastAsia="Palatino Linotype" w:hAnsi="Palatino Linotype" w:cs="Palatino Linotype"/>
        </w:rPr>
      </w:pPr>
      <w:r w:rsidRPr="001F0434">
        <w:rPr>
          <w:rFonts w:ascii="Palatino Linotype" w:eastAsia="Palatino Linotype" w:hAnsi="Palatino Linotype" w:cs="Palatino Linotype"/>
          <w:b/>
          <w:i/>
          <w:sz w:val="22"/>
          <w:szCs w:val="22"/>
        </w:rPr>
        <w:t xml:space="preserve">“AMPLIACIÓN - 14_rotated.pdf”, “AMPLIACIÓN - 15_rotated.pdf” y “AMPLIACIÓN - 16_rotated.pdf”: </w:t>
      </w:r>
      <w:r w:rsidRPr="001F0434">
        <w:rPr>
          <w:rFonts w:ascii="Palatino Linotype" w:eastAsia="Palatino Linotype" w:hAnsi="Palatino Linotype" w:cs="Palatino Linotype"/>
        </w:rPr>
        <w:t xml:space="preserve">Documento signado por el Comité de Transparencia mediante el cual hacen valer la ampliación de plazo hasta por siete días hábiles, toda vez que se está realizando la búsqueda de la información. </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3.</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 xml:space="preserve">Respuestas. </w:t>
      </w:r>
      <w:r w:rsidRPr="001F0434">
        <w:rPr>
          <w:rFonts w:ascii="Palatino Linotype" w:eastAsia="Palatino Linotype" w:hAnsi="Palatino Linotype" w:cs="Palatino Linotype"/>
        </w:rPr>
        <w:t xml:space="preserve"> El </w:t>
      </w:r>
      <w:r w:rsidRPr="001F0434">
        <w:rPr>
          <w:rFonts w:ascii="Palatino Linotype" w:eastAsia="Palatino Linotype" w:hAnsi="Palatino Linotype" w:cs="Palatino Linotype"/>
          <w:b/>
        </w:rPr>
        <w:t>ocho</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de febrero de dos mil veintitrés</w:t>
      </w:r>
      <w:r w:rsidRPr="001F0434">
        <w:rPr>
          <w:rFonts w:ascii="Palatino Linotype" w:eastAsia="Palatino Linotype" w:hAnsi="Palatino Linotype" w:cs="Palatino Linotype"/>
        </w:rPr>
        <w:t xml:space="preserv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notificó a </w:t>
      </w:r>
      <w:r w:rsidRPr="001F0434">
        <w:rPr>
          <w:rFonts w:ascii="Palatino Linotype" w:eastAsia="Palatino Linotype" w:hAnsi="Palatino Linotype" w:cs="Palatino Linotype"/>
          <w:b/>
        </w:rPr>
        <w:t>la parte</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Recurrente</w:t>
      </w:r>
      <w:r w:rsidRPr="001F0434">
        <w:rPr>
          <w:rFonts w:ascii="Palatino Linotype" w:eastAsia="Palatino Linotype" w:hAnsi="Palatino Linotype" w:cs="Palatino Linotype"/>
        </w:rPr>
        <w:t xml:space="preserve">, en la totalidad de los expedientes, las respuestas a sus solicitudes en los términos siguientes: </w:t>
      </w:r>
    </w:p>
    <w:tbl>
      <w:tblPr>
        <w:tblStyle w:val="a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D64043" w:rsidRPr="001F0434">
        <w:tc>
          <w:tcPr>
            <w:tcW w:w="4414" w:type="dxa"/>
            <w:shd w:val="clear" w:color="auto" w:fill="DDD9C4"/>
          </w:tcPr>
          <w:p w:rsidR="00D64043" w:rsidRPr="001F0434" w:rsidRDefault="00BB68AC">
            <w:pPr>
              <w:spacing w:before="240" w:after="240" w:line="276" w:lineRule="auto"/>
              <w:ind w:right="49"/>
              <w:jc w:val="center"/>
              <w:rPr>
                <w:rFonts w:ascii="Palatino Linotype" w:eastAsia="Palatino Linotype" w:hAnsi="Palatino Linotype" w:cs="Palatino Linotype"/>
                <w:b/>
              </w:rPr>
            </w:pPr>
            <w:r w:rsidRPr="001F0434">
              <w:rPr>
                <w:rFonts w:ascii="Palatino Linotype" w:eastAsia="Palatino Linotype" w:hAnsi="Palatino Linotype" w:cs="Palatino Linotype"/>
                <w:b/>
              </w:rPr>
              <w:lastRenderedPageBreak/>
              <w:t xml:space="preserve">Número de solicitud </w:t>
            </w:r>
          </w:p>
        </w:tc>
        <w:tc>
          <w:tcPr>
            <w:tcW w:w="4414" w:type="dxa"/>
            <w:shd w:val="clear" w:color="auto" w:fill="DDD9C4"/>
          </w:tcPr>
          <w:p w:rsidR="00D64043" w:rsidRPr="001F0434" w:rsidRDefault="00BB68AC">
            <w:pPr>
              <w:spacing w:before="240" w:after="240" w:line="276" w:lineRule="auto"/>
              <w:ind w:right="49"/>
              <w:jc w:val="center"/>
              <w:rPr>
                <w:rFonts w:ascii="Palatino Linotype" w:eastAsia="Palatino Linotype" w:hAnsi="Palatino Linotype" w:cs="Palatino Linotype"/>
                <w:b/>
              </w:rPr>
            </w:pPr>
            <w:r w:rsidRPr="001F0434">
              <w:rPr>
                <w:rFonts w:ascii="Palatino Linotype" w:eastAsia="Palatino Linotype" w:hAnsi="Palatino Linotype" w:cs="Palatino Linotype"/>
                <w:b/>
              </w:rPr>
              <w:t>Respuesta</w:t>
            </w:r>
          </w:p>
        </w:tc>
      </w:tr>
      <w:tr w:rsidR="00D64043" w:rsidRPr="001F0434">
        <w:tc>
          <w:tcPr>
            <w:tcW w:w="4414" w:type="dxa"/>
          </w:tcPr>
          <w:p w:rsidR="00D64043" w:rsidRPr="001F0434" w:rsidRDefault="00BB68AC">
            <w:pPr>
              <w:spacing w:before="240" w:after="24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 xml:space="preserve">00016/CUAUTIZC/IP/2023, </w:t>
            </w:r>
            <w:r w:rsidRPr="001F0434">
              <w:rPr>
                <w:rFonts w:ascii="Palatino Linotype" w:eastAsia="Palatino Linotype" w:hAnsi="Palatino Linotype" w:cs="Palatino Linotype"/>
                <w:sz w:val="20"/>
                <w:szCs w:val="20"/>
              </w:rPr>
              <w:t>correspondiente al Recurso de Revisión</w:t>
            </w:r>
            <w:r w:rsidRPr="001F0434">
              <w:rPr>
                <w:rFonts w:ascii="Palatino Linotype" w:eastAsia="Palatino Linotype" w:hAnsi="Palatino Linotype" w:cs="Palatino Linotype"/>
                <w:b/>
                <w:sz w:val="20"/>
                <w:szCs w:val="20"/>
              </w:rPr>
              <w:t xml:space="preserve"> 00684/INFOEM/IP/RR/2023</w:t>
            </w:r>
          </w:p>
        </w:tc>
        <w:tc>
          <w:tcPr>
            <w:tcW w:w="4414" w:type="dxa"/>
          </w:tcPr>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COORDINACIÓN DE TRANSPARENCIA: 1.- “En atención a la solicitud recibida bajo el folio 00016/CUAUTIZC/IP/2023 y cumpliendo con el requerimiento en el Sistema de Acceso a la Información Pública, donde solicita la siguiente información: “Solicito los oficios que recibió la unidad de transparencia para dar seguimiento y atención a las observaciones realizadas por el </w:t>
            </w:r>
            <w:proofErr w:type="spellStart"/>
            <w:r w:rsidRPr="001F0434">
              <w:rPr>
                <w:rFonts w:ascii="Palatino Linotype" w:eastAsia="Palatino Linotype" w:hAnsi="Palatino Linotype" w:cs="Palatino Linotype"/>
                <w:i/>
                <w:sz w:val="18"/>
                <w:szCs w:val="18"/>
              </w:rPr>
              <w:t>infoem</w:t>
            </w:r>
            <w:proofErr w:type="spellEnd"/>
            <w:r w:rsidRPr="001F0434">
              <w:rPr>
                <w:rFonts w:ascii="Palatino Linotype" w:eastAsia="Palatino Linotype" w:hAnsi="Palatino Linotype" w:cs="Palatino Linotype"/>
                <w:i/>
                <w:sz w:val="18"/>
                <w:szCs w:val="18"/>
              </w:rPr>
              <w:t xml:space="preserve"> respecto a la verificación virtual oficiosa en dónde </w:t>
            </w:r>
            <w:proofErr w:type="spellStart"/>
            <w:r w:rsidRPr="001F0434">
              <w:rPr>
                <w:rFonts w:ascii="Palatino Linotype" w:eastAsia="Palatino Linotype" w:hAnsi="Palatino Linotype" w:cs="Palatino Linotype"/>
                <w:i/>
                <w:sz w:val="18"/>
                <w:szCs w:val="18"/>
              </w:rPr>
              <w:t>obtieron</w:t>
            </w:r>
            <w:proofErr w:type="spellEnd"/>
            <w:r w:rsidRPr="001F0434">
              <w:rPr>
                <w:rFonts w:ascii="Palatino Linotype" w:eastAsia="Palatino Linotype" w:hAnsi="Palatino Linotype" w:cs="Palatino Linotype"/>
                <w:i/>
                <w:sz w:val="18"/>
                <w:szCs w:val="18"/>
              </w:rPr>
              <w:t xml:space="preserve"> la calificación de 87.67” (SIC) Con fundamento en el artículo 140 fracción VI de la Ley de Transparencia y Acceso a la Información Pública del Estado de México y Municipios, </w:t>
            </w:r>
            <w:r w:rsidRPr="001F0434">
              <w:rPr>
                <w:rFonts w:ascii="Palatino Linotype" w:eastAsia="Palatino Linotype" w:hAnsi="Palatino Linotype" w:cs="Palatino Linotype"/>
                <w:b/>
                <w:i/>
                <w:sz w:val="18"/>
                <w:szCs w:val="18"/>
                <w:u w:val="single"/>
              </w:rPr>
              <w:t xml:space="preserve">le informo que, toda la información relacionada con la verificación virtual oficiosa 2022 realizada a la plataforma IPOMEX por parte de la Dirección General Jurídica y de Verificación del Instituto de Transparencia, Acceso a la Información Pública y Protección de Datos Personales del </w:t>
            </w:r>
            <w:r w:rsidRPr="001F0434">
              <w:rPr>
                <w:rFonts w:ascii="Palatino Linotype" w:eastAsia="Palatino Linotype" w:hAnsi="Palatino Linotype" w:cs="Palatino Linotype"/>
                <w:b/>
                <w:i/>
                <w:sz w:val="18"/>
                <w:szCs w:val="18"/>
                <w:u w:val="single"/>
              </w:rPr>
              <w:lastRenderedPageBreak/>
              <w:t>Estado de México y Municipios (INFOEM), se encuentra clasificada como reservada, ya que la entrega-recepción está observada en Contraloría Municipal por falta de información a la página de IPOMEX entre otras circunstancias; asimismo, se amplió con denuncia la misma, por la falta de información del año 2017 y anteriores, y 2018 y posteriores debido a la falta de cumplimiento a la captura. Mediante oficio número PM/CUT/0428/2022 se tuvo a bien observar la entrega-recepción, efectuada el día 3 de enero, además del oficio número PM/CUT/0540/2022 donde se amplían las observaciones a la entrega-recepción de mérito, aunado al oficio número PM/CUT/0011/2023 mismo que solicita se dé inicio al PROCEDIMIENTO DE DENUNCIA POR FALTA DE INFORMACIÓN, ante quien o quienes resulten responsables de la anterior administración Pública Municipal periodo 2019-2021 por falta de información en el portal IPOMEX. Lo anterior, bajo acuerdo número CTM/CUT/SE005/005/AR/2023, aprobado en la Quinta Sesión Extraordinaria del Comité de Transparencia de este Sujeto Obligado</w:t>
            </w:r>
            <w:r w:rsidRPr="001F0434">
              <w:rPr>
                <w:rFonts w:ascii="Palatino Linotype" w:eastAsia="Palatino Linotype" w:hAnsi="Palatino Linotype" w:cs="Palatino Linotype"/>
                <w:i/>
                <w:sz w:val="18"/>
                <w:szCs w:val="18"/>
              </w:rPr>
              <w:t>.”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ATENTAMENTE</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MTRA. MARÍA ISABEL CISNEROS MÁRQUEZ</w:t>
            </w:r>
          </w:p>
          <w:p w:rsidR="00D64043" w:rsidRPr="001F0434" w:rsidRDefault="00BB68AC">
            <w:pPr>
              <w:spacing w:before="240" w:after="240" w:line="276" w:lineRule="auto"/>
              <w:ind w:right="49"/>
              <w:jc w:val="both"/>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Archivos adjuntos:</w:t>
            </w:r>
          </w:p>
          <w:p w:rsidR="00D64043" w:rsidRPr="001F0434" w:rsidRDefault="00BB68AC">
            <w:pPr>
              <w:spacing w:before="240" w:after="240" w:line="276" w:lineRule="auto"/>
              <w:ind w:right="49"/>
              <w:jc w:val="both"/>
              <w:rPr>
                <w:rFonts w:ascii="Palatino Linotype" w:eastAsia="Palatino Linotype" w:hAnsi="Palatino Linotype" w:cs="Palatino Linotype"/>
                <w:sz w:val="18"/>
                <w:szCs w:val="18"/>
              </w:rPr>
            </w:pPr>
            <w:r w:rsidRPr="001F0434">
              <w:rPr>
                <w:rFonts w:ascii="Palatino Linotype" w:eastAsia="Palatino Linotype" w:hAnsi="Palatino Linotype" w:cs="Palatino Linotype"/>
                <w:b/>
                <w:i/>
                <w:sz w:val="20"/>
                <w:szCs w:val="20"/>
              </w:rPr>
              <w:lastRenderedPageBreak/>
              <w:t xml:space="preserve">“RESPUESTA 16.pdf”: </w:t>
            </w:r>
            <w:r w:rsidRPr="001F0434">
              <w:rPr>
                <w:rFonts w:ascii="Palatino Linotype" w:eastAsia="Palatino Linotype" w:hAnsi="Palatino Linotype" w:cs="Palatino Linotype"/>
                <w:sz w:val="18"/>
                <w:szCs w:val="18"/>
              </w:rPr>
              <w:t>Documento de nueve fojas mediante el cual refiere que con fundamento en el artículo 140 fracción VI de la Ley de Transparencia y Acceso a la Información Pública del Estado de México y Municipios, toda la información relacionada con la verificación virtual oficiosa 2022, realizada a la plataforma IPOMEX por parte de la Dirección General Jurídica y de Verificación del Instituto de Transparencia, Acceso a la Información Pública y Protección de Datos Personales del Estado de México y Municipios (INFOEM), se encuentra clasificada como reservada, ya que la entrega-recepción está observada en Contraloría Municipal por falta de la información a la página IPOMEX entre otras circunstancias; asimismo, se amplió con denuncia la misma, por la falta de información del año 2017 y anteriores y 2018 y posteriores debido a la falta de cumplimiento de la captura.</w:t>
            </w:r>
          </w:p>
          <w:p w:rsidR="00D64043" w:rsidRPr="001F0434" w:rsidRDefault="00BB68AC">
            <w:pPr>
              <w:spacing w:before="240" w:after="240" w:line="276" w:lineRule="auto"/>
              <w:ind w:right="49"/>
              <w:jc w:val="both"/>
              <w:rPr>
                <w:rFonts w:ascii="Palatino Linotype" w:eastAsia="Palatino Linotype" w:hAnsi="Palatino Linotype" w:cs="Palatino Linotype"/>
              </w:rPr>
            </w:pPr>
            <w:r w:rsidRPr="001F0434">
              <w:rPr>
                <w:rFonts w:ascii="Palatino Linotype" w:eastAsia="Palatino Linotype" w:hAnsi="Palatino Linotype" w:cs="Palatino Linotype"/>
                <w:sz w:val="18"/>
                <w:szCs w:val="18"/>
              </w:rPr>
              <w:t>Dicha reserva encuentra sustento bajo el acuerdo número CTM/CUT/SE005/005/AR/2023, aprobado en la Quinta Sesión Extraordinaria del Comité de Transparencia, es de precisar que adjuntan dicha acta.</w:t>
            </w:r>
          </w:p>
        </w:tc>
      </w:tr>
      <w:tr w:rsidR="00D64043" w:rsidRPr="001F0434">
        <w:tc>
          <w:tcPr>
            <w:tcW w:w="4414" w:type="dxa"/>
          </w:tcPr>
          <w:p w:rsidR="00D64043" w:rsidRPr="001F0434" w:rsidRDefault="00BB68AC">
            <w:pPr>
              <w:spacing w:before="240" w:after="240"/>
              <w:jc w:val="center"/>
              <w:rPr>
                <w:rFonts w:ascii="Palatino Linotype" w:eastAsia="Palatino Linotype" w:hAnsi="Palatino Linotype" w:cs="Palatino Linotype"/>
                <w:b/>
              </w:rPr>
            </w:pPr>
            <w:r w:rsidRPr="001F0434">
              <w:rPr>
                <w:rFonts w:ascii="Palatino Linotype" w:eastAsia="Palatino Linotype" w:hAnsi="Palatino Linotype" w:cs="Palatino Linotype"/>
                <w:b/>
                <w:sz w:val="20"/>
                <w:szCs w:val="20"/>
              </w:rPr>
              <w:lastRenderedPageBreak/>
              <w:t xml:space="preserve">00015/CUAUTIZC/IP/2023, </w:t>
            </w:r>
            <w:r w:rsidRPr="001F0434">
              <w:rPr>
                <w:rFonts w:ascii="Palatino Linotype" w:eastAsia="Palatino Linotype" w:hAnsi="Palatino Linotype" w:cs="Palatino Linotype"/>
                <w:sz w:val="20"/>
                <w:szCs w:val="20"/>
              </w:rPr>
              <w:t>correspondiente al Recurso de Revisión</w:t>
            </w:r>
            <w:r w:rsidRPr="001F0434">
              <w:rPr>
                <w:rFonts w:ascii="Palatino Linotype" w:eastAsia="Palatino Linotype" w:hAnsi="Palatino Linotype" w:cs="Palatino Linotype"/>
                <w:b/>
                <w:sz w:val="20"/>
                <w:szCs w:val="20"/>
              </w:rPr>
              <w:t xml:space="preserve">  00686/INFOEM/IP/RR/2023</w:t>
            </w:r>
          </w:p>
        </w:tc>
        <w:tc>
          <w:tcPr>
            <w:tcW w:w="4414" w:type="dxa"/>
          </w:tcPr>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w:t>
            </w:r>
            <w:r w:rsidRPr="001F0434">
              <w:rPr>
                <w:rFonts w:ascii="Palatino Linotype" w:eastAsia="Palatino Linotype" w:hAnsi="Palatino Linotype" w:cs="Palatino Linotype"/>
                <w:i/>
                <w:sz w:val="18"/>
                <w:szCs w:val="18"/>
              </w:rPr>
              <w:lastRenderedPageBreak/>
              <w:t xml:space="preserve">Obligados por la Ley de Transparencia y Acceso a la Información Pública del Estado de México y Municipios; ANEXO EL OFICIO DE RESPUESTA QUE A SU SOLICITUD LE ENTREGA LA COORDINACIÓN DE TRANSPARENCIA: 1.- “En atención a la solicitud recibida bajo el folio 00015/CUAUTIZC/IP/2023 y cumpliendo con el requerimiento en el Sistema de Acceso a la Información Pública, donde solicita la siguiente información: “Solicito los oficios generados para dar seguimiento y atención a las observaciones realizadas por el </w:t>
            </w:r>
            <w:proofErr w:type="spellStart"/>
            <w:r w:rsidRPr="001F0434">
              <w:rPr>
                <w:rFonts w:ascii="Palatino Linotype" w:eastAsia="Palatino Linotype" w:hAnsi="Palatino Linotype" w:cs="Palatino Linotype"/>
                <w:i/>
                <w:sz w:val="18"/>
                <w:szCs w:val="18"/>
              </w:rPr>
              <w:t>infoem</w:t>
            </w:r>
            <w:proofErr w:type="spellEnd"/>
            <w:r w:rsidRPr="001F0434">
              <w:rPr>
                <w:rFonts w:ascii="Palatino Linotype" w:eastAsia="Palatino Linotype" w:hAnsi="Palatino Linotype" w:cs="Palatino Linotype"/>
                <w:i/>
                <w:sz w:val="18"/>
                <w:szCs w:val="18"/>
              </w:rPr>
              <w:t xml:space="preserve"> respecto a la verificación virtual oficiosa en dónde </w:t>
            </w:r>
            <w:proofErr w:type="spellStart"/>
            <w:r w:rsidRPr="001F0434">
              <w:rPr>
                <w:rFonts w:ascii="Palatino Linotype" w:eastAsia="Palatino Linotype" w:hAnsi="Palatino Linotype" w:cs="Palatino Linotype"/>
                <w:i/>
                <w:sz w:val="18"/>
                <w:szCs w:val="18"/>
              </w:rPr>
              <w:t>obtieron</w:t>
            </w:r>
            <w:proofErr w:type="spellEnd"/>
            <w:r w:rsidRPr="001F0434">
              <w:rPr>
                <w:rFonts w:ascii="Palatino Linotype" w:eastAsia="Palatino Linotype" w:hAnsi="Palatino Linotype" w:cs="Palatino Linotype"/>
                <w:i/>
                <w:sz w:val="18"/>
                <w:szCs w:val="18"/>
              </w:rPr>
              <w:t xml:space="preserve"> la calificación de 87.67” (SIC) Con fundamento en el artículo 140 fracción VI de la Ley de Transparencia y Acceso a la Información Pública del Estado de México y Municipios, le informo que</w:t>
            </w:r>
            <w:r w:rsidRPr="001F0434">
              <w:rPr>
                <w:rFonts w:ascii="Palatino Linotype" w:eastAsia="Palatino Linotype" w:hAnsi="Palatino Linotype" w:cs="Palatino Linotype"/>
                <w:b/>
                <w:i/>
                <w:sz w:val="18"/>
                <w:szCs w:val="18"/>
                <w:u w:val="single"/>
              </w:rPr>
              <w:t xml:space="preserve">, toda la información relacionada con la verificación virtual oficiosa 2022 realizada a la plataforma IPOMEX por parte de la Dirección General Jurídica y de Verificación del Instituto de Transparencia, Acceso a la Información Pública y Protección de Datos Personales del Estado de México y Municipios (INFOEM), se encuentra clasificada como reservada, ya que la entrega-recepción está observada en Contraloría Municipal por falta de información a la página de IPOMEX entre otras circunstancias; asimismo, se amplió con denuncia la misma, por la falta de información del año 2017 y anteriores, y 2018 y posteriores debido a la falta de cumplimiento a la captura. Mediante oficio número PM/CUT/0428/2022 se tuvo a bien observar la entrega-recepción, efectuada el día 3 de enero, además del oficio número PM/CUT/0540/2022 donde se amplían las observaciones a la entrega-recepción de mérito, aunado al oficio número PM/CUT/0011/2023 mismo que solicita se dé inicio al PROCEDIMIENTO DE DENUNCIA POR FALTA DE INFORMACIÓN, ante quien o quienes resulten responsables de la anterior administración Pública Municipal periodo 2019-2021 por falta de </w:t>
            </w:r>
            <w:r w:rsidRPr="001F0434">
              <w:rPr>
                <w:rFonts w:ascii="Palatino Linotype" w:eastAsia="Palatino Linotype" w:hAnsi="Palatino Linotype" w:cs="Palatino Linotype"/>
                <w:b/>
                <w:i/>
                <w:sz w:val="18"/>
                <w:szCs w:val="18"/>
                <w:u w:val="single"/>
              </w:rPr>
              <w:lastRenderedPageBreak/>
              <w:t>información en el portal IPOMEX. Lo anterior, bajo acuerdo número CTM/CUT/SE005/005/AR/2023, aprobado en la Quinta Sesión Extraordinaria del Comité de Transparencia de este Sujeto Obligado</w:t>
            </w:r>
            <w:r w:rsidRPr="001F0434">
              <w:rPr>
                <w:rFonts w:ascii="Palatino Linotype" w:eastAsia="Palatino Linotype" w:hAnsi="Palatino Linotype" w:cs="Palatino Linotype"/>
                <w:i/>
                <w:sz w:val="18"/>
                <w:szCs w:val="18"/>
              </w:rPr>
              <w:t>.”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ATENTAMENTE</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MTRA. MARÍA ISABEL CISNEROS MÁRQUEZ</w:t>
            </w:r>
          </w:p>
          <w:p w:rsidR="00D64043" w:rsidRPr="001F0434" w:rsidRDefault="00BB68AC">
            <w:pPr>
              <w:spacing w:before="240" w:after="240" w:line="276" w:lineRule="auto"/>
              <w:ind w:right="49"/>
              <w:jc w:val="both"/>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Archivos adjuntos:</w:t>
            </w:r>
          </w:p>
          <w:p w:rsidR="00D64043" w:rsidRPr="001F0434" w:rsidRDefault="00BB68AC">
            <w:pPr>
              <w:spacing w:before="240" w:after="240" w:line="276" w:lineRule="auto"/>
              <w:ind w:right="49"/>
              <w:jc w:val="both"/>
              <w:rPr>
                <w:rFonts w:ascii="Palatino Linotype" w:eastAsia="Palatino Linotype" w:hAnsi="Palatino Linotype" w:cs="Palatino Linotype"/>
                <w:sz w:val="18"/>
                <w:szCs w:val="18"/>
              </w:rPr>
            </w:pPr>
            <w:r w:rsidRPr="001F0434">
              <w:rPr>
                <w:rFonts w:ascii="Palatino Linotype" w:eastAsia="Palatino Linotype" w:hAnsi="Palatino Linotype" w:cs="Palatino Linotype"/>
                <w:b/>
                <w:i/>
                <w:sz w:val="20"/>
                <w:szCs w:val="20"/>
              </w:rPr>
              <w:t xml:space="preserve">“RESPUESTA 15.pdf”: </w:t>
            </w:r>
            <w:r w:rsidRPr="001F0434">
              <w:rPr>
                <w:rFonts w:ascii="Palatino Linotype" w:eastAsia="Palatino Linotype" w:hAnsi="Palatino Linotype" w:cs="Palatino Linotype"/>
                <w:sz w:val="18"/>
                <w:szCs w:val="18"/>
              </w:rPr>
              <w:t>Documento de nueve fojas mediante el cual refiere que con fundamento en el artículo 140 fracción VI de la Ley de Transparencia y Acceso a la Información Pública del Estado de México y Municipios, toda la información relacionada con la verificación virtual oficiosa 2022, realizada a la plataforma IPOMEX por parte de la Dirección General Jurídica y de Verificación del Instituto de Transparencia, Acceso a la Información Pública y Protección de Datos Personales del Estado de México y Municipios (INFOEM), se encuentra clasificada como reservada, ya que la entrega-recepción está observada en Contraloría Municipal por falta de la información a la página IPOMEX entre otras circunstancias; asimismo, se amplió con denuncia la misma, por la falta de información del año 2017 y anteriores y 2018 y posteriores debido a la falta de cumplimiento de la captura.</w:t>
            </w:r>
          </w:p>
          <w:p w:rsidR="00D64043" w:rsidRPr="001F0434" w:rsidRDefault="00BB68AC">
            <w:pPr>
              <w:spacing w:before="240" w:after="240" w:line="276" w:lineRule="auto"/>
              <w:ind w:right="49"/>
              <w:jc w:val="both"/>
              <w:rPr>
                <w:rFonts w:ascii="Palatino Linotype" w:eastAsia="Palatino Linotype" w:hAnsi="Palatino Linotype" w:cs="Palatino Linotype"/>
                <w:sz w:val="20"/>
                <w:szCs w:val="20"/>
              </w:rPr>
            </w:pPr>
            <w:r w:rsidRPr="001F0434">
              <w:rPr>
                <w:rFonts w:ascii="Palatino Linotype" w:eastAsia="Palatino Linotype" w:hAnsi="Palatino Linotype" w:cs="Palatino Linotype"/>
                <w:sz w:val="18"/>
                <w:szCs w:val="18"/>
              </w:rPr>
              <w:t xml:space="preserve">Dicha reserva encuentra sustento bajo el acuerdo número CTM/CUT/SE005/005/AR/2023, aprobado </w:t>
            </w:r>
            <w:r w:rsidRPr="001F0434">
              <w:rPr>
                <w:rFonts w:ascii="Palatino Linotype" w:eastAsia="Palatino Linotype" w:hAnsi="Palatino Linotype" w:cs="Palatino Linotype"/>
                <w:sz w:val="18"/>
                <w:szCs w:val="18"/>
              </w:rPr>
              <w:lastRenderedPageBreak/>
              <w:t>en la Quinta Sesión Extraordinaria del Comité de Transparencia, es de precisar que adjuntan dicha acta.</w:t>
            </w:r>
          </w:p>
        </w:tc>
      </w:tr>
      <w:tr w:rsidR="00D64043" w:rsidRPr="001F0434">
        <w:tc>
          <w:tcPr>
            <w:tcW w:w="4414" w:type="dxa"/>
          </w:tcPr>
          <w:p w:rsidR="00D64043" w:rsidRPr="001F0434" w:rsidRDefault="00BB68AC">
            <w:pPr>
              <w:spacing w:before="240" w:after="24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lastRenderedPageBreak/>
              <w:t xml:space="preserve">00014/CUAUTIZC/IP/2023, </w:t>
            </w:r>
            <w:r w:rsidRPr="001F0434">
              <w:rPr>
                <w:rFonts w:ascii="Palatino Linotype" w:eastAsia="Palatino Linotype" w:hAnsi="Palatino Linotype" w:cs="Palatino Linotype"/>
                <w:sz w:val="20"/>
                <w:szCs w:val="20"/>
              </w:rPr>
              <w:t>correspondiente al Recurso de Revisión</w:t>
            </w:r>
            <w:r w:rsidRPr="001F0434">
              <w:rPr>
                <w:rFonts w:ascii="Palatino Linotype" w:eastAsia="Palatino Linotype" w:hAnsi="Palatino Linotype" w:cs="Palatino Linotype"/>
                <w:b/>
                <w:sz w:val="20"/>
                <w:szCs w:val="20"/>
              </w:rPr>
              <w:t xml:space="preserve">  00687/INFOEM/IP/RR/2023</w:t>
            </w:r>
          </w:p>
        </w:tc>
        <w:tc>
          <w:tcPr>
            <w:tcW w:w="4414" w:type="dxa"/>
          </w:tcPr>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COORDINACIÓN DE TRANSPARENCIA: 1.- “En atención a la solicitud recibida bajo el folio 00014/CUAUTIZC/IP/2023 y cumpliendo con el requerimiento en el Sistema de Acceso a la Información Pública, donde solicita la siguiente información: “Conforme el artículo 12 de la Ley de transparencia y acceso a la información pública del estado de México y municipios, solicito los oficios y acuerdos recibidos por el </w:t>
            </w:r>
            <w:proofErr w:type="spellStart"/>
            <w:r w:rsidRPr="001F0434">
              <w:rPr>
                <w:rFonts w:ascii="Palatino Linotype" w:eastAsia="Palatino Linotype" w:hAnsi="Palatino Linotype" w:cs="Palatino Linotype"/>
                <w:i/>
                <w:sz w:val="18"/>
                <w:szCs w:val="18"/>
              </w:rPr>
              <w:t>infoem</w:t>
            </w:r>
            <w:proofErr w:type="spellEnd"/>
            <w:r w:rsidRPr="001F0434">
              <w:rPr>
                <w:rFonts w:ascii="Palatino Linotype" w:eastAsia="Palatino Linotype" w:hAnsi="Palatino Linotype" w:cs="Palatino Linotype"/>
                <w:i/>
                <w:sz w:val="18"/>
                <w:szCs w:val="18"/>
              </w:rPr>
              <w:t xml:space="preserve"> respecto de la verificación virtual oficiosa del año 2022 en dónde </w:t>
            </w:r>
            <w:proofErr w:type="spellStart"/>
            <w:r w:rsidRPr="001F0434">
              <w:rPr>
                <w:rFonts w:ascii="Palatino Linotype" w:eastAsia="Palatino Linotype" w:hAnsi="Palatino Linotype" w:cs="Palatino Linotype"/>
                <w:i/>
                <w:sz w:val="18"/>
                <w:szCs w:val="18"/>
              </w:rPr>
              <w:t>obtieron</w:t>
            </w:r>
            <w:proofErr w:type="spellEnd"/>
            <w:r w:rsidRPr="001F0434">
              <w:rPr>
                <w:rFonts w:ascii="Palatino Linotype" w:eastAsia="Palatino Linotype" w:hAnsi="Palatino Linotype" w:cs="Palatino Linotype"/>
                <w:i/>
                <w:sz w:val="18"/>
                <w:szCs w:val="18"/>
              </w:rPr>
              <w:t xml:space="preserve"> la calificación de 87.67” (SIC) Con fundamento en el artículo 140 fracción VI de la Ley de Transparencia y Acceso a la Información Pública del Estado de México y Municipios, le informo que, </w:t>
            </w:r>
            <w:r w:rsidRPr="001F0434">
              <w:rPr>
                <w:rFonts w:ascii="Palatino Linotype" w:eastAsia="Palatino Linotype" w:hAnsi="Palatino Linotype" w:cs="Palatino Linotype"/>
                <w:b/>
                <w:i/>
                <w:sz w:val="18"/>
                <w:szCs w:val="18"/>
                <w:u w:val="single"/>
              </w:rPr>
              <w:t xml:space="preserve">toda la información relacionada con la verificación virtual oficiosa 2022 realizada a la plataforma IPOMEX por parte de la Dirección General Jurídica y de Verificación del Instituto de Transparencia, Acceso a la Información Pública y </w:t>
            </w:r>
            <w:r w:rsidRPr="001F0434">
              <w:rPr>
                <w:rFonts w:ascii="Palatino Linotype" w:eastAsia="Palatino Linotype" w:hAnsi="Palatino Linotype" w:cs="Palatino Linotype"/>
                <w:b/>
                <w:i/>
                <w:sz w:val="18"/>
                <w:szCs w:val="18"/>
                <w:u w:val="single"/>
              </w:rPr>
              <w:lastRenderedPageBreak/>
              <w:t>Protección de Datos Personales del Estado de México y Municipios (INFOEM), se encuentra clasificada como reservada, ya que la entrega-recepción está observada en Contraloría Municipal por falta de información a la página de IPOMEX entre otras circunstancias; asimismo, se amplió con denuncia la misma, por la falta de información del año 2017 y anteriores, y 2018 y posteriores debido a la falta de cumplimiento a la captura. Mediante oficio número PM/CUT/0428/2022 se tuvo a bien observar la entrega-recepción, efectuada el día 3 de enero, además del oficio número PM/CUT/0540/2022 donde se amplían las observaciones a la entrega-recepción de mérito, aunado al oficio número PM/CUT/0011/2023 mismo que solicita se dé inicio al PROCEDIMIENTO DE DENUNCIA POR FALTA DE INFORMACIÓN, ante quien o quienes resulten responsables de la anterior administración Pública Municipal periodo 2019-2021 por falta de información en el portal IPOMEX. Lo anterior, bajo acuerdo número CTM/CUT/SE005/005/AR/2023, aprobado en la Quinta Sesión Extraordinaria del Comité de Transparencia de este Sujeto Obligado.</w:t>
            </w:r>
            <w:r w:rsidRPr="001F0434">
              <w:rPr>
                <w:rFonts w:ascii="Palatino Linotype" w:eastAsia="Palatino Linotype" w:hAnsi="Palatino Linotype" w:cs="Palatino Linotype"/>
                <w:i/>
                <w:sz w:val="18"/>
                <w:szCs w:val="18"/>
              </w:rPr>
              <w:t>”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ATENTAMENTE</w:t>
            </w:r>
          </w:p>
          <w:p w:rsidR="00D64043" w:rsidRPr="001F0434" w:rsidRDefault="00BB68AC">
            <w:pPr>
              <w:spacing w:before="240" w:after="240" w:line="276" w:lineRule="auto"/>
              <w:ind w:right="49"/>
              <w:jc w:val="both"/>
              <w:rPr>
                <w:rFonts w:ascii="Palatino Linotype" w:eastAsia="Palatino Linotype" w:hAnsi="Palatino Linotype" w:cs="Palatino Linotype"/>
                <w:i/>
                <w:sz w:val="18"/>
                <w:szCs w:val="18"/>
              </w:rPr>
            </w:pPr>
            <w:r w:rsidRPr="001F0434">
              <w:rPr>
                <w:rFonts w:ascii="Palatino Linotype" w:eastAsia="Palatino Linotype" w:hAnsi="Palatino Linotype" w:cs="Palatino Linotype"/>
                <w:i/>
                <w:sz w:val="18"/>
                <w:szCs w:val="18"/>
              </w:rPr>
              <w:t>MTRA. MARÍA ISABEL CISNEROS MÁRQUEZ</w:t>
            </w:r>
          </w:p>
          <w:p w:rsidR="00D64043" w:rsidRPr="001F0434" w:rsidRDefault="00BB68AC">
            <w:pPr>
              <w:spacing w:before="240" w:after="240" w:line="276" w:lineRule="auto"/>
              <w:ind w:right="49"/>
              <w:jc w:val="both"/>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Archivos adjuntos:</w:t>
            </w:r>
          </w:p>
          <w:p w:rsidR="00D64043" w:rsidRPr="001F0434" w:rsidRDefault="00BB68AC">
            <w:pPr>
              <w:spacing w:before="240" w:after="240" w:line="276" w:lineRule="auto"/>
              <w:ind w:right="49"/>
              <w:jc w:val="both"/>
              <w:rPr>
                <w:rFonts w:ascii="Palatino Linotype" w:eastAsia="Palatino Linotype" w:hAnsi="Palatino Linotype" w:cs="Palatino Linotype"/>
                <w:sz w:val="18"/>
                <w:szCs w:val="18"/>
              </w:rPr>
            </w:pPr>
            <w:r w:rsidRPr="001F0434">
              <w:rPr>
                <w:rFonts w:ascii="Palatino Linotype" w:eastAsia="Palatino Linotype" w:hAnsi="Palatino Linotype" w:cs="Palatino Linotype"/>
                <w:b/>
                <w:i/>
                <w:sz w:val="20"/>
                <w:szCs w:val="20"/>
              </w:rPr>
              <w:lastRenderedPageBreak/>
              <w:t xml:space="preserve">“RESPUESTA 14.pdf”: “RESPUESTA 15.pdf”: </w:t>
            </w:r>
            <w:r w:rsidRPr="001F0434">
              <w:rPr>
                <w:rFonts w:ascii="Palatino Linotype" w:eastAsia="Palatino Linotype" w:hAnsi="Palatino Linotype" w:cs="Palatino Linotype"/>
                <w:sz w:val="18"/>
                <w:szCs w:val="18"/>
              </w:rPr>
              <w:t>Documento de nueve fojas mediante el cual refiere que con fundamento en el artículo 140 fracción VI de la Ley de Transparencia y Acceso a la Información Pública del Estado de México y Municipios, toda la información relacionada con la verificación virtual oficiosa 2022, realizada a la plataforma IPOMEX por parte de la Dirección General Jurídica y de Verificación del Instituto de Transparencia, Acceso a la Información Pública y Protección de Datos Personales del Estado de México y Municipios (INFOEM), se encuentra clasificada como reservada, ya que la entrega-recepción está observada en Contraloría Municipal por falta de la información a la página IPOMEX entre otras circunstancias; asimismo, se amplió con denuncia la misma, por la falta de información del año 2017 y anteriores y 2018 y posteriores debido a la falta de cumplimiento de la captura.</w:t>
            </w:r>
          </w:p>
          <w:p w:rsidR="00D64043" w:rsidRPr="001F0434" w:rsidRDefault="00BB68AC">
            <w:pPr>
              <w:spacing w:before="240" w:after="240" w:line="276" w:lineRule="auto"/>
              <w:ind w:right="49"/>
              <w:jc w:val="both"/>
              <w:rPr>
                <w:rFonts w:ascii="Palatino Linotype" w:eastAsia="Palatino Linotype" w:hAnsi="Palatino Linotype" w:cs="Palatino Linotype"/>
                <w:sz w:val="20"/>
                <w:szCs w:val="20"/>
              </w:rPr>
            </w:pPr>
            <w:r w:rsidRPr="001F0434">
              <w:rPr>
                <w:rFonts w:ascii="Palatino Linotype" w:eastAsia="Palatino Linotype" w:hAnsi="Palatino Linotype" w:cs="Palatino Linotype"/>
                <w:sz w:val="18"/>
                <w:szCs w:val="18"/>
              </w:rPr>
              <w:t>Dicha reserva encuentra sustento bajo el acuerdo número CTM/CUT/SE005/005/AR/2023, aprobado en la Quinta Sesión Extraordinaria del Comité de Transparencia, es de precisar que adjuntan dicha acta.</w:t>
            </w:r>
          </w:p>
        </w:tc>
      </w:tr>
    </w:tbl>
    <w:p w:rsidR="00D64043" w:rsidRPr="001F0434" w:rsidRDefault="00BB68AC">
      <w:pPr>
        <w:spacing w:before="240" w:after="240" w:line="360" w:lineRule="auto"/>
        <w:ind w:right="49"/>
        <w:jc w:val="both"/>
        <w:rPr>
          <w:rFonts w:ascii="Palatino Linotype" w:eastAsia="Palatino Linotype" w:hAnsi="Palatino Linotype" w:cs="Palatino Linotype"/>
        </w:rPr>
      </w:pPr>
      <w:r w:rsidRPr="001F0434">
        <w:rPr>
          <w:rFonts w:ascii="Palatino Linotype" w:eastAsia="Palatino Linotype" w:hAnsi="Palatino Linotype" w:cs="Palatino Linotype"/>
          <w:b/>
        </w:rPr>
        <w:lastRenderedPageBreak/>
        <w:t xml:space="preserve">4. Interposición de los recursos de revisión.  </w:t>
      </w:r>
      <w:r w:rsidRPr="001F0434">
        <w:rPr>
          <w:rFonts w:ascii="Palatino Linotype" w:eastAsia="Palatino Linotype" w:hAnsi="Palatino Linotype" w:cs="Palatino Linotype"/>
        </w:rPr>
        <w:t xml:space="preserve">El </w:t>
      </w:r>
      <w:r w:rsidRPr="001F0434">
        <w:rPr>
          <w:rFonts w:ascii="Palatino Linotype" w:eastAsia="Palatino Linotype" w:hAnsi="Palatino Linotype" w:cs="Palatino Linotype"/>
          <w:b/>
        </w:rPr>
        <w:t>diez de febrero</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 xml:space="preserve">de dos mil veintitrés, la parte Recurrente, </w:t>
      </w:r>
      <w:r w:rsidRPr="001F0434">
        <w:rPr>
          <w:rFonts w:ascii="Palatino Linotype" w:eastAsia="Palatino Linotype" w:hAnsi="Palatino Linotype" w:cs="Palatino Linotype"/>
        </w:rPr>
        <w:t>inconforme con las respuestas, interpuso los recursos de revisión que nos ocupan, expresando lo siguiente:</w:t>
      </w:r>
    </w:p>
    <w:tbl>
      <w:tblPr>
        <w:tblStyle w:val="a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D64043" w:rsidRPr="001F0434">
        <w:tc>
          <w:tcPr>
            <w:tcW w:w="2942" w:type="dxa"/>
            <w:shd w:val="clear" w:color="auto" w:fill="DDD9C4"/>
          </w:tcPr>
          <w:p w:rsidR="00D64043" w:rsidRPr="001F0434" w:rsidRDefault="00BB68AC">
            <w:pPr>
              <w:spacing w:before="240" w:after="240" w:line="360"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Recurso de Revisión</w:t>
            </w:r>
          </w:p>
        </w:tc>
        <w:tc>
          <w:tcPr>
            <w:tcW w:w="2943" w:type="dxa"/>
            <w:shd w:val="clear" w:color="auto" w:fill="DDD9C4"/>
          </w:tcPr>
          <w:p w:rsidR="00D64043" w:rsidRPr="001F0434" w:rsidRDefault="00BB68AC">
            <w:pPr>
              <w:spacing w:before="240" w:after="240" w:line="360"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Acto impugnado</w:t>
            </w:r>
          </w:p>
        </w:tc>
        <w:tc>
          <w:tcPr>
            <w:tcW w:w="2943" w:type="dxa"/>
            <w:shd w:val="clear" w:color="auto" w:fill="DDD9C4"/>
          </w:tcPr>
          <w:p w:rsidR="00D64043" w:rsidRPr="001F0434" w:rsidRDefault="00BB68AC">
            <w:pPr>
              <w:spacing w:before="240" w:after="240" w:line="360"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Motivos de inconformidad</w:t>
            </w:r>
          </w:p>
        </w:tc>
      </w:tr>
      <w:tr w:rsidR="00D64043" w:rsidRPr="001F0434">
        <w:tc>
          <w:tcPr>
            <w:tcW w:w="2942" w:type="dxa"/>
          </w:tcPr>
          <w:p w:rsidR="00D64043" w:rsidRPr="001F0434" w:rsidRDefault="00BB68AC">
            <w:pPr>
              <w:spacing w:before="240" w:after="240" w:line="360"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lastRenderedPageBreak/>
              <w:t>00684/INFOEM/IP/RR/2023</w:t>
            </w:r>
          </w:p>
        </w:tc>
        <w:tc>
          <w:tcPr>
            <w:tcW w:w="2943" w:type="dxa"/>
          </w:tcPr>
          <w:p w:rsidR="00D64043" w:rsidRPr="001F0434" w:rsidRDefault="00BB68AC">
            <w:pPr>
              <w:spacing w:before="240" w:after="240" w:line="276" w:lineRule="auto"/>
              <w:jc w:val="center"/>
              <w:rPr>
                <w:rFonts w:ascii="Palatino Linotype" w:eastAsia="Palatino Linotype" w:hAnsi="Palatino Linotype" w:cs="Palatino Linotype"/>
                <w:i/>
              </w:rPr>
            </w:pPr>
            <w:r w:rsidRPr="001F0434">
              <w:rPr>
                <w:rFonts w:ascii="Palatino Linotype" w:eastAsia="Palatino Linotype" w:hAnsi="Palatino Linotype" w:cs="Palatino Linotype"/>
                <w:i/>
              </w:rPr>
              <w:t>Respuesta</w:t>
            </w:r>
          </w:p>
        </w:tc>
        <w:tc>
          <w:tcPr>
            <w:tcW w:w="2943" w:type="dxa"/>
          </w:tcPr>
          <w:p w:rsidR="00D64043" w:rsidRPr="001F0434" w:rsidRDefault="00BB68AC">
            <w:pPr>
              <w:spacing w:before="240" w:after="240" w:line="276" w:lineRule="auto"/>
              <w:jc w:val="both"/>
              <w:rPr>
                <w:rFonts w:ascii="Palatino Linotype" w:eastAsia="Palatino Linotype" w:hAnsi="Palatino Linotype" w:cs="Palatino Linotype"/>
                <w:i/>
              </w:rPr>
            </w:pPr>
            <w:r w:rsidRPr="001F0434">
              <w:rPr>
                <w:rFonts w:ascii="Palatino Linotype" w:eastAsia="Palatino Linotype" w:hAnsi="Palatino Linotype" w:cs="Palatino Linotype"/>
                <w:i/>
              </w:rPr>
              <w:t>Reservan sin fundamentos algo que es público</w:t>
            </w:r>
          </w:p>
        </w:tc>
      </w:tr>
      <w:tr w:rsidR="00D64043" w:rsidRPr="001F0434">
        <w:tc>
          <w:tcPr>
            <w:tcW w:w="2942" w:type="dxa"/>
          </w:tcPr>
          <w:p w:rsidR="00D64043" w:rsidRPr="001F0434" w:rsidRDefault="00BB68AC">
            <w:pPr>
              <w:spacing w:before="240" w:after="240" w:line="360"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00686/INFOEM/IP/RR/2023</w:t>
            </w:r>
          </w:p>
        </w:tc>
        <w:tc>
          <w:tcPr>
            <w:tcW w:w="2943" w:type="dxa"/>
          </w:tcPr>
          <w:p w:rsidR="00D64043" w:rsidRPr="001F0434" w:rsidRDefault="00BB68AC">
            <w:pPr>
              <w:spacing w:before="240" w:after="240" w:line="276" w:lineRule="auto"/>
              <w:jc w:val="center"/>
              <w:rPr>
                <w:rFonts w:ascii="Palatino Linotype" w:eastAsia="Palatino Linotype" w:hAnsi="Palatino Linotype" w:cs="Palatino Linotype"/>
                <w:i/>
              </w:rPr>
            </w:pPr>
            <w:r w:rsidRPr="001F0434">
              <w:rPr>
                <w:rFonts w:ascii="Palatino Linotype" w:eastAsia="Palatino Linotype" w:hAnsi="Palatino Linotype" w:cs="Palatino Linotype"/>
                <w:i/>
              </w:rPr>
              <w:t>Totalidad de la respuesta</w:t>
            </w:r>
          </w:p>
        </w:tc>
        <w:tc>
          <w:tcPr>
            <w:tcW w:w="2943" w:type="dxa"/>
          </w:tcPr>
          <w:p w:rsidR="00D64043" w:rsidRPr="001F0434" w:rsidRDefault="00BB68AC">
            <w:pPr>
              <w:spacing w:before="240" w:after="240" w:line="276" w:lineRule="auto"/>
              <w:jc w:val="both"/>
              <w:rPr>
                <w:rFonts w:ascii="Palatino Linotype" w:eastAsia="Palatino Linotype" w:hAnsi="Palatino Linotype" w:cs="Palatino Linotype"/>
                <w:i/>
              </w:rPr>
            </w:pPr>
            <w:r w:rsidRPr="001F0434">
              <w:rPr>
                <w:rFonts w:ascii="Palatino Linotype" w:eastAsia="Palatino Linotype" w:hAnsi="Palatino Linotype" w:cs="Palatino Linotype"/>
                <w:i/>
              </w:rPr>
              <w:t>Clasifican algo que debe ser público por ley</w:t>
            </w:r>
          </w:p>
        </w:tc>
      </w:tr>
      <w:tr w:rsidR="00D64043" w:rsidRPr="001F0434">
        <w:tc>
          <w:tcPr>
            <w:tcW w:w="2942" w:type="dxa"/>
          </w:tcPr>
          <w:p w:rsidR="00D64043" w:rsidRPr="001F0434" w:rsidRDefault="00BB68AC">
            <w:pPr>
              <w:spacing w:before="240" w:after="240" w:line="360"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 xml:space="preserve">00687/INFOEM/IP/RR/2023  </w:t>
            </w:r>
          </w:p>
        </w:tc>
        <w:tc>
          <w:tcPr>
            <w:tcW w:w="2943" w:type="dxa"/>
          </w:tcPr>
          <w:p w:rsidR="00D64043" w:rsidRPr="001F0434" w:rsidRDefault="00BB68AC">
            <w:pPr>
              <w:spacing w:before="240" w:after="240" w:line="276" w:lineRule="auto"/>
              <w:jc w:val="center"/>
              <w:rPr>
                <w:rFonts w:ascii="Palatino Linotype" w:eastAsia="Palatino Linotype" w:hAnsi="Palatino Linotype" w:cs="Palatino Linotype"/>
                <w:i/>
              </w:rPr>
            </w:pPr>
            <w:r w:rsidRPr="001F0434">
              <w:rPr>
                <w:rFonts w:ascii="Palatino Linotype" w:eastAsia="Palatino Linotype" w:hAnsi="Palatino Linotype" w:cs="Palatino Linotype"/>
                <w:i/>
              </w:rPr>
              <w:t xml:space="preserve">Respuesta que </w:t>
            </w:r>
            <w:proofErr w:type="spellStart"/>
            <w:r w:rsidRPr="001F0434">
              <w:rPr>
                <w:rFonts w:ascii="Palatino Linotype" w:eastAsia="Palatino Linotype" w:hAnsi="Palatino Linotype" w:cs="Palatino Linotype"/>
                <w:i/>
              </w:rPr>
              <w:t>envian</w:t>
            </w:r>
            <w:proofErr w:type="spellEnd"/>
          </w:p>
        </w:tc>
        <w:tc>
          <w:tcPr>
            <w:tcW w:w="2943" w:type="dxa"/>
          </w:tcPr>
          <w:p w:rsidR="00D64043" w:rsidRPr="001F0434" w:rsidRDefault="00BB68AC">
            <w:pPr>
              <w:spacing w:before="240" w:after="240" w:line="276" w:lineRule="auto"/>
              <w:jc w:val="center"/>
              <w:rPr>
                <w:rFonts w:ascii="Palatino Linotype" w:eastAsia="Palatino Linotype" w:hAnsi="Palatino Linotype" w:cs="Palatino Linotype"/>
                <w:i/>
              </w:rPr>
            </w:pPr>
            <w:r w:rsidRPr="001F0434">
              <w:rPr>
                <w:rFonts w:ascii="Palatino Linotype" w:eastAsia="Palatino Linotype" w:hAnsi="Palatino Linotype" w:cs="Palatino Linotype"/>
                <w:i/>
              </w:rPr>
              <w:t>No mandan lo solicitado</w:t>
            </w:r>
          </w:p>
        </w:tc>
      </w:tr>
    </w:tbl>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5. Turno. </w:t>
      </w:r>
      <w:r w:rsidRPr="001F0434">
        <w:rPr>
          <w:rFonts w:ascii="Palatino Linotype" w:eastAsia="Palatino Linotype" w:hAnsi="Palatino Linotype" w:cs="Palatino Linotype"/>
        </w:rPr>
        <w:t xml:space="preserve">De conformidad con el artículo 185 </w:t>
      </w:r>
      <w:proofErr w:type="gramStart"/>
      <w:r w:rsidRPr="001F0434">
        <w:rPr>
          <w:rFonts w:ascii="Palatino Linotype" w:eastAsia="Palatino Linotype" w:hAnsi="Palatino Linotype" w:cs="Palatino Linotype"/>
        </w:rPr>
        <w:t>fracción</w:t>
      </w:r>
      <w:proofErr w:type="gramEnd"/>
      <w:r w:rsidRPr="001F0434">
        <w:rPr>
          <w:rFonts w:ascii="Palatino Linotype" w:eastAsia="Palatino Linotype" w:hAnsi="Palatino Linotype" w:cs="Palatino Linotype"/>
        </w:rPr>
        <w:t xml:space="preserve"> I de la Ley Transparencia y Acceso a la Información Pública, los recursos de revisión fueron</w:t>
      </w:r>
      <w:r w:rsidRPr="001F0434">
        <w:rPr>
          <w:rFonts w:ascii="Palatino Linotype" w:eastAsia="Palatino Linotype" w:hAnsi="Palatino Linotype" w:cs="Palatino Linotype"/>
          <w:b/>
        </w:rPr>
        <w:t xml:space="preserve"> </w:t>
      </w:r>
      <w:r w:rsidRPr="001F0434">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D64043" w:rsidRPr="001F0434">
        <w:tc>
          <w:tcPr>
            <w:tcW w:w="4460" w:type="dxa"/>
            <w:shd w:val="clear" w:color="auto" w:fill="DDD9C4"/>
          </w:tcPr>
          <w:p w:rsidR="00D64043" w:rsidRPr="001F0434" w:rsidRDefault="00BB68AC">
            <w:pPr>
              <w:spacing w:before="240" w:after="240" w:line="360" w:lineRule="auto"/>
              <w:jc w:val="center"/>
              <w:rPr>
                <w:rFonts w:ascii="Palatino Linotype" w:eastAsia="Palatino Linotype" w:hAnsi="Palatino Linotype" w:cs="Palatino Linotype"/>
                <w:b/>
              </w:rPr>
            </w:pPr>
            <w:r w:rsidRPr="001F0434">
              <w:rPr>
                <w:rFonts w:ascii="Palatino Linotype" w:eastAsia="Palatino Linotype" w:hAnsi="Palatino Linotype" w:cs="Palatino Linotype"/>
                <w:b/>
              </w:rPr>
              <w:t>Recurso de Revisión</w:t>
            </w:r>
          </w:p>
        </w:tc>
        <w:tc>
          <w:tcPr>
            <w:tcW w:w="4461" w:type="dxa"/>
            <w:shd w:val="clear" w:color="auto" w:fill="DDD9C4"/>
          </w:tcPr>
          <w:p w:rsidR="00D64043" w:rsidRPr="001F0434" w:rsidRDefault="00BB68AC">
            <w:pPr>
              <w:spacing w:before="240" w:after="240" w:line="360" w:lineRule="auto"/>
              <w:jc w:val="center"/>
              <w:rPr>
                <w:rFonts w:ascii="Palatino Linotype" w:eastAsia="Palatino Linotype" w:hAnsi="Palatino Linotype" w:cs="Palatino Linotype"/>
                <w:b/>
              </w:rPr>
            </w:pPr>
            <w:r w:rsidRPr="001F0434">
              <w:rPr>
                <w:rFonts w:ascii="Palatino Linotype" w:eastAsia="Palatino Linotype" w:hAnsi="Palatino Linotype" w:cs="Palatino Linotype"/>
                <w:b/>
              </w:rPr>
              <w:t>Comisionada/o</w:t>
            </w:r>
          </w:p>
        </w:tc>
      </w:tr>
      <w:tr w:rsidR="00D64043" w:rsidRPr="001F0434">
        <w:tc>
          <w:tcPr>
            <w:tcW w:w="4460" w:type="dxa"/>
          </w:tcPr>
          <w:p w:rsidR="00D64043" w:rsidRPr="001F0434" w:rsidRDefault="00BB68AC">
            <w:pPr>
              <w:spacing w:before="240" w:after="240" w:line="276" w:lineRule="auto"/>
              <w:jc w:val="center"/>
              <w:rPr>
                <w:rFonts w:ascii="Palatino Linotype" w:eastAsia="Palatino Linotype" w:hAnsi="Palatino Linotype" w:cs="Palatino Linotype"/>
                <w:b/>
              </w:rPr>
            </w:pPr>
            <w:r w:rsidRPr="001F0434">
              <w:rPr>
                <w:rFonts w:ascii="Palatino Linotype" w:eastAsia="Palatino Linotype" w:hAnsi="Palatino Linotype" w:cs="Palatino Linotype"/>
                <w:b/>
                <w:sz w:val="20"/>
                <w:szCs w:val="20"/>
              </w:rPr>
              <w:t>00684/INFOEM/IP/RR/2023</w:t>
            </w:r>
          </w:p>
        </w:tc>
        <w:tc>
          <w:tcPr>
            <w:tcW w:w="4461" w:type="dxa"/>
          </w:tcPr>
          <w:p w:rsidR="00D64043" w:rsidRPr="001F0434" w:rsidRDefault="00BB68AC">
            <w:pPr>
              <w:spacing w:before="240" w:after="24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Comisionada Guadalupe Ramírez Peña</w:t>
            </w:r>
          </w:p>
        </w:tc>
      </w:tr>
      <w:tr w:rsidR="00D64043" w:rsidRPr="001F0434">
        <w:tc>
          <w:tcPr>
            <w:tcW w:w="4460" w:type="dxa"/>
          </w:tcPr>
          <w:p w:rsidR="00D64043" w:rsidRPr="001F0434" w:rsidRDefault="00BB68AC">
            <w:pPr>
              <w:spacing w:before="240" w:after="240" w:line="276"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00686/INFOEM/IP/RR/2023</w:t>
            </w:r>
          </w:p>
        </w:tc>
        <w:tc>
          <w:tcPr>
            <w:tcW w:w="4461" w:type="dxa"/>
          </w:tcPr>
          <w:p w:rsidR="00D64043" w:rsidRPr="001F0434" w:rsidRDefault="00BB68AC">
            <w:pPr>
              <w:spacing w:before="240" w:after="24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Comisionado Luis Gustavo Parra Noriega</w:t>
            </w:r>
          </w:p>
        </w:tc>
      </w:tr>
      <w:tr w:rsidR="00D64043" w:rsidRPr="001F0434">
        <w:tc>
          <w:tcPr>
            <w:tcW w:w="4460" w:type="dxa"/>
          </w:tcPr>
          <w:p w:rsidR="00D64043" w:rsidRPr="001F0434" w:rsidRDefault="00BB68AC">
            <w:pPr>
              <w:spacing w:before="240" w:after="240" w:line="276"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 xml:space="preserve">00687/INFOEM/IP/RR/2023  </w:t>
            </w:r>
          </w:p>
        </w:tc>
        <w:tc>
          <w:tcPr>
            <w:tcW w:w="4461" w:type="dxa"/>
          </w:tcPr>
          <w:p w:rsidR="00D64043" w:rsidRPr="001F0434" w:rsidRDefault="00BB68AC">
            <w:pPr>
              <w:spacing w:before="240" w:after="24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Comisionada Sharon Cristina Morales Martínez</w:t>
            </w:r>
          </w:p>
        </w:tc>
      </w:tr>
    </w:tbl>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6. Admisiones. </w:t>
      </w:r>
      <w:r w:rsidRPr="001F0434">
        <w:rPr>
          <w:rFonts w:ascii="Palatino Linotype" w:eastAsia="Palatino Linotype" w:hAnsi="Palatino Linotype" w:cs="Palatino Linotype"/>
        </w:rPr>
        <w:t xml:space="preserve">Los días </w:t>
      </w:r>
      <w:r w:rsidRPr="001F0434">
        <w:rPr>
          <w:rFonts w:ascii="Palatino Linotype" w:eastAsia="Palatino Linotype" w:hAnsi="Palatino Linotype" w:cs="Palatino Linotype"/>
          <w:b/>
        </w:rPr>
        <w:t>trece, catorce y quince de febrero de dos mil veintitrés,</w:t>
      </w:r>
      <w:r w:rsidRPr="001F0434">
        <w:rPr>
          <w:rFonts w:ascii="Palatino Linotype" w:eastAsia="Palatino Linotype" w:hAnsi="Palatino Linotype" w:cs="Palatino Linotype"/>
        </w:rPr>
        <w:t xml:space="preserve"> en términos de lo dispuesto en el artículo 185 fracciones I, II y IV de la Ley de </w:t>
      </w:r>
      <w:r w:rsidRPr="001F0434">
        <w:rPr>
          <w:rFonts w:ascii="Palatino Linotype" w:eastAsia="Palatino Linotype" w:hAnsi="Palatino Linotype" w:cs="Palatino Linotype"/>
        </w:rPr>
        <w:lastRenderedPageBreak/>
        <w:t>Transparencia y Acceso a la Información Pública del Estado de México y Municipios, se admitieron a trámite los recursos de revisión.</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7. Acumulación. </w:t>
      </w:r>
      <w:r w:rsidRPr="001F0434">
        <w:rPr>
          <w:rFonts w:ascii="Palatino Linotype" w:eastAsia="Palatino Linotype" w:hAnsi="Palatino Linotype" w:cs="Palatino Linotype"/>
        </w:rPr>
        <w:t xml:space="preserve">En la </w:t>
      </w:r>
      <w:r w:rsidRPr="001F0434">
        <w:rPr>
          <w:rFonts w:ascii="Palatino Linotype" w:eastAsia="Palatino Linotype" w:hAnsi="Palatino Linotype" w:cs="Palatino Linotype"/>
          <w:b/>
        </w:rPr>
        <w:t>Octava Sesión Ordinaria</w:t>
      </w:r>
      <w:r w:rsidRPr="001F0434">
        <w:rPr>
          <w:rFonts w:ascii="Palatino Linotype" w:eastAsia="Palatino Linotype" w:hAnsi="Palatino Linotype" w:cs="Palatino Linotype"/>
        </w:rPr>
        <w:t xml:space="preserve"> celebrada el </w:t>
      </w:r>
      <w:r w:rsidRPr="001F0434">
        <w:rPr>
          <w:rFonts w:ascii="Palatino Linotype" w:eastAsia="Palatino Linotype" w:hAnsi="Palatino Linotype" w:cs="Palatino Linotype"/>
          <w:b/>
        </w:rPr>
        <w:t>primero de marzo de dos mil veintitrés</w:t>
      </w:r>
      <w:r w:rsidRPr="001F0434">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1F0434">
        <w:rPr>
          <w:rFonts w:ascii="Palatino Linotype" w:eastAsia="Palatino Linotype" w:hAnsi="Palatino Linotype" w:cs="Palatino Linotype"/>
          <w:b/>
        </w:rPr>
        <w:t>Comisionada</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Guadalupe Ramírez Peña</w:t>
      </w:r>
      <w:r w:rsidRPr="001F0434">
        <w:rPr>
          <w:rFonts w:ascii="Palatino Linotype" w:eastAsia="Palatino Linotype" w:hAnsi="Palatino Linotype" w:cs="Palatino Linotype"/>
        </w:rPr>
        <w:t xml:space="preserve">; que mediante acuerdo se notificó a las partes vía SAIMEX. </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8. Manifestaciones. </w:t>
      </w:r>
      <w:r w:rsidRPr="001F0434">
        <w:rPr>
          <w:rFonts w:ascii="Palatino Linotype" w:eastAsia="Palatino Linotype" w:hAnsi="Palatino Linotype" w:cs="Palatino Linotype"/>
        </w:rPr>
        <w:t xml:space="preserve">De las constancias que obran en los expedientes electrónicos del SAIMEX se desprende que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rindió sus informes justificados, los cuales ratifican la respuesta inicial, los días </w:t>
      </w:r>
      <w:r w:rsidRPr="001F0434">
        <w:rPr>
          <w:rFonts w:ascii="Palatino Linotype" w:eastAsia="Palatino Linotype" w:hAnsi="Palatino Linotype" w:cs="Palatino Linotype"/>
          <w:b/>
        </w:rPr>
        <w:t>veintidós y veinticuatro de febrero de dos mil veintitrés</w:t>
      </w:r>
      <w:r w:rsidRPr="001F0434">
        <w:rPr>
          <w:rFonts w:ascii="Palatino Linotype" w:eastAsia="Palatino Linotype" w:hAnsi="Palatino Linotype" w:cs="Palatino Linotype"/>
        </w:rPr>
        <w:t xml:space="preserve">, mediante los archivos electrónicos </w:t>
      </w:r>
      <w:r w:rsidRPr="001F0434">
        <w:rPr>
          <w:rFonts w:ascii="Palatino Linotype" w:eastAsia="Palatino Linotype" w:hAnsi="Palatino Linotype" w:cs="Palatino Linotype"/>
          <w:b/>
          <w:i/>
        </w:rPr>
        <w:t>“INFORME JUSTIFICADO 00684.pdf”, “INFORME JUSTIFICADO 00686.pdf” e “INFORME JUSTIFICADO 00687.pdf”.</w:t>
      </w:r>
      <w:r w:rsidRPr="001F0434">
        <w:rPr>
          <w:rFonts w:ascii="Palatino Linotype" w:eastAsia="Palatino Linotype" w:hAnsi="Palatino Linotype" w:cs="Palatino Linotype"/>
        </w:rPr>
        <w:t xml:space="preserve"> Es de precisar que una vez analizada la documentación, se determinó ponerla a la vista de </w:t>
      </w:r>
      <w:r w:rsidRPr="001F0434">
        <w:rPr>
          <w:rFonts w:ascii="Palatino Linotype" w:eastAsia="Palatino Linotype" w:hAnsi="Palatino Linotype" w:cs="Palatino Linotype"/>
          <w:b/>
        </w:rPr>
        <w:t xml:space="preserve">la parte Recurrente, </w:t>
      </w:r>
      <w:r w:rsidRPr="001F0434">
        <w:rPr>
          <w:rFonts w:ascii="Palatino Linotype" w:eastAsia="Palatino Linotype" w:hAnsi="Palatino Linotype" w:cs="Palatino Linotype"/>
        </w:rPr>
        <w:t xml:space="preserve">mediante acuerdo signado por la Comisionada Ponente el </w:t>
      </w:r>
      <w:r w:rsidRPr="001F0434">
        <w:rPr>
          <w:rFonts w:ascii="Palatino Linotype" w:eastAsia="Palatino Linotype" w:hAnsi="Palatino Linotype" w:cs="Palatino Linotype"/>
          <w:b/>
        </w:rPr>
        <w:t>once de septiembre de dos mil veintitrés</w:t>
      </w:r>
      <w:r w:rsidRPr="001F0434">
        <w:rPr>
          <w:rFonts w:ascii="Palatino Linotype" w:eastAsia="Palatino Linotype" w:hAnsi="Palatino Linotype" w:cs="Palatino Linotype"/>
        </w:rPr>
        <w:t xml:space="preserve">, quien fue omisa en remitir sus manifestaciones, por lo que se tiene por </w:t>
      </w:r>
      <w:proofErr w:type="spellStart"/>
      <w:r w:rsidRPr="001F0434">
        <w:rPr>
          <w:rFonts w:ascii="Palatino Linotype" w:eastAsia="Palatino Linotype" w:hAnsi="Palatino Linotype" w:cs="Palatino Linotype"/>
        </w:rPr>
        <w:t>precluido</w:t>
      </w:r>
      <w:proofErr w:type="spellEnd"/>
      <w:r w:rsidRPr="001F0434">
        <w:rPr>
          <w:rFonts w:ascii="Palatino Linotype" w:eastAsia="Palatino Linotype" w:hAnsi="Palatino Linotype" w:cs="Palatino Linotype"/>
        </w:rPr>
        <w:t xml:space="preserve"> su derecho para tal efecto.</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lastRenderedPageBreak/>
        <w:t>9.- Ampliaciones del plazo para emitir resolución.</w:t>
      </w:r>
      <w:r w:rsidRPr="001F0434">
        <w:rPr>
          <w:rFonts w:ascii="Palatino Linotype" w:eastAsia="Palatino Linotype" w:hAnsi="Palatino Linotype" w:cs="Palatino Linotype"/>
        </w:rPr>
        <w:t xml:space="preserve"> El </w:t>
      </w:r>
      <w:r w:rsidRPr="001F0434">
        <w:rPr>
          <w:rFonts w:ascii="Palatino Linotype" w:eastAsia="Palatino Linotype" w:hAnsi="Palatino Linotype" w:cs="Palatino Linotype"/>
          <w:b/>
        </w:rPr>
        <w:t>once de septiembre de dos mil veintitrés</w:t>
      </w:r>
      <w:r w:rsidRPr="001F0434">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1F0434">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1F0434">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1F0434">
        <w:rPr>
          <w:rFonts w:ascii="Palatino Linotype" w:eastAsia="Palatino Linotype" w:hAnsi="Palatino Linotype" w:cs="Palatino Linotype"/>
        </w:rPr>
        <w:lastRenderedPageBreak/>
        <w:t>en el menor tiempo posible, tomando en consideración la dilación total del procedimiento; esto es, en un plazo razonable.</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D64043" w:rsidRPr="001F0434" w:rsidRDefault="00BB68AC">
      <w:pPr>
        <w:numPr>
          <w:ilvl w:val="0"/>
          <w:numId w:val="9"/>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color w:val="000000"/>
        </w:rPr>
      </w:pPr>
      <w:r w:rsidRPr="001F0434">
        <w:rPr>
          <w:rFonts w:ascii="Palatino Linotype" w:eastAsia="Palatino Linotype" w:hAnsi="Palatino Linotype" w:cs="Palatino Linotype"/>
          <w:b/>
          <w:color w:val="000000"/>
        </w:rPr>
        <w:t>Complejidad del Asunto:</w:t>
      </w:r>
      <w:r w:rsidRPr="001F0434">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D64043" w:rsidRPr="001F0434" w:rsidRDefault="00BB68AC">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1F0434">
        <w:rPr>
          <w:rFonts w:ascii="Palatino Linotype" w:eastAsia="Palatino Linotype" w:hAnsi="Palatino Linotype" w:cs="Palatino Linotype"/>
          <w:b/>
        </w:rPr>
        <w:t>Actividad Procesal del interesado.</w:t>
      </w:r>
      <w:r w:rsidRPr="001F0434">
        <w:rPr>
          <w:rFonts w:ascii="Palatino Linotype" w:eastAsia="Palatino Linotype" w:hAnsi="Palatino Linotype" w:cs="Palatino Linotype"/>
        </w:rPr>
        <w:t xml:space="preserve"> Acciones u omisiones del interesado.</w:t>
      </w:r>
    </w:p>
    <w:p w:rsidR="00D64043" w:rsidRPr="001F0434" w:rsidRDefault="00BB68AC">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1F0434">
        <w:rPr>
          <w:rFonts w:ascii="Palatino Linotype" w:eastAsia="Palatino Linotype" w:hAnsi="Palatino Linotype" w:cs="Palatino Linotype"/>
          <w:b/>
        </w:rPr>
        <w:t>Conducta de la Autoridad:</w:t>
      </w:r>
      <w:r w:rsidRPr="001F0434">
        <w:rPr>
          <w:rFonts w:ascii="Palatino Linotype" w:eastAsia="Palatino Linotype" w:hAnsi="Palatino Linotype" w:cs="Palatino Linotype"/>
        </w:rPr>
        <w:t xml:space="preserve"> Las Acciones u omisiones realizadas en el procedimiento. Así como si la autoridad actuó con la debida diligencia.</w:t>
      </w:r>
    </w:p>
    <w:p w:rsidR="00D64043" w:rsidRPr="001F0434" w:rsidRDefault="00BB68AC">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1F0434">
        <w:rPr>
          <w:rFonts w:ascii="Palatino Linotype" w:eastAsia="Palatino Linotype" w:hAnsi="Palatino Linotype" w:cs="Palatino Linotype"/>
          <w:b/>
        </w:rPr>
        <w:t>La afectación generada en la situación jurídica de la persona involucrada en el proceso:</w:t>
      </w:r>
      <w:r w:rsidRPr="001F0434">
        <w:rPr>
          <w:rFonts w:ascii="Palatino Linotype" w:eastAsia="Palatino Linotype" w:hAnsi="Palatino Linotype" w:cs="Palatino Linotype"/>
        </w:rPr>
        <w:t xml:space="preserve"> Violación a sus derechos humanos.</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Argumento que encuentra sustento en la jurisprudencia P</w:t>
      </w:r>
      <w:proofErr w:type="gramStart"/>
      <w:r w:rsidRPr="001F0434">
        <w:rPr>
          <w:rFonts w:ascii="Palatino Linotype" w:eastAsia="Palatino Linotype" w:hAnsi="Palatino Linotype" w:cs="Palatino Linotype"/>
        </w:rPr>
        <w:t>./</w:t>
      </w:r>
      <w:proofErr w:type="gramEnd"/>
      <w:r w:rsidRPr="001F0434">
        <w:rPr>
          <w:rFonts w:ascii="Palatino Linotype" w:eastAsia="Palatino Linotype" w:hAnsi="Palatino Linotype" w:cs="Palatino Linotype"/>
        </w:rPr>
        <w:t xml:space="preserve">J. 32/92 emitida por el Pleno de la Suprema Corte de Justicia de la Nación de rubro </w:t>
      </w:r>
      <w:r w:rsidRPr="001F043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F0434">
        <w:rPr>
          <w:rFonts w:ascii="Palatino Linotype" w:eastAsia="Palatino Linotype" w:hAnsi="Palatino Linotype" w:cs="Palatino Linotype"/>
        </w:rPr>
        <w:t>, visible en la Gaceta del Seminario Judicial de la Federación con el registro digital 205635.</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F0434">
        <w:rPr>
          <w:rFonts w:ascii="Palatino Linotype" w:eastAsia="Palatino Linotype" w:hAnsi="Palatino Linotype" w:cs="Palatino Linotype"/>
        </w:rPr>
        <w:lastRenderedPageBreak/>
        <w:t>los términos legales previamente establecidos por la Ley, por tratarse de causas de fuerza mayor.</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w:t>
      </w:r>
      <w:r w:rsidRPr="001F0434">
        <w:rPr>
          <w:rFonts w:ascii="Palatino Linotype" w:eastAsia="Palatino Linotype" w:hAnsi="Palatino Linotype" w:cs="Palatino Linotype"/>
          <w:i/>
        </w:rPr>
        <w:t>“PLAZO RAZONABLE PARA RESOLVER. DIMENSIÓN Y EFECTOS DE ESTE CONCEPTO CUANDO SE ADUCE EXCESIVA CARGA DE TRABAJO.”</w:t>
      </w:r>
      <w:r w:rsidRPr="001F0434">
        <w:rPr>
          <w:rFonts w:ascii="Palatino Linotype" w:eastAsia="Palatino Linotype" w:hAnsi="Palatino Linotype" w:cs="Palatino Linotype"/>
        </w:rPr>
        <w:t xml:space="preserve"> consultable en el Seminario Judicial de la Federación y su gaceta, con el registro digital 2002351.</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i/>
        </w:rPr>
        <w:t>“PLAZO RAZONABLE PARA RESOLVER. CONCEPTO Y ELEMENTOS QUE LO INTEGRAN A LA LUZ DEL DERECHO INTERNACIONAL DE LOS DERECHOS HUMANOS.”</w:t>
      </w:r>
      <w:r w:rsidRPr="001F0434">
        <w:rPr>
          <w:rFonts w:ascii="Palatino Linotype" w:eastAsia="Palatino Linotype" w:hAnsi="Palatino Linotype" w:cs="Palatino Linotype"/>
        </w:rPr>
        <w:t>, visible en el Seminario Judicial de la Federación y su gaceta, con el registro digital 2002350.</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10. Cierres de instrucción. </w:t>
      </w:r>
      <w:r w:rsidRPr="001F0434">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1F0434">
        <w:rPr>
          <w:rFonts w:ascii="Palatino Linotype" w:eastAsia="Palatino Linotype" w:hAnsi="Palatino Linotype" w:cs="Palatino Linotype"/>
          <w:b/>
          <w:color w:val="000000"/>
        </w:rPr>
        <w:t xml:space="preserve">quince de septiembre </w:t>
      </w:r>
      <w:r w:rsidRPr="001F0434">
        <w:rPr>
          <w:rFonts w:ascii="Palatino Linotype" w:eastAsia="Palatino Linotype" w:hAnsi="Palatino Linotype" w:cs="Palatino Linotype"/>
          <w:b/>
        </w:rPr>
        <w:t>de dos mil veintitrés</w:t>
      </w:r>
      <w:r w:rsidRPr="001F0434">
        <w:rPr>
          <w:rFonts w:ascii="Palatino Linotype" w:eastAsia="Palatino Linotype" w:hAnsi="Palatino Linotype" w:cs="Palatino Linotype"/>
        </w:rPr>
        <w:t xml:space="preserve">, la Comisionada Ponente determinó los cierres de instrucción en términos de la fracción VI del artículo 185 de </w:t>
      </w:r>
      <w:r w:rsidRPr="001F0434">
        <w:rPr>
          <w:rFonts w:ascii="Palatino Linotype" w:eastAsia="Palatino Linotype" w:hAnsi="Palatino Linotype" w:cs="Palatino Linotype"/>
        </w:rPr>
        <w:lastRenderedPageBreak/>
        <w:t>la Ley de Transparencia y Acceso a la Información Pública del Estado de México y Municipios.</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rsidR="00D64043" w:rsidRPr="001F0434" w:rsidRDefault="00BB68AC">
      <w:pPr>
        <w:widowControl w:val="0"/>
        <w:spacing w:before="240" w:after="240" w:line="360" w:lineRule="auto"/>
        <w:jc w:val="center"/>
        <w:rPr>
          <w:rFonts w:ascii="Palatino Linotype" w:eastAsia="Palatino Linotype" w:hAnsi="Palatino Linotype" w:cs="Palatino Linotype"/>
          <w:b/>
        </w:rPr>
      </w:pPr>
      <w:r w:rsidRPr="001F0434">
        <w:rPr>
          <w:rFonts w:ascii="Palatino Linotype" w:eastAsia="Palatino Linotype" w:hAnsi="Palatino Linotype" w:cs="Palatino Linotype"/>
          <w:b/>
        </w:rPr>
        <w:t>II. C O N S I D E R A N D O</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Primero. Competencia.</w:t>
      </w:r>
      <w:r w:rsidRPr="001F043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1F0434">
        <w:rPr>
          <w:rFonts w:ascii="Palatino Linotype" w:eastAsia="Palatino Linotype" w:hAnsi="Palatino Linotype" w:cs="Palatino Linotype"/>
          <w:b/>
        </w:rPr>
        <w:t>la parte Recurrente</w:t>
      </w:r>
      <w:r w:rsidRPr="001F0434">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D64043" w:rsidRPr="001F0434" w:rsidRDefault="00BB68AC">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1F0434">
        <w:rPr>
          <w:rFonts w:ascii="Palatino Linotype" w:eastAsia="Palatino Linotype" w:hAnsi="Palatino Linotype" w:cs="Palatino Linotype"/>
          <w:b/>
        </w:rPr>
        <w:t xml:space="preserve">Segundo. Oportunidad y </w:t>
      </w:r>
      <w:proofErr w:type="spellStart"/>
      <w:r w:rsidRPr="001F0434">
        <w:rPr>
          <w:rFonts w:ascii="Palatino Linotype" w:eastAsia="Palatino Linotype" w:hAnsi="Palatino Linotype" w:cs="Palatino Linotype"/>
          <w:b/>
        </w:rPr>
        <w:t>Procedibilidad</w:t>
      </w:r>
      <w:proofErr w:type="spellEnd"/>
      <w:r w:rsidRPr="001F0434">
        <w:rPr>
          <w:rFonts w:ascii="Palatino Linotype" w:eastAsia="Palatino Linotype" w:hAnsi="Palatino Linotype" w:cs="Palatino Linotype"/>
          <w:b/>
        </w:rPr>
        <w:t xml:space="preserve"> de los Recursos de Revisión</w:t>
      </w:r>
      <w:r w:rsidRPr="001F0434">
        <w:rPr>
          <w:rFonts w:ascii="Palatino Linotype" w:eastAsia="Palatino Linotype" w:hAnsi="Palatino Linotype" w:cs="Palatino Linotype"/>
        </w:rPr>
        <w:t xml:space="preserve">. Previo al estudio del fondo del asunto, se procede a analizar los requisitos de oportunidad y </w:t>
      </w:r>
      <w:proofErr w:type="spellStart"/>
      <w:r w:rsidRPr="001F0434">
        <w:rPr>
          <w:rFonts w:ascii="Palatino Linotype" w:eastAsia="Palatino Linotype" w:hAnsi="Palatino Linotype" w:cs="Palatino Linotype"/>
        </w:rPr>
        <w:t>procedibilidad</w:t>
      </w:r>
      <w:proofErr w:type="spellEnd"/>
      <w:r w:rsidRPr="001F0434">
        <w:rPr>
          <w:rFonts w:ascii="Palatino Linotype" w:eastAsia="Palatino Linotype" w:hAnsi="Palatino Linotype" w:cs="Palatino Linotype"/>
        </w:rPr>
        <w:t xml:space="preserve"> que deben reunir los recursos de revisión interpuestos, previstos en </w:t>
      </w:r>
      <w:r w:rsidRPr="001F0434">
        <w:rPr>
          <w:rFonts w:ascii="Palatino Linotype" w:eastAsia="Palatino Linotype" w:hAnsi="Palatino Linotype" w:cs="Palatino Linotype"/>
        </w:rPr>
        <w:lastRenderedPageBreak/>
        <w:t>los artículos 178 y 180 de la Ley de Transparencia y Acceso a la Información Pública del Estado de México y Municipios.</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respondió a las solicitudes de información el </w:t>
      </w:r>
      <w:r w:rsidRPr="001F0434">
        <w:rPr>
          <w:rFonts w:ascii="Palatino Linotype" w:eastAsia="Palatino Linotype" w:hAnsi="Palatino Linotype" w:cs="Palatino Linotype"/>
          <w:b/>
        </w:rPr>
        <w:t>ocho de febrero de dos mil veintitrés</w:t>
      </w:r>
      <w:r w:rsidRPr="001F0434">
        <w:rPr>
          <w:rFonts w:ascii="Palatino Linotype" w:eastAsia="Palatino Linotype" w:hAnsi="Palatino Linotype" w:cs="Palatino Linotype"/>
        </w:rPr>
        <w:t xml:space="preserve">, por su parte, los recursos de revisión se interpusieron el día </w:t>
      </w:r>
      <w:r w:rsidRPr="001F0434">
        <w:rPr>
          <w:rFonts w:ascii="Palatino Linotype" w:eastAsia="Palatino Linotype" w:hAnsi="Palatino Linotype" w:cs="Palatino Linotype"/>
          <w:b/>
        </w:rPr>
        <w:t>diez de febrero de dos mil veintitrés</w:t>
      </w:r>
      <w:r w:rsidRPr="001F0434">
        <w:rPr>
          <w:rFonts w:ascii="Palatino Linotype" w:eastAsia="Palatino Linotype" w:hAnsi="Palatino Linotype" w:cs="Palatino Linotype"/>
        </w:rPr>
        <w:t xml:space="preserve">, esto es al </w:t>
      </w:r>
      <w:r w:rsidRPr="001F0434">
        <w:rPr>
          <w:rFonts w:ascii="Palatino Linotype" w:eastAsia="Palatino Linotype" w:hAnsi="Palatino Linotype" w:cs="Palatino Linotype"/>
          <w:b/>
        </w:rPr>
        <w:t>segundo día hábil después de conocerse las respuestas</w:t>
      </w:r>
      <w:r w:rsidRPr="001F0434">
        <w:rPr>
          <w:rFonts w:ascii="Palatino Linotype" w:eastAsia="Palatino Linotype" w:hAnsi="Palatino Linotype" w:cs="Palatino Linotype"/>
        </w:rPr>
        <w:t>.</w:t>
      </w:r>
    </w:p>
    <w:p w:rsidR="00D64043" w:rsidRPr="001F0434" w:rsidRDefault="00BB68AC">
      <w:pPr>
        <w:spacing w:before="240" w:after="240" w:line="360" w:lineRule="auto"/>
        <w:jc w:val="both"/>
        <w:rPr>
          <w:rFonts w:ascii="Palatino Linotype" w:eastAsia="Palatino Linotype" w:hAnsi="Palatino Linotype" w:cs="Palatino Linotype"/>
          <w:color w:val="000000"/>
        </w:rPr>
      </w:pPr>
      <w:r w:rsidRPr="001F0434">
        <w:rPr>
          <w:rFonts w:ascii="Palatino Linotype" w:eastAsia="Palatino Linotype" w:hAnsi="Palatino Linotype" w:cs="Palatino Linotype"/>
          <w:color w:val="000000"/>
        </w:rPr>
        <w:t xml:space="preserve">En este sentido, al considerar la fecha en que se formularon las solicitudes y las fechas en que respondieron a estas, el </w:t>
      </w:r>
      <w:r w:rsidRPr="001F0434">
        <w:rPr>
          <w:rFonts w:ascii="Palatino Linotype" w:eastAsia="Palatino Linotype" w:hAnsi="Palatino Linotype" w:cs="Palatino Linotype"/>
          <w:b/>
          <w:color w:val="000000"/>
        </w:rPr>
        <w:t>Sujeto Obligado</w:t>
      </w:r>
      <w:r w:rsidRPr="001F0434">
        <w:rPr>
          <w:rFonts w:ascii="Palatino Linotype" w:eastAsia="Palatino Linotype" w:hAnsi="Palatino Linotype" w:cs="Palatino Linotype"/>
          <w:color w:val="000000"/>
        </w:rPr>
        <w:t>; así como la fecha en que se interpusieron los recursos de revisión, se concluye que los presentes recursos de revisión se encuentran dentro de los márgenes temporales previstos las disposiciones legales referidas.</w:t>
      </w:r>
    </w:p>
    <w:p w:rsidR="00D64043" w:rsidRPr="001F0434" w:rsidRDefault="00BB68AC">
      <w:pPr>
        <w:spacing w:before="240" w:after="240" w:line="360" w:lineRule="auto"/>
        <w:jc w:val="both"/>
        <w:rPr>
          <w:rFonts w:ascii="Palatino Linotype" w:eastAsia="Palatino Linotype" w:hAnsi="Palatino Linotype" w:cs="Palatino Linotype"/>
          <w:color w:val="000000"/>
        </w:rPr>
      </w:pPr>
      <w:r w:rsidRPr="001F0434">
        <w:rPr>
          <w:rFonts w:ascii="Palatino Linotype" w:eastAsia="Palatino Linotype" w:hAnsi="Palatino Linotype" w:cs="Palatino Linotype"/>
          <w:color w:val="000000"/>
        </w:rPr>
        <w:t xml:space="preserve">Asimismo, por cuanto hace a la </w:t>
      </w:r>
      <w:proofErr w:type="spellStart"/>
      <w:r w:rsidRPr="001F0434">
        <w:rPr>
          <w:rFonts w:ascii="Palatino Linotype" w:eastAsia="Palatino Linotype" w:hAnsi="Palatino Linotype" w:cs="Palatino Linotype"/>
          <w:color w:val="000000"/>
        </w:rPr>
        <w:t>procedibilidad</w:t>
      </w:r>
      <w:proofErr w:type="spellEnd"/>
      <w:r w:rsidRPr="001F0434">
        <w:rPr>
          <w:rFonts w:ascii="Palatino Linotype" w:eastAsia="Palatino Linotype" w:hAnsi="Palatino Linotype" w:cs="Palatino Linotype"/>
          <w:color w:val="000000"/>
        </w:rPr>
        <w:t xml:space="preserve"> de</w:t>
      </w:r>
      <w:r w:rsidRPr="001F0434">
        <w:rPr>
          <w:rFonts w:ascii="Palatino Linotype" w:eastAsia="Palatino Linotype" w:hAnsi="Palatino Linotype" w:cs="Palatino Linotype"/>
        </w:rPr>
        <w:t xml:space="preserve">l </w:t>
      </w:r>
      <w:r w:rsidRPr="001F0434">
        <w:rPr>
          <w:rFonts w:ascii="Palatino Linotype" w:eastAsia="Palatino Linotype" w:hAnsi="Palatino Linotype" w:cs="Palatino Linotype"/>
          <w:color w:val="000000"/>
        </w:rPr>
        <w:t xml:space="preserve"> recurso de </w:t>
      </w:r>
      <w:r w:rsidRPr="001F0434">
        <w:rPr>
          <w:rFonts w:ascii="Palatino Linotype" w:eastAsia="Palatino Linotype" w:hAnsi="Palatino Linotype" w:cs="Palatino Linotype"/>
        </w:rPr>
        <w:t>revisión</w:t>
      </w:r>
      <w:r w:rsidRPr="001F0434">
        <w:rPr>
          <w:rFonts w:ascii="Palatino Linotype" w:eastAsia="Palatino Linotype" w:hAnsi="Palatino Linotype" w:cs="Palatino Linotype"/>
          <w:color w:val="000000"/>
        </w:rPr>
        <w:t xml:space="preserve">, es de suma importancia señalar que </w:t>
      </w:r>
      <w:r w:rsidRPr="001F0434">
        <w:rPr>
          <w:rFonts w:ascii="Palatino Linotype" w:eastAsia="Palatino Linotype" w:hAnsi="Palatino Linotype" w:cs="Palatino Linotype"/>
          <w:b/>
          <w:color w:val="000000"/>
        </w:rPr>
        <w:t>la parte Recurrente</w:t>
      </w:r>
      <w:r w:rsidRPr="001F0434">
        <w:rPr>
          <w:rFonts w:ascii="Palatino Linotype" w:eastAsia="Palatino Linotype" w:hAnsi="Palatino Linotype" w:cs="Palatino Linotype"/>
          <w:color w:val="000000"/>
        </w:rPr>
        <w:t>, señaló únicamente un seudónimo con el que pueda ser identificado, tal como se advierte en el detalle de seguimiento del SAIMEX, no obstante lo anterior,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64043" w:rsidRPr="001F0434" w:rsidRDefault="00BB68AC">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cuanto hace a la </w:t>
      </w:r>
      <w:proofErr w:type="spellStart"/>
      <w:r w:rsidRPr="001F0434">
        <w:rPr>
          <w:rFonts w:ascii="Palatino Linotype" w:eastAsia="Palatino Linotype" w:hAnsi="Palatino Linotype" w:cs="Palatino Linotype"/>
        </w:rPr>
        <w:t>procedibilidad</w:t>
      </w:r>
      <w:proofErr w:type="spellEnd"/>
      <w:r w:rsidRPr="001F0434">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w:t>
      </w:r>
      <w:r w:rsidRPr="001F0434">
        <w:rPr>
          <w:rFonts w:ascii="Palatino Linotype" w:eastAsia="Palatino Linotype" w:hAnsi="Palatino Linotype" w:cs="Palatino Linotype"/>
          <w:color w:val="000000"/>
        </w:rPr>
        <w:t>n</w:t>
      </w:r>
      <w:r w:rsidRPr="001F0434">
        <w:rPr>
          <w:rFonts w:ascii="Palatino Linotype" w:eastAsia="Palatino Linotype" w:hAnsi="Palatino Linotype" w:cs="Palatino Linotype"/>
        </w:rPr>
        <w:t xml:space="preserve"> II  del ordenamiento legal citado, que a la letra dice: </w:t>
      </w:r>
    </w:p>
    <w:p w:rsidR="00D64043" w:rsidRPr="001F0434" w:rsidRDefault="00BB68AC">
      <w:pPr>
        <w:tabs>
          <w:tab w:val="left" w:pos="7088"/>
        </w:tabs>
        <w:spacing w:before="240" w:after="240"/>
        <w:ind w:left="851" w:right="616"/>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r w:rsidRPr="001F0434">
        <w:rPr>
          <w:rFonts w:ascii="Palatino Linotype" w:eastAsia="Palatino Linotype" w:hAnsi="Palatino Linotype" w:cs="Palatino Linotype"/>
          <w:b/>
          <w:i/>
          <w:sz w:val="22"/>
          <w:szCs w:val="22"/>
        </w:rPr>
        <w:t>Artículo 179.</w:t>
      </w:r>
      <w:r w:rsidRPr="001F043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64043" w:rsidRPr="001F0434" w:rsidRDefault="00BB68AC">
      <w:pPr>
        <w:tabs>
          <w:tab w:val="left" w:pos="7088"/>
        </w:tabs>
        <w:spacing w:before="240" w:after="240"/>
        <w:ind w:left="851" w:right="616"/>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p>
    <w:p w:rsidR="00D64043" w:rsidRPr="001F0434" w:rsidRDefault="00BB68AC">
      <w:pPr>
        <w:tabs>
          <w:tab w:val="left" w:pos="7088"/>
        </w:tabs>
        <w:spacing w:before="240" w:after="240"/>
        <w:ind w:left="851" w:right="616"/>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 xml:space="preserve">II. La clasificación de la </w:t>
      </w:r>
      <w:r w:rsidRPr="001F0434">
        <w:rPr>
          <w:rFonts w:ascii="Palatino Linotype" w:eastAsia="Palatino Linotype" w:hAnsi="Palatino Linotype" w:cs="Palatino Linotype"/>
          <w:b/>
          <w:i/>
          <w:color w:val="000000"/>
          <w:sz w:val="22"/>
          <w:szCs w:val="22"/>
        </w:rPr>
        <w:t xml:space="preserve">información;” </w:t>
      </w:r>
      <w:r w:rsidRPr="001F0434">
        <w:rPr>
          <w:rFonts w:ascii="Palatino Linotype" w:eastAsia="Palatino Linotype" w:hAnsi="Palatino Linotype" w:cs="Palatino Linotype"/>
          <w:i/>
          <w:color w:val="000000"/>
          <w:sz w:val="22"/>
          <w:szCs w:val="22"/>
        </w:rPr>
        <w:t xml:space="preserve">(Énfasis </w:t>
      </w:r>
      <w:r w:rsidRPr="001F0434">
        <w:rPr>
          <w:rFonts w:ascii="Palatino Linotype" w:eastAsia="Palatino Linotype" w:hAnsi="Palatino Linotype" w:cs="Palatino Linotype"/>
          <w:i/>
          <w:sz w:val="22"/>
          <w:szCs w:val="22"/>
        </w:rPr>
        <w:t>añadido)</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Tercero. Materia de la revisión. </w:t>
      </w:r>
      <w:r w:rsidRPr="001F0434">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1F0434">
        <w:rPr>
          <w:rFonts w:ascii="Palatino Linotype" w:eastAsia="Palatino Linotype" w:hAnsi="Palatino Linotype" w:cs="Palatino Linotype"/>
          <w:b/>
        </w:rPr>
        <w:t xml:space="preserve">verificar si las respuestas e informes justificados otorgados por el Sujeto Obligado son adecuadas y suficientes para satisfacer el derecho de acceso a la información pública </w:t>
      </w:r>
      <w:r w:rsidRPr="001F0434">
        <w:rPr>
          <w:rFonts w:ascii="Palatino Linotype" w:eastAsia="Palatino Linotype" w:hAnsi="Palatino Linotype" w:cs="Palatino Linotype"/>
        </w:rPr>
        <w:t xml:space="preserve">de </w:t>
      </w:r>
      <w:r w:rsidRPr="001F0434">
        <w:rPr>
          <w:rFonts w:ascii="Palatino Linotype" w:eastAsia="Palatino Linotype" w:hAnsi="Palatino Linotype" w:cs="Palatino Linotype"/>
          <w:b/>
        </w:rPr>
        <w:t>la parte</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Recurrente</w:t>
      </w:r>
      <w:r w:rsidRPr="001F0434">
        <w:rPr>
          <w:rFonts w:ascii="Palatino Linotype" w:eastAsia="Palatino Linotype" w:hAnsi="Palatino Linotype" w:cs="Palatino Linotype"/>
        </w:rPr>
        <w:t>, o en su defecto, en caso de ser procedente, ordenar la entrega de información.</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lastRenderedPageBreak/>
        <w:t xml:space="preserve">Cuarto. Estudio del asunto. </w:t>
      </w:r>
      <w:r w:rsidRPr="001F0434">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64043" w:rsidRPr="001F0434" w:rsidRDefault="00BB68AC">
      <w:pPr>
        <w:tabs>
          <w:tab w:val="left" w:pos="709"/>
        </w:tabs>
        <w:spacing w:before="240" w:after="240"/>
        <w:ind w:left="851" w:right="85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F043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D64043" w:rsidRPr="001F0434" w:rsidRDefault="00BB68AC">
      <w:pPr>
        <w:tabs>
          <w:tab w:val="left" w:pos="709"/>
        </w:tabs>
        <w:spacing w:before="240" w:after="240"/>
        <w:ind w:left="851" w:right="85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D64043" w:rsidRPr="001F0434" w:rsidRDefault="00BB68AC">
      <w:pPr>
        <w:tabs>
          <w:tab w:val="left" w:pos="709"/>
        </w:tabs>
        <w:spacing w:before="240" w:after="240"/>
        <w:ind w:left="851" w:right="85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F043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D64043" w:rsidRPr="001F0434" w:rsidRDefault="00BB68AC">
      <w:pPr>
        <w:tabs>
          <w:tab w:val="left" w:pos="709"/>
        </w:tabs>
        <w:spacing w:before="240" w:after="240"/>
        <w:ind w:left="851" w:right="85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p>
    <w:p w:rsidR="00D64043" w:rsidRPr="001F0434" w:rsidRDefault="00BB68AC">
      <w:pPr>
        <w:spacing w:before="240" w:after="240"/>
        <w:ind w:left="851" w:right="90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6o.</w:t>
      </w:r>
    </w:p>
    <w:p w:rsidR="00D64043" w:rsidRPr="001F0434" w:rsidRDefault="00BB68AC">
      <w:pPr>
        <w:spacing w:before="240" w:after="240"/>
        <w:ind w:left="851" w:right="90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1F0434">
        <w:rPr>
          <w:rFonts w:ascii="Palatino Linotype" w:eastAsia="Palatino Linotype" w:hAnsi="Palatino Linotype" w:cs="Palatino Linotype"/>
          <w:b/>
          <w:i/>
          <w:sz w:val="22"/>
          <w:szCs w:val="22"/>
          <w:u w:val="single"/>
        </w:rPr>
        <w:t>las entidades federativas</w:t>
      </w:r>
      <w:r w:rsidRPr="001F0434">
        <w:rPr>
          <w:rFonts w:ascii="Palatino Linotype" w:eastAsia="Palatino Linotype" w:hAnsi="Palatino Linotype" w:cs="Palatino Linotype"/>
          <w:b/>
          <w:i/>
          <w:sz w:val="22"/>
          <w:szCs w:val="22"/>
        </w:rPr>
        <w:t>,</w:t>
      </w:r>
      <w:r w:rsidRPr="001F0434">
        <w:rPr>
          <w:rFonts w:ascii="Palatino Linotype" w:eastAsia="Palatino Linotype" w:hAnsi="Palatino Linotype" w:cs="Palatino Linotype"/>
          <w:i/>
          <w:sz w:val="22"/>
          <w:szCs w:val="22"/>
        </w:rPr>
        <w:t xml:space="preserve"> en el ámbito de sus respectivas competencias, se regirán por los siguientes principios y bases:</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 xml:space="preserve">I. </w:t>
      </w:r>
      <w:r w:rsidRPr="001F043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F0434">
        <w:rPr>
          <w:rFonts w:ascii="Palatino Linotype" w:eastAsia="Palatino Linotype" w:hAnsi="Palatino Linotype" w:cs="Palatino Linotype"/>
          <w:i/>
          <w:sz w:val="22"/>
          <w:szCs w:val="22"/>
        </w:rPr>
        <w:t xml:space="preserve"> Ejecutivo, Legislativo </w:t>
      </w:r>
      <w:r w:rsidRPr="001F0434">
        <w:rPr>
          <w:rFonts w:ascii="Palatino Linotype" w:eastAsia="Palatino Linotype" w:hAnsi="Palatino Linotype" w:cs="Palatino Linotype"/>
          <w:b/>
          <w:i/>
          <w:sz w:val="22"/>
          <w:szCs w:val="22"/>
          <w:u w:val="single"/>
        </w:rPr>
        <w:t>y Judicial</w:t>
      </w:r>
      <w:r w:rsidRPr="001F043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F0434">
        <w:rPr>
          <w:rFonts w:ascii="Palatino Linotype" w:eastAsia="Palatino Linotype" w:hAnsi="Palatino Linotype" w:cs="Palatino Linotype"/>
          <w:b/>
          <w:i/>
          <w:sz w:val="22"/>
          <w:szCs w:val="22"/>
        </w:rPr>
        <w:t>es pública y sólo podrá ser reservada temporalmente por razones de interés público y seguridad nacional,</w:t>
      </w:r>
      <w:r w:rsidRPr="001F043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64043" w:rsidRPr="001F0434" w:rsidRDefault="00BB68AC">
      <w:pPr>
        <w:spacing w:before="240" w:after="240"/>
        <w:ind w:left="851" w:right="851"/>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i/>
          <w:sz w:val="22"/>
          <w:szCs w:val="22"/>
        </w:rPr>
        <w:t> </w:t>
      </w:r>
      <w:r w:rsidRPr="001F043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w:t>
      </w:r>
      <w:r w:rsidRPr="001F0434">
        <w:rPr>
          <w:rFonts w:ascii="Palatino Linotype" w:eastAsia="Palatino Linotype" w:hAnsi="Palatino Linotype" w:cs="Palatino Linotype"/>
          <w:b/>
          <w:i/>
          <w:sz w:val="22"/>
          <w:szCs w:val="22"/>
        </w:rPr>
        <w:t xml:space="preserve">III. </w:t>
      </w:r>
      <w:r w:rsidRPr="001F043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F0434">
        <w:rPr>
          <w:rFonts w:ascii="Palatino Linotype" w:eastAsia="Palatino Linotype" w:hAnsi="Palatino Linotype" w:cs="Palatino Linotype"/>
          <w:i/>
          <w:sz w:val="22"/>
          <w:szCs w:val="22"/>
        </w:rPr>
        <w:t xml:space="preserve"> a sus datos personales o a la rectificación de éstos.</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w:t>
      </w:r>
      <w:r w:rsidRPr="001F0434">
        <w:rPr>
          <w:rFonts w:ascii="Palatino Linotype" w:eastAsia="Palatino Linotype" w:hAnsi="Palatino Linotype" w:cs="Palatino Linotype"/>
          <w:b/>
          <w:i/>
          <w:sz w:val="22"/>
          <w:szCs w:val="22"/>
        </w:rPr>
        <w:t xml:space="preserve">IV. </w:t>
      </w:r>
      <w:r w:rsidRPr="001F043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 xml:space="preserve">V. </w:t>
      </w:r>
      <w:r w:rsidRPr="001F043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 xml:space="preserve">VI. </w:t>
      </w:r>
      <w:r w:rsidRPr="001F043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lastRenderedPageBreak/>
        <w:t> </w:t>
      </w:r>
      <w:r w:rsidRPr="001F0434">
        <w:rPr>
          <w:rFonts w:ascii="Palatino Linotype" w:eastAsia="Palatino Linotype" w:hAnsi="Palatino Linotype" w:cs="Palatino Linotype"/>
          <w:b/>
          <w:i/>
          <w:sz w:val="22"/>
          <w:szCs w:val="22"/>
        </w:rPr>
        <w:t xml:space="preserve">VII. </w:t>
      </w:r>
      <w:r w:rsidRPr="001F043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D64043" w:rsidRPr="001F0434" w:rsidRDefault="00D64043">
      <w:pPr>
        <w:spacing w:before="240" w:after="240"/>
        <w:ind w:right="851"/>
        <w:jc w:val="both"/>
        <w:rPr>
          <w:rFonts w:ascii="Palatino Linotype" w:eastAsia="Palatino Linotype" w:hAnsi="Palatino Linotype" w:cs="Palatino Linotype"/>
          <w:i/>
          <w:sz w:val="22"/>
          <w:szCs w:val="22"/>
        </w:rPr>
      </w:pPr>
    </w:p>
    <w:p w:rsidR="00D64043" w:rsidRPr="001F0434" w:rsidRDefault="00BB68AC">
      <w:pPr>
        <w:tabs>
          <w:tab w:val="left" w:pos="709"/>
        </w:tabs>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debe cumplir con dichos dispositivos legales.</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64043" w:rsidRPr="001F0434" w:rsidRDefault="00BB68AC">
      <w:pPr>
        <w:spacing w:before="240" w:after="240"/>
        <w:ind w:left="709" w:right="76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r w:rsidRPr="001F0434">
        <w:rPr>
          <w:rFonts w:ascii="Palatino Linotype" w:eastAsia="Palatino Linotype" w:hAnsi="Palatino Linotype" w:cs="Palatino Linotype"/>
          <w:b/>
          <w:i/>
          <w:sz w:val="22"/>
          <w:szCs w:val="22"/>
        </w:rPr>
        <w:t>Artículo 4</w:t>
      </w:r>
      <w:r w:rsidRPr="001F043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64043" w:rsidRPr="001F0434" w:rsidRDefault="00BB68AC">
      <w:pPr>
        <w:spacing w:before="240" w:after="240"/>
        <w:ind w:left="709" w:right="76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64043" w:rsidRPr="001F0434" w:rsidRDefault="00BB68AC">
      <w:pPr>
        <w:spacing w:before="240" w:after="240"/>
        <w:ind w:left="709" w:right="76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1F0434">
        <w:rPr>
          <w:rFonts w:ascii="Palatino Linotype" w:eastAsia="Palatino Linotype" w:hAnsi="Palatino Linotype" w:cs="Palatino Linotype"/>
          <w:b/>
        </w:rPr>
        <w:t>artículo 12</w:t>
      </w:r>
      <w:r w:rsidRPr="001F0434">
        <w:rPr>
          <w:rFonts w:ascii="Palatino Linotype" w:eastAsia="Palatino Linotype" w:hAnsi="Palatino Linotype" w:cs="Palatino Linotype"/>
        </w:rPr>
        <w:t xml:space="preserve"> de la Ley de Transparencia y Acceso a la Información Pública del Estado de México y Municipios, el cual a la letra dice:</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r w:rsidRPr="001F0434">
        <w:rPr>
          <w:rFonts w:ascii="Palatino Linotype" w:eastAsia="Palatino Linotype" w:hAnsi="Palatino Linotype" w:cs="Palatino Linotype"/>
          <w:b/>
          <w:i/>
          <w:sz w:val="22"/>
          <w:szCs w:val="22"/>
        </w:rPr>
        <w:t>Artículo 12</w:t>
      </w:r>
      <w:r w:rsidRPr="001F043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sidRPr="001F0434">
        <w:rPr>
          <w:rFonts w:ascii="Palatino Linotype" w:eastAsia="Palatino Linotype" w:hAnsi="Palatino Linotype" w:cs="Palatino Linotype"/>
        </w:rPr>
        <w:lastRenderedPageBreak/>
        <w:t>vez que, los Sujetos Obligados</w:t>
      </w:r>
      <w:r w:rsidRPr="001F0434">
        <w:rPr>
          <w:rFonts w:ascii="Palatino Linotype" w:eastAsia="Palatino Linotype" w:hAnsi="Palatino Linotype" w:cs="Palatino Linotype"/>
          <w:b/>
        </w:rPr>
        <w:t xml:space="preserve"> </w:t>
      </w:r>
      <w:r w:rsidRPr="001F0434">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1F0434">
        <w:rPr>
          <w:rFonts w:ascii="Palatino Linotype" w:eastAsia="Palatino Linotype" w:hAnsi="Palatino Linotype" w:cs="Palatino Linotype"/>
          <w:i/>
        </w:rPr>
        <w:t>ad hoc</w:t>
      </w:r>
      <w:r w:rsidRPr="001F0434">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D64043" w:rsidRPr="001F0434" w:rsidRDefault="00BB68AC">
      <w:pPr>
        <w:spacing w:before="240" w:after="240"/>
        <w:ind w:left="851" w:right="851"/>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03/17</w:t>
      </w:r>
    </w:p>
    <w:p w:rsidR="00D64043" w:rsidRPr="001F0434" w:rsidRDefault="00BB68AC">
      <w:pPr>
        <w:spacing w:before="240" w:after="240"/>
        <w:ind w:left="851" w:right="851"/>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“NO EXISTE OBLIGACIÓN DE ELABORAR DOCUMENTOS AD HOC PARA ATENDER LAS SOLICITUDES DE ACCESO A LA INFORMACIÓN.</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otra parte, conviene mencionar que la Ley de Transparencia vigente en el Estado de México refiere: </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18.</w:t>
      </w:r>
      <w:r w:rsidRPr="001F0434">
        <w:rPr>
          <w:rFonts w:ascii="Palatino Linotype" w:eastAsia="Palatino Linotype" w:hAnsi="Palatino Linotype" w:cs="Palatino Linotype"/>
          <w:i/>
          <w:sz w:val="22"/>
          <w:szCs w:val="22"/>
        </w:rPr>
        <w:t xml:space="preserve"> </w:t>
      </w:r>
      <w:r w:rsidRPr="001F0434">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1F0434">
        <w:rPr>
          <w:rFonts w:ascii="Palatino Linotype" w:eastAsia="Palatino Linotype" w:hAnsi="Palatino Linotype" w:cs="Palatino Linotype"/>
          <w:i/>
          <w:sz w:val="22"/>
          <w:szCs w:val="22"/>
        </w:rPr>
        <w:t xml:space="preserve"> y reutilización de la información que generen.</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lastRenderedPageBreak/>
        <w:t xml:space="preserve">Artículo 19. </w:t>
      </w:r>
      <w:r w:rsidRPr="001F0434">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1F0434">
        <w:rPr>
          <w:rFonts w:ascii="Palatino Linotype" w:eastAsia="Palatino Linotype" w:hAnsi="Palatino Linotype" w:cs="Palatino Linotype"/>
          <w:i/>
          <w:sz w:val="22"/>
          <w:szCs w:val="22"/>
        </w:rPr>
        <w:t>.</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64043" w:rsidRPr="001F0434" w:rsidRDefault="00BB68AC">
      <w:pPr>
        <w:spacing w:before="240" w:after="240"/>
        <w:ind w:left="851" w:right="851"/>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(Énfasis añadido)</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1F0434">
        <w:rPr>
          <w:rFonts w:ascii="Palatino Linotype" w:eastAsia="Palatino Linotype" w:hAnsi="Palatino Linotype" w:cs="Palatino Linotype"/>
          <w:b/>
        </w:rPr>
        <w:t xml:space="preserve">cualquier otro registro que documente el ejercicio </w:t>
      </w:r>
      <w:r w:rsidRPr="001F0434">
        <w:rPr>
          <w:rFonts w:ascii="Palatino Linotype" w:eastAsia="Palatino Linotype" w:hAnsi="Palatino Linotype" w:cs="Palatino Linotype"/>
          <w:b/>
        </w:rPr>
        <w:lastRenderedPageBreak/>
        <w:t>de las facultades, funciones, obligaciones y competencias de los Sujetos Obligados</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los que, podrán estar en cualquier medio</w:t>
      </w:r>
      <w:r w:rsidRPr="001F0434">
        <w:rPr>
          <w:rFonts w:ascii="Palatino Linotype" w:eastAsia="Palatino Linotype" w:hAnsi="Palatino Linotype" w:cs="Palatino Linotype"/>
        </w:rPr>
        <w:t xml:space="preserve">, sea escrito, impreso, sonoro, visual, </w:t>
      </w:r>
      <w:r w:rsidRPr="001F0434">
        <w:rPr>
          <w:rFonts w:ascii="Palatino Linotype" w:eastAsia="Palatino Linotype" w:hAnsi="Palatino Linotype" w:cs="Palatino Linotype"/>
          <w:b/>
        </w:rPr>
        <w:t>electrónico</w:t>
      </w:r>
      <w:r w:rsidRPr="001F0434">
        <w:rPr>
          <w:rFonts w:ascii="Palatino Linotype" w:eastAsia="Palatino Linotype" w:hAnsi="Palatino Linotype" w:cs="Palatino Linotype"/>
        </w:rPr>
        <w:t xml:space="preserve">, informático u holográfico, esto es, </w:t>
      </w:r>
      <w:r w:rsidRPr="001F0434">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De ahí que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F0434">
        <w:rPr>
          <w:rFonts w:ascii="Palatino Linotype" w:eastAsia="Palatino Linotype" w:hAnsi="Palatino Linotype" w:cs="Palatino Linotype"/>
          <w:vertAlign w:val="superscript"/>
        </w:rPr>
        <w:footnoteReference w:id="1"/>
      </w:r>
      <w:r w:rsidRPr="001F043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F0434">
        <w:rPr>
          <w:rFonts w:ascii="Palatino Linotype" w:eastAsia="Palatino Linotype" w:hAnsi="Palatino Linotype" w:cs="Palatino Linotype"/>
          <w:vertAlign w:val="superscript"/>
        </w:rPr>
        <w:footnoteReference w:id="2"/>
      </w:r>
      <w:r w:rsidRPr="001F0434">
        <w:rPr>
          <w:rFonts w:ascii="Palatino Linotype" w:eastAsia="Palatino Linotype" w:hAnsi="Palatino Linotype" w:cs="Palatino Linotype"/>
        </w:rPr>
        <w:t xml:space="preserve">, como pudiera tratarse de </w:t>
      </w:r>
      <w:r w:rsidRPr="001F0434">
        <w:rPr>
          <w:rFonts w:ascii="Palatino Linotype" w:eastAsia="Palatino Linotype" w:hAnsi="Palatino Linotype" w:cs="Palatino Linotype"/>
        </w:rPr>
        <w:lastRenderedPageBreak/>
        <w:t>aquella relacionada con las obligaciones de transparencia señaladas en los artículos 92 y 97, fracción I de la Ley de la Materia.</w:t>
      </w:r>
    </w:p>
    <w:p w:rsidR="00D64043" w:rsidRPr="001F0434" w:rsidRDefault="00BB68AC">
      <w:pPr>
        <w:tabs>
          <w:tab w:val="left" w:pos="709"/>
        </w:tabs>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este sentido, cabe reiterar que la persona solicitante requirió al </w:t>
      </w:r>
      <w:r w:rsidRPr="001F0434">
        <w:rPr>
          <w:rFonts w:ascii="Palatino Linotype" w:eastAsia="Palatino Linotype" w:hAnsi="Palatino Linotype" w:cs="Palatino Linotype"/>
          <w:b/>
        </w:rPr>
        <w:t xml:space="preserve">Sujeto Obligado, </w:t>
      </w:r>
      <w:r w:rsidRPr="001F0434">
        <w:rPr>
          <w:rFonts w:ascii="Palatino Linotype" w:eastAsia="Palatino Linotype" w:hAnsi="Palatino Linotype" w:cs="Palatino Linotype"/>
        </w:rPr>
        <w:t xml:space="preserve">lo siguiente: </w:t>
      </w:r>
    </w:p>
    <w:p w:rsidR="00D64043" w:rsidRPr="001F0434" w:rsidRDefault="00BB68AC">
      <w:pPr>
        <w:numPr>
          <w:ilvl w:val="0"/>
          <w:numId w:val="1"/>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 xml:space="preserve">Los </w:t>
      </w:r>
      <w:r w:rsidRPr="001F0434">
        <w:rPr>
          <w:rFonts w:ascii="Palatino Linotype" w:eastAsia="Palatino Linotype" w:hAnsi="Palatino Linotype" w:cs="Palatino Linotype"/>
          <w:b/>
          <w:color w:val="000000"/>
          <w:sz w:val="22"/>
          <w:szCs w:val="22"/>
          <w:u w:val="single"/>
        </w:rPr>
        <w:t>oficios que recibió la unidad de transparencia para dar seguimiento y atención a las observaciones realizadas por el INFOEM</w:t>
      </w:r>
      <w:r w:rsidRPr="001F0434">
        <w:rPr>
          <w:rFonts w:ascii="Palatino Linotype" w:eastAsia="Palatino Linotype" w:hAnsi="Palatino Linotype" w:cs="Palatino Linotype"/>
          <w:b/>
          <w:color w:val="000000"/>
          <w:sz w:val="22"/>
          <w:szCs w:val="22"/>
        </w:rPr>
        <w:t xml:space="preserve"> respecto a la verificación virtual oficiosa en dónde obtuvieron la calificación de 87.67.</w:t>
      </w:r>
    </w:p>
    <w:p w:rsidR="00D64043" w:rsidRPr="001F0434" w:rsidRDefault="00BB68AC">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 xml:space="preserve">Los </w:t>
      </w:r>
      <w:r w:rsidRPr="001F0434">
        <w:rPr>
          <w:rFonts w:ascii="Palatino Linotype" w:eastAsia="Palatino Linotype" w:hAnsi="Palatino Linotype" w:cs="Palatino Linotype"/>
          <w:b/>
          <w:color w:val="000000"/>
          <w:sz w:val="22"/>
          <w:szCs w:val="22"/>
          <w:u w:val="single"/>
        </w:rPr>
        <w:t>oficios generados para dar seguimiento y atención a las observaciones realizadas por el INFOEM</w:t>
      </w:r>
      <w:r w:rsidRPr="001F0434">
        <w:rPr>
          <w:rFonts w:ascii="Palatino Linotype" w:eastAsia="Palatino Linotype" w:hAnsi="Palatino Linotype" w:cs="Palatino Linotype"/>
          <w:b/>
          <w:color w:val="000000"/>
          <w:sz w:val="22"/>
          <w:szCs w:val="22"/>
        </w:rPr>
        <w:t xml:space="preserve"> respecto a la verificación virtual oficiosa en dónde obtuvieron la calificación de 87.67.</w:t>
      </w:r>
    </w:p>
    <w:p w:rsidR="00D64043" w:rsidRPr="001F0434" w:rsidRDefault="00BB68AC">
      <w:pPr>
        <w:numPr>
          <w:ilvl w:val="0"/>
          <w:numId w:val="1"/>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 xml:space="preserve">Los </w:t>
      </w:r>
      <w:r w:rsidRPr="001F0434">
        <w:rPr>
          <w:rFonts w:ascii="Palatino Linotype" w:eastAsia="Palatino Linotype" w:hAnsi="Palatino Linotype" w:cs="Palatino Linotype"/>
          <w:b/>
          <w:color w:val="000000"/>
          <w:sz w:val="22"/>
          <w:szCs w:val="22"/>
          <w:u w:val="single"/>
        </w:rPr>
        <w:t>oficios y acuerdos recibidos por el INFOEM respecto de la verificación virtual oficiosa del año 2022</w:t>
      </w:r>
      <w:r w:rsidRPr="001F0434">
        <w:rPr>
          <w:rFonts w:ascii="Palatino Linotype" w:eastAsia="Palatino Linotype" w:hAnsi="Palatino Linotype" w:cs="Palatino Linotype"/>
          <w:b/>
          <w:color w:val="000000"/>
          <w:sz w:val="22"/>
          <w:szCs w:val="22"/>
        </w:rPr>
        <w:t xml:space="preserve"> en dónde obtuvieron la calificación de 87.67.</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respuesta,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reservó la información solicitada bajo los siguientes argumentos:</w:t>
      </w:r>
    </w:p>
    <w:p w:rsidR="00D64043" w:rsidRPr="001F0434" w:rsidRDefault="00BB68AC">
      <w:pPr>
        <w:spacing w:before="240" w:after="240" w:line="276" w:lineRule="auto"/>
        <w:ind w:left="567" w:right="900"/>
        <w:jc w:val="both"/>
        <w:rPr>
          <w:rFonts w:ascii="Palatino Linotype" w:eastAsia="Palatino Linotype" w:hAnsi="Palatino Linotype" w:cs="Palatino Linotype"/>
          <w:sz w:val="22"/>
          <w:szCs w:val="22"/>
        </w:rPr>
      </w:pPr>
      <w:r w:rsidRPr="001F0434">
        <w:rPr>
          <w:rFonts w:ascii="Palatino Linotype" w:eastAsia="Palatino Linotype" w:hAnsi="Palatino Linotype" w:cs="Palatino Linotype"/>
          <w:sz w:val="22"/>
          <w:szCs w:val="22"/>
        </w:rPr>
        <w:t>“…</w:t>
      </w:r>
      <w:r w:rsidRPr="001F0434">
        <w:rPr>
          <w:rFonts w:ascii="Palatino Linotype" w:eastAsia="Palatino Linotype" w:hAnsi="Palatino Linotype" w:cs="Palatino Linotype"/>
          <w:b/>
          <w:i/>
          <w:sz w:val="22"/>
          <w:szCs w:val="22"/>
          <w:u w:val="single"/>
        </w:rPr>
        <w:t xml:space="preserve">toda la información relacionada con la verificación virtual oficiosa 2022 realizada a la plataforma IPOMEX por parte de la Dirección General Jurídica y de Verificación del Instituto de Transparencia, Acceso a la Información Pública y Protección de Datos Personales del Estado de México y Municipios (INFOEM), se encuentra clasificada como reservada, ya que la entrega-recepción está observada en Contraloría Municipal por falta de información a la página de IPOMEX entre otras circunstancias; asimismo, se amplió con denuncia la misma, por la falta de información del año 2017 y anteriores, y 2018 y posteriores debido a la falta de cumplimiento a la captura. Mediante oficio número PM/CUT/0428/2022 se tuvo a bien observar </w:t>
      </w:r>
      <w:r w:rsidRPr="001F0434">
        <w:rPr>
          <w:rFonts w:ascii="Palatino Linotype" w:eastAsia="Palatino Linotype" w:hAnsi="Palatino Linotype" w:cs="Palatino Linotype"/>
          <w:b/>
          <w:i/>
          <w:sz w:val="22"/>
          <w:szCs w:val="22"/>
          <w:u w:val="single"/>
        </w:rPr>
        <w:lastRenderedPageBreak/>
        <w:t>la entrega-recepción, efectuada el día 3 de enero, además del oficio número PM/CUT/0540/2022 donde se amplían las observaciones a la entrega-recepción de mérito, aunado al oficio número PM/CUT/0011/2023 mismo que solicita se dé inicio al PROCEDIMIENTO DE DENUNCIA POR FALTA DE INFORMACIÓN, ante quien o quienes resulten responsables de la anterior administración Pública Municipal periodo 2019-2021 por falta de información en el portal IPOMEX. Lo anterior, bajo acuerdo número CTM/CUT/SE005/005/AR/2023, aprobado en la Quinta Sesión Extraordinaria del Comité de Transparencia de este Sujeto Obligado</w:t>
      </w:r>
      <w:r w:rsidRPr="001F0434">
        <w:rPr>
          <w:rFonts w:ascii="Palatino Linotype" w:eastAsia="Palatino Linotype" w:hAnsi="Palatino Linotype" w:cs="Palatino Linotype"/>
          <w:b/>
          <w:i/>
          <w:sz w:val="22"/>
          <w:szCs w:val="22"/>
        </w:rPr>
        <w:t>…</w:t>
      </w:r>
      <w:r w:rsidRPr="001F0434">
        <w:rPr>
          <w:rFonts w:ascii="Palatino Linotype" w:eastAsia="Palatino Linotype" w:hAnsi="Palatino Linotype" w:cs="Palatino Linotype"/>
          <w:i/>
          <w:sz w:val="22"/>
          <w:szCs w:val="22"/>
        </w:rPr>
        <w:t>”</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Asimismo, adjuntó un documento de nueve fojas mediante el cual refiere que con fundamento en el artículo 140 fracción VI de la Ley de Transparencia y Acceso a la Información Pública del Estado de México y Municipios, toda la información relacionada con la verificación virtual oficiosa 2022, realizada a la plataforma IPOMEX por parte de la Dirección General Jurídica y de Verificación del Instituto de Transparencia, Acceso a la Información Pública y Protección de Datos Personales del Estado de México y Municipios (INFOEM), se encuentra clasificada como reservada, ya que la </w:t>
      </w:r>
      <w:r w:rsidRPr="001F0434">
        <w:rPr>
          <w:rFonts w:ascii="Palatino Linotype" w:eastAsia="Palatino Linotype" w:hAnsi="Palatino Linotype" w:cs="Palatino Linotype"/>
          <w:b/>
          <w:u w:val="single"/>
        </w:rPr>
        <w:t>entrega-recepción</w:t>
      </w:r>
      <w:r w:rsidRPr="001F0434">
        <w:rPr>
          <w:rFonts w:ascii="Palatino Linotype" w:eastAsia="Palatino Linotype" w:hAnsi="Palatino Linotype" w:cs="Palatino Linotype"/>
        </w:rPr>
        <w:t xml:space="preserve"> está observada en Contraloría Municipal por falta de la información a la página IPOMEX entre otras circunstancias; asimismo, se amplió con denuncia la misma, por la falta de información del año 2017 y anteriores y 2018 y posteriores debido a la falta de cumplimiento de la captura.</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Dicha reserva encuentra sustento bajo el acuerdo número CTM/CUT/SE005/005/AR/2023, aprobado en la Quinta Sesión Extraordinaria del Comité de Transparencia, es de precisar que adjuntan dicha acta.</w:t>
      </w:r>
    </w:p>
    <w:p w:rsidR="00D64043" w:rsidRPr="001F0434" w:rsidRDefault="00BB68AC">
      <w:pPr>
        <w:spacing w:before="240" w:after="240" w:line="360" w:lineRule="auto"/>
        <w:jc w:val="both"/>
        <w:rPr>
          <w:rFonts w:ascii="Palatino Linotype" w:eastAsia="Palatino Linotype" w:hAnsi="Palatino Linotype" w:cs="Palatino Linotype"/>
          <w:b/>
        </w:rPr>
      </w:pPr>
      <w:r w:rsidRPr="001F0434">
        <w:rPr>
          <w:rFonts w:ascii="Palatino Linotype" w:eastAsia="Palatino Linotype" w:hAnsi="Palatino Linotype" w:cs="Palatino Linotype"/>
        </w:rPr>
        <w:lastRenderedPageBreak/>
        <w:t xml:space="preserve">Una vez conocidas las respuestas, </w:t>
      </w:r>
      <w:r w:rsidRPr="001F0434">
        <w:rPr>
          <w:rFonts w:ascii="Palatino Linotype" w:eastAsia="Palatino Linotype" w:hAnsi="Palatino Linotype" w:cs="Palatino Linotype"/>
          <w:b/>
        </w:rPr>
        <w:t>la parte Recurrente</w:t>
      </w:r>
      <w:r w:rsidRPr="001F0434">
        <w:rPr>
          <w:rFonts w:ascii="Palatino Linotype" w:eastAsia="Palatino Linotype" w:hAnsi="Palatino Linotype" w:cs="Palatino Linotype"/>
        </w:rPr>
        <w:t xml:space="preserve"> interpuso los recursos de revisión que nos ocupan, inconformándose en la totalidad de los expedientes por la clasificación de la información y por considerar que la </w:t>
      </w:r>
      <w:r w:rsidRPr="001F0434">
        <w:rPr>
          <w:rFonts w:ascii="Palatino Linotype" w:eastAsia="Palatino Linotype" w:hAnsi="Palatino Linotype" w:cs="Palatino Linotype"/>
          <w:b/>
        </w:rPr>
        <w:t>entrega de la información no corresponde con lo solicitado.</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Tras la admisión de los medios de impugnación que ahora se resuelven, se concedió un plazo de siete días hábiles a las partes para efecto de que remitieran su informe justificado o cualquier manifestación que a su derecho conviniera, es de mencionar que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ratificó sus respuestas iniciales mientras que </w:t>
      </w:r>
      <w:r w:rsidRPr="001F0434">
        <w:rPr>
          <w:rFonts w:ascii="Palatino Linotype" w:eastAsia="Palatino Linotype" w:hAnsi="Palatino Linotype" w:cs="Palatino Linotype"/>
          <w:b/>
        </w:rPr>
        <w:t>la parte Recurrente</w:t>
      </w:r>
      <w:r w:rsidRPr="001F0434">
        <w:rPr>
          <w:rFonts w:ascii="Palatino Linotype" w:eastAsia="Palatino Linotype" w:hAnsi="Palatino Linotype" w:cs="Palatino Linotype"/>
        </w:rPr>
        <w:t xml:space="preserve"> omitió emitir pronunciamiento alguno, por lo tanto, se procedió al cierre de instrucción.</w:t>
      </w:r>
    </w:p>
    <w:p w:rsidR="00D64043" w:rsidRPr="001F0434" w:rsidRDefault="00BB68AC">
      <w:pPr>
        <w:pBdr>
          <w:top w:val="nil"/>
          <w:left w:val="nil"/>
          <w:bottom w:val="nil"/>
          <w:right w:val="nil"/>
          <w:between w:val="nil"/>
        </w:pBdr>
        <w:shd w:val="clear" w:color="auto" w:fill="FFFFFF"/>
        <w:spacing w:after="240" w:line="360" w:lineRule="auto"/>
        <w:jc w:val="both"/>
        <w:rPr>
          <w:color w:val="000000"/>
        </w:rPr>
      </w:pPr>
      <w:r w:rsidRPr="001F0434">
        <w:rPr>
          <w:rFonts w:ascii="Palatino Linotype" w:eastAsia="Palatino Linotype" w:hAnsi="Palatino Linotype" w:cs="Palatino Linotype"/>
        </w:rPr>
        <w:t xml:space="preserve">Una vez expuestas las posturas de las partes, resulta pertinente señalar que </w:t>
      </w:r>
      <w:r w:rsidRPr="001F0434">
        <w:rPr>
          <w:rFonts w:ascii="Palatino Linotype" w:eastAsia="Palatino Linotype" w:hAnsi="Palatino Linotype" w:cs="Palatino Linotype"/>
          <w:color w:val="000000"/>
        </w:rPr>
        <w:t xml:space="preserve">el </w:t>
      </w:r>
      <w:r w:rsidRPr="001F0434">
        <w:rPr>
          <w:rFonts w:ascii="Palatino Linotype" w:eastAsia="Palatino Linotype" w:hAnsi="Palatino Linotype" w:cs="Palatino Linotype"/>
          <w:b/>
          <w:color w:val="000000"/>
        </w:rPr>
        <w:t>Sujeto Obligado</w:t>
      </w:r>
      <w:r w:rsidRPr="001F0434">
        <w:rPr>
          <w:rFonts w:ascii="Palatino Linotype" w:eastAsia="Palatino Linotype" w:hAnsi="Palatino Linotype" w:cs="Palatino Linotype"/>
          <w:color w:val="000000"/>
        </w:rPr>
        <w:t xml:space="preserve"> no niega la competencia para conocer de la información solicitada, sino por el contrario, con los pronunciamientos proporcionados por</w:t>
      </w:r>
      <w:r w:rsidRPr="001F0434">
        <w:rPr>
          <w:rFonts w:ascii="Palatino Linotype" w:eastAsia="Palatino Linotype" w:hAnsi="Palatino Linotype" w:cs="Palatino Linotype"/>
          <w:b/>
          <w:color w:val="000000"/>
        </w:rPr>
        <w:t xml:space="preserve"> la Titular de la Unidad de Transparencia</w:t>
      </w:r>
      <w:r w:rsidRPr="001F0434">
        <w:rPr>
          <w:rFonts w:ascii="Palatino Linotype" w:eastAsia="Palatino Linotype" w:hAnsi="Palatino Linotype" w:cs="Palatino Linotype"/>
          <w:color w:val="000000"/>
        </w:rPr>
        <w:t>, en su carácter de servidora pública habilitada asevera que es competente para conocer de la solicitud de información</w:t>
      </w:r>
      <w:r w:rsidRPr="001F0434">
        <w:rPr>
          <w:rFonts w:ascii="Palatino Linotype" w:eastAsia="Palatino Linotype" w:hAnsi="Palatino Linotype" w:cs="Palatino Linotype"/>
          <w:i/>
          <w:color w:val="000000"/>
        </w:rPr>
        <w:t xml:space="preserve">, </w:t>
      </w:r>
      <w:r w:rsidRPr="001F0434">
        <w:rPr>
          <w:rFonts w:ascii="Palatino Linotype" w:eastAsia="Palatino Linotype" w:hAnsi="Palatino Linotype" w:cs="Palatino Linotype"/>
          <w:color w:val="000000"/>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D64043" w:rsidRPr="001F0434" w:rsidRDefault="00BB68AC">
      <w:pPr>
        <w:pBdr>
          <w:top w:val="nil"/>
          <w:left w:val="nil"/>
          <w:bottom w:val="nil"/>
          <w:right w:val="nil"/>
          <w:between w:val="nil"/>
        </w:pBdr>
        <w:spacing w:before="240" w:after="240"/>
        <w:ind w:left="851" w:right="902"/>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b/>
          <w:i/>
          <w:color w:val="000000"/>
          <w:sz w:val="22"/>
          <w:szCs w:val="22"/>
        </w:rPr>
        <w:lastRenderedPageBreak/>
        <w:t>“Artículo 12. Quienes generen, recopilen, administren, manejen, procesen, archiven o conserven información pública serán responsables de la misma</w:t>
      </w:r>
      <w:r w:rsidRPr="001F0434">
        <w:rPr>
          <w:rFonts w:ascii="Palatino Linotype" w:eastAsia="Palatino Linotype" w:hAnsi="Palatino Linotype" w:cs="Palatino Linotype"/>
          <w:i/>
          <w:color w:val="000000"/>
          <w:sz w:val="22"/>
          <w:szCs w:val="22"/>
        </w:rPr>
        <w:t xml:space="preserve"> en los términos de las disposiciones jurídicas aplicables.” </w:t>
      </w:r>
    </w:p>
    <w:p w:rsidR="00D64043" w:rsidRPr="001F0434" w:rsidRDefault="00BB68AC">
      <w:pPr>
        <w:spacing w:after="240" w:line="360" w:lineRule="auto"/>
        <w:ind w:right="49"/>
        <w:jc w:val="both"/>
        <w:rPr>
          <w:rFonts w:ascii="Palatino Linotype" w:eastAsia="Palatino Linotype" w:hAnsi="Palatino Linotype" w:cs="Palatino Linotype"/>
        </w:rPr>
      </w:pPr>
      <w:r w:rsidRPr="001F0434">
        <w:rPr>
          <w:rFonts w:ascii="Palatino Linotype" w:eastAsia="Palatino Linotype" w:hAnsi="Palatino Linotype" w:cs="Palatino Linotype"/>
        </w:rPr>
        <w:t>Asimismo, resulta pertinente traer a colación el siguiente criterio SO/029/2010 emitido por el Instituto Nacional de Transparencia, Acceso a la Información y Protección de Datos Personales:</w:t>
      </w:r>
    </w:p>
    <w:p w:rsidR="00D64043" w:rsidRPr="001F0434" w:rsidRDefault="00BB68AC">
      <w:pPr>
        <w:spacing w:after="240"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“La clasificación y la inexistencia de información son conceptos que no pueden coexistir.</w:t>
      </w:r>
      <w:r w:rsidRPr="001F0434">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Ahora bien, en el asunto que nos ocupa, concerniente a la información relativa a la verificación virtual, en donde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obtuvo la calificación de 87.67, debemos recordar que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reservó la información, ello en virtud de las siguientes consideraciones: </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numPr>
          <w:ilvl w:val="2"/>
          <w:numId w:val="9"/>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color w:val="000000"/>
        </w:rPr>
      </w:pPr>
      <w:r w:rsidRPr="001F0434">
        <w:rPr>
          <w:rFonts w:ascii="Palatino Linotype" w:eastAsia="Palatino Linotype" w:hAnsi="Palatino Linotype" w:cs="Palatino Linotype"/>
          <w:color w:val="000000"/>
        </w:rPr>
        <w:t xml:space="preserve">Con fundamento en el artículo 140, fracción VI de la Ley de Transparencia y Acceso a la Información Pública del Estado de México </w:t>
      </w:r>
      <w:r w:rsidRPr="001F0434">
        <w:rPr>
          <w:rFonts w:ascii="Palatino Linotype" w:eastAsia="Palatino Linotype" w:hAnsi="Palatino Linotype" w:cs="Palatino Linotype"/>
          <w:color w:val="000000"/>
        </w:rPr>
        <w:lastRenderedPageBreak/>
        <w:t xml:space="preserve">y Municipios, informó que toda la información relacionada con la verificación virtual oficiosa 2022 realizada a la plataforma IPOMEX por parte de la Dirección General Jurídica y de Verificación del Instituto de Transparencia, Acceso a la Información Pública del Estado de México y Municipios (INFOEM), se encuentra clasificada como reservada, ya que </w:t>
      </w:r>
      <w:r w:rsidRPr="001F0434">
        <w:rPr>
          <w:rFonts w:ascii="Palatino Linotype" w:eastAsia="Palatino Linotype" w:hAnsi="Palatino Linotype" w:cs="Palatino Linotype"/>
          <w:b/>
          <w:color w:val="000000"/>
          <w:u w:val="single"/>
        </w:rPr>
        <w:t>la entrega-recepción está observada en Contraloría</w:t>
      </w:r>
      <w:r w:rsidRPr="001F0434">
        <w:rPr>
          <w:rFonts w:ascii="Palatino Linotype" w:eastAsia="Palatino Linotype" w:hAnsi="Palatino Linotype" w:cs="Palatino Linotype"/>
          <w:color w:val="000000"/>
        </w:rPr>
        <w:t xml:space="preserve"> Municipal por falta de información a la página de IPOMEX </w:t>
      </w:r>
      <w:r w:rsidRPr="001F0434">
        <w:rPr>
          <w:rFonts w:ascii="Palatino Linotype" w:eastAsia="Palatino Linotype" w:hAnsi="Palatino Linotype" w:cs="Palatino Linotype"/>
          <w:b/>
          <w:color w:val="000000"/>
        </w:rPr>
        <w:t xml:space="preserve">entre otras circunstancias. </w:t>
      </w:r>
    </w:p>
    <w:p w:rsidR="00D64043" w:rsidRPr="001F0434" w:rsidRDefault="00D64043">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p>
    <w:p w:rsidR="00D64043" w:rsidRPr="001F0434" w:rsidRDefault="00BB68AC">
      <w:pPr>
        <w:numPr>
          <w:ilvl w:val="2"/>
          <w:numId w:val="9"/>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rPr>
      </w:pPr>
      <w:r w:rsidRPr="001F0434">
        <w:rPr>
          <w:rFonts w:ascii="Palatino Linotype" w:eastAsia="Palatino Linotype" w:hAnsi="Palatino Linotype" w:cs="Palatino Linotype"/>
          <w:color w:val="000000"/>
        </w:rPr>
        <w:t xml:space="preserve">Se amplió con </w:t>
      </w:r>
      <w:r w:rsidRPr="001F0434">
        <w:rPr>
          <w:rFonts w:ascii="Palatino Linotype" w:eastAsia="Palatino Linotype" w:hAnsi="Palatino Linotype" w:cs="Palatino Linotype"/>
          <w:b/>
          <w:color w:val="000000"/>
          <w:u w:val="single"/>
        </w:rPr>
        <w:t>denuncia</w:t>
      </w:r>
      <w:r w:rsidRPr="001F0434">
        <w:rPr>
          <w:rFonts w:ascii="Palatino Linotype" w:eastAsia="Palatino Linotype" w:hAnsi="Palatino Linotype" w:cs="Palatino Linotype"/>
          <w:color w:val="000000"/>
        </w:rPr>
        <w:t xml:space="preserve"> la misma, por la falta de información del año 2017 y anteriores, y 2018 y posteriores debido a la falta de cumplimiento a la captura. Mediante oficio número PM/CUT/0428/2022 se tuvo a bien observar la entrega-recepción, efectuada el día 3 de enero de 2022, además del oficio número PM/CUT/0540/2022 donde se amplían las observaciones a la entrega-recepción de mérito, aunado al oficio número PM/CUT/0011/2023 mismo que solicita se dé inicio al PROCEDIMIENTO DE DENUNCIA POR FALTA DE INFORMACIÓN, ante quien o quienes resulten responsables de la anterior administración pública municipal periodo 2019-2021 por falta de información en el portal IPOMEX.</w:t>
      </w:r>
    </w:p>
    <w:p w:rsidR="00D64043" w:rsidRPr="001F0434" w:rsidRDefault="00D64043">
      <w:pPr>
        <w:spacing w:line="360" w:lineRule="auto"/>
        <w:jc w:val="both"/>
        <w:rPr>
          <w:rFonts w:ascii="Palatino Linotype" w:eastAsia="Palatino Linotype" w:hAnsi="Palatino Linotype" w:cs="Palatino Linotype"/>
          <w:color w:val="000000"/>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lastRenderedPageBreak/>
        <w:t>En este sentido, para un mejor entendimiento de las constancias de los expedientes que ahora se resuelven, resulta pertinente subdividirlo en dos apartados, los cuales serán los siguientes:</w:t>
      </w:r>
    </w:p>
    <w:p w:rsidR="00D64043" w:rsidRPr="001F0434" w:rsidRDefault="00BB68AC">
      <w:pPr>
        <w:spacing w:line="276" w:lineRule="auto"/>
        <w:ind w:left="567" w:right="900"/>
        <w:jc w:val="both"/>
        <w:rPr>
          <w:rFonts w:ascii="Palatino Linotype" w:eastAsia="Palatino Linotype" w:hAnsi="Palatino Linotype" w:cs="Palatino Linotype"/>
          <w:b/>
        </w:rPr>
      </w:pPr>
      <w:r w:rsidRPr="001F0434">
        <w:rPr>
          <w:rFonts w:ascii="Palatino Linotype" w:eastAsia="Palatino Linotype" w:hAnsi="Palatino Linotype" w:cs="Palatino Linotype"/>
          <w:b/>
        </w:rPr>
        <w:t>1.- De la verificación virtual oficiosa concluida</w:t>
      </w:r>
    </w:p>
    <w:p w:rsidR="00D64043" w:rsidRPr="001F0434" w:rsidRDefault="00D64043">
      <w:pPr>
        <w:spacing w:line="276" w:lineRule="auto"/>
        <w:ind w:left="567" w:right="900"/>
        <w:jc w:val="both"/>
        <w:rPr>
          <w:rFonts w:ascii="Palatino Linotype" w:eastAsia="Palatino Linotype" w:hAnsi="Palatino Linotype" w:cs="Palatino Linotype"/>
          <w:b/>
        </w:rPr>
      </w:pPr>
    </w:p>
    <w:p w:rsidR="00D64043" w:rsidRPr="001F0434" w:rsidRDefault="00BB68AC">
      <w:pPr>
        <w:spacing w:line="276" w:lineRule="auto"/>
        <w:ind w:left="567" w:right="900"/>
        <w:jc w:val="both"/>
        <w:rPr>
          <w:rFonts w:ascii="Palatino Linotype" w:eastAsia="Palatino Linotype" w:hAnsi="Palatino Linotype" w:cs="Palatino Linotype"/>
          <w:b/>
        </w:rPr>
      </w:pPr>
      <w:r w:rsidRPr="001F0434">
        <w:rPr>
          <w:rFonts w:ascii="Palatino Linotype" w:eastAsia="Palatino Linotype" w:hAnsi="Palatino Linotype" w:cs="Palatino Linotype"/>
          <w:b/>
        </w:rPr>
        <w:t>2.- Improcedencia de la reserva e independencia del procedimiento administrativo respecto de la información solicitada</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276" w:lineRule="auto"/>
        <w:ind w:right="900"/>
        <w:jc w:val="both"/>
        <w:rPr>
          <w:rFonts w:ascii="Palatino Linotype" w:eastAsia="Palatino Linotype" w:hAnsi="Palatino Linotype" w:cs="Palatino Linotype"/>
          <w:b/>
        </w:rPr>
      </w:pPr>
      <w:r w:rsidRPr="001F0434">
        <w:rPr>
          <w:rFonts w:ascii="Palatino Linotype" w:eastAsia="Palatino Linotype" w:hAnsi="Palatino Linotype" w:cs="Palatino Linotype"/>
          <w:b/>
        </w:rPr>
        <w:t>1.- De la verificación virtual oficiosa concluida</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Para iniciar este apartado, debe señalarse que de la consulta a la liga electrónica </w:t>
      </w:r>
      <w:hyperlink r:id="rId8">
        <w:r w:rsidRPr="001F0434">
          <w:rPr>
            <w:rFonts w:ascii="Palatino Linotype" w:eastAsia="Palatino Linotype" w:hAnsi="Palatino Linotype" w:cs="Palatino Linotype"/>
            <w:color w:val="0000FF"/>
            <w:u w:val="single"/>
          </w:rPr>
          <w:t>https://www.infoem.org.mx/es/contenido/verificaci%C3%B3n-virtual-oficiosa-2022</w:t>
        </w:r>
      </w:hyperlink>
      <w:r w:rsidRPr="001F0434">
        <w:rPr>
          <w:rFonts w:ascii="Palatino Linotype" w:eastAsia="Palatino Linotype" w:hAnsi="Palatino Linotype" w:cs="Palatino Linotype"/>
        </w:rPr>
        <w:t xml:space="preserve"> se advierte que la verificación virtual oficiosa 2022 a la fecha de la solicitud de información, se encuentra concluida y derivado de ello, el Ayuntamiento de Cuautitlán Izcalli obtuvo la calificación de 87.67%, sirve de referencia la siguiente impresión de pantalla:</w:t>
      </w:r>
    </w:p>
    <w:p w:rsidR="00D64043" w:rsidRPr="001F0434" w:rsidRDefault="00BB68AC">
      <w:pPr>
        <w:spacing w:line="360" w:lineRule="auto"/>
        <w:jc w:val="center"/>
        <w:rPr>
          <w:rFonts w:ascii="Palatino Linotype" w:eastAsia="Palatino Linotype" w:hAnsi="Palatino Linotype" w:cs="Palatino Linotype"/>
        </w:rPr>
      </w:pPr>
      <w:r w:rsidRPr="001F0434">
        <w:rPr>
          <w:rFonts w:ascii="Palatino Linotype" w:eastAsia="Palatino Linotype" w:hAnsi="Palatino Linotype" w:cs="Palatino Linotype"/>
          <w:noProof/>
          <w:lang w:val="es-MX"/>
        </w:rPr>
        <w:drawing>
          <wp:inline distT="0" distB="0" distL="0" distR="0">
            <wp:extent cx="4469181" cy="2386294"/>
            <wp:effectExtent l="0" t="0" r="0" b="0"/>
            <wp:docPr id="3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469181" cy="2386294"/>
                    </a:xfrm>
                    <a:prstGeom prst="rect">
                      <a:avLst/>
                    </a:prstGeom>
                    <a:ln/>
                  </pic:spPr>
                </pic:pic>
              </a:graphicData>
            </a:graphic>
          </wp:inline>
        </w:drawing>
      </w:r>
    </w:p>
    <w:p w:rsidR="00D64043" w:rsidRPr="001F0434" w:rsidRDefault="00BB68AC">
      <w:pPr>
        <w:spacing w:line="360" w:lineRule="auto"/>
        <w:jc w:val="both"/>
        <w:rPr>
          <w:rFonts w:ascii="Palatino Linotype" w:eastAsia="Palatino Linotype" w:hAnsi="Palatino Linotype" w:cs="Palatino Linotype"/>
        </w:rPr>
      </w:pPr>
      <w:r w:rsidRPr="001F0434">
        <w:rPr>
          <w:noProof/>
          <w:lang w:val="es-MX"/>
        </w:rPr>
        <w:lastRenderedPageBreak/>
        <w:drawing>
          <wp:anchor distT="0" distB="0" distL="114300" distR="114300" simplePos="0" relativeHeight="251658240" behindDoc="0" locked="0" layoutInCell="1" hidden="0" allowOverlap="1">
            <wp:simplePos x="0" y="0"/>
            <wp:positionH relativeFrom="column">
              <wp:posOffset>-156209</wp:posOffset>
            </wp:positionH>
            <wp:positionV relativeFrom="paragraph">
              <wp:posOffset>0</wp:posOffset>
            </wp:positionV>
            <wp:extent cx="6274980" cy="1352550"/>
            <wp:effectExtent l="0" t="0" r="0" b="0"/>
            <wp:wrapTopAndBottom distT="0" distB="0"/>
            <wp:docPr id="3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274980" cy="1352550"/>
                    </a:xfrm>
                    <a:prstGeom prst="rect">
                      <a:avLst/>
                    </a:prstGeom>
                    <a:ln/>
                  </pic:spPr>
                </pic:pic>
              </a:graphicData>
            </a:graphic>
          </wp:anchor>
        </w:drawing>
      </w:r>
      <w:r w:rsidRPr="001F0434">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-165099</wp:posOffset>
                </wp:positionH>
                <wp:positionV relativeFrom="paragraph">
                  <wp:posOffset>977900</wp:posOffset>
                </wp:positionV>
                <wp:extent cx="6303010" cy="400050"/>
                <wp:effectExtent l="0" t="0" r="0" b="0"/>
                <wp:wrapNone/>
                <wp:docPr id="350" name="Rectángulo 350"/>
                <wp:cNvGraphicFramePr/>
                <a:graphic xmlns:a="http://schemas.openxmlformats.org/drawingml/2006/main">
                  <a:graphicData uri="http://schemas.microsoft.com/office/word/2010/wordprocessingShape">
                    <wps:wsp>
                      <wps:cNvSpPr/>
                      <wps:spPr>
                        <a:xfrm>
                          <a:off x="2208783" y="3594263"/>
                          <a:ext cx="6274435" cy="371475"/>
                        </a:xfrm>
                        <a:prstGeom prst="rect">
                          <a:avLst/>
                        </a:prstGeom>
                        <a:noFill/>
                        <a:ln w="28575" cap="flat" cmpd="sng">
                          <a:solidFill>
                            <a:srgbClr val="00B0F0"/>
                          </a:solidFill>
                          <a:prstDash val="solid"/>
                          <a:round/>
                          <a:headEnd type="none" w="sm" len="sm"/>
                          <a:tailEnd type="none" w="sm" len="sm"/>
                        </a:ln>
                      </wps:spPr>
                      <wps:txbx>
                        <w:txbxContent>
                          <w:p w:rsidR="00D64043" w:rsidRDefault="00D6404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977900</wp:posOffset>
                </wp:positionV>
                <wp:extent cx="6303010" cy="400050"/>
                <wp:effectExtent b="0" l="0" r="0" t="0"/>
                <wp:wrapNone/>
                <wp:docPr id="350"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6303010" cy="400050"/>
                        </a:xfrm>
                        <a:prstGeom prst="rect"/>
                        <a:ln/>
                      </pic:spPr>
                    </pic:pic>
                  </a:graphicData>
                </a:graphic>
              </wp:anchor>
            </w:drawing>
          </mc:Fallback>
        </mc:AlternateConten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Aunado a lo anterior, debe señalarse que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al artículo 74, fracción III de la Ley General de Transparencia y Acceso a la Información Pública, señala que </w:t>
      </w:r>
      <w:r w:rsidRPr="001F0434">
        <w:rPr>
          <w:rFonts w:ascii="Palatino Linotype" w:eastAsia="Palatino Linotype" w:hAnsi="Palatino Linotype" w:cs="Palatino Linotype"/>
          <w:b/>
        </w:rPr>
        <w:t>los organismos garantes Nacional y de las Entidades Federativas deberán publicar</w:t>
      </w:r>
      <w:r w:rsidRPr="001F0434">
        <w:rPr>
          <w:rFonts w:ascii="Palatino Linotype" w:eastAsia="Palatino Linotype" w:hAnsi="Palatino Linotype" w:cs="Palatino Linotype"/>
        </w:rPr>
        <w:t xml:space="preserve"> </w:t>
      </w:r>
      <w:r w:rsidRPr="001F0434">
        <w:rPr>
          <w:rFonts w:ascii="Palatino Linotype" w:eastAsia="Palatino Linotype" w:hAnsi="Palatino Linotype" w:cs="Palatino Linotype"/>
          <w:b/>
        </w:rPr>
        <w:t xml:space="preserve">los resultados de la evaluación al cumplimiento de la presente Ley por parte de los sujetos obligados, </w:t>
      </w:r>
      <w:r w:rsidRPr="001F0434">
        <w:rPr>
          <w:rFonts w:ascii="Palatino Linotype" w:eastAsia="Palatino Linotype" w:hAnsi="Palatino Linotype" w:cs="Palatino Linotype"/>
        </w:rPr>
        <w:t>ello bajo los siguientes parámetros:</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276" w:lineRule="auto"/>
        <w:ind w:left="567" w:right="90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“d) Los resultados de la evaluación al cumplimiento de la presente Ley por parte de los sujetos obligados</w:t>
      </w: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Todos los organismos garantes, vigilarán que los sujetos obligados cumplan con las obligaciones transparencia especificadas en la Ley General, así como en las disposiciones aplicables, tal como lo establece el artículo 85 de ésta; además publicarán los resultados de las verificaciones (evaluaciones) del cumplimiento a dichas obligaciones, con el objetivo de hacer del conocimiento de la instancia competente la probable responsabilidad por su incumplimiento</w:t>
      </w:r>
    </w:p>
    <w:p w:rsidR="00D64043" w:rsidRPr="001F0434" w:rsidRDefault="00D64043">
      <w:pPr>
        <w:spacing w:line="276" w:lineRule="auto"/>
        <w:ind w:left="567" w:right="900"/>
        <w:jc w:val="both"/>
        <w:rPr>
          <w:rFonts w:ascii="Palatino Linotype" w:eastAsia="Palatino Linotype" w:hAnsi="Palatino Linotype" w:cs="Palatino Linotype"/>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lastRenderedPageBreak/>
        <w:t>Los resultados de la evaluación se refieren a las verificaciones que realicen los organismos garantes Nacional y de las entidades respecto del cumplimiento a las obligaciones señaladas en el artículo 24 de y las obligaciones de transparencia establecidas en los artículos del 70 al 83 de la Ley General. Estas verificaciones podrán ser de oficio o a petición de parte y el procedimiento con que se llevarán a cabo se encuentra previsto en los artículos 84 a 88 de la misma.</w:t>
      </w: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Respecto de las verificaciones que lleven a cabo los organismos garantes, se incluirá la información correspondiente a los dictámenes que emitan respecto del cumplimiento de las obligaciones verificadas.</w:t>
      </w: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Para el caso de que se determine el incumplimiento de las obligaciones verificadas, el dictamen deberá contener los requerimientos, recomendaciones u observaciones que resulten pertinentes, las cuales deberán precisar el término y plazo para su cumplimiento. Al fenecer dicho plazo y después que se analice la información entregada se publicará el informe de cumplimiento del sujeto obligado verificado y el acuerdo de cumplimiento que, en su caso, emita el organismo garante. </w:t>
      </w:r>
    </w:p>
    <w:p w:rsidR="00D64043" w:rsidRPr="001F0434" w:rsidRDefault="00D64043">
      <w:pPr>
        <w:spacing w:line="276" w:lineRule="auto"/>
        <w:ind w:left="567" w:right="900"/>
        <w:jc w:val="both"/>
        <w:rPr>
          <w:rFonts w:ascii="Palatino Linotype" w:eastAsia="Palatino Linotype" w:hAnsi="Palatino Linotype" w:cs="Palatino Linotype"/>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Si no obstante los requerimientos, recomendaciones y/u observaciones hechas, el sujeto obligado verificado no cumple en los términos o plazos señalados, el organismo garante remitirá el informe al Pleno del mismo, para la aplicación de las medidas de apremio y sanciones que correspondan; asimismo, podrá solicitar al sujeto obligado los informes complementarios que considere necesarios para llevar a cabo la verificación. </w:t>
      </w:r>
    </w:p>
    <w:p w:rsidR="00D64043" w:rsidRPr="001F0434" w:rsidRDefault="00D64043">
      <w:pPr>
        <w:spacing w:line="276" w:lineRule="auto"/>
        <w:ind w:left="567" w:right="900"/>
        <w:jc w:val="both"/>
        <w:rPr>
          <w:rFonts w:ascii="Palatino Linotype" w:eastAsia="Palatino Linotype" w:hAnsi="Palatino Linotype" w:cs="Palatino Linotype"/>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Por otra parte, si en un período determinado los organismos garantes no han llevado a cabo verificaciones al respecto, así deberán especificarlo mediante una nota fundamentada, motivada y actualizada al periodo correspondiente. </w:t>
      </w:r>
    </w:p>
    <w:p w:rsidR="00D64043" w:rsidRPr="001F0434" w:rsidRDefault="00D64043">
      <w:pPr>
        <w:spacing w:line="276" w:lineRule="auto"/>
        <w:ind w:left="567" w:right="900"/>
        <w:jc w:val="both"/>
        <w:rPr>
          <w:rFonts w:ascii="Palatino Linotype" w:eastAsia="Palatino Linotype" w:hAnsi="Palatino Linotype" w:cs="Palatino Linotype"/>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Al actualizar la fracción al trimestre que corresponda, el organismo garante de que se trate deberá conservar la información de los trimestres anteriores del ejercicio, así como, la correspondiente al año anterior, de manera que el público en general se encuentre en posibilidad de cotejar los avances con respecto de los resultados de la(s) evaluación(es) que se hayan llevado a cabo en el año anterior. </w:t>
      </w: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lastRenderedPageBreak/>
        <w:t>La información se organizará en un formato que permita identificar los datos de la verificación, tales como el objeto, alcance, periodo, si se realizó de oficio o a petición de los particulares y sujeto obligado verificado, se incluirá un hipervínculo a cada documento generado durante la verificación de cumplimiento a las obligaciones correspondientes, del sujeto obligado verificado.</w:t>
      </w: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noProof/>
          <w:lang w:val="es-MX"/>
        </w:rPr>
        <w:drawing>
          <wp:anchor distT="0" distB="0" distL="114300" distR="114300" simplePos="0" relativeHeight="251660288" behindDoc="0" locked="0" layoutInCell="1" hidden="0" allowOverlap="1">
            <wp:simplePos x="0" y="0"/>
            <wp:positionH relativeFrom="column">
              <wp:posOffset>-137158</wp:posOffset>
            </wp:positionH>
            <wp:positionV relativeFrom="paragraph">
              <wp:posOffset>234950</wp:posOffset>
            </wp:positionV>
            <wp:extent cx="5510503" cy="4648200"/>
            <wp:effectExtent l="0" t="0" r="0" b="0"/>
            <wp:wrapTopAndBottom distT="0" distB="0"/>
            <wp:docPr id="3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510503" cy="4648200"/>
                    </a:xfrm>
                    <a:prstGeom prst="rect">
                      <a:avLst/>
                    </a:prstGeom>
                    <a:ln/>
                  </pic:spPr>
                </pic:pic>
              </a:graphicData>
            </a:graphic>
          </wp:anchor>
        </w:drawing>
      </w:r>
    </w:p>
    <w:p w:rsidR="00D64043" w:rsidRPr="001F0434" w:rsidRDefault="00D64043">
      <w:pPr>
        <w:spacing w:line="276" w:lineRule="auto"/>
        <w:ind w:left="567" w:right="900"/>
        <w:jc w:val="both"/>
        <w:rPr>
          <w:rFonts w:ascii="Palatino Linotype" w:eastAsia="Palatino Linotype" w:hAnsi="Palatino Linotype" w:cs="Palatino Linotype"/>
          <w:i/>
          <w:sz w:val="22"/>
          <w:szCs w:val="22"/>
        </w:rPr>
      </w:pPr>
    </w:p>
    <w:p w:rsidR="00D64043" w:rsidRPr="001F0434" w:rsidRDefault="00D64043">
      <w:pPr>
        <w:spacing w:line="276" w:lineRule="auto"/>
        <w:ind w:right="900"/>
        <w:jc w:val="both"/>
        <w:rPr>
          <w:rFonts w:ascii="Palatino Linotype" w:eastAsia="Palatino Linotype" w:hAnsi="Palatino Linotype" w:cs="Palatino Linotype"/>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noProof/>
          <w:lang w:val="es-MX"/>
        </w:rPr>
        <w:lastRenderedPageBreak/>
        <w:drawing>
          <wp:anchor distT="0" distB="0" distL="114300" distR="114300" simplePos="0" relativeHeight="251661312" behindDoc="0" locked="0" layoutInCell="1" hidden="0" allowOverlap="1">
            <wp:simplePos x="0" y="0"/>
            <wp:positionH relativeFrom="column">
              <wp:posOffset>120015</wp:posOffset>
            </wp:positionH>
            <wp:positionV relativeFrom="paragraph">
              <wp:posOffset>19050</wp:posOffset>
            </wp:positionV>
            <wp:extent cx="5612130" cy="6971030"/>
            <wp:effectExtent l="0" t="0" r="0" b="0"/>
            <wp:wrapTopAndBottom distT="0" distB="0"/>
            <wp:docPr id="3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612130" cy="6971030"/>
                    </a:xfrm>
                    <a:prstGeom prst="rect">
                      <a:avLst/>
                    </a:prstGeom>
                    <a:ln/>
                  </pic:spPr>
                </pic:pic>
              </a:graphicData>
            </a:graphic>
          </wp:anchor>
        </w:drawing>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lastRenderedPageBreak/>
        <w:t>De manera que con lo insertado con antelación, se aprecia que para los organismos garantes estatales y nacional, es obligación de transparencia el publicitar la información relativa a las verificaciones realizadas respecto del cumplimiento de las obligaciones de transparencia.</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mérito de lo anterior, este Instituto procedió a consultar la información publicada en esta fracción por la Dirección General Jurídica y de Verificación, obteniendo así que la verificación virtual oficiosa materia de la solicitud de información tuvo verificativo el </w:t>
      </w:r>
      <w:r w:rsidRPr="001F0434">
        <w:rPr>
          <w:rFonts w:ascii="Palatino Linotype" w:eastAsia="Palatino Linotype" w:hAnsi="Palatino Linotype" w:cs="Palatino Linotype"/>
          <w:b/>
        </w:rPr>
        <w:t>ocho de junio de dos mil veintidós</w:t>
      </w:r>
      <w:r w:rsidRPr="001F0434">
        <w:rPr>
          <w:rFonts w:ascii="Palatino Linotype" w:eastAsia="Palatino Linotype" w:hAnsi="Palatino Linotype" w:cs="Palatino Linotype"/>
        </w:rPr>
        <w:t>, sirve de referencia la siguiente captura de pantalla:</w:t>
      </w:r>
    </w:p>
    <w:p w:rsidR="00D64043" w:rsidRPr="001F0434" w:rsidRDefault="00BB68AC">
      <w:pPr>
        <w:spacing w:line="360" w:lineRule="auto"/>
        <w:jc w:val="center"/>
        <w:rPr>
          <w:rFonts w:ascii="Palatino Linotype" w:eastAsia="Palatino Linotype" w:hAnsi="Palatino Linotype" w:cs="Palatino Linotype"/>
        </w:rPr>
      </w:pPr>
      <w:r w:rsidRPr="001F0434">
        <w:rPr>
          <w:rFonts w:ascii="Palatino Linotype" w:eastAsia="Palatino Linotype" w:hAnsi="Palatino Linotype" w:cs="Palatino Linotype"/>
          <w:noProof/>
          <w:lang w:val="es-MX"/>
        </w:rPr>
        <w:lastRenderedPageBreak/>
        <w:drawing>
          <wp:inline distT="0" distB="0" distL="0" distR="0">
            <wp:extent cx="4556374" cy="5204119"/>
            <wp:effectExtent l="9525" t="9525" r="9525" b="9525"/>
            <wp:docPr id="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2604"/>
                    <a:stretch>
                      <a:fillRect/>
                    </a:stretch>
                  </pic:blipFill>
                  <pic:spPr>
                    <a:xfrm>
                      <a:off x="0" y="0"/>
                      <a:ext cx="4556374" cy="5204119"/>
                    </a:xfrm>
                    <a:prstGeom prst="rect">
                      <a:avLst/>
                    </a:prstGeom>
                    <a:ln w="9525">
                      <a:solidFill>
                        <a:srgbClr val="000000"/>
                      </a:solidFill>
                      <a:prstDash val="solid"/>
                    </a:ln>
                  </pic:spPr>
                </pic:pic>
              </a:graphicData>
            </a:graphic>
          </wp:inline>
        </w:drawing>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Derivado de este acto, el </w:t>
      </w:r>
      <w:r w:rsidRPr="001F0434">
        <w:rPr>
          <w:rFonts w:ascii="Palatino Linotype" w:eastAsia="Palatino Linotype" w:hAnsi="Palatino Linotype" w:cs="Palatino Linotype"/>
          <w:b/>
        </w:rPr>
        <w:t>ocho de agosto de dos mil veintidós</w:t>
      </w:r>
      <w:r w:rsidRPr="001F0434">
        <w:rPr>
          <w:rFonts w:ascii="Palatino Linotype" w:eastAsia="Palatino Linotype" w:hAnsi="Palatino Linotype" w:cs="Palatino Linotype"/>
        </w:rPr>
        <w:t>, la Dirección General Jurídica y de Verificación emitió el acuerdo de incumplimiento de verificación virtual oficiosa, mediante el cual se establecen las actuaciones realizadas durante el procedimiento de verificación que condujeron a la emisión de este documento, se insertan para mayor referencia las siguientes capturas de pantalla:</w:t>
      </w:r>
    </w:p>
    <w:p w:rsidR="00D64043" w:rsidRPr="001F0434" w:rsidRDefault="00BB68AC">
      <w:pPr>
        <w:spacing w:before="240" w:after="240" w:line="360" w:lineRule="auto"/>
        <w:jc w:val="center"/>
        <w:rPr>
          <w:rFonts w:ascii="Palatino Linotype" w:eastAsia="Palatino Linotype" w:hAnsi="Palatino Linotype" w:cs="Palatino Linotype"/>
        </w:rPr>
      </w:pPr>
      <w:r w:rsidRPr="001F0434">
        <w:rPr>
          <w:rFonts w:ascii="Palatino Linotype" w:eastAsia="Palatino Linotype" w:hAnsi="Palatino Linotype" w:cs="Palatino Linotype"/>
          <w:noProof/>
          <w:lang w:val="es-MX"/>
        </w:rPr>
        <w:lastRenderedPageBreak/>
        <w:drawing>
          <wp:inline distT="0" distB="0" distL="0" distR="0">
            <wp:extent cx="4277261" cy="5128550"/>
            <wp:effectExtent l="0" t="0" r="0" b="0"/>
            <wp:docPr id="3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277261" cy="5128550"/>
                    </a:xfrm>
                    <a:prstGeom prst="rect">
                      <a:avLst/>
                    </a:prstGeom>
                    <a:ln/>
                  </pic:spPr>
                </pic:pic>
              </a:graphicData>
            </a:graphic>
          </wp:inline>
        </w:drawing>
      </w:r>
      <w:r w:rsidRPr="001F0434">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812800</wp:posOffset>
                </wp:positionH>
                <wp:positionV relativeFrom="paragraph">
                  <wp:posOffset>2032000</wp:posOffset>
                </wp:positionV>
                <wp:extent cx="4057650" cy="2914650"/>
                <wp:effectExtent l="0" t="0" r="0" b="0"/>
                <wp:wrapNone/>
                <wp:docPr id="348" name="Rectángulo 348"/>
                <wp:cNvGraphicFramePr/>
                <a:graphic xmlns:a="http://schemas.openxmlformats.org/drawingml/2006/main">
                  <a:graphicData uri="http://schemas.microsoft.com/office/word/2010/wordprocessingShape">
                    <wps:wsp>
                      <wps:cNvSpPr/>
                      <wps:spPr>
                        <a:xfrm>
                          <a:off x="3331463" y="2336963"/>
                          <a:ext cx="4029075" cy="2886075"/>
                        </a:xfrm>
                        <a:prstGeom prst="rect">
                          <a:avLst/>
                        </a:prstGeom>
                        <a:noFill/>
                        <a:ln w="28575" cap="flat" cmpd="sng">
                          <a:solidFill>
                            <a:srgbClr val="C00000"/>
                          </a:solidFill>
                          <a:prstDash val="solid"/>
                          <a:round/>
                          <a:headEnd type="none" w="sm" len="sm"/>
                          <a:tailEnd type="none" w="sm" len="sm"/>
                        </a:ln>
                        <a:effectLst>
                          <a:outerShdw blurRad="40000" dist="23000" dir="5400000" rotWithShape="0">
                            <a:srgbClr val="000000">
                              <a:alpha val="34901"/>
                            </a:srgbClr>
                          </a:outerShdw>
                        </a:effectLst>
                      </wps:spPr>
                      <wps:txbx>
                        <w:txbxContent>
                          <w:p w:rsidR="00D64043" w:rsidRDefault="00D6404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2032000</wp:posOffset>
                </wp:positionV>
                <wp:extent cx="4057650" cy="2914650"/>
                <wp:effectExtent b="0" l="0" r="0" t="0"/>
                <wp:wrapNone/>
                <wp:docPr id="348"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4057650" cy="2914650"/>
                        </a:xfrm>
                        <a:prstGeom prst="rect"/>
                        <a:ln/>
                      </pic:spPr>
                    </pic:pic>
                  </a:graphicData>
                </a:graphic>
              </wp:anchor>
            </w:drawing>
          </mc:Fallback>
        </mc:AlternateConten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noProof/>
          <w:lang w:val="es-MX"/>
        </w:rPr>
        <w:drawing>
          <wp:inline distT="0" distB="0" distL="0" distR="0">
            <wp:extent cx="5612130" cy="1302385"/>
            <wp:effectExtent l="0" t="0" r="0" b="0"/>
            <wp:docPr id="3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612130" cy="1302385"/>
                    </a:xfrm>
                    <a:prstGeom prst="rect">
                      <a:avLst/>
                    </a:prstGeom>
                    <a:ln/>
                  </pic:spPr>
                </pic:pic>
              </a:graphicData>
            </a:graphic>
          </wp:inline>
        </w:drawing>
      </w:r>
      <w:r w:rsidRPr="001F0434">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139700</wp:posOffset>
                </wp:positionH>
                <wp:positionV relativeFrom="paragraph">
                  <wp:posOffset>63500</wp:posOffset>
                </wp:positionV>
                <wp:extent cx="5448300" cy="1209675"/>
                <wp:effectExtent l="0" t="0" r="0" b="0"/>
                <wp:wrapNone/>
                <wp:docPr id="347" name="Rectángulo 347"/>
                <wp:cNvGraphicFramePr/>
                <a:graphic xmlns:a="http://schemas.openxmlformats.org/drawingml/2006/main">
                  <a:graphicData uri="http://schemas.microsoft.com/office/word/2010/wordprocessingShape">
                    <wps:wsp>
                      <wps:cNvSpPr/>
                      <wps:spPr>
                        <a:xfrm>
                          <a:off x="2636138" y="3189450"/>
                          <a:ext cx="5419725" cy="1181100"/>
                        </a:xfrm>
                        <a:prstGeom prst="rect">
                          <a:avLst/>
                        </a:prstGeom>
                        <a:noFill/>
                        <a:ln w="28575" cap="flat" cmpd="sng">
                          <a:solidFill>
                            <a:srgbClr val="C00000"/>
                          </a:solidFill>
                          <a:prstDash val="solid"/>
                          <a:round/>
                          <a:headEnd type="none" w="sm" len="sm"/>
                          <a:tailEnd type="none" w="sm" len="sm"/>
                        </a:ln>
                        <a:effectLst>
                          <a:outerShdw blurRad="40000" dist="23000" dir="5400000" rotWithShape="0">
                            <a:srgbClr val="000000">
                              <a:alpha val="34901"/>
                            </a:srgbClr>
                          </a:outerShdw>
                        </a:effectLst>
                      </wps:spPr>
                      <wps:txbx>
                        <w:txbxContent>
                          <w:p w:rsidR="00D64043" w:rsidRDefault="00D6404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5448300" cy="1209675"/>
                <wp:effectExtent b="0" l="0" r="0" t="0"/>
                <wp:wrapNone/>
                <wp:docPr id="347"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5448300" cy="1209675"/>
                        </a:xfrm>
                        <a:prstGeom prst="rect"/>
                        <a:ln/>
                      </pic:spPr>
                    </pic:pic>
                  </a:graphicData>
                </a:graphic>
              </wp:anchor>
            </w:drawing>
          </mc:Fallback>
        </mc:AlternateConten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lastRenderedPageBreak/>
        <w:t xml:space="preserve">De manera que como se visualiza con las capturas de pantalla insertadas con antelación,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recibió y generó documentación con motivo de la verificación virtual oficiosa; asimismo es importante señalar que dicho procedimiento concluyó con la emisión del acuerdo de incumplimiento, emitido el 8 de agosto de 2022, por lo tanto, se insiste que a la fecha de la solicitud de información, el procedimiento por el cual se generaron los oficios requeridos, ya se encuentra concluido y, por ende, dicha calificación o actuación no es susceptible de modificación alguna.</w:t>
      </w:r>
    </w:p>
    <w:p w:rsidR="00D64043" w:rsidRPr="001F0434" w:rsidRDefault="00D64043">
      <w:pPr>
        <w:spacing w:line="276" w:lineRule="auto"/>
        <w:ind w:right="900"/>
        <w:jc w:val="both"/>
        <w:rPr>
          <w:rFonts w:ascii="Palatino Linotype" w:eastAsia="Palatino Linotype" w:hAnsi="Palatino Linotype" w:cs="Palatino Linotype"/>
          <w:b/>
        </w:rPr>
      </w:pPr>
    </w:p>
    <w:p w:rsidR="00D64043" w:rsidRPr="001F0434" w:rsidRDefault="00BB68AC">
      <w:pPr>
        <w:spacing w:line="360" w:lineRule="auto"/>
        <w:ind w:right="49"/>
        <w:jc w:val="both"/>
        <w:rPr>
          <w:rFonts w:ascii="Palatino Linotype" w:eastAsia="Palatino Linotype" w:hAnsi="Palatino Linotype" w:cs="Palatino Linotype"/>
          <w:b/>
        </w:rPr>
      </w:pPr>
      <w:r w:rsidRPr="001F0434">
        <w:rPr>
          <w:rFonts w:ascii="Palatino Linotype" w:eastAsia="Palatino Linotype" w:hAnsi="Palatino Linotype" w:cs="Palatino Linotype"/>
          <w:b/>
        </w:rPr>
        <w:t>2.- Improcedencia de la reserva e independencia del procedimiento administrativo respecto de la información solicitada</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360" w:lineRule="auto"/>
        <w:ind w:right="49"/>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lo que respecta a los requerimientos de información, debemos tener en cuenta que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clasificó la información como reservada en términos del artículo 113, fracciones X y XI, de la Ley General de Transparencia y Acceso a la Información Pública, así como del artículo 140 fracción VI de la Ley de Transparencia y Acceso a la Información Pública del Estado de México y Municipios y, para ello, proporcionó el Acta del Comité de Transparencia, mediante la cual se aprobó dicha clasificación. </w:t>
      </w:r>
    </w:p>
    <w:p w:rsidR="00D64043" w:rsidRPr="001F0434" w:rsidRDefault="00D64043">
      <w:pPr>
        <w:spacing w:line="360" w:lineRule="auto"/>
        <w:ind w:right="49"/>
        <w:jc w:val="both"/>
        <w:rPr>
          <w:rFonts w:ascii="Palatino Linotype" w:eastAsia="Palatino Linotype" w:hAnsi="Palatino Linotype" w:cs="Palatino Linotype"/>
        </w:rPr>
      </w:pPr>
    </w:p>
    <w:p w:rsidR="00D64043" w:rsidRPr="001F0434" w:rsidRDefault="00BB68A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lo que, es necesario referir que conforme al artículo 20 de la Ley de Transparencia y Acceso a la Información Pública del Estado de México y Municipios, ante la negativa de acceso a la información o su inexistencia, el sujeto </w:t>
      </w:r>
      <w:r w:rsidRPr="001F0434">
        <w:rPr>
          <w:rFonts w:ascii="Palatino Linotype" w:eastAsia="Palatino Linotype" w:hAnsi="Palatino Linotype" w:cs="Palatino Linotype"/>
        </w:rPr>
        <w:lastRenderedPageBreak/>
        <w:t xml:space="preserve">obligado deberá demostrar que esto encuadra en alguna de las excepciones establecidas en la normatividad aplicable. </w:t>
      </w:r>
    </w:p>
    <w:p w:rsidR="00D64043" w:rsidRPr="001F0434" w:rsidRDefault="00D6404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64043" w:rsidRPr="001F0434" w:rsidRDefault="00BB68AC">
      <w:pPr>
        <w:pBdr>
          <w:top w:val="nil"/>
          <w:left w:val="nil"/>
          <w:bottom w:val="nil"/>
          <w:right w:val="nil"/>
          <w:between w:val="nil"/>
        </w:pBdr>
        <w:spacing w:line="360" w:lineRule="auto"/>
        <w:ind w:right="49"/>
        <w:jc w:val="both"/>
        <w:rPr>
          <w:rFonts w:ascii="Palatino Linotype" w:eastAsia="Palatino Linotype" w:hAnsi="Palatino Linotype" w:cs="Palatino Linotype"/>
          <w:sz w:val="28"/>
          <w:szCs w:val="28"/>
        </w:rPr>
      </w:pPr>
      <w:r w:rsidRPr="001F0434">
        <w:rPr>
          <w:rFonts w:ascii="Palatino Linotype" w:eastAsia="Palatino Linotype" w:hAnsi="Palatino Linotype" w:cs="Palatino Linotype"/>
        </w:rPr>
        <w:t xml:space="preserve">En ese orden de ideas, es de señalar que las excepciones al derecho de acceso a la información consisten en que la documentación sea inexistente, </w:t>
      </w:r>
      <w:r w:rsidRPr="001F0434">
        <w:rPr>
          <w:rFonts w:ascii="Palatino Linotype" w:eastAsia="Palatino Linotype" w:hAnsi="Palatino Linotype" w:cs="Palatino Linotype"/>
          <w:b/>
        </w:rPr>
        <w:t>se encuentre clasificada</w:t>
      </w:r>
      <w:r w:rsidRPr="001F0434">
        <w:rPr>
          <w:rFonts w:ascii="Palatino Linotype" w:eastAsia="Palatino Linotype" w:hAnsi="Palatino Linotype" w:cs="Palatino Linotype"/>
        </w:rPr>
        <w:t xml:space="preserve">, o bien,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sea incompetente para contar con esta; esto es, la negativa de acceso a la información recae cuando la documentación no se encuentre en los archivos del sujeto obligado, o bien exista, pero no pueda proporcionarse por contener datos </w:t>
      </w:r>
      <w:r w:rsidRPr="001F0434">
        <w:rPr>
          <w:rFonts w:ascii="Palatino Linotype" w:eastAsia="Palatino Linotype" w:hAnsi="Palatino Linotype" w:cs="Palatino Linotype"/>
          <w:b/>
        </w:rPr>
        <w:t>confidenciales o reservados.</w:t>
      </w:r>
    </w:p>
    <w:p w:rsidR="00D64043" w:rsidRPr="001F0434" w:rsidRDefault="00D6404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Así, en los artículos 122, 128 y 130 de la Ley Transparencia y Acceso a la Información Pública del Estado de México y Municipios, se prevé que </w:t>
      </w:r>
      <w:r w:rsidRPr="001F0434">
        <w:rPr>
          <w:rFonts w:ascii="Palatino Linotype" w:eastAsia="Palatino Linotype" w:hAnsi="Palatino Linotype" w:cs="Palatino Linotype"/>
          <w:b/>
        </w:rPr>
        <w:t xml:space="preserve">la clasificación </w:t>
      </w:r>
      <w:r w:rsidRPr="001F0434">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1F0434">
        <w:rPr>
          <w:rFonts w:ascii="Palatino Linotype" w:eastAsia="Palatino Linotype" w:hAnsi="Palatino Linotype" w:cs="Palatino Linotype"/>
          <w:b/>
        </w:rPr>
        <w:t xml:space="preserve">el Comité de Transparencia deberá confirmar, modificar o revocar la decisión; </w:t>
      </w:r>
      <w:r w:rsidRPr="001F0434">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D64043" w:rsidRPr="001F0434" w:rsidRDefault="00BB68AC">
      <w:pPr>
        <w:spacing w:line="360" w:lineRule="auto"/>
        <w:jc w:val="both"/>
        <w:rPr>
          <w:rFonts w:ascii="Palatino Linotype" w:eastAsia="Palatino Linotype" w:hAnsi="Palatino Linotype" w:cs="Palatino Linotype"/>
          <w:color w:val="000000"/>
        </w:rPr>
      </w:pPr>
      <w:r w:rsidRPr="001F0434">
        <w:rPr>
          <w:rFonts w:ascii="Palatino Linotype" w:eastAsia="Palatino Linotype" w:hAnsi="Palatino Linotype" w:cs="Palatino Linotype"/>
        </w:rPr>
        <w:lastRenderedPageBreak/>
        <w:t xml:space="preserve">En el presente caso,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hizo entrega del acuerdo número CTM/CUT/SE005/005/AR/2023, aprobado en la Quinta Sesión Extraordinaria del Comité de Transparencia, mediante el cual aprobó la reserva de la información en términos de </w:t>
      </w:r>
      <w:r w:rsidRPr="001F0434">
        <w:rPr>
          <w:rFonts w:ascii="Palatino Linotype" w:eastAsia="Palatino Linotype" w:hAnsi="Palatino Linotype" w:cs="Palatino Linotype"/>
          <w:color w:val="000000"/>
        </w:rPr>
        <w:t>los artículos 113, fracciones X y XI, de la Ley General de Transparencia y Acceso a la Información Pública, así como el artículo 140, fracción VI de la Ley de Transparencia y Acceso a la Información Pública del Estado de México y Municipios, los cuales se citan a continuación para mejor proveer del presente estudio:</w:t>
      </w:r>
    </w:p>
    <w:p w:rsidR="00D64043" w:rsidRPr="001F0434" w:rsidRDefault="00D64043">
      <w:pPr>
        <w:spacing w:line="360" w:lineRule="auto"/>
        <w:jc w:val="both"/>
        <w:rPr>
          <w:rFonts w:ascii="Palatino Linotype" w:eastAsia="Palatino Linotype" w:hAnsi="Palatino Linotype" w:cs="Palatino Linotype"/>
          <w:color w:val="000000"/>
        </w:rPr>
      </w:pPr>
    </w:p>
    <w:p w:rsidR="00D64043" w:rsidRPr="001F0434" w:rsidRDefault="00BB68AC">
      <w:pPr>
        <w:spacing w:line="360" w:lineRule="auto"/>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 xml:space="preserve">Ley General de Transparencia y Acceso a la Información Pública: </w:t>
      </w:r>
    </w:p>
    <w:p w:rsidR="00D64043" w:rsidRPr="001F0434" w:rsidRDefault="00BB68AC">
      <w:pPr>
        <w:ind w:left="567" w:right="567"/>
        <w:jc w:val="center"/>
        <w:rPr>
          <w:rFonts w:ascii="Palatino Linotype" w:eastAsia="Palatino Linotype" w:hAnsi="Palatino Linotype" w:cs="Palatino Linotype"/>
          <w:b/>
          <w:i/>
          <w:color w:val="000000"/>
          <w:sz w:val="22"/>
          <w:szCs w:val="22"/>
        </w:rPr>
      </w:pPr>
      <w:r w:rsidRPr="001F0434">
        <w:rPr>
          <w:rFonts w:ascii="Palatino Linotype" w:eastAsia="Palatino Linotype" w:hAnsi="Palatino Linotype" w:cs="Palatino Linotype"/>
          <w:b/>
          <w:i/>
          <w:color w:val="000000"/>
          <w:sz w:val="22"/>
          <w:szCs w:val="22"/>
        </w:rPr>
        <w:t>“Capítulo II</w:t>
      </w:r>
    </w:p>
    <w:p w:rsidR="00D64043" w:rsidRPr="001F0434" w:rsidRDefault="00BB68AC">
      <w:pPr>
        <w:ind w:left="567" w:right="567"/>
        <w:jc w:val="center"/>
        <w:rPr>
          <w:rFonts w:ascii="Palatino Linotype" w:eastAsia="Palatino Linotype" w:hAnsi="Palatino Linotype" w:cs="Palatino Linotype"/>
          <w:b/>
          <w:i/>
          <w:color w:val="000000"/>
          <w:sz w:val="22"/>
          <w:szCs w:val="22"/>
        </w:rPr>
      </w:pPr>
      <w:r w:rsidRPr="001F0434">
        <w:rPr>
          <w:rFonts w:ascii="Palatino Linotype" w:eastAsia="Palatino Linotype" w:hAnsi="Palatino Linotype" w:cs="Palatino Linotype"/>
          <w:b/>
          <w:i/>
          <w:color w:val="000000"/>
          <w:sz w:val="22"/>
          <w:szCs w:val="22"/>
        </w:rPr>
        <w:t>De la Información Reservada</w:t>
      </w:r>
    </w:p>
    <w:p w:rsidR="00D64043" w:rsidRPr="001F0434" w:rsidRDefault="00D64043">
      <w:pPr>
        <w:ind w:left="567" w:right="567"/>
        <w:jc w:val="both"/>
        <w:rPr>
          <w:rFonts w:ascii="Palatino Linotype" w:eastAsia="Palatino Linotype" w:hAnsi="Palatino Linotype" w:cs="Palatino Linotype"/>
          <w:b/>
          <w:i/>
          <w:color w:val="000000"/>
          <w:sz w:val="22"/>
          <w:szCs w:val="22"/>
        </w:rPr>
      </w:pPr>
    </w:p>
    <w:p w:rsidR="00D64043" w:rsidRPr="001F0434" w:rsidRDefault="00BB68AC">
      <w:pPr>
        <w:ind w:left="567" w:right="567"/>
        <w:jc w:val="both"/>
        <w:rPr>
          <w:rFonts w:ascii="Palatino Linotype" w:eastAsia="Palatino Linotype" w:hAnsi="Palatino Linotype" w:cs="Palatino Linotype"/>
          <w:i/>
          <w:color w:val="000000"/>
          <w:sz w:val="22"/>
          <w:szCs w:val="22"/>
        </w:rPr>
      </w:pPr>
      <w:bookmarkStart w:id="3" w:name="bookmark=id.gjdgxs" w:colFirst="0" w:colLast="0"/>
      <w:bookmarkEnd w:id="3"/>
      <w:r w:rsidRPr="001F0434">
        <w:rPr>
          <w:rFonts w:ascii="Palatino Linotype" w:eastAsia="Palatino Linotype" w:hAnsi="Palatino Linotype" w:cs="Palatino Linotype"/>
          <w:b/>
          <w:i/>
          <w:color w:val="000000"/>
          <w:sz w:val="22"/>
          <w:szCs w:val="22"/>
        </w:rPr>
        <w:t xml:space="preserve">Artículo 113. </w:t>
      </w:r>
      <w:r w:rsidRPr="001F0434">
        <w:rPr>
          <w:rFonts w:ascii="Palatino Linotype" w:eastAsia="Palatino Linotype" w:hAnsi="Palatino Linotype" w:cs="Palatino Linotype"/>
          <w:i/>
          <w:color w:val="000000"/>
          <w:sz w:val="22"/>
          <w:szCs w:val="22"/>
        </w:rPr>
        <w:t>Como información reservada podrá clasificarse aquella cuya publicación:</w:t>
      </w:r>
    </w:p>
    <w:p w:rsidR="00D64043" w:rsidRPr="001F0434" w:rsidRDefault="00BB68AC">
      <w:pPr>
        <w:ind w:left="567" w:right="567"/>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I. Comprometa la seguridad nacional, la seguridad pública o la defensa nacional y cuente con un propósito genuino y un efecto demostrable;</w:t>
      </w:r>
    </w:p>
    <w:p w:rsidR="00D64043" w:rsidRPr="001F0434" w:rsidRDefault="00BB68AC">
      <w:pPr>
        <w:ind w:left="567" w:right="567"/>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w:t>
      </w:r>
    </w:p>
    <w:p w:rsidR="00D64043" w:rsidRPr="001F0434" w:rsidRDefault="00BB68AC">
      <w:pPr>
        <w:ind w:left="567" w:right="567"/>
        <w:jc w:val="both"/>
        <w:rPr>
          <w:rFonts w:ascii="Palatino Linotype" w:eastAsia="Palatino Linotype" w:hAnsi="Palatino Linotype" w:cs="Palatino Linotype"/>
          <w:b/>
          <w:i/>
          <w:color w:val="000000"/>
          <w:sz w:val="22"/>
          <w:szCs w:val="22"/>
        </w:rPr>
      </w:pPr>
      <w:r w:rsidRPr="001F0434">
        <w:rPr>
          <w:rFonts w:ascii="Palatino Linotype" w:eastAsia="Palatino Linotype" w:hAnsi="Palatino Linotype" w:cs="Palatino Linotype"/>
          <w:b/>
          <w:i/>
          <w:color w:val="000000"/>
          <w:sz w:val="22"/>
          <w:szCs w:val="22"/>
        </w:rPr>
        <w:t>X. Afecte los derechos del debido proceso;</w:t>
      </w:r>
    </w:p>
    <w:p w:rsidR="00D64043" w:rsidRPr="001F0434" w:rsidRDefault="00BB68AC">
      <w:pPr>
        <w:ind w:left="567" w:right="567"/>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b/>
          <w:i/>
          <w:color w:val="000000"/>
          <w:sz w:val="22"/>
          <w:szCs w:val="22"/>
        </w:rPr>
        <w:t>XI. Vulnere la conducción de los Expedientes judiciales o de los procedimientos administrativos seguidos en forma de juicio, en tanto no hayan causado estado</w:t>
      </w:r>
      <w:r w:rsidRPr="001F0434">
        <w:rPr>
          <w:rFonts w:ascii="Palatino Linotype" w:eastAsia="Palatino Linotype" w:hAnsi="Palatino Linotype" w:cs="Palatino Linotype"/>
          <w:i/>
          <w:color w:val="000000"/>
          <w:sz w:val="22"/>
          <w:szCs w:val="22"/>
        </w:rPr>
        <w:t>;</w:t>
      </w:r>
      <w:r w:rsidRPr="001F0434">
        <w:rPr>
          <w:rFonts w:ascii="Palatino Linotype" w:eastAsia="Palatino Linotype" w:hAnsi="Palatino Linotype" w:cs="Palatino Linotype"/>
          <w:i/>
          <w:color w:val="000000"/>
          <w:sz w:val="22"/>
          <w:szCs w:val="22"/>
        </w:rPr>
        <w:br/>
      </w:r>
      <w:r w:rsidRPr="001F0434">
        <w:rPr>
          <w:rFonts w:ascii="Palatino Linotype" w:eastAsia="Palatino Linotype" w:hAnsi="Palatino Linotype" w:cs="Palatino Linotype"/>
          <w:b/>
          <w:i/>
          <w:color w:val="000000"/>
          <w:sz w:val="22"/>
          <w:szCs w:val="22"/>
        </w:rPr>
        <w:t xml:space="preserve"> …”</w:t>
      </w:r>
    </w:p>
    <w:p w:rsidR="00D64043" w:rsidRPr="001F0434" w:rsidRDefault="00D64043">
      <w:pPr>
        <w:ind w:left="567" w:right="567" w:hanging="425"/>
        <w:jc w:val="both"/>
        <w:rPr>
          <w:rFonts w:ascii="Palatino Linotype" w:eastAsia="Palatino Linotype" w:hAnsi="Palatino Linotype" w:cs="Palatino Linotype"/>
          <w:i/>
          <w:color w:val="000000"/>
          <w:sz w:val="22"/>
          <w:szCs w:val="22"/>
        </w:rPr>
      </w:pPr>
    </w:p>
    <w:p w:rsidR="00D64043" w:rsidRPr="001F0434" w:rsidRDefault="00BB68AC">
      <w:pPr>
        <w:ind w:right="567"/>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 xml:space="preserve">Ley de Transparencia y Acceso a la Información Pública del Estado de México y Municipios: </w:t>
      </w:r>
    </w:p>
    <w:p w:rsidR="00D64043" w:rsidRPr="001F0434" w:rsidRDefault="00D64043">
      <w:pPr>
        <w:ind w:left="567" w:right="567" w:hanging="425"/>
        <w:jc w:val="both"/>
        <w:rPr>
          <w:rFonts w:ascii="Palatino Linotype" w:eastAsia="Palatino Linotype" w:hAnsi="Palatino Linotype" w:cs="Palatino Linotype"/>
          <w:i/>
          <w:color w:val="000000"/>
          <w:sz w:val="22"/>
          <w:szCs w:val="22"/>
        </w:rPr>
      </w:pPr>
    </w:p>
    <w:p w:rsidR="00D64043" w:rsidRPr="001F0434" w:rsidRDefault="00BB68AC">
      <w:pPr>
        <w:ind w:left="567" w:right="567"/>
        <w:jc w:val="both"/>
        <w:rPr>
          <w:rFonts w:ascii="Palatino Linotype" w:eastAsia="Palatino Linotype" w:hAnsi="Palatino Linotype" w:cs="Palatino Linotype"/>
          <w:b/>
          <w:i/>
          <w:color w:val="000000"/>
          <w:sz w:val="22"/>
          <w:szCs w:val="22"/>
        </w:rPr>
      </w:pPr>
      <w:r w:rsidRPr="001F0434">
        <w:rPr>
          <w:rFonts w:ascii="Palatino Linotype" w:eastAsia="Palatino Linotype" w:hAnsi="Palatino Linotype" w:cs="Palatino Linotype"/>
          <w:b/>
          <w:i/>
          <w:color w:val="000000"/>
          <w:sz w:val="22"/>
          <w:szCs w:val="22"/>
        </w:rPr>
        <w:t>“Artículo 140. El acceso a la información pública será restringido excepcionalmente, cuando por razones de interés público, ésta sea clasificada como reservada, conforme a los criterios siguientes:</w:t>
      </w:r>
    </w:p>
    <w:p w:rsidR="00D64043" w:rsidRPr="001F0434" w:rsidRDefault="00BB68AC">
      <w:pPr>
        <w:ind w:left="567" w:right="567"/>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w:t>
      </w:r>
    </w:p>
    <w:p w:rsidR="00D64043" w:rsidRPr="001F0434" w:rsidRDefault="00D64043">
      <w:pPr>
        <w:ind w:left="567" w:right="567"/>
        <w:jc w:val="both"/>
        <w:rPr>
          <w:rFonts w:ascii="Palatino Linotype" w:eastAsia="Palatino Linotype" w:hAnsi="Palatino Linotype" w:cs="Palatino Linotype"/>
          <w:i/>
          <w:color w:val="000000"/>
          <w:sz w:val="22"/>
          <w:szCs w:val="22"/>
        </w:rPr>
      </w:pPr>
    </w:p>
    <w:p w:rsidR="00D64043" w:rsidRPr="001F0434" w:rsidRDefault="00BB68AC">
      <w:pPr>
        <w:ind w:left="567" w:right="567"/>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b/>
          <w:i/>
          <w:color w:val="000000"/>
          <w:sz w:val="22"/>
          <w:szCs w:val="22"/>
        </w:rPr>
        <w:t xml:space="preserve">VI. Pueda causar daño u obstruya la prevención o persecución de los delitos, altere el proceso de investigación de las carpetas de investigación, afecte o </w:t>
      </w:r>
      <w:r w:rsidRPr="001F0434">
        <w:rPr>
          <w:rFonts w:ascii="Palatino Linotype" w:eastAsia="Palatino Linotype" w:hAnsi="Palatino Linotype" w:cs="Palatino Linotype"/>
          <w:b/>
          <w:i/>
          <w:color w:val="000000"/>
          <w:sz w:val="22"/>
          <w:szCs w:val="22"/>
        </w:rPr>
        <w:lastRenderedPageBreak/>
        <w:t>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1F0434">
        <w:rPr>
          <w:rFonts w:ascii="Palatino Linotype" w:eastAsia="Palatino Linotype" w:hAnsi="Palatino Linotype" w:cs="Palatino Linotype"/>
          <w:i/>
          <w:color w:val="000000"/>
          <w:sz w:val="22"/>
          <w:szCs w:val="22"/>
        </w:rPr>
        <w:t>;”</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Es decir, fundamentó su clasificación con base en la existencia de un procedimiento de responsabilidades administrativas en trámite, derivado de un procedimiento ante la Contraloría con motivo de la entrega-recepción de la administración pública municipal 2019-2021. </w:t>
      </w:r>
    </w:p>
    <w:p w:rsidR="00D64043" w:rsidRPr="001F0434" w:rsidRDefault="00D64043">
      <w:pPr>
        <w:spacing w:after="160" w:line="360" w:lineRule="auto"/>
        <w:jc w:val="both"/>
        <w:rPr>
          <w:rFonts w:ascii="Palatino Linotype" w:eastAsia="Palatino Linotype" w:hAnsi="Palatino Linotype" w:cs="Palatino Linotype"/>
        </w:rPr>
      </w:pPr>
    </w:p>
    <w:p w:rsidR="00D64043" w:rsidRPr="001F0434" w:rsidRDefault="00BB68AC">
      <w:pPr>
        <w:spacing w:after="16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otro lado, para mejor proveer del presente estudio, resulta necesario, analizar dicho Acuerdo de Reserva de la información antes referido, entregado por el Sujeto Obligado, en su respuesta,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w:t>
      </w:r>
    </w:p>
    <w:tbl>
      <w:tblPr>
        <w:tblStyle w:val="a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5968"/>
        <w:gridCol w:w="1546"/>
      </w:tblGrid>
      <w:tr w:rsidR="00D64043" w:rsidRPr="001F0434">
        <w:tc>
          <w:tcPr>
            <w:tcW w:w="1314" w:type="dxa"/>
            <w:shd w:val="clear" w:color="auto" w:fill="DDD9C3"/>
          </w:tcPr>
          <w:p w:rsidR="00D64043" w:rsidRPr="001F0434" w:rsidRDefault="00BB68AC">
            <w:pPr>
              <w:spacing w:before="100" w:after="200" w:line="276" w:lineRule="auto"/>
              <w:jc w:val="center"/>
              <w:rPr>
                <w:rFonts w:ascii="Palatino Linotype" w:eastAsia="Palatino Linotype" w:hAnsi="Palatino Linotype" w:cs="Palatino Linotype"/>
                <w:b/>
                <w:color w:val="000000"/>
                <w:sz w:val="18"/>
                <w:szCs w:val="18"/>
              </w:rPr>
            </w:pPr>
            <w:r w:rsidRPr="001F0434">
              <w:rPr>
                <w:rFonts w:ascii="Palatino Linotype" w:eastAsia="Palatino Linotype" w:hAnsi="Palatino Linotype" w:cs="Palatino Linotype"/>
                <w:b/>
                <w:color w:val="000000"/>
                <w:sz w:val="18"/>
                <w:szCs w:val="18"/>
              </w:rPr>
              <w:t>Elementos del acuerdo de clasificación</w:t>
            </w:r>
          </w:p>
        </w:tc>
        <w:tc>
          <w:tcPr>
            <w:tcW w:w="5968" w:type="dxa"/>
            <w:shd w:val="clear" w:color="auto" w:fill="DDD9C3"/>
          </w:tcPr>
          <w:p w:rsidR="00D64043" w:rsidRPr="001F0434" w:rsidRDefault="00BB68AC">
            <w:pPr>
              <w:spacing w:before="100" w:after="200" w:line="276" w:lineRule="auto"/>
              <w:jc w:val="center"/>
              <w:rPr>
                <w:rFonts w:ascii="Palatino Linotype" w:eastAsia="Palatino Linotype" w:hAnsi="Palatino Linotype" w:cs="Palatino Linotype"/>
                <w:b/>
                <w:color w:val="000000"/>
                <w:sz w:val="18"/>
                <w:szCs w:val="18"/>
              </w:rPr>
            </w:pPr>
            <w:r w:rsidRPr="001F0434">
              <w:rPr>
                <w:rFonts w:ascii="Palatino Linotype" w:eastAsia="Palatino Linotype" w:hAnsi="Palatino Linotype" w:cs="Palatino Linotype"/>
                <w:b/>
                <w:color w:val="000000"/>
                <w:sz w:val="18"/>
                <w:szCs w:val="18"/>
              </w:rPr>
              <w:t>Contenido</w:t>
            </w:r>
          </w:p>
        </w:tc>
        <w:tc>
          <w:tcPr>
            <w:tcW w:w="1546" w:type="dxa"/>
            <w:shd w:val="clear" w:color="auto" w:fill="DDD9C3"/>
          </w:tcPr>
          <w:p w:rsidR="00D64043" w:rsidRPr="001F0434" w:rsidRDefault="00BB68AC">
            <w:pPr>
              <w:spacing w:before="100" w:after="200" w:line="276" w:lineRule="auto"/>
              <w:jc w:val="center"/>
              <w:rPr>
                <w:rFonts w:ascii="Palatino Linotype" w:eastAsia="Palatino Linotype" w:hAnsi="Palatino Linotype" w:cs="Palatino Linotype"/>
                <w:b/>
                <w:color w:val="000000"/>
                <w:sz w:val="18"/>
                <w:szCs w:val="18"/>
              </w:rPr>
            </w:pPr>
            <w:r w:rsidRPr="001F0434">
              <w:rPr>
                <w:rFonts w:ascii="Palatino Linotype" w:eastAsia="Palatino Linotype" w:hAnsi="Palatino Linotype" w:cs="Palatino Linotype"/>
                <w:b/>
                <w:color w:val="000000"/>
                <w:sz w:val="18"/>
                <w:szCs w:val="18"/>
              </w:rPr>
              <w:t>Cumple</w:t>
            </w:r>
          </w:p>
        </w:tc>
      </w:tr>
      <w:tr w:rsidR="00D64043" w:rsidRPr="001F0434">
        <w:tc>
          <w:tcPr>
            <w:tcW w:w="1314" w:type="dxa"/>
          </w:tcPr>
          <w:p w:rsidR="00D64043" w:rsidRPr="001F0434" w:rsidRDefault="00BB68AC">
            <w:pPr>
              <w:spacing w:before="100" w:after="200" w:line="276" w:lineRule="auto"/>
              <w:jc w:val="center"/>
              <w:rPr>
                <w:rFonts w:ascii="Palatino Linotype" w:eastAsia="Palatino Linotype" w:hAnsi="Palatino Linotype" w:cs="Palatino Linotype"/>
                <w:sz w:val="18"/>
                <w:szCs w:val="18"/>
              </w:rPr>
            </w:pPr>
            <w:r w:rsidRPr="001F0434">
              <w:rPr>
                <w:rFonts w:ascii="Palatino Linotype" w:eastAsia="Palatino Linotype" w:hAnsi="Palatino Linotype" w:cs="Palatino Linotype"/>
                <w:b/>
                <w:sz w:val="18"/>
                <w:szCs w:val="18"/>
              </w:rPr>
              <w:lastRenderedPageBreak/>
              <w:t>Número de folio de la solicitud</w:t>
            </w:r>
          </w:p>
        </w:tc>
        <w:tc>
          <w:tcPr>
            <w:tcW w:w="5968" w:type="dxa"/>
          </w:tcPr>
          <w:p w:rsidR="00D64043" w:rsidRPr="001F0434" w:rsidRDefault="00BB68AC">
            <w:pPr>
              <w:spacing w:before="100" w:after="200"/>
              <w:jc w:val="center"/>
              <w:rPr>
                <w:rFonts w:ascii="Palatino Linotype" w:eastAsia="Palatino Linotype" w:hAnsi="Palatino Linotype" w:cs="Palatino Linotype"/>
                <w:sz w:val="20"/>
                <w:szCs w:val="20"/>
              </w:rPr>
            </w:pPr>
            <w:r w:rsidRPr="001F0434">
              <w:rPr>
                <w:rFonts w:ascii="Palatino Linotype" w:eastAsia="Palatino Linotype" w:hAnsi="Palatino Linotype" w:cs="Palatino Linotype"/>
                <w:sz w:val="20"/>
                <w:szCs w:val="20"/>
              </w:rPr>
              <w:t>Del análisis al acuerdo no se aprecia que se haga referencia a las solicitudes de información.</w:t>
            </w:r>
          </w:p>
        </w:tc>
        <w:tc>
          <w:tcPr>
            <w:tcW w:w="1546" w:type="dxa"/>
          </w:tcPr>
          <w:p w:rsidR="00D64043" w:rsidRPr="001F0434" w:rsidRDefault="00BB68AC">
            <w:pPr>
              <w:spacing w:before="100" w:after="200" w:line="276"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2"/>
                <w:szCs w:val="22"/>
              </w:rPr>
              <w:t>No</w:t>
            </w:r>
          </w:p>
        </w:tc>
      </w:tr>
      <w:tr w:rsidR="00D64043" w:rsidRPr="001F0434">
        <w:tc>
          <w:tcPr>
            <w:tcW w:w="1314" w:type="dxa"/>
          </w:tcPr>
          <w:p w:rsidR="00D64043" w:rsidRPr="001F0434" w:rsidRDefault="00BB68AC">
            <w:pPr>
              <w:spacing w:before="100" w:after="200" w:line="276" w:lineRule="auto"/>
              <w:jc w:val="center"/>
              <w:rPr>
                <w:rFonts w:ascii="Palatino Linotype" w:eastAsia="Palatino Linotype" w:hAnsi="Palatino Linotype" w:cs="Palatino Linotype"/>
                <w:sz w:val="18"/>
                <w:szCs w:val="18"/>
              </w:rPr>
            </w:pPr>
            <w:r w:rsidRPr="001F0434">
              <w:rPr>
                <w:rFonts w:ascii="Palatino Linotype" w:eastAsia="Palatino Linotype" w:hAnsi="Palatino Linotype" w:cs="Palatino Linotype"/>
                <w:b/>
                <w:sz w:val="18"/>
                <w:szCs w:val="18"/>
              </w:rPr>
              <w:t>Referencia de la información solicitada</w:t>
            </w:r>
          </w:p>
        </w:tc>
        <w:tc>
          <w:tcPr>
            <w:tcW w:w="5968" w:type="dxa"/>
          </w:tcPr>
          <w:p w:rsidR="00D64043" w:rsidRPr="001F0434" w:rsidRDefault="00BB68AC">
            <w:pPr>
              <w:spacing w:before="100" w:after="200" w:line="276" w:lineRule="auto"/>
              <w:rPr>
                <w:rFonts w:ascii="Palatino Linotype" w:eastAsia="Palatino Linotype" w:hAnsi="Palatino Linotype" w:cs="Palatino Linotype"/>
              </w:rPr>
            </w:pPr>
            <w:r w:rsidRPr="001F0434">
              <w:rPr>
                <w:rFonts w:ascii="Palatino Linotype" w:eastAsia="Palatino Linotype" w:hAnsi="Palatino Linotype" w:cs="Palatino Linotype"/>
                <w:noProof/>
                <w:lang w:val="es-MX"/>
              </w:rPr>
              <w:drawing>
                <wp:inline distT="0" distB="0" distL="0" distR="0">
                  <wp:extent cx="3652520" cy="1040765"/>
                  <wp:effectExtent l="0" t="0" r="0" b="0"/>
                  <wp:docPr id="3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652520" cy="1040765"/>
                          </a:xfrm>
                          <a:prstGeom prst="rect">
                            <a:avLst/>
                          </a:prstGeom>
                          <a:ln/>
                        </pic:spPr>
                      </pic:pic>
                    </a:graphicData>
                  </a:graphic>
                </wp:inline>
              </w:drawing>
            </w:r>
          </w:p>
        </w:tc>
        <w:tc>
          <w:tcPr>
            <w:tcW w:w="1546" w:type="dxa"/>
          </w:tcPr>
          <w:p w:rsidR="00D64043" w:rsidRPr="001F0434" w:rsidRDefault="00BB68AC">
            <w:pPr>
              <w:spacing w:before="100" w:after="200"/>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Parcialmente</w:t>
            </w:r>
          </w:p>
          <w:p w:rsidR="00D64043" w:rsidRPr="001F0434" w:rsidRDefault="00BB68AC">
            <w:pPr>
              <w:spacing w:before="100" w:after="200"/>
              <w:jc w:val="both"/>
              <w:rPr>
                <w:rFonts w:ascii="Palatino Linotype" w:eastAsia="Palatino Linotype" w:hAnsi="Palatino Linotype" w:cs="Palatino Linotype"/>
                <w:b/>
                <w:sz w:val="18"/>
                <w:szCs w:val="18"/>
              </w:rPr>
            </w:pPr>
            <w:r w:rsidRPr="001F0434">
              <w:rPr>
                <w:rFonts w:ascii="Palatino Linotype" w:eastAsia="Palatino Linotype" w:hAnsi="Palatino Linotype" w:cs="Palatino Linotype"/>
                <w:b/>
                <w:sz w:val="18"/>
                <w:szCs w:val="18"/>
              </w:rPr>
              <w:t>Observaciones:</w:t>
            </w:r>
          </w:p>
          <w:p w:rsidR="00D64043" w:rsidRPr="001F0434" w:rsidRDefault="00BB68AC">
            <w:pPr>
              <w:spacing w:before="100" w:after="200"/>
              <w:jc w:val="both"/>
              <w:rPr>
                <w:rFonts w:ascii="Palatino Linotype" w:eastAsia="Palatino Linotype" w:hAnsi="Palatino Linotype" w:cs="Palatino Linotype"/>
                <w:sz w:val="18"/>
                <w:szCs w:val="18"/>
              </w:rPr>
            </w:pPr>
            <w:r w:rsidRPr="001F0434">
              <w:rPr>
                <w:rFonts w:ascii="Palatino Linotype" w:eastAsia="Palatino Linotype" w:hAnsi="Palatino Linotype" w:cs="Palatino Linotype"/>
                <w:sz w:val="18"/>
                <w:szCs w:val="18"/>
              </w:rPr>
              <w:t>Únicamente se hace referencia a la información de manera general pero debemos recordar que la parte solicitante puntualmente requirió</w:t>
            </w:r>
            <w:r w:rsidRPr="001F0434">
              <w:t xml:space="preserve"> </w:t>
            </w:r>
            <w:r w:rsidRPr="001F0434">
              <w:rPr>
                <w:rFonts w:ascii="Palatino Linotype" w:eastAsia="Palatino Linotype" w:hAnsi="Palatino Linotype" w:cs="Palatino Linotype"/>
                <w:sz w:val="18"/>
                <w:szCs w:val="18"/>
              </w:rPr>
              <w:t xml:space="preserve">respecto de la verificación virtual oficiosa del año 2022 en dónde obtuvieron la calificación de 87.67%: </w:t>
            </w:r>
          </w:p>
          <w:p w:rsidR="00D64043" w:rsidRPr="001F0434" w:rsidRDefault="00BB68AC">
            <w:pPr>
              <w:spacing w:before="100" w:after="200"/>
              <w:jc w:val="both"/>
              <w:rPr>
                <w:rFonts w:ascii="Palatino Linotype" w:eastAsia="Palatino Linotype" w:hAnsi="Palatino Linotype" w:cs="Palatino Linotype"/>
                <w:sz w:val="18"/>
                <w:szCs w:val="18"/>
              </w:rPr>
            </w:pPr>
            <w:r w:rsidRPr="001F0434">
              <w:rPr>
                <w:rFonts w:ascii="Palatino Linotype" w:eastAsia="Palatino Linotype" w:hAnsi="Palatino Linotype" w:cs="Palatino Linotype"/>
                <w:sz w:val="18"/>
                <w:szCs w:val="18"/>
              </w:rPr>
              <w:t>1.- Los oficios que recibió la unidad de transparencia para dar seguimiento y atención a las observaciones realizadas por el INFOEM.</w:t>
            </w:r>
          </w:p>
          <w:p w:rsidR="00D64043" w:rsidRPr="001F0434" w:rsidRDefault="00BB68AC">
            <w:pPr>
              <w:spacing w:before="100" w:after="200"/>
              <w:jc w:val="both"/>
              <w:rPr>
                <w:rFonts w:ascii="Palatino Linotype" w:eastAsia="Palatino Linotype" w:hAnsi="Palatino Linotype" w:cs="Palatino Linotype"/>
                <w:sz w:val="18"/>
                <w:szCs w:val="18"/>
              </w:rPr>
            </w:pPr>
            <w:r w:rsidRPr="001F0434">
              <w:rPr>
                <w:rFonts w:ascii="Palatino Linotype" w:eastAsia="Palatino Linotype" w:hAnsi="Palatino Linotype" w:cs="Palatino Linotype"/>
                <w:sz w:val="18"/>
                <w:szCs w:val="18"/>
              </w:rPr>
              <w:t xml:space="preserve">2.-Los oficios generados para dar seguimiento y atención a las observaciones </w:t>
            </w:r>
            <w:r w:rsidRPr="001F0434">
              <w:rPr>
                <w:rFonts w:ascii="Palatino Linotype" w:eastAsia="Palatino Linotype" w:hAnsi="Palatino Linotype" w:cs="Palatino Linotype"/>
                <w:sz w:val="18"/>
                <w:szCs w:val="18"/>
              </w:rPr>
              <w:lastRenderedPageBreak/>
              <w:t xml:space="preserve">realizadas por el INFOEM. </w:t>
            </w:r>
          </w:p>
          <w:p w:rsidR="00D64043" w:rsidRPr="001F0434" w:rsidRDefault="00BB68AC">
            <w:pPr>
              <w:spacing w:before="100" w:after="200"/>
              <w:jc w:val="both"/>
              <w:rPr>
                <w:rFonts w:ascii="Palatino Linotype" w:eastAsia="Palatino Linotype" w:hAnsi="Palatino Linotype" w:cs="Palatino Linotype"/>
                <w:sz w:val="18"/>
                <w:szCs w:val="18"/>
              </w:rPr>
            </w:pPr>
            <w:r w:rsidRPr="001F0434">
              <w:rPr>
                <w:rFonts w:ascii="Palatino Linotype" w:eastAsia="Palatino Linotype" w:hAnsi="Palatino Linotype" w:cs="Palatino Linotype"/>
                <w:sz w:val="18"/>
                <w:szCs w:val="18"/>
              </w:rPr>
              <w:t xml:space="preserve">3.- Los oficios y acuerdos recibidos por el INFOEM. </w:t>
            </w:r>
          </w:p>
        </w:tc>
      </w:tr>
      <w:tr w:rsidR="00D64043" w:rsidRPr="001F0434">
        <w:tc>
          <w:tcPr>
            <w:tcW w:w="1314" w:type="dxa"/>
          </w:tcPr>
          <w:p w:rsidR="00D64043" w:rsidRPr="001F0434" w:rsidRDefault="00BB68AC">
            <w:pPr>
              <w:spacing w:before="100" w:after="200" w:line="276" w:lineRule="auto"/>
              <w:jc w:val="center"/>
              <w:rPr>
                <w:rFonts w:ascii="Palatino Linotype" w:eastAsia="Palatino Linotype" w:hAnsi="Palatino Linotype" w:cs="Palatino Linotype"/>
                <w:sz w:val="18"/>
                <w:szCs w:val="18"/>
              </w:rPr>
            </w:pPr>
            <w:r w:rsidRPr="001F0434">
              <w:rPr>
                <w:rFonts w:ascii="Palatino Linotype" w:eastAsia="Palatino Linotype" w:hAnsi="Palatino Linotype" w:cs="Palatino Linotype"/>
                <w:b/>
                <w:sz w:val="18"/>
                <w:szCs w:val="18"/>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5968" w:type="dxa"/>
          </w:tcPr>
          <w:p w:rsidR="00D64043" w:rsidRPr="001F0434" w:rsidRDefault="00BB68AC">
            <w:pPr>
              <w:spacing w:before="100" w:after="200" w:line="276" w:lineRule="auto"/>
              <w:rPr>
                <w:rFonts w:ascii="Calibri" w:eastAsia="Calibri" w:hAnsi="Calibri" w:cs="Calibri"/>
                <w:sz w:val="20"/>
                <w:szCs w:val="20"/>
              </w:rPr>
            </w:pPr>
            <w:r w:rsidRPr="001F0434">
              <w:rPr>
                <w:rFonts w:ascii="Calibri" w:eastAsia="Calibri" w:hAnsi="Calibri" w:cs="Calibri"/>
                <w:noProof/>
                <w:sz w:val="20"/>
                <w:szCs w:val="20"/>
                <w:lang w:val="es-MX"/>
              </w:rPr>
              <w:drawing>
                <wp:inline distT="0" distB="0" distL="0" distR="0">
                  <wp:extent cx="3658762" cy="1878995"/>
                  <wp:effectExtent l="0" t="0" r="0" b="0"/>
                  <wp:docPr id="3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658762" cy="1878995"/>
                          </a:xfrm>
                          <a:prstGeom prst="rect">
                            <a:avLst/>
                          </a:prstGeom>
                          <a:ln/>
                        </pic:spPr>
                      </pic:pic>
                    </a:graphicData>
                  </a:graphic>
                </wp:inline>
              </w:drawing>
            </w:r>
            <w:r w:rsidRPr="001F0434">
              <w:rPr>
                <w:noProof/>
                <w:lang w:val="es-MX"/>
              </w:rPr>
              <mc:AlternateContent>
                <mc:Choice Requires="wpg">
                  <w:drawing>
                    <wp:anchor distT="0" distB="0" distL="114300" distR="114300" simplePos="0" relativeHeight="251664384" behindDoc="0" locked="0" layoutInCell="1" hidden="0" allowOverlap="1">
                      <wp:simplePos x="0" y="0"/>
                      <wp:positionH relativeFrom="column">
                        <wp:posOffset>88901</wp:posOffset>
                      </wp:positionH>
                      <wp:positionV relativeFrom="paragraph">
                        <wp:posOffset>1016000</wp:posOffset>
                      </wp:positionV>
                      <wp:extent cx="3604895" cy="352425"/>
                      <wp:effectExtent l="0" t="0" r="0" b="0"/>
                      <wp:wrapNone/>
                      <wp:docPr id="349" name="Rectángulo 349"/>
                      <wp:cNvGraphicFramePr/>
                      <a:graphic xmlns:a="http://schemas.openxmlformats.org/drawingml/2006/main">
                        <a:graphicData uri="http://schemas.microsoft.com/office/word/2010/wordprocessingShape">
                          <wps:wsp>
                            <wps:cNvSpPr/>
                            <wps:spPr>
                              <a:xfrm>
                                <a:off x="3557840" y="3618075"/>
                                <a:ext cx="3576320" cy="323850"/>
                              </a:xfrm>
                              <a:prstGeom prst="rect">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rsidR="00D64043" w:rsidRDefault="00D6404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1016000</wp:posOffset>
                      </wp:positionV>
                      <wp:extent cx="3604895" cy="352425"/>
                      <wp:effectExtent b="0" l="0" r="0" t="0"/>
                      <wp:wrapNone/>
                      <wp:docPr id="349"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3604895" cy="352425"/>
                              </a:xfrm>
                              <a:prstGeom prst="rect"/>
                              <a:ln/>
                            </pic:spPr>
                          </pic:pic>
                        </a:graphicData>
                      </a:graphic>
                    </wp:anchor>
                  </w:drawing>
                </mc:Fallback>
              </mc:AlternateContent>
            </w:r>
          </w:p>
          <w:p w:rsidR="00D64043" w:rsidRPr="001F0434" w:rsidRDefault="00BB68AC">
            <w:pPr>
              <w:spacing w:before="100" w:after="200" w:line="276" w:lineRule="auto"/>
              <w:rPr>
                <w:rFonts w:ascii="Calibri" w:eastAsia="Calibri" w:hAnsi="Calibri" w:cs="Calibri"/>
                <w:sz w:val="20"/>
                <w:szCs w:val="20"/>
              </w:rPr>
            </w:pPr>
            <w:r w:rsidRPr="001F0434">
              <w:rPr>
                <w:rFonts w:ascii="Calibri" w:eastAsia="Calibri" w:hAnsi="Calibri" w:cs="Calibri"/>
                <w:noProof/>
                <w:sz w:val="20"/>
                <w:szCs w:val="20"/>
                <w:lang w:val="es-MX"/>
              </w:rPr>
              <w:drawing>
                <wp:inline distT="0" distB="0" distL="0" distR="0">
                  <wp:extent cx="3652520" cy="1355090"/>
                  <wp:effectExtent l="0" t="0" r="0" b="0"/>
                  <wp:docPr id="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652520" cy="1355090"/>
                          </a:xfrm>
                          <a:prstGeom prst="rect">
                            <a:avLst/>
                          </a:prstGeom>
                          <a:ln/>
                        </pic:spPr>
                      </pic:pic>
                    </a:graphicData>
                  </a:graphic>
                </wp:inline>
              </w:drawing>
            </w:r>
          </w:p>
        </w:tc>
        <w:tc>
          <w:tcPr>
            <w:tcW w:w="1546" w:type="dxa"/>
          </w:tcPr>
          <w:p w:rsidR="00D64043" w:rsidRPr="001F0434" w:rsidRDefault="00BB68AC">
            <w:pPr>
              <w:spacing w:before="100" w:after="200" w:line="276"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0"/>
                <w:szCs w:val="20"/>
              </w:rPr>
              <w:t>No</w:t>
            </w:r>
          </w:p>
          <w:p w:rsidR="00D64043" w:rsidRPr="001F0434" w:rsidRDefault="00BB68AC">
            <w:pPr>
              <w:spacing w:before="100" w:after="200" w:line="276" w:lineRule="auto"/>
              <w:jc w:val="both"/>
              <w:rPr>
                <w:rFonts w:ascii="Palatino Linotype" w:eastAsia="Palatino Linotype" w:hAnsi="Palatino Linotype" w:cs="Palatino Linotype"/>
                <w:b/>
                <w:sz w:val="18"/>
                <w:szCs w:val="18"/>
              </w:rPr>
            </w:pPr>
            <w:r w:rsidRPr="001F0434">
              <w:rPr>
                <w:rFonts w:ascii="Palatino Linotype" w:eastAsia="Palatino Linotype" w:hAnsi="Palatino Linotype" w:cs="Palatino Linotype"/>
                <w:b/>
                <w:sz w:val="18"/>
                <w:szCs w:val="18"/>
              </w:rPr>
              <w:t xml:space="preserve">Observaciones </w:t>
            </w:r>
            <w:r w:rsidRPr="001F0434">
              <w:rPr>
                <w:rFonts w:ascii="Palatino Linotype" w:eastAsia="Palatino Linotype" w:hAnsi="Palatino Linotype" w:cs="Palatino Linotype"/>
                <w:sz w:val="18"/>
                <w:szCs w:val="18"/>
              </w:rPr>
              <w:t>Las fracciones X y XI del 113 no son aplicables, toda vez que la divulgación de la información solicitada  no vulnera el debido proceso ni la conducción de los Expedientes judiciales o de los procedimientos administrativos seguidos en forma de juicio, además el lineamiento tampoco es aplicable.</w:t>
            </w:r>
          </w:p>
          <w:p w:rsidR="00D64043" w:rsidRPr="001F0434" w:rsidRDefault="00D64043">
            <w:pPr>
              <w:spacing w:before="100" w:after="200" w:line="276" w:lineRule="auto"/>
              <w:ind w:right="-64"/>
              <w:jc w:val="both"/>
              <w:rPr>
                <w:rFonts w:ascii="Palatino Linotype" w:eastAsia="Palatino Linotype" w:hAnsi="Palatino Linotype" w:cs="Palatino Linotype"/>
                <w:sz w:val="20"/>
                <w:szCs w:val="20"/>
              </w:rPr>
            </w:pPr>
          </w:p>
          <w:p w:rsidR="00D64043" w:rsidRPr="001F0434" w:rsidRDefault="00D64043">
            <w:pPr>
              <w:spacing w:before="100" w:after="200" w:line="276" w:lineRule="auto"/>
              <w:ind w:right="-64"/>
              <w:jc w:val="both"/>
              <w:rPr>
                <w:rFonts w:ascii="Palatino Linotype" w:eastAsia="Palatino Linotype" w:hAnsi="Palatino Linotype" w:cs="Palatino Linotype"/>
                <w:sz w:val="20"/>
                <w:szCs w:val="20"/>
              </w:rPr>
            </w:pPr>
          </w:p>
          <w:p w:rsidR="00D64043" w:rsidRPr="001F0434" w:rsidRDefault="00D64043">
            <w:pPr>
              <w:spacing w:before="100" w:after="200" w:line="276" w:lineRule="auto"/>
              <w:ind w:right="-64"/>
              <w:jc w:val="both"/>
              <w:rPr>
                <w:rFonts w:ascii="Palatino Linotype" w:eastAsia="Palatino Linotype" w:hAnsi="Palatino Linotype" w:cs="Palatino Linotype"/>
                <w:sz w:val="20"/>
                <w:szCs w:val="20"/>
              </w:rPr>
            </w:pPr>
          </w:p>
          <w:p w:rsidR="00D64043" w:rsidRPr="001F0434" w:rsidRDefault="00D64043">
            <w:pPr>
              <w:spacing w:before="100" w:after="200"/>
              <w:jc w:val="center"/>
              <w:rPr>
                <w:rFonts w:ascii="Palatino Linotype" w:eastAsia="Palatino Linotype" w:hAnsi="Palatino Linotype" w:cs="Palatino Linotype"/>
                <w:b/>
                <w:sz w:val="20"/>
                <w:szCs w:val="20"/>
              </w:rPr>
            </w:pPr>
          </w:p>
        </w:tc>
      </w:tr>
      <w:tr w:rsidR="00D64043" w:rsidRPr="001F0434">
        <w:tc>
          <w:tcPr>
            <w:tcW w:w="1314" w:type="dxa"/>
          </w:tcPr>
          <w:p w:rsidR="00D64043" w:rsidRPr="001F0434" w:rsidRDefault="00BB68AC">
            <w:pPr>
              <w:spacing w:before="100" w:after="200" w:line="276" w:lineRule="auto"/>
              <w:jc w:val="center"/>
              <w:rPr>
                <w:rFonts w:ascii="Palatino Linotype" w:eastAsia="Palatino Linotype" w:hAnsi="Palatino Linotype" w:cs="Palatino Linotype"/>
                <w:sz w:val="18"/>
                <w:szCs w:val="18"/>
              </w:rPr>
            </w:pPr>
            <w:r w:rsidRPr="001F0434">
              <w:rPr>
                <w:rFonts w:ascii="Palatino Linotype" w:eastAsia="Palatino Linotype" w:hAnsi="Palatino Linotype" w:cs="Palatino Linotype"/>
                <w:b/>
                <w:sz w:val="18"/>
                <w:szCs w:val="18"/>
              </w:rPr>
              <w:lastRenderedPageBreak/>
              <w:t>Fundamento y Motivación Legal</w:t>
            </w:r>
          </w:p>
        </w:tc>
        <w:tc>
          <w:tcPr>
            <w:tcW w:w="5968" w:type="dxa"/>
          </w:tcPr>
          <w:p w:rsidR="00D64043" w:rsidRPr="001F0434" w:rsidRDefault="00BB68AC">
            <w:pPr>
              <w:spacing w:before="100" w:after="200" w:line="276" w:lineRule="auto"/>
              <w:rPr>
                <w:rFonts w:ascii="Calibri" w:eastAsia="Calibri" w:hAnsi="Calibri" w:cs="Calibri"/>
                <w:sz w:val="20"/>
                <w:szCs w:val="20"/>
              </w:rPr>
            </w:pPr>
            <w:r w:rsidRPr="001F0434">
              <w:rPr>
                <w:rFonts w:ascii="Calibri" w:eastAsia="Calibri" w:hAnsi="Calibri" w:cs="Calibri"/>
                <w:noProof/>
                <w:sz w:val="20"/>
                <w:szCs w:val="20"/>
                <w:lang w:val="es-MX"/>
              </w:rPr>
              <w:drawing>
                <wp:inline distT="0" distB="0" distL="0" distR="0">
                  <wp:extent cx="3652520" cy="3641090"/>
                  <wp:effectExtent l="0" t="0" r="0" b="0"/>
                  <wp:docPr id="3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652520" cy="3641090"/>
                          </a:xfrm>
                          <a:prstGeom prst="rect">
                            <a:avLst/>
                          </a:prstGeom>
                          <a:ln/>
                        </pic:spPr>
                      </pic:pic>
                    </a:graphicData>
                  </a:graphic>
                </wp:inline>
              </w:drawing>
            </w:r>
          </w:p>
          <w:p w:rsidR="00D64043" w:rsidRPr="001F0434" w:rsidRDefault="00BB68AC">
            <w:pPr>
              <w:spacing w:before="100" w:after="200" w:line="276" w:lineRule="auto"/>
              <w:rPr>
                <w:rFonts w:ascii="Calibri" w:eastAsia="Calibri" w:hAnsi="Calibri" w:cs="Calibri"/>
                <w:sz w:val="20"/>
                <w:szCs w:val="20"/>
              </w:rPr>
            </w:pPr>
            <w:r w:rsidRPr="001F0434">
              <w:rPr>
                <w:rFonts w:ascii="Calibri" w:eastAsia="Calibri" w:hAnsi="Calibri" w:cs="Calibri"/>
                <w:noProof/>
                <w:sz w:val="20"/>
                <w:szCs w:val="20"/>
                <w:lang w:val="es-MX"/>
              </w:rPr>
              <w:drawing>
                <wp:inline distT="0" distB="0" distL="0" distR="0">
                  <wp:extent cx="3600507" cy="673529"/>
                  <wp:effectExtent l="0" t="0" r="0" b="0"/>
                  <wp:docPr id="3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600507" cy="673529"/>
                          </a:xfrm>
                          <a:prstGeom prst="rect">
                            <a:avLst/>
                          </a:prstGeom>
                          <a:ln/>
                        </pic:spPr>
                      </pic:pic>
                    </a:graphicData>
                  </a:graphic>
                </wp:inline>
              </w:drawing>
            </w:r>
          </w:p>
        </w:tc>
        <w:tc>
          <w:tcPr>
            <w:tcW w:w="1546" w:type="dxa"/>
          </w:tcPr>
          <w:p w:rsidR="00D64043" w:rsidRPr="001F0434" w:rsidRDefault="00BB68AC">
            <w:pPr>
              <w:spacing w:before="100" w:after="200" w:line="276" w:lineRule="auto"/>
              <w:jc w:val="center"/>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22"/>
                <w:szCs w:val="22"/>
              </w:rPr>
              <w:t>No</w:t>
            </w:r>
          </w:p>
        </w:tc>
      </w:tr>
      <w:tr w:rsidR="00D64043" w:rsidRPr="001F0434">
        <w:tc>
          <w:tcPr>
            <w:tcW w:w="1314" w:type="dxa"/>
          </w:tcPr>
          <w:p w:rsidR="00D64043" w:rsidRPr="001F0434" w:rsidRDefault="00BB68AC">
            <w:pPr>
              <w:spacing w:before="100" w:after="200" w:line="276" w:lineRule="auto"/>
              <w:rPr>
                <w:rFonts w:ascii="Palatino Linotype" w:eastAsia="Palatino Linotype" w:hAnsi="Palatino Linotype" w:cs="Palatino Linotype"/>
                <w:b/>
                <w:sz w:val="16"/>
                <w:szCs w:val="16"/>
              </w:rPr>
            </w:pPr>
            <w:r w:rsidRPr="001F0434">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968" w:type="dxa"/>
          </w:tcPr>
          <w:p w:rsidR="00D64043" w:rsidRPr="001F0434" w:rsidRDefault="00BB68AC">
            <w:pPr>
              <w:spacing w:before="100" w:after="200" w:line="276" w:lineRule="auto"/>
              <w:rPr>
                <w:rFonts w:ascii="Calibri" w:eastAsia="Calibri" w:hAnsi="Calibri" w:cs="Calibri"/>
                <w:sz w:val="20"/>
                <w:szCs w:val="20"/>
              </w:rPr>
            </w:pPr>
            <w:r w:rsidRPr="001F0434">
              <w:rPr>
                <w:rFonts w:ascii="Calibri" w:eastAsia="Calibri" w:hAnsi="Calibri" w:cs="Calibri"/>
                <w:noProof/>
                <w:sz w:val="20"/>
                <w:szCs w:val="20"/>
                <w:lang w:val="es-MX"/>
              </w:rPr>
              <w:drawing>
                <wp:inline distT="0" distB="0" distL="0" distR="0">
                  <wp:extent cx="3652520" cy="3790950"/>
                  <wp:effectExtent l="0" t="0" r="0" b="0"/>
                  <wp:docPr id="3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652520" cy="3790950"/>
                          </a:xfrm>
                          <a:prstGeom prst="rect">
                            <a:avLst/>
                          </a:prstGeom>
                          <a:ln/>
                        </pic:spPr>
                      </pic:pic>
                    </a:graphicData>
                  </a:graphic>
                </wp:inline>
              </w:drawing>
            </w:r>
          </w:p>
        </w:tc>
        <w:tc>
          <w:tcPr>
            <w:tcW w:w="1546" w:type="dxa"/>
          </w:tcPr>
          <w:p w:rsidR="00D64043" w:rsidRPr="001F0434" w:rsidRDefault="00BB68AC">
            <w:pPr>
              <w:spacing w:before="100" w:after="200" w:line="276" w:lineRule="auto"/>
              <w:jc w:val="center"/>
              <w:rPr>
                <w:rFonts w:ascii="Palatino Linotype" w:eastAsia="Palatino Linotype" w:hAnsi="Palatino Linotype" w:cs="Palatino Linotype"/>
                <w:b/>
                <w:sz w:val="22"/>
                <w:szCs w:val="22"/>
              </w:rPr>
            </w:pPr>
            <w:r w:rsidRPr="001F0434">
              <w:rPr>
                <w:rFonts w:ascii="Palatino Linotype" w:eastAsia="Palatino Linotype" w:hAnsi="Palatino Linotype" w:cs="Palatino Linotype"/>
                <w:b/>
                <w:sz w:val="22"/>
                <w:szCs w:val="22"/>
              </w:rPr>
              <w:t>No</w:t>
            </w:r>
          </w:p>
          <w:p w:rsidR="00D64043" w:rsidRPr="001F0434" w:rsidRDefault="00BB68AC">
            <w:pPr>
              <w:spacing w:before="100" w:after="200" w:line="276" w:lineRule="auto"/>
              <w:jc w:val="both"/>
              <w:rPr>
                <w:rFonts w:ascii="Palatino Linotype" w:eastAsia="Palatino Linotype" w:hAnsi="Palatino Linotype" w:cs="Palatino Linotype"/>
                <w:b/>
                <w:sz w:val="20"/>
                <w:szCs w:val="20"/>
              </w:rPr>
            </w:pPr>
            <w:r w:rsidRPr="001F0434">
              <w:rPr>
                <w:rFonts w:ascii="Palatino Linotype" w:eastAsia="Palatino Linotype" w:hAnsi="Palatino Linotype" w:cs="Palatino Linotype"/>
                <w:b/>
                <w:sz w:val="18"/>
                <w:szCs w:val="18"/>
              </w:rPr>
              <w:t xml:space="preserve">Observaciones: </w:t>
            </w:r>
            <w:r w:rsidRPr="001F0434">
              <w:rPr>
                <w:rFonts w:ascii="Palatino Linotype" w:eastAsia="Palatino Linotype" w:hAnsi="Palatino Linotype" w:cs="Palatino Linotype"/>
                <w:sz w:val="18"/>
                <w:szCs w:val="18"/>
              </w:rPr>
              <w:t>Se considera que no existe un nexo</w:t>
            </w:r>
            <w:r w:rsidRPr="001F0434">
              <w:rPr>
                <w:rFonts w:ascii="Palatino Linotype" w:eastAsia="Palatino Linotype" w:hAnsi="Palatino Linotype" w:cs="Palatino Linotype"/>
                <w:b/>
                <w:sz w:val="18"/>
                <w:szCs w:val="18"/>
              </w:rPr>
              <w:t xml:space="preserve"> </w:t>
            </w:r>
            <w:r w:rsidRPr="001F0434">
              <w:rPr>
                <w:rFonts w:ascii="Palatino Linotype" w:eastAsia="Palatino Linotype" w:hAnsi="Palatino Linotype" w:cs="Palatino Linotype"/>
                <w:sz w:val="18"/>
                <w:szCs w:val="18"/>
              </w:rPr>
              <w:t>entre el fundamento</w:t>
            </w:r>
            <w:r w:rsidRPr="001F0434">
              <w:rPr>
                <w:rFonts w:ascii="Palatino Linotype" w:eastAsia="Palatino Linotype" w:hAnsi="Palatino Linotype" w:cs="Palatino Linotype"/>
                <w:b/>
                <w:sz w:val="18"/>
                <w:szCs w:val="18"/>
              </w:rPr>
              <w:t xml:space="preserve"> </w:t>
            </w:r>
            <w:r w:rsidRPr="001F0434">
              <w:rPr>
                <w:rFonts w:ascii="Palatino Linotype" w:eastAsia="Palatino Linotype" w:hAnsi="Palatino Linotype" w:cs="Palatino Linotype"/>
                <w:sz w:val="18"/>
                <w:szCs w:val="18"/>
              </w:rPr>
              <w:t>legal y la motivación expuesta, toda vez que dentro de la argumentación no se está encuadrando el supuesto jurídico dentro del hecho que dé origen a la reserva.</w:t>
            </w:r>
          </w:p>
        </w:tc>
      </w:tr>
      <w:tr w:rsidR="00D64043" w:rsidRPr="001F0434">
        <w:tc>
          <w:tcPr>
            <w:tcW w:w="8828" w:type="dxa"/>
            <w:gridSpan w:val="3"/>
            <w:shd w:val="clear" w:color="auto" w:fill="DDD9C3"/>
          </w:tcPr>
          <w:p w:rsidR="00D64043" w:rsidRPr="001F0434" w:rsidRDefault="00BB68AC">
            <w:pPr>
              <w:spacing w:before="100" w:after="200" w:line="276" w:lineRule="auto"/>
              <w:jc w:val="center"/>
              <w:rPr>
                <w:rFonts w:ascii="Palatino Linotype" w:eastAsia="Palatino Linotype" w:hAnsi="Palatino Linotype" w:cs="Palatino Linotype"/>
                <w:b/>
              </w:rPr>
            </w:pPr>
            <w:r w:rsidRPr="001F0434">
              <w:rPr>
                <w:rFonts w:ascii="Palatino Linotype" w:eastAsia="Palatino Linotype" w:hAnsi="Palatino Linotype" w:cs="Palatino Linotype"/>
                <w:b/>
                <w:color w:val="000000"/>
                <w:sz w:val="22"/>
                <w:szCs w:val="22"/>
              </w:rPr>
              <w:t>Elementos de la prueba de daño</w:t>
            </w:r>
          </w:p>
        </w:tc>
      </w:tr>
      <w:tr w:rsidR="00D64043" w:rsidRPr="001F0434">
        <w:tc>
          <w:tcPr>
            <w:tcW w:w="1314" w:type="dxa"/>
            <w:shd w:val="clear" w:color="auto" w:fill="auto"/>
          </w:tcPr>
          <w:p w:rsidR="00D64043" w:rsidRPr="001F0434" w:rsidRDefault="00BB68AC">
            <w:pPr>
              <w:spacing w:after="120" w:line="259" w:lineRule="auto"/>
              <w:jc w:val="center"/>
              <w:rPr>
                <w:rFonts w:ascii="Palatino Linotype" w:eastAsia="Palatino Linotype" w:hAnsi="Palatino Linotype" w:cs="Palatino Linotype"/>
                <w:b/>
                <w:sz w:val="16"/>
                <w:szCs w:val="16"/>
              </w:rPr>
            </w:pPr>
            <w:r w:rsidRPr="001F0434">
              <w:rPr>
                <w:rFonts w:ascii="Palatino Linotype" w:eastAsia="Palatino Linotype" w:hAnsi="Palatino Linotype" w:cs="Palatino Linotype"/>
                <w:b/>
                <w:sz w:val="16"/>
                <w:szCs w:val="16"/>
              </w:rPr>
              <w:t>Riesgo Real, Demostrable e Identificable</w:t>
            </w:r>
          </w:p>
          <w:p w:rsidR="00D64043" w:rsidRPr="001F0434" w:rsidRDefault="00BB68AC">
            <w:pPr>
              <w:spacing w:before="100" w:after="200" w:line="276" w:lineRule="auto"/>
              <w:jc w:val="center"/>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sz w:val="16"/>
                <w:szCs w:val="16"/>
              </w:rPr>
              <w:t>(Modo, Tiempo y Lugar)</w:t>
            </w:r>
          </w:p>
        </w:tc>
        <w:tc>
          <w:tcPr>
            <w:tcW w:w="5968" w:type="dxa"/>
            <w:shd w:val="clear" w:color="auto" w:fill="auto"/>
          </w:tcPr>
          <w:p w:rsidR="00D64043" w:rsidRPr="001F0434" w:rsidRDefault="00BB68AC">
            <w:pPr>
              <w:spacing w:before="100" w:after="200" w:line="276" w:lineRule="auto"/>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noProof/>
                <w:color w:val="FFFFFF"/>
                <w:sz w:val="22"/>
                <w:szCs w:val="22"/>
                <w:lang w:val="es-MX"/>
              </w:rPr>
              <w:drawing>
                <wp:inline distT="0" distB="0" distL="0" distR="0">
                  <wp:extent cx="3629643" cy="2021166"/>
                  <wp:effectExtent l="0" t="0" r="0" b="0"/>
                  <wp:docPr id="3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629643" cy="2021166"/>
                          </a:xfrm>
                          <a:prstGeom prst="rect">
                            <a:avLst/>
                          </a:prstGeom>
                          <a:ln/>
                        </pic:spPr>
                      </pic:pic>
                    </a:graphicData>
                  </a:graphic>
                </wp:inline>
              </w:drawing>
            </w:r>
          </w:p>
          <w:p w:rsidR="00D64043" w:rsidRPr="001F0434" w:rsidRDefault="00BB68AC">
            <w:pPr>
              <w:spacing w:before="100" w:after="200" w:line="276" w:lineRule="auto"/>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noProof/>
                <w:color w:val="FFFFFF"/>
                <w:sz w:val="22"/>
                <w:szCs w:val="22"/>
                <w:lang w:val="es-MX"/>
              </w:rPr>
              <w:lastRenderedPageBreak/>
              <w:drawing>
                <wp:inline distT="0" distB="0" distL="0" distR="0">
                  <wp:extent cx="3652520" cy="1480185"/>
                  <wp:effectExtent l="0" t="0" r="0" b="0"/>
                  <wp:docPr id="3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3652520" cy="1480185"/>
                          </a:xfrm>
                          <a:prstGeom prst="rect">
                            <a:avLst/>
                          </a:prstGeom>
                          <a:ln/>
                        </pic:spPr>
                      </pic:pic>
                    </a:graphicData>
                  </a:graphic>
                </wp:inline>
              </w:drawing>
            </w:r>
          </w:p>
        </w:tc>
        <w:tc>
          <w:tcPr>
            <w:tcW w:w="1546" w:type="dxa"/>
            <w:shd w:val="clear" w:color="auto" w:fill="auto"/>
          </w:tcPr>
          <w:p w:rsidR="00D64043" w:rsidRPr="001F0434" w:rsidRDefault="00BB68AC">
            <w:pPr>
              <w:spacing w:before="100" w:after="200" w:line="276" w:lineRule="auto"/>
              <w:jc w:val="center"/>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color w:val="000000"/>
                <w:sz w:val="22"/>
                <w:szCs w:val="22"/>
              </w:rPr>
              <w:lastRenderedPageBreak/>
              <w:t>No</w:t>
            </w:r>
          </w:p>
        </w:tc>
      </w:tr>
      <w:tr w:rsidR="00D64043" w:rsidRPr="001F0434">
        <w:tc>
          <w:tcPr>
            <w:tcW w:w="1314" w:type="dxa"/>
            <w:shd w:val="clear" w:color="auto" w:fill="auto"/>
          </w:tcPr>
          <w:p w:rsidR="00D64043" w:rsidRPr="001F0434" w:rsidRDefault="00BB68AC">
            <w:pPr>
              <w:spacing w:before="100" w:after="200" w:line="276" w:lineRule="auto"/>
              <w:jc w:val="center"/>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sz w:val="16"/>
                <w:szCs w:val="16"/>
              </w:rPr>
              <w:lastRenderedPageBreak/>
              <w:t>Temporalidad de la Reserva de la información</w:t>
            </w:r>
          </w:p>
        </w:tc>
        <w:tc>
          <w:tcPr>
            <w:tcW w:w="5968" w:type="dxa"/>
            <w:shd w:val="clear" w:color="auto" w:fill="auto"/>
          </w:tcPr>
          <w:p w:rsidR="00D64043" w:rsidRPr="001F0434" w:rsidRDefault="00BB68AC">
            <w:pPr>
              <w:spacing w:before="100" w:after="200" w:line="276" w:lineRule="auto"/>
              <w:jc w:val="center"/>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noProof/>
                <w:color w:val="FFFFFF"/>
                <w:sz w:val="22"/>
                <w:szCs w:val="22"/>
                <w:lang w:val="es-MX"/>
              </w:rPr>
              <w:drawing>
                <wp:inline distT="0" distB="0" distL="0" distR="0">
                  <wp:extent cx="3652520" cy="210820"/>
                  <wp:effectExtent l="0" t="0" r="0" b="0"/>
                  <wp:docPr id="3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652520" cy="210820"/>
                          </a:xfrm>
                          <a:prstGeom prst="rect">
                            <a:avLst/>
                          </a:prstGeom>
                          <a:ln/>
                        </pic:spPr>
                      </pic:pic>
                    </a:graphicData>
                  </a:graphic>
                </wp:inline>
              </w:drawing>
            </w:r>
          </w:p>
        </w:tc>
        <w:tc>
          <w:tcPr>
            <w:tcW w:w="1546" w:type="dxa"/>
            <w:shd w:val="clear" w:color="auto" w:fill="auto"/>
          </w:tcPr>
          <w:p w:rsidR="00D64043" w:rsidRPr="001F0434" w:rsidRDefault="00BB68AC">
            <w:pPr>
              <w:spacing w:before="100" w:after="200" w:line="276" w:lineRule="auto"/>
              <w:jc w:val="center"/>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color w:val="000000"/>
              </w:rPr>
              <w:t>Sí</w:t>
            </w:r>
          </w:p>
        </w:tc>
      </w:tr>
      <w:tr w:rsidR="00D64043" w:rsidRPr="001F0434">
        <w:tc>
          <w:tcPr>
            <w:tcW w:w="1314" w:type="dxa"/>
            <w:shd w:val="clear" w:color="auto" w:fill="auto"/>
          </w:tcPr>
          <w:p w:rsidR="00D64043" w:rsidRPr="001F0434" w:rsidRDefault="00BB68AC">
            <w:pPr>
              <w:spacing w:before="100" w:after="200" w:line="276" w:lineRule="auto"/>
              <w:jc w:val="center"/>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sz w:val="16"/>
                <w:szCs w:val="16"/>
              </w:rPr>
              <w:t>Autoridades competentes.</w:t>
            </w:r>
          </w:p>
        </w:tc>
        <w:tc>
          <w:tcPr>
            <w:tcW w:w="5968" w:type="dxa"/>
            <w:shd w:val="clear" w:color="auto" w:fill="auto"/>
          </w:tcPr>
          <w:p w:rsidR="00D64043" w:rsidRPr="001F0434" w:rsidRDefault="00BB68AC">
            <w:pPr>
              <w:spacing w:before="100" w:after="200" w:line="276" w:lineRule="auto"/>
              <w:rPr>
                <w:rFonts w:ascii="Cambria" w:eastAsia="Cambria" w:hAnsi="Cambria" w:cs="Cambria"/>
              </w:rPr>
            </w:pPr>
            <w:r w:rsidRPr="001F0434">
              <w:rPr>
                <w:noProof/>
                <w:lang w:val="es-MX"/>
              </w:rPr>
              <w:drawing>
                <wp:anchor distT="0" distB="0" distL="114300" distR="114300" simplePos="0" relativeHeight="251665408" behindDoc="0" locked="0" layoutInCell="1" hidden="0" allowOverlap="1">
                  <wp:simplePos x="0" y="0"/>
                  <wp:positionH relativeFrom="column">
                    <wp:posOffset>23496</wp:posOffset>
                  </wp:positionH>
                  <wp:positionV relativeFrom="paragraph">
                    <wp:posOffset>156845</wp:posOffset>
                  </wp:positionV>
                  <wp:extent cx="3652520" cy="1864995"/>
                  <wp:effectExtent l="0" t="0" r="0" b="0"/>
                  <wp:wrapTopAndBottom distT="0" distB="0"/>
                  <wp:docPr id="3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652520" cy="1864995"/>
                          </a:xfrm>
                          <a:prstGeom prst="rect">
                            <a:avLst/>
                          </a:prstGeom>
                          <a:ln/>
                        </pic:spPr>
                      </pic:pic>
                    </a:graphicData>
                  </a:graphic>
                </wp:anchor>
              </w:drawing>
            </w:r>
          </w:p>
          <w:p w:rsidR="00D64043" w:rsidRPr="001F0434" w:rsidRDefault="00BB68AC">
            <w:pPr>
              <w:spacing w:before="100" w:after="200" w:line="276" w:lineRule="auto"/>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noProof/>
                <w:color w:val="FFFFFF"/>
                <w:sz w:val="22"/>
                <w:szCs w:val="22"/>
                <w:lang w:val="es-MX"/>
              </w:rPr>
              <w:lastRenderedPageBreak/>
              <w:drawing>
                <wp:inline distT="0" distB="0" distL="0" distR="0">
                  <wp:extent cx="3652520" cy="2462530"/>
                  <wp:effectExtent l="0" t="0" r="0" b="0"/>
                  <wp:docPr id="3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3652520" cy="2462530"/>
                          </a:xfrm>
                          <a:prstGeom prst="rect">
                            <a:avLst/>
                          </a:prstGeom>
                          <a:ln/>
                        </pic:spPr>
                      </pic:pic>
                    </a:graphicData>
                  </a:graphic>
                </wp:inline>
              </w:drawing>
            </w:r>
          </w:p>
        </w:tc>
        <w:tc>
          <w:tcPr>
            <w:tcW w:w="1546" w:type="dxa"/>
            <w:shd w:val="clear" w:color="auto" w:fill="auto"/>
          </w:tcPr>
          <w:p w:rsidR="00D64043" w:rsidRPr="001F0434" w:rsidRDefault="00BB68AC">
            <w:pPr>
              <w:spacing w:before="100" w:after="200" w:line="276" w:lineRule="auto"/>
              <w:jc w:val="center"/>
              <w:rPr>
                <w:rFonts w:ascii="Palatino Linotype" w:eastAsia="Palatino Linotype" w:hAnsi="Palatino Linotype" w:cs="Palatino Linotype"/>
                <w:b/>
                <w:color w:val="FFFFFF"/>
                <w:sz w:val="22"/>
                <w:szCs w:val="22"/>
              </w:rPr>
            </w:pPr>
            <w:r w:rsidRPr="001F0434">
              <w:rPr>
                <w:rFonts w:ascii="Palatino Linotype" w:eastAsia="Palatino Linotype" w:hAnsi="Palatino Linotype" w:cs="Palatino Linotype"/>
                <w:b/>
                <w:color w:val="000000"/>
                <w:sz w:val="22"/>
                <w:szCs w:val="22"/>
              </w:rPr>
              <w:lastRenderedPageBreak/>
              <w:t>Sí</w:t>
            </w:r>
          </w:p>
        </w:tc>
      </w:tr>
    </w:tbl>
    <w:p w:rsidR="00D64043" w:rsidRPr="001F0434" w:rsidRDefault="00D64043">
      <w:pPr>
        <w:spacing w:before="100" w:after="200" w:line="276" w:lineRule="auto"/>
        <w:rPr>
          <w:rFonts w:ascii="Calibri" w:eastAsia="Calibri" w:hAnsi="Calibri" w:cs="Calibri"/>
          <w:sz w:val="20"/>
          <w:szCs w:val="20"/>
        </w:rPr>
      </w:pPr>
    </w:p>
    <w:p w:rsidR="00D64043" w:rsidRPr="001F0434" w:rsidRDefault="00BB68AC">
      <w:pPr>
        <w:spacing w:line="360" w:lineRule="auto"/>
        <w:jc w:val="both"/>
        <w:rPr>
          <w:rFonts w:ascii="Palatino Linotype" w:eastAsia="Palatino Linotype" w:hAnsi="Palatino Linotype" w:cs="Palatino Linotype"/>
          <w:color w:val="000000"/>
        </w:rPr>
      </w:pPr>
      <w:r w:rsidRPr="001F0434">
        <w:rPr>
          <w:rFonts w:ascii="Palatino Linotype" w:eastAsia="Palatino Linotype" w:hAnsi="Palatino Linotype" w:cs="Palatino Linotype"/>
          <w:color w:val="000000"/>
        </w:rPr>
        <w:t xml:space="preserve">Como se analizó anteriormente, el acuerdo de reserva carece de </w:t>
      </w:r>
      <w:r w:rsidRPr="001F0434">
        <w:rPr>
          <w:rFonts w:ascii="Palatino Linotype" w:eastAsia="Palatino Linotype" w:hAnsi="Palatino Linotype" w:cs="Palatino Linotype"/>
        </w:rPr>
        <w:t>cinco</w:t>
      </w:r>
      <w:r w:rsidRPr="001F0434">
        <w:rPr>
          <w:rFonts w:ascii="Palatino Linotype" w:eastAsia="Palatino Linotype" w:hAnsi="Palatino Linotype" w:cs="Palatino Linotype"/>
          <w:color w:val="000000"/>
        </w:rPr>
        <w:t xml:space="preserve"> elementos a saber: </w:t>
      </w:r>
    </w:p>
    <w:p w:rsidR="00D64043" w:rsidRPr="001F0434" w:rsidRDefault="00BB68AC">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No se señalan los números de folio de las solicitudes</w:t>
      </w:r>
    </w:p>
    <w:p w:rsidR="00D64043" w:rsidRPr="001F0434" w:rsidRDefault="00BB68AC">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No se hace puntual referencia de la información solicitada</w:t>
      </w:r>
    </w:p>
    <w:p w:rsidR="00D64043" w:rsidRPr="001F0434" w:rsidRDefault="00BB68AC">
      <w:pPr>
        <w:numPr>
          <w:ilvl w:val="0"/>
          <w:numId w:val="2"/>
        </w:numPr>
        <w:pBdr>
          <w:top w:val="nil"/>
          <w:left w:val="nil"/>
          <w:bottom w:val="nil"/>
          <w:right w:val="nil"/>
          <w:between w:val="nil"/>
        </w:pBdr>
        <w:spacing w:after="160" w:line="276" w:lineRule="auto"/>
        <w:ind w:right="900"/>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La causal aplicable del artículo 113 de la Ley General y el Lineamiento que expresamente le otorguen el carácter de información reservada, no son aplicables.</w:t>
      </w:r>
    </w:p>
    <w:p w:rsidR="00D64043" w:rsidRPr="001F0434" w:rsidRDefault="00BB68AC">
      <w:pPr>
        <w:numPr>
          <w:ilvl w:val="0"/>
          <w:numId w:val="2"/>
        </w:numPr>
        <w:spacing w:after="160" w:line="276" w:lineRule="auto"/>
        <w:rPr>
          <w:rFonts w:ascii="Palatino Linotype" w:eastAsia="Palatino Linotype" w:hAnsi="Palatino Linotype" w:cs="Palatino Linotype"/>
          <w:b/>
          <w:sz w:val="22"/>
          <w:szCs w:val="22"/>
        </w:rPr>
      </w:pPr>
      <w:r w:rsidRPr="001F0434">
        <w:rPr>
          <w:rFonts w:ascii="Palatino Linotype" w:eastAsia="Palatino Linotype" w:hAnsi="Palatino Linotype" w:cs="Palatino Linotype"/>
          <w:b/>
          <w:sz w:val="22"/>
          <w:szCs w:val="22"/>
        </w:rPr>
        <w:t>No cuenta con fundamento y Motivación Legal</w:t>
      </w:r>
    </w:p>
    <w:p w:rsidR="00D64043" w:rsidRPr="001F0434" w:rsidRDefault="00BB68AC">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b/>
          <w:color w:val="000000"/>
          <w:sz w:val="22"/>
          <w:szCs w:val="22"/>
        </w:rPr>
      </w:pPr>
      <w:r w:rsidRPr="001F0434">
        <w:rPr>
          <w:rFonts w:ascii="Palatino Linotype" w:eastAsia="Palatino Linotype" w:hAnsi="Palatino Linotype" w:cs="Palatino Linotype"/>
          <w:b/>
          <w:color w:val="000000"/>
          <w:sz w:val="22"/>
          <w:szCs w:val="22"/>
        </w:rPr>
        <w:t>No hay prueba de daño</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Del análisis al acuerdo, no se estima que en el asunto que nos ocupa se actualicen las fracciones X y XI, del artículo 113 de la Ley General de Transparencia y Acceso a la Información Pública, puesto que como se señaló anteriormente, la fracción X comprende la reserva por afectar los derechos del debido proceso, mientras que la </w:t>
      </w:r>
      <w:r w:rsidRPr="001F0434">
        <w:rPr>
          <w:rFonts w:ascii="Palatino Linotype" w:eastAsia="Palatino Linotype" w:hAnsi="Palatino Linotype" w:cs="Palatino Linotype"/>
        </w:rPr>
        <w:lastRenderedPageBreak/>
        <w:t xml:space="preserve">fracción XI señala que es procedente la reserva cuando se vulnere la conducción de los expedientes judiciales o de los procedimientos administrativos seguidos en forma de juicio, en tanto no hayan causado estado, lo cual no se actualiza en el presente asunto, toda vez que como se analizará en líneas posteriores, la documentación generada por una verificación virtual oficiosa a su portal de Información Pública de Oficio Mexiquense es independiente del procedimiento administrativo que pudiera estarse substanciando. </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Correlativo a ello, debe tenerse en cuenta que por cuanto hace a los Lineamientos Generales en Materia de Clasificación y Desclasificación de la Información, así como para la Elaboración de Versiones Públicas, el Sujeto Obligado invocó el lineamiento trigésimo noveno, el cual se refiere la procedencia de la reserva para el caso en el que de divulgarse afecte el debido proceso al actualizarse los siguientes elementos:</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I. La existencia de un procedimiento judicial, administrativo o arbitral en trámite;</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II. Que el sujeto obligado sea parte en ese procedimiento;</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III. Que la información no sea conocida por la contraparte antes de la presentación de la misma en el proceso, y</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IV. Que con su divulgación se menoscaben los derechos del debido proceso, situación que no se actualiza en el presente asunto, en virtud de que se reitera, es información que no obra en algún procedimiento administrativo o judicial, pues se trata de una verificación realizada a las obligaciones de transparencia previstas en la norma.</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lastRenderedPageBreak/>
        <w:t>No escapa de la óptica de este Organismo Garante que en el punto referente a la fundamentación y motivación legal no se desarrolló de manera correcta y los argumentos planteados, ni siquiera son operantes en torno a la información solicitada.</w:t>
      </w:r>
    </w:p>
    <w:p w:rsidR="00D64043" w:rsidRPr="001F0434" w:rsidRDefault="00BB68AC">
      <w:pPr>
        <w:numPr>
          <w:ilvl w:val="0"/>
          <w:numId w:val="4"/>
        </w:numPr>
        <w:pBdr>
          <w:top w:val="nil"/>
          <w:left w:val="nil"/>
          <w:bottom w:val="nil"/>
          <w:right w:val="nil"/>
          <w:between w:val="nil"/>
        </w:pBdr>
        <w:spacing w:after="160" w:line="360" w:lineRule="auto"/>
        <w:ind w:right="49"/>
        <w:jc w:val="both"/>
        <w:rPr>
          <w:rFonts w:ascii="Palatino Linotype" w:eastAsia="Palatino Linotype" w:hAnsi="Palatino Linotype" w:cs="Palatino Linotype"/>
          <w:b/>
        </w:rPr>
      </w:pPr>
      <w:r w:rsidRPr="001F0434">
        <w:rPr>
          <w:rFonts w:ascii="Palatino Linotype" w:eastAsia="Palatino Linotype" w:hAnsi="Palatino Linotype" w:cs="Palatino Linotype"/>
          <w:b/>
        </w:rPr>
        <w:t xml:space="preserve">De los procedimientos de responsabilidad administrativa. </w:t>
      </w:r>
    </w:p>
    <w:p w:rsidR="00D64043" w:rsidRPr="001F0434" w:rsidRDefault="00BB68AC">
      <w:pPr>
        <w:spacing w:line="360" w:lineRule="auto"/>
        <w:ind w:right="-91"/>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Así las cosas, es necesario referir que los Lineamientos Generales en materia de clasificación y desclasificación de la información, así como para la elaboración de versiones públicas, prevén lo siguiente:   </w:t>
      </w:r>
    </w:p>
    <w:p w:rsidR="00D64043" w:rsidRPr="001F0434" w:rsidRDefault="00D64043">
      <w:pPr>
        <w:spacing w:line="360" w:lineRule="auto"/>
        <w:ind w:right="-91"/>
        <w:jc w:val="both"/>
        <w:rPr>
          <w:rFonts w:ascii="Palatino Linotype" w:eastAsia="Palatino Linotype" w:hAnsi="Palatino Linotype" w:cs="Palatino Linotype"/>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Vigésimo octavo</w:t>
      </w:r>
      <w:r w:rsidRPr="001F0434">
        <w:rPr>
          <w:rFonts w:ascii="Palatino Linotype" w:eastAsia="Palatino Linotype" w:hAnsi="Palatino Linotype" w:cs="Palatino Linotype"/>
          <w:i/>
          <w:sz w:val="22"/>
          <w:szCs w:val="22"/>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 La existencia de un procedimiento de responsabilidad administrativa en trámite, y</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 Que la información se refiera a actuaciones, diligencias y constancias propias del procedimiento de responsabilidad.</w:t>
      </w:r>
    </w:p>
    <w:p w:rsidR="00D64043" w:rsidRPr="001F0434" w:rsidRDefault="00D64043">
      <w:pPr>
        <w:tabs>
          <w:tab w:val="left" w:pos="8222"/>
        </w:tabs>
        <w:spacing w:line="360" w:lineRule="auto"/>
        <w:ind w:right="397"/>
        <w:jc w:val="both"/>
        <w:rPr>
          <w:rFonts w:ascii="Palatino Linotype" w:eastAsia="Palatino Linotype" w:hAnsi="Palatino Linotype" w:cs="Palatino Linotype"/>
        </w:rPr>
      </w:pPr>
    </w:p>
    <w:p w:rsidR="00D64043" w:rsidRPr="001F0434" w:rsidRDefault="00BB68AC">
      <w:pPr>
        <w:spacing w:line="360" w:lineRule="auto"/>
        <w:ind w:right="-91"/>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De la normatividad citada, se desprende que el supuesto de clasificación invocado prevé que como información reservada, a </w:t>
      </w:r>
      <w:r w:rsidRPr="001F0434">
        <w:rPr>
          <w:rFonts w:ascii="Palatino Linotype" w:eastAsia="Palatino Linotype" w:hAnsi="Palatino Linotype" w:cs="Palatino Linotype"/>
          <w:b/>
        </w:rPr>
        <w:t xml:space="preserve">aquella que vulnere la conducción de los procedimientos de responsabilidades administrativas en trámite, en tanto no hayan causado </w:t>
      </w:r>
      <w:r w:rsidRPr="001F0434">
        <w:rPr>
          <w:rFonts w:ascii="Palatino Linotype" w:eastAsia="Palatino Linotype" w:hAnsi="Palatino Linotype" w:cs="Palatino Linotype"/>
        </w:rPr>
        <w:t>estado, por lo cual, para considerar que se actualiza dicha causal es necesario que se configuren los siguientes elementos:</w:t>
      </w:r>
    </w:p>
    <w:p w:rsidR="00D64043" w:rsidRPr="001F0434" w:rsidRDefault="00D64043">
      <w:pPr>
        <w:tabs>
          <w:tab w:val="left" w:pos="8222"/>
        </w:tabs>
        <w:spacing w:line="360" w:lineRule="auto"/>
        <w:ind w:right="397"/>
        <w:jc w:val="both"/>
        <w:rPr>
          <w:rFonts w:ascii="Palatino Linotype" w:eastAsia="Palatino Linotype" w:hAnsi="Palatino Linotype" w:cs="Palatino Linotype"/>
        </w:rPr>
      </w:pPr>
    </w:p>
    <w:p w:rsidR="00D64043" w:rsidRPr="001F0434" w:rsidRDefault="00BB68AC">
      <w:pPr>
        <w:numPr>
          <w:ilvl w:val="0"/>
          <w:numId w:val="3"/>
        </w:numPr>
        <w:pBdr>
          <w:top w:val="nil"/>
          <w:left w:val="nil"/>
          <w:bottom w:val="nil"/>
          <w:right w:val="nil"/>
          <w:between w:val="nil"/>
        </w:pBdr>
        <w:tabs>
          <w:tab w:val="left" w:pos="8222"/>
        </w:tabs>
        <w:spacing w:after="160" w:line="360" w:lineRule="auto"/>
        <w:ind w:left="567" w:right="900" w:hanging="283"/>
        <w:jc w:val="both"/>
        <w:rPr>
          <w:rFonts w:ascii="Palatino Linotype" w:eastAsia="Palatino Linotype" w:hAnsi="Palatino Linotype" w:cs="Palatino Linotype"/>
          <w:sz w:val="22"/>
          <w:szCs w:val="22"/>
        </w:rPr>
      </w:pPr>
      <w:r w:rsidRPr="001F0434">
        <w:rPr>
          <w:rFonts w:ascii="Palatino Linotype" w:eastAsia="Palatino Linotype" w:hAnsi="Palatino Linotype" w:cs="Palatino Linotype"/>
          <w:sz w:val="22"/>
          <w:szCs w:val="22"/>
        </w:rPr>
        <w:lastRenderedPageBreak/>
        <w:t>La existencia de un procedimiento administrativo, que se encuentre en trámite, y</w:t>
      </w:r>
    </w:p>
    <w:p w:rsidR="00D64043" w:rsidRPr="001F0434" w:rsidRDefault="00BB68AC">
      <w:pPr>
        <w:numPr>
          <w:ilvl w:val="0"/>
          <w:numId w:val="3"/>
        </w:numPr>
        <w:pBdr>
          <w:top w:val="nil"/>
          <w:left w:val="nil"/>
          <w:bottom w:val="nil"/>
          <w:right w:val="nil"/>
          <w:between w:val="nil"/>
        </w:pBdr>
        <w:tabs>
          <w:tab w:val="left" w:pos="8222"/>
        </w:tabs>
        <w:spacing w:after="160" w:line="360" w:lineRule="auto"/>
        <w:ind w:left="567" w:right="900" w:hanging="283"/>
        <w:jc w:val="both"/>
        <w:rPr>
          <w:rFonts w:ascii="Palatino Linotype" w:eastAsia="Palatino Linotype" w:hAnsi="Palatino Linotype" w:cs="Palatino Linotype"/>
          <w:sz w:val="22"/>
          <w:szCs w:val="22"/>
        </w:rPr>
      </w:pPr>
      <w:r w:rsidRPr="001F0434">
        <w:rPr>
          <w:rFonts w:ascii="Palatino Linotype" w:eastAsia="Palatino Linotype" w:hAnsi="Palatino Linotype" w:cs="Palatino Linotype"/>
          <w:sz w:val="22"/>
          <w:szCs w:val="22"/>
        </w:rPr>
        <w:t>Que la información solicitada se refiera a actuaciones, diligencias o constancias propias del procedimiento.</w:t>
      </w:r>
    </w:p>
    <w:p w:rsidR="00D64043" w:rsidRPr="001F0434" w:rsidRDefault="00D64043">
      <w:pPr>
        <w:pBdr>
          <w:top w:val="nil"/>
          <w:left w:val="nil"/>
          <w:bottom w:val="nil"/>
          <w:right w:val="nil"/>
          <w:between w:val="nil"/>
        </w:pBdr>
        <w:tabs>
          <w:tab w:val="left" w:pos="8222"/>
        </w:tabs>
        <w:spacing w:line="360" w:lineRule="auto"/>
        <w:ind w:left="720" w:right="397"/>
        <w:jc w:val="both"/>
        <w:rPr>
          <w:rFonts w:ascii="Palatino Linotype" w:eastAsia="Palatino Linotype" w:hAnsi="Palatino Linotype" w:cs="Palatino Linotype"/>
        </w:rPr>
      </w:pPr>
    </w:p>
    <w:p w:rsidR="00D64043" w:rsidRPr="001F0434" w:rsidRDefault="00BB68AC">
      <w:pPr>
        <w:spacing w:line="360" w:lineRule="auto"/>
        <w:ind w:right="-91"/>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ese contexto, resulta necesario precisar que el procedimiento, en el presente caso, corresponde a aquel para resolver un </w:t>
      </w:r>
      <w:r w:rsidRPr="001F0434">
        <w:rPr>
          <w:rFonts w:ascii="Palatino Linotype" w:eastAsia="Palatino Linotype" w:hAnsi="Palatino Linotype" w:cs="Palatino Linotype"/>
          <w:u w:val="single"/>
        </w:rPr>
        <w:t>posible</w:t>
      </w:r>
      <w:r w:rsidRPr="001F0434">
        <w:rPr>
          <w:rFonts w:ascii="Palatino Linotype" w:eastAsia="Palatino Linotype" w:hAnsi="Palatino Linotype" w:cs="Palatino Linotype"/>
        </w:rPr>
        <w:t xml:space="preserve"> Procedimiento de Responsabilidad </w:t>
      </w:r>
      <w:r w:rsidRPr="001F0434">
        <w:rPr>
          <w:rFonts w:ascii="Palatino Linotype" w:eastAsia="Palatino Linotype" w:hAnsi="Palatino Linotype" w:cs="Palatino Linotype"/>
          <w:b/>
        </w:rPr>
        <w:t>A</w:t>
      </w:r>
      <w:r w:rsidRPr="001F0434">
        <w:rPr>
          <w:rFonts w:ascii="Palatino Linotype" w:eastAsia="Palatino Linotype" w:hAnsi="Palatino Linotype" w:cs="Palatino Linotype"/>
        </w:rPr>
        <w:t>dministrativa; por lo que, es necesario traer a colación lo señalado por la Ley de Responsabilidades Administrativas del Estado de México y Municipios, que establece lo siguiente:</w:t>
      </w:r>
    </w:p>
    <w:p w:rsidR="00D64043" w:rsidRPr="001F0434" w:rsidRDefault="00D64043">
      <w:pPr>
        <w:tabs>
          <w:tab w:val="left" w:pos="8222"/>
        </w:tabs>
        <w:spacing w:line="360" w:lineRule="auto"/>
        <w:ind w:right="397"/>
        <w:jc w:val="both"/>
        <w:rPr>
          <w:rFonts w:ascii="Palatino Linotype" w:eastAsia="Palatino Linotype" w:hAnsi="Palatino Linotype" w:cs="Palatino Linotype"/>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94</w:t>
      </w:r>
      <w:r w:rsidRPr="001F0434">
        <w:rPr>
          <w:rFonts w:ascii="Palatino Linotype" w:eastAsia="Palatino Linotype" w:hAnsi="Palatino Linotype" w:cs="Palatino Linotype"/>
          <w:i/>
          <w:sz w:val="22"/>
          <w:szCs w:val="22"/>
        </w:rPr>
        <w:t>. Durante el desarrollo del procedimiento de investigación las autoridades competentes serán responsables de:</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 Observar los principios de legalidad, imparcialidad, objetividad, congruencia, verdad material y respeto a los derechos humanos.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 Realizar con oportunidad, exhaustividad y eficiencia la investigación, la integralidad de los datos y documentos, así como el resguardo del expediente en su conjunto.</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III. Incorporar a sus investigaciones, las técnicas, tecnologías y métodos de investigación que observen las mejores prácticas internacionales.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IV. Cooperar con las autoridades nacionales como internacionales a fin de fortalecer los procedimientos de investigación, compartir las mejores prácticas internacionales y combatir de manera efectiva la corrupción.</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95</w:t>
      </w:r>
      <w:r w:rsidRPr="001F0434">
        <w:rPr>
          <w:rFonts w:ascii="Palatino Linotype" w:eastAsia="Palatino Linotype" w:hAnsi="Palatino Linotype" w:cs="Palatino Linotype"/>
          <w:i/>
          <w:sz w:val="22"/>
          <w:szCs w:val="22"/>
        </w:rPr>
        <w:t>. La investigación por la presunta responsabilidad de faltas administrativas podrá iniciar:</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 De oficio.</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u w:val="single"/>
        </w:rPr>
      </w:pPr>
      <w:r w:rsidRPr="001F0434">
        <w:rPr>
          <w:rFonts w:ascii="Palatino Linotype" w:eastAsia="Palatino Linotype" w:hAnsi="Palatino Linotype" w:cs="Palatino Linotype"/>
          <w:i/>
          <w:sz w:val="22"/>
          <w:szCs w:val="22"/>
          <w:u w:val="single"/>
        </w:rPr>
        <w:t>II. Por denuncia.</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lastRenderedPageBreak/>
        <w:t>III. Derivado de las auditorías practicadas por parte de las autoridades competentes o en su caso, de auditores externos.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Las denuncias podrán ser anónimas. En su caso, las autoridades investigadoras deberán garantizar, proteger y mantener el carácter de confidencial la identidad de las personas que denuncien las presuntas infracciones.</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98.</w:t>
      </w:r>
      <w:r w:rsidRPr="001F0434">
        <w:rPr>
          <w:rFonts w:ascii="Palatino Linotype" w:eastAsia="Palatino Linotype" w:hAnsi="Palatino Linotype" w:cs="Palatino Linotype"/>
          <w:i/>
          <w:sz w:val="22"/>
          <w:szCs w:val="22"/>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Lo anterior sin menoscabo de las investigaciones que se deriven de las denuncias a que se hace referencia en el Capítulo anterior.</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99.</w:t>
      </w:r>
      <w:r w:rsidRPr="001F0434">
        <w:rPr>
          <w:rFonts w:ascii="Palatino Linotype" w:eastAsia="Palatino Linotype" w:hAnsi="Palatino Linotype" w:cs="Palatino Linotype"/>
          <w:i/>
          <w:sz w:val="22"/>
          <w:szCs w:val="22"/>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Para efectos de lo previsto en el párrafo anterior, se observará lo dispuesto en el artículo 39 de la presente Ley.</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lastRenderedPageBreak/>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u w:val="single"/>
        </w:rPr>
      </w:pPr>
      <w:r w:rsidRPr="001F0434">
        <w:rPr>
          <w:rFonts w:ascii="Palatino Linotype" w:eastAsia="Palatino Linotype" w:hAnsi="Palatino Linotype" w:cs="Palatino Linotype"/>
          <w:i/>
          <w:sz w:val="22"/>
          <w:szCs w:val="22"/>
          <w:u w:val="single"/>
        </w:rPr>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En el supuesto de no haberse encontrado elementos suficientes para demostrar la existencia de la infracción y acreditar la presunta responsabilidad del infractor, se emitirá un acuerdo de conclusión y archivo del expediente debidamente fundado y motivado.</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105.</w:t>
      </w:r>
      <w:r w:rsidRPr="001F0434">
        <w:rPr>
          <w:rFonts w:ascii="Palatino Linotype" w:eastAsia="Palatino Linotype" w:hAnsi="Palatino Linotype" w:cs="Palatino Linotype"/>
          <w:i/>
          <w:sz w:val="22"/>
          <w:szCs w:val="22"/>
        </w:rPr>
        <w:t xml:space="preserve"> Las autoridades substanciadoras, o en su caso, las </w:t>
      </w:r>
      <w:proofErr w:type="spellStart"/>
      <w:r w:rsidRPr="001F0434">
        <w:rPr>
          <w:rFonts w:ascii="Palatino Linotype" w:eastAsia="Palatino Linotype" w:hAnsi="Palatino Linotype" w:cs="Palatino Linotype"/>
          <w:i/>
          <w:sz w:val="22"/>
          <w:szCs w:val="22"/>
        </w:rPr>
        <w:t>resolutoras</w:t>
      </w:r>
      <w:proofErr w:type="spellEnd"/>
      <w:r w:rsidRPr="001F0434">
        <w:rPr>
          <w:rFonts w:ascii="Palatino Linotype" w:eastAsia="Palatino Linotype" w:hAnsi="Palatino Linotype" w:cs="Palatino Linotype"/>
          <w:i/>
          <w:sz w:val="22"/>
          <w:szCs w:val="22"/>
        </w:rPr>
        <w:t xml:space="preserve"> podrán abstenerse de iniciar el procedimiento de responsabilidad administrativa previsto en la presente Ley o de imponer sanciones administrativas a un servidor público, según sea el caso, en el supuesto que derivado de las investigaciones practicadas o de la valoración de </w:t>
      </w:r>
      <w:r w:rsidRPr="001F0434">
        <w:rPr>
          <w:rFonts w:ascii="Palatino Linotype" w:eastAsia="Palatino Linotype" w:hAnsi="Palatino Linotype" w:cs="Palatino Linotype"/>
          <w:i/>
          <w:sz w:val="22"/>
          <w:szCs w:val="22"/>
        </w:rPr>
        <w:lastRenderedPageBreak/>
        <w:t>las pruebas aportadas en el procedimiento referido, se advierta que no existe daño ni perjuicio a la Hacienda Pública Estatal o Municipal, o al patrimonio de los entes públicos y que se actualiza alguna de las siguientes hipótesis: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106</w:t>
      </w:r>
      <w:r w:rsidRPr="001F0434">
        <w:rPr>
          <w:rFonts w:ascii="Palatino Linotype" w:eastAsia="Palatino Linotype" w:hAnsi="Palatino Linotype" w:cs="Palatino Linotype"/>
          <w:i/>
          <w:sz w:val="22"/>
          <w:szCs w:val="22"/>
        </w:rPr>
        <w:t>.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116.</w:t>
      </w:r>
      <w:r w:rsidRPr="001F0434">
        <w:rPr>
          <w:rFonts w:ascii="Palatino Linotype" w:eastAsia="Palatino Linotype" w:hAnsi="Palatino Linotype" w:cs="Palatino Linotype"/>
          <w:i/>
          <w:sz w:val="22"/>
          <w:szCs w:val="22"/>
        </w:rPr>
        <w:t xml:space="preserve"> El procedimiento de responsabilidad administrativa dará inicio cuando las autoridades substanciadoras, en el ámbito de su competencia, admitan el informe de presunta responsabilidad administrativa.</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119</w:t>
      </w:r>
      <w:r w:rsidRPr="001F0434">
        <w:rPr>
          <w:rFonts w:ascii="Palatino Linotype" w:eastAsia="Palatino Linotype" w:hAnsi="Palatino Linotype" w:cs="Palatino Linotype"/>
          <w:i/>
          <w:sz w:val="22"/>
          <w:szCs w:val="22"/>
        </w:rPr>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129</w:t>
      </w:r>
      <w:r w:rsidRPr="001F0434">
        <w:rPr>
          <w:rFonts w:ascii="Palatino Linotype" w:eastAsia="Palatino Linotype" w:hAnsi="Palatino Linotype" w:cs="Palatino Linotype"/>
          <w:i/>
          <w:sz w:val="22"/>
          <w:szCs w:val="22"/>
        </w:rPr>
        <w:t xml:space="preserve">. Para conocer la verdad de los hechos las autoridades </w:t>
      </w:r>
      <w:proofErr w:type="spellStart"/>
      <w:r w:rsidRPr="001F0434">
        <w:rPr>
          <w:rFonts w:ascii="Palatino Linotype" w:eastAsia="Palatino Linotype" w:hAnsi="Palatino Linotype" w:cs="Palatino Linotype"/>
          <w:i/>
          <w:sz w:val="22"/>
          <w:szCs w:val="22"/>
        </w:rPr>
        <w:t>resolutoras</w:t>
      </w:r>
      <w:proofErr w:type="spellEnd"/>
      <w:r w:rsidRPr="001F0434">
        <w:rPr>
          <w:rFonts w:ascii="Palatino Linotype" w:eastAsia="Palatino Linotype" w:hAnsi="Palatino Linotype" w:cs="Palatino Linotype"/>
          <w:i/>
          <w:sz w:val="22"/>
          <w:szCs w:val="22"/>
        </w:rPr>
        <w:t xml:space="preserve"> podrán valerse de cualquier persona o documento, ya sea que pertenezca a las partes o a terceros, </w:t>
      </w:r>
      <w:r w:rsidRPr="001F0434">
        <w:rPr>
          <w:rFonts w:ascii="Palatino Linotype" w:eastAsia="Palatino Linotype" w:hAnsi="Palatino Linotype" w:cs="Palatino Linotype"/>
          <w:i/>
          <w:sz w:val="22"/>
          <w:szCs w:val="22"/>
        </w:rPr>
        <w:lastRenderedPageBreak/>
        <w:t>sin más limitación que las pruebas hayan sido obtenidas lícitamente y con respeto a los derechos humanos, solo estará excluida la confesional a cargo de las partes por absolución de posiciones.</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Las autoridades </w:t>
      </w:r>
      <w:proofErr w:type="spellStart"/>
      <w:r w:rsidRPr="001F0434">
        <w:rPr>
          <w:rFonts w:ascii="Palatino Linotype" w:eastAsia="Palatino Linotype" w:hAnsi="Palatino Linotype" w:cs="Palatino Linotype"/>
          <w:i/>
          <w:sz w:val="22"/>
          <w:szCs w:val="22"/>
        </w:rPr>
        <w:t>resolutoras</w:t>
      </w:r>
      <w:proofErr w:type="spellEnd"/>
      <w:r w:rsidRPr="001F0434">
        <w:rPr>
          <w:rFonts w:ascii="Palatino Linotype" w:eastAsia="Palatino Linotype" w:hAnsi="Palatino Linotype" w:cs="Palatino Linotype"/>
          <w:i/>
          <w:sz w:val="22"/>
          <w:szCs w:val="22"/>
        </w:rPr>
        <w:t xml:space="preserve">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180</w:t>
      </w:r>
      <w:r w:rsidRPr="001F0434">
        <w:rPr>
          <w:rFonts w:ascii="Palatino Linotype" w:eastAsia="Palatino Linotype" w:hAnsi="Palatino Linotype" w:cs="Palatino Linotype"/>
          <w:i/>
          <w:sz w:val="22"/>
          <w:szCs w:val="22"/>
        </w:rPr>
        <w:t>. El Informe de Presunta Responsabilidad Administrativa será integrado y emitido por las autoridades investigadoras y deberá contener los siguientes elementos: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 El nombre de la autoridad investigadora.</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 El domicilio de la autoridad investigadora para oír y recibir notificaciones.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III. El nombre o nombres de los servidores públicos que podrán imponerse de los autos que se dicten en el expediente de responsabilidad administrativa por parte de la autoridad investigadora, precisando el alcance de la autorización otorgada.</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IV. El nombre y domicilio del servidor público a quien se señale como presunto responsable, así como el ente público al que se encuentre adscrito y el cargo que desempeñe.</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En caso de que los presuntos responsables sean particulares, se deberá señalar su nombre o razón social, así como el domicilio donde podrán ser emplazados.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V. La narración lógica y cronológica de los hechos que dieron lugar a la comisión de la presunta falta administrativa.</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VI. La infracción que se le imputa al señalado como presunto responsable, precisando las razones por las que se considera que ha cometido la falta.</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VII.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w:t>
      </w:r>
      <w:r w:rsidRPr="001F0434">
        <w:rPr>
          <w:rFonts w:ascii="Palatino Linotype" w:eastAsia="Palatino Linotype" w:hAnsi="Palatino Linotype" w:cs="Palatino Linotype"/>
          <w:i/>
          <w:sz w:val="22"/>
          <w:szCs w:val="22"/>
        </w:rPr>
        <w:lastRenderedPageBreak/>
        <w:t>debidamente sellado por la autoridad competente, que la solicitó con la debida oportunidad.</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VIII. La solicitud de medidas cautelares, de ser el caso.</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IX. Firma autógrafa de la autoridad investigadora.</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184.</w:t>
      </w:r>
      <w:r w:rsidRPr="001F0434">
        <w:rPr>
          <w:rFonts w:ascii="Palatino Linotype" w:eastAsia="Palatino Linotype" w:hAnsi="Palatino Linotype" w:cs="Palatino Linotype"/>
          <w:i/>
          <w:sz w:val="22"/>
          <w:szCs w:val="22"/>
        </w:rPr>
        <w:t xml:space="preserve"> El desarrollo de las audiencias del procedimiento de responsabilidad administrativa, se llevarán a cabo de conformidad con las siguientes reglas: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 Serán públicas.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 No se permitirá la interrupción de la audiencia por parte de persona alguna, ya sea por los que intervienen en ella o por aquellos ajenos a la misma.</w:t>
      </w:r>
    </w:p>
    <w:p w:rsidR="00D64043" w:rsidRPr="001F0434" w:rsidRDefault="00D64043">
      <w:pPr>
        <w:tabs>
          <w:tab w:val="left" w:pos="8222"/>
        </w:tabs>
        <w:spacing w:line="276" w:lineRule="auto"/>
        <w:ind w:left="567" w:right="539"/>
        <w:jc w:val="both"/>
        <w:rPr>
          <w:rFonts w:ascii="Palatino Linotype" w:eastAsia="Palatino Linotype" w:hAnsi="Palatino Linotype" w:cs="Palatino Linotype"/>
          <w:i/>
          <w:sz w:val="22"/>
          <w:szCs w:val="22"/>
        </w:rPr>
      </w:pP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188.</w:t>
      </w:r>
      <w:r w:rsidRPr="001F0434">
        <w:rPr>
          <w:rFonts w:ascii="Palatino Linotype" w:eastAsia="Palatino Linotype" w:hAnsi="Palatino Linotype" w:cs="Palatino Linotype"/>
          <w:i/>
          <w:sz w:val="22"/>
          <w:szCs w:val="22"/>
        </w:rPr>
        <w:t xml:space="preserve"> Las resoluciones serán:</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 Acuerdos, cuando se trate de resoluciones de trámite.</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 Autos provisionales, los que se refieren a determinaciones que se ejecuten provisionalmente.</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III. Autos preparatorios, a las resoluciones por las que se prepara el conocimiento y decisión de un asunto, se ordena la admisión, la preparación y desahogo de pruebas.</w:t>
      </w:r>
    </w:p>
    <w:p w:rsidR="00D64043" w:rsidRPr="001F0434" w:rsidRDefault="00BB68AC">
      <w:pPr>
        <w:tabs>
          <w:tab w:val="left" w:pos="8222"/>
        </w:tabs>
        <w:spacing w:line="276" w:lineRule="auto"/>
        <w:ind w:left="567" w:right="53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IV. Sentencias interlocutorias, aquellas que resuelven sobre un incidente o una cuestión </w:t>
      </w:r>
      <w:proofErr w:type="spellStart"/>
      <w:r w:rsidRPr="001F0434">
        <w:rPr>
          <w:rFonts w:ascii="Palatino Linotype" w:eastAsia="Palatino Linotype" w:hAnsi="Palatino Linotype" w:cs="Palatino Linotype"/>
          <w:i/>
          <w:sz w:val="22"/>
          <w:szCs w:val="22"/>
        </w:rPr>
        <w:t>intraprocesal</w:t>
      </w:r>
      <w:proofErr w:type="spellEnd"/>
      <w:r w:rsidRPr="001F0434">
        <w:rPr>
          <w:rFonts w:ascii="Palatino Linotype" w:eastAsia="Palatino Linotype" w:hAnsi="Palatino Linotype" w:cs="Palatino Linotype"/>
          <w:i/>
          <w:sz w:val="22"/>
          <w:szCs w:val="22"/>
        </w:rPr>
        <w:t xml:space="preserve"> o accesoria al procedimiento.</w:t>
      </w:r>
    </w:p>
    <w:p w:rsidR="00D64043" w:rsidRPr="001F0434" w:rsidRDefault="00BB68AC">
      <w:pPr>
        <w:tabs>
          <w:tab w:val="left" w:pos="8222"/>
        </w:tabs>
        <w:spacing w:line="360" w:lineRule="auto"/>
        <w:ind w:left="567" w:right="539"/>
        <w:jc w:val="both"/>
        <w:rPr>
          <w:rFonts w:ascii="Palatino Linotype" w:eastAsia="Palatino Linotype" w:hAnsi="Palatino Linotype" w:cs="Palatino Linotype"/>
          <w:i/>
        </w:rPr>
      </w:pPr>
      <w:r w:rsidRPr="001F0434">
        <w:rPr>
          <w:rFonts w:ascii="Palatino Linotype" w:eastAsia="Palatino Linotype" w:hAnsi="Palatino Linotype" w:cs="Palatino Linotype"/>
          <w:i/>
          <w:sz w:val="22"/>
          <w:szCs w:val="22"/>
        </w:rPr>
        <w:t>V. Sentencias definitivas, las que resuelven el fondo del procedimiento de responsabilidad administrativa.</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Conforme a lo anterior, se considera que existen tres etapas en el Procedimiento de Responsabilidad </w:t>
      </w:r>
      <w:r w:rsidRPr="001F0434">
        <w:rPr>
          <w:rFonts w:ascii="Palatino Linotype" w:eastAsia="Palatino Linotype" w:hAnsi="Palatino Linotype" w:cs="Palatino Linotype"/>
          <w:b/>
        </w:rPr>
        <w:t>A</w:t>
      </w:r>
      <w:r w:rsidRPr="001F0434">
        <w:rPr>
          <w:rFonts w:ascii="Palatino Linotype" w:eastAsia="Palatino Linotype" w:hAnsi="Palatino Linotype" w:cs="Palatino Linotype"/>
        </w:rPr>
        <w:t>dministrativa para determinar la falta en la que haya incurrido algún servidor público, a saber las siguientes:</w:t>
      </w:r>
    </w:p>
    <w:p w:rsidR="00D64043" w:rsidRPr="001F0434" w:rsidRDefault="00D64043">
      <w:pPr>
        <w:spacing w:line="360" w:lineRule="auto"/>
        <w:jc w:val="both"/>
        <w:rPr>
          <w:rFonts w:ascii="Palatino Linotype" w:eastAsia="Palatino Linotype" w:hAnsi="Palatino Linotype" w:cs="Palatino Linotype"/>
          <w:sz w:val="22"/>
          <w:szCs w:val="22"/>
        </w:rPr>
      </w:pPr>
    </w:p>
    <w:p w:rsidR="00D64043" w:rsidRPr="001F0434" w:rsidRDefault="00BB68AC">
      <w:pPr>
        <w:numPr>
          <w:ilvl w:val="0"/>
          <w:numId w:val="5"/>
        </w:numPr>
        <w:pBdr>
          <w:top w:val="nil"/>
          <w:left w:val="nil"/>
          <w:bottom w:val="nil"/>
          <w:right w:val="nil"/>
          <w:between w:val="nil"/>
        </w:pBdr>
        <w:spacing w:after="160" w:line="360" w:lineRule="auto"/>
        <w:jc w:val="both"/>
        <w:rPr>
          <w:rFonts w:ascii="Palatino Linotype" w:eastAsia="Palatino Linotype" w:hAnsi="Palatino Linotype" w:cs="Palatino Linotype"/>
          <w:sz w:val="22"/>
          <w:szCs w:val="22"/>
        </w:rPr>
      </w:pPr>
      <w:r w:rsidRPr="001F0434">
        <w:rPr>
          <w:rFonts w:ascii="Palatino Linotype" w:eastAsia="Palatino Linotype" w:hAnsi="Palatino Linotype" w:cs="Palatino Linotype"/>
          <w:b/>
          <w:sz w:val="22"/>
          <w:szCs w:val="22"/>
        </w:rPr>
        <w:t xml:space="preserve">Investigación: </w:t>
      </w:r>
      <w:r w:rsidRPr="001F0434">
        <w:rPr>
          <w:rFonts w:ascii="Palatino Linotype" w:eastAsia="Palatino Linotype" w:hAnsi="Palatino Linotype" w:cs="Palatino Linotype"/>
          <w:sz w:val="22"/>
          <w:szCs w:val="22"/>
        </w:rPr>
        <w:t>la cual consiste en lo siguiente:</w:t>
      </w:r>
    </w:p>
    <w:p w:rsidR="00D64043" w:rsidRPr="001F0434" w:rsidRDefault="00BB68AC">
      <w:pPr>
        <w:numPr>
          <w:ilvl w:val="0"/>
          <w:numId w:val="7"/>
        </w:numPr>
        <w:pBdr>
          <w:top w:val="nil"/>
          <w:left w:val="nil"/>
          <w:bottom w:val="nil"/>
          <w:right w:val="nil"/>
          <w:between w:val="nil"/>
        </w:pBdr>
        <w:spacing w:after="160" w:line="360" w:lineRule="auto"/>
        <w:ind w:left="709"/>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b/>
          <w:sz w:val="22"/>
          <w:szCs w:val="22"/>
        </w:rPr>
        <w:t xml:space="preserve">Inicia: </w:t>
      </w:r>
    </w:p>
    <w:p w:rsidR="00D64043" w:rsidRPr="001F0434" w:rsidRDefault="00BB68AC">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1F0434">
        <w:rPr>
          <w:rFonts w:ascii="Palatino Linotype" w:eastAsia="Palatino Linotype" w:hAnsi="Palatino Linotype" w:cs="Palatino Linotype"/>
          <w:sz w:val="22"/>
          <w:szCs w:val="22"/>
        </w:rPr>
        <w:t xml:space="preserve">De oficio </w:t>
      </w:r>
    </w:p>
    <w:p w:rsidR="00D64043" w:rsidRPr="001F0434" w:rsidRDefault="00BB68AC">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b/>
          <w:sz w:val="22"/>
          <w:szCs w:val="22"/>
        </w:rPr>
        <w:t xml:space="preserve">Por denuncia </w:t>
      </w:r>
    </w:p>
    <w:p w:rsidR="00D64043" w:rsidRPr="001F0434" w:rsidRDefault="00BB68AC">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1F0434">
        <w:rPr>
          <w:rFonts w:ascii="Palatino Linotype" w:eastAsia="Palatino Linotype" w:hAnsi="Palatino Linotype" w:cs="Palatino Linotype"/>
          <w:sz w:val="22"/>
          <w:szCs w:val="22"/>
        </w:rPr>
        <w:lastRenderedPageBreak/>
        <w:t xml:space="preserve">Derivado de auditorías </w:t>
      </w:r>
    </w:p>
    <w:p w:rsidR="00D64043" w:rsidRPr="001F0434" w:rsidRDefault="00BB68AC">
      <w:pPr>
        <w:numPr>
          <w:ilvl w:val="0"/>
          <w:numId w:val="7"/>
        </w:numPr>
        <w:pBdr>
          <w:top w:val="nil"/>
          <w:left w:val="nil"/>
          <w:bottom w:val="nil"/>
          <w:right w:val="nil"/>
          <w:between w:val="nil"/>
        </w:pBdr>
        <w:spacing w:after="160" w:line="360" w:lineRule="auto"/>
        <w:ind w:left="709"/>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sz w:val="22"/>
          <w:szCs w:val="22"/>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rsidR="00D64043" w:rsidRPr="001F0434" w:rsidRDefault="00BB68AC">
      <w:pPr>
        <w:numPr>
          <w:ilvl w:val="0"/>
          <w:numId w:val="5"/>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b/>
          <w:sz w:val="22"/>
          <w:szCs w:val="22"/>
        </w:rPr>
        <w:t xml:space="preserve">Sustanciación: </w:t>
      </w:r>
      <w:r w:rsidRPr="001F0434">
        <w:rPr>
          <w:rFonts w:ascii="Palatino Linotype" w:eastAsia="Palatino Linotype" w:hAnsi="Palatino Linotype" w:cs="Palatino Linotype"/>
          <w:sz w:val="22"/>
          <w:szCs w:val="22"/>
        </w:rPr>
        <w:t>En este periodo se puede realizar lo siguiente:</w:t>
      </w:r>
    </w:p>
    <w:p w:rsidR="00D64043" w:rsidRPr="001F0434" w:rsidRDefault="00BB68AC">
      <w:pPr>
        <w:numPr>
          <w:ilvl w:val="0"/>
          <w:numId w:val="7"/>
        </w:numPr>
        <w:pBdr>
          <w:top w:val="nil"/>
          <w:left w:val="nil"/>
          <w:bottom w:val="nil"/>
          <w:right w:val="nil"/>
          <w:between w:val="nil"/>
        </w:pBdr>
        <w:spacing w:after="160" w:line="360" w:lineRule="auto"/>
        <w:ind w:left="709"/>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sz w:val="22"/>
          <w:szCs w:val="22"/>
        </w:rPr>
        <w:t>Se califican los hechos como faltas administrativas graves o no graves</w:t>
      </w:r>
    </w:p>
    <w:p w:rsidR="00D64043" w:rsidRPr="001F0434" w:rsidRDefault="00BB68AC">
      <w:pPr>
        <w:numPr>
          <w:ilvl w:val="0"/>
          <w:numId w:val="7"/>
        </w:numPr>
        <w:pBdr>
          <w:top w:val="nil"/>
          <w:left w:val="nil"/>
          <w:bottom w:val="nil"/>
          <w:right w:val="nil"/>
          <w:between w:val="nil"/>
        </w:pBdr>
        <w:spacing w:after="160" w:line="360" w:lineRule="auto"/>
        <w:ind w:left="709"/>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sz w:val="22"/>
          <w:szCs w:val="22"/>
        </w:rPr>
        <w:t>La autoridad substanciadora podrá admitir el informe de presunta responsabilidad administrativa.</w:t>
      </w:r>
    </w:p>
    <w:p w:rsidR="00D64043" w:rsidRPr="001F0434" w:rsidRDefault="00BB68AC">
      <w:pPr>
        <w:numPr>
          <w:ilvl w:val="0"/>
          <w:numId w:val="7"/>
        </w:numPr>
        <w:pBdr>
          <w:top w:val="nil"/>
          <w:left w:val="nil"/>
          <w:bottom w:val="nil"/>
          <w:right w:val="nil"/>
          <w:between w:val="nil"/>
        </w:pBdr>
        <w:spacing w:after="160" w:line="360" w:lineRule="auto"/>
        <w:ind w:left="709"/>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sz w:val="22"/>
          <w:szCs w:val="22"/>
        </w:rPr>
        <w:t>Las partes, pueden presentar las pruebas o alegatos que consideren pertinentes,</w:t>
      </w:r>
    </w:p>
    <w:p w:rsidR="00D64043" w:rsidRPr="001F0434" w:rsidRDefault="00D64043">
      <w:pPr>
        <w:spacing w:line="360" w:lineRule="auto"/>
        <w:jc w:val="both"/>
        <w:rPr>
          <w:rFonts w:ascii="Palatino Linotype" w:eastAsia="Palatino Linotype" w:hAnsi="Palatino Linotype" w:cs="Palatino Linotype"/>
          <w:b/>
          <w:sz w:val="22"/>
          <w:szCs w:val="22"/>
        </w:rPr>
      </w:pPr>
    </w:p>
    <w:p w:rsidR="00D64043" w:rsidRPr="001F0434" w:rsidRDefault="00BB68AC">
      <w:pPr>
        <w:numPr>
          <w:ilvl w:val="0"/>
          <w:numId w:val="5"/>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b/>
          <w:sz w:val="22"/>
          <w:szCs w:val="22"/>
        </w:rPr>
        <w:t>Resolución:</w:t>
      </w:r>
    </w:p>
    <w:p w:rsidR="00D64043" w:rsidRPr="001F0434" w:rsidRDefault="00BB68AC">
      <w:pPr>
        <w:numPr>
          <w:ilvl w:val="0"/>
          <w:numId w:val="6"/>
        </w:numPr>
        <w:pBdr>
          <w:top w:val="nil"/>
          <w:left w:val="nil"/>
          <w:bottom w:val="nil"/>
          <w:right w:val="nil"/>
          <w:between w:val="nil"/>
        </w:pBdr>
        <w:spacing w:after="160" w:line="360" w:lineRule="auto"/>
        <w:ind w:left="993"/>
        <w:jc w:val="both"/>
        <w:rPr>
          <w:rFonts w:ascii="Palatino Linotype" w:eastAsia="Palatino Linotype" w:hAnsi="Palatino Linotype" w:cs="Palatino Linotype"/>
          <w:b/>
          <w:sz w:val="22"/>
          <w:szCs w:val="22"/>
        </w:rPr>
      </w:pPr>
      <w:r w:rsidRPr="001F0434">
        <w:rPr>
          <w:rFonts w:ascii="Palatino Linotype" w:eastAsia="Palatino Linotype" w:hAnsi="Palatino Linotype" w:cs="Palatino Linotype"/>
          <w:sz w:val="22"/>
          <w:szCs w:val="22"/>
        </w:rPr>
        <w:t>Se emite resolución y se notifica a las partes.</w:t>
      </w:r>
    </w:p>
    <w:p w:rsidR="00D64043" w:rsidRPr="001F0434" w:rsidRDefault="00D64043">
      <w:pPr>
        <w:pBdr>
          <w:top w:val="nil"/>
          <w:left w:val="nil"/>
          <w:bottom w:val="nil"/>
          <w:right w:val="nil"/>
          <w:between w:val="nil"/>
        </w:pBdr>
        <w:spacing w:line="360" w:lineRule="auto"/>
        <w:ind w:left="993"/>
        <w:jc w:val="both"/>
        <w:rPr>
          <w:rFonts w:ascii="Palatino Linotype" w:eastAsia="Palatino Linotype" w:hAnsi="Palatino Linotype" w:cs="Palatino Linotype"/>
          <w:b/>
        </w:rPr>
      </w:pPr>
    </w:p>
    <w:p w:rsidR="00D64043" w:rsidRPr="001F0434" w:rsidRDefault="00BB68AC">
      <w:pPr>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Así, se desprende que el expediente clasificado por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rsidR="00D64043" w:rsidRPr="001F0434" w:rsidRDefault="00D64043">
      <w:pPr>
        <w:tabs>
          <w:tab w:val="left" w:pos="8222"/>
        </w:tabs>
        <w:spacing w:line="360" w:lineRule="auto"/>
        <w:ind w:right="397"/>
        <w:jc w:val="both"/>
        <w:rPr>
          <w:rFonts w:ascii="Palatino Linotype" w:eastAsia="Palatino Linotype" w:hAnsi="Palatino Linotype" w:cs="Palatino Linotype"/>
        </w:rPr>
      </w:pPr>
    </w:p>
    <w:p w:rsidR="00D64043" w:rsidRPr="001F0434" w:rsidRDefault="00BB68AC">
      <w:pPr>
        <w:numPr>
          <w:ilvl w:val="0"/>
          <w:numId w:val="8"/>
        </w:numPr>
        <w:pBdr>
          <w:top w:val="nil"/>
          <w:left w:val="nil"/>
          <w:bottom w:val="nil"/>
          <w:right w:val="nil"/>
          <w:between w:val="nil"/>
        </w:pBdr>
        <w:tabs>
          <w:tab w:val="left" w:pos="8222"/>
        </w:tabs>
        <w:spacing w:after="160" w:line="360" w:lineRule="auto"/>
        <w:ind w:right="900"/>
        <w:jc w:val="both"/>
        <w:rPr>
          <w:rFonts w:ascii="Palatino Linotype" w:eastAsia="Palatino Linotype" w:hAnsi="Palatino Linotype" w:cs="Palatino Linotype"/>
          <w:sz w:val="22"/>
          <w:szCs w:val="22"/>
        </w:rPr>
      </w:pPr>
      <w:r w:rsidRPr="001F0434">
        <w:rPr>
          <w:rFonts w:ascii="Palatino Linotype" w:eastAsia="Palatino Linotype" w:hAnsi="Palatino Linotype" w:cs="Palatino Linotype"/>
          <w:b/>
          <w:sz w:val="22"/>
          <w:szCs w:val="22"/>
        </w:rPr>
        <w:t>La existencia de un procedimiento administrativo, que se encuentre en trámite.</w:t>
      </w:r>
    </w:p>
    <w:p w:rsidR="00D64043" w:rsidRPr="001F0434" w:rsidRDefault="00D64043">
      <w:pPr>
        <w:pBdr>
          <w:top w:val="nil"/>
          <w:left w:val="nil"/>
          <w:bottom w:val="nil"/>
          <w:right w:val="nil"/>
          <w:between w:val="nil"/>
        </w:pBdr>
        <w:tabs>
          <w:tab w:val="left" w:pos="8222"/>
        </w:tabs>
        <w:spacing w:line="360" w:lineRule="auto"/>
        <w:ind w:left="720" w:right="397"/>
        <w:jc w:val="both"/>
        <w:rPr>
          <w:rFonts w:ascii="Palatino Linotype" w:eastAsia="Palatino Linotype" w:hAnsi="Palatino Linotype" w:cs="Palatino Linotype"/>
          <w:sz w:val="22"/>
          <w:szCs w:val="22"/>
        </w:rPr>
      </w:pPr>
    </w:p>
    <w:p w:rsidR="00D64043" w:rsidRPr="001F0434" w:rsidRDefault="00BB68AC">
      <w:pPr>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ese contexto, cabe precisar que el expediente en análisis a la fecha de respuesta, </w:t>
      </w:r>
      <w:r w:rsidRPr="001F0434">
        <w:rPr>
          <w:rFonts w:ascii="Palatino Linotype" w:eastAsia="Palatino Linotype" w:hAnsi="Palatino Linotype" w:cs="Palatino Linotype"/>
          <w:b/>
          <w:u w:val="single"/>
        </w:rPr>
        <w:t xml:space="preserve">no se ha concluido </w:t>
      </w:r>
      <w:r w:rsidRPr="001F0434">
        <w:rPr>
          <w:rFonts w:ascii="Palatino Linotype" w:eastAsia="Palatino Linotype" w:hAnsi="Palatino Linotype" w:cs="Palatino Linotype"/>
        </w:rPr>
        <w:t xml:space="preserve">según lo señalado por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pues no se ha determinado si existe alguna responsabilidad administrativa por parte de servidores públicos.</w:t>
      </w:r>
    </w:p>
    <w:p w:rsidR="00D64043" w:rsidRPr="001F0434" w:rsidRDefault="00D64043">
      <w:pPr>
        <w:tabs>
          <w:tab w:val="left" w:pos="8222"/>
        </w:tabs>
        <w:spacing w:line="360" w:lineRule="auto"/>
        <w:ind w:right="397"/>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b/>
          <w:u w:val="single"/>
        </w:rPr>
      </w:pPr>
      <w:r w:rsidRPr="001F0434">
        <w:rPr>
          <w:rFonts w:ascii="Palatino Linotype" w:eastAsia="Palatino Linotype" w:hAnsi="Palatino Linotype" w:cs="Palatino Linotype"/>
          <w:b/>
          <w:u w:val="single"/>
        </w:rPr>
        <w:t>Así, se acredita el primero de los requisitos establecidos en los Lineamientos Generales para acreditar la reserva en cuestión, pues el expediente se integró derivado de procedimiento ante la Contraloría con motivo de la entrega-recepción de la administración pública municipal 2019-2021, el cual se encuentra en trámite, es decir; que aún no cuenta con alguna resolución.</w:t>
      </w:r>
    </w:p>
    <w:p w:rsidR="00D64043" w:rsidRPr="001F0434" w:rsidRDefault="00D64043">
      <w:pPr>
        <w:tabs>
          <w:tab w:val="left" w:pos="8222"/>
        </w:tabs>
        <w:spacing w:line="360" w:lineRule="auto"/>
        <w:ind w:right="397"/>
        <w:jc w:val="both"/>
        <w:rPr>
          <w:rFonts w:ascii="Palatino Linotype" w:eastAsia="Palatino Linotype" w:hAnsi="Palatino Linotype" w:cs="Palatino Linotype"/>
        </w:rPr>
      </w:pPr>
    </w:p>
    <w:p w:rsidR="00D64043" w:rsidRPr="001F0434" w:rsidRDefault="00BB68AC">
      <w:pPr>
        <w:numPr>
          <w:ilvl w:val="0"/>
          <w:numId w:val="8"/>
        </w:numPr>
        <w:pBdr>
          <w:top w:val="nil"/>
          <w:left w:val="nil"/>
          <w:bottom w:val="nil"/>
          <w:right w:val="nil"/>
          <w:between w:val="nil"/>
        </w:pBdr>
        <w:tabs>
          <w:tab w:val="left" w:pos="8222"/>
        </w:tabs>
        <w:spacing w:after="160" w:line="360" w:lineRule="auto"/>
        <w:ind w:right="397"/>
        <w:jc w:val="both"/>
        <w:rPr>
          <w:rFonts w:ascii="Palatino Linotype" w:eastAsia="Palatino Linotype" w:hAnsi="Palatino Linotype" w:cs="Palatino Linotype"/>
          <w:b/>
        </w:rPr>
      </w:pPr>
      <w:r w:rsidRPr="001F0434">
        <w:rPr>
          <w:rFonts w:ascii="Palatino Linotype" w:eastAsia="Palatino Linotype" w:hAnsi="Palatino Linotype" w:cs="Palatino Linotype"/>
          <w:b/>
        </w:rPr>
        <w:t xml:space="preserve">Que la información se refiera a actuaciones, diligencias y constancias propias del procedimiento de responsabilidad. </w:t>
      </w:r>
    </w:p>
    <w:p w:rsidR="00D64043" w:rsidRPr="001F0434" w:rsidRDefault="00D64043">
      <w:pPr>
        <w:tabs>
          <w:tab w:val="left" w:pos="8222"/>
        </w:tabs>
        <w:spacing w:line="360" w:lineRule="auto"/>
        <w:ind w:right="397"/>
        <w:jc w:val="both"/>
        <w:rPr>
          <w:rFonts w:ascii="Palatino Linotype" w:eastAsia="Palatino Linotype" w:hAnsi="Palatino Linotype" w:cs="Palatino Linotype"/>
          <w:b/>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Al respecto, en el presente caso,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a través de su acta de reserva refirió la existencia de un expediente de investigación que ha sido integrado con la finalidad de allegarse de elementos para determinar la responsabilidad administrativa e iniciar un procedimiento administrativo, el cual se encuentra en trámite. </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lastRenderedPageBreak/>
        <w:t>Es decir, se trata de la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Conforme a lo anterior, se advierte que, en la etapa en la que se encuentra este expediente es en el de investigación, la cual al concluir continúa con las etapas de sustanciación y resolución, por lo que, la autoridad se encuentra en la calefacción del tipo de falta.</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No obstante, es de precisar que los documentos que solicitó el Particular no se encuentran relacionados con el expediente de investigación que se está substanciando, ya que, como bien lo mencionó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este se trata de un procedimiento ante la Contraloría con motivo de la entrega-recepción de la administración pública municipal 2019-2021 y la información a la que requiere tener acceso el Particular se relaciona con la verificación virtual oficiosa 2022, misma que, se reitera, a la fecha de la solicitud ya se encuentra concluida. </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lo que, si bien es cierto, se constata la existencia de un procedimiento de responsabilidad administrativa en trámite, también lo es que, su contenido, no guarda relación directa con el procedimiento de verificación virtual oficiosa que a la fecha de la solicitud de información ya se encuentra concluido, aunado a que no se </w:t>
      </w:r>
      <w:r w:rsidRPr="001F0434">
        <w:rPr>
          <w:rFonts w:ascii="Palatino Linotype" w:eastAsia="Palatino Linotype" w:hAnsi="Palatino Linotype" w:cs="Palatino Linotype"/>
        </w:rPr>
        <w:lastRenderedPageBreak/>
        <w:t xml:space="preserve">comprueba que la entrega de esta información </w:t>
      </w:r>
      <w:r w:rsidRPr="001F0434">
        <w:rPr>
          <w:rFonts w:ascii="Palatino Linotype" w:eastAsia="Palatino Linotype" w:hAnsi="Palatino Linotype" w:cs="Palatino Linotype"/>
          <w:b/>
          <w:u w:val="single"/>
        </w:rPr>
        <w:t>genere un daño al desarrollo de la investigación y obstruya a las autoridades de allegarse de elementos necesarios para el desahogo de la misma</w:t>
      </w:r>
      <w:r w:rsidRPr="001F0434">
        <w:rPr>
          <w:rFonts w:ascii="Palatino Linotype" w:eastAsia="Palatino Linotype" w:hAnsi="Palatino Linotype" w:cs="Palatino Linotype"/>
        </w:rPr>
        <w:t>,</w:t>
      </w:r>
      <w:r w:rsidRPr="001F0434">
        <w:rPr>
          <w:rFonts w:ascii="Palatino Linotype" w:eastAsia="Palatino Linotype" w:hAnsi="Palatino Linotype" w:cs="Palatino Linotype"/>
          <w:b/>
          <w:u w:val="single"/>
        </w:rPr>
        <w:t xml:space="preserve"> pues se tratan de documentos definitivos, que se integraron en un procedimiento distinto, siendo que dicho procedimiento de licitación ya se encuentra concluido.</w:t>
      </w:r>
      <w:r w:rsidRPr="001F0434">
        <w:rPr>
          <w:rFonts w:ascii="Palatino Linotype" w:eastAsia="Palatino Linotype" w:hAnsi="Palatino Linotype" w:cs="Palatino Linotype"/>
        </w:rPr>
        <w:t xml:space="preserve"> </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Aunado a lo anterior, es preciso señalar que en materia de transparencia, para que resulte procedente la entrega de la información que se solicite, es necesario que esta obre en cualquier documento que los sujetos obligados generen, posean o administren, en consecuencia, como ya ha quedado establecido, la verificación virtual oficiosa 2022 a la fecha de la solicitud se encuentra concluida, tal como se acreditó en líneas anteriores. </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lo tanto, al considerar que el objeto de las solicitudes de información es obtener acceso a documentos definitivos, resulta poco garante reservar la información solicitada,  ya que, se dilataría el ejercicio del derecho de acceso a la información pública de </w:t>
      </w:r>
      <w:r w:rsidRPr="001F0434">
        <w:rPr>
          <w:rFonts w:ascii="Palatino Linotype" w:eastAsia="Palatino Linotype" w:hAnsi="Palatino Linotype" w:cs="Palatino Linotype"/>
          <w:b/>
        </w:rPr>
        <w:t>la parte Recurrente</w:t>
      </w:r>
      <w:r w:rsidRPr="001F0434">
        <w:rPr>
          <w:rFonts w:ascii="Palatino Linotype" w:eastAsia="Palatino Linotype" w:hAnsi="Palatino Linotype" w:cs="Palatino Linotype"/>
        </w:rPr>
        <w:t xml:space="preserve">; siendo lo procedente, proporcionar los documentos que no sufren modificación alguna.  </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En ese sentido, es menester traer a colación el Criterio 09/2004 emitido por la Suprema Corte de Justicia de la Nación, que a la letra señala lo siguiente: </w:t>
      </w:r>
    </w:p>
    <w:p w:rsidR="00D64043" w:rsidRPr="001F0434" w:rsidRDefault="00BB68AC">
      <w:pPr>
        <w:tabs>
          <w:tab w:val="left" w:pos="8222"/>
        </w:tabs>
        <w:spacing w:line="276" w:lineRule="auto"/>
        <w:ind w:left="567" w:right="56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r w:rsidRPr="001F0434">
        <w:rPr>
          <w:rFonts w:ascii="Palatino Linotype" w:eastAsia="Palatino Linotype" w:hAnsi="Palatino Linotype" w:cs="Palatino Linotype"/>
          <w:b/>
          <w:i/>
          <w:sz w:val="22"/>
          <w:szCs w:val="22"/>
        </w:rPr>
        <w:t>INFORMACIÓN SUJETA A REVISIÓN. SI YA CONSTA EN UN DOCUMENTO DEFINITIVO, DEBE PERMITIRSE EL ACCESO A ÉSTE.</w:t>
      </w:r>
      <w:r w:rsidRPr="001F0434">
        <w:rPr>
          <w:rFonts w:ascii="Palatino Linotype" w:eastAsia="Palatino Linotype" w:hAnsi="Palatino Linotype" w:cs="Palatino Linotype"/>
          <w:i/>
          <w:sz w:val="22"/>
          <w:szCs w:val="22"/>
        </w:rPr>
        <w:t xml:space="preserve"> Para </w:t>
      </w:r>
      <w:r w:rsidRPr="001F0434">
        <w:rPr>
          <w:rFonts w:ascii="Palatino Linotype" w:eastAsia="Palatino Linotype" w:hAnsi="Palatino Linotype" w:cs="Palatino Linotype"/>
          <w:i/>
          <w:sz w:val="22"/>
          <w:szCs w:val="22"/>
        </w:rPr>
        <w:lastRenderedPageBreak/>
        <w:t xml:space="preserve">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  Unanimidad de votos”, </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b/>
          <w:u w:val="single"/>
        </w:rPr>
      </w:pPr>
      <w:r w:rsidRPr="001F0434">
        <w:rPr>
          <w:rFonts w:ascii="Palatino Linotype" w:eastAsia="Palatino Linotype" w:hAnsi="Palatino Linotype" w:cs="Palatino Linotype"/>
          <w:b/>
          <w:u w:val="single"/>
        </w:rPr>
        <w:t>Asimismo, se destaca que se confirma que existe un interés público por conocer estos documentos, ya que, su publicidad permite saber si el Sujeto Obligado realizó las medidas pertinentes para dar atención a las observaciones realizadas por la Dirección General Jurídica y de Verificación de este organismo garante para la actualización de su portal de obligaciones de transparencia y así dar cumplimiento a lo previsto por la legislación aplicable en la materia para favorecer la rendición de cuentas ante la ciudadanía.</w:t>
      </w:r>
    </w:p>
    <w:p w:rsidR="00D64043" w:rsidRPr="001F0434" w:rsidRDefault="00D64043">
      <w:pPr>
        <w:tabs>
          <w:tab w:val="left" w:pos="8222"/>
        </w:tabs>
        <w:spacing w:line="360" w:lineRule="auto"/>
        <w:ind w:right="-28"/>
        <w:jc w:val="both"/>
        <w:rPr>
          <w:rFonts w:ascii="Palatino Linotype" w:eastAsia="Palatino Linotype" w:hAnsi="Palatino Linotype" w:cs="Palatino Linotype"/>
        </w:rPr>
      </w:pPr>
    </w:p>
    <w:p w:rsidR="00D64043" w:rsidRPr="001F0434" w:rsidRDefault="00BB68AC">
      <w:pPr>
        <w:tabs>
          <w:tab w:val="left" w:pos="8222"/>
        </w:tabs>
        <w:spacing w:line="360" w:lineRule="auto"/>
        <w:ind w:right="-28"/>
        <w:jc w:val="both"/>
        <w:rPr>
          <w:rFonts w:ascii="Palatino Linotype" w:eastAsia="Palatino Linotype" w:hAnsi="Palatino Linotype" w:cs="Palatino Linotype"/>
        </w:rPr>
      </w:pPr>
      <w:bookmarkStart w:id="4" w:name="_heading=h.3znysh7" w:colFirst="0" w:colLast="0"/>
      <w:bookmarkEnd w:id="4"/>
      <w:r w:rsidRPr="001F0434">
        <w:rPr>
          <w:rFonts w:ascii="Palatino Linotype" w:eastAsia="Palatino Linotype" w:hAnsi="Palatino Linotype" w:cs="Palatino Linotype"/>
        </w:rPr>
        <w:t xml:space="preserve">De tal manera que, al no advertirse que los documentos solicitados corresponden a constancias propias del procedimiento de responsabilidad administrativa al que alude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no se acredita el segundo de los requisitos establecidos en los Lineamientos Generales y, por ende, no se actualiza la causal de reserva prevista </w:t>
      </w:r>
      <w:r w:rsidRPr="001F0434">
        <w:rPr>
          <w:rFonts w:ascii="Palatino Linotype" w:eastAsia="Palatino Linotype" w:hAnsi="Palatino Linotype" w:cs="Palatino Linotype"/>
          <w:color w:val="000000"/>
        </w:rPr>
        <w:t>en el artículo 113, fracciones X y XI, de la Ley General de Transparencia y Acceso a la Información Pública, así como el artículo 140, fracción VI de la Ley de Transparencia y Acceso a la Información Pública del Estado de México y Municipios.</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Bajo este orden de ideas es que este Instituto considera que las respuestas del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en los recursos de revisión que ahora se resuelven no colman a cabalidad los requerimientos de información de </w:t>
      </w:r>
      <w:r w:rsidRPr="001F0434">
        <w:rPr>
          <w:rFonts w:ascii="Palatino Linotype" w:eastAsia="Palatino Linotype" w:hAnsi="Palatino Linotype" w:cs="Palatino Linotype"/>
          <w:b/>
        </w:rPr>
        <w:t>la parte Recurrente</w:t>
      </w:r>
      <w:r w:rsidRPr="001F0434">
        <w:rPr>
          <w:rFonts w:ascii="Palatino Linotype" w:eastAsia="Palatino Linotype" w:hAnsi="Palatino Linotype" w:cs="Palatino Linotype"/>
        </w:rPr>
        <w:t xml:space="preserve">, por lo que derivado de un análisis exhaustivo realizado es que se determina </w:t>
      </w:r>
      <w:r w:rsidRPr="001F0434">
        <w:rPr>
          <w:rFonts w:ascii="Palatino Linotype" w:eastAsia="Palatino Linotype" w:hAnsi="Palatino Linotype" w:cs="Palatino Linotype"/>
          <w:b/>
        </w:rPr>
        <w:t>REVOCAR</w:t>
      </w:r>
      <w:r w:rsidRPr="001F0434">
        <w:rPr>
          <w:rFonts w:ascii="Palatino Linotype" w:eastAsia="Palatino Linotype" w:hAnsi="Palatino Linotype" w:cs="Palatino Linotype"/>
        </w:rPr>
        <w:t xml:space="preserve"> las respuestas y ordenar la entrega de la siguiente documentación en versión pública de ser el caso, conforme al considerando siguiente:</w:t>
      </w:r>
    </w:p>
    <w:p w:rsidR="00D64043" w:rsidRPr="001F0434" w:rsidRDefault="00BB68AC">
      <w:pPr>
        <w:spacing w:line="276" w:lineRule="auto"/>
        <w:ind w:left="567" w:right="90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1. Los oficios recibidos por la unidad de transparencia para dar seguimiento y atención a las observaciones realizadas por el INFOEM respecto a la verificación virtual oficiosa 2022.</w:t>
      </w:r>
    </w:p>
    <w:p w:rsidR="00D64043" w:rsidRPr="001F0434" w:rsidRDefault="00D64043">
      <w:pPr>
        <w:spacing w:line="276" w:lineRule="auto"/>
        <w:ind w:left="567" w:right="900"/>
        <w:jc w:val="both"/>
        <w:rPr>
          <w:rFonts w:ascii="Palatino Linotype" w:eastAsia="Palatino Linotype" w:hAnsi="Palatino Linotype" w:cs="Palatino Linotype"/>
          <w:b/>
          <w:i/>
          <w:sz w:val="22"/>
          <w:szCs w:val="22"/>
        </w:rPr>
      </w:pPr>
    </w:p>
    <w:p w:rsidR="00D64043" w:rsidRPr="001F0434" w:rsidRDefault="00BB68AC" w:rsidP="005F421D">
      <w:pPr>
        <w:spacing w:line="276" w:lineRule="auto"/>
        <w:ind w:left="567" w:right="90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 xml:space="preserve">2. Los oficios generados por el Sujeto Obligado para dar seguimiento y atención a las observaciones realizadas por el INFOEM respecto a la </w:t>
      </w:r>
      <w:r w:rsidR="005F421D" w:rsidRPr="001F0434">
        <w:rPr>
          <w:rFonts w:ascii="Palatino Linotype" w:eastAsia="Palatino Linotype" w:hAnsi="Palatino Linotype" w:cs="Palatino Linotype"/>
          <w:b/>
          <w:i/>
          <w:sz w:val="22"/>
          <w:szCs w:val="22"/>
        </w:rPr>
        <w:t xml:space="preserve"> </w:t>
      </w:r>
      <w:r w:rsidRPr="001F0434">
        <w:rPr>
          <w:rFonts w:ascii="Palatino Linotype" w:eastAsia="Palatino Linotype" w:hAnsi="Palatino Linotype" w:cs="Palatino Linotype"/>
          <w:b/>
          <w:i/>
          <w:sz w:val="22"/>
          <w:szCs w:val="22"/>
        </w:rPr>
        <w:t>verificación virtual oficiosa.</w:t>
      </w:r>
    </w:p>
    <w:p w:rsidR="00D64043" w:rsidRPr="001F0434" w:rsidRDefault="00D64043">
      <w:pPr>
        <w:spacing w:line="276" w:lineRule="auto"/>
        <w:ind w:left="567" w:right="900"/>
        <w:jc w:val="both"/>
        <w:rPr>
          <w:rFonts w:ascii="Palatino Linotype" w:eastAsia="Palatino Linotype" w:hAnsi="Palatino Linotype" w:cs="Palatino Linotype"/>
          <w:b/>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3. Los oficios y acuerdos, generados por el Sujeto Obligado y recibidos por el INFOEM respecto de la verificación virtual oficiosa del año 2022.</w:t>
      </w:r>
    </w:p>
    <w:p w:rsidR="00D64043" w:rsidRPr="001F0434" w:rsidRDefault="00D64043">
      <w:pPr>
        <w:spacing w:line="360" w:lineRule="auto"/>
        <w:jc w:val="both"/>
        <w:rPr>
          <w:rFonts w:ascii="Palatino Linotype" w:eastAsia="Palatino Linotype" w:hAnsi="Palatino Linotype" w:cs="Palatino Linotype"/>
          <w:b/>
        </w:rPr>
      </w:pP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b/>
        </w:rPr>
        <w:t xml:space="preserve">Quinto. Versión Pública. </w:t>
      </w:r>
      <w:r w:rsidRPr="001F0434">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w:t>
      </w:r>
      <w:r w:rsidRPr="001F0434">
        <w:rPr>
          <w:rFonts w:ascii="Palatino Linotype" w:eastAsia="Palatino Linotype" w:hAnsi="Palatino Linotype" w:cs="Palatino Linotype"/>
        </w:rPr>
        <w:lastRenderedPageBreak/>
        <w:t>recurrente sin menoscabar el derecho a la protección de los datos personales de terceros.</w:t>
      </w:r>
    </w:p>
    <w:p w:rsidR="00D64043" w:rsidRPr="001F0434" w:rsidRDefault="00BB68AC">
      <w:pPr>
        <w:spacing w:before="240" w:after="240" w:line="360" w:lineRule="auto"/>
        <w:ind w:right="50"/>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1F0434">
        <w:rPr>
          <w:rFonts w:ascii="Palatino Linotype" w:eastAsia="Palatino Linotype" w:hAnsi="Palatino Linotype" w:cs="Palatino Linotype"/>
        </w:rPr>
        <w:t>fracción</w:t>
      </w:r>
      <w:proofErr w:type="gramEnd"/>
      <w:r w:rsidRPr="001F0434">
        <w:rPr>
          <w:rFonts w:ascii="Palatino Linotype" w:eastAsia="Palatino Linotype" w:hAnsi="Palatino Linotype" w:cs="Palatino Linotype"/>
        </w:rPr>
        <w:t xml:space="preserve"> I de la Ley de Transparencia y Acceso a la Información Pública del Estado de México y Municipios que establecen:</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r w:rsidRPr="001F0434">
        <w:rPr>
          <w:rFonts w:ascii="Palatino Linotype" w:eastAsia="Palatino Linotype" w:hAnsi="Palatino Linotype" w:cs="Palatino Linotype"/>
          <w:b/>
          <w:i/>
          <w:sz w:val="22"/>
          <w:szCs w:val="22"/>
        </w:rPr>
        <w:t>Artículo 3</w:t>
      </w:r>
      <w:r w:rsidRPr="001F0434">
        <w:rPr>
          <w:rFonts w:ascii="Palatino Linotype" w:eastAsia="Palatino Linotype" w:hAnsi="Palatino Linotype" w:cs="Palatino Linotype"/>
          <w:i/>
          <w:sz w:val="22"/>
          <w:szCs w:val="22"/>
        </w:rPr>
        <w:t>. Para los efectos de la presente Ley se entenderá por:</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IX. Datos personales:</w:t>
      </w:r>
      <w:r w:rsidRPr="001F043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XX. Información clasificada</w:t>
      </w:r>
      <w:r w:rsidRPr="001F0434">
        <w:rPr>
          <w:rFonts w:ascii="Palatino Linotype" w:eastAsia="Palatino Linotype" w:hAnsi="Palatino Linotype" w:cs="Palatino Linotype"/>
          <w:i/>
          <w:sz w:val="22"/>
          <w:szCs w:val="22"/>
        </w:rPr>
        <w:t>: Aquella considerada por la presente Ley como reservada o confidencial;</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XXI. Información confidencial:</w:t>
      </w:r>
      <w:r w:rsidRPr="001F0434">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XLV. Versión pública:</w:t>
      </w:r>
      <w:r w:rsidRPr="001F043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 xml:space="preserve">Artículo 91. </w:t>
      </w:r>
      <w:r w:rsidRPr="001F043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 xml:space="preserve">Artículo 132. </w:t>
      </w:r>
      <w:r w:rsidRPr="001F0434">
        <w:rPr>
          <w:rFonts w:ascii="Palatino Linotype" w:eastAsia="Palatino Linotype" w:hAnsi="Palatino Linotype" w:cs="Palatino Linotype"/>
          <w:i/>
          <w:sz w:val="22"/>
          <w:szCs w:val="22"/>
        </w:rPr>
        <w:t>La clasificación de la información se llevará a cabo en el momento en que:</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I</w:t>
      </w:r>
      <w:r w:rsidRPr="001F0434">
        <w:rPr>
          <w:rFonts w:ascii="Palatino Linotype" w:eastAsia="Palatino Linotype" w:hAnsi="Palatino Linotype" w:cs="Palatino Linotype"/>
          <w:i/>
          <w:sz w:val="22"/>
          <w:szCs w:val="22"/>
        </w:rPr>
        <w:t>. Se reciba una solicitud de acceso a la información;</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II</w:t>
      </w:r>
      <w:r w:rsidRPr="001F0434">
        <w:rPr>
          <w:rFonts w:ascii="Palatino Linotype" w:eastAsia="Palatino Linotype" w:hAnsi="Palatino Linotype" w:cs="Palatino Linotype"/>
          <w:i/>
          <w:sz w:val="22"/>
          <w:szCs w:val="22"/>
        </w:rPr>
        <w:t>. Se determine mediante resolución de autoridad competente; o</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III</w:t>
      </w:r>
      <w:r w:rsidRPr="001F0434">
        <w:rPr>
          <w:rFonts w:ascii="Palatino Linotype" w:eastAsia="Palatino Linotype" w:hAnsi="Palatino Linotype" w:cs="Palatino Linotype"/>
          <w:i/>
          <w:sz w:val="22"/>
          <w:szCs w:val="22"/>
        </w:rPr>
        <w:t>. Se generen versiones públicas para dar cumplimiento a las obligaciones de transparencia previstas en esta Ley.</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lastRenderedPageBreak/>
        <w:t>[…]</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Artículo 143</w:t>
      </w:r>
      <w:r w:rsidRPr="001F043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I.</w:t>
      </w:r>
      <w:r w:rsidRPr="001F0434">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1F0434">
        <w:rPr>
          <w:rFonts w:ascii="Palatino Linotype" w:eastAsia="Palatino Linotype" w:hAnsi="Palatino Linotype" w:cs="Palatino Linotype"/>
          <w:i/>
          <w:sz w:val="22"/>
          <w:szCs w:val="22"/>
        </w:rPr>
        <w:t>jurídico</w:t>
      </w:r>
      <w:proofErr w:type="gramEnd"/>
      <w:r w:rsidRPr="001F0434">
        <w:rPr>
          <w:rFonts w:ascii="Palatino Linotype" w:eastAsia="Palatino Linotype" w:hAnsi="Palatino Linotype" w:cs="Palatino Linotype"/>
          <w:i/>
          <w:sz w:val="22"/>
          <w:szCs w:val="22"/>
        </w:rPr>
        <w:t xml:space="preserve"> colectiva identificada o identificable;</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II.</w:t>
      </w:r>
      <w:r w:rsidRPr="001F043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III</w:t>
      </w:r>
      <w:r w:rsidRPr="001F0434">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D64043" w:rsidRPr="001F0434" w:rsidRDefault="00BB68AC">
      <w:pPr>
        <w:spacing w:before="120" w:after="120"/>
        <w:ind w:left="567" w:right="902"/>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64043" w:rsidRPr="001F0434" w:rsidRDefault="00BB68AC">
      <w:pPr>
        <w:spacing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lastRenderedPageBreak/>
        <w:t>Entorno a lo que aquí nos interesa,</w:t>
      </w:r>
      <w:r w:rsidRPr="001F0434">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1F0434">
        <w:rPr>
          <w:rFonts w:ascii="Palatino Linotype" w:eastAsia="Palatino Linotype" w:hAnsi="Palatino Linotype" w:cs="Palatino Linotype"/>
        </w:rPr>
        <w:t xml:space="preserve"> señalan las formalidades que deberá llevar el acuerdo de clasificación que deberá emitir el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siendo estas las siguientes:</w:t>
      </w:r>
    </w:p>
    <w:p w:rsidR="00D64043" w:rsidRPr="001F0434" w:rsidRDefault="00D64043">
      <w:pPr>
        <w:spacing w:line="360" w:lineRule="auto"/>
        <w:jc w:val="both"/>
        <w:rPr>
          <w:rFonts w:ascii="Palatino Linotype" w:eastAsia="Palatino Linotype" w:hAnsi="Palatino Linotype" w:cs="Palatino Linotype"/>
        </w:rPr>
      </w:pPr>
    </w:p>
    <w:p w:rsidR="00D64043" w:rsidRPr="001F0434" w:rsidRDefault="00BB68AC">
      <w:pPr>
        <w:spacing w:line="276" w:lineRule="auto"/>
        <w:ind w:left="567"/>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“CAPÍTULO VIII </w:t>
      </w:r>
    </w:p>
    <w:p w:rsidR="00D64043" w:rsidRPr="001F0434" w:rsidRDefault="00BB68AC">
      <w:pPr>
        <w:spacing w:line="276" w:lineRule="auto"/>
        <w:ind w:left="567"/>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i/>
          <w:sz w:val="22"/>
          <w:szCs w:val="22"/>
        </w:rPr>
        <w:t xml:space="preserve">DE LOS ELEMENTOS PARA LA CLASIFICACIÓN </w:t>
      </w: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Quincuagésimo.</w:t>
      </w:r>
      <w:r w:rsidRPr="001F043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D64043" w:rsidRPr="001F0434" w:rsidRDefault="00BB68AC">
      <w:pPr>
        <w:spacing w:line="276" w:lineRule="auto"/>
        <w:ind w:left="567" w:right="900"/>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i/>
          <w:sz w:val="22"/>
          <w:szCs w:val="22"/>
        </w:rPr>
        <w:t>Quincuagésimo primero.</w:t>
      </w:r>
      <w:r w:rsidRPr="001F0434">
        <w:rPr>
          <w:rFonts w:ascii="Palatino Linotype" w:eastAsia="Palatino Linotype" w:hAnsi="Palatino Linotype" w:cs="Palatino Linotype"/>
          <w:i/>
          <w:sz w:val="22"/>
          <w:szCs w:val="22"/>
        </w:rPr>
        <w:t xml:space="preserve"> Toda acta del Comité de Transparencia deberá contener: </w:t>
      </w:r>
    </w:p>
    <w:p w:rsidR="00D64043" w:rsidRPr="001F0434" w:rsidRDefault="00BB68AC">
      <w:pPr>
        <w:numPr>
          <w:ilvl w:val="1"/>
          <w:numId w:val="11"/>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El número de sesión y fecha; </w:t>
      </w:r>
    </w:p>
    <w:p w:rsidR="00D64043" w:rsidRPr="001F0434" w:rsidRDefault="00BB68AC">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El nombre del área que solicitó la clasificación de información; </w:t>
      </w:r>
    </w:p>
    <w:p w:rsidR="00D64043" w:rsidRPr="001F0434" w:rsidRDefault="00BB68AC">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La fundamentación legal y motivación correspondiente; </w:t>
      </w:r>
    </w:p>
    <w:p w:rsidR="00D64043" w:rsidRPr="001F0434" w:rsidRDefault="00BB68AC">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La resolución o resoluciones aprobadas; y </w:t>
      </w:r>
    </w:p>
    <w:p w:rsidR="00D64043" w:rsidRPr="001F0434" w:rsidRDefault="00BB68AC">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La rúbrica o firma digital de cada integrante del Comité de Transparencia. </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III. El periodo por el que mantendrá su clasificación y fecha de expiración; y </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1F0434">
        <w:rPr>
          <w:rFonts w:ascii="Palatino Linotype" w:eastAsia="Palatino Linotype" w:hAnsi="Palatino Linotype" w:cs="Palatino Linotype"/>
          <w:b/>
          <w:i/>
          <w:color w:val="000000"/>
          <w:sz w:val="22"/>
          <w:szCs w:val="22"/>
        </w:rPr>
        <w:t xml:space="preserve">En los casos de resoluciones del Comité de Transparencia en las que se confirme la clasificación de información confidencial solo se deberán de </w:t>
      </w:r>
      <w:r w:rsidRPr="001F0434">
        <w:rPr>
          <w:rFonts w:ascii="Palatino Linotype" w:eastAsia="Palatino Linotype" w:hAnsi="Palatino Linotype" w:cs="Palatino Linotype"/>
          <w:b/>
          <w:i/>
          <w:color w:val="000000"/>
          <w:sz w:val="22"/>
          <w:szCs w:val="22"/>
        </w:rPr>
        <w:lastRenderedPageBreak/>
        <w:t>identificar los tipos de datos protegidos, de conformidad con el lineamiento trigésimo octavo.</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b/>
          <w:i/>
          <w:color w:val="000000"/>
          <w:sz w:val="22"/>
          <w:szCs w:val="22"/>
        </w:rPr>
        <w:t xml:space="preserve">Quincuagésimo segundo. </w:t>
      </w:r>
      <w:r w:rsidRPr="001F0434">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1F0434">
        <w:rPr>
          <w:rFonts w:ascii="Palatino Linotype" w:eastAsia="Palatino Linotype" w:hAnsi="Palatino Linotype" w:cs="Palatino Linotype"/>
          <w:i/>
          <w:color w:val="000000"/>
          <w:sz w:val="22"/>
          <w:szCs w:val="22"/>
        </w:rPr>
        <w:t>sobreposición</w:t>
      </w:r>
      <w:proofErr w:type="spellEnd"/>
      <w:r w:rsidRPr="001F0434">
        <w:rPr>
          <w:rFonts w:ascii="Palatino Linotype" w:eastAsia="Palatino Linotype" w:hAnsi="Palatino Linotype" w:cs="Palatino Linotype"/>
          <w:i/>
          <w:color w:val="000000"/>
          <w:sz w:val="22"/>
          <w:szCs w:val="22"/>
        </w:rPr>
        <w:t xml:space="preserve"> de contenido distinto al autorizado por el Comité.</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I. Fijar la fecha en que se elaboró la versión pública y la fecha en la cual el Comité de</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Transparencia confirmó dicha versión;</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III. Señalar las personas o instancias autorizadas a acceder a la información clasificada.</w:t>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1F0434">
        <w:rPr>
          <w:noProof/>
          <w:lang w:val="es-MX"/>
        </w:rPr>
        <w:drawing>
          <wp:anchor distT="0" distB="0" distL="114300" distR="114300" simplePos="0" relativeHeight="251666432"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3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4568190" cy="330200"/>
                    </a:xfrm>
                    <a:prstGeom prst="rect">
                      <a:avLst/>
                    </a:prstGeom>
                    <a:ln/>
                  </pic:spPr>
                </pic:pic>
              </a:graphicData>
            </a:graphic>
          </wp:anchor>
        </w:drawing>
      </w: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1F0434">
        <w:rPr>
          <w:rFonts w:ascii="Palatino Linotype" w:eastAsia="Palatino Linotype" w:hAnsi="Palatino Linotype" w:cs="Palatino Linotype"/>
          <w:b/>
          <w:i/>
          <w:noProof/>
          <w:color w:val="000000"/>
          <w:sz w:val="22"/>
          <w:szCs w:val="22"/>
          <w:lang w:val="es-MX"/>
        </w:rPr>
        <w:lastRenderedPageBreak/>
        <w:drawing>
          <wp:inline distT="0" distB="0" distL="0" distR="0">
            <wp:extent cx="4576404" cy="5139653"/>
            <wp:effectExtent l="0" t="0" r="0" b="0"/>
            <wp:docPr id="3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4576404" cy="5139653"/>
                    </a:xfrm>
                    <a:prstGeom prst="rect">
                      <a:avLst/>
                    </a:prstGeom>
                    <a:ln/>
                  </pic:spPr>
                </pic:pic>
              </a:graphicData>
            </a:graphic>
          </wp:inline>
        </w:drawing>
      </w:r>
    </w:p>
    <w:p w:rsidR="00D64043" w:rsidRPr="001F0434" w:rsidRDefault="00D6404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b/>
          <w:i/>
          <w:color w:val="000000"/>
          <w:sz w:val="22"/>
          <w:szCs w:val="22"/>
        </w:rPr>
        <w:t xml:space="preserve">Quincuagésimo cuarto. </w:t>
      </w:r>
      <w:r w:rsidRPr="001F0434">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D64043" w:rsidRPr="001F0434" w:rsidRDefault="00D6404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1F0434">
        <w:rPr>
          <w:rFonts w:ascii="Palatino Linotype" w:eastAsia="Palatino Linotype" w:hAnsi="Palatino Linotype" w:cs="Palatino Linotype"/>
          <w:b/>
          <w:i/>
          <w:color w:val="000000"/>
          <w:sz w:val="22"/>
          <w:szCs w:val="22"/>
        </w:rPr>
        <w:lastRenderedPageBreak/>
        <w:t xml:space="preserve">Quincuagésimo quinto. </w:t>
      </w:r>
      <w:r w:rsidRPr="001F0434">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1F0434">
        <w:rPr>
          <w:rFonts w:ascii="Palatino Linotype" w:eastAsia="Palatino Linotype" w:hAnsi="Palatino Linotype" w:cs="Palatino Linotype"/>
          <w:i/>
          <w:color w:val="000000"/>
          <w:sz w:val="22"/>
          <w:szCs w:val="22"/>
        </w:rPr>
        <w:t>testado</w:t>
      </w:r>
      <w:proofErr w:type="spellEnd"/>
      <w:r w:rsidRPr="001F0434">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F0434">
        <w:rPr>
          <w:rFonts w:ascii="Palatino Linotype" w:eastAsia="Palatino Linotype" w:hAnsi="Palatino Linotype" w:cs="Palatino Linotype"/>
          <w:b/>
        </w:rPr>
        <w:t>Sujeto Obligado</w:t>
      </w:r>
      <w:r w:rsidRPr="001F043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64043" w:rsidRPr="001F0434" w:rsidRDefault="00BB68AC">
      <w:pPr>
        <w:spacing w:before="240" w:after="240" w:line="360" w:lineRule="auto"/>
        <w:jc w:val="both"/>
        <w:rPr>
          <w:rFonts w:ascii="Palatino Linotype" w:eastAsia="Palatino Linotype" w:hAnsi="Palatino Linotype" w:cs="Palatino Linotype"/>
        </w:rPr>
      </w:pPr>
      <w:r w:rsidRPr="001F043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rsidR="00D64043" w:rsidRPr="001F0434" w:rsidRDefault="00BB68AC">
      <w:pPr>
        <w:numPr>
          <w:ilvl w:val="0"/>
          <w:numId w:val="10"/>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sidRPr="001F0434">
        <w:rPr>
          <w:rFonts w:ascii="Palatino Linotype" w:eastAsia="Palatino Linotype" w:hAnsi="Palatino Linotype" w:cs="Palatino Linotype"/>
          <w:b/>
          <w:color w:val="000000"/>
        </w:rPr>
        <w:t>R E S U E L V E:</w:t>
      </w:r>
    </w:p>
    <w:p w:rsidR="00D64043" w:rsidRPr="001F0434" w:rsidRDefault="00BB68AC">
      <w:pPr>
        <w:spacing w:before="240" w:after="240" w:line="360" w:lineRule="auto"/>
        <w:jc w:val="both"/>
        <w:rPr>
          <w:rFonts w:ascii="Palatino Linotype" w:eastAsia="Palatino Linotype" w:hAnsi="Palatino Linotype" w:cs="Palatino Linotype"/>
          <w:b/>
        </w:rPr>
      </w:pPr>
      <w:r w:rsidRPr="001F0434">
        <w:rPr>
          <w:rFonts w:ascii="Palatino Linotype" w:eastAsia="Palatino Linotype" w:hAnsi="Palatino Linotype" w:cs="Palatino Linotype"/>
          <w:b/>
        </w:rPr>
        <w:lastRenderedPageBreak/>
        <w:t xml:space="preserve">Primero. </w:t>
      </w:r>
      <w:r w:rsidRPr="001F0434">
        <w:rPr>
          <w:rFonts w:ascii="Palatino Linotype" w:eastAsia="Palatino Linotype" w:hAnsi="Palatino Linotype" w:cs="Palatino Linotype"/>
        </w:rPr>
        <w:t>Resultan</w:t>
      </w:r>
      <w:r w:rsidRPr="001F0434">
        <w:rPr>
          <w:rFonts w:ascii="Palatino Linotype" w:eastAsia="Palatino Linotype" w:hAnsi="Palatino Linotype" w:cs="Palatino Linotype"/>
          <w:b/>
        </w:rPr>
        <w:t xml:space="preserve"> fundados </w:t>
      </w:r>
      <w:r w:rsidRPr="001F0434">
        <w:rPr>
          <w:rFonts w:ascii="Palatino Linotype" w:eastAsia="Palatino Linotype" w:hAnsi="Palatino Linotype" w:cs="Palatino Linotype"/>
        </w:rPr>
        <w:t xml:space="preserve">los motivos de inconformidad hechos valer por </w:t>
      </w:r>
      <w:r w:rsidRPr="001F0434">
        <w:rPr>
          <w:rFonts w:ascii="Palatino Linotype" w:eastAsia="Palatino Linotype" w:hAnsi="Palatino Linotype" w:cs="Palatino Linotype"/>
          <w:b/>
        </w:rPr>
        <w:t>la parte Recurrente</w:t>
      </w:r>
      <w:r w:rsidRPr="001F0434">
        <w:rPr>
          <w:rFonts w:ascii="Palatino Linotype" w:eastAsia="Palatino Linotype" w:hAnsi="Palatino Linotype" w:cs="Palatino Linotype"/>
        </w:rPr>
        <w:t xml:space="preserve"> en los Recursos de Revisión</w:t>
      </w:r>
      <w:r w:rsidRPr="001F0434">
        <w:rPr>
          <w:rFonts w:ascii="Palatino Linotype" w:eastAsia="Palatino Linotype" w:hAnsi="Palatino Linotype" w:cs="Palatino Linotype"/>
          <w:b/>
        </w:rPr>
        <w:t xml:space="preserve"> 00684/INFOEM/IP/RR/2023, 00686/INFOEM/IP/RR/2023 y 00687/INFOEM/IP/RR/2023  acumulados, </w:t>
      </w:r>
      <w:r w:rsidRPr="001F0434">
        <w:rPr>
          <w:rFonts w:ascii="Palatino Linotype" w:eastAsia="Palatino Linotype" w:hAnsi="Palatino Linotype" w:cs="Palatino Linotype"/>
        </w:rPr>
        <w:t>por lo que</w:t>
      </w:r>
      <w:r w:rsidRPr="001F0434">
        <w:rPr>
          <w:rFonts w:ascii="Palatino Linotype" w:eastAsia="Palatino Linotype" w:hAnsi="Palatino Linotype" w:cs="Palatino Linotype"/>
          <w:b/>
        </w:rPr>
        <w:t xml:space="preserve">, en términos del Considerando Cuarto </w:t>
      </w:r>
      <w:r w:rsidRPr="001F0434">
        <w:rPr>
          <w:rFonts w:ascii="Palatino Linotype" w:eastAsia="Palatino Linotype" w:hAnsi="Palatino Linotype" w:cs="Palatino Linotype"/>
        </w:rPr>
        <w:t>de la presente resolución</w:t>
      </w:r>
      <w:r w:rsidRPr="001F0434">
        <w:rPr>
          <w:rFonts w:ascii="Palatino Linotype" w:eastAsia="Palatino Linotype" w:hAnsi="Palatino Linotype" w:cs="Palatino Linotype"/>
          <w:b/>
        </w:rPr>
        <w:t xml:space="preserve">, se REVOCAN </w:t>
      </w:r>
      <w:r w:rsidRPr="001F0434">
        <w:rPr>
          <w:rFonts w:ascii="Palatino Linotype" w:eastAsia="Palatino Linotype" w:hAnsi="Palatino Linotype" w:cs="Palatino Linotype"/>
        </w:rPr>
        <w:t>las respuestas del</w:t>
      </w:r>
      <w:r w:rsidRPr="001F0434">
        <w:rPr>
          <w:rFonts w:ascii="Palatino Linotype" w:eastAsia="Palatino Linotype" w:hAnsi="Palatino Linotype" w:cs="Palatino Linotype"/>
          <w:b/>
        </w:rPr>
        <w:t xml:space="preserve"> Sujeto Obligado.</w:t>
      </w:r>
    </w:p>
    <w:p w:rsidR="00D64043" w:rsidRPr="001F0434" w:rsidRDefault="00BB68AC">
      <w:pPr>
        <w:spacing w:before="240" w:after="240" w:line="360" w:lineRule="auto"/>
        <w:jc w:val="both"/>
        <w:rPr>
          <w:rFonts w:ascii="Palatino Linotype" w:eastAsia="Palatino Linotype" w:hAnsi="Palatino Linotype" w:cs="Palatino Linotype"/>
          <w:b/>
        </w:rPr>
      </w:pPr>
      <w:r w:rsidRPr="001F0434">
        <w:rPr>
          <w:rFonts w:ascii="Palatino Linotype" w:eastAsia="Palatino Linotype" w:hAnsi="Palatino Linotype" w:cs="Palatino Linotype"/>
          <w:b/>
        </w:rPr>
        <w:t xml:space="preserve">Segundo. Se Ordena al Sujeto Obligado </w:t>
      </w:r>
      <w:r w:rsidRPr="001F0434">
        <w:rPr>
          <w:rFonts w:ascii="Palatino Linotype" w:eastAsia="Palatino Linotype" w:hAnsi="Palatino Linotype" w:cs="Palatino Linotype"/>
        </w:rPr>
        <w:t>que en términos de los</w:t>
      </w:r>
      <w:r w:rsidRPr="001F0434">
        <w:rPr>
          <w:rFonts w:ascii="Palatino Linotype" w:eastAsia="Palatino Linotype" w:hAnsi="Palatino Linotype" w:cs="Palatino Linotype"/>
          <w:b/>
        </w:rPr>
        <w:t xml:space="preserve"> Considerandos Cuarto y Quinto </w:t>
      </w:r>
      <w:r w:rsidRPr="001F0434">
        <w:rPr>
          <w:rFonts w:ascii="Palatino Linotype" w:eastAsia="Palatino Linotype" w:hAnsi="Palatino Linotype" w:cs="Palatino Linotype"/>
        </w:rPr>
        <w:t xml:space="preserve">de esta resolución haga entrega a </w:t>
      </w:r>
      <w:r w:rsidRPr="001F0434">
        <w:rPr>
          <w:rFonts w:ascii="Palatino Linotype" w:eastAsia="Palatino Linotype" w:hAnsi="Palatino Linotype" w:cs="Palatino Linotype"/>
          <w:b/>
        </w:rPr>
        <w:t>la parte Recurrente a través del SAIMEX,</w:t>
      </w:r>
      <w:r w:rsidR="005F421D" w:rsidRPr="001F0434">
        <w:rPr>
          <w:rFonts w:ascii="Palatino Linotype" w:eastAsia="Palatino Linotype" w:hAnsi="Palatino Linotype" w:cs="Palatino Linotype"/>
          <w:b/>
        </w:rPr>
        <w:t xml:space="preserve"> de ser el caso </w:t>
      </w:r>
      <w:r w:rsidRPr="001F0434">
        <w:rPr>
          <w:rFonts w:ascii="Palatino Linotype" w:eastAsia="Palatino Linotype" w:hAnsi="Palatino Linotype" w:cs="Palatino Linotype"/>
          <w:b/>
        </w:rPr>
        <w:t>en versión pública, de lo siguiente:</w:t>
      </w:r>
    </w:p>
    <w:p w:rsidR="00D64043" w:rsidRPr="001F0434" w:rsidRDefault="00BB68AC">
      <w:pPr>
        <w:spacing w:line="276" w:lineRule="auto"/>
        <w:ind w:left="567" w:right="90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1. Los oficios recibidos por la unidad de transparencia para dar seguimiento y atención a las observaciones realizadas por el INFOEM respecto a la verificación virtual oficiosa 2022.</w:t>
      </w:r>
    </w:p>
    <w:p w:rsidR="00D64043" w:rsidRPr="001F0434" w:rsidRDefault="00D64043">
      <w:pPr>
        <w:spacing w:line="276" w:lineRule="auto"/>
        <w:ind w:left="567" w:right="900"/>
        <w:jc w:val="both"/>
        <w:rPr>
          <w:rFonts w:ascii="Palatino Linotype" w:eastAsia="Palatino Linotype" w:hAnsi="Palatino Linotype" w:cs="Palatino Linotype"/>
          <w:b/>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2. Los oficios generados por el Sujeto Obligado para dar seguimiento y atención a las observaciones realizadas por el INFOEM respecto a la verificación virtual oficiosa 2022.</w:t>
      </w:r>
    </w:p>
    <w:p w:rsidR="00D64043" w:rsidRPr="001F0434" w:rsidRDefault="00D64043">
      <w:pPr>
        <w:spacing w:line="276" w:lineRule="auto"/>
        <w:ind w:left="567" w:right="900"/>
        <w:jc w:val="both"/>
        <w:rPr>
          <w:rFonts w:ascii="Palatino Linotype" w:eastAsia="Palatino Linotype" w:hAnsi="Palatino Linotype" w:cs="Palatino Linotype"/>
          <w:b/>
          <w:i/>
          <w:sz w:val="22"/>
          <w:szCs w:val="22"/>
        </w:rPr>
      </w:pPr>
    </w:p>
    <w:p w:rsidR="00D64043" w:rsidRPr="001F0434" w:rsidRDefault="00BB68AC">
      <w:pPr>
        <w:spacing w:line="276" w:lineRule="auto"/>
        <w:ind w:left="567" w:right="900"/>
        <w:jc w:val="both"/>
        <w:rPr>
          <w:rFonts w:ascii="Palatino Linotype" w:eastAsia="Palatino Linotype" w:hAnsi="Palatino Linotype" w:cs="Palatino Linotype"/>
          <w:b/>
          <w:i/>
          <w:sz w:val="22"/>
          <w:szCs w:val="22"/>
        </w:rPr>
      </w:pPr>
      <w:r w:rsidRPr="001F0434">
        <w:rPr>
          <w:rFonts w:ascii="Palatino Linotype" w:eastAsia="Palatino Linotype" w:hAnsi="Palatino Linotype" w:cs="Palatino Linotype"/>
          <w:b/>
          <w:i/>
          <w:sz w:val="22"/>
          <w:szCs w:val="22"/>
        </w:rPr>
        <w:t>3. Los oficios y acuerdos, generados por el Sujeto Obligado y recibidos por el INFOEM respecto de la verificación virtual oficiosa del año 2022.</w:t>
      </w:r>
    </w:p>
    <w:p w:rsidR="00D64043" w:rsidRPr="001F0434" w:rsidRDefault="00D64043">
      <w:pPr>
        <w:pBdr>
          <w:top w:val="nil"/>
          <w:left w:val="nil"/>
          <w:bottom w:val="nil"/>
          <w:right w:val="nil"/>
          <w:between w:val="nil"/>
        </w:pBdr>
        <w:ind w:left="720"/>
        <w:rPr>
          <w:rFonts w:ascii="Palatino Linotype" w:eastAsia="Palatino Linotype" w:hAnsi="Palatino Linotype" w:cs="Palatino Linotype"/>
          <w:i/>
          <w:color w:val="000000"/>
          <w:sz w:val="22"/>
          <w:szCs w:val="22"/>
        </w:rPr>
      </w:pPr>
    </w:p>
    <w:p w:rsidR="00D64043" w:rsidRPr="001F0434" w:rsidRDefault="00BB68A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1F0434">
        <w:rPr>
          <w:rFonts w:ascii="Palatino Linotype" w:eastAsia="Palatino Linotype" w:hAnsi="Palatino Linotype" w:cs="Palatino Linotype"/>
          <w:i/>
          <w:color w:val="000000"/>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1F0434">
        <w:rPr>
          <w:rFonts w:ascii="Palatino Linotype" w:eastAsia="Palatino Linotype" w:hAnsi="Palatino Linotype" w:cs="Palatino Linotype"/>
          <w:b/>
          <w:i/>
          <w:color w:val="000000"/>
          <w:sz w:val="22"/>
          <w:szCs w:val="22"/>
        </w:rPr>
        <w:t>la parte Recurrente</w:t>
      </w:r>
      <w:r w:rsidRPr="001F0434">
        <w:rPr>
          <w:rFonts w:ascii="Palatino Linotype" w:eastAsia="Palatino Linotype" w:hAnsi="Palatino Linotype" w:cs="Palatino Linotype"/>
          <w:i/>
          <w:color w:val="000000"/>
          <w:sz w:val="22"/>
          <w:szCs w:val="22"/>
        </w:rPr>
        <w:t>.</w:t>
      </w:r>
    </w:p>
    <w:p w:rsidR="00D64043" w:rsidRPr="001F0434" w:rsidRDefault="00D6404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D64043" w:rsidRPr="001F0434" w:rsidRDefault="00BB68AC">
      <w:pPr>
        <w:spacing w:before="240" w:after="240" w:line="360" w:lineRule="auto"/>
        <w:ind w:right="4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rPr>
        <w:lastRenderedPageBreak/>
        <w:t>Tercero</w:t>
      </w:r>
      <w:r w:rsidRPr="001F0434">
        <w:rPr>
          <w:rFonts w:ascii="Palatino Linotype" w:eastAsia="Palatino Linotype" w:hAnsi="Palatino Linotype" w:cs="Palatino Linotype"/>
          <w:b/>
          <w:sz w:val="28"/>
          <w:szCs w:val="28"/>
        </w:rPr>
        <w:t xml:space="preserve">.  </w:t>
      </w:r>
      <w:r w:rsidRPr="001F0434">
        <w:rPr>
          <w:rFonts w:ascii="Palatino Linotype" w:eastAsia="Palatino Linotype" w:hAnsi="Palatino Linotype" w:cs="Palatino Linotype"/>
          <w:b/>
        </w:rPr>
        <w:t>Notifíquese vía SAIMEX,</w:t>
      </w:r>
      <w:r w:rsidRPr="001F0434">
        <w:rPr>
          <w:rFonts w:ascii="Palatino Linotype" w:eastAsia="Palatino Linotype" w:hAnsi="Palatino Linotype" w:cs="Palatino Linotype"/>
          <w:b/>
          <w:sz w:val="28"/>
          <w:szCs w:val="28"/>
        </w:rPr>
        <w:t xml:space="preserve"> </w:t>
      </w:r>
      <w:r w:rsidRPr="001F0434">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64043" w:rsidRPr="001F0434" w:rsidRDefault="00BB68AC">
      <w:pPr>
        <w:spacing w:before="240" w:after="240" w:line="360" w:lineRule="auto"/>
        <w:ind w:right="4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rPr>
        <w:t>Cuarto.</w:t>
      </w:r>
      <w:r w:rsidRPr="001F0434">
        <w:rPr>
          <w:rFonts w:ascii="Palatino Linotype" w:eastAsia="Palatino Linotype" w:hAnsi="Palatino Linotype" w:cs="Palatino Linotype"/>
          <w:b/>
          <w:sz w:val="28"/>
          <w:szCs w:val="28"/>
        </w:rPr>
        <w:t xml:space="preserve"> </w:t>
      </w:r>
      <w:r w:rsidRPr="001F0434">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64043" w:rsidRPr="001F0434" w:rsidRDefault="00BB68AC">
      <w:pPr>
        <w:spacing w:before="240" w:after="240" w:line="360" w:lineRule="auto"/>
        <w:ind w:right="49"/>
        <w:jc w:val="both"/>
        <w:rPr>
          <w:rFonts w:ascii="Palatino Linotype" w:eastAsia="Palatino Linotype" w:hAnsi="Palatino Linotype" w:cs="Palatino Linotype"/>
          <w:i/>
          <w:sz w:val="22"/>
          <w:szCs w:val="22"/>
        </w:rPr>
      </w:pPr>
      <w:r w:rsidRPr="001F0434">
        <w:rPr>
          <w:rFonts w:ascii="Palatino Linotype" w:eastAsia="Palatino Linotype" w:hAnsi="Palatino Linotype" w:cs="Palatino Linotype"/>
          <w:b/>
        </w:rPr>
        <w:t xml:space="preserve">Quinto. Notifíquese, </w:t>
      </w:r>
      <w:r w:rsidRPr="001F0434">
        <w:rPr>
          <w:rFonts w:ascii="Palatino Linotype" w:eastAsia="Palatino Linotype" w:hAnsi="Palatino Linotype" w:cs="Palatino Linotype"/>
        </w:rPr>
        <w:t>al recurrente</w:t>
      </w:r>
      <w:r w:rsidRPr="001F0434">
        <w:rPr>
          <w:rFonts w:ascii="Palatino Linotype" w:eastAsia="Palatino Linotype" w:hAnsi="Palatino Linotype" w:cs="Palatino Linotype"/>
          <w:b/>
        </w:rPr>
        <w:t xml:space="preserve"> </w:t>
      </w:r>
      <w:r w:rsidRPr="001F0434">
        <w:rPr>
          <w:rFonts w:ascii="Palatino Linotype" w:eastAsia="Palatino Linotype" w:hAnsi="Palatino Linotype" w:cs="Palatino Linotype"/>
        </w:rPr>
        <w:t xml:space="preserve">la presente resolución, </w:t>
      </w:r>
      <w:r w:rsidRPr="001F0434">
        <w:rPr>
          <w:rFonts w:ascii="Palatino Linotype" w:eastAsia="Palatino Linotype" w:hAnsi="Palatino Linotype" w:cs="Palatino Linotype"/>
          <w:b/>
        </w:rPr>
        <w:t xml:space="preserve">vía Sistema de Acceso a la Información Mexiquense (SAIMEX), </w:t>
      </w:r>
      <w:r w:rsidRPr="001F0434">
        <w:rPr>
          <w:rFonts w:ascii="Palatino Linotype" w:eastAsia="Palatino Linotype" w:hAnsi="Palatino Linotype" w:cs="Palatino Linotype"/>
        </w:rPr>
        <w:t xml:space="preserve">así como que podrá impugnarla vía </w:t>
      </w:r>
      <w:r w:rsidRPr="001F0434">
        <w:rPr>
          <w:rFonts w:ascii="Palatino Linotype" w:eastAsia="Palatino Linotype" w:hAnsi="Palatino Linotype" w:cs="Palatino Linotype"/>
          <w:b/>
        </w:rPr>
        <w:t>Juicio de Amparo</w:t>
      </w:r>
      <w:r w:rsidRPr="001F0434">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rsidR="00D64043" w:rsidRDefault="00BB68AC">
      <w:pPr>
        <w:spacing w:before="240" w:after="240" w:line="360" w:lineRule="auto"/>
        <w:jc w:val="both"/>
        <w:rPr>
          <w:rFonts w:ascii="Palatino Linotype" w:eastAsia="Palatino Linotype" w:hAnsi="Palatino Linotype" w:cs="Palatino Linotype"/>
        </w:rPr>
        <w:sectPr w:rsidR="00D64043">
          <w:headerReference w:type="even" r:id="rId33"/>
          <w:headerReference w:type="default" r:id="rId34"/>
          <w:footerReference w:type="even" r:id="rId35"/>
          <w:footerReference w:type="default" r:id="rId36"/>
          <w:headerReference w:type="first" r:id="rId37"/>
          <w:footerReference w:type="first" r:id="rId38"/>
          <w:pgSz w:w="12240" w:h="15840"/>
          <w:pgMar w:top="621" w:right="1701" w:bottom="1701" w:left="1701" w:header="618" w:footer="709" w:gutter="0"/>
          <w:pgNumType w:start="1"/>
          <w:cols w:space="720"/>
          <w:titlePg/>
        </w:sectPr>
      </w:pPr>
      <w:r w:rsidRPr="001F0434">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45FF7" w:rsidRPr="001F0434">
        <w:rPr>
          <w:rFonts w:ascii="Palatino Linotype" w:eastAsia="Palatino Linotype" w:hAnsi="Palatino Linotype" w:cs="Palatino Linotype"/>
        </w:rPr>
        <w:t xml:space="preserve"> (AUSENCIA JUSTIFICADA);</w:t>
      </w:r>
      <w:r w:rsidRPr="001F0434">
        <w:rPr>
          <w:rFonts w:ascii="Palatino Linotype" w:eastAsia="Palatino Linotype" w:hAnsi="Palatino Linotype" w:cs="Palatino Linotype"/>
        </w:rPr>
        <w:t xml:space="preserve"> SHARON CRISTINA MORALES MARTÍNEZ; LUIS GUSTAVO PARRA NORIEGA Y GUADALUPE RAMÍREZ PEÑA; EN LA TRIGÉSIMA CUARTA SESIÓN ORDINARIA CELEBRADA EL VEINTE DE SEPTIEMBRE DE DOS MIL VEINTITRÉS, ANTE EL SECRETARIO TÉCNICO DEL PLENO, ALEXIS TAPIA RAMÍREZ.</w:t>
      </w:r>
    </w:p>
    <w:p w:rsidR="00D64043" w:rsidRDefault="00D64043">
      <w:pPr>
        <w:spacing w:before="240" w:after="240"/>
        <w:jc w:val="both"/>
        <w:rPr>
          <w:rFonts w:ascii="Palatino Linotype" w:eastAsia="Palatino Linotype" w:hAnsi="Palatino Linotype" w:cs="Palatino Linotype"/>
          <w:sz w:val="20"/>
          <w:szCs w:val="20"/>
        </w:rPr>
      </w:pPr>
    </w:p>
    <w:p w:rsidR="00D64043" w:rsidRDefault="00D64043">
      <w:pPr>
        <w:spacing w:before="240" w:after="240"/>
        <w:jc w:val="both"/>
        <w:rPr>
          <w:rFonts w:ascii="Palatino Linotype" w:eastAsia="Palatino Linotype" w:hAnsi="Palatino Linotype" w:cs="Palatino Linotype"/>
          <w:sz w:val="20"/>
          <w:szCs w:val="20"/>
        </w:rPr>
      </w:pPr>
      <w:bookmarkStart w:id="5" w:name="_heading=h.1fob9te" w:colFirst="0" w:colLast="0"/>
      <w:bookmarkEnd w:id="5"/>
    </w:p>
    <w:sectPr w:rsidR="00D64043">
      <w:headerReference w:type="first" r:id="rId3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3A5" w:rsidRDefault="001773A5">
      <w:r>
        <w:separator/>
      </w:r>
    </w:p>
  </w:endnote>
  <w:endnote w:type="continuationSeparator" w:id="0">
    <w:p w:rsidR="001773A5" w:rsidRDefault="00177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043" w:rsidRDefault="00D6404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043" w:rsidRDefault="00BB68A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6130">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6130">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D64043" w:rsidRDefault="00D64043">
    <w:pPr>
      <w:pBdr>
        <w:top w:val="nil"/>
        <w:left w:val="nil"/>
        <w:bottom w:val="nil"/>
        <w:right w:val="nil"/>
        <w:between w:val="nil"/>
      </w:pBdr>
      <w:tabs>
        <w:tab w:val="center" w:pos="4252"/>
        <w:tab w:val="right" w:pos="8504"/>
      </w:tabs>
      <w:ind w:firstLine="708"/>
      <w:rPr>
        <w:rFonts w:ascii="Cambria" w:eastAsia="Cambria" w:hAnsi="Cambria" w:cs="Cambria"/>
        <w:color w:val="000000"/>
      </w:rPr>
    </w:pPr>
  </w:p>
  <w:p w:rsidR="00D64043" w:rsidRDefault="00D64043"/>
  <w:p w:rsidR="00D64043" w:rsidRDefault="00D6404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043" w:rsidRDefault="00BB68A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613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6130">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D64043" w:rsidRDefault="00D64043">
    <w:pPr>
      <w:pBdr>
        <w:top w:val="nil"/>
        <w:left w:val="nil"/>
        <w:bottom w:val="nil"/>
        <w:right w:val="nil"/>
        <w:between w:val="nil"/>
      </w:pBdr>
      <w:tabs>
        <w:tab w:val="center" w:pos="4252"/>
        <w:tab w:val="right" w:pos="8504"/>
      </w:tabs>
      <w:rPr>
        <w:rFonts w:ascii="Cambria" w:eastAsia="Cambria" w:hAnsi="Cambria" w:cs="Cambria"/>
        <w:color w:val="000000"/>
      </w:rPr>
    </w:pPr>
  </w:p>
  <w:p w:rsidR="00D64043" w:rsidRDefault="00D64043"/>
  <w:p w:rsidR="00D64043" w:rsidRDefault="00D640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3A5" w:rsidRDefault="001773A5">
      <w:r>
        <w:separator/>
      </w:r>
    </w:p>
  </w:footnote>
  <w:footnote w:type="continuationSeparator" w:id="0">
    <w:p w:rsidR="001773A5" w:rsidRDefault="001773A5">
      <w:r>
        <w:continuationSeparator/>
      </w:r>
    </w:p>
  </w:footnote>
  <w:footnote w:id="1">
    <w:p w:rsidR="00D64043" w:rsidRDefault="00BB68A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D64043" w:rsidRDefault="00BB68A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043" w:rsidRDefault="00D6404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043" w:rsidRDefault="00BB68A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-1079499</wp:posOffset>
          </wp:positionH>
          <wp:positionV relativeFrom="paragraph">
            <wp:posOffset>-243839</wp:posOffset>
          </wp:positionV>
          <wp:extent cx="7809865" cy="10165715"/>
          <wp:effectExtent l="0" t="0" r="0" b="0"/>
          <wp:wrapNone/>
          <wp:docPr id="3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1"/>
      <w:tblW w:w="5827" w:type="dxa"/>
      <w:tblInd w:w="3261" w:type="dxa"/>
      <w:tblLayout w:type="fixed"/>
      <w:tblLook w:val="0400" w:firstRow="0" w:lastRow="0" w:firstColumn="0" w:lastColumn="0" w:noHBand="0" w:noVBand="1"/>
    </w:tblPr>
    <w:tblGrid>
      <w:gridCol w:w="2390"/>
      <w:gridCol w:w="3437"/>
    </w:tblGrid>
    <w:tr w:rsidR="00D64043">
      <w:trPr>
        <w:trHeight w:val="502"/>
      </w:trPr>
      <w:tc>
        <w:tcPr>
          <w:tcW w:w="2390" w:type="dxa"/>
          <w:shd w:val="clear" w:color="auto" w:fill="auto"/>
        </w:tcPr>
        <w:p w:rsidR="00D64043" w:rsidRDefault="00BB68A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rsidR="00D64043" w:rsidRDefault="00BB68AC">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00684/INFOEM/IP/RR/2023 y acumulados</w:t>
          </w:r>
        </w:p>
      </w:tc>
    </w:tr>
    <w:tr w:rsidR="00D64043">
      <w:trPr>
        <w:trHeight w:val="190"/>
      </w:trPr>
      <w:tc>
        <w:tcPr>
          <w:tcW w:w="2390" w:type="dxa"/>
          <w:shd w:val="clear" w:color="auto" w:fill="auto"/>
          <w:vAlign w:val="center"/>
        </w:tcPr>
        <w:p w:rsidR="00D64043" w:rsidRDefault="00BB68A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rsidR="00D64043" w:rsidRDefault="00BB68AC">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  Izcalli</w:t>
          </w:r>
        </w:p>
      </w:tc>
    </w:tr>
    <w:tr w:rsidR="00D64043">
      <w:trPr>
        <w:trHeight w:val="251"/>
      </w:trPr>
      <w:tc>
        <w:tcPr>
          <w:tcW w:w="2390" w:type="dxa"/>
          <w:shd w:val="clear" w:color="auto" w:fill="auto"/>
          <w:vAlign w:val="center"/>
        </w:tcPr>
        <w:p w:rsidR="00D64043" w:rsidRDefault="00BB68AC">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rsidR="00D64043" w:rsidRDefault="00BB68AC">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D64043" w:rsidRDefault="00BB68AC">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rsidR="00D64043" w:rsidRDefault="00BB68AC">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043" w:rsidRDefault="00BB68A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-1112518</wp:posOffset>
          </wp:positionH>
          <wp:positionV relativeFrom="paragraph">
            <wp:posOffset>-361313</wp:posOffset>
          </wp:positionV>
          <wp:extent cx="7809865" cy="10165715"/>
          <wp:effectExtent l="0" t="0" r="0" b="0"/>
          <wp:wrapNone/>
          <wp:docPr id="3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2"/>
      <w:tblW w:w="6378" w:type="dxa"/>
      <w:tblInd w:w="3261" w:type="dxa"/>
      <w:tblLayout w:type="fixed"/>
      <w:tblLook w:val="0400" w:firstRow="0" w:lastRow="0" w:firstColumn="0" w:lastColumn="0" w:noHBand="0" w:noVBand="1"/>
    </w:tblPr>
    <w:tblGrid>
      <w:gridCol w:w="2512"/>
      <w:gridCol w:w="3866"/>
    </w:tblGrid>
    <w:tr w:rsidR="00D64043">
      <w:trPr>
        <w:trHeight w:val="442"/>
      </w:trPr>
      <w:tc>
        <w:tcPr>
          <w:tcW w:w="2512" w:type="dxa"/>
          <w:shd w:val="clear" w:color="auto" w:fill="auto"/>
          <w:vAlign w:val="center"/>
        </w:tcPr>
        <w:p w:rsidR="00D64043" w:rsidRDefault="00BB68A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rsidR="00D64043" w:rsidRDefault="00BB68AC">
          <w:pPr>
            <w:tabs>
              <w:tab w:val="left" w:pos="2334"/>
            </w:tabs>
            <w:ind w:left="-45" w:right="735"/>
            <w:jc w:val="both"/>
            <w:rPr>
              <w:rFonts w:ascii="Palatino Linotype" w:eastAsia="Palatino Linotype" w:hAnsi="Palatino Linotype" w:cs="Palatino Linotype"/>
              <w:b/>
            </w:rPr>
          </w:pPr>
          <w:r>
            <w:rPr>
              <w:rFonts w:ascii="Palatino Linotype" w:eastAsia="Palatino Linotype" w:hAnsi="Palatino Linotype" w:cs="Palatino Linotype"/>
              <w:b/>
            </w:rPr>
            <w:t>00684/INFOEM/IP/RR/2023 y acumulados</w:t>
          </w:r>
        </w:p>
      </w:tc>
    </w:tr>
    <w:tr w:rsidR="00D64043">
      <w:trPr>
        <w:trHeight w:val="95"/>
      </w:trPr>
      <w:tc>
        <w:tcPr>
          <w:tcW w:w="2512" w:type="dxa"/>
          <w:shd w:val="clear" w:color="auto" w:fill="auto"/>
          <w:vAlign w:val="center"/>
        </w:tcPr>
        <w:p w:rsidR="00D64043" w:rsidRDefault="00BB68A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rsidR="00D64043" w:rsidRDefault="007A6130" w:rsidP="007A6130">
          <w:pPr>
            <w:jc w:val="both"/>
            <w:rPr>
              <w:rFonts w:ascii="Palatino Linotype" w:eastAsia="Palatino Linotype" w:hAnsi="Palatino Linotype" w:cs="Palatino Linotype"/>
              <w:b/>
            </w:rPr>
          </w:pPr>
          <w:r>
            <w:rPr>
              <w:rFonts w:ascii="Palatino Linotype" w:eastAsia="Palatino Linotype" w:hAnsi="Palatino Linotype" w:cs="Palatino Linotype"/>
              <w:b/>
            </w:rPr>
            <w:t>XXXXXX XXX XXXXXXXXXX</w:t>
          </w:r>
        </w:p>
      </w:tc>
    </w:tr>
    <w:tr w:rsidR="00D64043">
      <w:trPr>
        <w:trHeight w:val="168"/>
      </w:trPr>
      <w:tc>
        <w:tcPr>
          <w:tcW w:w="2512" w:type="dxa"/>
          <w:shd w:val="clear" w:color="auto" w:fill="auto"/>
          <w:vAlign w:val="center"/>
        </w:tcPr>
        <w:p w:rsidR="00D64043" w:rsidRDefault="00BB68A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rsidR="00D64043" w:rsidRDefault="00BB68AC">
          <w:pPr>
            <w:ind w:left="-45" w:right="-64"/>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 Izcalli</w:t>
          </w:r>
        </w:p>
      </w:tc>
    </w:tr>
    <w:tr w:rsidR="00D64043">
      <w:trPr>
        <w:trHeight w:val="221"/>
      </w:trPr>
      <w:tc>
        <w:tcPr>
          <w:tcW w:w="2512" w:type="dxa"/>
          <w:shd w:val="clear" w:color="auto" w:fill="auto"/>
          <w:vAlign w:val="center"/>
        </w:tcPr>
        <w:p w:rsidR="00D64043" w:rsidRDefault="00BB68A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rsidR="00D64043" w:rsidRDefault="00BB68AC">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D64043" w:rsidRDefault="00D6404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043" w:rsidRDefault="00D6404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70016"/>
    <w:multiLevelType w:val="multilevel"/>
    <w:tmpl w:val="CFEC2ED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34A6E8A"/>
    <w:multiLevelType w:val="multilevel"/>
    <w:tmpl w:val="DA408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0838F1"/>
    <w:multiLevelType w:val="multilevel"/>
    <w:tmpl w:val="63AADC8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DA0424"/>
    <w:multiLevelType w:val="multilevel"/>
    <w:tmpl w:val="25E89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0E8C501A"/>
    <w:multiLevelType w:val="multilevel"/>
    <w:tmpl w:val="6DD28D6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89E5448"/>
    <w:multiLevelType w:val="multilevel"/>
    <w:tmpl w:val="2EDCFB2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1341EC4"/>
    <w:multiLevelType w:val="multilevel"/>
    <w:tmpl w:val="F2B81F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50E6F40"/>
    <w:multiLevelType w:val="multilevel"/>
    <w:tmpl w:val="8EB2A9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795740B8"/>
    <w:multiLevelType w:val="multilevel"/>
    <w:tmpl w:val="3C723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A5D1299"/>
    <w:multiLevelType w:val="multilevel"/>
    <w:tmpl w:val="311413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B8911F3"/>
    <w:multiLevelType w:val="multilevel"/>
    <w:tmpl w:val="791A5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
  </w:num>
  <w:num w:numId="3">
    <w:abstractNumId w:val="8"/>
  </w:num>
  <w:num w:numId="4">
    <w:abstractNumId w:val="1"/>
  </w:num>
  <w:num w:numId="5">
    <w:abstractNumId w:val="6"/>
  </w:num>
  <w:num w:numId="6">
    <w:abstractNumId w:val="3"/>
  </w:num>
  <w:num w:numId="7">
    <w:abstractNumId w:val="7"/>
  </w:num>
  <w:num w:numId="8">
    <w:abstractNumId w:val="9"/>
  </w:num>
  <w:num w:numId="9">
    <w:abstractNumId w:val="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043"/>
    <w:rsid w:val="00140CD7"/>
    <w:rsid w:val="001773A5"/>
    <w:rsid w:val="001F0434"/>
    <w:rsid w:val="00381DB0"/>
    <w:rsid w:val="003A7EA6"/>
    <w:rsid w:val="005F421D"/>
    <w:rsid w:val="00617ECD"/>
    <w:rsid w:val="007A6130"/>
    <w:rsid w:val="00811FE5"/>
    <w:rsid w:val="00AB174D"/>
    <w:rsid w:val="00B45FF7"/>
    <w:rsid w:val="00BB68AC"/>
    <w:rsid w:val="00D10C47"/>
    <w:rsid w:val="00D64043"/>
    <w:rsid w:val="00F701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4A92C-5E5E-4FCA-B594-15E55B21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6"/>
    <w:tblPr>
      <w:tblStyleRowBandSize w:val="1"/>
      <w:tblStyleColBandSize w:val="1"/>
      <w:tblCellMar>
        <w:top w:w="0" w:type="dxa"/>
        <w:left w:w="115" w:type="dxa"/>
        <w:bottom w:w="0" w:type="dxa"/>
        <w:right w:w="115" w:type="dxa"/>
      </w:tblCellMar>
    </w:tblPr>
  </w:style>
  <w:style w:type="table" w:customStyle="1" w:styleId="a0">
    <w:basedOn w:val="TableNormal6"/>
    <w:tblPr>
      <w:tblStyleRowBandSize w:val="1"/>
      <w:tblStyleColBandSize w:val="1"/>
      <w:tblCellMar>
        <w:top w:w="0" w:type="dxa"/>
        <w:left w:w="115" w:type="dxa"/>
        <w:bottom w:w="0" w:type="dxa"/>
        <w:right w:w="115" w:type="dxa"/>
      </w:tblCellMar>
    </w:tblPr>
  </w:style>
  <w:style w:type="table" w:customStyle="1" w:styleId="a2">
    <w:basedOn w:val="TableNormal6"/>
    <w:tblPr>
      <w:tblStyleRowBandSize w:val="1"/>
      <w:tblStyleColBandSize w:val="1"/>
      <w:tblCellMar>
        <w:top w:w="0" w:type="dxa"/>
        <w:left w:w="115" w:type="dxa"/>
        <w:bottom w:w="0" w:type="dxa"/>
        <w:right w:w="115" w:type="dxa"/>
      </w:tblCellMar>
    </w:tblPr>
  </w:style>
  <w:style w:type="table" w:customStyle="1" w:styleId="a3">
    <w:basedOn w:val="TableNormal6"/>
    <w:tblPr>
      <w:tblStyleRowBandSize w:val="1"/>
      <w:tblStyleColBandSize w:val="1"/>
      <w:tblCellMar>
        <w:top w:w="0" w:type="dxa"/>
        <w:left w:w="115" w:type="dxa"/>
        <w:bottom w:w="0" w:type="dxa"/>
        <w:right w:w="115" w:type="dxa"/>
      </w:tblCellMar>
    </w:tblPr>
  </w:style>
  <w:style w:type="table" w:customStyle="1" w:styleId="a4">
    <w:basedOn w:val="TableNormal6"/>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top w:w="0" w:type="dxa"/>
        <w:left w:w="115" w:type="dxa"/>
        <w:bottom w:w="0" w:type="dxa"/>
        <w:right w:w="115" w:type="dxa"/>
      </w:tblCellMar>
    </w:tblPr>
  </w:style>
  <w:style w:type="table" w:customStyle="1" w:styleId="a6">
    <w:basedOn w:val="TableNormal6"/>
    <w:tblPr>
      <w:tblStyleRowBandSize w:val="1"/>
      <w:tblStyleColBandSize w:val="1"/>
      <w:tblCellMar>
        <w:top w:w="0" w:type="dxa"/>
        <w:left w:w="115" w:type="dxa"/>
        <w:bottom w:w="0" w:type="dxa"/>
        <w:right w:w="115" w:type="dxa"/>
      </w:tblCellMar>
    </w:tblPr>
  </w:style>
  <w:style w:type="table" w:customStyle="1" w:styleId="a7">
    <w:basedOn w:val="TableNormal6"/>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6"/>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6"/>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6"/>
    <w:tblPr>
      <w:tblStyleRowBandSize w:val="1"/>
      <w:tblStyleColBandSize w:val="1"/>
      <w:tblCellMar>
        <w:top w:w="0" w:type="dxa"/>
        <w:left w:w="115" w:type="dxa"/>
        <w:bottom w:w="0" w:type="dxa"/>
        <w:right w:w="115" w:type="dxa"/>
      </w:tblCellMar>
    </w:tblPr>
  </w:style>
  <w:style w:type="table" w:customStyle="1" w:styleId="ab">
    <w:basedOn w:val="TableNormal6"/>
    <w:tblPr>
      <w:tblStyleRowBandSize w:val="1"/>
      <w:tblStyleColBandSize w:val="1"/>
      <w:tblCellMar>
        <w:top w:w="0" w:type="dxa"/>
        <w:left w:w="115" w:type="dxa"/>
        <w:bottom w:w="0" w:type="dxa"/>
        <w:right w:w="115" w:type="dxa"/>
      </w:tblCellMar>
    </w:tblPr>
  </w:style>
  <w:style w:type="table" w:customStyle="1" w:styleId="ac">
    <w:basedOn w:val="TableNormal6"/>
    <w:tblPr>
      <w:tblStyleRowBandSize w:val="1"/>
      <w:tblStyleColBandSize w:val="1"/>
      <w:tblCellMar>
        <w:top w:w="0" w:type="dxa"/>
        <w:left w:w="115" w:type="dxa"/>
        <w:bottom w:w="0" w:type="dxa"/>
        <w:right w:w="115" w:type="dxa"/>
      </w:tblCellMar>
    </w:tblPr>
  </w:style>
  <w:style w:type="table" w:customStyle="1" w:styleId="ad">
    <w:basedOn w:val="TableNormal6"/>
    <w:tblPr>
      <w:tblStyleRowBandSize w:val="1"/>
      <w:tblStyleColBandSize w:val="1"/>
      <w:tblCellMar>
        <w:top w:w="0" w:type="dxa"/>
        <w:left w:w="115" w:type="dxa"/>
        <w:bottom w:w="0" w:type="dxa"/>
        <w:right w:w="115" w:type="dxa"/>
      </w:tblCellMar>
    </w:tblPr>
  </w:style>
  <w:style w:type="table" w:customStyle="1" w:styleId="ae">
    <w:basedOn w:val="TableNormal6"/>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6"/>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6"/>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5"/>
    <w:tblPr>
      <w:tblStyleRowBandSize w:val="1"/>
      <w:tblStyleColBandSize w:val="1"/>
      <w:tblCellMar>
        <w:top w:w="0" w:type="dxa"/>
        <w:left w:w="115" w:type="dxa"/>
        <w:bottom w:w="0" w:type="dxa"/>
        <w:right w:w="115" w:type="dxa"/>
      </w:tblCellMar>
    </w:tblPr>
  </w:style>
  <w:style w:type="table" w:customStyle="1" w:styleId="af4">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3"/>
    <w:tblPr>
      <w:tblStyleRowBandSize w:val="1"/>
      <w:tblStyleColBandSize w:val="1"/>
      <w:tblCellMar>
        <w:top w:w="0" w:type="dxa"/>
        <w:left w:w="115" w:type="dxa"/>
        <w:bottom w:w="0" w:type="dxa"/>
        <w:right w:w="115" w:type="dxa"/>
      </w:tblCellMar>
    </w:tblPr>
  </w:style>
  <w:style w:type="table" w:customStyle="1" w:styleId="afc">
    <w:basedOn w:val="TableNormal3"/>
    <w:tblPr>
      <w:tblStyleRowBandSize w:val="1"/>
      <w:tblStyleColBandSize w:val="1"/>
      <w:tblCellMar>
        <w:top w:w="0" w:type="dxa"/>
        <w:left w:w="115" w:type="dxa"/>
        <w:bottom w:w="0" w:type="dxa"/>
        <w:right w:w="115" w:type="dxa"/>
      </w:tblCellMar>
    </w:tblPr>
  </w:style>
  <w:style w:type="table" w:customStyle="1" w:styleId="afd">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3">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4">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5">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6">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9">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c">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d">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e">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2">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22.png"/><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24.pn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3.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hyperlink" Target="https://www.infoem.org.mx/es/contenido/verificaci%C3%B3n-virtual-oficiosa-202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o7bDwleJKGG9wJ8K6XEaC+YpA==">CgMxLjAyCGguZ2pkZ3hzMgloLjMwajB6bGwyCWlkLmdqZGd4czIJaC4zem55c2g3MgloLjFmb2I5dGU4AHIhMXFrZmswM2wzM05LYXVkSFBSRzFic3dPSHFnNEZfcVMy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15451</Words>
  <Characters>84984</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2023-09-22T15:44:00Z</cp:lastPrinted>
  <dcterms:created xsi:type="dcterms:W3CDTF">2023-09-26T23:45:00Z</dcterms:created>
  <dcterms:modified xsi:type="dcterms:W3CDTF">2023-09-26T23:45:00Z</dcterms:modified>
</cp:coreProperties>
</file>